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sz w:val="36"/>
          <w:szCs w:val="36"/>
        </w:rPr>
      </w:pPr>
      <w:bookmarkStart w:id="0" w:name="_Toc251569647"/>
      <w:bookmarkStart w:id="1" w:name="_Toc197843635"/>
      <w:bookmarkStart w:id="2" w:name="_Toc288578279"/>
      <w:bookmarkStart w:id="208" w:name="_GoBack"/>
      <w:bookmarkEnd w:id="208"/>
    </w:p>
    <w:p>
      <w:pPr>
        <w:pStyle w:val="12"/>
      </w:pPr>
    </w:p>
    <w:p>
      <w:pPr>
        <w:jc w:val="center"/>
        <w:rPr>
          <w:rFonts w:hAnsi="宋体"/>
          <w:b/>
          <w:bCs/>
          <w:sz w:val="52"/>
          <w:szCs w:val="52"/>
        </w:rPr>
      </w:pPr>
      <w:r>
        <w:rPr>
          <w:rFonts w:hint="eastAsia" w:hAnsi="宋体"/>
          <w:b/>
          <w:bCs/>
          <w:sz w:val="52"/>
          <w:szCs w:val="52"/>
        </w:rPr>
        <w:t>广州国际智谷总部中心项目第三方</w:t>
      </w:r>
    </w:p>
    <w:p>
      <w:pPr>
        <w:jc w:val="center"/>
        <w:rPr>
          <w:rFonts w:ascii="宋体" w:hAnsi="宋体"/>
          <w:sz w:val="52"/>
          <w:szCs w:val="52"/>
          <w:u w:val="single"/>
        </w:rPr>
      </w:pPr>
      <w:r>
        <w:rPr>
          <w:rFonts w:hint="eastAsia" w:hAnsi="宋体"/>
          <w:b/>
          <w:bCs/>
          <w:sz w:val="52"/>
          <w:szCs w:val="52"/>
        </w:rPr>
        <w:t>检测服务</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（招标编号：</w:t>
      </w:r>
      <w:r>
        <w:rPr>
          <w:rFonts w:hint="eastAsia" w:ascii="宋体" w:hAnsi="宋体"/>
          <w:sz w:val="32"/>
          <w:szCs w:val="32"/>
          <w:u w:val="single"/>
        </w:rPr>
        <w:t xml:space="preserve">       </w:t>
      </w:r>
      <w:r>
        <w:rPr>
          <w:rFonts w:hint="eastAsia" w:ascii="宋体" w:hAnsi="宋体"/>
          <w:sz w:val="32"/>
          <w:szCs w:val="32"/>
        </w:rPr>
        <w:t>）</w:t>
      </w:r>
    </w:p>
    <w:p>
      <w:pPr>
        <w:jc w:val="center"/>
        <w:rPr>
          <w:rFonts w:ascii="宋体" w:hAnsi="宋体"/>
          <w:sz w:val="32"/>
          <w:szCs w:val="32"/>
        </w:rPr>
      </w:pPr>
    </w:p>
    <w:p>
      <w:pPr>
        <w:spacing w:line="400" w:lineRule="exact"/>
        <w:jc w:val="center"/>
        <w:rPr>
          <w:rFonts w:ascii="宋体" w:hAnsi="宋体"/>
          <w:sz w:val="32"/>
          <w:szCs w:val="32"/>
        </w:rPr>
      </w:pPr>
    </w:p>
    <w:p>
      <w:pPr>
        <w:jc w:val="center"/>
        <w:rPr>
          <w:rFonts w:ascii="宋体" w:hAnsi="宋体"/>
          <w:sz w:val="32"/>
          <w:szCs w:val="32"/>
          <w:u w:val="single"/>
        </w:rPr>
      </w:pPr>
    </w:p>
    <w:p>
      <w:pPr>
        <w:jc w:val="center"/>
        <w:rPr>
          <w:rFonts w:ascii="宋体" w:hAnsi="宋体"/>
          <w:sz w:val="32"/>
          <w:szCs w:val="32"/>
          <w:u w:val="single"/>
        </w:rPr>
      </w:pPr>
    </w:p>
    <w:p>
      <w:pPr>
        <w:jc w:val="center"/>
        <w:rPr>
          <w:rFonts w:ascii="宋体" w:hAnsi="宋体"/>
          <w:sz w:val="32"/>
          <w:szCs w:val="32"/>
          <w:u w:val="single"/>
        </w:rPr>
      </w:pPr>
    </w:p>
    <w:p>
      <w:pPr>
        <w:jc w:val="center"/>
        <w:rPr>
          <w:rFonts w:ascii="宋体" w:hAnsi="宋体"/>
          <w:sz w:val="72"/>
          <w:szCs w:val="72"/>
        </w:rPr>
      </w:pPr>
      <w:r>
        <w:rPr>
          <w:rFonts w:hint="eastAsia" w:ascii="宋体" w:hAnsi="宋体"/>
          <w:sz w:val="72"/>
          <w:szCs w:val="72"/>
        </w:rPr>
        <w:t>招标文件</w:t>
      </w:r>
    </w:p>
    <w:p>
      <w:pPr>
        <w:jc w:val="center"/>
        <w:rPr>
          <w:rFonts w:ascii="宋体" w:hAnsi="宋体"/>
          <w:sz w:val="32"/>
          <w:szCs w:val="32"/>
          <w:u w:val="single"/>
        </w:rPr>
      </w:pPr>
    </w:p>
    <w:p>
      <w:pPr>
        <w:jc w:val="center"/>
        <w:rPr>
          <w:rFonts w:ascii="宋体" w:hAnsi="宋体"/>
          <w:sz w:val="32"/>
          <w:szCs w:val="32"/>
          <w:u w:val="single"/>
        </w:rPr>
      </w:pPr>
    </w:p>
    <w:p>
      <w:pPr>
        <w:jc w:val="center"/>
        <w:rPr>
          <w:rFonts w:ascii="宋体" w:hAnsi="宋体"/>
          <w:sz w:val="32"/>
          <w:szCs w:val="32"/>
          <w:u w:val="single"/>
        </w:rPr>
      </w:pPr>
    </w:p>
    <w:p>
      <w:pPr>
        <w:jc w:val="center"/>
        <w:rPr>
          <w:rFonts w:ascii="宋体" w:hAnsi="宋体"/>
          <w:sz w:val="32"/>
          <w:szCs w:val="32"/>
          <w:u w:val="single"/>
        </w:rPr>
      </w:pPr>
    </w:p>
    <w:p>
      <w:pPr>
        <w:rPr>
          <w:rFonts w:ascii="宋体" w:hAnsi="宋体"/>
          <w:sz w:val="32"/>
          <w:szCs w:val="32"/>
          <w:u w:val="single"/>
        </w:rPr>
      </w:pPr>
    </w:p>
    <w:p>
      <w:pPr>
        <w:jc w:val="center"/>
        <w:rPr>
          <w:rFonts w:ascii="宋体" w:hAnsi="宋体"/>
          <w:sz w:val="32"/>
          <w:szCs w:val="32"/>
          <w:u w:val="single"/>
        </w:rPr>
      </w:pPr>
    </w:p>
    <w:p>
      <w:pPr>
        <w:snapToGrid w:val="0"/>
        <w:spacing w:line="360" w:lineRule="auto"/>
        <w:ind w:firstLine="562" w:firstLineChars="200"/>
        <w:jc w:val="center"/>
        <w:rPr>
          <w:rFonts w:ascii="宋体" w:hAnsi="宋体"/>
          <w:b/>
          <w:sz w:val="28"/>
          <w:szCs w:val="24"/>
          <w:u w:val="single"/>
        </w:rPr>
      </w:pPr>
      <w:r>
        <w:rPr>
          <w:rFonts w:hint="eastAsia" w:ascii="宋体" w:hAnsi="宋体"/>
          <w:b/>
          <w:sz w:val="28"/>
          <w:szCs w:val="24"/>
        </w:rPr>
        <w:t>招标人：</w:t>
      </w:r>
      <w:r>
        <w:rPr>
          <w:rFonts w:hint="eastAsia" w:ascii="宋体" w:hAnsi="宋体"/>
          <w:b/>
          <w:sz w:val="28"/>
          <w:szCs w:val="24"/>
          <w:u w:val="single"/>
        </w:rPr>
        <w:t>广州工控智谷文化投资有限公司</w:t>
      </w:r>
      <w:r>
        <w:rPr>
          <w:rFonts w:hint="eastAsia" w:ascii="宋体" w:hAnsi="宋体"/>
          <w:b/>
          <w:sz w:val="28"/>
          <w:szCs w:val="24"/>
        </w:rPr>
        <w:t>（盖单位章）</w:t>
      </w:r>
    </w:p>
    <w:p>
      <w:pPr>
        <w:snapToGrid w:val="0"/>
        <w:spacing w:line="360" w:lineRule="auto"/>
        <w:ind w:firstLine="703" w:firstLineChars="250"/>
        <w:jc w:val="center"/>
        <w:rPr>
          <w:rFonts w:ascii="宋体" w:hAnsi="宋体"/>
          <w:b/>
          <w:sz w:val="28"/>
          <w:szCs w:val="24"/>
        </w:rPr>
      </w:pPr>
      <w:r>
        <w:rPr>
          <w:rFonts w:hint="eastAsia" w:ascii="宋体" w:hAnsi="宋体"/>
          <w:b/>
          <w:sz w:val="28"/>
          <w:szCs w:val="24"/>
        </w:rPr>
        <w:t>项目代建单位：</w:t>
      </w:r>
      <w:r>
        <w:rPr>
          <w:rFonts w:hint="eastAsia" w:ascii="宋体" w:hAnsi="宋体"/>
          <w:b/>
          <w:sz w:val="28"/>
          <w:szCs w:val="24"/>
          <w:u w:val="single"/>
        </w:rPr>
        <w:t>广州开发区建设投资有限公司</w:t>
      </w:r>
      <w:r>
        <w:rPr>
          <w:rFonts w:hint="eastAsia" w:ascii="宋体" w:hAnsi="宋体"/>
          <w:b/>
          <w:sz w:val="28"/>
          <w:szCs w:val="24"/>
        </w:rPr>
        <w:t>（盖单位章）</w:t>
      </w:r>
    </w:p>
    <w:p>
      <w:pPr>
        <w:snapToGrid w:val="0"/>
        <w:spacing w:line="360" w:lineRule="auto"/>
        <w:ind w:firstLine="703" w:firstLineChars="250"/>
        <w:jc w:val="center"/>
        <w:rPr>
          <w:rFonts w:ascii="宋体" w:hAnsi="宋体"/>
          <w:b/>
          <w:sz w:val="28"/>
          <w:szCs w:val="24"/>
        </w:rPr>
      </w:pPr>
      <w:r>
        <w:rPr>
          <w:rFonts w:hint="eastAsia" w:ascii="宋体" w:hAnsi="宋体"/>
          <w:b/>
          <w:sz w:val="28"/>
          <w:szCs w:val="24"/>
        </w:rPr>
        <w:t>招标代理机构：</w:t>
      </w:r>
      <w:r>
        <w:rPr>
          <w:rFonts w:hint="eastAsia" w:ascii="宋体" w:hAnsi="宋体"/>
          <w:b/>
          <w:sz w:val="28"/>
          <w:szCs w:val="24"/>
          <w:u w:val="single"/>
        </w:rPr>
        <w:t>广州粤信工程项目管理有限公司</w:t>
      </w:r>
      <w:r>
        <w:rPr>
          <w:rFonts w:hint="eastAsia" w:ascii="宋体" w:hAnsi="宋体"/>
          <w:b/>
          <w:sz w:val="28"/>
          <w:szCs w:val="24"/>
        </w:rPr>
        <w:t>（盖单位章）</w:t>
      </w:r>
    </w:p>
    <w:p>
      <w:pPr>
        <w:snapToGrid w:val="0"/>
        <w:spacing w:line="360" w:lineRule="auto"/>
        <w:jc w:val="center"/>
        <w:rPr>
          <w:rFonts w:ascii="宋体" w:hAnsi="宋体"/>
          <w:b/>
          <w:sz w:val="28"/>
          <w:szCs w:val="24"/>
        </w:rPr>
      </w:pPr>
      <w:r>
        <w:rPr>
          <w:rFonts w:hint="eastAsia" w:ascii="宋体" w:hAnsi="宋体"/>
          <w:b/>
          <w:sz w:val="28"/>
          <w:szCs w:val="24"/>
          <w:u w:val="single"/>
        </w:rPr>
        <w:t>2023</w:t>
      </w:r>
      <w:r>
        <w:rPr>
          <w:rFonts w:hint="eastAsia" w:ascii="宋体" w:hAnsi="宋体"/>
          <w:b/>
          <w:sz w:val="28"/>
          <w:szCs w:val="24"/>
        </w:rPr>
        <w:t>年</w:t>
      </w:r>
      <w:r>
        <w:rPr>
          <w:rFonts w:hint="eastAsia" w:ascii="宋体" w:hAnsi="宋体"/>
          <w:b/>
          <w:sz w:val="28"/>
          <w:szCs w:val="24"/>
          <w:u w:val="single"/>
          <w:lang w:val="en-US" w:eastAsia="zh-CN"/>
        </w:rPr>
        <w:t>9</w:t>
      </w:r>
      <w:r>
        <w:rPr>
          <w:rFonts w:hint="eastAsia" w:ascii="宋体" w:hAnsi="宋体"/>
          <w:b/>
          <w:sz w:val="28"/>
          <w:szCs w:val="24"/>
        </w:rPr>
        <w:t>月</w:t>
      </w:r>
    </w:p>
    <w:p>
      <w:pPr>
        <w:spacing w:line="360" w:lineRule="auto"/>
        <w:jc w:val="center"/>
        <w:rPr>
          <w:rFonts w:ascii="宋体" w:hAnsi="宋体"/>
          <w:bCs/>
          <w:sz w:val="52"/>
        </w:rPr>
      </w:pPr>
      <w:r>
        <w:rPr>
          <w:rFonts w:ascii="宋体" w:hAnsi="宋体" w:cs="宋体"/>
          <w:b/>
          <w:sz w:val="28"/>
        </w:rPr>
        <w:br w:type="page"/>
      </w:r>
      <w:r>
        <w:rPr>
          <w:rFonts w:hint="eastAsia" w:ascii="宋体" w:hAnsi="宋体"/>
          <w:bCs/>
          <w:sz w:val="52"/>
        </w:rPr>
        <w:t>重要提示</w:t>
      </w:r>
    </w:p>
    <w:p>
      <w:pPr>
        <w:spacing w:line="360" w:lineRule="auto"/>
        <w:ind w:firstLine="537" w:firstLineChars="224"/>
        <w:jc w:val="center"/>
        <w:rPr>
          <w:rFonts w:ascii="宋体" w:hAnsi="宋体"/>
          <w:bCs/>
          <w:sz w:val="24"/>
        </w:rPr>
      </w:pPr>
    </w:p>
    <w:p>
      <w:pPr>
        <w:spacing w:line="360" w:lineRule="auto"/>
        <w:ind w:firstLine="480" w:firstLineChars="200"/>
        <w:rPr>
          <w:rFonts w:ascii="宋体" w:hAnsi="宋体"/>
          <w:sz w:val="24"/>
        </w:rPr>
      </w:pPr>
      <w:r>
        <w:rPr>
          <w:rFonts w:hint="eastAsia" w:ascii="宋体" w:hAnsi="宋体"/>
          <w:sz w:val="24"/>
        </w:rPr>
        <w:t>本项目实施电子招投标，投标人应先认真阅读</w:t>
      </w:r>
      <w:r>
        <w:rPr>
          <w:rFonts w:hint="eastAsia" w:ascii="宋体" w:hAnsi="宋体"/>
          <w:sz w:val="24"/>
          <w:szCs w:val="24"/>
        </w:rPr>
        <w:t>最新指引</w:t>
      </w:r>
      <w:r>
        <w:rPr>
          <w:rFonts w:hint="eastAsia" w:ascii="宋体" w:hAnsi="宋体"/>
          <w:sz w:val="24"/>
        </w:rPr>
        <w:t>。</w:t>
      </w:r>
    </w:p>
    <w:p>
      <w:pPr>
        <w:jc w:val="center"/>
        <w:rPr>
          <w:rFonts w:ascii="宋体" w:hAnsi="宋体"/>
          <w:b/>
          <w:sz w:val="28"/>
          <w:szCs w:val="28"/>
        </w:rPr>
      </w:pPr>
    </w:p>
    <w:p>
      <w:pPr>
        <w:spacing w:line="360" w:lineRule="auto"/>
        <w:ind w:firstLine="1164" w:firstLineChars="224"/>
        <w:jc w:val="center"/>
        <w:rPr>
          <w:rFonts w:ascii="宋体" w:hAnsi="宋体"/>
          <w:bCs/>
          <w:sz w:val="52"/>
        </w:rPr>
        <w:sectPr>
          <w:footerReference r:id="rId3" w:type="default"/>
          <w:footerReference r:id="rId4" w:type="even"/>
          <w:pgSz w:w="11906" w:h="16838"/>
          <w:pgMar w:top="1440" w:right="1080" w:bottom="1440" w:left="1080" w:header="851" w:footer="1020" w:gutter="0"/>
          <w:pgNumType w:start="1"/>
          <w:cols w:space="720" w:num="1"/>
          <w:docGrid w:type="lines" w:linePitch="312" w:charSpace="0"/>
        </w:sectPr>
      </w:pPr>
    </w:p>
    <w:p>
      <w:pPr>
        <w:jc w:val="center"/>
        <w:rPr>
          <w:rFonts w:ascii="宋体" w:hAnsi="宋体"/>
          <w:b/>
          <w:bCs/>
          <w:sz w:val="48"/>
          <w:szCs w:val="48"/>
        </w:rPr>
      </w:pPr>
      <w:r>
        <w:rPr>
          <w:rFonts w:hint="eastAsia" w:ascii="宋体" w:hAnsi="宋体"/>
          <w:b/>
          <w:bCs/>
          <w:sz w:val="48"/>
          <w:szCs w:val="48"/>
        </w:rPr>
        <w:t>目录</w:t>
      </w:r>
    </w:p>
    <w:p>
      <w:pPr>
        <w:pStyle w:val="22"/>
        <w:tabs>
          <w:tab w:val="right" w:leader="dot" w:pos="9746"/>
        </w:tabs>
      </w:pPr>
      <w:r>
        <w:rPr>
          <w:rFonts w:ascii="宋体" w:hAnsi="宋体"/>
          <w:sz w:val="28"/>
          <w:szCs w:val="28"/>
        </w:rPr>
        <w:fldChar w:fldCharType="begin"/>
      </w:r>
      <w:r>
        <w:rPr>
          <w:rFonts w:ascii="宋体" w:hAnsi="宋体"/>
          <w:sz w:val="28"/>
          <w:szCs w:val="28"/>
        </w:rPr>
        <w:instrText xml:space="preserve">TOC \o "1-3" \h \u </w:instrText>
      </w:r>
      <w:r>
        <w:rPr>
          <w:rFonts w:ascii="宋体" w:hAnsi="宋体"/>
          <w:sz w:val="28"/>
          <w:szCs w:val="28"/>
        </w:rPr>
        <w:fldChar w:fldCharType="separate"/>
      </w:r>
      <w:r>
        <w:fldChar w:fldCharType="begin"/>
      </w:r>
      <w:r>
        <w:instrText xml:space="preserve"> HYPERLINK \l "_Toc11772" </w:instrText>
      </w:r>
      <w:r>
        <w:fldChar w:fldCharType="separate"/>
      </w:r>
      <w:r>
        <w:rPr>
          <w:rFonts w:hint="eastAsia"/>
        </w:rPr>
        <w:t>第一卷</w:t>
      </w:r>
      <w:r>
        <w:tab/>
      </w:r>
      <w:r>
        <w:fldChar w:fldCharType="begin"/>
      </w:r>
      <w:r>
        <w:instrText xml:space="preserve"> PAGEREF _Toc11772 \h </w:instrText>
      </w:r>
      <w:r>
        <w:fldChar w:fldCharType="separate"/>
      </w:r>
      <w:r>
        <w:t>4</w:t>
      </w:r>
      <w:r>
        <w:fldChar w:fldCharType="end"/>
      </w:r>
      <w:r>
        <w:fldChar w:fldCharType="end"/>
      </w:r>
    </w:p>
    <w:p>
      <w:pPr>
        <w:pStyle w:val="22"/>
        <w:tabs>
          <w:tab w:val="right" w:leader="dot" w:pos="9746"/>
        </w:tabs>
      </w:pPr>
      <w:r>
        <w:fldChar w:fldCharType="begin"/>
      </w:r>
      <w:r>
        <w:instrText xml:space="preserve"> HYPERLINK \l "_Toc29404" </w:instrText>
      </w:r>
      <w:r>
        <w:fldChar w:fldCharType="separate"/>
      </w:r>
      <w:r>
        <w:rPr>
          <w:rFonts w:hint="eastAsia"/>
        </w:rPr>
        <w:t>第一章  招标公告</w:t>
      </w:r>
      <w:r>
        <w:tab/>
      </w:r>
      <w:r>
        <w:fldChar w:fldCharType="begin"/>
      </w:r>
      <w:r>
        <w:instrText xml:space="preserve"> PAGEREF _Toc29404 \h </w:instrText>
      </w:r>
      <w:r>
        <w:fldChar w:fldCharType="separate"/>
      </w:r>
      <w:r>
        <w:t>4</w:t>
      </w:r>
      <w:r>
        <w:fldChar w:fldCharType="end"/>
      </w:r>
      <w:r>
        <w:fldChar w:fldCharType="end"/>
      </w:r>
    </w:p>
    <w:p>
      <w:pPr>
        <w:pStyle w:val="22"/>
        <w:tabs>
          <w:tab w:val="right" w:leader="dot" w:pos="9746"/>
        </w:tabs>
      </w:pPr>
      <w:r>
        <w:fldChar w:fldCharType="begin"/>
      </w:r>
      <w:r>
        <w:instrText xml:space="preserve"> HYPERLINK \l "_Toc14062" </w:instrText>
      </w:r>
      <w:r>
        <w:fldChar w:fldCharType="separate"/>
      </w:r>
      <w:r>
        <w:rPr>
          <w:rFonts w:hint="eastAsia"/>
        </w:rPr>
        <w:t>第二章  投标人须知</w:t>
      </w:r>
      <w:r>
        <w:tab/>
      </w:r>
      <w:r>
        <w:fldChar w:fldCharType="begin"/>
      </w:r>
      <w:r>
        <w:instrText xml:space="preserve"> PAGEREF _Toc14062 \h </w:instrText>
      </w:r>
      <w:r>
        <w:fldChar w:fldCharType="separate"/>
      </w:r>
      <w:r>
        <w:t>5</w:t>
      </w:r>
      <w:r>
        <w:fldChar w:fldCharType="end"/>
      </w:r>
      <w:r>
        <w:fldChar w:fldCharType="end"/>
      </w:r>
    </w:p>
    <w:p>
      <w:pPr>
        <w:pStyle w:val="23"/>
        <w:tabs>
          <w:tab w:val="right" w:leader="dot" w:pos="9746"/>
        </w:tabs>
      </w:pPr>
      <w:r>
        <w:fldChar w:fldCharType="begin"/>
      </w:r>
      <w:r>
        <w:instrText xml:space="preserve"> HYPERLINK \l "_Toc16663" </w:instrText>
      </w:r>
      <w:r>
        <w:fldChar w:fldCharType="separate"/>
      </w:r>
      <w:r>
        <w:rPr>
          <w:rFonts w:hint="eastAsia" w:ascii="宋体" w:hAnsi="宋体"/>
        </w:rPr>
        <w:t>投标人须知前附表</w:t>
      </w:r>
      <w:r>
        <w:tab/>
      </w:r>
      <w:r>
        <w:fldChar w:fldCharType="begin"/>
      </w:r>
      <w:r>
        <w:instrText xml:space="preserve"> PAGEREF _Toc16663 \h </w:instrText>
      </w:r>
      <w:r>
        <w:fldChar w:fldCharType="separate"/>
      </w:r>
      <w:r>
        <w:t>5</w:t>
      </w:r>
      <w:r>
        <w:fldChar w:fldCharType="end"/>
      </w:r>
      <w:r>
        <w:fldChar w:fldCharType="end"/>
      </w:r>
    </w:p>
    <w:p>
      <w:pPr>
        <w:pStyle w:val="15"/>
        <w:tabs>
          <w:tab w:val="right" w:leader="dot" w:pos="9746"/>
        </w:tabs>
      </w:pPr>
      <w:r>
        <w:fldChar w:fldCharType="begin"/>
      </w:r>
      <w:r>
        <w:instrText xml:space="preserve"> HYPERLINK \l "_Toc13362" </w:instrText>
      </w:r>
      <w:r>
        <w:fldChar w:fldCharType="separate"/>
      </w:r>
      <w:r>
        <w:t xml:space="preserve">1. </w:t>
      </w:r>
      <w:r>
        <w:rPr>
          <w:rFonts w:hint="eastAsia"/>
        </w:rPr>
        <w:t>总则</w:t>
      </w:r>
      <w:r>
        <w:tab/>
      </w:r>
      <w:r>
        <w:fldChar w:fldCharType="begin"/>
      </w:r>
      <w:r>
        <w:instrText xml:space="preserve"> PAGEREF _Toc13362 \h </w:instrText>
      </w:r>
      <w:r>
        <w:fldChar w:fldCharType="separate"/>
      </w:r>
      <w:r>
        <w:t>13</w:t>
      </w:r>
      <w:r>
        <w:fldChar w:fldCharType="end"/>
      </w:r>
      <w:r>
        <w:fldChar w:fldCharType="end"/>
      </w:r>
    </w:p>
    <w:p>
      <w:pPr>
        <w:pStyle w:val="15"/>
        <w:tabs>
          <w:tab w:val="right" w:leader="dot" w:pos="9746"/>
        </w:tabs>
      </w:pPr>
      <w:r>
        <w:fldChar w:fldCharType="begin"/>
      </w:r>
      <w:r>
        <w:instrText xml:space="preserve"> HYPERLINK \l "_Toc10251" </w:instrText>
      </w:r>
      <w:r>
        <w:fldChar w:fldCharType="separate"/>
      </w:r>
      <w:r>
        <w:t xml:space="preserve">2. </w:t>
      </w:r>
      <w:r>
        <w:rPr>
          <w:rFonts w:hint="eastAsia"/>
        </w:rPr>
        <w:t>招标文件</w:t>
      </w:r>
      <w:r>
        <w:tab/>
      </w:r>
      <w:r>
        <w:fldChar w:fldCharType="begin"/>
      </w:r>
      <w:r>
        <w:instrText xml:space="preserve"> PAGEREF _Toc10251 \h </w:instrText>
      </w:r>
      <w:r>
        <w:fldChar w:fldCharType="separate"/>
      </w:r>
      <w:r>
        <w:t>15</w:t>
      </w:r>
      <w:r>
        <w:fldChar w:fldCharType="end"/>
      </w:r>
      <w:r>
        <w:fldChar w:fldCharType="end"/>
      </w:r>
    </w:p>
    <w:p>
      <w:pPr>
        <w:pStyle w:val="15"/>
        <w:tabs>
          <w:tab w:val="right" w:leader="dot" w:pos="9746"/>
        </w:tabs>
      </w:pPr>
      <w:r>
        <w:fldChar w:fldCharType="begin"/>
      </w:r>
      <w:r>
        <w:instrText xml:space="preserve"> HYPERLINK \l "_Toc7990" </w:instrText>
      </w:r>
      <w:r>
        <w:fldChar w:fldCharType="separate"/>
      </w:r>
      <w:r>
        <w:t xml:space="preserve">3. </w:t>
      </w:r>
      <w:r>
        <w:rPr>
          <w:rFonts w:hint="eastAsia"/>
        </w:rPr>
        <w:t>投标文件</w:t>
      </w:r>
      <w:r>
        <w:tab/>
      </w:r>
      <w:r>
        <w:fldChar w:fldCharType="begin"/>
      </w:r>
      <w:r>
        <w:instrText xml:space="preserve"> PAGEREF _Toc7990 \h </w:instrText>
      </w:r>
      <w:r>
        <w:fldChar w:fldCharType="separate"/>
      </w:r>
      <w:r>
        <w:t>16</w:t>
      </w:r>
      <w:r>
        <w:fldChar w:fldCharType="end"/>
      </w:r>
      <w:r>
        <w:fldChar w:fldCharType="end"/>
      </w:r>
    </w:p>
    <w:p>
      <w:pPr>
        <w:pStyle w:val="15"/>
        <w:tabs>
          <w:tab w:val="right" w:leader="dot" w:pos="9746"/>
        </w:tabs>
      </w:pPr>
      <w:r>
        <w:fldChar w:fldCharType="begin"/>
      </w:r>
      <w:r>
        <w:instrText xml:space="preserve"> HYPERLINK \l "_Toc21250" </w:instrText>
      </w:r>
      <w:r>
        <w:fldChar w:fldCharType="separate"/>
      </w:r>
      <w:r>
        <w:t xml:space="preserve">4. </w:t>
      </w:r>
      <w:r>
        <w:rPr>
          <w:rFonts w:hint="eastAsia"/>
        </w:rPr>
        <w:t>投标</w:t>
      </w:r>
      <w:r>
        <w:tab/>
      </w:r>
      <w:r>
        <w:fldChar w:fldCharType="begin"/>
      </w:r>
      <w:r>
        <w:instrText xml:space="preserve"> PAGEREF _Toc21250 \h </w:instrText>
      </w:r>
      <w:r>
        <w:fldChar w:fldCharType="separate"/>
      </w:r>
      <w:r>
        <w:t>18</w:t>
      </w:r>
      <w:r>
        <w:fldChar w:fldCharType="end"/>
      </w:r>
      <w:r>
        <w:fldChar w:fldCharType="end"/>
      </w:r>
    </w:p>
    <w:p>
      <w:pPr>
        <w:pStyle w:val="15"/>
        <w:tabs>
          <w:tab w:val="right" w:leader="dot" w:pos="9746"/>
        </w:tabs>
      </w:pPr>
      <w:r>
        <w:fldChar w:fldCharType="begin"/>
      </w:r>
      <w:r>
        <w:instrText xml:space="preserve"> HYPERLINK \l "_Toc30561" </w:instrText>
      </w:r>
      <w:r>
        <w:fldChar w:fldCharType="separate"/>
      </w:r>
      <w:r>
        <w:t xml:space="preserve">5. </w:t>
      </w:r>
      <w:r>
        <w:rPr>
          <w:rFonts w:hint="eastAsia"/>
        </w:rPr>
        <w:t>开标</w:t>
      </w:r>
      <w:r>
        <w:tab/>
      </w:r>
      <w:r>
        <w:fldChar w:fldCharType="begin"/>
      </w:r>
      <w:r>
        <w:instrText xml:space="preserve"> PAGEREF _Toc30561 \h </w:instrText>
      </w:r>
      <w:r>
        <w:fldChar w:fldCharType="separate"/>
      </w:r>
      <w:r>
        <w:t>19</w:t>
      </w:r>
      <w:r>
        <w:fldChar w:fldCharType="end"/>
      </w:r>
      <w:r>
        <w:fldChar w:fldCharType="end"/>
      </w:r>
    </w:p>
    <w:p>
      <w:pPr>
        <w:pStyle w:val="15"/>
        <w:tabs>
          <w:tab w:val="right" w:leader="dot" w:pos="9746"/>
        </w:tabs>
      </w:pPr>
      <w:r>
        <w:fldChar w:fldCharType="begin"/>
      </w:r>
      <w:r>
        <w:instrText xml:space="preserve"> HYPERLINK \l "_Toc26604" </w:instrText>
      </w:r>
      <w:r>
        <w:fldChar w:fldCharType="separate"/>
      </w:r>
      <w:r>
        <w:t xml:space="preserve">6. </w:t>
      </w:r>
      <w:r>
        <w:rPr>
          <w:rFonts w:hint="eastAsia"/>
        </w:rPr>
        <w:t>评标</w:t>
      </w:r>
      <w:r>
        <w:tab/>
      </w:r>
      <w:r>
        <w:fldChar w:fldCharType="begin"/>
      </w:r>
      <w:r>
        <w:instrText xml:space="preserve"> PAGEREF _Toc26604 \h </w:instrText>
      </w:r>
      <w:r>
        <w:fldChar w:fldCharType="separate"/>
      </w:r>
      <w:r>
        <w:t>20</w:t>
      </w:r>
      <w:r>
        <w:fldChar w:fldCharType="end"/>
      </w:r>
      <w:r>
        <w:fldChar w:fldCharType="end"/>
      </w:r>
    </w:p>
    <w:p>
      <w:pPr>
        <w:pStyle w:val="15"/>
        <w:tabs>
          <w:tab w:val="right" w:leader="dot" w:pos="9746"/>
        </w:tabs>
      </w:pPr>
      <w:r>
        <w:fldChar w:fldCharType="begin"/>
      </w:r>
      <w:r>
        <w:instrText xml:space="preserve"> HYPERLINK \l "_Toc26243" </w:instrText>
      </w:r>
      <w:r>
        <w:fldChar w:fldCharType="separate"/>
      </w:r>
      <w:r>
        <w:t xml:space="preserve">7. </w:t>
      </w:r>
      <w:r>
        <w:rPr>
          <w:rFonts w:hint="eastAsia"/>
        </w:rPr>
        <w:t>合同授予</w:t>
      </w:r>
      <w:r>
        <w:tab/>
      </w:r>
      <w:r>
        <w:fldChar w:fldCharType="begin"/>
      </w:r>
      <w:r>
        <w:instrText xml:space="preserve"> PAGEREF _Toc26243 \h </w:instrText>
      </w:r>
      <w:r>
        <w:fldChar w:fldCharType="separate"/>
      </w:r>
      <w:r>
        <w:t>20</w:t>
      </w:r>
      <w:r>
        <w:fldChar w:fldCharType="end"/>
      </w:r>
      <w:r>
        <w:fldChar w:fldCharType="end"/>
      </w:r>
    </w:p>
    <w:p>
      <w:pPr>
        <w:pStyle w:val="15"/>
        <w:tabs>
          <w:tab w:val="right" w:leader="dot" w:pos="9746"/>
        </w:tabs>
      </w:pPr>
      <w:r>
        <w:fldChar w:fldCharType="begin"/>
      </w:r>
      <w:r>
        <w:instrText xml:space="preserve"> HYPERLINK \l "_Toc32395" </w:instrText>
      </w:r>
      <w:r>
        <w:fldChar w:fldCharType="separate"/>
      </w:r>
      <w:r>
        <w:t xml:space="preserve">8. </w:t>
      </w:r>
      <w:r>
        <w:rPr>
          <w:rFonts w:hint="eastAsia"/>
        </w:rPr>
        <w:t>纪律和监督</w:t>
      </w:r>
      <w:r>
        <w:tab/>
      </w:r>
      <w:r>
        <w:fldChar w:fldCharType="begin"/>
      </w:r>
      <w:r>
        <w:instrText xml:space="preserve"> PAGEREF _Toc32395 \h </w:instrText>
      </w:r>
      <w:r>
        <w:fldChar w:fldCharType="separate"/>
      </w:r>
      <w:r>
        <w:t>21</w:t>
      </w:r>
      <w:r>
        <w:fldChar w:fldCharType="end"/>
      </w:r>
      <w:r>
        <w:fldChar w:fldCharType="end"/>
      </w:r>
    </w:p>
    <w:p>
      <w:pPr>
        <w:pStyle w:val="15"/>
        <w:tabs>
          <w:tab w:val="right" w:leader="dot" w:pos="9746"/>
        </w:tabs>
      </w:pPr>
      <w:r>
        <w:fldChar w:fldCharType="begin"/>
      </w:r>
      <w:r>
        <w:instrText xml:space="preserve"> HYPERLINK \l "_Toc11707" </w:instrText>
      </w:r>
      <w:r>
        <w:fldChar w:fldCharType="separate"/>
      </w:r>
      <w:r>
        <w:t xml:space="preserve">9. </w:t>
      </w:r>
      <w:r>
        <w:rPr>
          <w:rFonts w:hint="eastAsia"/>
        </w:rPr>
        <w:t>是否采用电子招标投标</w:t>
      </w:r>
      <w:r>
        <w:tab/>
      </w:r>
      <w:r>
        <w:fldChar w:fldCharType="begin"/>
      </w:r>
      <w:r>
        <w:instrText xml:space="preserve"> PAGEREF _Toc11707 \h </w:instrText>
      </w:r>
      <w:r>
        <w:fldChar w:fldCharType="separate"/>
      </w:r>
      <w:r>
        <w:t>22</w:t>
      </w:r>
      <w:r>
        <w:fldChar w:fldCharType="end"/>
      </w:r>
      <w:r>
        <w:fldChar w:fldCharType="end"/>
      </w:r>
    </w:p>
    <w:p>
      <w:pPr>
        <w:pStyle w:val="15"/>
        <w:tabs>
          <w:tab w:val="right" w:leader="dot" w:pos="9746"/>
        </w:tabs>
      </w:pPr>
      <w:r>
        <w:fldChar w:fldCharType="begin"/>
      </w:r>
      <w:r>
        <w:instrText xml:space="preserve"> HYPERLINK \l "_Toc25151" </w:instrText>
      </w:r>
      <w:r>
        <w:fldChar w:fldCharType="separate"/>
      </w:r>
      <w:r>
        <w:t xml:space="preserve">10. </w:t>
      </w:r>
      <w:r>
        <w:rPr>
          <w:rFonts w:hint="eastAsia"/>
        </w:rPr>
        <w:t>需要补充的其他内容</w:t>
      </w:r>
      <w:r>
        <w:tab/>
      </w:r>
      <w:r>
        <w:fldChar w:fldCharType="begin"/>
      </w:r>
      <w:r>
        <w:instrText xml:space="preserve"> PAGEREF _Toc25151 \h </w:instrText>
      </w:r>
      <w:r>
        <w:fldChar w:fldCharType="separate"/>
      </w:r>
      <w:r>
        <w:t>22</w:t>
      </w:r>
      <w:r>
        <w:fldChar w:fldCharType="end"/>
      </w:r>
      <w:r>
        <w:fldChar w:fldCharType="end"/>
      </w:r>
    </w:p>
    <w:p>
      <w:pPr>
        <w:pStyle w:val="22"/>
        <w:tabs>
          <w:tab w:val="right" w:leader="dot" w:pos="9746"/>
        </w:tabs>
      </w:pPr>
      <w:r>
        <w:fldChar w:fldCharType="begin"/>
      </w:r>
      <w:r>
        <w:instrText xml:space="preserve"> HYPERLINK \l "_Toc18086" </w:instrText>
      </w:r>
      <w:r>
        <w:fldChar w:fldCharType="separate"/>
      </w:r>
      <w:r>
        <w:rPr>
          <w:rFonts w:hint="eastAsia"/>
        </w:rPr>
        <w:t>第三章  评标办法（综合评估法）</w:t>
      </w:r>
      <w:r>
        <w:tab/>
      </w:r>
      <w:r>
        <w:fldChar w:fldCharType="begin"/>
      </w:r>
      <w:r>
        <w:instrText xml:space="preserve"> PAGEREF _Toc18086 \h </w:instrText>
      </w:r>
      <w:r>
        <w:fldChar w:fldCharType="separate"/>
      </w:r>
      <w:r>
        <w:t>23</w:t>
      </w:r>
      <w:r>
        <w:fldChar w:fldCharType="end"/>
      </w:r>
      <w:r>
        <w:fldChar w:fldCharType="end"/>
      </w:r>
    </w:p>
    <w:p>
      <w:pPr>
        <w:pStyle w:val="23"/>
        <w:tabs>
          <w:tab w:val="right" w:leader="dot" w:pos="9746"/>
        </w:tabs>
      </w:pPr>
      <w:r>
        <w:fldChar w:fldCharType="begin"/>
      </w:r>
      <w:r>
        <w:instrText xml:space="preserve"> HYPERLINK \l "_Toc31498" </w:instrText>
      </w:r>
      <w:r>
        <w:fldChar w:fldCharType="separate"/>
      </w:r>
      <w:r>
        <w:rPr>
          <w:rFonts w:hint="eastAsia" w:ascii="宋体" w:hAnsi="宋体"/>
        </w:rPr>
        <w:t>评标办法前附表</w:t>
      </w:r>
      <w:r>
        <w:tab/>
      </w:r>
      <w:r>
        <w:fldChar w:fldCharType="begin"/>
      </w:r>
      <w:r>
        <w:instrText xml:space="preserve"> PAGEREF _Toc31498 \h </w:instrText>
      </w:r>
      <w:r>
        <w:fldChar w:fldCharType="separate"/>
      </w:r>
      <w:r>
        <w:t>23</w:t>
      </w:r>
      <w:r>
        <w:fldChar w:fldCharType="end"/>
      </w:r>
      <w:r>
        <w:fldChar w:fldCharType="end"/>
      </w:r>
    </w:p>
    <w:p>
      <w:pPr>
        <w:pStyle w:val="15"/>
        <w:tabs>
          <w:tab w:val="right" w:leader="dot" w:pos="9746"/>
        </w:tabs>
      </w:pPr>
      <w:r>
        <w:fldChar w:fldCharType="begin"/>
      </w:r>
      <w:r>
        <w:instrText xml:space="preserve"> HYPERLINK \l "_Toc17098" </w:instrText>
      </w:r>
      <w:r>
        <w:fldChar w:fldCharType="separate"/>
      </w:r>
      <w:r>
        <w:rPr>
          <w:rFonts w:hint="eastAsia"/>
        </w:rPr>
        <w:t>附表一：形式评审表</w:t>
      </w:r>
      <w:r>
        <w:tab/>
      </w:r>
      <w:r>
        <w:fldChar w:fldCharType="begin"/>
      </w:r>
      <w:r>
        <w:instrText xml:space="preserve"> PAGEREF _Toc17098 \h </w:instrText>
      </w:r>
      <w:r>
        <w:fldChar w:fldCharType="separate"/>
      </w:r>
      <w:r>
        <w:t>25</w:t>
      </w:r>
      <w:r>
        <w:fldChar w:fldCharType="end"/>
      </w:r>
      <w:r>
        <w:fldChar w:fldCharType="end"/>
      </w:r>
    </w:p>
    <w:p>
      <w:pPr>
        <w:pStyle w:val="15"/>
        <w:tabs>
          <w:tab w:val="right" w:leader="dot" w:pos="9746"/>
        </w:tabs>
      </w:pPr>
      <w:r>
        <w:fldChar w:fldCharType="begin"/>
      </w:r>
      <w:r>
        <w:instrText xml:space="preserve"> HYPERLINK \l "_Toc24501" </w:instrText>
      </w:r>
      <w:r>
        <w:fldChar w:fldCharType="separate"/>
      </w:r>
      <w:r>
        <w:rPr>
          <w:rFonts w:hint="eastAsia"/>
        </w:rPr>
        <w:t>附表二：资格评审表</w:t>
      </w:r>
      <w:r>
        <w:tab/>
      </w:r>
      <w:r>
        <w:fldChar w:fldCharType="begin"/>
      </w:r>
      <w:r>
        <w:instrText xml:space="preserve"> PAGEREF _Toc24501 \h </w:instrText>
      </w:r>
      <w:r>
        <w:fldChar w:fldCharType="separate"/>
      </w:r>
      <w:r>
        <w:t>26</w:t>
      </w:r>
      <w:r>
        <w:fldChar w:fldCharType="end"/>
      </w:r>
      <w:r>
        <w:fldChar w:fldCharType="end"/>
      </w:r>
    </w:p>
    <w:p>
      <w:pPr>
        <w:pStyle w:val="15"/>
        <w:tabs>
          <w:tab w:val="right" w:leader="dot" w:pos="9746"/>
        </w:tabs>
      </w:pPr>
      <w:r>
        <w:fldChar w:fldCharType="begin"/>
      </w:r>
      <w:r>
        <w:instrText xml:space="preserve"> HYPERLINK \l "_Toc926" </w:instrText>
      </w:r>
      <w:r>
        <w:fldChar w:fldCharType="separate"/>
      </w:r>
      <w:r>
        <w:rPr>
          <w:rFonts w:hint="eastAsia"/>
        </w:rPr>
        <w:t>附表三：响应性评审表</w:t>
      </w:r>
      <w:r>
        <w:tab/>
      </w:r>
      <w:r>
        <w:fldChar w:fldCharType="begin"/>
      </w:r>
      <w:r>
        <w:instrText xml:space="preserve"> PAGEREF _Toc926 \h </w:instrText>
      </w:r>
      <w:r>
        <w:fldChar w:fldCharType="separate"/>
      </w:r>
      <w:r>
        <w:t>27</w:t>
      </w:r>
      <w:r>
        <w:fldChar w:fldCharType="end"/>
      </w:r>
      <w:r>
        <w:fldChar w:fldCharType="end"/>
      </w:r>
    </w:p>
    <w:p>
      <w:pPr>
        <w:pStyle w:val="15"/>
        <w:tabs>
          <w:tab w:val="right" w:leader="dot" w:pos="9746"/>
        </w:tabs>
      </w:pPr>
      <w:r>
        <w:fldChar w:fldCharType="begin"/>
      </w:r>
      <w:r>
        <w:instrText xml:space="preserve"> HYPERLINK \l "_Toc25168" </w:instrText>
      </w:r>
      <w:r>
        <w:fldChar w:fldCharType="separate"/>
      </w:r>
      <w:r>
        <w:rPr>
          <w:rFonts w:hint="eastAsia"/>
        </w:rPr>
        <w:t>附表四：综合评分表</w:t>
      </w:r>
      <w:r>
        <w:tab/>
      </w:r>
      <w:r>
        <w:fldChar w:fldCharType="begin"/>
      </w:r>
      <w:r>
        <w:instrText xml:space="preserve"> PAGEREF _Toc25168 \h </w:instrText>
      </w:r>
      <w:r>
        <w:fldChar w:fldCharType="separate"/>
      </w:r>
      <w:r>
        <w:t>28</w:t>
      </w:r>
      <w:r>
        <w:fldChar w:fldCharType="end"/>
      </w:r>
      <w:r>
        <w:fldChar w:fldCharType="end"/>
      </w:r>
    </w:p>
    <w:p>
      <w:pPr>
        <w:pStyle w:val="15"/>
        <w:tabs>
          <w:tab w:val="right" w:leader="dot" w:pos="9746"/>
        </w:tabs>
      </w:pPr>
      <w:r>
        <w:fldChar w:fldCharType="begin"/>
      </w:r>
      <w:r>
        <w:instrText xml:space="preserve"> HYPERLINK \l "_Toc30630" </w:instrText>
      </w:r>
      <w:r>
        <w:fldChar w:fldCharType="separate"/>
      </w:r>
      <w:r>
        <w:rPr>
          <w:rFonts w:hint="eastAsia"/>
        </w:rPr>
        <w:t>附表五：算术复核表</w:t>
      </w:r>
      <w:r>
        <w:tab/>
      </w:r>
      <w:r>
        <w:fldChar w:fldCharType="begin"/>
      </w:r>
      <w:r>
        <w:instrText xml:space="preserve"> PAGEREF _Toc30630 \h </w:instrText>
      </w:r>
      <w:r>
        <w:fldChar w:fldCharType="separate"/>
      </w:r>
      <w:r>
        <w:t>30</w:t>
      </w:r>
      <w:r>
        <w:fldChar w:fldCharType="end"/>
      </w:r>
      <w:r>
        <w:fldChar w:fldCharType="end"/>
      </w:r>
    </w:p>
    <w:p>
      <w:pPr>
        <w:pStyle w:val="15"/>
        <w:tabs>
          <w:tab w:val="right" w:leader="dot" w:pos="9746"/>
        </w:tabs>
      </w:pPr>
      <w:r>
        <w:fldChar w:fldCharType="begin"/>
      </w:r>
      <w:r>
        <w:instrText xml:space="preserve"> HYPERLINK \l "_Toc12627" </w:instrText>
      </w:r>
      <w:r>
        <w:fldChar w:fldCharType="separate"/>
      </w:r>
      <w:r>
        <w:rPr>
          <w:rFonts w:hint="eastAsia"/>
          <w:bCs/>
        </w:rPr>
        <w:t>附表六：</w:t>
      </w:r>
      <w:r>
        <w:rPr>
          <w:rFonts w:hint="eastAsia"/>
        </w:rPr>
        <w:t>报价得分计算表</w:t>
      </w:r>
      <w:r>
        <w:tab/>
      </w:r>
      <w:r>
        <w:fldChar w:fldCharType="begin"/>
      </w:r>
      <w:r>
        <w:instrText xml:space="preserve"> PAGEREF _Toc12627 \h </w:instrText>
      </w:r>
      <w:r>
        <w:fldChar w:fldCharType="separate"/>
      </w:r>
      <w:r>
        <w:t>31</w:t>
      </w:r>
      <w:r>
        <w:fldChar w:fldCharType="end"/>
      </w:r>
      <w:r>
        <w:fldChar w:fldCharType="end"/>
      </w:r>
    </w:p>
    <w:p>
      <w:pPr>
        <w:pStyle w:val="15"/>
        <w:tabs>
          <w:tab w:val="right" w:leader="dot" w:pos="9746"/>
        </w:tabs>
      </w:pPr>
      <w:r>
        <w:fldChar w:fldCharType="begin"/>
      </w:r>
      <w:r>
        <w:instrText xml:space="preserve"> HYPERLINK \l "_Toc11628" </w:instrText>
      </w:r>
      <w:r>
        <w:fldChar w:fldCharType="separate"/>
      </w:r>
      <w:r>
        <w:t xml:space="preserve">1. </w:t>
      </w:r>
      <w:r>
        <w:rPr>
          <w:rFonts w:hint="eastAsia"/>
        </w:rPr>
        <w:t>评标方法</w:t>
      </w:r>
      <w:r>
        <w:tab/>
      </w:r>
      <w:r>
        <w:fldChar w:fldCharType="begin"/>
      </w:r>
      <w:r>
        <w:instrText xml:space="preserve"> PAGEREF _Toc11628 \h </w:instrText>
      </w:r>
      <w:r>
        <w:fldChar w:fldCharType="separate"/>
      </w:r>
      <w:r>
        <w:t>32</w:t>
      </w:r>
      <w:r>
        <w:fldChar w:fldCharType="end"/>
      </w:r>
      <w:r>
        <w:fldChar w:fldCharType="end"/>
      </w:r>
    </w:p>
    <w:p>
      <w:pPr>
        <w:pStyle w:val="15"/>
        <w:tabs>
          <w:tab w:val="right" w:leader="dot" w:pos="9746"/>
        </w:tabs>
      </w:pPr>
      <w:r>
        <w:fldChar w:fldCharType="begin"/>
      </w:r>
      <w:r>
        <w:instrText xml:space="preserve"> HYPERLINK \l "_Toc15152" </w:instrText>
      </w:r>
      <w:r>
        <w:fldChar w:fldCharType="separate"/>
      </w:r>
      <w:r>
        <w:t xml:space="preserve">2. </w:t>
      </w:r>
      <w:r>
        <w:rPr>
          <w:rFonts w:hint="eastAsia"/>
        </w:rPr>
        <w:t>评审标准</w:t>
      </w:r>
      <w:r>
        <w:tab/>
      </w:r>
      <w:r>
        <w:fldChar w:fldCharType="begin"/>
      </w:r>
      <w:r>
        <w:instrText xml:space="preserve"> PAGEREF _Toc15152 \h </w:instrText>
      </w:r>
      <w:r>
        <w:fldChar w:fldCharType="separate"/>
      </w:r>
      <w:r>
        <w:t>32</w:t>
      </w:r>
      <w:r>
        <w:fldChar w:fldCharType="end"/>
      </w:r>
      <w:r>
        <w:fldChar w:fldCharType="end"/>
      </w:r>
    </w:p>
    <w:p>
      <w:pPr>
        <w:pStyle w:val="15"/>
        <w:tabs>
          <w:tab w:val="right" w:leader="dot" w:pos="9746"/>
        </w:tabs>
      </w:pPr>
      <w:r>
        <w:fldChar w:fldCharType="begin"/>
      </w:r>
      <w:r>
        <w:instrText xml:space="preserve"> HYPERLINK \l "_Toc21355" </w:instrText>
      </w:r>
      <w:r>
        <w:fldChar w:fldCharType="separate"/>
      </w:r>
      <w:r>
        <w:t xml:space="preserve">3. </w:t>
      </w:r>
      <w:r>
        <w:rPr>
          <w:rFonts w:hint="eastAsia"/>
        </w:rPr>
        <w:t>评标程序</w:t>
      </w:r>
      <w:r>
        <w:tab/>
      </w:r>
      <w:r>
        <w:fldChar w:fldCharType="begin"/>
      </w:r>
      <w:r>
        <w:instrText xml:space="preserve"> PAGEREF _Toc21355 \h </w:instrText>
      </w:r>
      <w:r>
        <w:fldChar w:fldCharType="separate"/>
      </w:r>
      <w:r>
        <w:t>33</w:t>
      </w:r>
      <w:r>
        <w:fldChar w:fldCharType="end"/>
      </w:r>
      <w:r>
        <w:fldChar w:fldCharType="end"/>
      </w:r>
    </w:p>
    <w:p>
      <w:pPr>
        <w:pStyle w:val="22"/>
        <w:tabs>
          <w:tab w:val="right" w:leader="dot" w:pos="9746"/>
        </w:tabs>
      </w:pPr>
      <w:r>
        <w:fldChar w:fldCharType="begin"/>
      </w:r>
      <w:r>
        <w:instrText xml:space="preserve"> HYPERLINK \l "_Toc12056" </w:instrText>
      </w:r>
      <w:r>
        <w:fldChar w:fldCharType="separate"/>
      </w:r>
      <w:r>
        <w:rPr>
          <w:rFonts w:hint="eastAsia" w:ascii="宋体" w:hAnsi="宋体"/>
          <w:kern w:val="44"/>
          <w:szCs w:val="20"/>
        </w:rPr>
        <w:t>第四章  合同条款及格式</w:t>
      </w:r>
      <w:r>
        <w:tab/>
      </w:r>
      <w:r>
        <w:fldChar w:fldCharType="begin"/>
      </w:r>
      <w:r>
        <w:instrText xml:space="preserve"> PAGEREF _Toc12056 \h </w:instrText>
      </w:r>
      <w:r>
        <w:fldChar w:fldCharType="separate"/>
      </w:r>
      <w:r>
        <w:t>35</w:t>
      </w:r>
      <w:r>
        <w:fldChar w:fldCharType="end"/>
      </w:r>
      <w:r>
        <w:fldChar w:fldCharType="end"/>
      </w:r>
    </w:p>
    <w:p>
      <w:pPr>
        <w:pStyle w:val="22"/>
        <w:tabs>
          <w:tab w:val="right" w:leader="dot" w:pos="9746"/>
        </w:tabs>
      </w:pPr>
      <w:r>
        <w:fldChar w:fldCharType="begin"/>
      </w:r>
      <w:r>
        <w:instrText xml:space="preserve"> HYPERLINK \l "_Toc13347" </w:instrText>
      </w:r>
      <w:r>
        <w:fldChar w:fldCharType="separate"/>
      </w:r>
      <w:r>
        <w:rPr>
          <w:rFonts w:hint="eastAsia"/>
        </w:rPr>
        <w:t>第二卷</w:t>
      </w:r>
      <w:r>
        <w:tab/>
      </w:r>
      <w:r>
        <w:fldChar w:fldCharType="begin"/>
      </w:r>
      <w:r>
        <w:instrText xml:space="preserve"> PAGEREF _Toc13347 \h </w:instrText>
      </w:r>
      <w:r>
        <w:fldChar w:fldCharType="separate"/>
      </w:r>
      <w:r>
        <w:t>36</w:t>
      </w:r>
      <w:r>
        <w:fldChar w:fldCharType="end"/>
      </w:r>
      <w:r>
        <w:fldChar w:fldCharType="end"/>
      </w:r>
    </w:p>
    <w:p>
      <w:pPr>
        <w:pStyle w:val="22"/>
        <w:tabs>
          <w:tab w:val="right" w:leader="dot" w:pos="9746"/>
        </w:tabs>
      </w:pPr>
      <w:r>
        <w:fldChar w:fldCharType="begin"/>
      </w:r>
      <w:r>
        <w:instrText xml:space="preserve"> HYPERLINK \l "_Toc3390" </w:instrText>
      </w:r>
      <w:r>
        <w:fldChar w:fldCharType="separate"/>
      </w:r>
      <w:r>
        <w:rPr>
          <w:rFonts w:hint="eastAsia"/>
        </w:rPr>
        <w:t>第五章 委托人要求</w:t>
      </w:r>
      <w:r>
        <w:tab/>
      </w:r>
      <w:r>
        <w:fldChar w:fldCharType="begin"/>
      </w:r>
      <w:r>
        <w:instrText xml:space="preserve"> PAGEREF _Toc3390 \h </w:instrText>
      </w:r>
      <w:r>
        <w:fldChar w:fldCharType="separate"/>
      </w:r>
      <w:r>
        <w:t>36</w:t>
      </w:r>
      <w:r>
        <w:fldChar w:fldCharType="end"/>
      </w:r>
      <w:r>
        <w:fldChar w:fldCharType="end"/>
      </w:r>
    </w:p>
    <w:p>
      <w:pPr>
        <w:pStyle w:val="22"/>
        <w:tabs>
          <w:tab w:val="right" w:leader="dot" w:pos="9746"/>
        </w:tabs>
      </w:pPr>
      <w:r>
        <w:fldChar w:fldCharType="begin"/>
      </w:r>
      <w:r>
        <w:instrText xml:space="preserve"> HYPERLINK \l "_Toc30698" </w:instrText>
      </w:r>
      <w:r>
        <w:fldChar w:fldCharType="separate"/>
      </w:r>
      <w:r>
        <w:rPr>
          <w:rFonts w:hint="eastAsia"/>
        </w:rPr>
        <w:t>第三卷</w:t>
      </w:r>
      <w:r>
        <w:tab/>
      </w:r>
      <w:r>
        <w:fldChar w:fldCharType="begin"/>
      </w:r>
      <w:r>
        <w:instrText xml:space="preserve"> PAGEREF _Toc30698 \h </w:instrText>
      </w:r>
      <w:r>
        <w:fldChar w:fldCharType="separate"/>
      </w:r>
      <w:r>
        <w:t>39</w:t>
      </w:r>
      <w:r>
        <w:fldChar w:fldCharType="end"/>
      </w:r>
      <w:r>
        <w:fldChar w:fldCharType="end"/>
      </w:r>
    </w:p>
    <w:p>
      <w:pPr>
        <w:pStyle w:val="22"/>
        <w:tabs>
          <w:tab w:val="right" w:leader="dot" w:pos="9746"/>
        </w:tabs>
      </w:pPr>
      <w:r>
        <w:fldChar w:fldCharType="begin"/>
      </w:r>
      <w:r>
        <w:instrText xml:space="preserve"> HYPERLINK \l "_Toc2527" </w:instrText>
      </w:r>
      <w:r>
        <w:fldChar w:fldCharType="separate"/>
      </w:r>
      <w:r>
        <w:rPr>
          <w:rFonts w:hint="eastAsia"/>
        </w:rPr>
        <w:t>第六章  投标文件格式</w:t>
      </w:r>
      <w:r>
        <w:tab/>
      </w:r>
      <w:r>
        <w:fldChar w:fldCharType="begin"/>
      </w:r>
      <w:r>
        <w:instrText xml:space="preserve"> PAGEREF _Toc2527 \h </w:instrText>
      </w:r>
      <w:r>
        <w:fldChar w:fldCharType="separate"/>
      </w:r>
      <w:r>
        <w:t>39</w:t>
      </w:r>
      <w:r>
        <w:fldChar w:fldCharType="end"/>
      </w:r>
      <w:r>
        <w:fldChar w:fldCharType="end"/>
      </w:r>
    </w:p>
    <w:p>
      <w:pPr>
        <w:pStyle w:val="15"/>
        <w:tabs>
          <w:tab w:val="right" w:leader="dot" w:pos="9746"/>
        </w:tabs>
      </w:pPr>
      <w:r>
        <w:fldChar w:fldCharType="begin"/>
      </w:r>
      <w:r>
        <w:instrText xml:space="preserve"> HYPERLINK \l "_Toc575" </w:instrText>
      </w:r>
      <w:r>
        <w:fldChar w:fldCharType="separate"/>
      </w:r>
      <w:r>
        <w:rPr>
          <w:rFonts w:hint="eastAsia"/>
        </w:rPr>
        <w:t>一、投标函及其附表</w:t>
      </w:r>
      <w:r>
        <w:tab/>
      </w:r>
      <w:r>
        <w:fldChar w:fldCharType="begin"/>
      </w:r>
      <w:r>
        <w:instrText xml:space="preserve"> PAGEREF _Toc575 \h </w:instrText>
      </w:r>
      <w:r>
        <w:fldChar w:fldCharType="separate"/>
      </w:r>
      <w:r>
        <w:t>40</w:t>
      </w:r>
      <w:r>
        <w:fldChar w:fldCharType="end"/>
      </w:r>
      <w:r>
        <w:fldChar w:fldCharType="end"/>
      </w:r>
    </w:p>
    <w:p>
      <w:pPr>
        <w:pStyle w:val="15"/>
        <w:tabs>
          <w:tab w:val="right" w:leader="dot" w:pos="9746"/>
        </w:tabs>
      </w:pPr>
      <w:r>
        <w:fldChar w:fldCharType="begin"/>
      </w:r>
      <w:r>
        <w:instrText xml:space="preserve"> HYPERLINK \l "_Toc25046" </w:instrText>
      </w:r>
      <w:r>
        <w:fldChar w:fldCharType="separate"/>
      </w:r>
      <w:r>
        <w:rPr>
          <w:rFonts w:hint="eastAsia"/>
        </w:rPr>
        <w:t>二、法定代表人证明书及授权委托书</w:t>
      </w:r>
      <w:r>
        <w:tab/>
      </w:r>
      <w:r>
        <w:fldChar w:fldCharType="begin"/>
      </w:r>
      <w:r>
        <w:instrText xml:space="preserve"> PAGEREF _Toc25046 \h </w:instrText>
      </w:r>
      <w:r>
        <w:fldChar w:fldCharType="separate"/>
      </w:r>
      <w:r>
        <w:t>42</w:t>
      </w:r>
      <w:r>
        <w:fldChar w:fldCharType="end"/>
      </w:r>
      <w:r>
        <w:fldChar w:fldCharType="end"/>
      </w:r>
    </w:p>
    <w:p>
      <w:pPr>
        <w:pStyle w:val="15"/>
        <w:tabs>
          <w:tab w:val="right" w:leader="dot" w:pos="9746"/>
        </w:tabs>
      </w:pPr>
      <w:r>
        <w:fldChar w:fldCharType="begin"/>
      </w:r>
      <w:r>
        <w:instrText xml:space="preserve"> HYPERLINK \l "_Toc11935" </w:instrText>
      </w:r>
      <w:r>
        <w:fldChar w:fldCharType="separate"/>
      </w:r>
      <w:r>
        <w:rPr>
          <w:rFonts w:hint="eastAsia"/>
        </w:rPr>
        <w:t>三、投标保证金凭证</w:t>
      </w:r>
      <w:r>
        <w:tab/>
      </w:r>
      <w:r>
        <w:fldChar w:fldCharType="begin"/>
      </w:r>
      <w:r>
        <w:instrText xml:space="preserve"> PAGEREF _Toc11935 \h </w:instrText>
      </w:r>
      <w:r>
        <w:fldChar w:fldCharType="separate"/>
      </w:r>
      <w:r>
        <w:t>43</w:t>
      </w:r>
      <w:r>
        <w:fldChar w:fldCharType="end"/>
      </w:r>
      <w:r>
        <w:fldChar w:fldCharType="end"/>
      </w:r>
    </w:p>
    <w:p>
      <w:pPr>
        <w:pStyle w:val="15"/>
        <w:tabs>
          <w:tab w:val="right" w:leader="dot" w:pos="9746"/>
        </w:tabs>
      </w:pPr>
      <w:r>
        <w:fldChar w:fldCharType="begin"/>
      </w:r>
      <w:r>
        <w:instrText xml:space="preserve"> HYPERLINK \l "_Toc29831" </w:instrText>
      </w:r>
      <w:r>
        <w:fldChar w:fldCharType="separate"/>
      </w:r>
      <w:r>
        <w:rPr>
          <w:rFonts w:hint="eastAsia"/>
          <w:szCs w:val="32"/>
        </w:rPr>
        <w:t>四、</w:t>
      </w:r>
      <w:r>
        <w:rPr>
          <w:rFonts w:hint="eastAsia"/>
        </w:rPr>
        <w:t>投标报价书</w:t>
      </w:r>
      <w:r>
        <w:tab/>
      </w:r>
      <w:r>
        <w:fldChar w:fldCharType="begin"/>
      </w:r>
      <w:r>
        <w:instrText xml:space="preserve"> PAGEREF _Toc29831 \h </w:instrText>
      </w:r>
      <w:r>
        <w:fldChar w:fldCharType="separate"/>
      </w:r>
      <w:r>
        <w:t>45</w:t>
      </w:r>
      <w:r>
        <w:fldChar w:fldCharType="end"/>
      </w:r>
      <w:r>
        <w:fldChar w:fldCharType="end"/>
      </w:r>
    </w:p>
    <w:p>
      <w:pPr>
        <w:pStyle w:val="15"/>
        <w:tabs>
          <w:tab w:val="right" w:leader="dot" w:pos="9746"/>
        </w:tabs>
      </w:pPr>
      <w:r>
        <w:fldChar w:fldCharType="begin"/>
      </w:r>
      <w:r>
        <w:instrText xml:space="preserve"> HYPERLINK \l "_Toc4407" </w:instrText>
      </w:r>
      <w:r>
        <w:fldChar w:fldCharType="separate"/>
      </w:r>
      <w:r>
        <w:rPr>
          <w:rFonts w:hint="eastAsia"/>
        </w:rPr>
        <w:t>五、资格审查资料</w:t>
      </w:r>
      <w:r>
        <w:tab/>
      </w:r>
      <w:r>
        <w:fldChar w:fldCharType="begin"/>
      </w:r>
      <w:r>
        <w:instrText xml:space="preserve"> PAGEREF _Toc4407 \h </w:instrText>
      </w:r>
      <w:r>
        <w:fldChar w:fldCharType="separate"/>
      </w:r>
      <w:r>
        <w:t>49</w:t>
      </w:r>
      <w:r>
        <w:fldChar w:fldCharType="end"/>
      </w:r>
      <w:r>
        <w:fldChar w:fldCharType="end"/>
      </w:r>
    </w:p>
    <w:p>
      <w:pPr>
        <w:pStyle w:val="15"/>
        <w:tabs>
          <w:tab w:val="right" w:leader="dot" w:pos="9746"/>
        </w:tabs>
      </w:pPr>
      <w:r>
        <w:fldChar w:fldCharType="begin"/>
      </w:r>
      <w:r>
        <w:instrText xml:space="preserve"> HYPERLINK \l "_Toc22112" </w:instrText>
      </w:r>
      <w:r>
        <w:fldChar w:fldCharType="separate"/>
      </w:r>
      <w:r>
        <w:rPr>
          <w:rFonts w:hint="eastAsia"/>
        </w:rPr>
        <w:t>六、类似项目业绩表</w:t>
      </w:r>
      <w:r>
        <w:tab/>
      </w:r>
      <w:r>
        <w:fldChar w:fldCharType="begin"/>
      </w:r>
      <w:r>
        <w:instrText xml:space="preserve"> PAGEREF _Toc22112 \h </w:instrText>
      </w:r>
      <w:r>
        <w:fldChar w:fldCharType="separate"/>
      </w:r>
      <w:r>
        <w:t>53</w:t>
      </w:r>
      <w:r>
        <w:fldChar w:fldCharType="end"/>
      </w:r>
      <w:r>
        <w:fldChar w:fldCharType="end"/>
      </w:r>
    </w:p>
    <w:p>
      <w:pPr>
        <w:pStyle w:val="15"/>
        <w:tabs>
          <w:tab w:val="right" w:leader="dot" w:pos="9746"/>
        </w:tabs>
      </w:pPr>
      <w:r>
        <w:fldChar w:fldCharType="begin"/>
      </w:r>
      <w:r>
        <w:instrText xml:space="preserve"> HYPERLINK \l "_Toc16868" </w:instrText>
      </w:r>
      <w:r>
        <w:fldChar w:fldCharType="separate"/>
      </w:r>
      <w:r>
        <w:rPr>
          <w:rFonts w:hint="eastAsia"/>
        </w:rPr>
        <w:t>七、拟投入本项目的检测人员一览表</w:t>
      </w:r>
      <w:r>
        <w:tab/>
      </w:r>
      <w:r>
        <w:fldChar w:fldCharType="begin"/>
      </w:r>
      <w:r>
        <w:instrText xml:space="preserve"> PAGEREF _Toc16868 \h </w:instrText>
      </w:r>
      <w:r>
        <w:fldChar w:fldCharType="separate"/>
      </w:r>
      <w:r>
        <w:t>54</w:t>
      </w:r>
      <w:r>
        <w:fldChar w:fldCharType="end"/>
      </w:r>
      <w:r>
        <w:fldChar w:fldCharType="end"/>
      </w:r>
    </w:p>
    <w:p>
      <w:pPr>
        <w:pStyle w:val="15"/>
        <w:tabs>
          <w:tab w:val="right" w:leader="dot" w:pos="9746"/>
        </w:tabs>
      </w:pPr>
      <w:r>
        <w:fldChar w:fldCharType="begin"/>
      </w:r>
      <w:r>
        <w:instrText xml:space="preserve"> HYPERLINK \l "_Toc26704" </w:instrText>
      </w:r>
      <w:r>
        <w:fldChar w:fldCharType="separate"/>
      </w:r>
      <w:r>
        <w:rPr>
          <w:rFonts w:hint="eastAsia"/>
        </w:rPr>
        <w:t>八、拟投入本项目的检测人员简历表</w:t>
      </w:r>
      <w:r>
        <w:tab/>
      </w:r>
      <w:r>
        <w:fldChar w:fldCharType="begin"/>
      </w:r>
      <w:r>
        <w:instrText xml:space="preserve"> PAGEREF _Toc26704 \h </w:instrText>
      </w:r>
      <w:r>
        <w:fldChar w:fldCharType="separate"/>
      </w:r>
      <w:r>
        <w:t>55</w:t>
      </w:r>
      <w:r>
        <w:fldChar w:fldCharType="end"/>
      </w:r>
      <w:r>
        <w:fldChar w:fldCharType="end"/>
      </w:r>
    </w:p>
    <w:p>
      <w:pPr>
        <w:pStyle w:val="15"/>
        <w:tabs>
          <w:tab w:val="right" w:leader="dot" w:pos="9746"/>
        </w:tabs>
      </w:pPr>
      <w:r>
        <w:fldChar w:fldCharType="begin"/>
      </w:r>
      <w:r>
        <w:instrText xml:space="preserve"> HYPERLINK \l "_Toc11350" </w:instrText>
      </w:r>
      <w:r>
        <w:fldChar w:fldCharType="separate"/>
      </w:r>
      <w:r>
        <w:rPr>
          <w:rFonts w:hint="eastAsia"/>
        </w:rPr>
        <w:t>九、拟投入本项目的主要检测仪器设备一览表</w:t>
      </w:r>
      <w:r>
        <w:tab/>
      </w:r>
      <w:r>
        <w:fldChar w:fldCharType="begin"/>
      </w:r>
      <w:r>
        <w:instrText xml:space="preserve"> PAGEREF _Toc11350 \h </w:instrText>
      </w:r>
      <w:r>
        <w:fldChar w:fldCharType="separate"/>
      </w:r>
      <w:r>
        <w:t>56</w:t>
      </w:r>
      <w:r>
        <w:fldChar w:fldCharType="end"/>
      </w:r>
      <w:r>
        <w:fldChar w:fldCharType="end"/>
      </w:r>
    </w:p>
    <w:p>
      <w:pPr>
        <w:pStyle w:val="15"/>
        <w:tabs>
          <w:tab w:val="right" w:leader="dot" w:pos="9746"/>
        </w:tabs>
      </w:pPr>
      <w:r>
        <w:fldChar w:fldCharType="begin"/>
      </w:r>
      <w:r>
        <w:instrText xml:space="preserve"> HYPERLINK \l "_Toc9171" </w:instrText>
      </w:r>
      <w:r>
        <w:fldChar w:fldCharType="separate"/>
      </w:r>
      <w:r>
        <w:rPr>
          <w:rFonts w:hint="eastAsia"/>
        </w:rPr>
        <w:t>十、检测方案</w:t>
      </w:r>
      <w:r>
        <w:tab/>
      </w:r>
      <w:r>
        <w:fldChar w:fldCharType="begin"/>
      </w:r>
      <w:r>
        <w:instrText xml:space="preserve"> PAGEREF _Toc9171 \h </w:instrText>
      </w:r>
      <w:r>
        <w:fldChar w:fldCharType="separate"/>
      </w:r>
      <w:r>
        <w:t>57</w:t>
      </w:r>
      <w:r>
        <w:fldChar w:fldCharType="end"/>
      </w:r>
      <w:r>
        <w:fldChar w:fldCharType="end"/>
      </w:r>
    </w:p>
    <w:p>
      <w:pPr>
        <w:pStyle w:val="15"/>
        <w:tabs>
          <w:tab w:val="right" w:leader="dot" w:pos="9746"/>
        </w:tabs>
      </w:pPr>
      <w:r>
        <w:fldChar w:fldCharType="begin"/>
      </w:r>
      <w:r>
        <w:instrText xml:space="preserve"> HYPERLINK \l "_Toc30307" </w:instrText>
      </w:r>
      <w:r>
        <w:fldChar w:fldCharType="separate"/>
      </w:r>
      <w:r>
        <w:rPr>
          <w:rFonts w:hint="eastAsia"/>
          <w:bCs/>
        </w:rPr>
        <w:t>格式自定。</w:t>
      </w:r>
      <w:r>
        <w:rPr>
          <w:rFonts w:hint="eastAsia"/>
        </w:rPr>
        <w:t>十一、其他资料</w:t>
      </w:r>
      <w:r>
        <w:tab/>
      </w:r>
      <w:r>
        <w:fldChar w:fldCharType="begin"/>
      </w:r>
      <w:r>
        <w:instrText xml:space="preserve"> PAGEREF _Toc30307 \h </w:instrText>
      </w:r>
      <w:r>
        <w:fldChar w:fldCharType="separate"/>
      </w:r>
      <w:r>
        <w:t>57</w:t>
      </w:r>
      <w:r>
        <w:fldChar w:fldCharType="end"/>
      </w:r>
      <w:r>
        <w:fldChar w:fldCharType="end"/>
      </w:r>
    </w:p>
    <w:p>
      <w:pPr>
        <w:pStyle w:val="22"/>
        <w:tabs>
          <w:tab w:val="right" w:leader="dot" w:pos="9746"/>
        </w:tabs>
      </w:pPr>
      <w:r>
        <w:fldChar w:fldCharType="begin"/>
      </w:r>
      <w:r>
        <w:instrText xml:space="preserve"> HYPERLINK \l "_Toc2184" </w:instrText>
      </w:r>
      <w:r>
        <w:fldChar w:fldCharType="separate"/>
      </w:r>
      <w:r>
        <w:rPr>
          <w:rFonts w:hint="eastAsia" w:cs="宋体"/>
        </w:rPr>
        <w:t>第七章</w:t>
      </w:r>
      <w:r>
        <w:t xml:space="preserve">  </w:t>
      </w:r>
      <w:r>
        <w:rPr>
          <w:rFonts w:hint="eastAsia" w:cs="宋体"/>
        </w:rPr>
        <w:t>工程量清单</w:t>
      </w:r>
      <w:r>
        <w:tab/>
      </w:r>
      <w:r>
        <w:fldChar w:fldCharType="begin"/>
      </w:r>
      <w:r>
        <w:instrText xml:space="preserve"> PAGEREF _Toc2184 \h </w:instrText>
      </w:r>
      <w:r>
        <w:fldChar w:fldCharType="separate"/>
      </w:r>
      <w:r>
        <w:t>59</w:t>
      </w:r>
      <w:r>
        <w:fldChar w:fldCharType="end"/>
      </w:r>
      <w:r>
        <w:fldChar w:fldCharType="end"/>
      </w:r>
    </w:p>
    <w:p>
      <w:pPr>
        <w:spacing w:line="360" w:lineRule="auto"/>
        <w:ind w:firstLine="420" w:firstLineChars="200"/>
        <w:rPr>
          <w:rFonts w:ascii="宋体" w:hAnsi="宋体"/>
        </w:rPr>
      </w:pPr>
      <w:r>
        <w:rPr>
          <w:rFonts w:ascii="宋体" w:hAnsi="宋体"/>
          <w:szCs w:val="28"/>
        </w:rPr>
        <w:fldChar w:fldCharType="end"/>
      </w:r>
      <w:r>
        <w:rPr>
          <w:rFonts w:ascii="宋体" w:hAnsi="宋体"/>
        </w:rPr>
        <w:br w:type="page"/>
      </w:r>
    </w:p>
    <w:p>
      <w:pPr>
        <w:pStyle w:val="3"/>
        <w:ind w:firstLine="470"/>
      </w:pPr>
      <w:bookmarkStart w:id="3" w:name="_Toc11772"/>
      <w:r>
        <w:rPr>
          <w:rFonts w:hint="eastAsia"/>
        </w:rPr>
        <w:t>第一卷</w:t>
      </w:r>
      <w:bookmarkEnd w:id="3"/>
    </w:p>
    <w:p>
      <w:pPr>
        <w:pStyle w:val="3"/>
        <w:rPr>
          <w:sz w:val="28"/>
        </w:rPr>
      </w:pPr>
      <w:bookmarkStart w:id="4" w:name="_Toc29404"/>
      <w:bookmarkStart w:id="5" w:name="_Toc533357306"/>
      <w:r>
        <w:rPr>
          <w:rFonts w:hint="eastAsia"/>
        </w:rPr>
        <w:t>第一章  招标公告</w:t>
      </w:r>
      <w:bookmarkEnd w:id="4"/>
    </w:p>
    <w:p>
      <w:pPr>
        <w:spacing w:line="360" w:lineRule="auto"/>
        <w:jc w:val="center"/>
        <w:rPr>
          <w:rFonts w:ascii="宋体" w:hAnsi="宋体"/>
          <w:sz w:val="24"/>
          <w:szCs w:val="24"/>
        </w:rPr>
      </w:pPr>
      <w:r>
        <w:rPr>
          <w:rFonts w:hint="eastAsia" w:ascii="宋体" w:hAnsi="宋体"/>
          <w:bCs/>
          <w:sz w:val="24"/>
          <w:szCs w:val="24"/>
        </w:rPr>
        <w:t>（另册）</w:t>
      </w:r>
    </w:p>
    <w:p>
      <w:pPr>
        <w:spacing w:line="360" w:lineRule="auto"/>
        <w:ind w:left="3986" w:firstLine="421"/>
        <w:rPr>
          <w:rFonts w:ascii="宋体" w:hAnsi="宋体"/>
        </w:rPr>
      </w:pPr>
    </w:p>
    <w:p>
      <w:pPr>
        <w:pStyle w:val="3"/>
        <w:rPr>
          <w:sz w:val="28"/>
        </w:rPr>
      </w:pPr>
      <w:bookmarkStart w:id="6" w:name="_Toc511557031"/>
      <w:bookmarkStart w:id="7" w:name="_Toc514099629"/>
      <w:r>
        <w:rPr>
          <w:rFonts w:hint="eastAsia"/>
        </w:rPr>
        <w:br w:type="page"/>
      </w:r>
      <w:bookmarkEnd w:id="5"/>
      <w:bookmarkEnd w:id="6"/>
      <w:bookmarkEnd w:id="7"/>
      <w:bookmarkStart w:id="8" w:name="_Toc384308188"/>
      <w:bookmarkEnd w:id="8"/>
      <w:bookmarkStart w:id="9" w:name="_Toc369531497"/>
      <w:bookmarkEnd w:id="9"/>
      <w:bookmarkStart w:id="10" w:name="_Toc247513935"/>
      <w:bookmarkEnd w:id="10"/>
      <w:bookmarkStart w:id="11" w:name="_Toc144974480"/>
      <w:bookmarkEnd w:id="11"/>
      <w:bookmarkStart w:id="12" w:name="_Toc144974481"/>
      <w:bookmarkEnd w:id="12"/>
      <w:bookmarkStart w:id="13" w:name="_Toc352691456"/>
      <w:bookmarkEnd w:id="13"/>
      <w:bookmarkStart w:id="14" w:name="_Toc152045513"/>
      <w:bookmarkEnd w:id="14"/>
      <w:bookmarkStart w:id="15" w:name="_Toc369531495"/>
      <w:bookmarkEnd w:id="15"/>
      <w:bookmarkStart w:id="16" w:name="_Toc247527535"/>
      <w:bookmarkEnd w:id="16"/>
      <w:bookmarkStart w:id="17" w:name="_Toc152045512"/>
      <w:bookmarkEnd w:id="17"/>
      <w:bookmarkStart w:id="18" w:name="_Toc152042289"/>
      <w:bookmarkEnd w:id="18"/>
      <w:bookmarkStart w:id="19" w:name="_Toc30817"/>
      <w:bookmarkEnd w:id="19"/>
      <w:bookmarkStart w:id="20" w:name="_Toc369531498"/>
      <w:bookmarkEnd w:id="20"/>
      <w:bookmarkStart w:id="21" w:name="_Toc384308185"/>
      <w:bookmarkEnd w:id="21"/>
      <w:bookmarkStart w:id="22" w:name="_Toc300834927"/>
      <w:bookmarkEnd w:id="22"/>
      <w:bookmarkStart w:id="23" w:name="_Toc247513934"/>
      <w:bookmarkEnd w:id="23"/>
      <w:bookmarkStart w:id="24" w:name="_Toc352691453"/>
      <w:bookmarkEnd w:id="24"/>
      <w:bookmarkStart w:id="25" w:name="_Toc361508560"/>
      <w:bookmarkEnd w:id="25"/>
      <w:bookmarkStart w:id="26" w:name="_Toc17972"/>
      <w:bookmarkEnd w:id="26"/>
      <w:bookmarkStart w:id="27" w:name="_Toc384308187"/>
      <w:bookmarkEnd w:id="27"/>
      <w:bookmarkStart w:id="28" w:name="_Toc300834930"/>
      <w:bookmarkEnd w:id="28"/>
      <w:bookmarkStart w:id="29" w:name="_Toc361508562"/>
      <w:bookmarkEnd w:id="29"/>
      <w:bookmarkStart w:id="30" w:name="_Toc247527536"/>
      <w:bookmarkEnd w:id="30"/>
      <w:bookmarkStart w:id="31" w:name="_Toc300834929"/>
      <w:bookmarkEnd w:id="31"/>
      <w:bookmarkStart w:id="32" w:name="_Toc152042288"/>
      <w:bookmarkEnd w:id="32"/>
      <w:bookmarkStart w:id="33" w:name="_Toc352691455"/>
      <w:bookmarkEnd w:id="33"/>
      <w:bookmarkStart w:id="34" w:name="_Toc10785"/>
      <w:bookmarkEnd w:id="34"/>
      <w:bookmarkStart w:id="35" w:name="_Toc361508563"/>
      <w:bookmarkEnd w:id="35"/>
      <w:bookmarkStart w:id="36" w:name="_Toc14062"/>
      <w:r>
        <w:rPr>
          <w:rFonts w:hint="eastAsia"/>
        </w:rPr>
        <w:t>第二章  投标人须知</w:t>
      </w:r>
      <w:bookmarkEnd w:id="36"/>
    </w:p>
    <w:p>
      <w:pPr>
        <w:pStyle w:val="4"/>
        <w:rPr>
          <w:rFonts w:ascii="宋体" w:hAnsi="宋体"/>
        </w:rPr>
      </w:pPr>
      <w:bookmarkStart w:id="37" w:name="_Toc16663"/>
      <w:bookmarkStart w:id="38" w:name="_Toc533357307"/>
      <w:r>
        <w:rPr>
          <w:rFonts w:hint="eastAsia" w:ascii="宋体" w:hAnsi="宋体"/>
        </w:rPr>
        <w:t>投标人须知前附表</w:t>
      </w:r>
      <w:bookmarkEnd w:id="37"/>
      <w:bookmarkEnd w:id="38"/>
    </w:p>
    <w:tbl>
      <w:tblPr>
        <w:tblStyle w:val="28"/>
        <w:tblpPr w:leftFromText="180" w:rightFromText="180" w:vertAnchor="text" w:horzAnchor="page" w:tblpX="1001"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pPr>
              <w:snapToGrid w:val="0"/>
              <w:spacing w:line="276" w:lineRule="auto"/>
              <w:jc w:val="center"/>
              <w:rPr>
                <w:rFonts w:ascii="宋体" w:hAnsi="宋体"/>
                <w:b/>
                <w:szCs w:val="21"/>
              </w:rPr>
            </w:pPr>
            <w:r>
              <w:rPr>
                <w:rFonts w:hint="eastAsia" w:ascii="宋体" w:hAnsi="宋体"/>
                <w:b/>
                <w:szCs w:val="21"/>
              </w:rPr>
              <w:t>条款号</w:t>
            </w:r>
          </w:p>
        </w:tc>
        <w:tc>
          <w:tcPr>
            <w:tcW w:w="2160" w:type="dxa"/>
            <w:tcBorders>
              <w:top w:val="single" w:color="auto" w:sz="4" w:space="0"/>
            </w:tcBorders>
            <w:vAlign w:val="center"/>
          </w:tcPr>
          <w:p>
            <w:pPr>
              <w:snapToGrid w:val="0"/>
              <w:spacing w:line="276" w:lineRule="auto"/>
              <w:jc w:val="center"/>
              <w:rPr>
                <w:rFonts w:ascii="宋体" w:hAnsi="宋体"/>
                <w:b/>
                <w:szCs w:val="21"/>
              </w:rPr>
            </w:pPr>
            <w:r>
              <w:rPr>
                <w:rFonts w:hint="eastAsia" w:ascii="宋体" w:hAnsi="宋体"/>
                <w:b/>
                <w:szCs w:val="21"/>
              </w:rPr>
              <w:t>条款名称</w:t>
            </w:r>
          </w:p>
        </w:tc>
        <w:tc>
          <w:tcPr>
            <w:tcW w:w="7200" w:type="dxa"/>
            <w:tcBorders>
              <w:top w:val="single" w:color="auto" w:sz="4" w:space="0"/>
            </w:tcBorders>
            <w:vAlign w:val="center"/>
          </w:tcPr>
          <w:p>
            <w:pPr>
              <w:snapToGrid w:val="0"/>
              <w:spacing w:line="276"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招标人</w:t>
            </w:r>
          </w:p>
        </w:tc>
        <w:tc>
          <w:tcPr>
            <w:tcW w:w="7200" w:type="dxa"/>
            <w:vAlign w:val="center"/>
          </w:tcPr>
          <w:p>
            <w:pPr>
              <w:spacing w:line="276" w:lineRule="auto"/>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广州工控智谷文化投资有限公司</w:t>
            </w:r>
          </w:p>
          <w:p>
            <w:pPr>
              <w:spacing w:line="276" w:lineRule="auto"/>
              <w:ind w:left="630" w:hanging="630" w:hangingChars="300"/>
              <w:rPr>
                <w:rFonts w:ascii="宋体" w:hAnsi="宋体"/>
                <w:szCs w:val="21"/>
                <w:u w:val="single"/>
              </w:rPr>
            </w:pPr>
            <w:r>
              <w:rPr>
                <w:rFonts w:hint="eastAsia" w:ascii="宋体" w:hAnsi="宋体" w:cs="宋体"/>
                <w:szCs w:val="21"/>
              </w:rPr>
              <w:t>地址：</w:t>
            </w:r>
            <w:r>
              <w:rPr>
                <w:rFonts w:hint="eastAsia" w:ascii="宋体" w:hAnsi="宋体"/>
                <w:szCs w:val="21"/>
                <w:u w:val="single"/>
              </w:rPr>
              <w:t>广州市黄埔区香山路17号办公楼4层403房</w:t>
            </w:r>
          </w:p>
          <w:p>
            <w:pPr>
              <w:spacing w:line="276" w:lineRule="auto"/>
              <w:rPr>
                <w:rFonts w:ascii="宋体" w:hAnsi="宋体" w:cs="宋体"/>
                <w:szCs w:val="21"/>
              </w:rPr>
            </w:pPr>
            <w:r>
              <w:rPr>
                <w:rFonts w:hint="eastAsia" w:ascii="宋体" w:hAnsi="宋体" w:cs="宋体"/>
                <w:szCs w:val="21"/>
              </w:rPr>
              <w:t>联系人：</w:t>
            </w:r>
            <w:r>
              <w:rPr>
                <w:rFonts w:hint="eastAsia" w:ascii="宋体" w:hAnsi="宋体" w:cs="宋体"/>
                <w:szCs w:val="21"/>
                <w:u w:val="single"/>
              </w:rPr>
              <w:t>薛工</w:t>
            </w:r>
          </w:p>
          <w:p>
            <w:pPr>
              <w:snapToGrid w:val="0"/>
              <w:spacing w:line="276" w:lineRule="auto"/>
              <w:rPr>
                <w:rFonts w:ascii="宋体" w:hAnsi="宋体"/>
              </w:rPr>
            </w:pPr>
            <w:r>
              <w:rPr>
                <w:rFonts w:hint="eastAsia" w:ascii="宋体" w:hAnsi="宋体" w:cs="宋体"/>
                <w:szCs w:val="21"/>
              </w:rPr>
              <w:t>电话：</w:t>
            </w:r>
            <w:r>
              <w:rPr>
                <w:rFonts w:hint="eastAsia" w:ascii="宋体" w:hAnsi="宋体" w:cs="宋体"/>
                <w:szCs w:val="21"/>
                <w:u w:val="single"/>
              </w:rPr>
              <w:t>020-31700613</w:t>
            </w:r>
          </w:p>
          <w:p>
            <w:pPr>
              <w:rPr>
                <w:rFonts w:ascii="宋体" w:hAnsi="宋体"/>
              </w:rPr>
            </w:pPr>
            <w:r>
              <w:rPr>
                <w:rFonts w:hint="eastAsia" w:ascii="宋体" w:hAnsi="宋体"/>
              </w:rPr>
              <w:t>项目代建单位：</w:t>
            </w:r>
            <w:r>
              <w:rPr>
                <w:rFonts w:hint="eastAsia" w:ascii="宋体" w:hAnsi="宋体"/>
                <w:u w:val="single"/>
              </w:rPr>
              <w:t>广州开发区建设投资有限公司</w:t>
            </w:r>
          </w:p>
          <w:p>
            <w:pPr>
              <w:rPr>
                <w:rFonts w:ascii="宋体" w:hAnsi="宋体"/>
              </w:rPr>
            </w:pPr>
            <w:r>
              <w:rPr>
                <w:rFonts w:hint="eastAsia" w:ascii="宋体" w:hAnsi="宋体"/>
              </w:rPr>
              <w:t>地址：</w:t>
            </w:r>
            <w:r>
              <w:rPr>
                <w:rFonts w:hint="eastAsia" w:ascii="宋体" w:hAnsi="宋体"/>
                <w:u w:val="single"/>
              </w:rPr>
              <w:t>广州市黄埔区科学大道235号1001房之1003、1006室</w:t>
            </w:r>
          </w:p>
          <w:p>
            <w:pPr>
              <w:rPr>
                <w:rFonts w:ascii="宋体" w:hAnsi="宋体"/>
              </w:rPr>
            </w:pPr>
            <w:r>
              <w:rPr>
                <w:rFonts w:hint="eastAsia" w:ascii="宋体" w:hAnsi="宋体"/>
              </w:rPr>
              <w:t>联系人：</w:t>
            </w:r>
            <w:r>
              <w:rPr>
                <w:rFonts w:hint="eastAsia" w:ascii="宋体" w:hAnsi="宋体"/>
                <w:u w:val="single"/>
              </w:rPr>
              <w:t>张工</w:t>
            </w:r>
          </w:p>
          <w:p>
            <w:pPr>
              <w:snapToGrid w:val="0"/>
              <w:spacing w:line="276" w:lineRule="auto"/>
              <w:rPr>
                <w:rFonts w:ascii="宋体" w:hAnsi="宋体" w:cs="宋体"/>
                <w:szCs w:val="21"/>
              </w:rPr>
            </w:pPr>
            <w:r>
              <w:rPr>
                <w:rFonts w:hint="eastAsia" w:ascii="宋体" w:hAnsi="宋体"/>
              </w:rPr>
              <w:t>电话：</w:t>
            </w:r>
            <w:r>
              <w:rPr>
                <w:rFonts w:hint="eastAsia" w:ascii="宋体" w:hAnsi="宋体"/>
                <w:u w:val="single"/>
              </w:rPr>
              <w:t>020-31604469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招标代理机构</w:t>
            </w:r>
          </w:p>
        </w:tc>
        <w:tc>
          <w:tcPr>
            <w:tcW w:w="7200" w:type="dxa"/>
            <w:vAlign w:val="center"/>
          </w:tcPr>
          <w:p>
            <w:pPr>
              <w:spacing w:line="276" w:lineRule="auto"/>
              <w:rPr>
                <w:rFonts w:ascii="宋体" w:hAnsi="宋体" w:cs="宋体"/>
                <w:szCs w:val="21"/>
              </w:rPr>
            </w:pPr>
            <w:r>
              <w:rPr>
                <w:rFonts w:hint="eastAsia" w:ascii="宋体" w:hAnsi="宋体" w:cs="宋体"/>
                <w:szCs w:val="21"/>
              </w:rPr>
              <w:t>名称：</w:t>
            </w:r>
            <w:r>
              <w:rPr>
                <w:rFonts w:hint="eastAsia" w:ascii="宋体" w:hAnsi="宋体" w:cs="宋体"/>
                <w:szCs w:val="21"/>
                <w:u w:val="single"/>
              </w:rPr>
              <w:t>广州粤信工程项目管理有限公司</w:t>
            </w:r>
          </w:p>
          <w:p>
            <w:pPr>
              <w:spacing w:line="276" w:lineRule="auto"/>
              <w:rPr>
                <w:rFonts w:ascii="宋体" w:hAnsi="宋体" w:cs="宋体"/>
                <w:szCs w:val="21"/>
                <w:u w:val="single"/>
              </w:rPr>
            </w:pPr>
            <w:r>
              <w:rPr>
                <w:rFonts w:hint="eastAsia" w:ascii="宋体" w:hAnsi="宋体" w:cs="宋体"/>
                <w:szCs w:val="21"/>
              </w:rPr>
              <w:t>地址：</w:t>
            </w:r>
            <w:r>
              <w:rPr>
                <w:rFonts w:hint="eastAsia" w:ascii="宋体" w:hAnsi="宋体"/>
                <w:szCs w:val="21"/>
                <w:u w:val="single"/>
              </w:rPr>
              <w:t>广州市增城区新塘镇国贸中心四街40号二楼201房</w:t>
            </w:r>
          </w:p>
          <w:p>
            <w:pPr>
              <w:snapToGrid w:val="0"/>
              <w:spacing w:line="276" w:lineRule="auto"/>
              <w:jc w:val="left"/>
              <w:rPr>
                <w:rFonts w:ascii="宋体" w:hAnsi="宋体"/>
                <w:szCs w:val="21"/>
                <w:u w:val="single"/>
              </w:rPr>
            </w:pPr>
            <w:r>
              <w:rPr>
                <w:rFonts w:hint="eastAsia" w:ascii="宋体" w:hAnsi="宋体" w:cs="宋体"/>
                <w:szCs w:val="21"/>
              </w:rPr>
              <w:t>联系人：</w:t>
            </w:r>
            <w:r>
              <w:rPr>
                <w:rFonts w:hint="eastAsia" w:ascii="宋体" w:hAnsi="宋体"/>
                <w:szCs w:val="21"/>
                <w:u w:val="single"/>
              </w:rPr>
              <w:t>陈工</w:t>
            </w:r>
          </w:p>
          <w:p>
            <w:pPr>
              <w:snapToGrid w:val="0"/>
              <w:spacing w:line="276" w:lineRule="auto"/>
              <w:rPr>
                <w:rFonts w:ascii="宋体" w:hAnsi="宋体"/>
                <w:szCs w:val="21"/>
              </w:rPr>
            </w:pPr>
            <w:r>
              <w:rPr>
                <w:rFonts w:hint="eastAsia" w:ascii="宋体" w:hAnsi="宋体"/>
                <w:szCs w:val="21"/>
              </w:rPr>
              <w:t>电话：</w:t>
            </w:r>
            <w:r>
              <w:rPr>
                <w:rFonts w:hint="eastAsia" w:ascii="宋体" w:hAnsi="宋体"/>
                <w:szCs w:val="21"/>
                <w:u w:val="single"/>
              </w:rPr>
              <w:t>020-82889983/18666551627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1.1.4</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招标项目名称</w:t>
            </w:r>
          </w:p>
        </w:tc>
        <w:tc>
          <w:tcPr>
            <w:tcW w:w="7200" w:type="dxa"/>
            <w:vAlign w:val="center"/>
          </w:tcPr>
          <w:p>
            <w:pPr>
              <w:snapToGrid w:val="0"/>
              <w:spacing w:line="276" w:lineRule="auto"/>
              <w:jc w:val="left"/>
              <w:rPr>
                <w:rFonts w:ascii="宋体" w:hAnsi="宋体"/>
                <w:szCs w:val="21"/>
                <w:u w:val="single"/>
              </w:rPr>
            </w:pPr>
            <w:r>
              <w:rPr>
                <w:rFonts w:hint="eastAsia" w:ascii="宋体" w:hAnsi="宋体"/>
                <w:szCs w:val="21"/>
                <w:u w:val="single"/>
              </w:rPr>
              <w:t>广州国际智谷总部中心项目第三方检测服务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1.1.5</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项目建设地点</w:t>
            </w:r>
          </w:p>
        </w:tc>
        <w:tc>
          <w:tcPr>
            <w:tcW w:w="7200" w:type="dxa"/>
            <w:vAlign w:val="center"/>
          </w:tcPr>
          <w:p>
            <w:pPr>
              <w:snapToGrid w:val="0"/>
              <w:spacing w:line="276" w:lineRule="auto"/>
              <w:jc w:val="left"/>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1.1.6</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项目建设规模</w:t>
            </w:r>
          </w:p>
        </w:tc>
        <w:tc>
          <w:tcPr>
            <w:tcW w:w="7200" w:type="dxa"/>
            <w:vAlign w:val="center"/>
          </w:tcPr>
          <w:p>
            <w:pPr>
              <w:snapToGrid w:val="0"/>
              <w:spacing w:line="276" w:lineRule="auto"/>
              <w:ind w:right="106"/>
              <w:jc w:val="left"/>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1.1.7</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工程项目施工预计开工日期和建设周期</w:t>
            </w:r>
          </w:p>
        </w:tc>
        <w:tc>
          <w:tcPr>
            <w:tcW w:w="7200" w:type="dxa"/>
            <w:vAlign w:val="center"/>
          </w:tcPr>
          <w:p>
            <w:pPr>
              <w:snapToGrid w:val="0"/>
              <w:spacing w:line="276" w:lineRule="auto"/>
              <w:rPr>
                <w:rFonts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1.1.8</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建筑安装工程费</w:t>
            </w:r>
            <w:r>
              <w:rPr>
                <w:rFonts w:ascii="宋体" w:hAnsi="宋体"/>
                <w:szCs w:val="21"/>
              </w:rPr>
              <w:t>/</w:t>
            </w:r>
            <w:r>
              <w:rPr>
                <w:rFonts w:hint="eastAsia" w:ascii="宋体" w:hAnsi="宋体"/>
                <w:szCs w:val="21"/>
              </w:rPr>
              <w:t>工程概算</w:t>
            </w:r>
          </w:p>
        </w:tc>
        <w:tc>
          <w:tcPr>
            <w:tcW w:w="7200" w:type="dxa"/>
            <w:vAlign w:val="center"/>
          </w:tcPr>
          <w:p>
            <w:pPr>
              <w:snapToGrid w:val="0"/>
              <w:spacing w:line="276" w:lineRule="auto"/>
              <w:jc w:val="left"/>
              <w:rPr>
                <w:rFonts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1.2.1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资金来源及比例</w:t>
            </w:r>
          </w:p>
        </w:tc>
        <w:tc>
          <w:tcPr>
            <w:tcW w:w="7200" w:type="dxa"/>
            <w:vAlign w:val="center"/>
          </w:tcPr>
          <w:p>
            <w:pPr>
              <w:snapToGrid w:val="0"/>
              <w:spacing w:line="276" w:lineRule="auto"/>
              <w:jc w:val="left"/>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1.2.2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资金落实情况</w:t>
            </w:r>
          </w:p>
        </w:tc>
        <w:tc>
          <w:tcPr>
            <w:tcW w:w="7200" w:type="dxa"/>
            <w:vAlign w:val="center"/>
          </w:tcPr>
          <w:p>
            <w:pPr>
              <w:snapToGrid w:val="0"/>
              <w:spacing w:line="276" w:lineRule="auto"/>
              <w:jc w:val="left"/>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1.3.1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招标范围</w:t>
            </w:r>
          </w:p>
        </w:tc>
        <w:tc>
          <w:tcPr>
            <w:tcW w:w="7200" w:type="dxa"/>
            <w:vAlign w:val="center"/>
          </w:tcPr>
          <w:p>
            <w:pPr>
              <w:snapToGrid w:val="0"/>
              <w:spacing w:line="276" w:lineRule="auto"/>
              <w:ind w:right="106"/>
              <w:jc w:val="left"/>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1.3.2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服务期</w:t>
            </w:r>
          </w:p>
        </w:tc>
        <w:tc>
          <w:tcPr>
            <w:tcW w:w="7200" w:type="dxa"/>
            <w:vAlign w:val="center"/>
          </w:tcPr>
          <w:p>
            <w:pPr>
              <w:snapToGrid w:val="0"/>
              <w:spacing w:line="276" w:lineRule="auto"/>
              <w:ind w:right="106"/>
              <w:jc w:val="left"/>
              <w:rPr>
                <w:rFonts w:ascii="宋体" w:hAnsi="宋体"/>
                <w:szCs w:val="21"/>
                <w:u w:val="single"/>
              </w:rPr>
            </w:pPr>
            <w:r>
              <w:rPr>
                <w:rFonts w:hint="eastAsia" w:ascii="宋体" w:hAnsi="宋体"/>
                <w:szCs w:val="21"/>
                <w:u w:val="single"/>
              </w:rPr>
              <w:t>从中标单位进场至所有服务项目完成，服务周期必须满足实际施工及竣工验收要求。进场日期以招标人通知时间为准。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1.3.3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质量标准</w:t>
            </w:r>
          </w:p>
        </w:tc>
        <w:tc>
          <w:tcPr>
            <w:tcW w:w="7200" w:type="dxa"/>
            <w:vAlign w:val="center"/>
          </w:tcPr>
          <w:p>
            <w:pPr>
              <w:pStyle w:val="26"/>
              <w:snapToGrid w:val="0"/>
              <w:spacing w:line="276" w:lineRule="auto"/>
              <w:ind w:firstLine="0"/>
              <w:rPr>
                <w:rFonts w:ascii="宋体" w:hAnsi="宋体" w:cs="宋体"/>
                <w:szCs w:val="21"/>
              </w:rPr>
            </w:pPr>
            <w:r>
              <w:rPr>
                <w:rFonts w:hint="eastAsia" w:ascii="宋体" w:hAnsi="宋体"/>
                <w:szCs w:val="21"/>
              </w:rPr>
              <w:t>符合国家及省、市有关检测标准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1.4.1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投标人资质条件、能力、信誉</w:t>
            </w:r>
          </w:p>
        </w:tc>
        <w:tc>
          <w:tcPr>
            <w:tcW w:w="7200" w:type="dxa"/>
            <w:vAlign w:val="center"/>
          </w:tcPr>
          <w:p>
            <w:pPr>
              <w:snapToGrid w:val="0"/>
              <w:spacing w:line="276" w:lineRule="auto"/>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）资质要求：见招标公告投标人资格要求。</w:t>
            </w:r>
          </w:p>
          <w:p>
            <w:pPr>
              <w:snapToGrid w:val="0"/>
              <w:spacing w:line="276" w:lineRule="auto"/>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）财务要求：</w:t>
            </w:r>
            <w:r>
              <w:rPr>
                <w:rFonts w:ascii="宋体" w:hAnsi="宋体" w:cs="宋体"/>
                <w:szCs w:val="21"/>
              </w:rPr>
              <w:t>/</w:t>
            </w:r>
          </w:p>
          <w:p>
            <w:pPr>
              <w:snapToGrid w:val="0"/>
              <w:spacing w:line="276" w:lineRule="auto"/>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）业绩要求：</w:t>
            </w:r>
            <w:r>
              <w:rPr>
                <w:rFonts w:ascii="宋体" w:hAnsi="宋体"/>
                <w:szCs w:val="21"/>
              </w:rPr>
              <w:t>/</w:t>
            </w:r>
          </w:p>
          <w:p>
            <w:pPr>
              <w:snapToGrid w:val="0"/>
              <w:spacing w:line="276" w:lineRule="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）信誉要求：</w:t>
            </w:r>
            <w:r>
              <w:rPr>
                <w:rFonts w:ascii="宋体" w:hAnsi="宋体" w:cs="宋体"/>
                <w:szCs w:val="21"/>
              </w:rPr>
              <w:t>/</w:t>
            </w:r>
          </w:p>
          <w:p>
            <w:pPr>
              <w:snapToGrid w:val="0"/>
              <w:spacing w:line="276" w:lineRule="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）项目负责人的资格要求：见招标公告投标人资格要求。</w:t>
            </w:r>
          </w:p>
          <w:p>
            <w:pPr>
              <w:snapToGrid w:val="0"/>
              <w:spacing w:line="276" w:lineRule="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）其他主要人员要求：</w:t>
            </w:r>
            <w:r>
              <w:rPr>
                <w:rFonts w:ascii="宋体" w:hAnsi="宋体"/>
                <w:szCs w:val="21"/>
              </w:rPr>
              <w:t>/</w:t>
            </w:r>
            <w:r>
              <w:rPr>
                <w:rFonts w:hint="eastAsia" w:ascii="宋体" w:hAnsi="宋体"/>
                <w:szCs w:val="21"/>
              </w:rPr>
              <w:t>。</w:t>
            </w:r>
          </w:p>
          <w:p>
            <w:pPr>
              <w:snapToGrid w:val="0"/>
              <w:spacing w:line="276" w:lineRule="auto"/>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）试验检测仪器设备要求：</w:t>
            </w:r>
            <w:r>
              <w:rPr>
                <w:rFonts w:ascii="宋体" w:hAnsi="宋体" w:cs="宋体"/>
                <w:szCs w:val="21"/>
              </w:rPr>
              <w:t>/</w:t>
            </w:r>
            <w:r>
              <w:rPr>
                <w:rFonts w:hint="eastAsia" w:ascii="宋体" w:hAnsi="宋体" w:cs="宋体"/>
                <w:szCs w:val="21"/>
              </w:rPr>
              <w:t>。</w:t>
            </w:r>
          </w:p>
          <w:p>
            <w:pPr>
              <w:snapToGrid w:val="0"/>
              <w:spacing w:line="276" w:lineRule="auto"/>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1.4.2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是否接受联合体投标</w:t>
            </w:r>
          </w:p>
        </w:tc>
        <w:tc>
          <w:tcPr>
            <w:tcW w:w="7200" w:type="dxa"/>
            <w:vAlign w:val="center"/>
          </w:tcPr>
          <w:p>
            <w:pPr>
              <w:snapToGrid w:val="0"/>
              <w:spacing w:line="276" w:lineRule="auto"/>
              <w:ind w:right="-238"/>
              <w:rPr>
                <w:rFonts w:ascii="宋体" w:hAnsi="宋体"/>
                <w:szCs w:val="21"/>
              </w:rPr>
            </w:pPr>
            <w:r>
              <w:rPr>
                <w:rFonts w:hint="eastAsia" w:ascii="宋体" w:hAnsi="宋体"/>
                <w:spacing w:val="-1"/>
                <w:szCs w:val="21"/>
              </w:rPr>
              <w:t>■</w:t>
            </w:r>
            <w:r>
              <w:rPr>
                <w:rFonts w:hint="eastAsia" w:ascii="宋体" w:hAnsi="宋体" w:cs="宋体"/>
                <w:position w:val="3"/>
                <w:szCs w:val="21"/>
              </w:rPr>
              <w:t>不接受</w:t>
            </w:r>
          </w:p>
          <w:p>
            <w:pPr>
              <w:spacing w:line="276" w:lineRule="auto"/>
              <w:rPr>
                <w:rFonts w:ascii="宋体" w:hAnsi="宋体"/>
                <w:szCs w:val="21"/>
              </w:rPr>
            </w:pPr>
            <w:r>
              <w:rPr>
                <w:rFonts w:hint="eastAsia" w:ascii="宋体" w:hAnsi="宋体"/>
                <w:szCs w:val="21"/>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1.4.3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投标人不得存在的其他情形</w:t>
            </w:r>
          </w:p>
        </w:tc>
        <w:tc>
          <w:tcPr>
            <w:tcW w:w="7200" w:type="dxa"/>
            <w:vAlign w:val="center"/>
          </w:tcPr>
          <w:p>
            <w:pPr>
              <w:topLinePunct/>
              <w:snapToGrid w:val="0"/>
              <w:spacing w:line="276" w:lineRule="auto"/>
              <w:rPr>
                <w:rFonts w:ascii="宋体" w:hAnsi="宋体"/>
                <w:szCs w:val="21"/>
                <w:u w:val="single"/>
              </w:rPr>
            </w:pPr>
            <w:r>
              <w:rPr>
                <w:rFonts w:hint="eastAsia" w:ascii="宋体" w:hAnsi="宋体"/>
                <w:szCs w:val="21"/>
                <w:u w:val="single"/>
              </w:rPr>
              <w:t>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1.9.1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踏勘现场</w:t>
            </w:r>
          </w:p>
        </w:tc>
        <w:tc>
          <w:tcPr>
            <w:tcW w:w="7200" w:type="dxa"/>
            <w:vAlign w:val="center"/>
          </w:tcPr>
          <w:p>
            <w:pPr>
              <w:pStyle w:val="11"/>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不组织，</w:t>
            </w:r>
            <w:r>
              <w:rPr>
                <w:rFonts w:hint="eastAsia" w:hAnsi="宋体"/>
                <w:sz w:val="21"/>
                <w:szCs w:val="21"/>
                <w:u w:val="single"/>
              </w:rPr>
              <w:t>由投标人自行现场考察。</w:t>
            </w:r>
          </w:p>
          <w:p>
            <w:pPr>
              <w:pStyle w:val="11"/>
              <w:topLinePunct/>
              <w:snapToGrid w:val="0"/>
              <w:spacing w:line="276" w:lineRule="auto"/>
              <w:rPr>
                <w:rFonts w:hAnsi="宋体"/>
                <w:sz w:val="21"/>
                <w:szCs w:val="21"/>
              </w:rPr>
            </w:pPr>
            <w:r>
              <w:rPr>
                <w:rFonts w:hint="eastAsia" w:hAnsi="宋体"/>
                <w:sz w:val="21"/>
                <w:szCs w:val="21"/>
              </w:rPr>
              <w:t>□组织，踏勘时间：</w:t>
            </w:r>
            <w:r>
              <w:rPr>
                <w:rFonts w:hAnsi="宋体"/>
                <w:sz w:val="21"/>
                <w:szCs w:val="21"/>
              </w:rPr>
              <w:t>/</w:t>
            </w:r>
          </w:p>
          <w:p>
            <w:pPr>
              <w:pStyle w:val="11"/>
              <w:topLinePunct/>
              <w:snapToGrid w:val="0"/>
              <w:spacing w:line="276" w:lineRule="auto"/>
              <w:ind w:firstLine="840" w:firstLineChars="400"/>
              <w:rPr>
                <w:rFonts w:hAnsi="宋体"/>
                <w:sz w:val="21"/>
                <w:szCs w:val="21"/>
              </w:rPr>
            </w:pPr>
            <w:r>
              <w:rPr>
                <w:rFonts w:hint="eastAsia" w:hAnsi="宋体"/>
                <w:sz w:val="21"/>
                <w:szCs w:val="21"/>
              </w:rPr>
              <w:t>踏勘集中地点：</w:t>
            </w:r>
            <w:r>
              <w:rPr>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1.10.1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投标预备会</w:t>
            </w:r>
          </w:p>
        </w:tc>
        <w:tc>
          <w:tcPr>
            <w:tcW w:w="7200" w:type="dxa"/>
            <w:vAlign w:val="center"/>
          </w:tcPr>
          <w:p>
            <w:pPr>
              <w:pStyle w:val="11"/>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不召开</w:t>
            </w:r>
          </w:p>
          <w:p>
            <w:pPr>
              <w:snapToGrid w:val="0"/>
              <w:spacing w:line="276" w:lineRule="auto"/>
              <w:rPr>
                <w:rFonts w:ascii="宋体" w:hAnsi="宋体"/>
                <w:szCs w:val="21"/>
              </w:rPr>
            </w:pPr>
            <w:r>
              <w:rPr>
                <w:rFonts w:hint="eastAsia" w:ascii="宋体" w:hAnsi="宋体"/>
                <w:szCs w:val="21"/>
              </w:rPr>
              <w:t>□召开，召开时间：</w:t>
            </w:r>
            <w:r>
              <w:rPr>
                <w:rFonts w:ascii="宋体" w:hAnsi="宋体"/>
                <w:szCs w:val="21"/>
                <w:u w:val="single"/>
              </w:rPr>
              <w:t xml:space="preserve"> / </w:t>
            </w:r>
          </w:p>
          <w:p>
            <w:pPr>
              <w:snapToGrid w:val="0"/>
              <w:spacing w:line="276" w:lineRule="auto"/>
              <w:ind w:firstLine="840" w:firstLineChars="400"/>
              <w:rPr>
                <w:rFonts w:ascii="宋体" w:hAnsi="宋体"/>
                <w:szCs w:val="21"/>
              </w:rPr>
            </w:pPr>
            <w:r>
              <w:rPr>
                <w:rFonts w:hint="eastAsia" w:ascii="宋体" w:hAnsi="宋体"/>
                <w:szCs w:val="21"/>
              </w:rPr>
              <w:t>召开地点：</w:t>
            </w:r>
            <w:r>
              <w:rPr>
                <w:rFonts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szCs w:val="21"/>
              </w:rPr>
            </w:pPr>
            <w:r>
              <w:rPr>
                <w:rFonts w:ascii="宋体" w:hAnsi="宋体"/>
                <w:szCs w:val="21"/>
              </w:rPr>
              <w:t>1.10.2</w:t>
            </w:r>
          </w:p>
        </w:tc>
        <w:tc>
          <w:tcPr>
            <w:tcW w:w="2160" w:type="dxa"/>
            <w:vMerge w:val="restart"/>
            <w:vAlign w:val="center"/>
          </w:tcPr>
          <w:p>
            <w:pPr>
              <w:snapToGrid w:val="0"/>
              <w:spacing w:line="276" w:lineRule="auto"/>
              <w:jc w:val="center"/>
              <w:rPr>
                <w:rFonts w:ascii="宋体" w:hAnsi="宋体"/>
                <w:szCs w:val="21"/>
              </w:rPr>
            </w:pPr>
            <w:r>
              <w:rPr>
                <w:rFonts w:hint="eastAsia" w:ascii="宋体" w:hAnsi="宋体"/>
                <w:szCs w:val="21"/>
              </w:rPr>
              <w:t>投标人在投标预备会前提出问题</w:t>
            </w:r>
          </w:p>
        </w:tc>
        <w:tc>
          <w:tcPr>
            <w:tcW w:w="7200" w:type="dxa"/>
            <w:vAlign w:val="center"/>
          </w:tcPr>
          <w:p>
            <w:pPr>
              <w:snapToGrid w:val="0"/>
              <w:spacing w:line="276" w:lineRule="auto"/>
              <w:rPr>
                <w:rFonts w:ascii="宋体" w:hAnsi="宋体"/>
                <w:szCs w:val="21"/>
              </w:rPr>
            </w:pPr>
            <w:r>
              <w:rPr>
                <w:rFonts w:hint="eastAsia" w:ascii="宋体" w:hAnsi="宋体"/>
                <w:szCs w:val="21"/>
              </w:rPr>
              <w:t>时间：</w:t>
            </w:r>
            <w:r>
              <w:rPr>
                <w:rFonts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szCs w:val="21"/>
              </w:rPr>
            </w:pPr>
          </w:p>
        </w:tc>
        <w:tc>
          <w:tcPr>
            <w:tcW w:w="2160" w:type="dxa"/>
            <w:vMerge w:val="continue"/>
            <w:vAlign w:val="center"/>
          </w:tcPr>
          <w:p>
            <w:pPr>
              <w:snapToGrid w:val="0"/>
              <w:spacing w:line="276" w:lineRule="auto"/>
              <w:jc w:val="center"/>
              <w:rPr>
                <w:rFonts w:ascii="宋体" w:hAnsi="宋体"/>
                <w:szCs w:val="21"/>
              </w:rPr>
            </w:pPr>
          </w:p>
        </w:tc>
        <w:tc>
          <w:tcPr>
            <w:tcW w:w="7200" w:type="dxa"/>
            <w:vAlign w:val="center"/>
          </w:tcPr>
          <w:p>
            <w:pPr>
              <w:snapToGrid w:val="0"/>
              <w:spacing w:line="276" w:lineRule="auto"/>
              <w:rPr>
                <w:rFonts w:ascii="宋体" w:hAnsi="宋体"/>
                <w:szCs w:val="21"/>
              </w:rPr>
            </w:pPr>
            <w:r>
              <w:rPr>
                <w:rFonts w:hint="eastAsia" w:ascii="宋体" w:hAnsi="宋体"/>
                <w:szCs w:val="21"/>
              </w:rPr>
              <w:t>形式：</w:t>
            </w:r>
            <w:r>
              <w:rPr>
                <w:rFonts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1.10.3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招标文件澄清发出的形式</w:t>
            </w:r>
          </w:p>
        </w:tc>
        <w:tc>
          <w:tcPr>
            <w:tcW w:w="7200" w:type="dxa"/>
            <w:vAlign w:val="center"/>
          </w:tcPr>
          <w:p>
            <w:pPr>
              <w:snapToGrid w:val="0"/>
              <w:spacing w:line="276" w:lineRule="auto"/>
              <w:rPr>
                <w:rFonts w:ascii="宋体" w:hAnsi="宋体"/>
                <w:szCs w:val="21"/>
              </w:rPr>
            </w:pPr>
            <w:r>
              <w:rPr>
                <w:rFonts w:ascii="宋体" w:hAnsi="宋体"/>
                <w:szCs w:val="21"/>
                <w:u w:val="single"/>
              </w:rPr>
              <w:t xml:space="preserve">/ </w:t>
            </w:r>
            <w:r>
              <w:rPr>
                <w:rFonts w:ascii="宋体" w:hAnsi="宋体"/>
                <w:szCs w:val="21"/>
              </w:rPr>
              <w:t xml:space="preserve"> </w:t>
            </w:r>
            <w:r>
              <w:rPr>
                <w:rFonts w:hint="eastAsia" w:ascii="宋体" w:hAnsi="宋体"/>
                <w:szCs w:val="21"/>
              </w:rPr>
              <w:t>（此为投标预备会的答疑澄清）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1.12.1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实质性要求和条件</w:t>
            </w:r>
          </w:p>
        </w:tc>
        <w:tc>
          <w:tcPr>
            <w:tcW w:w="7200" w:type="dxa"/>
            <w:vAlign w:val="center"/>
          </w:tcPr>
          <w:p>
            <w:pPr>
              <w:pStyle w:val="11"/>
              <w:topLinePunct/>
              <w:snapToGrid w:val="0"/>
              <w:spacing w:line="276" w:lineRule="auto"/>
              <w:rPr>
                <w:rFonts w:hAnsi="宋体"/>
                <w:sz w:val="21"/>
                <w:szCs w:val="21"/>
              </w:rPr>
            </w:pPr>
            <w:r>
              <w:rPr>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1.12.3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偏差</w:t>
            </w:r>
          </w:p>
        </w:tc>
        <w:tc>
          <w:tcPr>
            <w:tcW w:w="7200" w:type="dxa"/>
            <w:vAlign w:val="center"/>
          </w:tcPr>
          <w:p>
            <w:pPr>
              <w:snapToGrid w:val="0"/>
              <w:spacing w:line="276" w:lineRule="auto"/>
              <w:rPr>
                <w:rFonts w:ascii="宋体" w:hAnsi="宋体"/>
                <w:szCs w:val="21"/>
              </w:rPr>
            </w:pPr>
            <w:r>
              <w:rPr>
                <w:rFonts w:hint="eastAsia" w:ascii="宋体" w:hAnsi="宋体"/>
                <w:spacing w:val="-1"/>
                <w:szCs w:val="21"/>
              </w:rPr>
              <w:t>■</w:t>
            </w:r>
            <w:r>
              <w:rPr>
                <w:rFonts w:hint="eastAsia" w:ascii="宋体" w:hAnsi="宋体"/>
                <w:szCs w:val="21"/>
              </w:rPr>
              <w:t>不允许</w:t>
            </w:r>
          </w:p>
          <w:p>
            <w:pPr>
              <w:pStyle w:val="11"/>
              <w:topLinePunct/>
              <w:snapToGrid w:val="0"/>
              <w:spacing w:line="276" w:lineRule="auto"/>
              <w:rPr>
                <w:rFonts w:hAnsi="宋体"/>
                <w:sz w:val="21"/>
                <w:szCs w:val="21"/>
              </w:rPr>
            </w:pPr>
            <w:r>
              <w:rPr>
                <w:rFonts w:hint="eastAsia" w:hAnsi="宋体"/>
                <w:sz w:val="21"/>
                <w:szCs w:val="21"/>
              </w:rPr>
              <w:t>□允许，偏差范围：</w:t>
            </w:r>
            <w:r>
              <w:rPr>
                <w:rFonts w:hAnsi="宋体"/>
                <w:sz w:val="21"/>
                <w:szCs w:val="21"/>
              </w:rPr>
              <w:t>/</w:t>
            </w:r>
          </w:p>
          <w:p>
            <w:pPr>
              <w:pStyle w:val="11"/>
              <w:topLinePunct/>
              <w:snapToGrid w:val="0"/>
              <w:spacing w:line="276" w:lineRule="auto"/>
              <w:ind w:firstLine="840" w:firstLineChars="400"/>
              <w:rPr>
                <w:rFonts w:hAnsi="宋体"/>
                <w:sz w:val="21"/>
                <w:szCs w:val="21"/>
              </w:rPr>
            </w:pPr>
            <w:r>
              <w:rPr>
                <w:rFonts w:hint="eastAsia" w:hAnsi="宋体"/>
                <w:sz w:val="21"/>
                <w:szCs w:val="21"/>
              </w:rPr>
              <w:t>偏差幅度：</w:t>
            </w:r>
            <w:r>
              <w:rPr>
                <w:rFonts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2.1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构成招标文件的其他资料</w:t>
            </w:r>
          </w:p>
        </w:tc>
        <w:tc>
          <w:tcPr>
            <w:tcW w:w="7200" w:type="dxa"/>
            <w:vAlign w:val="center"/>
          </w:tcPr>
          <w:p>
            <w:pPr>
              <w:snapToGrid w:val="0"/>
              <w:spacing w:line="276" w:lineRule="auto"/>
              <w:rPr>
                <w:rFonts w:ascii="宋体" w:hAnsi="宋体"/>
                <w:szCs w:val="21"/>
              </w:rPr>
            </w:pPr>
            <w:r>
              <w:rPr>
                <w:rFonts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szCs w:val="21"/>
              </w:rPr>
            </w:pPr>
            <w:r>
              <w:rPr>
                <w:rFonts w:ascii="宋体" w:hAnsi="宋体"/>
                <w:szCs w:val="21"/>
              </w:rPr>
              <w:t>2.2.1</w:t>
            </w:r>
          </w:p>
        </w:tc>
        <w:tc>
          <w:tcPr>
            <w:tcW w:w="2160" w:type="dxa"/>
            <w:vMerge w:val="restart"/>
            <w:vAlign w:val="center"/>
          </w:tcPr>
          <w:p>
            <w:pPr>
              <w:snapToGrid w:val="0"/>
              <w:spacing w:line="276" w:lineRule="auto"/>
              <w:jc w:val="center"/>
              <w:rPr>
                <w:rFonts w:ascii="宋体" w:hAnsi="宋体"/>
                <w:szCs w:val="21"/>
              </w:rPr>
            </w:pPr>
            <w:r>
              <w:rPr>
                <w:rFonts w:hint="eastAsia" w:ascii="宋体" w:hAnsi="宋体"/>
                <w:szCs w:val="21"/>
              </w:rPr>
              <w:t>投标人要求澄清招标文件</w:t>
            </w:r>
          </w:p>
        </w:tc>
        <w:tc>
          <w:tcPr>
            <w:tcW w:w="7200" w:type="dxa"/>
            <w:vAlign w:val="center"/>
          </w:tcPr>
          <w:p>
            <w:pPr>
              <w:snapToGrid w:val="0"/>
              <w:spacing w:line="276" w:lineRule="auto"/>
              <w:rPr>
                <w:rFonts w:ascii="宋体" w:hAnsi="宋体"/>
                <w:szCs w:val="21"/>
              </w:rPr>
            </w:pPr>
            <w:r>
              <w:rPr>
                <w:rFonts w:hint="eastAsia" w:ascii="宋体" w:hAnsi="宋体"/>
                <w:szCs w:val="21"/>
              </w:rPr>
              <w:t>时间：投标人在递交投标文件截止时间</w:t>
            </w:r>
            <w:r>
              <w:rPr>
                <w:rFonts w:ascii="宋体" w:hAnsi="宋体"/>
                <w:szCs w:val="21"/>
              </w:rPr>
              <w:t>18</w:t>
            </w:r>
            <w:r>
              <w:rPr>
                <w:rFonts w:hint="eastAsia" w:ascii="宋体" w:hAnsi="宋体"/>
                <w:szCs w:val="21"/>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szCs w:val="21"/>
              </w:rPr>
            </w:pPr>
          </w:p>
        </w:tc>
        <w:tc>
          <w:tcPr>
            <w:tcW w:w="2160" w:type="dxa"/>
            <w:vMerge w:val="continue"/>
            <w:vAlign w:val="center"/>
          </w:tcPr>
          <w:p>
            <w:pPr>
              <w:snapToGrid w:val="0"/>
              <w:spacing w:line="276" w:lineRule="auto"/>
              <w:jc w:val="center"/>
              <w:rPr>
                <w:rFonts w:ascii="宋体" w:hAnsi="宋体"/>
                <w:szCs w:val="21"/>
              </w:rPr>
            </w:pPr>
          </w:p>
        </w:tc>
        <w:tc>
          <w:tcPr>
            <w:tcW w:w="7200" w:type="dxa"/>
            <w:vAlign w:val="center"/>
          </w:tcPr>
          <w:p>
            <w:pPr>
              <w:pStyle w:val="26"/>
              <w:snapToGrid w:val="0"/>
              <w:spacing w:line="276" w:lineRule="auto"/>
              <w:ind w:right="174" w:rightChars="83" w:firstLine="0"/>
              <w:rPr>
                <w:rFonts w:ascii="宋体" w:hAnsi="宋体" w:cs="宋体"/>
                <w:szCs w:val="21"/>
              </w:rPr>
            </w:pPr>
            <w:r>
              <w:rPr>
                <w:rFonts w:hint="eastAsia" w:ascii="宋体" w:hAnsi="宋体"/>
                <w:szCs w:val="21"/>
              </w:rPr>
              <w:t>形式：</w:t>
            </w:r>
            <w:r>
              <w:rPr>
                <w:rFonts w:hint="eastAsia" w:ascii="宋体" w:hAnsi="宋体" w:cs="宋体"/>
                <w:szCs w:val="21"/>
              </w:rPr>
              <w:t>招标答疑采用网上答疑方式进行。投标人若对招标文件（包括图纸、合同版本、最高投标限价等）有疑问的，可在规定的时间内通过广州交易集团有限公司（广州公共资源交易中心）网站将问题提交给招标人或招标代理人。</w:t>
            </w:r>
          </w:p>
          <w:p>
            <w:pPr>
              <w:pStyle w:val="26"/>
              <w:snapToGrid w:val="0"/>
              <w:spacing w:line="276" w:lineRule="auto"/>
              <w:ind w:right="174" w:rightChars="83" w:firstLine="0"/>
              <w:rPr>
                <w:rFonts w:ascii="宋体" w:hAnsi="宋体" w:cs="宋体"/>
                <w:szCs w:val="21"/>
              </w:rPr>
            </w:pPr>
            <w:r>
              <w:rPr>
                <w:rFonts w:hint="eastAsia" w:ascii="宋体" w:hAnsi="宋体" w:cs="宋体"/>
                <w:szCs w:val="21"/>
              </w:rPr>
              <w:t>网上答疑的操作指南为：登陆广州交易集团有限公司（广州公共资源交易中心）网站-&gt;进入“我是投标人（供应商）”-&gt;“我的投标”-&gt;“招标答疑提问”查询项目并提问。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2.2.2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招标文件澄清发出的形式</w:t>
            </w:r>
          </w:p>
        </w:tc>
        <w:tc>
          <w:tcPr>
            <w:tcW w:w="7200" w:type="dxa"/>
            <w:vAlign w:val="center"/>
          </w:tcPr>
          <w:p>
            <w:pPr>
              <w:snapToGrid w:val="0"/>
              <w:spacing w:line="276" w:lineRule="auto"/>
              <w:rPr>
                <w:rFonts w:ascii="宋体" w:hAnsi="宋体"/>
                <w:szCs w:val="21"/>
              </w:rPr>
            </w:pPr>
            <w:r>
              <w:rPr>
                <w:rFonts w:hint="eastAsia" w:ascii="宋体" w:hAnsi="宋体"/>
                <w:szCs w:val="21"/>
              </w:rPr>
              <w:t>在递交投标文件截止时间</w:t>
            </w:r>
            <w:r>
              <w:rPr>
                <w:rFonts w:ascii="宋体" w:hAnsi="宋体"/>
                <w:szCs w:val="21"/>
              </w:rPr>
              <w:t>15</w:t>
            </w:r>
            <w:r>
              <w:rPr>
                <w:rFonts w:hint="eastAsia" w:ascii="宋体" w:hAnsi="宋体"/>
                <w:szCs w:val="21"/>
              </w:rPr>
              <w:t>天前；在广州交易集团有限公司（广州公共资源交易中心）网站通过项目答疑专区网上公开发布。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szCs w:val="21"/>
              </w:rPr>
            </w:pPr>
            <w:r>
              <w:rPr>
                <w:rFonts w:ascii="宋体" w:hAnsi="宋体"/>
                <w:szCs w:val="21"/>
              </w:rPr>
              <w:t>2.2.3</w:t>
            </w:r>
          </w:p>
        </w:tc>
        <w:tc>
          <w:tcPr>
            <w:tcW w:w="2160" w:type="dxa"/>
            <w:vMerge w:val="restart"/>
            <w:vAlign w:val="center"/>
          </w:tcPr>
          <w:p>
            <w:pPr>
              <w:snapToGrid w:val="0"/>
              <w:spacing w:line="276" w:lineRule="auto"/>
              <w:jc w:val="center"/>
              <w:rPr>
                <w:rFonts w:ascii="宋体" w:hAnsi="宋体"/>
                <w:szCs w:val="21"/>
              </w:rPr>
            </w:pPr>
            <w:r>
              <w:rPr>
                <w:rFonts w:hint="eastAsia" w:ascii="宋体" w:hAnsi="宋体"/>
                <w:szCs w:val="21"/>
              </w:rPr>
              <w:t>投标人确认收到招标文件澄清</w:t>
            </w:r>
          </w:p>
        </w:tc>
        <w:tc>
          <w:tcPr>
            <w:tcW w:w="7200" w:type="dxa"/>
            <w:vAlign w:val="center"/>
          </w:tcPr>
          <w:p>
            <w:pPr>
              <w:spacing w:line="276" w:lineRule="auto"/>
              <w:rPr>
                <w:rFonts w:ascii="宋体" w:hAnsi="宋体"/>
                <w:szCs w:val="21"/>
              </w:rPr>
            </w:pPr>
            <w:r>
              <w:rPr>
                <w:rFonts w:hint="eastAsia" w:ascii="宋体" w:hAnsi="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szCs w:val="21"/>
              </w:rPr>
            </w:pPr>
          </w:p>
        </w:tc>
        <w:tc>
          <w:tcPr>
            <w:tcW w:w="2160" w:type="dxa"/>
            <w:vMerge w:val="continue"/>
            <w:vAlign w:val="center"/>
          </w:tcPr>
          <w:p>
            <w:pPr>
              <w:snapToGrid w:val="0"/>
              <w:spacing w:line="276" w:lineRule="auto"/>
              <w:jc w:val="center"/>
              <w:rPr>
                <w:rFonts w:ascii="宋体" w:hAnsi="宋体"/>
                <w:szCs w:val="21"/>
              </w:rPr>
            </w:pPr>
          </w:p>
        </w:tc>
        <w:tc>
          <w:tcPr>
            <w:tcW w:w="7200" w:type="dxa"/>
            <w:vAlign w:val="center"/>
          </w:tcPr>
          <w:p>
            <w:pPr>
              <w:spacing w:line="276" w:lineRule="auto"/>
              <w:rPr>
                <w:rFonts w:ascii="宋体" w:hAnsi="宋体"/>
                <w:szCs w:val="21"/>
              </w:rPr>
            </w:pPr>
            <w:r>
              <w:rPr>
                <w:rFonts w:hint="eastAsia" w:ascii="宋体" w:hAnsi="宋体"/>
                <w:szCs w:val="21"/>
              </w:rPr>
              <w:t>形式：招标文件澄清（招标答疑纪要）一经在广州交易集团有限公司（广州公共资源交易中心）网站发布，视作已发放给所有投标人。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2.3.1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招标文件修改发出的形式</w:t>
            </w:r>
          </w:p>
        </w:tc>
        <w:tc>
          <w:tcPr>
            <w:tcW w:w="7200" w:type="dxa"/>
            <w:vAlign w:val="center"/>
          </w:tcPr>
          <w:p>
            <w:pPr>
              <w:snapToGrid w:val="0"/>
              <w:spacing w:line="276" w:lineRule="auto"/>
              <w:rPr>
                <w:rFonts w:ascii="宋体" w:hAnsi="宋体"/>
                <w:szCs w:val="21"/>
              </w:rPr>
            </w:pPr>
            <w:r>
              <w:rPr>
                <w:rFonts w:hint="eastAsia" w:ascii="宋体" w:hAnsi="宋体"/>
                <w:szCs w:val="21"/>
              </w:rPr>
              <w:t>以补充公告或项目答疑澄清的方式在广州交易集团有限公司（广州公共资源交易中心）网站发布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snapToGrid w:val="0"/>
              <w:spacing w:line="276" w:lineRule="auto"/>
              <w:jc w:val="center"/>
              <w:rPr>
                <w:rFonts w:ascii="宋体" w:hAnsi="宋体"/>
                <w:szCs w:val="21"/>
              </w:rPr>
            </w:pPr>
            <w:r>
              <w:rPr>
                <w:rFonts w:ascii="宋体" w:hAnsi="宋体"/>
                <w:szCs w:val="21"/>
              </w:rPr>
              <w:t>2.3.2</w:t>
            </w:r>
          </w:p>
        </w:tc>
        <w:tc>
          <w:tcPr>
            <w:tcW w:w="2160" w:type="dxa"/>
            <w:vMerge w:val="restart"/>
            <w:vAlign w:val="center"/>
          </w:tcPr>
          <w:p>
            <w:pPr>
              <w:snapToGrid w:val="0"/>
              <w:spacing w:line="276" w:lineRule="auto"/>
              <w:jc w:val="center"/>
              <w:rPr>
                <w:rFonts w:ascii="宋体" w:hAnsi="宋体"/>
                <w:szCs w:val="21"/>
              </w:rPr>
            </w:pPr>
            <w:r>
              <w:rPr>
                <w:rFonts w:hint="eastAsia" w:ascii="宋体" w:hAnsi="宋体"/>
                <w:szCs w:val="21"/>
              </w:rPr>
              <w:t>投标人确认收到招标文件修改</w:t>
            </w:r>
          </w:p>
        </w:tc>
        <w:tc>
          <w:tcPr>
            <w:tcW w:w="7200" w:type="dxa"/>
            <w:vAlign w:val="center"/>
          </w:tcPr>
          <w:p>
            <w:pPr>
              <w:spacing w:line="276" w:lineRule="auto"/>
              <w:rPr>
                <w:rFonts w:ascii="宋体" w:hAnsi="宋体"/>
                <w:szCs w:val="21"/>
              </w:rPr>
            </w:pPr>
            <w:r>
              <w:rPr>
                <w:rFonts w:hint="eastAsia" w:ascii="宋体" w:hAnsi="宋体"/>
                <w:szCs w:val="21"/>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snapToGrid w:val="0"/>
              <w:spacing w:line="276" w:lineRule="auto"/>
              <w:jc w:val="center"/>
              <w:rPr>
                <w:rFonts w:ascii="宋体" w:hAnsi="宋体"/>
                <w:szCs w:val="21"/>
              </w:rPr>
            </w:pPr>
          </w:p>
        </w:tc>
        <w:tc>
          <w:tcPr>
            <w:tcW w:w="2160" w:type="dxa"/>
            <w:vMerge w:val="continue"/>
            <w:vAlign w:val="center"/>
          </w:tcPr>
          <w:p>
            <w:pPr>
              <w:snapToGrid w:val="0"/>
              <w:spacing w:line="276" w:lineRule="auto"/>
              <w:jc w:val="center"/>
              <w:rPr>
                <w:rFonts w:ascii="宋体" w:hAnsi="宋体"/>
                <w:szCs w:val="21"/>
              </w:rPr>
            </w:pPr>
          </w:p>
        </w:tc>
        <w:tc>
          <w:tcPr>
            <w:tcW w:w="7200" w:type="dxa"/>
            <w:vAlign w:val="center"/>
          </w:tcPr>
          <w:p>
            <w:pPr>
              <w:spacing w:line="276" w:lineRule="auto"/>
              <w:rPr>
                <w:rFonts w:ascii="宋体" w:hAnsi="宋体"/>
                <w:szCs w:val="21"/>
              </w:rPr>
            </w:pPr>
            <w:r>
              <w:rPr>
                <w:rFonts w:hint="eastAsia" w:ascii="宋体" w:hAnsi="宋体"/>
                <w:szCs w:val="21"/>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3.1.1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构成投标文件的其他资料</w:t>
            </w:r>
          </w:p>
        </w:tc>
        <w:tc>
          <w:tcPr>
            <w:tcW w:w="7200" w:type="dxa"/>
            <w:vAlign w:val="center"/>
          </w:tcPr>
          <w:p>
            <w:pPr>
              <w:snapToGrid w:val="0"/>
              <w:spacing w:line="276" w:lineRule="auto"/>
              <w:rPr>
                <w:rFonts w:ascii="宋体" w:hAnsi="宋体"/>
                <w:szCs w:val="21"/>
              </w:rPr>
            </w:pPr>
            <w:r>
              <w:rPr>
                <w:rFonts w:hint="eastAsia" w:ascii="宋体" w:hAnsi="宋体"/>
                <w:szCs w:val="21"/>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3.2.1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增值税税金的计算方法</w:t>
            </w:r>
          </w:p>
        </w:tc>
        <w:tc>
          <w:tcPr>
            <w:tcW w:w="7200" w:type="dxa"/>
            <w:vAlign w:val="center"/>
          </w:tcPr>
          <w:p>
            <w:pPr>
              <w:snapToGrid w:val="0"/>
              <w:spacing w:line="276" w:lineRule="auto"/>
              <w:rPr>
                <w:rFonts w:ascii="宋体" w:hAnsi="宋体"/>
                <w:szCs w:val="21"/>
              </w:rPr>
            </w:pPr>
            <w:r>
              <w:rPr>
                <w:rFonts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3.2.3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报价方式</w:t>
            </w:r>
          </w:p>
        </w:tc>
        <w:tc>
          <w:tcPr>
            <w:tcW w:w="7200" w:type="dxa"/>
            <w:vAlign w:val="center"/>
          </w:tcPr>
          <w:p>
            <w:pPr>
              <w:snapToGrid w:val="0"/>
              <w:spacing w:line="276" w:lineRule="auto"/>
              <w:rPr>
                <w:rFonts w:ascii="宋体" w:hAnsi="宋体"/>
                <w:szCs w:val="21"/>
              </w:rPr>
            </w:pPr>
            <w:r>
              <w:rPr>
                <w:rFonts w:hint="eastAsia" w:ascii="宋体" w:hAnsi="宋体"/>
                <w:szCs w:val="21"/>
              </w:rPr>
              <w:t>自行报价。（以元为单位，保留两位小数，第三位小数四舍五入）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3.2.4</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最高投标限价</w:t>
            </w:r>
          </w:p>
        </w:tc>
        <w:tc>
          <w:tcPr>
            <w:tcW w:w="7200" w:type="dxa"/>
            <w:vAlign w:val="center"/>
          </w:tcPr>
          <w:p>
            <w:pPr>
              <w:snapToGrid w:val="0"/>
              <w:spacing w:line="276" w:lineRule="auto"/>
              <w:rPr>
                <w:rFonts w:ascii="宋体" w:hAnsi="宋体"/>
                <w:szCs w:val="21"/>
              </w:rPr>
            </w:pPr>
            <w:r>
              <w:rPr>
                <w:rFonts w:hint="eastAsia" w:ascii="宋体" w:hAnsi="宋体"/>
                <w:szCs w:val="21"/>
              </w:rPr>
              <w:t>□无</w:t>
            </w:r>
          </w:p>
          <w:p>
            <w:pPr>
              <w:tabs>
                <w:tab w:val="left" w:pos="7513"/>
              </w:tabs>
              <w:spacing w:line="276" w:lineRule="auto"/>
              <w:rPr>
                <w:rFonts w:ascii="宋体" w:hAnsi="宋体"/>
                <w:szCs w:val="21"/>
              </w:rPr>
            </w:pPr>
            <w:r>
              <w:rPr>
                <w:rFonts w:hint="eastAsia" w:ascii="宋体" w:hAnsi="宋体"/>
                <w:spacing w:val="-1"/>
                <w:szCs w:val="21"/>
              </w:rPr>
              <w:t>■</w:t>
            </w:r>
            <w:r>
              <w:rPr>
                <w:rFonts w:hint="eastAsia" w:ascii="宋体" w:hAnsi="宋体"/>
                <w:szCs w:val="21"/>
              </w:rPr>
              <w:t>有，最高投标限价：</w:t>
            </w:r>
            <w:r>
              <w:rPr>
                <w:rFonts w:hint="eastAsia" w:ascii="宋体" w:hAnsi="宋体" w:cs="宋体"/>
                <w:szCs w:val="21"/>
              </w:rPr>
              <w:t>人民币</w:t>
            </w:r>
            <w:r>
              <w:rPr>
                <w:rFonts w:hint="eastAsia" w:ascii="宋体" w:hAnsi="宋体" w:cs="宋体"/>
                <w:kern w:val="2"/>
                <w:sz w:val="21"/>
                <w:szCs w:val="21"/>
                <w:u w:val="single"/>
                <w:lang w:eastAsia="zh-CN"/>
              </w:rPr>
              <w:t>8699979.00</w:t>
            </w:r>
            <w:r>
              <w:rPr>
                <w:rFonts w:hint="eastAsia" w:ascii="宋体" w:hAnsi="宋体" w:cs="宋体"/>
                <w:kern w:val="2"/>
                <w:sz w:val="21"/>
                <w:szCs w:val="21"/>
              </w:rPr>
              <w:t>元</w:t>
            </w:r>
            <w:r>
              <w:rPr>
                <w:rFonts w:hint="eastAsia" w:ascii="宋体" w:hAnsi="宋体" w:cs="宋体"/>
                <w:szCs w:val="21"/>
              </w:rPr>
              <w:t>。</w:t>
            </w:r>
            <w:r>
              <w:rPr>
                <w:rFonts w:hint="eastAsia" w:ascii="宋体" w:hAnsi="宋体" w:cs="宋体"/>
                <w:szCs w:val="21"/>
                <w:u w:val="single"/>
              </w:rPr>
              <w:t>本招标项目实行双限价，投标文件中投标报价总价超过最高投标限价、投标综合单价超过相应分项综合单价最高投标限价的报价均为无效标。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3.2.5</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投标报价的其他要求</w:t>
            </w:r>
          </w:p>
        </w:tc>
        <w:tc>
          <w:tcPr>
            <w:tcW w:w="7200" w:type="dxa"/>
            <w:vAlign w:val="center"/>
          </w:tcPr>
          <w:p>
            <w:pPr>
              <w:pStyle w:val="27"/>
              <w:ind w:left="0" w:leftChars="0" w:firstLine="375" w:firstLineChars="179"/>
              <w:rPr>
                <w:rFonts w:ascii="宋体" w:hAnsi="宋体"/>
                <w:szCs w:val="21"/>
                <w:u w:val="single"/>
              </w:rPr>
            </w:pPr>
            <w:r>
              <w:rPr>
                <w:rFonts w:hint="eastAsia" w:ascii="宋体" w:hAnsi="宋体"/>
                <w:szCs w:val="21"/>
                <w:u w:val="single"/>
              </w:rPr>
              <w:t>投标人必须详细审阅全部招标文件，充分考虑职责和义务，全面地理解招标文件对投标报价的要求，并按招标人提出的条件及内容进行报价。</w:t>
            </w:r>
          </w:p>
          <w:p>
            <w:pPr>
              <w:pStyle w:val="27"/>
              <w:spacing w:after="0"/>
              <w:ind w:left="0" w:leftChars="0" w:firstLine="375" w:firstLineChars="179"/>
              <w:rPr>
                <w:rFonts w:ascii="宋体" w:hAnsi="宋体"/>
                <w:szCs w:val="21"/>
                <w:u w:val="single"/>
              </w:rPr>
            </w:pPr>
            <w:r>
              <w:rPr>
                <w:rFonts w:hint="eastAsia" w:ascii="宋体" w:hAnsi="宋体"/>
                <w:szCs w:val="21"/>
                <w:u w:val="single"/>
              </w:rPr>
              <w:t>一、各投标人自行报价，</w:t>
            </w:r>
            <w:r>
              <w:rPr>
                <w:rFonts w:hint="eastAsia" w:ascii="宋体" w:hAnsi="宋体" w:cs="宋体"/>
                <w:szCs w:val="21"/>
                <w:u w:val="single"/>
              </w:rPr>
              <w:t>投标文件中投标报价总价超过最高投标限价、投标综合单价超过相应分项综合单价最高投标限价的报价均为无效标。</w:t>
            </w:r>
          </w:p>
          <w:p>
            <w:pPr>
              <w:pStyle w:val="27"/>
              <w:spacing w:after="0"/>
              <w:ind w:left="0" w:leftChars="0" w:firstLine="375" w:firstLineChars="179"/>
              <w:rPr>
                <w:u w:val="single"/>
              </w:rPr>
            </w:pPr>
            <w:r>
              <w:rPr>
                <w:rFonts w:hint="eastAsia" w:ascii="宋体" w:hAnsi="宋体"/>
                <w:szCs w:val="21"/>
                <w:u w:val="single"/>
              </w:rPr>
              <w:t>二、 投标下浮率以最高投标限价为下浮基数。投标下浮率=</w:t>
            </w:r>
            <w:r>
              <w:rPr>
                <w:rFonts w:hint="eastAsia"/>
                <w:u w:val="single"/>
              </w:rPr>
              <w:t>（1-投标报价/最高投标限价）*100%</w:t>
            </w:r>
          </w:p>
          <w:p>
            <w:pPr>
              <w:pStyle w:val="27"/>
              <w:spacing w:after="0"/>
              <w:ind w:left="0" w:leftChars="0" w:firstLine="375" w:firstLineChars="179"/>
              <w:rPr>
                <w:rFonts w:ascii="宋体" w:hAnsi="宋体"/>
                <w:szCs w:val="21"/>
                <w:u w:val="single"/>
              </w:rPr>
            </w:pPr>
            <w:r>
              <w:rPr>
                <w:rFonts w:hint="eastAsia" w:ascii="宋体" w:hAnsi="宋体"/>
                <w:szCs w:val="21"/>
                <w:u w:val="single"/>
              </w:rPr>
              <w:t>三、投标综合单价已包括了为完成设计文件及有关规范要求的所有材料设备检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检测规范或相关文件规定的工程量，不予结算）。最终结算以建设单位（业主）或其授权委托单位审定结算价为准。</w:t>
            </w:r>
          </w:p>
          <w:p>
            <w:pPr>
              <w:pStyle w:val="27"/>
              <w:spacing w:after="0"/>
              <w:ind w:left="0" w:leftChars="0" w:firstLine="375" w:firstLineChars="179"/>
              <w:rPr>
                <w:rFonts w:ascii="宋体" w:hAnsi="宋体"/>
                <w:szCs w:val="21"/>
                <w:u w:val="single"/>
              </w:rPr>
            </w:pPr>
            <w:r>
              <w:rPr>
                <w:rFonts w:hint="eastAsia" w:ascii="宋体" w:hAnsi="宋体"/>
                <w:szCs w:val="21"/>
                <w:u w:val="single"/>
              </w:rPr>
              <w:t>四、成本警戒价为6959983.20元。（按最高投标限价的80%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3.3.1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投标有效期</w:t>
            </w:r>
          </w:p>
        </w:tc>
        <w:tc>
          <w:tcPr>
            <w:tcW w:w="7200" w:type="dxa"/>
            <w:vAlign w:val="center"/>
          </w:tcPr>
          <w:p>
            <w:pPr>
              <w:snapToGrid w:val="0"/>
              <w:spacing w:line="276" w:lineRule="auto"/>
              <w:rPr>
                <w:rFonts w:ascii="宋体" w:hAnsi="宋体"/>
                <w:szCs w:val="21"/>
                <w:u w:val="single"/>
              </w:rPr>
            </w:pPr>
            <w:r>
              <w:rPr>
                <w:rFonts w:ascii="宋体" w:hAnsi="宋体"/>
                <w:szCs w:val="21"/>
                <w:u w:val="single"/>
              </w:rPr>
              <w:t>90</w:t>
            </w:r>
            <w:r>
              <w:rPr>
                <w:rFonts w:hint="eastAsia" w:ascii="宋体" w:hAnsi="宋体"/>
                <w:szCs w:val="21"/>
                <w:u w:val="single"/>
              </w:rPr>
              <w:t>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3.4.1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投标保证金</w:t>
            </w:r>
          </w:p>
        </w:tc>
        <w:tc>
          <w:tcPr>
            <w:tcW w:w="7200" w:type="dxa"/>
            <w:vAlign w:val="center"/>
          </w:tcPr>
          <w:p>
            <w:pPr>
              <w:pStyle w:val="11"/>
              <w:spacing w:line="276" w:lineRule="auto"/>
              <w:rPr>
                <w:rFonts w:hAnsi="宋体"/>
                <w:sz w:val="21"/>
                <w:szCs w:val="21"/>
                <w:u w:val="single"/>
              </w:rPr>
            </w:pPr>
            <w:r>
              <w:rPr>
                <w:rFonts w:hint="eastAsia" w:hAnsi="宋体"/>
                <w:sz w:val="21"/>
                <w:szCs w:val="21"/>
                <w:u w:val="single"/>
              </w:rPr>
              <w:t>是否要求投标人递交投标保证金：</w:t>
            </w:r>
          </w:p>
          <w:p>
            <w:pPr>
              <w:pStyle w:val="11"/>
              <w:spacing w:line="276" w:lineRule="auto"/>
              <w:rPr>
                <w:rFonts w:hAnsi="宋体"/>
                <w:sz w:val="21"/>
                <w:szCs w:val="21"/>
                <w:u w:val="single"/>
              </w:rPr>
            </w:pPr>
            <w:r>
              <w:rPr>
                <w:rFonts w:hint="eastAsia" w:hAnsi="宋体"/>
                <w:sz w:val="21"/>
                <w:szCs w:val="21"/>
                <w:u w:val="single"/>
              </w:rPr>
              <w:t>□不要求</w:t>
            </w:r>
          </w:p>
          <w:p>
            <w:pPr>
              <w:pStyle w:val="11"/>
              <w:spacing w:line="276" w:lineRule="auto"/>
              <w:rPr>
                <w:rFonts w:hAnsi="宋体"/>
                <w:sz w:val="21"/>
                <w:szCs w:val="21"/>
                <w:u w:val="single"/>
              </w:rPr>
            </w:pPr>
            <w:r>
              <w:rPr>
                <w:rFonts w:hint="eastAsia" w:hAnsi="宋体"/>
                <w:sz w:val="21"/>
                <w:szCs w:val="21"/>
                <w:u w:val="single"/>
              </w:rPr>
              <w:t>■要求，投标保证金的形式：投标保证金可采用现金、支票、投标保证保险、投标保函（银行或专业担保公司出具）的形式，须在递交投标文件截止时间前完成缴纳。</w:t>
            </w:r>
          </w:p>
          <w:p>
            <w:pPr>
              <w:pStyle w:val="11"/>
              <w:spacing w:line="276" w:lineRule="auto"/>
              <w:rPr>
                <w:rFonts w:hAnsi="宋体"/>
                <w:b/>
                <w:sz w:val="21"/>
                <w:szCs w:val="21"/>
                <w:u w:val="single"/>
              </w:rPr>
            </w:pPr>
            <w:r>
              <w:rPr>
                <w:rFonts w:hint="eastAsia" w:hAnsi="宋体"/>
                <w:b/>
                <w:sz w:val="21"/>
                <w:szCs w:val="21"/>
                <w:u w:val="single"/>
              </w:rPr>
              <w:t>投标保证金额度：人民币</w:t>
            </w:r>
            <w:r>
              <w:rPr>
                <w:rFonts w:hAnsi="宋体"/>
                <w:b/>
                <w:sz w:val="21"/>
                <w:szCs w:val="21"/>
                <w:u w:val="single"/>
              </w:rPr>
              <w:t>5</w:t>
            </w:r>
            <w:r>
              <w:rPr>
                <w:rFonts w:hint="eastAsia" w:hAnsi="宋体"/>
                <w:b/>
                <w:sz w:val="21"/>
                <w:szCs w:val="21"/>
                <w:u w:val="single"/>
              </w:rPr>
              <w:t>万元</w:t>
            </w:r>
          </w:p>
          <w:p>
            <w:pPr>
              <w:spacing w:line="276" w:lineRule="auto"/>
              <w:rPr>
                <w:rFonts w:ascii="宋体" w:hAnsi="宋体" w:cs="宋体"/>
                <w:szCs w:val="21"/>
                <w:u w:val="single"/>
              </w:rPr>
            </w:pPr>
            <w:r>
              <w:rPr>
                <w:rFonts w:hint="eastAsia" w:ascii="宋体" w:hAnsi="宋体"/>
                <w:b/>
                <w:szCs w:val="21"/>
                <w:u w:val="single"/>
              </w:rPr>
              <w:t>投标保证金有效期：与投标有效期一致</w:t>
            </w:r>
          </w:p>
          <w:p>
            <w:pPr>
              <w:spacing w:line="288" w:lineRule="auto"/>
              <w:rPr>
                <w:rFonts w:ascii="宋体" w:hAnsi="宋体" w:cs="宋体"/>
                <w:szCs w:val="21"/>
                <w:u w:val="single"/>
              </w:rPr>
            </w:pPr>
            <w:r>
              <w:rPr>
                <w:rFonts w:hint="eastAsia" w:ascii="宋体" w:hAnsi="宋体" w:cs="宋体"/>
                <w:szCs w:val="21"/>
                <w:u w:val="single"/>
              </w:rPr>
              <w:t>1、投标保证金可采用转账、现金、支票、投标保函、投标保证保险的形式，须在递交投标文件截止时间前完成缴纳。联合体投标的，其投标担保由投标人递交。</w:t>
            </w:r>
          </w:p>
          <w:p>
            <w:pPr>
              <w:spacing w:line="288" w:lineRule="auto"/>
              <w:rPr>
                <w:rFonts w:ascii="宋体" w:hAnsi="宋体" w:cs="宋体"/>
                <w:szCs w:val="21"/>
                <w:u w:val="single"/>
              </w:rPr>
            </w:pPr>
            <w:r>
              <w:rPr>
                <w:rFonts w:hint="eastAsia" w:ascii="宋体" w:hAnsi="宋体" w:cs="宋体"/>
                <w:szCs w:val="21"/>
                <w:u w:val="single"/>
              </w:rPr>
              <w:t>2、如采用转账、现金或者支票形式提交的由广州交易集团有限公司（广州公共资源交易中心）代收。缴纳情况以广州交易集团有限公司（广州公共资源交易中心）查询为准（缴纳证明材料不需附进投标文件，开标时以广州交易集团有限公司（广州公共资源交易中心）数字交易平台查询为准）。</w:t>
            </w:r>
          </w:p>
          <w:p>
            <w:pPr>
              <w:spacing w:line="288" w:lineRule="auto"/>
              <w:rPr>
                <w:rFonts w:ascii="宋体" w:hAnsi="宋体" w:cs="宋体"/>
                <w:szCs w:val="21"/>
                <w:u w:val="single"/>
              </w:rPr>
            </w:pPr>
            <w:r>
              <w:rPr>
                <w:rFonts w:hint="eastAsia" w:ascii="宋体" w:hAnsi="宋体" w:cs="宋体"/>
                <w:szCs w:val="21"/>
                <w:u w:val="single"/>
              </w:rPr>
              <w:t>3、如采用投标保函或投标保证保险的形式提交的，在开标前不强制要求提交相关文本原件，但投标人应在投标文件中提交投标保函或投标保证保险文本的扫描件并加盖投标人电子印章。评审结束后，中标候选人应在中标候选人公示前提交其办理的投标保函、担保或投标保证保险扫描件并在网上予以公示。如投标人存在投标人须知3.4.4条款所列情形的，应将纸质原件提交给招标人。采用电子形式的保函或保证保险的，以广州交易集团有限公司（广州公共资源交易中心）的相关操作指引为准。</w:t>
            </w:r>
          </w:p>
          <w:p>
            <w:pPr>
              <w:spacing w:line="288" w:lineRule="auto"/>
              <w:rPr>
                <w:rFonts w:ascii="宋体" w:hAnsi="宋体" w:cs="宋体"/>
                <w:szCs w:val="21"/>
                <w:u w:val="single"/>
              </w:rPr>
            </w:pPr>
            <w:r>
              <w:rPr>
                <w:rFonts w:hint="eastAsia" w:ascii="宋体" w:hAnsi="宋体" w:cs="宋体"/>
                <w:szCs w:val="21"/>
                <w:u w:val="single"/>
              </w:rPr>
              <w:t>4、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扫描件加盖投标人电子印章。</w:t>
            </w:r>
          </w:p>
          <w:p>
            <w:pPr>
              <w:spacing w:line="288" w:lineRule="auto"/>
              <w:rPr>
                <w:rFonts w:ascii="宋体" w:hAnsi="宋体" w:cs="宋体"/>
                <w:szCs w:val="21"/>
                <w:u w:val="single"/>
              </w:rPr>
            </w:pPr>
            <w:r>
              <w:rPr>
                <w:rFonts w:hint="eastAsia" w:ascii="宋体" w:hAnsi="宋体" w:cs="宋体"/>
                <w:szCs w:val="21"/>
                <w:u w:val="single"/>
              </w:rPr>
              <w:t>5、为减轻中小企业资金占用压力，本项目免收中小企业（包括中型、小型和微型企业）的投标保证金。但投标人应提供属于中小企业的资料（提供自行查询企业划型截图和《中小企业声明函》（详见第六章投标保证金）。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资料扫描件加盖投标人电子印章。</w:t>
            </w:r>
          </w:p>
          <w:p>
            <w:pPr>
              <w:spacing w:line="288" w:lineRule="auto"/>
              <w:rPr>
                <w:rFonts w:ascii="宋体" w:hAnsi="宋体" w:cs="宋体"/>
                <w:szCs w:val="21"/>
                <w:u w:val="single"/>
              </w:rPr>
            </w:pPr>
            <w:r>
              <w:rPr>
                <w:rFonts w:hint="eastAsia" w:ascii="宋体" w:hAnsi="宋体" w:cs="宋体"/>
                <w:szCs w:val="21"/>
                <w:u w:val="single"/>
              </w:rPr>
              <w:t>6、免交投标保证金的投标人需提供《关于投标保证金的承诺》（详见第六章投标保证金）</w:t>
            </w:r>
          </w:p>
          <w:p>
            <w:pPr>
              <w:pStyle w:val="27"/>
              <w:ind w:left="0" w:leftChars="0" w:firstLine="0" w:firstLineChars="0"/>
              <w:rPr>
                <w:rFonts w:ascii="宋体" w:hAnsi="宋体"/>
                <w:szCs w:val="21"/>
                <w:u w:val="single"/>
              </w:rPr>
            </w:pPr>
            <w:r>
              <w:rPr>
                <w:rFonts w:hint="eastAsia" w:ascii="宋体" w:hAnsi="宋体" w:cs="宋体"/>
                <w:szCs w:val="21"/>
                <w:u w:val="single"/>
              </w:rPr>
              <w:t>注：投标保证金以现金或者支票形式提交的，必须由投标人的银行基本账户转出（操作指引详情见广州交易集团有限公司（广州公共资源交易中心）网站）；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3.5</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资格审查资料的特殊要求</w:t>
            </w:r>
          </w:p>
        </w:tc>
        <w:tc>
          <w:tcPr>
            <w:tcW w:w="7200" w:type="dxa"/>
            <w:vAlign w:val="center"/>
          </w:tcPr>
          <w:p>
            <w:pPr>
              <w:pStyle w:val="11"/>
              <w:topLinePunct/>
              <w:snapToGrid w:val="0"/>
              <w:spacing w:line="276" w:lineRule="auto"/>
              <w:rPr>
                <w:rFonts w:hAnsi="宋体"/>
                <w:spacing w:val="-1"/>
                <w:sz w:val="21"/>
                <w:szCs w:val="21"/>
              </w:rPr>
            </w:pPr>
            <w:r>
              <w:rPr>
                <w:rFonts w:hint="eastAsia" w:hAnsi="宋体"/>
                <w:spacing w:val="-1"/>
                <w:sz w:val="21"/>
                <w:szCs w:val="21"/>
              </w:rPr>
              <w:t>■无</w:t>
            </w:r>
          </w:p>
          <w:p>
            <w:pPr>
              <w:pStyle w:val="11"/>
              <w:topLinePunct/>
              <w:snapToGrid w:val="0"/>
              <w:spacing w:line="276" w:lineRule="auto"/>
              <w:rPr>
                <w:rFonts w:hAnsi="宋体"/>
                <w:sz w:val="21"/>
                <w:szCs w:val="21"/>
              </w:rPr>
            </w:pPr>
            <w:r>
              <w:rPr>
                <w:rFonts w:hint="eastAsia" w:hAnsi="宋体"/>
                <w:spacing w:val="-1"/>
                <w:sz w:val="21"/>
                <w:szCs w:val="21"/>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3.5.2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近年财务状况的年份要求</w:t>
            </w:r>
          </w:p>
        </w:tc>
        <w:tc>
          <w:tcPr>
            <w:tcW w:w="7200" w:type="dxa"/>
            <w:vAlign w:val="center"/>
          </w:tcPr>
          <w:p>
            <w:pPr>
              <w:spacing w:line="276" w:lineRule="auto"/>
              <w:ind w:firstLine="105" w:firstLineChars="50"/>
              <w:rPr>
                <w:rFonts w:ascii="宋体" w:hAnsi="宋体"/>
                <w:szCs w:val="21"/>
                <w:u w:val="single"/>
              </w:rPr>
            </w:pPr>
            <w:r>
              <w:rPr>
                <w:rFonts w:hint="eastAsia" w:ascii="宋体" w:hAnsi="宋体"/>
                <w:szCs w:val="21"/>
                <w:u w:val="single"/>
              </w:rPr>
              <w:t>/</w:t>
            </w:r>
            <w:r>
              <w:rPr>
                <w:rFonts w:hint="eastAsia" w:ascii="宋体" w:hAnsi="宋体"/>
                <w:szCs w:val="21"/>
              </w:rPr>
              <w:t>年至</w:t>
            </w:r>
            <w:r>
              <w:rPr>
                <w:rFonts w:hint="eastAsia" w:ascii="宋体" w:hAnsi="宋体"/>
                <w:szCs w:val="21"/>
                <w:u w:val="single"/>
              </w:rPr>
              <w:t>/</w:t>
            </w: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3.5.3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近年完成的类似项目情况的时间要求</w:t>
            </w:r>
          </w:p>
        </w:tc>
        <w:tc>
          <w:tcPr>
            <w:tcW w:w="7200" w:type="dxa"/>
            <w:vAlign w:val="center"/>
          </w:tcPr>
          <w:p>
            <w:pPr>
              <w:spacing w:line="276" w:lineRule="auto"/>
              <w:ind w:firstLine="105" w:firstLineChars="50"/>
              <w:rPr>
                <w:rFonts w:ascii="宋体" w:hAnsi="宋体"/>
                <w:szCs w:val="21"/>
              </w:rPr>
            </w:pPr>
            <w:r>
              <w:rPr>
                <w:rFonts w:hint="eastAsia" w:ascii="宋体" w:hAnsi="宋体"/>
                <w:szCs w:val="21"/>
                <w:u w:val="single"/>
              </w:rPr>
              <w:t>/</w:t>
            </w:r>
            <w:r>
              <w:rPr>
                <w:rFonts w:hint="eastAsia" w:ascii="宋体" w:hAnsi="宋体"/>
                <w:szCs w:val="21"/>
              </w:rPr>
              <w:t>年</w:t>
            </w:r>
            <w:r>
              <w:rPr>
                <w:rFonts w:hint="eastAsia" w:ascii="宋体" w:hAnsi="宋体"/>
                <w:szCs w:val="21"/>
                <w:u w:val="single"/>
              </w:rPr>
              <w:t>/</w:t>
            </w:r>
            <w:r>
              <w:rPr>
                <w:rFonts w:hint="eastAsia" w:ascii="宋体" w:hAnsi="宋体"/>
                <w:szCs w:val="21"/>
              </w:rPr>
              <w:t>月</w:t>
            </w:r>
            <w:r>
              <w:rPr>
                <w:rFonts w:hint="eastAsia" w:ascii="宋体" w:hAnsi="宋体"/>
                <w:szCs w:val="21"/>
                <w:u w:val="single"/>
              </w:rPr>
              <w:t>/</w:t>
            </w:r>
            <w:r>
              <w:rPr>
                <w:rFonts w:hint="eastAsia" w:ascii="宋体" w:hAnsi="宋体"/>
                <w:szCs w:val="21"/>
              </w:rPr>
              <w:t>日至今（</w:t>
            </w:r>
            <w:r>
              <w:rPr>
                <w:rFonts w:hint="eastAsia" w:ascii="宋体" w:hAnsi="宋体" w:cs="宋体"/>
                <w:szCs w:val="21"/>
              </w:rPr>
              <w:t>完成时间以检测报告为准）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3.5.5</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近年发生的诉讼及仲裁情况的时间要求</w:t>
            </w:r>
          </w:p>
        </w:tc>
        <w:tc>
          <w:tcPr>
            <w:tcW w:w="7200" w:type="dxa"/>
            <w:vAlign w:val="center"/>
          </w:tcPr>
          <w:p>
            <w:pPr>
              <w:snapToGrid w:val="0"/>
              <w:spacing w:line="276" w:lineRule="auto"/>
              <w:ind w:firstLine="105" w:firstLineChars="50"/>
              <w:rPr>
                <w:rFonts w:ascii="宋体" w:hAnsi="宋体"/>
                <w:szCs w:val="21"/>
              </w:rPr>
            </w:pPr>
            <w:r>
              <w:rPr>
                <w:rFonts w:ascii="宋体" w:hAnsi="宋体"/>
                <w:szCs w:val="21"/>
                <w:u w:val="single"/>
              </w:rPr>
              <w:t>/</w:t>
            </w:r>
            <w:r>
              <w:rPr>
                <w:rFonts w:hint="eastAsia" w:ascii="宋体" w:hAnsi="宋体"/>
                <w:szCs w:val="21"/>
              </w:rPr>
              <w:t>年</w:t>
            </w:r>
            <w:r>
              <w:rPr>
                <w:rFonts w:ascii="宋体" w:hAnsi="宋体"/>
                <w:szCs w:val="21"/>
                <w:u w:val="single"/>
              </w:rPr>
              <w:t>/</w:t>
            </w:r>
            <w:r>
              <w:rPr>
                <w:rFonts w:hint="eastAsia" w:ascii="宋体" w:hAnsi="宋体"/>
                <w:szCs w:val="21"/>
              </w:rPr>
              <w:t>月</w:t>
            </w:r>
            <w:r>
              <w:rPr>
                <w:rFonts w:ascii="宋体" w:hAnsi="宋体"/>
                <w:szCs w:val="21"/>
                <w:u w:val="single"/>
              </w:rPr>
              <w:t>/</w:t>
            </w:r>
            <w:r>
              <w:rPr>
                <w:rFonts w:hint="eastAsia" w:ascii="宋体" w:hAnsi="宋体"/>
                <w:szCs w:val="21"/>
              </w:rPr>
              <w:t>日至</w:t>
            </w:r>
            <w:r>
              <w:rPr>
                <w:rFonts w:ascii="宋体" w:hAnsi="宋体"/>
                <w:szCs w:val="21"/>
                <w:u w:val="single"/>
              </w:rPr>
              <w:t>/</w:t>
            </w:r>
            <w:r>
              <w:rPr>
                <w:rFonts w:hint="eastAsia" w:ascii="宋体" w:hAnsi="宋体"/>
                <w:szCs w:val="21"/>
              </w:rPr>
              <w:t>年</w:t>
            </w:r>
            <w:r>
              <w:rPr>
                <w:rFonts w:ascii="宋体" w:hAnsi="宋体"/>
                <w:szCs w:val="21"/>
                <w:u w:val="single"/>
              </w:rPr>
              <w:t>/</w:t>
            </w:r>
            <w:r>
              <w:rPr>
                <w:rFonts w:hint="eastAsia" w:ascii="宋体" w:hAnsi="宋体"/>
                <w:szCs w:val="21"/>
              </w:rPr>
              <w:t>月</w:t>
            </w:r>
            <w:r>
              <w:rPr>
                <w:rFonts w:ascii="宋体" w:hAnsi="宋体"/>
                <w:szCs w:val="21"/>
                <w:u w:val="single"/>
              </w:rPr>
              <w:t>/</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3.6.1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是否允许递交备选投标方案</w:t>
            </w:r>
          </w:p>
        </w:tc>
        <w:tc>
          <w:tcPr>
            <w:tcW w:w="7200" w:type="dxa"/>
            <w:vAlign w:val="center"/>
          </w:tcPr>
          <w:p>
            <w:pPr>
              <w:pStyle w:val="11"/>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不允许</w:t>
            </w:r>
          </w:p>
          <w:p>
            <w:pPr>
              <w:snapToGrid w:val="0"/>
              <w:spacing w:line="276" w:lineRule="auto"/>
              <w:rPr>
                <w:rFonts w:ascii="宋体" w:hAnsi="宋体"/>
                <w:szCs w:val="21"/>
              </w:rPr>
            </w:pPr>
            <w:r>
              <w:rPr>
                <w:rFonts w:hint="eastAsia" w:ascii="宋体" w:hAnsi="宋体"/>
                <w:szCs w:val="21"/>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3.7.3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投标文件所附证书证件要求</w:t>
            </w:r>
          </w:p>
        </w:tc>
        <w:tc>
          <w:tcPr>
            <w:tcW w:w="7200" w:type="dxa"/>
            <w:vAlign w:val="center"/>
          </w:tcPr>
          <w:p>
            <w:pPr>
              <w:snapToGrid w:val="0"/>
              <w:spacing w:line="276" w:lineRule="auto"/>
              <w:rPr>
                <w:rFonts w:ascii="宋体" w:hAnsi="宋体"/>
                <w:szCs w:val="21"/>
                <w:u w:val="single"/>
              </w:rPr>
            </w:pPr>
            <w:r>
              <w:rPr>
                <w:rFonts w:hint="eastAsia" w:ascii="宋体" w:hAnsi="宋体"/>
                <w:szCs w:val="21"/>
              </w:rPr>
              <w:t>证书证件需为</w:t>
            </w:r>
            <w:r>
              <w:rPr>
                <w:rFonts w:hint="eastAsia" w:ascii="宋体" w:hAnsi="宋体"/>
                <w:b/>
                <w:szCs w:val="21"/>
              </w:rPr>
              <w:t>原件清晰彩色扫描件</w:t>
            </w:r>
            <w:r>
              <w:rPr>
                <w:rFonts w:hint="eastAsia" w:ascii="宋体" w:hAnsi="宋体"/>
                <w:szCs w:val="21"/>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3.7.3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投标文件签字或盖章要求</w:t>
            </w:r>
          </w:p>
        </w:tc>
        <w:tc>
          <w:tcPr>
            <w:tcW w:w="7200" w:type="dxa"/>
            <w:vAlign w:val="center"/>
          </w:tcPr>
          <w:p>
            <w:pPr>
              <w:pStyle w:val="11"/>
              <w:topLinePunct/>
              <w:snapToGrid w:val="0"/>
              <w:spacing w:line="276" w:lineRule="auto"/>
              <w:ind w:right="174" w:rightChars="83"/>
              <w:rPr>
                <w:rFonts w:hAnsi="宋体" w:cs="宋体"/>
                <w:sz w:val="21"/>
                <w:szCs w:val="21"/>
                <w:u w:val="single"/>
              </w:rPr>
            </w:pPr>
            <w:r>
              <w:rPr>
                <w:rFonts w:hint="eastAsia" w:hAnsi="宋体" w:cs="宋体"/>
                <w:sz w:val="21"/>
                <w:szCs w:val="21"/>
                <w:u w:val="single"/>
              </w:rPr>
              <w:t>取消在招标文件中采用个人数字证书和加盖个人电子印章要求，投标文件中需法定代表人、代理人签字或加盖电子印章的，应手签或盖章后扫描上传，对加盖个人电子印章不做要求。投标文件按招标文件要求加盖单位电子印章。相关操作详见广州交易集团有限公司（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4.1.1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投标文件加密要求</w:t>
            </w:r>
          </w:p>
        </w:tc>
        <w:tc>
          <w:tcPr>
            <w:tcW w:w="7200" w:type="dxa"/>
            <w:vAlign w:val="center"/>
          </w:tcPr>
          <w:p>
            <w:pPr>
              <w:pStyle w:val="11"/>
              <w:topLinePunct/>
              <w:snapToGrid w:val="0"/>
              <w:spacing w:line="276" w:lineRule="auto"/>
              <w:rPr>
                <w:rFonts w:hAnsi="宋体"/>
                <w:sz w:val="21"/>
                <w:szCs w:val="21"/>
                <w:u w:val="single"/>
              </w:rPr>
            </w:pPr>
            <w:r>
              <w:rPr>
                <w:rFonts w:hint="eastAsia" w:hAnsi="宋体"/>
                <w:sz w:val="21"/>
                <w:szCs w:val="21"/>
              </w:rPr>
              <w:t>网上递交的电子投标文件须进行加密。具体操作</w:t>
            </w:r>
            <w:r>
              <w:rPr>
                <w:rFonts w:hint="eastAsia" w:hAnsi="宋体" w:cs="宋体"/>
                <w:sz w:val="21"/>
                <w:szCs w:val="21"/>
                <w:u w:val="single"/>
              </w:rPr>
              <w:t>详见广州交易集团有限公司（广州公共资源交易中心）网站最新发布的最新指引。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4.1.2</w:t>
            </w:r>
          </w:p>
        </w:tc>
        <w:tc>
          <w:tcPr>
            <w:tcW w:w="2160" w:type="dxa"/>
            <w:vAlign w:val="center"/>
          </w:tcPr>
          <w:p>
            <w:pPr>
              <w:snapToGrid w:val="0"/>
              <w:spacing w:line="276" w:lineRule="auto"/>
              <w:jc w:val="center"/>
              <w:rPr>
                <w:rFonts w:ascii="宋体" w:hAnsi="宋体"/>
                <w:szCs w:val="21"/>
                <w:shd w:val="clear" w:color="FFFFFF" w:fill="D9D9D9"/>
              </w:rPr>
            </w:pPr>
            <w:r>
              <w:rPr>
                <w:rFonts w:hint="eastAsia" w:ascii="宋体" w:hAnsi="宋体"/>
                <w:szCs w:val="21"/>
              </w:rPr>
              <w:t>封套上应载明的信息</w:t>
            </w:r>
          </w:p>
        </w:tc>
        <w:tc>
          <w:tcPr>
            <w:tcW w:w="7200" w:type="dxa"/>
            <w:vAlign w:val="center"/>
          </w:tcPr>
          <w:p>
            <w:pPr>
              <w:pStyle w:val="11"/>
              <w:topLinePunct/>
              <w:snapToGrid w:val="0"/>
              <w:spacing w:line="276" w:lineRule="auto"/>
              <w:rPr>
                <w:rFonts w:hAnsi="宋体"/>
                <w:sz w:val="21"/>
                <w:szCs w:val="21"/>
              </w:rPr>
            </w:pPr>
            <w:r>
              <w:rPr>
                <w:rFonts w:hint="eastAsia" w:hAnsi="宋体"/>
                <w:sz w:val="21"/>
                <w:szCs w:val="21"/>
              </w:rPr>
              <w:t>如有提交投标文件光盘备用，封套上应注明如下信息：</w:t>
            </w:r>
          </w:p>
          <w:p>
            <w:pPr>
              <w:pStyle w:val="11"/>
              <w:topLinePunct/>
              <w:spacing w:line="276" w:lineRule="auto"/>
              <w:rPr>
                <w:rFonts w:hAnsi="宋体"/>
                <w:sz w:val="21"/>
                <w:szCs w:val="21"/>
              </w:rPr>
            </w:pPr>
            <w:r>
              <w:rPr>
                <w:rFonts w:hint="eastAsia" w:hAnsi="宋体"/>
                <w:sz w:val="21"/>
                <w:szCs w:val="21"/>
              </w:rPr>
              <w:t>招标人名称：</w:t>
            </w:r>
            <w:r>
              <w:rPr>
                <w:rFonts w:hint="eastAsia" w:hAnsi="宋体"/>
                <w:sz w:val="21"/>
                <w:szCs w:val="21"/>
                <w:u w:val="single"/>
              </w:rPr>
              <w:t>广州工控智谷文化投资有限公司</w:t>
            </w:r>
          </w:p>
          <w:p>
            <w:pPr>
              <w:pStyle w:val="11"/>
              <w:topLinePunct/>
              <w:spacing w:line="276" w:lineRule="auto"/>
              <w:rPr>
                <w:rFonts w:hAnsi="宋体"/>
                <w:sz w:val="21"/>
                <w:szCs w:val="21"/>
                <w:u w:val="single"/>
              </w:rPr>
            </w:pPr>
            <w:r>
              <w:rPr>
                <w:rFonts w:hint="eastAsia" w:hAnsi="宋体"/>
                <w:sz w:val="21"/>
                <w:szCs w:val="21"/>
              </w:rPr>
              <w:t>招标人地址：</w:t>
            </w:r>
            <w:r>
              <w:rPr>
                <w:rFonts w:hint="eastAsia" w:hAnsi="宋体"/>
                <w:sz w:val="21"/>
                <w:szCs w:val="21"/>
                <w:u w:val="single"/>
              </w:rPr>
              <w:t>广州市黄埔区香山路17号办公楼4层403房</w:t>
            </w:r>
          </w:p>
          <w:p>
            <w:pPr>
              <w:pStyle w:val="11"/>
              <w:topLinePunct/>
              <w:spacing w:line="276" w:lineRule="auto"/>
              <w:rPr>
                <w:rFonts w:hAnsi="宋体"/>
                <w:sz w:val="21"/>
                <w:szCs w:val="21"/>
              </w:rPr>
            </w:pPr>
            <w:r>
              <w:rPr>
                <w:rFonts w:hint="eastAsia" w:hAnsi="宋体"/>
                <w:sz w:val="21"/>
                <w:szCs w:val="21"/>
              </w:rPr>
              <w:t>（项目名称）招标项目投标文件</w:t>
            </w:r>
          </w:p>
          <w:p>
            <w:pPr>
              <w:pStyle w:val="11"/>
              <w:topLinePunct/>
              <w:spacing w:line="276" w:lineRule="auto"/>
              <w:rPr>
                <w:rFonts w:hAnsi="宋体"/>
                <w:sz w:val="21"/>
                <w:szCs w:val="21"/>
              </w:rPr>
            </w:pPr>
            <w:r>
              <w:rPr>
                <w:rFonts w:hint="eastAsia" w:hAnsi="宋体"/>
                <w:sz w:val="21"/>
                <w:szCs w:val="21"/>
              </w:rPr>
              <w:t>招标项目编号：</w:t>
            </w:r>
          </w:p>
          <w:p>
            <w:pPr>
              <w:pStyle w:val="11"/>
              <w:topLinePunct/>
              <w:snapToGrid w:val="0"/>
              <w:spacing w:line="276" w:lineRule="auto"/>
              <w:rPr>
                <w:rFonts w:hAnsi="宋体"/>
                <w:sz w:val="21"/>
                <w:szCs w:val="21"/>
              </w:rPr>
            </w:pPr>
            <w:r>
              <w:rPr>
                <w:rFonts w:hint="eastAsia" w:hAnsi="宋体" w:cs="宋体"/>
                <w:sz w:val="21"/>
                <w:szCs w:val="21"/>
              </w:rPr>
              <w:t>在</w:t>
            </w:r>
            <w:r>
              <w:rPr>
                <w:rFonts w:hint="eastAsia" w:hAnsi="宋体" w:cs="宋体"/>
                <w:sz w:val="21"/>
                <w:szCs w:val="21"/>
                <w:u w:val="single"/>
              </w:rPr>
              <w:t xml:space="preserve">     </w:t>
            </w:r>
            <w:r>
              <w:rPr>
                <w:rFonts w:hint="eastAsia" w:hAnsi="宋体" w:cs="宋体"/>
                <w:sz w:val="21"/>
                <w:szCs w:val="21"/>
              </w:rPr>
              <w:t>年</w:t>
            </w:r>
            <w:r>
              <w:rPr>
                <w:rFonts w:hint="eastAsia" w:hAnsi="宋体" w:cs="宋体"/>
                <w:sz w:val="21"/>
                <w:szCs w:val="21"/>
                <w:u w:val="single"/>
              </w:rPr>
              <w:t xml:space="preserve">  </w:t>
            </w:r>
            <w:r>
              <w:rPr>
                <w:rFonts w:hint="eastAsia" w:hAnsi="宋体" w:cs="宋体"/>
                <w:sz w:val="21"/>
                <w:szCs w:val="21"/>
              </w:rPr>
              <w:t>月</w:t>
            </w:r>
            <w:r>
              <w:rPr>
                <w:rFonts w:hint="eastAsia" w:hAnsi="宋体" w:cs="宋体"/>
                <w:sz w:val="21"/>
                <w:szCs w:val="21"/>
                <w:u w:val="single"/>
              </w:rPr>
              <w:t xml:space="preserve">   </w:t>
            </w:r>
            <w:r>
              <w:rPr>
                <w:rFonts w:hint="eastAsia" w:hAnsi="宋体" w:cs="宋体"/>
                <w:sz w:val="21"/>
                <w:szCs w:val="21"/>
              </w:rPr>
              <w:t>日</w:t>
            </w:r>
            <w:r>
              <w:rPr>
                <w:rFonts w:hint="eastAsia" w:hAnsi="宋体" w:cs="宋体"/>
                <w:sz w:val="21"/>
                <w:szCs w:val="21"/>
                <w:u w:val="single"/>
              </w:rPr>
              <w:t xml:space="preserve">     </w:t>
            </w:r>
            <w:r>
              <w:rPr>
                <w:rFonts w:hint="eastAsia" w:hAnsi="宋体" w:cs="宋体"/>
                <w:sz w:val="21"/>
                <w:szCs w:val="21"/>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4.2.1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投标截止时间</w:t>
            </w:r>
          </w:p>
        </w:tc>
        <w:tc>
          <w:tcPr>
            <w:tcW w:w="7200" w:type="dxa"/>
            <w:vAlign w:val="center"/>
          </w:tcPr>
          <w:p>
            <w:pPr>
              <w:snapToGrid w:val="0"/>
              <w:spacing w:line="276" w:lineRule="auto"/>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时  分（北京时间）</w:t>
            </w:r>
          </w:p>
          <w:p>
            <w:pPr>
              <w:snapToGrid w:val="0"/>
              <w:spacing w:line="276" w:lineRule="auto"/>
              <w:rPr>
                <w:rFonts w:ascii="宋体" w:hAnsi="宋体"/>
                <w:szCs w:val="21"/>
              </w:rPr>
            </w:pPr>
            <w:r>
              <w:rPr>
                <w:rFonts w:hint="eastAsia" w:ascii="宋体" w:hAnsi="宋体" w:cs="宋体"/>
                <w:szCs w:val="21"/>
                <w:u w:val="single"/>
              </w:rPr>
              <w:t>（详见广州交易集团有限公司（广州公共资源交易中心）网站信息）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4.2.2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递交电子投标文件交易平台</w:t>
            </w:r>
          </w:p>
        </w:tc>
        <w:tc>
          <w:tcPr>
            <w:tcW w:w="7200" w:type="dxa"/>
            <w:vAlign w:val="center"/>
          </w:tcPr>
          <w:p>
            <w:pPr>
              <w:snapToGrid w:val="0"/>
              <w:spacing w:line="276" w:lineRule="auto"/>
              <w:rPr>
                <w:rFonts w:ascii="宋体" w:hAnsi="宋体"/>
                <w:szCs w:val="21"/>
                <w:u w:val="single"/>
              </w:rPr>
            </w:pPr>
            <w:r>
              <w:rPr>
                <w:rFonts w:ascii="宋体" w:hAnsi="宋体"/>
                <w:szCs w:val="21"/>
                <w:u w:val="single"/>
              </w:rPr>
              <w:t>1.</w:t>
            </w:r>
            <w:r>
              <w:rPr>
                <w:rFonts w:hint="eastAsia" w:ascii="宋体" w:hAnsi="宋体"/>
                <w:szCs w:val="21"/>
                <w:u w:val="single"/>
              </w:rPr>
              <w:t>递交方式：网上递交投标文件</w:t>
            </w:r>
            <w:r>
              <w:rPr>
                <w:rFonts w:ascii="宋体" w:hAnsi="宋体"/>
                <w:szCs w:val="21"/>
                <w:u w:val="single"/>
              </w:rPr>
              <w:t xml:space="preserve"> </w:t>
            </w:r>
          </w:p>
          <w:p>
            <w:pPr>
              <w:snapToGrid w:val="0"/>
              <w:spacing w:line="276" w:lineRule="auto"/>
              <w:rPr>
                <w:rFonts w:ascii="宋体" w:hAnsi="宋体"/>
                <w:szCs w:val="21"/>
                <w:u w:val="single"/>
              </w:rPr>
            </w:pPr>
            <w:r>
              <w:rPr>
                <w:rFonts w:ascii="宋体" w:hAnsi="宋体"/>
                <w:szCs w:val="21"/>
                <w:u w:val="single"/>
              </w:rPr>
              <w:t>2.</w:t>
            </w:r>
            <w:r>
              <w:rPr>
                <w:rFonts w:hint="eastAsia" w:ascii="宋体" w:hAnsi="宋体"/>
                <w:szCs w:val="21"/>
                <w:u w:val="single"/>
              </w:rPr>
              <w:t>递交投标文件的起始时间：（详见广州交易集团有限公司（广州公共资源交易中心）网站信息）。</w:t>
            </w:r>
          </w:p>
          <w:p>
            <w:pPr>
              <w:snapToGrid w:val="0"/>
              <w:spacing w:line="276" w:lineRule="auto"/>
              <w:rPr>
                <w:rFonts w:ascii="宋体" w:hAnsi="宋体"/>
                <w:szCs w:val="21"/>
                <w:u w:val="single"/>
              </w:rPr>
            </w:pPr>
            <w:r>
              <w:rPr>
                <w:rFonts w:hint="eastAsia" w:ascii="宋体" w:hAnsi="宋体"/>
                <w:szCs w:val="21"/>
                <w:u w:val="single"/>
              </w:rPr>
              <w:t>截止时间：（详见广州交易集团有限公司（广州公共资源交易中心）网站信息）</w:t>
            </w:r>
          </w:p>
          <w:p>
            <w:pPr>
              <w:snapToGrid w:val="0"/>
              <w:spacing w:line="276" w:lineRule="auto"/>
              <w:rPr>
                <w:rFonts w:ascii="宋体" w:hAnsi="宋体"/>
                <w:szCs w:val="21"/>
                <w:u w:val="single"/>
              </w:rPr>
            </w:pPr>
            <w:r>
              <w:rPr>
                <w:rFonts w:ascii="宋体" w:hAnsi="宋体"/>
                <w:szCs w:val="21"/>
                <w:u w:val="single"/>
              </w:rPr>
              <w:t>3.</w:t>
            </w:r>
            <w:r>
              <w:rPr>
                <w:rFonts w:hint="eastAsia" w:ascii="宋体" w:hAnsi="宋体"/>
                <w:szCs w:val="21"/>
                <w:u w:val="single"/>
              </w:rPr>
              <w:t>地点：广州交易集团有限公司（广州公共资源交易中心）网站。</w:t>
            </w:r>
          </w:p>
          <w:p>
            <w:pPr>
              <w:snapToGrid w:val="0"/>
              <w:spacing w:line="276" w:lineRule="auto"/>
              <w:rPr>
                <w:rFonts w:ascii="宋体" w:hAnsi="宋体"/>
                <w:szCs w:val="21"/>
              </w:rPr>
            </w:pPr>
            <w:r>
              <w:rPr>
                <w:rFonts w:ascii="宋体" w:hAnsi="宋体"/>
                <w:szCs w:val="21"/>
                <w:u w:val="single"/>
              </w:rPr>
              <w:t>4.</w:t>
            </w:r>
            <w:r>
              <w:rPr>
                <w:rFonts w:hint="eastAsia" w:ascii="宋体" w:hAnsi="宋体"/>
                <w:szCs w:val="21"/>
                <w:u w:val="single"/>
              </w:rPr>
              <w:t>上述时间及地点是否有改变，</w:t>
            </w:r>
            <w:r>
              <w:rPr>
                <w:rFonts w:ascii="宋体" w:hAnsi="宋体"/>
                <w:szCs w:val="21"/>
                <w:u w:val="single"/>
              </w:rPr>
              <w:t xml:space="preserve"> </w:t>
            </w:r>
            <w:r>
              <w:rPr>
                <w:rFonts w:hint="eastAsia" w:ascii="宋体" w:hAnsi="宋体"/>
                <w:szCs w:val="21"/>
                <w:u w:val="single"/>
              </w:rPr>
              <w:t>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4.2.3</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投标文件是否退还</w:t>
            </w:r>
          </w:p>
        </w:tc>
        <w:tc>
          <w:tcPr>
            <w:tcW w:w="7200" w:type="dxa"/>
            <w:vAlign w:val="center"/>
          </w:tcPr>
          <w:p>
            <w:pPr>
              <w:pStyle w:val="11"/>
              <w:topLinePunct/>
              <w:snapToGrid w:val="0"/>
              <w:spacing w:line="276" w:lineRule="auto"/>
              <w:rPr>
                <w:rFonts w:hAnsi="宋体"/>
                <w:sz w:val="21"/>
                <w:szCs w:val="21"/>
              </w:rPr>
            </w:pPr>
            <w:r>
              <w:rPr>
                <w:rFonts w:hint="eastAsia" w:hAnsi="宋体"/>
                <w:spacing w:val="-1"/>
                <w:sz w:val="21"/>
                <w:szCs w:val="21"/>
              </w:rPr>
              <w:t>■</w:t>
            </w:r>
            <w:r>
              <w:rPr>
                <w:rFonts w:hint="eastAsia" w:hAnsi="宋体"/>
                <w:sz w:val="21"/>
                <w:szCs w:val="21"/>
              </w:rPr>
              <w:t>否</w:t>
            </w:r>
          </w:p>
          <w:p>
            <w:pPr>
              <w:pStyle w:val="11"/>
              <w:topLinePunct/>
              <w:snapToGrid w:val="0"/>
              <w:spacing w:line="276" w:lineRule="auto"/>
              <w:rPr>
                <w:rFonts w:hAnsi="宋体"/>
                <w:sz w:val="21"/>
                <w:szCs w:val="21"/>
              </w:rPr>
            </w:pPr>
            <w:r>
              <w:rPr>
                <w:rFonts w:hint="eastAsia" w:hAnsi="宋体"/>
                <w:sz w:val="21"/>
                <w:szCs w:val="21"/>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5.1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开标时间和地点</w:t>
            </w:r>
          </w:p>
        </w:tc>
        <w:tc>
          <w:tcPr>
            <w:tcW w:w="7200" w:type="dxa"/>
            <w:vAlign w:val="center"/>
          </w:tcPr>
          <w:p>
            <w:pPr>
              <w:snapToGrid w:val="0"/>
              <w:spacing w:line="276" w:lineRule="auto"/>
              <w:rPr>
                <w:rFonts w:ascii="宋体" w:hAnsi="宋体"/>
                <w:szCs w:val="21"/>
              </w:rPr>
            </w:pPr>
            <w:r>
              <w:rPr>
                <w:rFonts w:hint="eastAsia" w:ascii="宋体" w:hAnsi="宋体"/>
                <w:szCs w:val="21"/>
              </w:rPr>
              <w:t>开标时间：同投标截止时间</w:t>
            </w:r>
          </w:p>
          <w:p>
            <w:pPr>
              <w:snapToGrid w:val="0"/>
              <w:spacing w:line="276" w:lineRule="auto"/>
              <w:rPr>
                <w:rFonts w:ascii="宋体" w:hAnsi="宋体"/>
                <w:szCs w:val="21"/>
              </w:rPr>
            </w:pPr>
            <w:r>
              <w:rPr>
                <w:rFonts w:hint="eastAsia" w:ascii="宋体" w:hAnsi="宋体"/>
                <w:szCs w:val="21"/>
              </w:rPr>
              <w:t>开标地点：广州交易集团有限公司（广州公共资源交易中心）</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开标室</w:t>
            </w:r>
            <w:r>
              <w:rPr>
                <w:rFonts w:hint="eastAsia" w:ascii="宋体" w:hAnsi="宋体"/>
                <w:szCs w:val="21"/>
                <w:u w:val="single"/>
              </w:rPr>
              <w:t>（详见广州交易集团有限公司（广州公共资源交易中心）网站信息），并邀请所有投标人的法定代表人或其委托代理人准时参加。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5.2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开标程序</w:t>
            </w:r>
          </w:p>
        </w:tc>
        <w:tc>
          <w:tcPr>
            <w:tcW w:w="7200" w:type="dxa"/>
            <w:vAlign w:val="center"/>
          </w:tcPr>
          <w:p>
            <w:pPr>
              <w:snapToGrid w:val="0"/>
              <w:spacing w:line="276" w:lineRule="auto"/>
              <w:rPr>
                <w:rFonts w:ascii="宋体" w:hAnsi="宋体"/>
                <w:szCs w:val="21"/>
              </w:rPr>
            </w:pPr>
            <w:r>
              <w:rPr>
                <w:rFonts w:hint="eastAsia" w:ascii="宋体" w:hAnsi="宋体"/>
                <w:szCs w:val="21"/>
              </w:rPr>
              <w:t>电子招投标项目开标按下列程序进行：</w:t>
            </w:r>
          </w:p>
          <w:p>
            <w:pPr>
              <w:snapToGrid w:val="0"/>
              <w:spacing w:line="276" w:lineRule="auto"/>
              <w:rPr>
                <w:rFonts w:ascii="宋体" w:hAnsi="宋体"/>
                <w:szCs w:val="21"/>
                <w:u w:val="single"/>
              </w:rPr>
            </w:pPr>
            <w:r>
              <w:rPr>
                <w:rFonts w:ascii="宋体" w:hAnsi="宋体"/>
                <w:szCs w:val="21"/>
                <w:u w:val="single"/>
              </w:rPr>
              <w:t>5.2.1</w:t>
            </w:r>
            <w:r>
              <w:rPr>
                <w:rFonts w:hint="eastAsia" w:ascii="宋体" w:hAnsi="宋体"/>
                <w:szCs w:val="21"/>
                <w:u w:val="single"/>
              </w:rPr>
              <w:t>主持人按下列程序进行开标：</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）宣布开标纪律；</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2</w:t>
            </w:r>
            <w:r>
              <w:rPr>
                <w:rFonts w:hint="eastAsia" w:ascii="宋体" w:hAnsi="宋体"/>
                <w:szCs w:val="21"/>
                <w:u w:val="single"/>
              </w:rPr>
              <w:t>）公布在投标截止时间前递交投标文件的投标人名称；</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3</w:t>
            </w:r>
            <w:r>
              <w:rPr>
                <w:rFonts w:hint="eastAsia" w:ascii="宋体" w:hAnsi="宋体"/>
                <w:szCs w:val="21"/>
                <w:u w:val="single"/>
              </w:rPr>
              <w:t>）宣布开标人、唱标人、记录人、监标人等有关人员姓名；</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4</w:t>
            </w:r>
            <w:r>
              <w:rPr>
                <w:rFonts w:hint="eastAsia" w:ascii="宋体" w:hAnsi="宋体"/>
                <w:szCs w:val="21"/>
                <w:u w:val="single"/>
              </w:rPr>
              <w:t>）投标人通过电子招标投标交易平台对已递交的电子投标文件进行解密，公布招标项目名称、投标人名称、投标保证金的递交情况、投标报价及其他内容，并记录在案；</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5</w:t>
            </w:r>
            <w:r>
              <w:rPr>
                <w:rFonts w:hint="eastAsia" w:ascii="宋体" w:hAnsi="宋体"/>
                <w:szCs w:val="21"/>
                <w:u w:val="single"/>
              </w:rPr>
              <w:t>）投标人代表、招标人代表、监标人、记录人等有关人员在开标记录上签字确认；若有关人员不签字的，不影响开标程序；</w:t>
            </w:r>
          </w:p>
          <w:p>
            <w:pPr>
              <w:snapToGrid w:val="0"/>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6</w:t>
            </w:r>
            <w:r>
              <w:rPr>
                <w:rFonts w:hint="eastAsia" w:ascii="宋体" w:hAnsi="宋体"/>
                <w:szCs w:val="21"/>
                <w:u w:val="single"/>
              </w:rPr>
              <w:t>）开标结束。</w:t>
            </w:r>
          </w:p>
          <w:p>
            <w:pPr>
              <w:snapToGrid w:val="0"/>
              <w:spacing w:line="276" w:lineRule="auto"/>
              <w:rPr>
                <w:rFonts w:ascii="宋体" w:hAnsi="宋体"/>
                <w:szCs w:val="21"/>
                <w:u w:val="single"/>
              </w:rPr>
            </w:pPr>
            <w:r>
              <w:rPr>
                <w:rFonts w:ascii="宋体" w:hAnsi="宋体"/>
                <w:szCs w:val="21"/>
                <w:u w:val="single"/>
              </w:rPr>
              <w:t>5.2.2</w:t>
            </w:r>
            <w:r>
              <w:rPr>
                <w:rFonts w:hint="eastAsia" w:ascii="宋体" w:hAnsi="宋体"/>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napToGrid w:val="0"/>
              <w:spacing w:line="276" w:lineRule="auto"/>
              <w:rPr>
                <w:rFonts w:ascii="宋体" w:hAnsi="宋体"/>
                <w:szCs w:val="21"/>
                <w:u w:val="single"/>
              </w:rPr>
            </w:pPr>
            <w:r>
              <w:rPr>
                <w:rFonts w:ascii="宋体" w:hAnsi="宋体"/>
                <w:szCs w:val="21"/>
                <w:u w:val="single"/>
              </w:rPr>
              <w:t>5.2.3</w:t>
            </w:r>
            <w:r>
              <w:rPr>
                <w:rFonts w:hint="eastAsia" w:ascii="宋体" w:hAnsi="宋体"/>
                <w:szCs w:val="21"/>
                <w:u w:val="singl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6.1.1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评标委员会的组建</w:t>
            </w:r>
          </w:p>
        </w:tc>
        <w:tc>
          <w:tcPr>
            <w:tcW w:w="7200" w:type="dxa"/>
            <w:vAlign w:val="center"/>
          </w:tcPr>
          <w:p>
            <w:pPr>
              <w:snapToGrid w:val="0"/>
              <w:spacing w:line="276" w:lineRule="auto"/>
              <w:rPr>
                <w:rFonts w:ascii="宋体" w:hAnsi="宋体"/>
                <w:szCs w:val="21"/>
              </w:rPr>
            </w:pPr>
            <w:r>
              <w:rPr>
                <w:rFonts w:hint="eastAsia" w:ascii="宋体" w:hAnsi="宋体"/>
                <w:szCs w:val="21"/>
              </w:rPr>
              <w:t>评标委员会构成，由招标人依法组建。</w:t>
            </w:r>
          </w:p>
          <w:p>
            <w:pPr>
              <w:snapToGrid w:val="0"/>
              <w:spacing w:line="276" w:lineRule="auto"/>
              <w:rPr>
                <w:rFonts w:ascii="宋体" w:hAnsi="宋体"/>
                <w:szCs w:val="21"/>
              </w:rPr>
            </w:pPr>
            <w:r>
              <w:rPr>
                <w:rFonts w:hint="eastAsia" w:ascii="宋体" w:hAnsi="宋体"/>
                <w:szCs w:val="21"/>
              </w:rPr>
              <w:t>评标专家确定方式：广东省综合评标评审专家库</w:t>
            </w:r>
            <w:r>
              <w:rPr>
                <w:rFonts w:hint="eastAsia" w:ascii="宋体" w:hAnsi="宋体" w:cs="宋体"/>
                <w:szCs w:val="21"/>
              </w:rPr>
              <w:t>中随机抽取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6.3.2</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评标委员会推荐中标候选人的人数</w:t>
            </w:r>
          </w:p>
        </w:tc>
        <w:tc>
          <w:tcPr>
            <w:tcW w:w="7200" w:type="dxa"/>
            <w:vAlign w:val="center"/>
          </w:tcPr>
          <w:p>
            <w:pPr>
              <w:snapToGrid w:val="0"/>
              <w:spacing w:line="276" w:lineRule="auto"/>
              <w:rPr>
                <w:rFonts w:ascii="宋体" w:hAnsi="宋体"/>
                <w:szCs w:val="21"/>
              </w:rPr>
            </w:pPr>
            <w:r>
              <w:rPr>
                <w:rFonts w:hint="eastAsia" w:ascii="宋体" w:hAnsi="宋体"/>
                <w:szCs w:val="21"/>
              </w:rPr>
              <w:t>推荐中标候选人：</w:t>
            </w:r>
            <w:r>
              <w:rPr>
                <w:rFonts w:ascii="宋体" w:hAnsi="宋体"/>
                <w:szCs w:val="21"/>
                <w:u w:val="single"/>
              </w:rPr>
              <w:t xml:space="preserve"> 3</w:t>
            </w:r>
            <w:r>
              <w:rPr>
                <w:rFonts w:hint="eastAsia" w:ascii="宋体" w:hAnsi="宋体"/>
                <w:szCs w:val="21"/>
                <w:u w:val="singl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7.1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中标候选人公示媒介及期限</w:t>
            </w:r>
          </w:p>
        </w:tc>
        <w:tc>
          <w:tcPr>
            <w:tcW w:w="7200" w:type="dxa"/>
            <w:vAlign w:val="center"/>
          </w:tcPr>
          <w:p>
            <w:pPr>
              <w:spacing w:line="276" w:lineRule="auto"/>
              <w:rPr>
                <w:rFonts w:ascii="宋体" w:hAnsi="宋体"/>
                <w:szCs w:val="21"/>
              </w:rPr>
            </w:pPr>
            <w:r>
              <w:rPr>
                <w:rFonts w:hint="eastAsia" w:ascii="宋体" w:hAnsi="宋体"/>
                <w:szCs w:val="21"/>
              </w:rPr>
              <w:t>公示媒介：</w:t>
            </w:r>
            <w:r>
              <w:rPr>
                <w:rFonts w:hint="eastAsia" w:ascii="宋体" w:hAnsi="宋体" w:cs="宋体"/>
                <w:szCs w:val="21"/>
                <w:u w:val="single"/>
              </w:rPr>
              <w:t>广州交易集团有限公司（广州公共资源交易中心）网站、广东省招标投标监管网、中国招标投标公共服务平台</w:t>
            </w:r>
          </w:p>
          <w:p>
            <w:pPr>
              <w:snapToGrid w:val="0"/>
              <w:spacing w:line="276" w:lineRule="auto"/>
              <w:ind w:right="106"/>
              <w:rPr>
                <w:rFonts w:ascii="宋体" w:hAnsi="宋体"/>
                <w:szCs w:val="21"/>
              </w:rPr>
            </w:pPr>
            <w:r>
              <w:rPr>
                <w:rFonts w:hint="eastAsia" w:ascii="宋体" w:hAnsi="宋体"/>
                <w:szCs w:val="21"/>
              </w:rPr>
              <w:t>公示期限：</w:t>
            </w:r>
            <w:r>
              <w:rPr>
                <w:rFonts w:ascii="宋体" w:hAnsi="宋体"/>
                <w:szCs w:val="21"/>
                <w:u w:val="single"/>
              </w:rPr>
              <w:t>3</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7.4</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是否授权评标委员会确定中标人</w:t>
            </w:r>
          </w:p>
        </w:tc>
        <w:tc>
          <w:tcPr>
            <w:tcW w:w="7200" w:type="dxa"/>
            <w:vAlign w:val="center"/>
          </w:tcPr>
          <w:p>
            <w:pPr>
              <w:spacing w:line="276" w:lineRule="auto"/>
              <w:rPr>
                <w:rFonts w:ascii="宋体" w:hAnsi="宋体"/>
                <w:szCs w:val="21"/>
              </w:rPr>
            </w:pPr>
            <w:r>
              <w:rPr>
                <w:rFonts w:hint="eastAsia" w:ascii="宋体" w:hAnsi="宋体"/>
                <w:szCs w:val="21"/>
              </w:rPr>
              <w:t>□是</w:t>
            </w:r>
          </w:p>
          <w:p>
            <w:pPr>
              <w:spacing w:line="276" w:lineRule="auto"/>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7.6.1</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履约保证金</w:t>
            </w:r>
          </w:p>
        </w:tc>
        <w:tc>
          <w:tcPr>
            <w:tcW w:w="7200" w:type="dxa"/>
            <w:vAlign w:val="center"/>
          </w:tcPr>
          <w:p>
            <w:pPr>
              <w:pStyle w:val="11"/>
              <w:topLinePunct/>
              <w:spacing w:line="276" w:lineRule="auto"/>
              <w:rPr>
                <w:rFonts w:hAnsi="宋体"/>
                <w:b/>
                <w:sz w:val="21"/>
                <w:szCs w:val="21"/>
              </w:rPr>
            </w:pPr>
            <w:r>
              <w:rPr>
                <w:rFonts w:hint="eastAsia" w:hAnsi="宋体"/>
                <w:b/>
                <w:sz w:val="21"/>
                <w:szCs w:val="21"/>
              </w:rPr>
              <w:t>是否要求中标人提交履约保证金：</w:t>
            </w:r>
          </w:p>
          <w:p>
            <w:pPr>
              <w:topLinePunct/>
              <w:spacing w:line="276" w:lineRule="auto"/>
              <w:rPr>
                <w:rFonts w:hAnsi="宋体"/>
                <w:b/>
                <w:szCs w:val="21"/>
              </w:rPr>
            </w:pPr>
            <w:r>
              <w:rPr>
                <w:rFonts w:hint="eastAsia" w:ascii="宋体" w:hAnsi="宋体" w:cs="宋体"/>
                <w:szCs w:val="21"/>
              </w:rPr>
              <w:t>☑</w:t>
            </w:r>
            <w:r>
              <w:rPr>
                <w:rFonts w:hint="eastAsia" w:hAnsi="宋体"/>
                <w:b/>
                <w:szCs w:val="21"/>
              </w:rPr>
              <w:t>要求</w:t>
            </w:r>
          </w:p>
          <w:p>
            <w:pPr>
              <w:topLinePunct/>
              <w:spacing w:line="276" w:lineRule="auto"/>
              <w:rPr>
                <w:rFonts w:hAnsi="宋体"/>
                <w:szCs w:val="21"/>
              </w:rPr>
            </w:pPr>
            <w:r>
              <w:rPr>
                <w:rFonts w:hint="eastAsia" w:hAnsi="宋体"/>
                <w:b/>
                <w:szCs w:val="21"/>
              </w:rPr>
              <w:t>履约保证金的形式：</w:t>
            </w:r>
            <w:r>
              <w:rPr>
                <w:rFonts w:hint="eastAsia" w:hAnsi="宋体"/>
                <w:szCs w:val="21"/>
                <w:u w:val="single"/>
              </w:rPr>
              <w:t>银行履约保函</w:t>
            </w:r>
          </w:p>
          <w:p>
            <w:pPr>
              <w:spacing w:line="276" w:lineRule="auto"/>
              <w:rPr>
                <w:rFonts w:ascii="宋体" w:hAnsi="宋体"/>
                <w:szCs w:val="21"/>
                <w:u w:val="single"/>
              </w:rPr>
            </w:pPr>
            <w:r>
              <w:rPr>
                <w:rFonts w:hint="eastAsia" w:ascii="宋体" w:hAnsi="宋体"/>
                <w:b/>
                <w:szCs w:val="21"/>
              </w:rPr>
              <w:t>履约保证金的金额：</w:t>
            </w:r>
            <w:r>
              <w:rPr>
                <w:rFonts w:hint="eastAsia" w:ascii="宋体" w:hAnsi="宋体"/>
                <w:szCs w:val="21"/>
                <w:u w:val="single"/>
              </w:rPr>
              <w:t>中标价的10%</w:t>
            </w:r>
          </w:p>
          <w:p>
            <w:pPr>
              <w:pStyle w:val="11"/>
              <w:topLinePunct/>
              <w:spacing w:line="276" w:lineRule="auto"/>
              <w:rPr>
                <w:rFonts w:hAnsi="宋体"/>
                <w:sz w:val="21"/>
                <w:szCs w:val="21"/>
              </w:rPr>
            </w:pPr>
            <w:r>
              <w:rPr>
                <w:rFonts w:hint="eastAsia" w:hAnsi="宋体" w:cs="宋体"/>
                <w:szCs w:val="21"/>
              </w:rPr>
              <w:t>□</w:t>
            </w:r>
            <w:r>
              <w:rPr>
                <w:rFonts w:hint="eastAsia" w:hAnsi="宋体"/>
                <w:b/>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9</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是否采用电子招标投标</w:t>
            </w:r>
          </w:p>
        </w:tc>
        <w:tc>
          <w:tcPr>
            <w:tcW w:w="7200" w:type="dxa"/>
            <w:vAlign w:val="center"/>
          </w:tcPr>
          <w:p>
            <w:pPr>
              <w:spacing w:line="276" w:lineRule="auto"/>
              <w:rPr>
                <w:rFonts w:ascii="宋体" w:hAnsi="宋体"/>
                <w:szCs w:val="21"/>
              </w:rPr>
            </w:pPr>
            <w:r>
              <w:rPr>
                <w:rFonts w:hint="eastAsia" w:ascii="宋体" w:hAnsi="宋体" w:cs="宋体"/>
                <w:szCs w:val="21"/>
              </w:rPr>
              <w:t>□</w:t>
            </w:r>
            <w:r>
              <w:rPr>
                <w:rFonts w:hint="eastAsia" w:ascii="宋体" w:hAnsi="宋体"/>
                <w:szCs w:val="21"/>
              </w:rPr>
              <w:t>否</w:t>
            </w:r>
          </w:p>
          <w:p>
            <w:pPr>
              <w:spacing w:line="276" w:lineRule="auto"/>
              <w:ind w:left="2099" w:leftChars="3" w:hanging="2093" w:hangingChars="997"/>
              <w:rPr>
                <w:rFonts w:ascii="宋体" w:hAnsi="宋体"/>
                <w:szCs w:val="21"/>
              </w:rPr>
            </w:pPr>
            <w:r>
              <w:rPr>
                <w:rFonts w:hint="eastAsia" w:ascii="宋体" w:hAnsi="宋体"/>
                <w:szCs w:val="21"/>
              </w:rPr>
              <w:t>■是，具体要求：</w:t>
            </w:r>
          </w:p>
          <w:p>
            <w:pPr>
              <w:spacing w:line="276" w:lineRule="auto"/>
              <w:jc w:val="left"/>
              <w:rPr>
                <w:rFonts w:ascii="宋体" w:hAnsi="宋体"/>
                <w:szCs w:val="21"/>
                <w:u w:val="single"/>
              </w:rPr>
            </w:pPr>
            <w:r>
              <w:rPr>
                <w:rFonts w:hint="eastAsia" w:ascii="宋体" w:hAnsi="宋体" w:cs="Courier New"/>
                <w:szCs w:val="21"/>
                <w:u w:val="single"/>
              </w:rPr>
              <w:t>1.具体操作详见广州交易集团有限公司（广州公共资源交易中心）网站最新发布的最新指引。</w:t>
            </w:r>
          </w:p>
          <w:p>
            <w:pPr>
              <w:spacing w:line="276" w:lineRule="auto"/>
              <w:rPr>
                <w:rFonts w:ascii="宋体" w:hAnsi="宋体" w:cs="Courier New"/>
                <w:szCs w:val="21"/>
                <w:u w:val="single"/>
              </w:rPr>
            </w:pPr>
            <w:r>
              <w:rPr>
                <w:rFonts w:hint="eastAsia" w:ascii="宋体" w:hAnsi="宋体" w:cs="Courier New"/>
                <w:szCs w:val="21"/>
                <w:u w:val="single"/>
              </w:rPr>
              <w:t>2.提交投标文件光盘备用</w:t>
            </w:r>
          </w:p>
          <w:p>
            <w:pPr>
              <w:spacing w:line="276" w:lineRule="auto"/>
              <w:rPr>
                <w:rFonts w:ascii="宋体" w:hAnsi="宋体"/>
                <w:szCs w:val="21"/>
                <w:u w:val="single"/>
              </w:rPr>
            </w:pPr>
            <w:r>
              <w:rPr>
                <w:rFonts w:hint="eastAsia" w:ascii="宋体" w:hAnsi="宋体"/>
                <w:szCs w:val="21"/>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spacing w:line="276" w:lineRule="auto"/>
              <w:ind w:firstLine="210" w:firstLineChars="100"/>
              <w:rPr>
                <w:rFonts w:ascii="宋体" w:hAnsi="宋体"/>
                <w:szCs w:val="21"/>
                <w:u w:val="single"/>
              </w:rPr>
            </w:pPr>
            <w:r>
              <w:rPr>
                <w:rFonts w:ascii="宋体" w:hAnsi="宋体"/>
                <w:szCs w:val="21"/>
                <w:u w:val="single"/>
              </w:rPr>
              <w:t>3.</w:t>
            </w:r>
            <w:r>
              <w:rPr>
                <w:rFonts w:hint="eastAsia" w:ascii="宋体" w:hAnsi="宋体"/>
                <w:szCs w:val="21"/>
                <w:u w:val="single"/>
              </w:rPr>
              <w:t>补救方案</w:t>
            </w:r>
          </w:p>
          <w:p>
            <w:pPr>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1</w:t>
            </w:r>
            <w:r>
              <w:rPr>
                <w:rFonts w:hint="eastAsia" w:ascii="宋体" w:hAnsi="宋体"/>
                <w:szCs w:val="21"/>
                <w:u w:val="single"/>
              </w:rPr>
              <w:t>）投标文件解密失败的补救方案：</w:t>
            </w:r>
          </w:p>
          <w:p>
            <w:pPr>
              <w:spacing w:line="276" w:lineRule="auto"/>
              <w:ind w:firstLine="315" w:firstLineChars="150"/>
              <w:rPr>
                <w:rFonts w:ascii="宋体" w:hAnsi="宋体"/>
                <w:szCs w:val="21"/>
                <w:u w:val="single"/>
              </w:rPr>
            </w:pPr>
            <w:r>
              <w:rPr>
                <w:rFonts w:hint="eastAsia" w:ascii="宋体" w:hAnsi="宋体"/>
                <w:szCs w:val="21"/>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2</w:t>
            </w:r>
            <w:r>
              <w:rPr>
                <w:rFonts w:hint="eastAsia" w:ascii="宋体" w:hAnsi="宋体"/>
                <w:szCs w:val="21"/>
                <w:u w:val="single"/>
              </w:rPr>
              <w:t>）评标时突发情况的补救方案</w:t>
            </w:r>
          </w:p>
          <w:p>
            <w:pPr>
              <w:spacing w:line="276" w:lineRule="auto"/>
              <w:ind w:firstLine="315" w:firstLineChars="150"/>
              <w:rPr>
                <w:rFonts w:ascii="宋体" w:hAnsi="宋体"/>
                <w:szCs w:val="21"/>
                <w:u w:val="single"/>
              </w:rPr>
            </w:pPr>
            <w:r>
              <w:rPr>
                <w:rFonts w:hint="eastAsia" w:ascii="宋体" w:hAnsi="宋体"/>
                <w:szCs w:val="21"/>
                <w:u w:val="single"/>
              </w:rPr>
              <w:t>若遇不可抗力发生（如：网络瘫痪、服务器损坏、交易系统故障短期无法恢复等因素），由评标委员会开启递交的全部投标文件光盘，并按光盘内容进行评审。</w:t>
            </w:r>
          </w:p>
          <w:p>
            <w:pPr>
              <w:spacing w:line="276" w:lineRule="auto"/>
              <w:rPr>
                <w:rFonts w:ascii="宋体" w:hAnsi="宋体"/>
                <w:szCs w:val="21"/>
                <w:u w:val="single"/>
              </w:rPr>
            </w:pPr>
            <w:r>
              <w:rPr>
                <w:rFonts w:hint="eastAsia" w:ascii="宋体" w:hAnsi="宋体"/>
                <w:szCs w:val="21"/>
                <w:u w:val="single"/>
              </w:rPr>
              <w:t>（</w:t>
            </w:r>
            <w:r>
              <w:rPr>
                <w:rFonts w:ascii="宋体" w:hAnsi="宋体"/>
                <w:szCs w:val="21"/>
                <w:u w:val="single"/>
              </w:rPr>
              <w:t>3</w:t>
            </w:r>
            <w:r>
              <w:rPr>
                <w:rFonts w:hint="eastAsia" w:ascii="宋体" w:hAnsi="宋体"/>
                <w:szCs w:val="21"/>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10</w:t>
            </w:r>
          </w:p>
        </w:tc>
        <w:tc>
          <w:tcPr>
            <w:tcW w:w="2160" w:type="dxa"/>
            <w:vAlign w:val="center"/>
          </w:tcPr>
          <w:p>
            <w:pPr>
              <w:snapToGrid w:val="0"/>
              <w:spacing w:line="276" w:lineRule="auto"/>
              <w:jc w:val="center"/>
              <w:rPr>
                <w:rFonts w:ascii="宋体" w:hAnsi="宋体"/>
                <w:szCs w:val="21"/>
              </w:rPr>
            </w:pPr>
            <w:r>
              <w:rPr>
                <w:rFonts w:hint="eastAsia" w:ascii="宋体" w:hAnsi="宋体"/>
                <w:szCs w:val="21"/>
              </w:rPr>
              <w:t>需要补充的其他内容</w:t>
            </w:r>
          </w:p>
        </w:tc>
        <w:tc>
          <w:tcPr>
            <w:tcW w:w="7200" w:type="dxa"/>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10.1</w:t>
            </w:r>
          </w:p>
        </w:tc>
        <w:tc>
          <w:tcPr>
            <w:tcW w:w="2160" w:type="dxa"/>
            <w:vAlign w:val="center"/>
          </w:tcPr>
          <w:p>
            <w:pPr>
              <w:spacing w:line="276" w:lineRule="auto"/>
              <w:jc w:val="center"/>
              <w:rPr>
                <w:rFonts w:ascii="宋体" w:hAnsi="宋体"/>
                <w:szCs w:val="21"/>
              </w:rPr>
            </w:pPr>
            <w:r>
              <w:rPr>
                <w:rFonts w:hint="eastAsia" w:ascii="宋体" w:hAnsi="宋体"/>
                <w:szCs w:val="21"/>
              </w:rPr>
              <w:t>特别提示</w:t>
            </w:r>
          </w:p>
        </w:tc>
        <w:tc>
          <w:tcPr>
            <w:tcW w:w="7200" w:type="dxa"/>
            <w:vAlign w:val="center"/>
          </w:tcPr>
          <w:p>
            <w:pPr>
              <w:widowControl/>
              <w:shd w:val="clear" w:color="auto" w:fill="FFFFFF"/>
              <w:spacing w:line="276" w:lineRule="auto"/>
              <w:jc w:val="left"/>
              <w:rPr>
                <w:rFonts w:ascii="宋体" w:hAnsi="宋体"/>
                <w:szCs w:val="21"/>
              </w:rPr>
            </w:pPr>
            <w:r>
              <w:rPr>
                <w:rFonts w:hint="eastAsia" w:ascii="宋体" w:hAnsi="宋体"/>
                <w:szCs w:val="21"/>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spacing w:line="276" w:lineRule="auto"/>
              <w:jc w:val="left"/>
              <w:rPr>
                <w:rFonts w:ascii="宋体" w:hAnsi="宋体"/>
                <w:szCs w:val="21"/>
              </w:rPr>
            </w:pPr>
            <w:r>
              <w:rPr>
                <w:rFonts w:hint="eastAsia" w:ascii="宋体" w:hAnsi="宋体"/>
                <w:szCs w:val="21"/>
              </w:rPr>
              <w:t>1.将中标工程转包或者违法分包的；</w:t>
            </w:r>
          </w:p>
          <w:p>
            <w:pPr>
              <w:widowControl/>
              <w:shd w:val="clear" w:color="auto" w:fill="FFFFFF"/>
              <w:spacing w:line="276" w:lineRule="auto"/>
              <w:jc w:val="left"/>
              <w:rPr>
                <w:rFonts w:ascii="宋体" w:hAnsi="宋体"/>
                <w:szCs w:val="21"/>
              </w:rPr>
            </w:pPr>
            <w:r>
              <w:rPr>
                <w:rFonts w:hint="eastAsia" w:ascii="宋体" w:hAnsi="宋体"/>
                <w:szCs w:val="21"/>
              </w:rPr>
              <w:t>2.在中标工程中不执行质量、安全生产相关规定的，造成质量或安全事故的；</w:t>
            </w:r>
          </w:p>
          <w:p>
            <w:pPr>
              <w:widowControl/>
              <w:shd w:val="clear" w:color="auto" w:fill="FFFFFF"/>
              <w:spacing w:line="276" w:lineRule="auto"/>
              <w:jc w:val="left"/>
              <w:rPr>
                <w:rFonts w:ascii="宋体" w:hAnsi="宋体"/>
                <w:szCs w:val="21"/>
              </w:rPr>
            </w:pPr>
            <w:r>
              <w:rPr>
                <w:rFonts w:hint="eastAsia" w:ascii="宋体" w:hAnsi="宋体"/>
                <w:szCs w:val="21"/>
              </w:rPr>
              <w:t>3.存在围标或串标情形的；</w:t>
            </w:r>
          </w:p>
          <w:p>
            <w:pPr>
              <w:spacing w:line="276" w:lineRule="auto"/>
              <w:jc w:val="left"/>
              <w:rPr>
                <w:rFonts w:ascii="宋体" w:hAnsi="宋体"/>
                <w:szCs w:val="21"/>
              </w:rPr>
            </w:pPr>
            <w:r>
              <w:rPr>
                <w:rFonts w:hint="eastAsia" w:ascii="宋体" w:hAnsi="宋体"/>
                <w:szCs w:val="21"/>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ascii="宋体" w:hAnsi="宋体"/>
                <w:szCs w:val="21"/>
              </w:rPr>
              <w:t>10.</w:t>
            </w:r>
            <w:r>
              <w:rPr>
                <w:rFonts w:hint="eastAsia" w:ascii="宋体" w:hAnsi="宋体"/>
                <w:szCs w:val="21"/>
              </w:rPr>
              <w:t>2</w:t>
            </w:r>
          </w:p>
        </w:tc>
        <w:tc>
          <w:tcPr>
            <w:tcW w:w="2160" w:type="dxa"/>
            <w:vAlign w:val="center"/>
          </w:tcPr>
          <w:p>
            <w:pPr>
              <w:widowControl/>
              <w:shd w:val="clear" w:color="auto" w:fill="FFFFFF"/>
              <w:adjustRightInd w:val="0"/>
              <w:spacing w:line="276" w:lineRule="auto"/>
              <w:jc w:val="center"/>
              <w:rPr>
                <w:rFonts w:ascii="宋体" w:hAnsi="宋体"/>
                <w:szCs w:val="21"/>
              </w:rPr>
            </w:pPr>
            <w:r>
              <w:rPr>
                <w:rFonts w:hint="eastAsia" w:ascii="宋体" w:hAnsi="宋体"/>
                <w:szCs w:val="21"/>
              </w:rPr>
              <w:t>招标失败情形</w:t>
            </w:r>
          </w:p>
        </w:tc>
        <w:tc>
          <w:tcPr>
            <w:tcW w:w="7200" w:type="dxa"/>
            <w:vAlign w:val="center"/>
          </w:tcPr>
          <w:p>
            <w:pPr>
              <w:spacing w:line="276" w:lineRule="auto"/>
              <w:ind w:left="1" w:hanging="1"/>
              <w:rPr>
                <w:rFonts w:ascii="宋体" w:hAnsi="宋体"/>
                <w:szCs w:val="21"/>
              </w:rPr>
            </w:pPr>
            <w:r>
              <w:rPr>
                <w:rFonts w:hint="eastAsia" w:ascii="宋体" w:hAnsi="宋体"/>
                <w:szCs w:val="21"/>
              </w:rPr>
              <w:t>本项目采用资格后审方式</w:t>
            </w:r>
            <w:r>
              <w:rPr>
                <w:rFonts w:hint="eastAsia" w:ascii="宋体" w:hAnsi="宋体" w:cs="仿宋"/>
                <w:szCs w:val="21"/>
              </w:rPr>
              <w:t>。若投标登记或递交投标文件或通过初步评审（含形式评审、资格评审、响应性评审）的合格投标人不足3家的，</w:t>
            </w:r>
            <w:r>
              <w:rPr>
                <w:rFonts w:hint="eastAsia" w:ascii="宋体" w:hAnsi="宋体"/>
                <w:szCs w:val="21"/>
                <w:u w:val="single"/>
              </w:rPr>
              <w:t>则该项目招标失败</w:t>
            </w:r>
            <w:r>
              <w:rPr>
                <w:rFonts w:hint="eastAsia" w:ascii="宋体" w:hAnsi="宋体" w:cs="仿宋"/>
                <w:szCs w:val="21"/>
              </w:rPr>
              <w:t>。</w:t>
            </w:r>
            <w:r>
              <w:rPr>
                <w:rFonts w:hint="eastAsia" w:ascii="宋体" w:hAnsi="宋体" w:cs="宋体"/>
                <w:szCs w:val="21"/>
              </w:rPr>
              <w:t>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szCs w:val="21"/>
              </w:rPr>
            </w:pPr>
            <w:r>
              <w:rPr>
                <w:rFonts w:ascii="宋体" w:hAnsi="宋体"/>
                <w:szCs w:val="21"/>
              </w:rPr>
              <w:t>10.</w:t>
            </w:r>
            <w:r>
              <w:rPr>
                <w:rFonts w:hint="eastAsia" w:ascii="宋体" w:hAnsi="宋体"/>
                <w:szCs w:val="21"/>
              </w:rPr>
              <w:t>3</w:t>
            </w:r>
          </w:p>
        </w:tc>
        <w:tc>
          <w:tcPr>
            <w:tcW w:w="2160" w:type="dxa"/>
            <w:tcBorders>
              <w:bottom w:val="single" w:color="auto" w:sz="4" w:space="0"/>
            </w:tcBorders>
            <w:vAlign w:val="center"/>
          </w:tcPr>
          <w:p>
            <w:pPr>
              <w:spacing w:line="276" w:lineRule="auto"/>
              <w:jc w:val="center"/>
              <w:rPr>
                <w:rFonts w:ascii="宋体" w:hAnsi="宋体"/>
                <w:szCs w:val="21"/>
              </w:rPr>
            </w:pPr>
            <w:r>
              <w:rPr>
                <w:rFonts w:hint="eastAsia" w:ascii="宋体" w:hAnsi="宋体"/>
                <w:szCs w:val="21"/>
              </w:rPr>
              <w:t>其他费用</w:t>
            </w:r>
          </w:p>
        </w:tc>
        <w:tc>
          <w:tcPr>
            <w:tcW w:w="7200" w:type="dxa"/>
            <w:tcBorders>
              <w:bottom w:val="single" w:color="auto" w:sz="4" w:space="0"/>
            </w:tcBorders>
            <w:vAlign w:val="center"/>
          </w:tcPr>
          <w:p>
            <w:pPr>
              <w:spacing w:line="276" w:lineRule="auto"/>
              <w:jc w:val="left"/>
              <w:rPr>
                <w:u w:val="single"/>
              </w:rPr>
            </w:pPr>
            <w:r>
              <w:rPr>
                <w:rFonts w:hint="eastAsia"/>
                <w:u w:val="single"/>
              </w:rPr>
              <w:t>1、交易服务费：中标人按规定，向广州交易集团有限公司（广州公共资源交易中心）缴纳交易服务费，其费用包含在中标人投标报价中，招标人不另行支付。</w:t>
            </w:r>
          </w:p>
          <w:p>
            <w:pPr>
              <w:pStyle w:val="26"/>
              <w:ind w:firstLine="0"/>
            </w:pPr>
            <w:r>
              <w:rPr>
                <w:rFonts w:hint="eastAsia"/>
                <w:u w:val="single"/>
              </w:rPr>
              <w:t>2、招标代理服务费：由中标人支付，在领取中标通知书前一次性支付给招标代理机构。招标代理服务费按《招标代理服务收费管理暂行办法》（计价〔2002〕1980号）、《国家发展改革委关于降低部分建设项目收费标准规范收费行为等有关问题的通知》（发改价格〔2011〕534号）文的规定计算，</w:t>
            </w:r>
            <w:r>
              <w:rPr>
                <w:rFonts w:hint="eastAsia" w:ascii="宋体" w:hAnsi="Times New Roman"/>
                <w:szCs w:val="21"/>
                <w:u w:val="single"/>
              </w:rPr>
              <w:t>以《中标通知书》确定的中标价作为收费的计算基数，</w:t>
            </w:r>
            <w:r>
              <w:rPr>
                <w:rFonts w:hint="eastAsia" w:ascii="宋体" w:hAnsi="宋体"/>
                <w:szCs w:val="21"/>
                <w:u w:val="single"/>
              </w:rPr>
              <w:t>按差额定率累进法计算，下浮15%计取代理费</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szCs w:val="21"/>
              </w:rPr>
            </w:pPr>
            <w:r>
              <w:rPr>
                <w:rFonts w:ascii="宋体" w:hAnsi="宋体"/>
                <w:szCs w:val="21"/>
              </w:rPr>
              <w:t>10.</w:t>
            </w:r>
            <w:r>
              <w:rPr>
                <w:rFonts w:hint="eastAsia" w:ascii="宋体" w:hAnsi="宋体"/>
                <w:szCs w:val="21"/>
              </w:rPr>
              <w:t>4</w:t>
            </w:r>
          </w:p>
        </w:tc>
        <w:tc>
          <w:tcPr>
            <w:tcW w:w="2160" w:type="dxa"/>
            <w:tcBorders>
              <w:bottom w:val="single" w:color="auto" w:sz="4" w:space="0"/>
            </w:tcBorders>
            <w:vAlign w:val="center"/>
          </w:tcPr>
          <w:p>
            <w:pPr>
              <w:spacing w:line="276" w:lineRule="auto"/>
              <w:jc w:val="center"/>
              <w:rPr>
                <w:rFonts w:ascii="宋体" w:hAnsi="宋体"/>
                <w:szCs w:val="21"/>
              </w:rPr>
            </w:pPr>
            <w:r>
              <w:rPr>
                <w:rFonts w:hint="eastAsia" w:ascii="宋体" w:hAnsi="宋体"/>
                <w:szCs w:val="21"/>
              </w:rPr>
              <w:t>招标人拒绝接收其投标文件备用光盘情况</w:t>
            </w:r>
          </w:p>
        </w:tc>
        <w:tc>
          <w:tcPr>
            <w:tcW w:w="7200" w:type="dxa"/>
            <w:tcBorders>
              <w:bottom w:val="single" w:color="auto" w:sz="4" w:space="0"/>
            </w:tcBorders>
            <w:vAlign w:val="center"/>
          </w:tcPr>
          <w:p>
            <w:pPr>
              <w:pStyle w:val="26"/>
              <w:spacing w:line="276" w:lineRule="auto"/>
              <w:ind w:hanging="5"/>
              <w:rPr>
                <w:rFonts w:ascii="宋体" w:hAnsi="宋体"/>
                <w:szCs w:val="21"/>
              </w:rPr>
            </w:pPr>
            <w:r>
              <w:rPr>
                <w:rFonts w:hint="eastAsia" w:ascii="宋体" w:hAnsi="宋体"/>
                <w:szCs w:val="21"/>
              </w:rPr>
              <w:t>1、投标人在投标截止期后逾期或未在指定地点递交备用投标文件电子光盘的；</w:t>
            </w:r>
          </w:p>
          <w:p>
            <w:pPr>
              <w:pStyle w:val="26"/>
              <w:spacing w:line="276" w:lineRule="auto"/>
              <w:ind w:hanging="5"/>
              <w:rPr>
                <w:rFonts w:ascii="宋体" w:hAnsi="宋体"/>
                <w:szCs w:val="21"/>
              </w:rPr>
            </w:pPr>
            <w:r>
              <w:rPr>
                <w:rFonts w:hint="eastAsia" w:ascii="宋体" w:hAnsi="宋体"/>
                <w:szCs w:val="21"/>
              </w:rPr>
              <w:t>2、投标人递交的备用投标文件电子光盘未按招标文件要求密封或未在密封处盖章的；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szCs w:val="21"/>
              </w:rPr>
            </w:pPr>
            <w:r>
              <w:rPr>
                <w:rFonts w:ascii="宋体" w:hAnsi="宋体"/>
                <w:szCs w:val="21"/>
              </w:rPr>
              <w:t>10.</w:t>
            </w:r>
            <w:r>
              <w:rPr>
                <w:rFonts w:hint="eastAsia" w:ascii="宋体" w:hAnsi="宋体"/>
                <w:szCs w:val="21"/>
              </w:rPr>
              <w:t>5</w:t>
            </w:r>
          </w:p>
        </w:tc>
        <w:tc>
          <w:tcPr>
            <w:tcW w:w="2160" w:type="dxa"/>
            <w:tcBorders>
              <w:bottom w:val="single" w:color="auto" w:sz="4" w:space="0"/>
            </w:tcBorders>
            <w:vAlign w:val="center"/>
          </w:tcPr>
          <w:p>
            <w:pPr>
              <w:widowControl/>
              <w:shd w:val="clear" w:color="auto" w:fill="FFFFFF"/>
              <w:adjustRightInd w:val="0"/>
              <w:spacing w:line="276" w:lineRule="auto"/>
              <w:jc w:val="center"/>
              <w:rPr>
                <w:rFonts w:ascii="宋体" w:hAnsi="宋体"/>
                <w:szCs w:val="21"/>
              </w:rPr>
            </w:pPr>
            <w:r>
              <w:rPr>
                <w:rFonts w:hint="eastAsia" w:ascii="宋体" w:hAnsi="宋体"/>
                <w:szCs w:val="21"/>
              </w:rPr>
              <w:t>其他</w:t>
            </w:r>
          </w:p>
        </w:tc>
        <w:tc>
          <w:tcPr>
            <w:tcW w:w="7200" w:type="dxa"/>
            <w:tcBorders>
              <w:bottom w:val="single" w:color="auto" w:sz="4" w:space="0"/>
            </w:tcBorders>
            <w:vAlign w:val="center"/>
          </w:tcPr>
          <w:p>
            <w:pPr>
              <w:snapToGrid w:val="0"/>
              <w:spacing w:line="276" w:lineRule="auto"/>
              <w:rPr>
                <w:rFonts w:ascii="宋体" w:hAnsi="宋体"/>
                <w:szCs w:val="21"/>
              </w:rPr>
            </w:pPr>
            <w:r>
              <w:rPr>
                <w:rFonts w:hint="eastAsia" w:ascii="宋体" w:hAnsi="宋体"/>
                <w:szCs w:val="21"/>
              </w:rPr>
              <w:t>1．在产生中标候选人后，招标人将中标候选人的投标文件商务部分的电子版（报价清单、方案等涉及商业秘密的内容除外）在广州交易集团有限公司（广州公共资源交易中心）网站公开。</w:t>
            </w:r>
          </w:p>
          <w:p>
            <w:pPr>
              <w:snapToGrid w:val="0"/>
              <w:spacing w:line="276" w:lineRule="auto"/>
              <w:rPr>
                <w:rFonts w:ascii="宋体" w:hAnsi="宋体"/>
                <w:szCs w:val="21"/>
              </w:rPr>
            </w:pPr>
            <w:r>
              <w:rPr>
                <w:rFonts w:hint="eastAsia" w:ascii="宋体" w:hAnsi="宋体"/>
                <w:szCs w:val="21"/>
              </w:rPr>
              <w:t>2.招标公告、招标文件、答疑纪要、图纸等招标资料全部发布在广州交易集团有限公司（广州公共资源交易中心）网站，由投标人自行下载查阅。</w:t>
            </w:r>
          </w:p>
          <w:p>
            <w:pPr>
              <w:snapToGrid w:val="0"/>
              <w:spacing w:line="276" w:lineRule="auto"/>
              <w:rPr>
                <w:rFonts w:ascii="宋体" w:hAnsi="宋体"/>
                <w:szCs w:val="21"/>
              </w:rPr>
            </w:pPr>
            <w:r>
              <w:rPr>
                <w:rFonts w:hint="eastAsia" w:ascii="宋体" w:hAnsi="宋体"/>
                <w:szCs w:val="21"/>
              </w:rPr>
              <w:t>3.投标截止时间、开标时间和地点：发布在广州交易集团有限公司（广州公共资源交易中心）网站（具体在网站主页“服务指南”中“交易活动安排”栏目上以“项目名称”或“项目编号”进行查询）。</w:t>
            </w:r>
          </w:p>
          <w:p>
            <w:pPr>
              <w:snapToGrid w:val="0"/>
              <w:spacing w:line="276" w:lineRule="auto"/>
              <w:rPr>
                <w:rFonts w:ascii="宋体" w:hAnsi="宋体"/>
                <w:szCs w:val="21"/>
              </w:rPr>
            </w:pPr>
            <w:r>
              <w:rPr>
                <w:rFonts w:hint="eastAsia" w:ascii="宋体" w:hAnsi="宋体"/>
                <w:szCs w:val="21"/>
              </w:rPr>
              <w:t>4．中标单位在中标通知书发出后3个工作日内，补送一正一副正式书面投标文件（加盖公章）及电子文件光盘给招标人。</w:t>
            </w:r>
          </w:p>
          <w:p>
            <w:pPr>
              <w:pStyle w:val="26"/>
              <w:ind w:firstLine="0"/>
              <w:rPr>
                <w:rFonts w:ascii="宋体" w:hAnsi="宋体"/>
                <w:szCs w:val="21"/>
              </w:rPr>
            </w:pPr>
            <w:r>
              <w:rPr>
                <w:rFonts w:hint="eastAsia" w:ascii="宋体" w:hAnsi="宋体"/>
                <w:szCs w:val="21"/>
              </w:rPr>
              <w:t>5.招标人将时时核对以下内容：</w:t>
            </w:r>
          </w:p>
          <w:p>
            <w:pPr>
              <w:pStyle w:val="26"/>
              <w:ind w:firstLine="0"/>
              <w:rPr>
                <w:rFonts w:ascii="宋体" w:hAnsi="宋体"/>
                <w:szCs w:val="21"/>
              </w:rPr>
            </w:pPr>
            <w:r>
              <w:rPr>
                <w:rFonts w:hint="eastAsia" w:ascii="宋体" w:hAnsi="宋体"/>
                <w:szCs w:val="21"/>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w:t>
            </w:r>
          </w:p>
          <w:p>
            <w:pPr>
              <w:pStyle w:val="26"/>
              <w:ind w:firstLine="0"/>
              <w:rPr>
                <w:rFonts w:ascii="宋体" w:hAnsi="宋体"/>
                <w:szCs w:val="21"/>
              </w:rPr>
            </w:pPr>
            <w:r>
              <w:rPr>
                <w:rFonts w:hint="eastAsia" w:ascii="宋体" w:hAnsi="宋体"/>
                <w:szCs w:val="21"/>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的单位或个体经营者运输。</w:t>
            </w:r>
          </w:p>
          <w:p>
            <w:pPr>
              <w:pStyle w:val="26"/>
              <w:ind w:firstLine="0"/>
              <w:rPr>
                <w:rFonts w:ascii="宋体" w:hAnsi="宋体"/>
                <w:szCs w:val="21"/>
              </w:rPr>
            </w:pPr>
            <w:r>
              <w:rPr>
                <w:rFonts w:hint="eastAsia" w:ascii="宋体" w:hAnsi="宋体"/>
                <w:szCs w:val="21"/>
              </w:rPr>
              <w:t>如核实存在上述任一情况，招标人有权取消中标人的中标资格或终止合同。</w:t>
            </w:r>
          </w:p>
          <w:p>
            <w:pPr>
              <w:pStyle w:val="26"/>
              <w:ind w:firstLine="0"/>
              <w:rPr>
                <w:rFonts w:ascii="宋体" w:hAnsi="宋体"/>
                <w:szCs w:val="21"/>
              </w:rPr>
            </w:pPr>
            <w:r>
              <w:rPr>
                <w:rFonts w:hint="eastAsia" w:ascii="宋体" w:hAnsi="宋体"/>
                <w:szCs w:val="21"/>
              </w:rPr>
              <w:t>6.如遇政策变化、政府或招标人上级单位决策、土地出让等其他因招标人的原因取消该全部工程，则招标人有权单方取消本次招标，双方互不视为违约。潜在投标人已充分知悉上述风险，并且放弃向招标人主张索赔的权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snapToGrid w:val="0"/>
              <w:spacing w:line="276" w:lineRule="auto"/>
              <w:jc w:val="center"/>
              <w:rPr>
                <w:rFonts w:ascii="宋体" w:hAnsi="宋体"/>
                <w:szCs w:val="21"/>
              </w:rPr>
            </w:pPr>
            <w:r>
              <w:rPr>
                <w:rFonts w:hint="eastAsia" w:ascii="宋体" w:hAnsi="宋体"/>
                <w:szCs w:val="21"/>
              </w:rPr>
              <w:t>10.6</w:t>
            </w:r>
          </w:p>
        </w:tc>
        <w:tc>
          <w:tcPr>
            <w:tcW w:w="2160" w:type="dxa"/>
            <w:vAlign w:val="center"/>
          </w:tcPr>
          <w:p>
            <w:pPr>
              <w:widowControl/>
              <w:shd w:val="clear" w:color="auto" w:fill="FFFFFF"/>
              <w:adjustRightInd w:val="0"/>
              <w:spacing w:line="276" w:lineRule="auto"/>
              <w:jc w:val="center"/>
              <w:rPr>
                <w:rFonts w:ascii="宋体" w:hAnsi="宋体"/>
                <w:szCs w:val="21"/>
              </w:rPr>
            </w:pPr>
            <w:r>
              <w:rPr>
                <w:rFonts w:hint="eastAsia" w:ascii="宋体" w:hAnsi="宋体"/>
                <w:szCs w:val="21"/>
              </w:rPr>
              <w:t>投标人是否参加开标</w:t>
            </w:r>
          </w:p>
        </w:tc>
        <w:tc>
          <w:tcPr>
            <w:tcW w:w="7200" w:type="dxa"/>
            <w:vAlign w:val="center"/>
          </w:tcPr>
          <w:p>
            <w:pPr>
              <w:snapToGrid w:val="0"/>
              <w:spacing w:line="276" w:lineRule="auto"/>
              <w:rPr>
                <w:rFonts w:ascii="宋体" w:hAnsi="宋体"/>
                <w:szCs w:val="21"/>
              </w:rPr>
            </w:pPr>
            <w:r>
              <w:rPr>
                <w:rFonts w:hint="eastAsia" w:ascii="宋体" w:hAnsi="宋体"/>
                <w:szCs w:val="21"/>
              </w:rPr>
              <w:t>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snapToGrid w:val="0"/>
              <w:spacing w:line="276" w:lineRule="auto"/>
              <w:jc w:val="center"/>
              <w:rPr>
                <w:rFonts w:ascii="宋体" w:hAnsi="宋体"/>
                <w:szCs w:val="21"/>
              </w:rPr>
            </w:pPr>
            <w:r>
              <w:rPr>
                <w:rFonts w:hint="eastAsia" w:ascii="宋体" w:hAnsi="宋体"/>
                <w:szCs w:val="21"/>
              </w:rPr>
              <w:t>1</w:t>
            </w:r>
            <w:r>
              <w:rPr>
                <w:rFonts w:ascii="宋体" w:hAnsi="宋体"/>
                <w:szCs w:val="21"/>
              </w:rPr>
              <w:t>0.7</w:t>
            </w:r>
          </w:p>
        </w:tc>
        <w:tc>
          <w:tcPr>
            <w:tcW w:w="2160" w:type="dxa"/>
            <w:tcBorders>
              <w:bottom w:val="single" w:color="auto" w:sz="4" w:space="0"/>
            </w:tcBorders>
            <w:vAlign w:val="center"/>
          </w:tcPr>
          <w:p>
            <w:pPr>
              <w:widowControl/>
              <w:shd w:val="clear" w:color="auto" w:fill="FFFFFF"/>
              <w:adjustRightInd w:val="0"/>
              <w:spacing w:line="276" w:lineRule="auto"/>
              <w:jc w:val="center"/>
              <w:rPr>
                <w:rFonts w:ascii="宋体" w:hAnsi="宋体"/>
                <w:szCs w:val="21"/>
              </w:rPr>
            </w:pPr>
            <w:r>
              <w:rPr>
                <w:rFonts w:hint="eastAsia" w:ascii="宋体" w:hAnsi="宋体"/>
                <w:szCs w:val="21"/>
              </w:rPr>
              <w:t>/</w:t>
            </w:r>
          </w:p>
        </w:tc>
        <w:tc>
          <w:tcPr>
            <w:tcW w:w="7200" w:type="dxa"/>
            <w:tcBorders>
              <w:bottom w:val="single" w:color="auto" w:sz="4" w:space="0"/>
            </w:tcBorders>
            <w:vAlign w:val="center"/>
          </w:tcPr>
          <w:p>
            <w:pPr>
              <w:snapToGrid w:val="0"/>
              <w:spacing w:line="276" w:lineRule="auto"/>
              <w:rPr>
                <w:rFonts w:ascii="宋体" w:hAnsi="宋体"/>
                <w:szCs w:val="21"/>
              </w:rPr>
            </w:pPr>
            <w:r>
              <w:rPr>
                <w:rFonts w:hint="eastAsia" w:ascii="宋体" w:hAnsi="宋体" w:cs="宋体"/>
                <w:szCs w:val="21"/>
                <w:u w:val="single"/>
              </w:rPr>
              <w:t>如本工程委托代建单位（项目建设管理单位），则可由代建单位作为发包人与中标人签订合同。</w:t>
            </w:r>
          </w:p>
        </w:tc>
      </w:tr>
    </w:tbl>
    <w:p>
      <w:pPr>
        <w:rPr>
          <w:rFonts w:ascii="宋体" w:hAnsi="宋体"/>
        </w:rPr>
      </w:pPr>
    </w:p>
    <w:p>
      <w:pPr>
        <w:pStyle w:val="5"/>
      </w:pPr>
      <w:bookmarkStart w:id="39" w:name="_Toc533357308"/>
      <w:r>
        <w:br w:type="page"/>
      </w:r>
      <w:bookmarkStart w:id="40" w:name="_Toc13362"/>
      <w:r>
        <w:t xml:space="preserve">1. </w:t>
      </w:r>
      <w:r>
        <w:rPr>
          <w:rFonts w:hint="eastAsia"/>
        </w:rPr>
        <w:t>总则</w:t>
      </w:r>
      <w:bookmarkEnd w:id="39"/>
      <w:bookmarkEnd w:id="40"/>
    </w:p>
    <w:p>
      <w:pPr>
        <w:pStyle w:val="7"/>
      </w:pPr>
      <w:r>
        <w:t xml:space="preserve">1.1 </w:t>
      </w:r>
      <w:r>
        <w:rPr>
          <w:rFonts w:hint="eastAsia"/>
        </w:rPr>
        <w:t>招标项目概况</w:t>
      </w:r>
    </w:p>
    <w:p>
      <w:pPr>
        <w:pStyle w:val="12"/>
        <w:kinsoku w:val="0"/>
        <w:overflowPunct w:val="0"/>
        <w:spacing w:line="288" w:lineRule="auto"/>
        <w:ind w:firstLine="420" w:firstLineChars="200"/>
        <w:rPr>
          <w:rFonts w:ascii="宋体" w:hAnsi="宋体"/>
          <w:szCs w:val="21"/>
        </w:rPr>
      </w:pPr>
      <w:r>
        <w:rPr>
          <w:rFonts w:ascii="宋体" w:hAnsi="宋体"/>
          <w:szCs w:val="21"/>
        </w:rPr>
        <w:t>1.1.1</w:t>
      </w:r>
      <w:r>
        <w:rPr>
          <w:rFonts w:hint="eastAsia" w:ascii="宋体" w:hAnsi="宋体"/>
          <w:szCs w:val="21"/>
        </w:rPr>
        <w:t>根据《中华人民共和国招标投标法》、《中华人民共和国招标投标法实施条例》等有关法律、法规和规章的规定，本招标项目已具备招标条件，现对检测服务进行招标。</w:t>
      </w:r>
    </w:p>
    <w:p>
      <w:pPr>
        <w:pStyle w:val="12"/>
        <w:kinsoku w:val="0"/>
        <w:overflowPunct w:val="0"/>
        <w:spacing w:line="288" w:lineRule="auto"/>
        <w:ind w:firstLine="420" w:firstLineChars="200"/>
        <w:rPr>
          <w:rFonts w:ascii="宋体" w:hAnsi="宋体"/>
          <w:szCs w:val="21"/>
        </w:rPr>
      </w:pPr>
      <w:r>
        <w:rPr>
          <w:rFonts w:ascii="宋体" w:hAnsi="宋体"/>
          <w:szCs w:val="21"/>
        </w:rPr>
        <w:t>1.1.2</w:t>
      </w:r>
      <w:r>
        <w:rPr>
          <w:rFonts w:hint="eastAsia" w:ascii="宋体" w:hAnsi="宋体"/>
          <w:szCs w:val="21"/>
        </w:rPr>
        <w:t>招标人：见投标人须知前附表。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1.1.3</w:t>
      </w:r>
      <w:r>
        <w:rPr>
          <w:rFonts w:hint="eastAsia" w:ascii="宋体" w:hAnsi="宋体"/>
          <w:szCs w:val="21"/>
        </w:rPr>
        <w:t>招标代理机构：见投标人须知前附表。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1.1.4</w:t>
      </w:r>
      <w:r>
        <w:rPr>
          <w:rFonts w:hint="eastAsia" w:ascii="宋体" w:hAnsi="宋体"/>
          <w:szCs w:val="21"/>
        </w:rPr>
        <w:t>招标项目名称：见投标人须知前附表。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1.1.5</w:t>
      </w:r>
      <w:r>
        <w:rPr>
          <w:rFonts w:hint="eastAsia" w:ascii="宋体" w:hAnsi="宋体"/>
          <w:szCs w:val="21"/>
        </w:rPr>
        <w:t>项目建设地点：见投标人须知前附表。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1.1.6</w:t>
      </w:r>
      <w:r>
        <w:rPr>
          <w:rFonts w:hint="eastAsia" w:ascii="宋体" w:hAnsi="宋体"/>
          <w:szCs w:val="21"/>
        </w:rPr>
        <w:t>项目建设规模：见投标人须知前附表。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1.1.7</w:t>
      </w:r>
      <w:r>
        <w:rPr>
          <w:rFonts w:hint="eastAsia" w:ascii="宋体" w:hAnsi="宋体"/>
          <w:szCs w:val="21"/>
        </w:rPr>
        <w:t>工程项目施工预计开工日期和建设周期：见投标人须知前附表。</w:t>
      </w:r>
    </w:p>
    <w:p>
      <w:pPr>
        <w:pStyle w:val="26"/>
        <w:spacing w:line="288" w:lineRule="auto"/>
        <w:ind w:firstLineChars="200"/>
        <w:rPr>
          <w:rFonts w:ascii="宋体" w:hAnsi="宋体"/>
          <w:szCs w:val="21"/>
        </w:rPr>
      </w:pPr>
      <w:r>
        <w:rPr>
          <w:rFonts w:ascii="宋体" w:hAnsi="宋体"/>
          <w:szCs w:val="21"/>
        </w:rPr>
        <w:t>1.1.8</w:t>
      </w:r>
      <w:r>
        <w:rPr>
          <w:rFonts w:hint="eastAsia" w:ascii="宋体" w:hAnsi="宋体"/>
          <w:szCs w:val="21"/>
        </w:rPr>
        <w:t>建筑安装工程费</w:t>
      </w:r>
      <w:r>
        <w:rPr>
          <w:rFonts w:ascii="宋体" w:hAnsi="宋体"/>
          <w:szCs w:val="21"/>
        </w:rPr>
        <w:t>/</w:t>
      </w:r>
      <w:r>
        <w:rPr>
          <w:rFonts w:hint="eastAsia" w:ascii="宋体" w:hAnsi="宋体"/>
          <w:szCs w:val="21"/>
        </w:rPr>
        <w:t>工程概算：见投标人须知前附表。</w:t>
      </w:r>
    </w:p>
    <w:p>
      <w:pPr>
        <w:pStyle w:val="12"/>
        <w:kinsoku w:val="0"/>
        <w:overflowPunct w:val="0"/>
        <w:spacing w:line="288" w:lineRule="auto"/>
        <w:ind w:firstLine="420" w:firstLineChars="200"/>
        <w:rPr>
          <w:rFonts w:ascii="宋体" w:hAnsi="宋体"/>
          <w:szCs w:val="21"/>
        </w:rPr>
      </w:pPr>
    </w:p>
    <w:p>
      <w:pPr>
        <w:pStyle w:val="7"/>
      </w:pPr>
      <w:r>
        <w:t xml:space="preserve">1.2 </w:t>
      </w:r>
      <w:r>
        <w:rPr>
          <w:rFonts w:hint="eastAsia"/>
        </w:rPr>
        <w:t>招标项目的资金来源和落实情况</w:t>
      </w:r>
    </w:p>
    <w:p>
      <w:pPr>
        <w:pStyle w:val="12"/>
        <w:kinsoku w:val="0"/>
        <w:overflowPunct w:val="0"/>
        <w:spacing w:line="288" w:lineRule="auto"/>
        <w:ind w:firstLine="420" w:firstLineChars="200"/>
        <w:rPr>
          <w:rFonts w:ascii="宋体" w:hAnsi="宋体"/>
          <w:szCs w:val="21"/>
        </w:rPr>
      </w:pPr>
      <w:r>
        <w:rPr>
          <w:rFonts w:ascii="宋体" w:hAnsi="宋体"/>
          <w:szCs w:val="21"/>
        </w:rPr>
        <w:t>1.2.1</w:t>
      </w:r>
      <w:r>
        <w:rPr>
          <w:rFonts w:hint="eastAsia" w:ascii="宋体" w:hAnsi="宋体"/>
          <w:szCs w:val="21"/>
        </w:rPr>
        <w:t>资金来源及比例：见投标人须知前附表。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1.2.2</w:t>
      </w:r>
      <w:r>
        <w:rPr>
          <w:rFonts w:hint="eastAsia" w:ascii="宋体" w:hAnsi="宋体"/>
          <w:szCs w:val="21"/>
        </w:rPr>
        <w:t>资金落实情况：见投标人须知前附表。</w:t>
      </w:r>
    </w:p>
    <w:p>
      <w:pPr>
        <w:pStyle w:val="12"/>
        <w:kinsoku w:val="0"/>
        <w:overflowPunct w:val="0"/>
        <w:spacing w:line="288" w:lineRule="auto"/>
        <w:ind w:firstLine="420" w:firstLineChars="200"/>
        <w:rPr>
          <w:rFonts w:ascii="宋体" w:hAnsi="宋体"/>
          <w:szCs w:val="21"/>
        </w:rPr>
      </w:pPr>
    </w:p>
    <w:p>
      <w:pPr>
        <w:pStyle w:val="7"/>
      </w:pPr>
      <w:r>
        <w:t xml:space="preserve">1.3 </w:t>
      </w:r>
      <w:r>
        <w:rPr>
          <w:rFonts w:hint="eastAsia"/>
        </w:rPr>
        <w:t>招标范围、服务期限和质量标准</w:t>
      </w:r>
    </w:p>
    <w:p>
      <w:pPr>
        <w:pStyle w:val="12"/>
        <w:kinsoku w:val="0"/>
        <w:overflowPunct w:val="0"/>
        <w:spacing w:line="288" w:lineRule="auto"/>
        <w:ind w:firstLine="420" w:firstLineChars="200"/>
        <w:rPr>
          <w:rFonts w:ascii="宋体" w:hAnsi="宋体"/>
          <w:szCs w:val="21"/>
        </w:rPr>
      </w:pPr>
      <w:r>
        <w:rPr>
          <w:rFonts w:ascii="宋体" w:hAnsi="宋体"/>
          <w:szCs w:val="21"/>
        </w:rPr>
        <w:t>1.3.1</w:t>
      </w:r>
      <w:r>
        <w:rPr>
          <w:rFonts w:hint="eastAsia" w:ascii="宋体" w:hAnsi="宋体"/>
          <w:szCs w:val="21"/>
        </w:rPr>
        <w:t>招标范围：见投标人须知前附表。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1.3.2</w:t>
      </w:r>
      <w:r>
        <w:rPr>
          <w:rFonts w:hint="eastAsia" w:ascii="宋体" w:hAnsi="宋体"/>
          <w:szCs w:val="21"/>
        </w:rPr>
        <w:t>服务期：见投标人须知前附表。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1.3.3</w:t>
      </w:r>
      <w:r>
        <w:rPr>
          <w:rFonts w:hint="eastAsia" w:ascii="宋体" w:hAnsi="宋体"/>
        </w:rPr>
        <w:t>质量标准</w:t>
      </w:r>
      <w:r>
        <w:rPr>
          <w:rFonts w:hint="eastAsia" w:ascii="宋体" w:hAnsi="宋体"/>
          <w:szCs w:val="21"/>
        </w:rPr>
        <w:t>：见投标人须知前附表。</w:t>
      </w:r>
    </w:p>
    <w:p>
      <w:pPr>
        <w:pStyle w:val="12"/>
        <w:kinsoku w:val="0"/>
        <w:overflowPunct w:val="0"/>
        <w:spacing w:line="288" w:lineRule="auto"/>
        <w:ind w:firstLine="420" w:firstLineChars="200"/>
        <w:rPr>
          <w:rFonts w:ascii="宋体" w:hAnsi="宋体"/>
          <w:szCs w:val="21"/>
        </w:rPr>
      </w:pPr>
    </w:p>
    <w:p>
      <w:pPr>
        <w:pStyle w:val="7"/>
      </w:pPr>
      <w:r>
        <w:t xml:space="preserve">1.4 </w:t>
      </w:r>
      <w:r>
        <w:rPr>
          <w:rFonts w:hint="eastAsia"/>
        </w:rPr>
        <w:t>投标人资格要求</w:t>
      </w:r>
    </w:p>
    <w:p>
      <w:pPr>
        <w:pStyle w:val="12"/>
        <w:kinsoku w:val="0"/>
        <w:overflowPunct w:val="0"/>
        <w:spacing w:line="288" w:lineRule="auto"/>
        <w:ind w:firstLine="420" w:firstLineChars="200"/>
        <w:rPr>
          <w:rFonts w:ascii="宋体" w:hAnsi="宋体"/>
          <w:szCs w:val="21"/>
          <w:u w:val="single"/>
        </w:rPr>
      </w:pPr>
      <w:r>
        <w:rPr>
          <w:rFonts w:ascii="宋体" w:hAnsi="宋体"/>
          <w:szCs w:val="21"/>
        </w:rPr>
        <w:t>1.4.1</w:t>
      </w:r>
      <w:r>
        <w:rPr>
          <w:rFonts w:hint="eastAsia" w:ascii="宋体" w:hAnsi="宋体"/>
          <w:szCs w:val="21"/>
        </w:rPr>
        <w:t>投标人应具备承担本招标项目资质条件、能力和信誉：</w:t>
      </w:r>
      <w:r>
        <w:rPr>
          <w:rFonts w:hint="eastAsia" w:ascii="宋体" w:hAnsi="宋体"/>
          <w:szCs w:val="21"/>
          <w:u w:val="single"/>
        </w:rPr>
        <w:t>详见招标公告。</w:t>
      </w:r>
    </w:p>
    <w:p>
      <w:pPr>
        <w:pStyle w:val="12"/>
        <w:kinsoku w:val="0"/>
        <w:overflowPunct w:val="0"/>
        <w:spacing w:line="288" w:lineRule="auto"/>
        <w:ind w:firstLine="420" w:firstLineChars="200"/>
        <w:rPr>
          <w:rFonts w:ascii="宋体" w:hAnsi="宋体"/>
          <w:szCs w:val="21"/>
        </w:rPr>
      </w:pPr>
      <w:r>
        <w:rPr>
          <w:rFonts w:ascii="宋体" w:hAnsi="宋体"/>
          <w:szCs w:val="21"/>
        </w:rPr>
        <w:t>1.4.2</w:t>
      </w:r>
      <w:r>
        <w:rPr>
          <w:rFonts w:hint="eastAsia" w:ascii="宋体" w:hAnsi="宋体"/>
          <w:szCs w:val="21"/>
        </w:rPr>
        <w:t>投标人须知前附表规定接受联合体投标的，联合体除应符合本章第</w:t>
      </w:r>
      <w:r>
        <w:rPr>
          <w:rFonts w:ascii="宋体" w:hAnsi="宋体"/>
          <w:szCs w:val="21"/>
        </w:rPr>
        <w:t>1.4.</w:t>
      </w:r>
      <w:r>
        <w:rPr>
          <w:rFonts w:hint="eastAsia" w:ascii="宋体" w:hAnsi="宋体"/>
          <w:szCs w:val="21"/>
        </w:rPr>
        <w:t>2项和投标人须知前附表的要求外，还应遵守以下规定：</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）联合体各方应按招标文件提供的格式签订联合体协议书，明确联合体牵头人和各方权利义务，并承诺就中标项目向招标人承担连带责任；</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）联合体各方不得再以自己名义单独或参加其他联合体在本招标项目中投标，否则各相关投标均无效。</w:t>
      </w:r>
    </w:p>
    <w:p>
      <w:pPr>
        <w:pStyle w:val="12"/>
        <w:kinsoku w:val="0"/>
        <w:overflowPunct w:val="0"/>
        <w:spacing w:line="288" w:lineRule="auto"/>
        <w:ind w:firstLine="420" w:firstLineChars="200"/>
        <w:rPr>
          <w:rFonts w:ascii="宋体" w:hAnsi="宋体"/>
          <w:szCs w:val="21"/>
        </w:rPr>
      </w:pPr>
      <w:r>
        <w:rPr>
          <w:rFonts w:ascii="宋体" w:hAnsi="宋体"/>
          <w:szCs w:val="21"/>
        </w:rPr>
        <w:t>1.4.3</w:t>
      </w:r>
      <w:r>
        <w:rPr>
          <w:rFonts w:hint="eastAsia" w:ascii="宋体" w:hAnsi="宋体"/>
          <w:szCs w:val="21"/>
        </w:rPr>
        <w:t>投标人不得存在下列情形之一：</w:t>
      </w:r>
    </w:p>
    <w:p>
      <w:pPr>
        <w:pStyle w:val="12"/>
        <w:kinsoku w:val="0"/>
        <w:overflowPunct w:val="0"/>
        <w:spacing w:line="288" w:lineRule="auto"/>
        <w:ind w:firstLine="420" w:firstLineChars="200"/>
        <w:rPr>
          <w:rFonts w:ascii="宋体" w:hAnsi="宋体"/>
          <w:szCs w:val="21"/>
        </w:rPr>
      </w:pPr>
      <w:r>
        <w:rPr>
          <w:rFonts w:hint="eastAsia" w:ascii="宋体" w:hAnsi="宋体"/>
          <w:szCs w:val="21"/>
        </w:rPr>
        <w:t>（1）为招标人不具有独立法人资格的附属机构（单位）；</w:t>
      </w:r>
    </w:p>
    <w:p>
      <w:pPr>
        <w:pStyle w:val="12"/>
        <w:kinsoku w:val="0"/>
        <w:overflowPunct w:val="0"/>
        <w:spacing w:line="288" w:lineRule="auto"/>
        <w:ind w:firstLine="420" w:firstLineChars="200"/>
        <w:rPr>
          <w:rFonts w:ascii="宋体" w:hAnsi="宋体"/>
          <w:szCs w:val="21"/>
        </w:rPr>
      </w:pPr>
      <w:r>
        <w:rPr>
          <w:rFonts w:hint="eastAsia" w:ascii="宋体" w:hAnsi="宋体"/>
          <w:szCs w:val="21"/>
        </w:rPr>
        <w:t>（2）与招标人存在利害关系且可能影响招标公正性；</w:t>
      </w:r>
    </w:p>
    <w:p>
      <w:pPr>
        <w:pStyle w:val="12"/>
        <w:kinsoku w:val="0"/>
        <w:overflowPunct w:val="0"/>
        <w:spacing w:line="288" w:lineRule="auto"/>
        <w:ind w:firstLine="420" w:firstLineChars="200"/>
        <w:rPr>
          <w:rFonts w:ascii="宋体" w:hAnsi="宋体"/>
          <w:szCs w:val="21"/>
        </w:rPr>
      </w:pPr>
      <w:r>
        <w:rPr>
          <w:rFonts w:hint="eastAsia" w:ascii="宋体" w:hAnsi="宋体"/>
          <w:szCs w:val="21"/>
        </w:rPr>
        <w:t>（3）与本招标项目的其他投标人为同一个单位负责人；</w:t>
      </w:r>
    </w:p>
    <w:p>
      <w:pPr>
        <w:pStyle w:val="12"/>
        <w:kinsoku w:val="0"/>
        <w:overflowPunct w:val="0"/>
        <w:spacing w:line="288" w:lineRule="auto"/>
        <w:ind w:firstLine="420" w:firstLineChars="200"/>
        <w:rPr>
          <w:rFonts w:ascii="宋体" w:hAnsi="宋体"/>
          <w:szCs w:val="21"/>
        </w:rPr>
      </w:pPr>
      <w:r>
        <w:rPr>
          <w:rFonts w:hint="eastAsia" w:ascii="宋体" w:hAnsi="宋体"/>
          <w:szCs w:val="21"/>
        </w:rPr>
        <w:t>（4）与本招标项目的其他投标人存在控股、管理关系；</w:t>
      </w:r>
    </w:p>
    <w:p>
      <w:pPr>
        <w:pStyle w:val="12"/>
        <w:kinsoku w:val="0"/>
        <w:overflowPunct w:val="0"/>
        <w:spacing w:line="288" w:lineRule="auto"/>
        <w:ind w:firstLine="420" w:firstLineChars="200"/>
        <w:rPr>
          <w:rFonts w:ascii="宋体" w:hAnsi="宋体"/>
          <w:szCs w:val="21"/>
        </w:rPr>
      </w:pPr>
      <w:r>
        <w:rPr>
          <w:rFonts w:hint="eastAsia" w:ascii="宋体" w:hAnsi="宋体"/>
          <w:szCs w:val="21"/>
        </w:rPr>
        <w:t>（5）为本招标项目的代建人；</w:t>
      </w:r>
    </w:p>
    <w:p>
      <w:pPr>
        <w:pStyle w:val="12"/>
        <w:kinsoku w:val="0"/>
        <w:overflowPunct w:val="0"/>
        <w:spacing w:line="288" w:lineRule="auto"/>
        <w:ind w:firstLine="420" w:firstLineChars="200"/>
        <w:rPr>
          <w:rFonts w:ascii="宋体" w:hAnsi="宋体"/>
          <w:szCs w:val="21"/>
        </w:rPr>
      </w:pPr>
      <w:r>
        <w:rPr>
          <w:rFonts w:hint="eastAsia" w:ascii="宋体" w:hAnsi="宋体"/>
          <w:szCs w:val="21"/>
        </w:rPr>
        <w:t>（6）为本招标项目的招标代理机构；</w:t>
      </w:r>
    </w:p>
    <w:p>
      <w:pPr>
        <w:pStyle w:val="12"/>
        <w:kinsoku w:val="0"/>
        <w:overflowPunct w:val="0"/>
        <w:spacing w:line="288" w:lineRule="auto"/>
        <w:ind w:firstLine="420" w:firstLineChars="200"/>
        <w:rPr>
          <w:rFonts w:ascii="宋体" w:hAnsi="宋体"/>
          <w:szCs w:val="21"/>
        </w:rPr>
      </w:pPr>
      <w:r>
        <w:rPr>
          <w:rFonts w:hint="eastAsia" w:ascii="宋体" w:hAnsi="宋体"/>
          <w:szCs w:val="21"/>
        </w:rPr>
        <w:t>（7）与本招标项目的代建人或招标代理机构同为一个法定代表人；</w:t>
      </w:r>
    </w:p>
    <w:p>
      <w:pPr>
        <w:pStyle w:val="12"/>
        <w:kinsoku w:val="0"/>
        <w:overflowPunct w:val="0"/>
        <w:spacing w:line="288" w:lineRule="auto"/>
        <w:ind w:firstLine="420" w:firstLineChars="200"/>
        <w:rPr>
          <w:rFonts w:ascii="宋体" w:hAnsi="宋体"/>
          <w:szCs w:val="21"/>
        </w:rPr>
      </w:pPr>
      <w:r>
        <w:rPr>
          <w:rFonts w:hint="eastAsia" w:ascii="宋体" w:hAnsi="宋体"/>
          <w:szCs w:val="21"/>
        </w:rPr>
        <w:t>（8）与本招标项目的代建人或招标代理机构存在控股或参股关系；</w:t>
      </w:r>
    </w:p>
    <w:p>
      <w:pPr>
        <w:pStyle w:val="12"/>
        <w:kinsoku w:val="0"/>
        <w:overflowPunct w:val="0"/>
        <w:spacing w:line="288" w:lineRule="auto"/>
        <w:ind w:firstLine="420" w:firstLineChars="200"/>
        <w:rPr>
          <w:rFonts w:ascii="宋体" w:hAnsi="宋体"/>
          <w:szCs w:val="21"/>
        </w:rPr>
      </w:pPr>
      <w:r>
        <w:rPr>
          <w:rFonts w:hint="eastAsia" w:ascii="宋体" w:hAnsi="宋体"/>
          <w:szCs w:val="21"/>
        </w:rPr>
        <w:t>（9）与本招标项目的施工承包人以及建筑材料、建筑构配件和设备供应商有隶属关系或者其他利害关系；</w:t>
      </w:r>
    </w:p>
    <w:p>
      <w:pPr>
        <w:pStyle w:val="12"/>
        <w:kinsoku w:val="0"/>
        <w:overflowPunct w:val="0"/>
        <w:spacing w:line="288" w:lineRule="auto"/>
        <w:ind w:firstLine="420" w:firstLineChars="200"/>
        <w:rPr>
          <w:rFonts w:ascii="宋体" w:hAnsi="宋体"/>
          <w:szCs w:val="21"/>
        </w:rPr>
      </w:pPr>
      <w:r>
        <w:rPr>
          <w:rFonts w:hint="eastAsia" w:ascii="宋体" w:hAnsi="宋体"/>
          <w:szCs w:val="21"/>
        </w:rPr>
        <w:t>（10）被依法暂停或者取消投标资格；</w:t>
      </w:r>
    </w:p>
    <w:p>
      <w:pPr>
        <w:pStyle w:val="12"/>
        <w:kinsoku w:val="0"/>
        <w:overflowPunct w:val="0"/>
        <w:spacing w:line="288" w:lineRule="auto"/>
        <w:ind w:firstLine="420" w:firstLineChars="200"/>
        <w:rPr>
          <w:rFonts w:ascii="宋体" w:hAnsi="宋体"/>
          <w:szCs w:val="21"/>
        </w:rPr>
      </w:pPr>
      <w:r>
        <w:rPr>
          <w:rFonts w:hint="eastAsia" w:ascii="宋体" w:hAnsi="宋体"/>
          <w:szCs w:val="21"/>
        </w:rPr>
        <w:t>（11）被责令停产停业、暂扣或者吊销许可证、暂扣或者吊销执照；</w:t>
      </w:r>
    </w:p>
    <w:p>
      <w:pPr>
        <w:pStyle w:val="12"/>
        <w:kinsoku w:val="0"/>
        <w:overflowPunct w:val="0"/>
        <w:spacing w:line="288" w:lineRule="auto"/>
        <w:ind w:firstLine="420" w:firstLineChars="200"/>
        <w:rPr>
          <w:rFonts w:ascii="宋体" w:hAnsi="宋体"/>
          <w:szCs w:val="21"/>
        </w:rPr>
      </w:pPr>
      <w:r>
        <w:rPr>
          <w:rFonts w:hint="eastAsia" w:ascii="宋体" w:hAnsi="宋体"/>
          <w:szCs w:val="21"/>
        </w:rPr>
        <w:t>（12）进入清算程序，或被宣告破产，或其他丧失履约能力的情形；</w:t>
      </w:r>
    </w:p>
    <w:p>
      <w:pPr>
        <w:pStyle w:val="12"/>
        <w:kinsoku w:val="0"/>
        <w:overflowPunct w:val="0"/>
        <w:spacing w:line="288" w:lineRule="auto"/>
        <w:ind w:firstLine="420" w:firstLineChars="200"/>
        <w:rPr>
          <w:rFonts w:ascii="宋体" w:hAnsi="宋体"/>
          <w:szCs w:val="21"/>
        </w:rPr>
      </w:pPr>
      <w:r>
        <w:rPr>
          <w:rFonts w:hint="eastAsia" w:ascii="宋体" w:hAnsi="宋体"/>
          <w:szCs w:val="21"/>
        </w:rPr>
        <w:t>（13）在最近三年内发生重大检测质量问题（以相关行业主管部门的行政处罚决定或司法机关出具的有关法律文书为准）；</w:t>
      </w:r>
    </w:p>
    <w:p>
      <w:pPr>
        <w:pStyle w:val="12"/>
        <w:kinsoku w:val="0"/>
        <w:overflowPunct w:val="0"/>
        <w:spacing w:line="288" w:lineRule="auto"/>
        <w:ind w:firstLine="420" w:firstLineChars="200"/>
        <w:rPr>
          <w:rFonts w:ascii="宋体" w:hAnsi="宋体"/>
          <w:szCs w:val="21"/>
        </w:rPr>
      </w:pPr>
      <w:r>
        <w:rPr>
          <w:rFonts w:hint="eastAsia" w:ascii="宋体" w:hAnsi="宋体"/>
          <w:szCs w:val="21"/>
        </w:rPr>
        <w:t>（14）被工商行政管理机关在全国企业信用信息公示系统中列入严重违法失信企业名单；</w:t>
      </w:r>
    </w:p>
    <w:p>
      <w:pPr>
        <w:pStyle w:val="12"/>
        <w:kinsoku w:val="0"/>
        <w:overflowPunct w:val="0"/>
        <w:spacing w:line="288" w:lineRule="auto"/>
        <w:ind w:firstLine="420" w:firstLineChars="200"/>
        <w:rPr>
          <w:rFonts w:ascii="宋体" w:hAnsi="宋体"/>
          <w:szCs w:val="21"/>
        </w:rPr>
      </w:pPr>
      <w:r>
        <w:rPr>
          <w:rFonts w:hint="eastAsia" w:ascii="宋体" w:hAnsi="宋体"/>
          <w:szCs w:val="21"/>
        </w:rPr>
        <w:t>（15）被最高人民法院在“信用中国”网站（www.creditchina.gov.cn）或各级信用信息共享平台中列入失信被执行人名单；</w:t>
      </w:r>
    </w:p>
    <w:p>
      <w:pPr>
        <w:pStyle w:val="12"/>
        <w:kinsoku w:val="0"/>
        <w:overflowPunct w:val="0"/>
        <w:spacing w:line="288" w:lineRule="auto"/>
        <w:ind w:firstLine="420" w:firstLineChars="200"/>
        <w:rPr>
          <w:rFonts w:ascii="宋体" w:hAnsi="宋体"/>
          <w:szCs w:val="21"/>
        </w:rPr>
      </w:pPr>
      <w:r>
        <w:rPr>
          <w:rFonts w:hint="eastAsia" w:ascii="宋体" w:hAnsi="宋体"/>
          <w:szCs w:val="21"/>
        </w:rPr>
        <w:t>（16）法律法规或投标人须知前附表规定的其他情形。</w:t>
      </w:r>
    </w:p>
    <w:p>
      <w:pPr>
        <w:pStyle w:val="7"/>
      </w:pPr>
      <w:r>
        <w:t xml:space="preserve">1.5 </w:t>
      </w:r>
      <w:r>
        <w:rPr>
          <w:rFonts w:hint="eastAsia"/>
        </w:rPr>
        <w:t>费用承担</w:t>
      </w:r>
    </w:p>
    <w:p>
      <w:pPr>
        <w:pStyle w:val="12"/>
        <w:kinsoku w:val="0"/>
        <w:overflowPunct w:val="0"/>
        <w:spacing w:line="288" w:lineRule="auto"/>
        <w:ind w:firstLine="420" w:firstLineChars="200"/>
        <w:rPr>
          <w:rFonts w:ascii="宋体" w:hAnsi="宋体"/>
          <w:szCs w:val="21"/>
        </w:rPr>
      </w:pPr>
      <w:r>
        <w:rPr>
          <w:rFonts w:hint="eastAsia" w:ascii="宋体" w:hAnsi="宋体"/>
          <w:szCs w:val="21"/>
        </w:rPr>
        <w:t>投标人准备和参加投标活动发生的费用自理。</w:t>
      </w:r>
    </w:p>
    <w:p>
      <w:pPr>
        <w:pStyle w:val="12"/>
        <w:kinsoku w:val="0"/>
        <w:overflowPunct w:val="0"/>
        <w:spacing w:line="288" w:lineRule="auto"/>
        <w:ind w:firstLine="420" w:firstLineChars="200"/>
        <w:rPr>
          <w:rFonts w:ascii="宋体" w:hAnsi="宋体"/>
          <w:szCs w:val="21"/>
        </w:rPr>
      </w:pPr>
    </w:p>
    <w:p>
      <w:pPr>
        <w:pStyle w:val="7"/>
      </w:pPr>
      <w:bookmarkStart w:id="41" w:name="bookmark26"/>
      <w:bookmarkEnd w:id="41"/>
      <w:r>
        <w:t xml:space="preserve">1.6 </w:t>
      </w:r>
      <w:r>
        <w:rPr>
          <w:rFonts w:hint="eastAsia"/>
        </w:rPr>
        <w:t>保密</w:t>
      </w:r>
    </w:p>
    <w:p>
      <w:pPr>
        <w:pStyle w:val="12"/>
        <w:kinsoku w:val="0"/>
        <w:overflowPunct w:val="0"/>
        <w:spacing w:line="288" w:lineRule="auto"/>
        <w:ind w:firstLine="420" w:firstLineChars="200"/>
        <w:rPr>
          <w:rFonts w:ascii="宋体" w:hAnsi="宋体"/>
          <w:szCs w:val="21"/>
        </w:rPr>
      </w:pPr>
      <w:r>
        <w:rPr>
          <w:rFonts w:hint="eastAsia" w:ascii="宋体" w:hAnsi="宋体"/>
          <w:szCs w:val="21"/>
        </w:rPr>
        <w:t>参与招标投标活动的各方应对招标文件和投标文件中的商业和技术等秘密保密，否则应承担相应的法律责任。</w:t>
      </w:r>
    </w:p>
    <w:p>
      <w:pPr>
        <w:pStyle w:val="12"/>
        <w:kinsoku w:val="0"/>
        <w:overflowPunct w:val="0"/>
        <w:spacing w:line="288" w:lineRule="auto"/>
        <w:ind w:firstLine="420" w:firstLineChars="200"/>
        <w:rPr>
          <w:rFonts w:ascii="宋体" w:hAnsi="宋体"/>
          <w:szCs w:val="21"/>
        </w:rPr>
      </w:pPr>
    </w:p>
    <w:p>
      <w:pPr>
        <w:pStyle w:val="7"/>
      </w:pPr>
      <w:bookmarkStart w:id="42" w:name="bookmark27"/>
      <w:bookmarkEnd w:id="42"/>
      <w:r>
        <w:t xml:space="preserve">1.7 </w:t>
      </w:r>
      <w:r>
        <w:rPr>
          <w:rFonts w:hint="eastAsia"/>
        </w:rPr>
        <w:t>语言文字</w:t>
      </w:r>
    </w:p>
    <w:p>
      <w:pPr>
        <w:pStyle w:val="12"/>
        <w:kinsoku w:val="0"/>
        <w:overflowPunct w:val="0"/>
        <w:spacing w:line="288" w:lineRule="auto"/>
        <w:ind w:firstLine="420" w:firstLineChars="200"/>
        <w:rPr>
          <w:rFonts w:ascii="宋体" w:hAnsi="宋体"/>
          <w:szCs w:val="21"/>
        </w:rPr>
      </w:pPr>
      <w:r>
        <w:rPr>
          <w:rFonts w:hint="eastAsia" w:ascii="宋体" w:hAnsi="宋体"/>
          <w:szCs w:val="21"/>
        </w:rPr>
        <w:t>招标投标文件使用的语言文字为中文。专用术语使用外文的，应附有中文注释。</w:t>
      </w:r>
    </w:p>
    <w:p>
      <w:pPr>
        <w:pStyle w:val="12"/>
        <w:kinsoku w:val="0"/>
        <w:overflowPunct w:val="0"/>
        <w:spacing w:line="288" w:lineRule="auto"/>
        <w:ind w:firstLine="420" w:firstLineChars="200"/>
        <w:rPr>
          <w:rFonts w:ascii="宋体" w:hAnsi="宋体"/>
          <w:szCs w:val="21"/>
        </w:rPr>
      </w:pPr>
    </w:p>
    <w:p>
      <w:pPr>
        <w:pStyle w:val="7"/>
      </w:pPr>
      <w:bookmarkStart w:id="43" w:name="bookmark28"/>
      <w:bookmarkEnd w:id="43"/>
      <w:r>
        <w:t xml:space="preserve">1.8 </w:t>
      </w:r>
      <w:r>
        <w:rPr>
          <w:rFonts w:hint="eastAsia"/>
        </w:rPr>
        <w:t>计量单位</w:t>
      </w:r>
    </w:p>
    <w:p>
      <w:pPr>
        <w:pStyle w:val="12"/>
        <w:kinsoku w:val="0"/>
        <w:overflowPunct w:val="0"/>
        <w:spacing w:line="288" w:lineRule="auto"/>
        <w:ind w:firstLine="420" w:firstLineChars="200"/>
        <w:rPr>
          <w:rFonts w:ascii="宋体" w:hAnsi="宋体"/>
          <w:szCs w:val="21"/>
        </w:rPr>
      </w:pPr>
      <w:r>
        <w:rPr>
          <w:rFonts w:hint="eastAsia" w:ascii="宋体" w:hAnsi="宋体"/>
          <w:szCs w:val="21"/>
        </w:rPr>
        <w:t>所有计量均采用中华人民共和国法定计量单位。</w:t>
      </w:r>
    </w:p>
    <w:p>
      <w:pPr>
        <w:pStyle w:val="12"/>
        <w:kinsoku w:val="0"/>
        <w:overflowPunct w:val="0"/>
        <w:spacing w:line="288" w:lineRule="auto"/>
        <w:ind w:firstLine="420" w:firstLineChars="200"/>
        <w:rPr>
          <w:rFonts w:ascii="宋体" w:hAnsi="宋体"/>
          <w:szCs w:val="21"/>
        </w:rPr>
      </w:pPr>
    </w:p>
    <w:p>
      <w:pPr>
        <w:pStyle w:val="7"/>
      </w:pPr>
      <w:bookmarkStart w:id="44" w:name="bookmark29"/>
      <w:bookmarkEnd w:id="44"/>
      <w:r>
        <w:t xml:space="preserve">1.9 </w:t>
      </w:r>
      <w:r>
        <w:rPr>
          <w:rFonts w:hint="eastAsia"/>
        </w:rPr>
        <w:t>踏勘现场</w:t>
      </w:r>
    </w:p>
    <w:p>
      <w:pPr>
        <w:pStyle w:val="12"/>
        <w:kinsoku w:val="0"/>
        <w:overflowPunct w:val="0"/>
        <w:spacing w:line="288" w:lineRule="auto"/>
        <w:ind w:firstLine="420" w:firstLineChars="200"/>
        <w:rPr>
          <w:rFonts w:ascii="宋体" w:hAnsi="宋体"/>
          <w:szCs w:val="21"/>
        </w:rPr>
      </w:pPr>
      <w:r>
        <w:rPr>
          <w:rFonts w:ascii="宋体" w:hAnsi="宋体"/>
          <w:szCs w:val="21"/>
        </w:rPr>
        <w:t>1.9.1</w:t>
      </w:r>
      <w:r>
        <w:rPr>
          <w:rFonts w:hint="eastAsia" w:ascii="宋体" w:hAnsi="宋体"/>
          <w:szCs w:val="21"/>
        </w:rPr>
        <w:t>投标人须知前附表规定组织踏勘现场的，招标人按投标人须知前附表规定的时间、地点组织投标人踏勘项目现场。部分投标人未按时参加踏勘现场的，不影响踏勘现场的正常进行。</w:t>
      </w:r>
    </w:p>
    <w:p>
      <w:pPr>
        <w:pStyle w:val="12"/>
        <w:kinsoku w:val="0"/>
        <w:overflowPunct w:val="0"/>
        <w:spacing w:line="288" w:lineRule="auto"/>
        <w:ind w:firstLine="420" w:firstLineChars="200"/>
        <w:rPr>
          <w:rFonts w:ascii="宋体" w:hAnsi="宋体"/>
          <w:szCs w:val="21"/>
        </w:rPr>
      </w:pPr>
      <w:r>
        <w:rPr>
          <w:rFonts w:ascii="宋体" w:hAnsi="宋体"/>
          <w:szCs w:val="21"/>
        </w:rPr>
        <w:t>1.9.2</w:t>
      </w:r>
      <w:r>
        <w:rPr>
          <w:rFonts w:hint="eastAsia" w:ascii="宋体" w:hAnsi="宋体"/>
          <w:szCs w:val="21"/>
        </w:rPr>
        <w:t>投标人踏勘现场发生的费用自理。</w:t>
      </w:r>
    </w:p>
    <w:p>
      <w:pPr>
        <w:pStyle w:val="12"/>
        <w:kinsoku w:val="0"/>
        <w:overflowPunct w:val="0"/>
        <w:spacing w:line="288" w:lineRule="auto"/>
        <w:ind w:firstLine="420" w:firstLineChars="200"/>
        <w:rPr>
          <w:rFonts w:ascii="宋体" w:hAnsi="宋体"/>
          <w:szCs w:val="21"/>
        </w:rPr>
      </w:pPr>
      <w:r>
        <w:rPr>
          <w:rFonts w:ascii="宋体" w:hAnsi="宋体"/>
          <w:szCs w:val="21"/>
        </w:rPr>
        <w:t>1.9.3</w:t>
      </w:r>
      <w:r>
        <w:rPr>
          <w:rFonts w:hint="eastAsia" w:ascii="宋体" w:hAnsi="宋体"/>
          <w:szCs w:val="21"/>
        </w:rPr>
        <w:t>除招标人的原因外，投标人自行负责在踏勘现场中所发生的人员伤亡和财产损失。</w:t>
      </w:r>
    </w:p>
    <w:p>
      <w:pPr>
        <w:pStyle w:val="12"/>
        <w:kinsoku w:val="0"/>
        <w:overflowPunct w:val="0"/>
        <w:spacing w:line="288" w:lineRule="auto"/>
        <w:ind w:firstLine="420" w:firstLineChars="200"/>
        <w:rPr>
          <w:rFonts w:ascii="宋体" w:hAnsi="宋体"/>
          <w:szCs w:val="21"/>
        </w:rPr>
      </w:pPr>
      <w:r>
        <w:rPr>
          <w:rFonts w:ascii="宋体" w:hAnsi="宋体"/>
          <w:szCs w:val="21"/>
        </w:rPr>
        <w:t>1.9.4</w:t>
      </w:r>
      <w:r>
        <w:rPr>
          <w:rFonts w:hint="eastAsia" w:ascii="宋体" w:hAnsi="宋体"/>
          <w:szCs w:val="21"/>
        </w:rPr>
        <w:t>招标人在踏勘现场中介绍的工程场地和相关的周边环境情况，供投标人在编制投标文件时参考，招标人不对投标人据此作出的判断和决策负责。</w:t>
      </w:r>
    </w:p>
    <w:p>
      <w:pPr>
        <w:pStyle w:val="12"/>
        <w:kinsoku w:val="0"/>
        <w:overflowPunct w:val="0"/>
        <w:spacing w:line="288" w:lineRule="auto"/>
        <w:ind w:firstLine="420" w:firstLineChars="200"/>
        <w:rPr>
          <w:rFonts w:ascii="宋体" w:hAnsi="宋体"/>
          <w:szCs w:val="21"/>
        </w:rPr>
      </w:pPr>
    </w:p>
    <w:p>
      <w:pPr>
        <w:pStyle w:val="7"/>
      </w:pPr>
      <w:bookmarkStart w:id="45" w:name="bookmark30"/>
      <w:bookmarkEnd w:id="45"/>
      <w:r>
        <w:t xml:space="preserve">1.10 </w:t>
      </w:r>
      <w:r>
        <w:rPr>
          <w:rFonts w:hint="eastAsia"/>
        </w:rPr>
        <w:t>投标预备会</w:t>
      </w:r>
    </w:p>
    <w:p>
      <w:pPr>
        <w:pStyle w:val="12"/>
        <w:kinsoku w:val="0"/>
        <w:overflowPunct w:val="0"/>
        <w:spacing w:line="288" w:lineRule="auto"/>
        <w:ind w:firstLine="420" w:firstLineChars="200"/>
        <w:rPr>
          <w:rFonts w:ascii="宋体" w:hAnsi="宋体"/>
          <w:szCs w:val="21"/>
        </w:rPr>
      </w:pPr>
      <w:r>
        <w:rPr>
          <w:rFonts w:ascii="宋体" w:hAnsi="宋体"/>
          <w:szCs w:val="21"/>
        </w:rPr>
        <w:t>1.10.1</w:t>
      </w:r>
      <w:r>
        <w:rPr>
          <w:rFonts w:hint="eastAsia" w:ascii="宋体" w:hAnsi="宋体"/>
          <w:szCs w:val="21"/>
        </w:rPr>
        <w:t>投标人须知前附表规定召开投标预备会的，招标人按投标人须知前附表规定的时间和地点召开投标预备会，澄清投标人提出的问题。</w:t>
      </w:r>
    </w:p>
    <w:p>
      <w:pPr>
        <w:pStyle w:val="12"/>
        <w:kinsoku w:val="0"/>
        <w:overflowPunct w:val="0"/>
        <w:spacing w:line="288" w:lineRule="auto"/>
        <w:ind w:firstLine="420" w:firstLineChars="200"/>
        <w:rPr>
          <w:rFonts w:ascii="宋体" w:hAnsi="宋体"/>
          <w:szCs w:val="21"/>
        </w:rPr>
      </w:pPr>
      <w:r>
        <w:rPr>
          <w:rFonts w:ascii="宋体" w:hAnsi="宋体"/>
          <w:szCs w:val="21"/>
        </w:rPr>
        <w:t>1.10.2</w:t>
      </w:r>
      <w:r>
        <w:rPr>
          <w:rFonts w:hint="eastAsia" w:ascii="宋体" w:hAnsi="宋体"/>
          <w:szCs w:val="21"/>
        </w:rPr>
        <w:t>投标人应按投标人须知前附表规定的时间和形式将提出的问题送达招标人，以便招标人在会议期间澄清。</w:t>
      </w:r>
    </w:p>
    <w:p>
      <w:pPr>
        <w:pStyle w:val="12"/>
        <w:kinsoku w:val="0"/>
        <w:overflowPunct w:val="0"/>
        <w:spacing w:line="288" w:lineRule="auto"/>
        <w:ind w:firstLine="420" w:firstLineChars="200"/>
        <w:rPr>
          <w:rFonts w:ascii="宋体" w:hAnsi="宋体"/>
          <w:szCs w:val="21"/>
        </w:rPr>
      </w:pPr>
      <w:r>
        <w:rPr>
          <w:rFonts w:ascii="宋体" w:hAnsi="宋体"/>
          <w:szCs w:val="21"/>
        </w:rPr>
        <w:t>1.10.3</w:t>
      </w:r>
      <w:r>
        <w:rPr>
          <w:rFonts w:hint="eastAsia" w:ascii="宋体" w:hAnsi="宋体"/>
          <w:szCs w:val="21"/>
        </w:rPr>
        <w:t>投标预备会后，招标人将对投标人所提问题的澄清，以投标人须知前附表规定的形式通知所有潜在投标人。该澄清内容为招标文件的组成部分。</w:t>
      </w:r>
      <w:bookmarkStart w:id="46" w:name="bookmark31"/>
      <w:bookmarkEnd w:id="46"/>
    </w:p>
    <w:p>
      <w:pPr>
        <w:pStyle w:val="12"/>
        <w:kinsoku w:val="0"/>
        <w:overflowPunct w:val="0"/>
        <w:spacing w:line="288" w:lineRule="auto"/>
        <w:ind w:firstLine="420" w:firstLineChars="200"/>
        <w:rPr>
          <w:rFonts w:ascii="宋体" w:hAnsi="宋体"/>
          <w:szCs w:val="21"/>
        </w:rPr>
      </w:pPr>
    </w:p>
    <w:p>
      <w:pPr>
        <w:pStyle w:val="7"/>
      </w:pPr>
      <w:r>
        <w:t xml:space="preserve">1.11 </w:t>
      </w:r>
      <w:r>
        <w:rPr>
          <w:rFonts w:hint="eastAsia"/>
        </w:rPr>
        <w:t>分包</w:t>
      </w:r>
    </w:p>
    <w:p>
      <w:pPr>
        <w:pStyle w:val="12"/>
        <w:kinsoku w:val="0"/>
        <w:overflowPunct w:val="0"/>
        <w:spacing w:line="288" w:lineRule="auto"/>
        <w:ind w:firstLine="420" w:firstLineChars="200"/>
        <w:rPr>
          <w:rFonts w:ascii="宋体" w:hAnsi="宋体"/>
          <w:szCs w:val="21"/>
        </w:rPr>
      </w:pPr>
      <w:r>
        <w:rPr>
          <w:rFonts w:hint="eastAsia" w:ascii="宋体" w:hAnsi="宋体"/>
          <w:szCs w:val="21"/>
          <w:u w:val="single"/>
        </w:rPr>
        <w:t>1.11.1</w:t>
      </w:r>
      <w:r>
        <w:rPr>
          <w:rFonts w:ascii="宋体" w:hAnsi="宋体"/>
          <w:szCs w:val="21"/>
          <w:u w:val="single"/>
        </w:rPr>
        <w:t>对于非主要检测工作，中标人不具备资质的，经招标人同意后可依法分包给具备相关资质的检测单位，分包的检测工作不得再次分包。</w:t>
      </w:r>
      <w:r>
        <w:rPr>
          <w:rFonts w:hint="eastAsia" w:ascii="宋体" w:hAnsi="宋体"/>
          <w:szCs w:val="21"/>
          <w:u w:val="single"/>
        </w:rPr>
        <w:t>具体约定按合同相应条款执行。</w:t>
      </w:r>
    </w:p>
    <w:p>
      <w:pPr>
        <w:pStyle w:val="7"/>
      </w:pPr>
      <w:bookmarkStart w:id="47" w:name="bookmark32"/>
      <w:bookmarkEnd w:id="47"/>
      <w:r>
        <w:t xml:space="preserve">1.12 </w:t>
      </w:r>
      <w:r>
        <w:rPr>
          <w:rFonts w:hint="eastAsia"/>
        </w:rPr>
        <w:t>响应和偏差</w:t>
      </w:r>
    </w:p>
    <w:p>
      <w:pPr>
        <w:pStyle w:val="12"/>
        <w:kinsoku w:val="0"/>
        <w:overflowPunct w:val="0"/>
        <w:spacing w:line="288" w:lineRule="auto"/>
        <w:ind w:firstLine="420" w:firstLineChars="200"/>
        <w:rPr>
          <w:rFonts w:ascii="宋体" w:hAnsi="宋体"/>
          <w:szCs w:val="21"/>
        </w:rPr>
      </w:pPr>
      <w:r>
        <w:rPr>
          <w:rFonts w:ascii="宋体" w:hAnsi="宋体"/>
          <w:szCs w:val="21"/>
        </w:rPr>
        <w:t>1.12.1</w:t>
      </w:r>
      <w:r>
        <w:rPr>
          <w:rFonts w:hint="eastAsia" w:ascii="宋体" w:hAnsi="宋体"/>
          <w:szCs w:val="21"/>
        </w:rPr>
        <w:t>投标文件应当对招标文件的实质性要求和条件作出满足性或更有利于招标人的响应，否则，投标人的投标将被否决。实质性要求和条件见投标人须知前附表。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1.12.2</w:t>
      </w:r>
      <w:r>
        <w:rPr>
          <w:rFonts w:hint="eastAsia" w:ascii="宋体" w:hAnsi="宋体"/>
          <w:szCs w:val="21"/>
        </w:rPr>
        <w:t>投标人应根据招标文件的要求提供技术方案等内容以对招标文件作出响应。</w:t>
      </w:r>
    </w:p>
    <w:p>
      <w:pPr>
        <w:pStyle w:val="12"/>
        <w:kinsoku w:val="0"/>
        <w:overflowPunct w:val="0"/>
        <w:spacing w:line="288" w:lineRule="auto"/>
        <w:ind w:firstLine="420" w:firstLineChars="200"/>
        <w:rPr>
          <w:rFonts w:ascii="宋体" w:hAnsi="宋体"/>
          <w:szCs w:val="21"/>
        </w:rPr>
      </w:pPr>
      <w:r>
        <w:rPr>
          <w:rFonts w:ascii="宋体" w:hAnsi="宋体"/>
          <w:szCs w:val="21"/>
        </w:rPr>
        <w:t>1.12.3</w:t>
      </w:r>
      <w:r>
        <w:rPr>
          <w:rFonts w:hint="eastAsia" w:ascii="宋体" w:hAnsi="宋体"/>
          <w:szCs w:val="21"/>
        </w:rPr>
        <w:t>投标人须知前附表允许投标文件偏离招标文件某些要求的，偏差应当符合招标文件规定的偏差范围和幅度。</w:t>
      </w:r>
    </w:p>
    <w:p>
      <w:pPr>
        <w:pStyle w:val="5"/>
      </w:pPr>
      <w:bookmarkStart w:id="48" w:name="_Toc533357309"/>
      <w:bookmarkStart w:id="49" w:name="_Toc10251"/>
      <w:r>
        <w:t xml:space="preserve">2. </w:t>
      </w:r>
      <w:r>
        <w:rPr>
          <w:rFonts w:hint="eastAsia"/>
        </w:rPr>
        <w:t>招标文件</w:t>
      </w:r>
      <w:bookmarkEnd w:id="48"/>
      <w:bookmarkEnd w:id="49"/>
    </w:p>
    <w:p>
      <w:pPr>
        <w:pStyle w:val="7"/>
      </w:pPr>
      <w:bookmarkStart w:id="50" w:name="bookmark34"/>
      <w:bookmarkEnd w:id="50"/>
      <w:r>
        <w:t xml:space="preserve">2.1 </w:t>
      </w:r>
      <w:r>
        <w:rPr>
          <w:rFonts w:hint="eastAsia"/>
        </w:rPr>
        <w:t>招标文件的组成</w:t>
      </w:r>
    </w:p>
    <w:p>
      <w:pPr>
        <w:pStyle w:val="12"/>
        <w:kinsoku w:val="0"/>
        <w:overflowPunct w:val="0"/>
        <w:spacing w:line="288" w:lineRule="auto"/>
        <w:ind w:firstLine="420" w:firstLineChars="200"/>
        <w:rPr>
          <w:rFonts w:ascii="宋体" w:hAnsi="宋体"/>
          <w:szCs w:val="21"/>
        </w:rPr>
      </w:pPr>
      <w:r>
        <w:rPr>
          <w:rFonts w:hint="eastAsia" w:ascii="宋体" w:hAnsi="宋体"/>
          <w:szCs w:val="21"/>
        </w:rPr>
        <w:t>本招标文件包括：</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）招标公告；</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）投标人须知；</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）评标办法；</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）合同条款及格式；</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）委托人要求；</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）投标文件格式；</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）投标人须知前附表规定的其他资料。</w:t>
      </w:r>
    </w:p>
    <w:p>
      <w:pPr>
        <w:pStyle w:val="12"/>
        <w:kinsoku w:val="0"/>
        <w:overflowPunct w:val="0"/>
        <w:spacing w:line="288" w:lineRule="auto"/>
        <w:rPr>
          <w:rFonts w:ascii="宋体" w:hAnsi="宋体"/>
          <w:szCs w:val="21"/>
        </w:rPr>
      </w:pPr>
      <w:r>
        <w:rPr>
          <w:rFonts w:hint="eastAsia" w:ascii="宋体" w:hAnsi="宋体"/>
          <w:szCs w:val="21"/>
        </w:rPr>
        <w:t>根据本章第</w:t>
      </w:r>
      <w:r>
        <w:rPr>
          <w:rFonts w:ascii="宋体" w:hAnsi="宋体"/>
          <w:szCs w:val="21"/>
        </w:rPr>
        <w:t>1.10</w:t>
      </w:r>
      <w:r>
        <w:rPr>
          <w:rFonts w:hint="eastAsia" w:ascii="宋体" w:hAnsi="宋体"/>
          <w:szCs w:val="21"/>
        </w:rPr>
        <w:t>款、第</w:t>
      </w:r>
      <w:r>
        <w:rPr>
          <w:rFonts w:ascii="宋体" w:hAnsi="宋体"/>
          <w:szCs w:val="21"/>
        </w:rPr>
        <w:t>2.2</w:t>
      </w:r>
      <w:r>
        <w:rPr>
          <w:rFonts w:hint="eastAsia" w:ascii="宋体" w:hAnsi="宋体"/>
          <w:szCs w:val="21"/>
        </w:rPr>
        <w:t>款和第</w:t>
      </w:r>
      <w:r>
        <w:rPr>
          <w:rFonts w:ascii="宋体" w:hAnsi="宋体"/>
          <w:szCs w:val="21"/>
        </w:rPr>
        <w:t>2.3</w:t>
      </w:r>
      <w:r>
        <w:rPr>
          <w:rFonts w:hint="eastAsia" w:ascii="宋体" w:hAnsi="宋体"/>
          <w:szCs w:val="21"/>
        </w:rPr>
        <w:t>款对招标文件所作的澄清、修改，构成招标文件的组成部分。</w:t>
      </w:r>
    </w:p>
    <w:p>
      <w:pPr>
        <w:pStyle w:val="7"/>
      </w:pPr>
      <w:bookmarkStart w:id="51" w:name="bookmark35"/>
      <w:bookmarkEnd w:id="51"/>
      <w:r>
        <w:t xml:space="preserve">2.2 </w:t>
      </w:r>
      <w:r>
        <w:rPr>
          <w:rFonts w:hint="eastAsia"/>
        </w:rPr>
        <w:t>招标文件的澄清</w:t>
      </w:r>
    </w:p>
    <w:p>
      <w:pPr>
        <w:pStyle w:val="12"/>
        <w:kinsoku w:val="0"/>
        <w:overflowPunct w:val="0"/>
        <w:spacing w:line="288" w:lineRule="auto"/>
        <w:ind w:firstLine="420" w:firstLineChars="200"/>
        <w:rPr>
          <w:rFonts w:ascii="宋体" w:hAnsi="宋体"/>
          <w:szCs w:val="21"/>
        </w:rPr>
      </w:pPr>
      <w:r>
        <w:rPr>
          <w:rFonts w:ascii="宋体" w:hAnsi="宋体"/>
          <w:szCs w:val="21"/>
        </w:rPr>
        <w:t>2.2.1</w:t>
      </w:r>
      <w:r>
        <w:rPr>
          <w:rFonts w:hint="eastAsia" w:ascii="宋体" w:hAnsi="宋体"/>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kinsoku w:val="0"/>
        <w:overflowPunct w:val="0"/>
        <w:spacing w:line="288" w:lineRule="auto"/>
        <w:ind w:firstLine="420" w:firstLineChars="200"/>
        <w:rPr>
          <w:rFonts w:ascii="宋体" w:hAnsi="宋体"/>
          <w:szCs w:val="21"/>
        </w:rPr>
      </w:pPr>
      <w:r>
        <w:rPr>
          <w:rFonts w:ascii="宋体" w:hAnsi="宋体"/>
          <w:szCs w:val="21"/>
        </w:rPr>
        <w:t>2.2.2</w:t>
      </w:r>
      <w:r>
        <w:rPr>
          <w:rFonts w:hint="eastAsia" w:ascii="宋体" w:hAnsi="宋体"/>
          <w:szCs w:val="21"/>
        </w:rPr>
        <w:t>招标文件的澄清以投标人须知前附表规定的形式发给所有潜在投标人，但不指明澄清问题的来源。澄清发出的时间距本章第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日的，并且澄清内容可能影响投标文件编制的，将相应延长投标截止时间。</w:t>
      </w:r>
    </w:p>
    <w:p>
      <w:pPr>
        <w:pStyle w:val="12"/>
        <w:kinsoku w:val="0"/>
        <w:overflowPunct w:val="0"/>
        <w:spacing w:line="288" w:lineRule="auto"/>
        <w:ind w:firstLine="420" w:firstLineChars="200"/>
        <w:rPr>
          <w:rFonts w:ascii="宋体" w:hAnsi="宋体"/>
          <w:szCs w:val="21"/>
        </w:rPr>
      </w:pPr>
      <w:r>
        <w:rPr>
          <w:rFonts w:ascii="宋体" w:hAnsi="宋体"/>
          <w:szCs w:val="21"/>
        </w:rPr>
        <w:t xml:space="preserve">2.2.3 </w:t>
      </w:r>
      <w:r>
        <w:rPr>
          <w:rFonts w:hint="eastAsia" w:ascii="宋体" w:hAnsi="宋体"/>
          <w:szCs w:val="21"/>
        </w:rPr>
        <w:t>投标人在收到澄清后，应按投标人须知前附表规定的时间和形式通知</w:t>
      </w:r>
      <w:r>
        <w:rPr>
          <w:rFonts w:hint="eastAsia" w:ascii="宋体" w:hAnsi="宋体"/>
          <w:sz w:val="24"/>
          <w:szCs w:val="24"/>
        </w:rPr>
        <w:t>招标人，</w:t>
      </w:r>
      <w:r>
        <w:rPr>
          <w:rFonts w:hint="eastAsia" w:ascii="宋体" w:hAnsi="宋体"/>
          <w:szCs w:val="21"/>
        </w:rPr>
        <w:t>确认已收到该澄清。</w:t>
      </w:r>
    </w:p>
    <w:p>
      <w:pPr>
        <w:pStyle w:val="12"/>
        <w:kinsoku w:val="0"/>
        <w:overflowPunct w:val="0"/>
        <w:spacing w:line="288" w:lineRule="auto"/>
        <w:ind w:firstLine="420" w:firstLineChars="200"/>
        <w:rPr>
          <w:rFonts w:ascii="宋体" w:hAnsi="宋体"/>
          <w:szCs w:val="21"/>
        </w:rPr>
      </w:pPr>
      <w:r>
        <w:rPr>
          <w:rFonts w:ascii="宋体" w:hAnsi="宋体"/>
          <w:szCs w:val="21"/>
        </w:rPr>
        <w:t>2.2.4</w:t>
      </w:r>
      <w:r>
        <w:rPr>
          <w:rFonts w:hint="eastAsia" w:ascii="宋体" w:hAnsi="宋体"/>
          <w:szCs w:val="21"/>
        </w:rPr>
        <w:t>除非招标人认为确有必要答复，否则，招标人有权拒绝回复投标人在本章第</w:t>
      </w:r>
      <w:r>
        <w:rPr>
          <w:rFonts w:ascii="宋体" w:hAnsi="宋体"/>
          <w:szCs w:val="21"/>
        </w:rPr>
        <w:t>2.2.1</w:t>
      </w:r>
      <w:r>
        <w:rPr>
          <w:rFonts w:hint="eastAsia" w:ascii="宋体" w:hAnsi="宋体"/>
          <w:szCs w:val="21"/>
        </w:rPr>
        <w:t>项规定的时间后的任何澄清要求。</w:t>
      </w:r>
    </w:p>
    <w:p>
      <w:pPr>
        <w:pStyle w:val="12"/>
        <w:kinsoku w:val="0"/>
        <w:overflowPunct w:val="0"/>
        <w:spacing w:line="288" w:lineRule="auto"/>
        <w:ind w:firstLine="420" w:firstLineChars="200"/>
        <w:rPr>
          <w:rFonts w:ascii="宋体" w:hAnsi="宋体"/>
          <w:szCs w:val="21"/>
        </w:rPr>
      </w:pPr>
    </w:p>
    <w:p>
      <w:pPr>
        <w:pStyle w:val="7"/>
      </w:pPr>
      <w:bookmarkStart w:id="52" w:name="bookmark36"/>
      <w:bookmarkEnd w:id="52"/>
      <w:r>
        <w:t xml:space="preserve">2.3 </w:t>
      </w:r>
      <w:r>
        <w:rPr>
          <w:rFonts w:hint="eastAsia"/>
        </w:rPr>
        <w:t>招标文件的修改</w:t>
      </w:r>
    </w:p>
    <w:p>
      <w:pPr>
        <w:pStyle w:val="12"/>
        <w:kinsoku w:val="0"/>
        <w:overflowPunct w:val="0"/>
        <w:spacing w:line="288" w:lineRule="auto"/>
        <w:ind w:firstLine="420" w:firstLineChars="200"/>
        <w:rPr>
          <w:rFonts w:ascii="宋体" w:hAnsi="宋体"/>
          <w:szCs w:val="21"/>
        </w:rPr>
      </w:pPr>
      <w:r>
        <w:rPr>
          <w:rFonts w:ascii="宋体" w:hAnsi="宋体"/>
          <w:szCs w:val="21"/>
        </w:rPr>
        <w:t>2.3.1</w:t>
      </w:r>
      <w:r>
        <w:rPr>
          <w:rFonts w:hint="eastAsia" w:ascii="宋体" w:hAnsi="宋体"/>
          <w:szCs w:val="21"/>
        </w:rPr>
        <w:t>招标人以投标人须知前附表规定的形式修改招标文件，并通知所有潜在投标人。修改招标文件的时间距本章第</w:t>
      </w:r>
      <w:r>
        <w:rPr>
          <w:rFonts w:ascii="宋体" w:hAnsi="宋体"/>
          <w:szCs w:val="21"/>
        </w:rPr>
        <w:t>4.2.1</w:t>
      </w:r>
      <w:r>
        <w:rPr>
          <w:rFonts w:hint="eastAsia" w:ascii="宋体" w:hAnsi="宋体"/>
          <w:szCs w:val="21"/>
        </w:rPr>
        <w:t>项规定的投标截止时间不足</w:t>
      </w:r>
      <w:r>
        <w:rPr>
          <w:rFonts w:ascii="宋体" w:hAnsi="宋体"/>
          <w:szCs w:val="21"/>
        </w:rPr>
        <w:t>15</w:t>
      </w:r>
      <w:r>
        <w:rPr>
          <w:rFonts w:hint="eastAsia" w:ascii="宋体" w:hAnsi="宋体"/>
          <w:szCs w:val="21"/>
        </w:rPr>
        <w:t>日的，并且修改内容可能影响投标文件编制的，将相应延长投标截止时间。</w:t>
      </w:r>
    </w:p>
    <w:p>
      <w:pPr>
        <w:pStyle w:val="12"/>
        <w:kinsoku w:val="0"/>
        <w:overflowPunct w:val="0"/>
        <w:spacing w:line="288" w:lineRule="auto"/>
        <w:ind w:firstLine="420" w:firstLineChars="200"/>
        <w:rPr>
          <w:rFonts w:ascii="宋体" w:hAnsi="宋体"/>
          <w:szCs w:val="21"/>
        </w:rPr>
      </w:pPr>
      <w:r>
        <w:rPr>
          <w:rFonts w:ascii="宋体" w:hAnsi="宋体"/>
          <w:szCs w:val="21"/>
        </w:rPr>
        <w:t>2.3.2</w:t>
      </w:r>
      <w:r>
        <w:rPr>
          <w:rFonts w:hint="eastAsia" w:ascii="宋体" w:hAnsi="宋体"/>
          <w:szCs w:val="21"/>
        </w:rPr>
        <w:t>投标人收到修改内容后，应按投标人须知前附表规定的时间和形式通知招标人，确认已收到该修改。</w:t>
      </w:r>
    </w:p>
    <w:p>
      <w:pPr>
        <w:pStyle w:val="12"/>
        <w:kinsoku w:val="0"/>
        <w:overflowPunct w:val="0"/>
        <w:spacing w:line="288" w:lineRule="auto"/>
        <w:ind w:firstLine="420" w:firstLineChars="200"/>
        <w:rPr>
          <w:rFonts w:ascii="宋体" w:hAnsi="宋体"/>
          <w:szCs w:val="21"/>
        </w:rPr>
      </w:pPr>
    </w:p>
    <w:p>
      <w:pPr>
        <w:pStyle w:val="7"/>
      </w:pPr>
      <w:bookmarkStart w:id="53" w:name="bookmark37"/>
      <w:bookmarkEnd w:id="53"/>
      <w:r>
        <w:t xml:space="preserve">2.4 </w:t>
      </w:r>
      <w:r>
        <w:rPr>
          <w:rFonts w:hint="eastAsia"/>
        </w:rPr>
        <w:t>招标文件的异议</w:t>
      </w:r>
    </w:p>
    <w:p>
      <w:pPr>
        <w:pStyle w:val="12"/>
        <w:kinsoku w:val="0"/>
        <w:overflowPunct w:val="0"/>
        <w:spacing w:line="288" w:lineRule="auto"/>
        <w:ind w:firstLine="420" w:firstLineChars="200"/>
        <w:rPr>
          <w:rFonts w:ascii="宋体" w:hAnsi="宋体"/>
          <w:szCs w:val="21"/>
        </w:rPr>
      </w:pPr>
      <w:r>
        <w:rPr>
          <w:rFonts w:hint="eastAsia" w:ascii="宋体" w:hAnsi="宋体"/>
          <w:szCs w:val="21"/>
        </w:rPr>
        <w:t>投标人或者其他利害关系人对招标文件有异议的，应当在投标截止时间</w:t>
      </w:r>
      <w:r>
        <w:rPr>
          <w:rFonts w:ascii="宋体" w:hAnsi="宋体"/>
          <w:szCs w:val="21"/>
        </w:rPr>
        <w:t>10</w:t>
      </w:r>
      <w:r>
        <w:rPr>
          <w:rFonts w:hint="eastAsia" w:ascii="宋体" w:hAnsi="宋体"/>
          <w:szCs w:val="21"/>
        </w:rPr>
        <w:t>日前以书面形式提出。招标人将在收到异议之日起</w:t>
      </w:r>
      <w:r>
        <w:rPr>
          <w:rFonts w:ascii="宋体" w:hAnsi="宋体"/>
          <w:szCs w:val="21"/>
        </w:rPr>
        <w:t>3</w:t>
      </w:r>
      <w:r>
        <w:rPr>
          <w:rFonts w:hint="eastAsia" w:ascii="宋体" w:hAnsi="宋体"/>
          <w:szCs w:val="21"/>
        </w:rPr>
        <w:t>日内作出答复;作出答复前,将暂停招标投标活动。</w:t>
      </w:r>
    </w:p>
    <w:p>
      <w:pPr>
        <w:pStyle w:val="12"/>
        <w:kinsoku w:val="0"/>
        <w:overflowPunct w:val="0"/>
        <w:spacing w:line="288" w:lineRule="auto"/>
        <w:ind w:firstLine="420" w:firstLineChars="200"/>
        <w:rPr>
          <w:rFonts w:ascii="宋体" w:hAnsi="宋体"/>
          <w:szCs w:val="21"/>
        </w:rPr>
      </w:pPr>
    </w:p>
    <w:p>
      <w:pPr>
        <w:pStyle w:val="5"/>
      </w:pPr>
      <w:bookmarkStart w:id="54" w:name="_Toc533357310"/>
      <w:bookmarkStart w:id="55" w:name="_Toc7990"/>
      <w:r>
        <w:t xml:space="preserve">3. </w:t>
      </w:r>
      <w:r>
        <w:rPr>
          <w:rFonts w:hint="eastAsia"/>
        </w:rPr>
        <w:t>投标文件</w:t>
      </w:r>
      <w:bookmarkEnd w:id="54"/>
      <w:bookmarkEnd w:id="55"/>
    </w:p>
    <w:p>
      <w:pPr>
        <w:pStyle w:val="7"/>
        <w:ind w:firstLine="420"/>
      </w:pPr>
      <w:bookmarkStart w:id="56" w:name="bookmark39"/>
      <w:bookmarkEnd w:id="56"/>
      <w:r>
        <w:t xml:space="preserve">3.1 </w:t>
      </w:r>
      <w:r>
        <w:rPr>
          <w:rFonts w:hint="eastAsia"/>
        </w:rPr>
        <w:t>投标文件的组成</w:t>
      </w:r>
    </w:p>
    <w:p>
      <w:pPr>
        <w:pStyle w:val="12"/>
        <w:kinsoku w:val="0"/>
        <w:overflowPunct w:val="0"/>
        <w:spacing w:line="288" w:lineRule="auto"/>
        <w:ind w:firstLine="420" w:firstLineChars="200"/>
        <w:rPr>
          <w:rFonts w:ascii="宋体" w:hAnsi="宋体"/>
          <w:szCs w:val="21"/>
        </w:rPr>
      </w:pPr>
      <w:r>
        <w:rPr>
          <w:rFonts w:ascii="宋体" w:hAnsi="宋体"/>
          <w:szCs w:val="21"/>
        </w:rPr>
        <w:t>3.1.1</w:t>
      </w:r>
      <w:r>
        <w:rPr>
          <w:rFonts w:hint="eastAsia" w:ascii="宋体" w:hAnsi="宋体"/>
          <w:szCs w:val="21"/>
        </w:rPr>
        <w:t>投标文件应包括下列内容：</w:t>
      </w:r>
    </w:p>
    <w:p>
      <w:pPr>
        <w:pStyle w:val="12"/>
        <w:kinsoku w:val="0"/>
        <w:overflowPunct w:val="0"/>
        <w:spacing w:line="288" w:lineRule="auto"/>
        <w:ind w:firstLine="420" w:firstLineChars="200"/>
        <w:rPr>
          <w:rFonts w:ascii="宋体" w:hAnsi="宋体"/>
          <w:szCs w:val="21"/>
        </w:rPr>
      </w:pPr>
      <w:r>
        <w:rPr>
          <w:rFonts w:hint="eastAsia" w:ascii="宋体" w:hAnsi="宋体"/>
          <w:szCs w:val="21"/>
        </w:rPr>
        <w:t>（1）投标函及其附表；</w:t>
      </w:r>
    </w:p>
    <w:p>
      <w:pPr>
        <w:pStyle w:val="12"/>
        <w:kinsoku w:val="0"/>
        <w:overflowPunct w:val="0"/>
        <w:spacing w:line="288" w:lineRule="auto"/>
        <w:ind w:firstLine="420" w:firstLineChars="200"/>
        <w:rPr>
          <w:rFonts w:ascii="宋体" w:hAnsi="宋体"/>
          <w:szCs w:val="21"/>
        </w:rPr>
      </w:pPr>
      <w:r>
        <w:rPr>
          <w:rFonts w:hint="eastAsia" w:ascii="宋体" w:hAnsi="宋体"/>
          <w:szCs w:val="21"/>
        </w:rPr>
        <w:t>（2）法定代表人证明书及授权委托书；</w:t>
      </w:r>
    </w:p>
    <w:p>
      <w:pPr>
        <w:pStyle w:val="12"/>
        <w:kinsoku w:val="0"/>
        <w:overflowPunct w:val="0"/>
        <w:spacing w:line="288" w:lineRule="auto"/>
        <w:ind w:firstLine="420" w:firstLineChars="200"/>
        <w:rPr>
          <w:rFonts w:ascii="宋体" w:hAnsi="宋体"/>
          <w:szCs w:val="21"/>
        </w:rPr>
      </w:pPr>
      <w:r>
        <w:rPr>
          <w:rFonts w:hint="eastAsia" w:ascii="宋体" w:hAnsi="宋体"/>
          <w:szCs w:val="21"/>
        </w:rPr>
        <w:t>（3）投标保证金；</w:t>
      </w:r>
    </w:p>
    <w:p>
      <w:pPr>
        <w:pStyle w:val="12"/>
        <w:kinsoku w:val="0"/>
        <w:overflowPunct w:val="0"/>
        <w:spacing w:line="288" w:lineRule="auto"/>
        <w:ind w:firstLine="420" w:firstLineChars="200"/>
        <w:rPr>
          <w:rFonts w:ascii="宋体" w:hAnsi="宋体"/>
          <w:szCs w:val="21"/>
        </w:rPr>
      </w:pPr>
      <w:r>
        <w:rPr>
          <w:rFonts w:hint="eastAsia" w:ascii="宋体" w:hAnsi="宋体"/>
          <w:szCs w:val="21"/>
        </w:rPr>
        <w:t>（4）投标报价书；</w:t>
      </w:r>
    </w:p>
    <w:p>
      <w:pPr>
        <w:pStyle w:val="12"/>
        <w:kinsoku w:val="0"/>
        <w:overflowPunct w:val="0"/>
        <w:spacing w:line="288" w:lineRule="auto"/>
        <w:ind w:firstLine="420" w:firstLineChars="200"/>
        <w:rPr>
          <w:rFonts w:ascii="宋体" w:hAnsi="宋体"/>
          <w:szCs w:val="21"/>
        </w:rPr>
      </w:pPr>
      <w:r>
        <w:rPr>
          <w:rFonts w:hint="eastAsia" w:ascii="宋体" w:hAnsi="宋体"/>
          <w:szCs w:val="21"/>
        </w:rPr>
        <w:t>（5）资格审查资料；</w:t>
      </w:r>
    </w:p>
    <w:p>
      <w:pPr>
        <w:pStyle w:val="12"/>
        <w:kinsoku w:val="0"/>
        <w:overflowPunct w:val="0"/>
        <w:spacing w:line="288" w:lineRule="auto"/>
        <w:ind w:firstLine="420" w:firstLineChars="200"/>
        <w:rPr>
          <w:rFonts w:ascii="宋体" w:hAnsi="宋体"/>
          <w:szCs w:val="21"/>
        </w:rPr>
      </w:pPr>
      <w:r>
        <w:rPr>
          <w:rFonts w:hint="eastAsia" w:ascii="宋体" w:hAnsi="宋体"/>
          <w:szCs w:val="21"/>
        </w:rPr>
        <w:t>（6）类似项目情况表；</w:t>
      </w:r>
    </w:p>
    <w:p>
      <w:pPr>
        <w:pStyle w:val="12"/>
        <w:kinsoku w:val="0"/>
        <w:overflowPunct w:val="0"/>
        <w:spacing w:line="288" w:lineRule="auto"/>
        <w:ind w:firstLine="420" w:firstLineChars="200"/>
        <w:rPr>
          <w:rFonts w:ascii="宋体" w:hAnsi="宋体"/>
          <w:szCs w:val="21"/>
        </w:rPr>
      </w:pPr>
      <w:r>
        <w:rPr>
          <w:rFonts w:hint="eastAsia" w:ascii="宋体" w:hAnsi="宋体"/>
          <w:szCs w:val="21"/>
        </w:rPr>
        <w:t>（7）拟投入本项目的检测人员一览表；</w:t>
      </w:r>
    </w:p>
    <w:p>
      <w:pPr>
        <w:pStyle w:val="12"/>
        <w:kinsoku w:val="0"/>
        <w:overflowPunct w:val="0"/>
        <w:spacing w:line="288" w:lineRule="auto"/>
        <w:ind w:firstLine="420" w:firstLineChars="200"/>
        <w:rPr>
          <w:rFonts w:ascii="宋体" w:hAnsi="宋体"/>
          <w:szCs w:val="21"/>
        </w:rPr>
      </w:pPr>
      <w:r>
        <w:rPr>
          <w:rFonts w:hint="eastAsia" w:ascii="宋体" w:hAnsi="宋体"/>
          <w:szCs w:val="21"/>
        </w:rPr>
        <w:t>（8）拟投入本项目的检测人员简历表；</w:t>
      </w:r>
    </w:p>
    <w:p>
      <w:pPr>
        <w:pStyle w:val="12"/>
        <w:kinsoku w:val="0"/>
        <w:overflowPunct w:val="0"/>
        <w:spacing w:line="288" w:lineRule="auto"/>
        <w:ind w:firstLine="420" w:firstLineChars="200"/>
        <w:rPr>
          <w:rFonts w:ascii="宋体" w:hAnsi="宋体"/>
          <w:szCs w:val="21"/>
        </w:rPr>
      </w:pPr>
      <w:r>
        <w:rPr>
          <w:rFonts w:hint="eastAsia" w:ascii="宋体" w:hAnsi="宋体"/>
          <w:szCs w:val="21"/>
        </w:rPr>
        <w:t>（9）拟投入本项目的主要仪器设备一览表；</w:t>
      </w:r>
    </w:p>
    <w:p>
      <w:pPr>
        <w:pStyle w:val="12"/>
        <w:kinsoku w:val="0"/>
        <w:overflowPunct w:val="0"/>
        <w:spacing w:line="288" w:lineRule="auto"/>
        <w:ind w:firstLine="420" w:firstLineChars="200"/>
        <w:rPr>
          <w:rFonts w:ascii="宋体" w:hAnsi="宋体"/>
          <w:szCs w:val="21"/>
        </w:rPr>
      </w:pPr>
      <w:r>
        <w:rPr>
          <w:rFonts w:hint="eastAsia" w:ascii="宋体" w:hAnsi="宋体"/>
          <w:szCs w:val="21"/>
        </w:rPr>
        <w:t>（10）检测方案；</w:t>
      </w:r>
    </w:p>
    <w:p>
      <w:pPr>
        <w:pStyle w:val="12"/>
        <w:kinsoku w:val="0"/>
        <w:overflowPunct w:val="0"/>
        <w:spacing w:line="288" w:lineRule="auto"/>
        <w:ind w:firstLine="420" w:firstLineChars="200"/>
        <w:rPr>
          <w:rFonts w:ascii="宋体" w:hAnsi="宋体"/>
          <w:szCs w:val="21"/>
        </w:rPr>
      </w:pPr>
      <w:r>
        <w:rPr>
          <w:rFonts w:hint="eastAsia" w:ascii="宋体" w:hAnsi="宋体"/>
          <w:szCs w:val="21"/>
        </w:rPr>
        <w:t>（11）其他资料。投标人须知前附表规定的其他资料，投标人认为有必要提交的其他资料。投标人在评标过程中作出的符合法律法规和招标文件规定的澄清确认，构成投标文件的组成部分。</w:t>
      </w:r>
    </w:p>
    <w:p>
      <w:pPr>
        <w:pStyle w:val="12"/>
        <w:kinsoku w:val="0"/>
        <w:overflowPunct w:val="0"/>
        <w:spacing w:line="288" w:lineRule="auto"/>
        <w:ind w:firstLine="420" w:firstLineChars="200"/>
        <w:rPr>
          <w:rFonts w:ascii="宋体" w:hAnsi="宋体"/>
          <w:szCs w:val="21"/>
        </w:rPr>
      </w:pPr>
      <w:r>
        <w:rPr>
          <w:rFonts w:ascii="宋体" w:hAnsi="宋体"/>
          <w:szCs w:val="21"/>
        </w:rPr>
        <w:t>3.1.2</w:t>
      </w:r>
      <w:r>
        <w:rPr>
          <w:rFonts w:hint="eastAsia" w:ascii="宋体" w:hAnsi="宋体"/>
          <w:szCs w:val="21"/>
        </w:rPr>
        <w:t>投标人须知前附表规定不接受联合体投标的，或投标人没有组成联合体的，投标文件不包括本章第</w:t>
      </w:r>
      <w:r>
        <w:rPr>
          <w:rFonts w:ascii="宋体" w:hAnsi="宋体"/>
          <w:szCs w:val="21"/>
        </w:rPr>
        <w:t>3.1.1</w:t>
      </w:r>
      <w:r>
        <w:rPr>
          <w:rFonts w:hint="eastAsia" w:ascii="宋体" w:hAnsi="宋体"/>
          <w:szCs w:val="21"/>
        </w:rPr>
        <w:t>所指的联合体协议书。</w:t>
      </w:r>
    </w:p>
    <w:p>
      <w:pPr>
        <w:pStyle w:val="12"/>
        <w:kinsoku w:val="0"/>
        <w:overflowPunct w:val="0"/>
        <w:spacing w:line="288" w:lineRule="auto"/>
        <w:ind w:firstLine="420" w:firstLineChars="200"/>
        <w:rPr>
          <w:rFonts w:ascii="宋体" w:hAnsi="宋体"/>
          <w:szCs w:val="21"/>
        </w:rPr>
      </w:pPr>
      <w:r>
        <w:rPr>
          <w:rFonts w:ascii="宋体" w:hAnsi="宋体"/>
          <w:szCs w:val="21"/>
        </w:rPr>
        <w:t>3.1.3</w:t>
      </w:r>
      <w:r>
        <w:rPr>
          <w:rFonts w:hint="eastAsia" w:ascii="宋体" w:hAnsi="宋体"/>
          <w:szCs w:val="21"/>
        </w:rPr>
        <w:t>投标人须知前附表未要求提交投标保证金的，投标文件不包括本章第</w:t>
      </w:r>
      <w:r>
        <w:rPr>
          <w:rFonts w:ascii="宋体" w:hAnsi="宋体"/>
          <w:szCs w:val="21"/>
        </w:rPr>
        <w:t>3.1.1</w:t>
      </w:r>
      <w:r>
        <w:rPr>
          <w:rFonts w:hint="eastAsia" w:ascii="宋体" w:hAnsi="宋体"/>
          <w:szCs w:val="21"/>
        </w:rPr>
        <w:t>（</w:t>
      </w:r>
      <w:r>
        <w:rPr>
          <w:rFonts w:ascii="宋体" w:hAnsi="宋体"/>
          <w:szCs w:val="21"/>
        </w:rPr>
        <w:t>3</w:t>
      </w:r>
      <w:r>
        <w:rPr>
          <w:rFonts w:hint="eastAsia" w:ascii="宋体" w:hAnsi="宋体"/>
          <w:szCs w:val="21"/>
        </w:rPr>
        <w:t>）所指的投标保证金。</w:t>
      </w:r>
    </w:p>
    <w:p>
      <w:pPr>
        <w:pStyle w:val="12"/>
        <w:kinsoku w:val="0"/>
        <w:overflowPunct w:val="0"/>
        <w:spacing w:line="288" w:lineRule="auto"/>
        <w:ind w:firstLine="420" w:firstLineChars="200"/>
        <w:rPr>
          <w:rFonts w:ascii="宋体" w:hAnsi="宋体"/>
          <w:szCs w:val="21"/>
        </w:rPr>
      </w:pPr>
    </w:p>
    <w:p>
      <w:pPr>
        <w:pStyle w:val="7"/>
      </w:pPr>
      <w:bookmarkStart w:id="57" w:name="bookmark40"/>
      <w:bookmarkEnd w:id="57"/>
      <w:r>
        <w:t xml:space="preserve">3.2 </w:t>
      </w:r>
      <w:r>
        <w:rPr>
          <w:rFonts w:hint="eastAsia"/>
        </w:rPr>
        <w:t>投标报价</w:t>
      </w:r>
    </w:p>
    <w:p>
      <w:pPr>
        <w:pStyle w:val="12"/>
        <w:kinsoku w:val="0"/>
        <w:overflowPunct w:val="0"/>
        <w:spacing w:line="288" w:lineRule="auto"/>
        <w:ind w:firstLine="420" w:firstLineChars="200"/>
        <w:rPr>
          <w:rFonts w:ascii="宋体" w:hAnsi="宋体"/>
          <w:szCs w:val="21"/>
        </w:rPr>
      </w:pPr>
      <w:r>
        <w:rPr>
          <w:rFonts w:ascii="宋体" w:hAnsi="宋体"/>
          <w:szCs w:val="21"/>
        </w:rPr>
        <w:t>3.2.1</w:t>
      </w:r>
      <w:r>
        <w:rPr>
          <w:rFonts w:hint="eastAsia" w:ascii="宋体" w:hAnsi="宋体"/>
          <w:szCs w:val="21"/>
        </w:rPr>
        <w:t>投标报价应包括国家规定的增值税税金，除投标人须知前附表另有规定外，增值税税金按一般计税方法计算。投标人应按第六章“投标文件格式”的要求在投标函中进行报价并填写报价书。</w:t>
      </w:r>
    </w:p>
    <w:p>
      <w:pPr>
        <w:pStyle w:val="12"/>
        <w:kinsoku w:val="0"/>
        <w:overflowPunct w:val="0"/>
        <w:spacing w:line="288" w:lineRule="auto"/>
        <w:ind w:firstLine="420" w:firstLineChars="200"/>
        <w:rPr>
          <w:rFonts w:ascii="宋体" w:hAnsi="宋体"/>
          <w:szCs w:val="21"/>
        </w:rPr>
      </w:pPr>
      <w:r>
        <w:rPr>
          <w:rFonts w:ascii="宋体" w:hAnsi="宋体"/>
          <w:szCs w:val="21"/>
        </w:rPr>
        <w:t>3.2.2</w:t>
      </w:r>
      <w:r>
        <w:rPr>
          <w:rFonts w:hint="eastAsia" w:ascii="宋体" w:hAnsi="宋体"/>
          <w:szCs w:val="21"/>
        </w:rPr>
        <w:t>投标人应充分了解该项目的总体情况以及影响投标报价的其他要素。</w:t>
      </w:r>
    </w:p>
    <w:p>
      <w:pPr>
        <w:pStyle w:val="12"/>
        <w:kinsoku w:val="0"/>
        <w:overflowPunct w:val="0"/>
        <w:spacing w:line="288" w:lineRule="auto"/>
        <w:ind w:firstLine="420" w:firstLineChars="200"/>
        <w:rPr>
          <w:rFonts w:ascii="宋体" w:hAnsi="宋体"/>
          <w:szCs w:val="21"/>
        </w:rPr>
      </w:pPr>
      <w:r>
        <w:rPr>
          <w:rFonts w:ascii="宋体" w:hAnsi="宋体"/>
          <w:szCs w:val="21"/>
        </w:rPr>
        <w:t>3.2.3</w:t>
      </w:r>
      <w:r>
        <w:rPr>
          <w:rFonts w:hint="eastAsia" w:ascii="宋体" w:hAnsi="宋体"/>
          <w:szCs w:val="21"/>
        </w:rPr>
        <w:t>本项目的报价方式见投标人须知前附表。投标人在投标截止时间前修改投标函中的投标报价总额，应同时修改投标文件“报价书”中的相应报价。此修改须符合本章第</w:t>
      </w:r>
      <w:r>
        <w:rPr>
          <w:rFonts w:ascii="宋体" w:hAnsi="宋体"/>
          <w:szCs w:val="21"/>
        </w:rPr>
        <w:t>4.3</w:t>
      </w:r>
      <w:r>
        <w:rPr>
          <w:rFonts w:hint="eastAsia" w:ascii="宋体" w:hAnsi="宋体"/>
          <w:szCs w:val="21"/>
        </w:rPr>
        <w:t>款的有关要求。</w:t>
      </w:r>
    </w:p>
    <w:p>
      <w:pPr>
        <w:pStyle w:val="12"/>
        <w:kinsoku w:val="0"/>
        <w:overflowPunct w:val="0"/>
        <w:spacing w:line="288" w:lineRule="auto"/>
        <w:ind w:firstLine="420" w:firstLineChars="200"/>
        <w:rPr>
          <w:rFonts w:ascii="宋体" w:hAnsi="宋体"/>
          <w:szCs w:val="21"/>
        </w:rPr>
      </w:pPr>
      <w:r>
        <w:rPr>
          <w:rFonts w:ascii="宋体" w:hAnsi="宋体"/>
          <w:szCs w:val="21"/>
        </w:rPr>
        <w:t>3.2.4</w:t>
      </w:r>
      <w:r>
        <w:rPr>
          <w:rFonts w:hint="eastAsia" w:ascii="宋体" w:hAnsi="宋体"/>
          <w:szCs w:val="21"/>
        </w:rPr>
        <w:t>招标人设有最高投标限价的，投标人的投标报价不得超过最高投标限价，最高投标限价在投标人须知前附表中载明。</w:t>
      </w:r>
    </w:p>
    <w:p>
      <w:pPr>
        <w:pStyle w:val="12"/>
        <w:kinsoku w:val="0"/>
        <w:overflowPunct w:val="0"/>
        <w:spacing w:line="288" w:lineRule="auto"/>
        <w:ind w:firstLine="420" w:firstLineChars="200"/>
        <w:rPr>
          <w:rFonts w:ascii="宋体" w:hAnsi="宋体"/>
          <w:szCs w:val="21"/>
        </w:rPr>
      </w:pPr>
      <w:r>
        <w:rPr>
          <w:rFonts w:ascii="宋体" w:hAnsi="宋体"/>
          <w:szCs w:val="21"/>
        </w:rPr>
        <w:t>3.2.5</w:t>
      </w:r>
      <w:r>
        <w:rPr>
          <w:rFonts w:hint="eastAsia" w:ascii="宋体" w:hAnsi="宋体"/>
          <w:szCs w:val="21"/>
        </w:rPr>
        <w:t>投标报价的其他要求见投标人须知前附表。</w:t>
      </w:r>
    </w:p>
    <w:p>
      <w:pPr>
        <w:pStyle w:val="12"/>
        <w:kinsoku w:val="0"/>
        <w:overflowPunct w:val="0"/>
        <w:spacing w:line="288" w:lineRule="auto"/>
        <w:ind w:firstLine="420" w:firstLineChars="200"/>
        <w:rPr>
          <w:rFonts w:ascii="宋体" w:hAnsi="宋体"/>
          <w:szCs w:val="21"/>
        </w:rPr>
      </w:pPr>
    </w:p>
    <w:p>
      <w:pPr>
        <w:pStyle w:val="7"/>
      </w:pPr>
      <w:bookmarkStart w:id="58" w:name="bookmark41"/>
      <w:bookmarkEnd w:id="58"/>
      <w:r>
        <w:t xml:space="preserve">3.3 </w:t>
      </w:r>
      <w:r>
        <w:rPr>
          <w:rFonts w:hint="eastAsia"/>
        </w:rPr>
        <w:t>投标有效期</w:t>
      </w:r>
    </w:p>
    <w:p>
      <w:pPr>
        <w:pStyle w:val="12"/>
        <w:kinsoku w:val="0"/>
        <w:overflowPunct w:val="0"/>
        <w:spacing w:line="288" w:lineRule="auto"/>
        <w:ind w:firstLine="420" w:firstLineChars="200"/>
        <w:rPr>
          <w:rFonts w:ascii="宋体" w:hAnsi="宋体"/>
          <w:szCs w:val="21"/>
        </w:rPr>
      </w:pPr>
      <w:r>
        <w:rPr>
          <w:rFonts w:ascii="宋体" w:hAnsi="宋体"/>
          <w:szCs w:val="21"/>
        </w:rPr>
        <w:t>3.3.1</w:t>
      </w:r>
      <w:r>
        <w:rPr>
          <w:rFonts w:hint="eastAsia" w:ascii="宋体" w:hAnsi="宋体"/>
          <w:szCs w:val="21"/>
        </w:rPr>
        <w:t>除投标人须知前附表另有规定外，投标有效期为</w:t>
      </w:r>
      <w:r>
        <w:rPr>
          <w:rFonts w:ascii="宋体" w:hAnsi="宋体"/>
          <w:szCs w:val="21"/>
        </w:rPr>
        <w:t>90</w:t>
      </w:r>
      <w:r>
        <w:rPr>
          <w:rFonts w:hint="eastAsia" w:ascii="宋体" w:hAnsi="宋体"/>
          <w:szCs w:val="21"/>
        </w:rPr>
        <w:t>天。</w:t>
      </w:r>
    </w:p>
    <w:p>
      <w:pPr>
        <w:pStyle w:val="12"/>
        <w:kinsoku w:val="0"/>
        <w:overflowPunct w:val="0"/>
        <w:spacing w:line="288" w:lineRule="auto"/>
        <w:ind w:firstLine="420" w:firstLineChars="200"/>
        <w:rPr>
          <w:rFonts w:ascii="宋体" w:hAnsi="宋体"/>
          <w:szCs w:val="21"/>
        </w:rPr>
      </w:pPr>
      <w:r>
        <w:rPr>
          <w:rFonts w:ascii="宋体" w:hAnsi="宋体"/>
          <w:szCs w:val="21"/>
        </w:rPr>
        <w:t>3.3.2</w:t>
      </w:r>
      <w:r>
        <w:rPr>
          <w:rFonts w:hint="eastAsia" w:ascii="宋体" w:hAnsi="宋体"/>
          <w:szCs w:val="21"/>
        </w:rPr>
        <w:t>在投标有效期内，投标人撤销投标文件的，应承担招标文件和法律规定的责任。</w:t>
      </w:r>
    </w:p>
    <w:p>
      <w:pPr>
        <w:pStyle w:val="12"/>
        <w:kinsoku w:val="0"/>
        <w:overflowPunct w:val="0"/>
        <w:spacing w:line="288" w:lineRule="auto"/>
        <w:ind w:firstLine="420" w:firstLineChars="200"/>
        <w:rPr>
          <w:rFonts w:ascii="宋体" w:hAnsi="宋体"/>
          <w:szCs w:val="21"/>
        </w:rPr>
      </w:pPr>
      <w:r>
        <w:rPr>
          <w:rFonts w:ascii="宋体" w:hAnsi="宋体"/>
          <w:szCs w:val="21"/>
        </w:rPr>
        <w:t>3.3.3</w:t>
      </w:r>
      <w:r>
        <w:rPr>
          <w:rFonts w:hint="eastAsia" w:ascii="宋体" w:hAnsi="宋体"/>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12"/>
        <w:kinsoku w:val="0"/>
        <w:overflowPunct w:val="0"/>
        <w:spacing w:line="288" w:lineRule="auto"/>
        <w:ind w:firstLine="420" w:firstLineChars="200"/>
        <w:rPr>
          <w:rFonts w:ascii="宋体" w:hAnsi="宋体"/>
          <w:szCs w:val="21"/>
        </w:rPr>
      </w:pPr>
    </w:p>
    <w:p>
      <w:pPr>
        <w:pStyle w:val="7"/>
      </w:pPr>
      <w:bookmarkStart w:id="59" w:name="bookmark42"/>
      <w:bookmarkEnd w:id="59"/>
      <w:r>
        <w:t xml:space="preserve">3.4 </w:t>
      </w:r>
      <w:r>
        <w:rPr>
          <w:rFonts w:hint="eastAsia"/>
        </w:rPr>
        <w:t>投标保证金</w:t>
      </w:r>
    </w:p>
    <w:p>
      <w:pPr>
        <w:pStyle w:val="12"/>
        <w:kinsoku w:val="0"/>
        <w:overflowPunct w:val="0"/>
        <w:spacing w:line="288" w:lineRule="auto"/>
        <w:ind w:firstLine="420" w:firstLineChars="200"/>
        <w:rPr>
          <w:rFonts w:ascii="宋体" w:hAnsi="宋体"/>
          <w:szCs w:val="21"/>
        </w:rPr>
      </w:pPr>
      <w:r>
        <w:rPr>
          <w:rFonts w:ascii="宋体" w:hAnsi="宋体"/>
          <w:szCs w:val="21"/>
        </w:rPr>
        <w:t>3.4.1</w:t>
      </w:r>
      <w:r>
        <w:rPr>
          <w:rFonts w:hint="eastAsia" w:ascii="宋体" w:hAnsi="宋体"/>
          <w:szCs w:val="21"/>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2"/>
        <w:kinsoku w:val="0"/>
        <w:overflowPunct w:val="0"/>
        <w:spacing w:line="288" w:lineRule="auto"/>
        <w:ind w:firstLine="420" w:firstLineChars="200"/>
        <w:rPr>
          <w:rFonts w:ascii="宋体" w:hAnsi="宋体"/>
          <w:szCs w:val="21"/>
        </w:rPr>
      </w:pPr>
      <w:r>
        <w:rPr>
          <w:rFonts w:ascii="宋体" w:hAnsi="宋体"/>
          <w:szCs w:val="21"/>
        </w:rPr>
        <w:t>3.4.2</w:t>
      </w:r>
      <w:r>
        <w:rPr>
          <w:rFonts w:hint="eastAsia" w:ascii="宋体" w:hAnsi="宋体"/>
          <w:szCs w:val="21"/>
        </w:rPr>
        <w:t>投标人不按本章第</w:t>
      </w:r>
      <w:r>
        <w:rPr>
          <w:rFonts w:ascii="宋体" w:hAnsi="宋体"/>
          <w:szCs w:val="21"/>
        </w:rPr>
        <w:t>3.4.1</w:t>
      </w:r>
      <w:r>
        <w:rPr>
          <w:rFonts w:hint="eastAsia" w:ascii="宋体" w:hAnsi="宋体"/>
          <w:szCs w:val="21"/>
        </w:rPr>
        <w:t>项要求提交投标保证金的，评标委员会将否决其投标。</w:t>
      </w:r>
    </w:p>
    <w:p>
      <w:pPr>
        <w:pStyle w:val="12"/>
        <w:kinsoku w:val="0"/>
        <w:overflowPunct w:val="0"/>
        <w:spacing w:line="288" w:lineRule="auto"/>
        <w:ind w:firstLine="420" w:firstLineChars="200"/>
        <w:rPr>
          <w:rFonts w:ascii="宋体" w:hAnsi="宋体"/>
          <w:szCs w:val="21"/>
        </w:rPr>
      </w:pPr>
      <w:r>
        <w:rPr>
          <w:rFonts w:ascii="宋体" w:hAnsi="宋体"/>
          <w:szCs w:val="21"/>
        </w:rPr>
        <w:t>3.4.3</w:t>
      </w:r>
      <w:r>
        <w:rPr>
          <w:rFonts w:hint="eastAsia" w:ascii="宋体" w:hAnsi="宋体"/>
          <w:szCs w:val="21"/>
        </w:rPr>
        <w:t>招标人最迟将在与中标人签订合同后</w:t>
      </w:r>
      <w:r>
        <w:rPr>
          <w:rFonts w:ascii="宋体" w:hAnsi="宋体"/>
          <w:szCs w:val="21"/>
        </w:rPr>
        <w:t>5</w:t>
      </w:r>
      <w:r>
        <w:rPr>
          <w:rFonts w:hint="eastAsia" w:ascii="宋体" w:hAnsi="宋体"/>
          <w:szCs w:val="21"/>
        </w:rPr>
        <w:t>日内，向未中标的投标人和中标人退还投标保证金。投标保证金以现金或者支票形式递交的，还应退还银行同期存款利息。</w:t>
      </w:r>
    </w:p>
    <w:p>
      <w:pPr>
        <w:pStyle w:val="12"/>
        <w:kinsoku w:val="0"/>
        <w:overflowPunct w:val="0"/>
        <w:spacing w:line="288" w:lineRule="auto"/>
        <w:ind w:firstLine="420" w:firstLineChars="200"/>
        <w:rPr>
          <w:rFonts w:ascii="宋体" w:hAnsi="宋体"/>
          <w:szCs w:val="21"/>
        </w:rPr>
      </w:pPr>
      <w:r>
        <w:rPr>
          <w:rFonts w:ascii="宋体" w:hAnsi="宋体"/>
          <w:szCs w:val="21"/>
        </w:rPr>
        <w:t>3.4.4</w:t>
      </w:r>
      <w:r>
        <w:rPr>
          <w:rFonts w:hint="eastAsia" w:ascii="宋体" w:hAnsi="宋体"/>
          <w:szCs w:val="21"/>
        </w:rPr>
        <w:t>有下列情形之一的，投标保证金将不予退还：</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）投标人在投标有效期内撤销投标文件；</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）中标人在收到中标通知书后，无正当理由不与招标人订立合同，在签订合同时向招标人提出附加条件，或者不按照招标文件要求提交履约保证金；</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）发生投标人须知前附表规定的其他可以不予退还投标保证金的情形。</w:t>
      </w:r>
    </w:p>
    <w:p>
      <w:pPr>
        <w:pStyle w:val="12"/>
        <w:kinsoku w:val="0"/>
        <w:overflowPunct w:val="0"/>
        <w:spacing w:line="288" w:lineRule="auto"/>
        <w:ind w:firstLine="420" w:firstLineChars="200"/>
        <w:rPr>
          <w:rFonts w:ascii="宋体" w:hAnsi="宋体"/>
          <w:szCs w:val="21"/>
        </w:rPr>
      </w:pPr>
      <w:bookmarkStart w:id="60" w:name="bookmark43"/>
      <w:bookmarkEnd w:id="60"/>
    </w:p>
    <w:p>
      <w:pPr>
        <w:pStyle w:val="7"/>
      </w:pPr>
      <w:bookmarkStart w:id="61" w:name="bookmark44"/>
      <w:bookmarkEnd w:id="61"/>
      <w:r>
        <w:t xml:space="preserve">3.5 </w:t>
      </w:r>
      <w:r>
        <w:rPr>
          <w:rFonts w:hint="eastAsia"/>
        </w:rPr>
        <w:t>资格审查资料</w:t>
      </w:r>
    </w:p>
    <w:p>
      <w:pPr>
        <w:pStyle w:val="12"/>
        <w:kinsoku w:val="0"/>
        <w:overflowPunct w:val="0"/>
        <w:spacing w:line="288" w:lineRule="auto"/>
        <w:ind w:firstLine="420" w:firstLineChars="200"/>
        <w:rPr>
          <w:rFonts w:ascii="宋体" w:hAnsi="宋体"/>
          <w:szCs w:val="21"/>
        </w:rPr>
      </w:pPr>
      <w:bookmarkStart w:id="62" w:name="bookmark45"/>
      <w:bookmarkEnd w:id="62"/>
      <w:r>
        <w:rPr>
          <w:rFonts w:hint="eastAsia" w:ascii="宋体" w:hAnsi="宋体"/>
          <w:szCs w:val="21"/>
        </w:rPr>
        <w:t>除投标人须知前附表另有规定外，投标人应按下列规定提供资格审查资料，以证明其满足本章第</w:t>
      </w:r>
      <w:r>
        <w:rPr>
          <w:rFonts w:ascii="宋体" w:hAnsi="宋体"/>
          <w:szCs w:val="21"/>
        </w:rPr>
        <w:t>1.4</w:t>
      </w:r>
      <w:r>
        <w:rPr>
          <w:rFonts w:hint="eastAsia" w:ascii="宋体" w:hAnsi="宋体"/>
          <w:szCs w:val="21"/>
        </w:rPr>
        <w:t>款规定的资质、财务、业绩、信誉等要求。</w:t>
      </w:r>
    </w:p>
    <w:p>
      <w:pPr>
        <w:pStyle w:val="12"/>
        <w:kinsoku w:val="0"/>
        <w:overflowPunct w:val="0"/>
        <w:spacing w:line="288" w:lineRule="auto"/>
        <w:ind w:firstLine="420" w:firstLineChars="200"/>
        <w:rPr>
          <w:rFonts w:ascii="宋体" w:hAnsi="宋体"/>
          <w:szCs w:val="21"/>
        </w:rPr>
      </w:pPr>
      <w:r>
        <w:rPr>
          <w:rFonts w:ascii="宋体" w:hAnsi="宋体"/>
          <w:szCs w:val="21"/>
        </w:rPr>
        <w:t>3.5.1</w:t>
      </w:r>
      <w:r>
        <w:rPr>
          <w:rFonts w:hint="eastAsia" w:ascii="宋体" w:hAnsi="宋体"/>
          <w:szCs w:val="21"/>
        </w:rPr>
        <w:t>“投标人基本情况表”应附检测投标单位的营业执照副本或事业单位法人证书副本、建设行政主管部门颁发的建设工程质量检测机构资质证书、</w:t>
      </w:r>
      <w:r>
        <w:rPr>
          <w:rFonts w:ascii="宋体" w:hAnsi="宋体"/>
          <w:szCs w:val="21"/>
        </w:rPr>
        <w:t>CMA</w:t>
      </w:r>
      <w:r>
        <w:rPr>
          <w:rFonts w:hint="eastAsia" w:ascii="宋体" w:hAnsi="宋体"/>
          <w:szCs w:val="21"/>
        </w:rPr>
        <w:t>计量认证合格证书以及其他相关资料。</w:t>
      </w:r>
    </w:p>
    <w:p>
      <w:pPr>
        <w:pStyle w:val="12"/>
        <w:kinsoku w:val="0"/>
        <w:overflowPunct w:val="0"/>
        <w:spacing w:line="288" w:lineRule="auto"/>
        <w:ind w:firstLine="420" w:firstLineChars="200"/>
        <w:rPr>
          <w:rFonts w:ascii="宋体" w:hAnsi="宋体"/>
          <w:szCs w:val="21"/>
        </w:rPr>
      </w:pPr>
      <w:r>
        <w:rPr>
          <w:rFonts w:hint="eastAsia" w:ascii="宋体" w:hAnsi="宋体"/>
          <w:szCs w:val="21"/>
        </w:rPr>
        <w:t>3.5.2其他满足本章第</w:t>
      </w:r>
      <w:r>
        <w:rPr>
          <w:rFonts w:ascii="宋体" w:hAnsi="宋体"/>
          <w:szCs w:val="21"/>
        </w:rPr>
        <w:t>1.4.1</w:t>
      </w:r>
      <w:r>
        <w:rPr>
          <w:rFonts w:hint="eastAsia" w:ascii="宋体" w:hAnsi="宋体"/>
          <w:szCs w:val="21"/>
        </w:rPr>
        <w:t>项规定的要求的相关资料。</w:t>
      </w:r>
    </w:p>
    <w:p>
      <w:pPr>
        <w:rPr>
          <w:rFonts w:ascii="宋体" w:hAnsi="宋体"/>
        </w:rPr>
      </w:pPr>
    </w:p>
    <w:p>
      <w:pPr>
        <w:pStyle w:val="7"/>
      </w:pPr>
      <w:r>
        <w:t xml:space="preserve">3.6 </w:t>
      </w:r>
      <w:r>
        <w:rPr>
          <w:rFonts w:hint="eastAsia"/>
        </w:rPr>
        <w:t>备选投标方案</w:t>
      </w:r>
    </w:p>
    <w:p>
      <w:pPr>
        <w:pStyle w:val="12"/>
        <w:kinsoku w:val="0"/>
        <w:overflowPunct w:val="0"/>
        <w:spacing w:line="288" w:lineRule="auto"/>
        <w:ind w:firstLine="420" w:firstLineChars="200"/>
        <w:rPr>
          <w:rFonts w:ascii="宋体" w:hAnsi="宋体"/>
          <w:szCs w:val="21"/>
        </w:rPr>
      </w:pPr>
      <w:r>
        <w:rPr>
          <w:rFonts w:ascii="宋体" w:hAnsi="宋体"/>
          <w:szCs w:val="21"/>
        </w:rPr>
        <w:t>3.6.1</w:t>
      </w:r>
      <w:r>
        <w:rPr>
          <w:rFonts w:hint="eastAsia" w:ascii="宋体" w:hAnsi="宋体"/>
          <w:szCs w:val="21"/>
        </w:rPr>
        <w:t>除投标人须知前附表规定允许外，投标人不得递交备选投标方案，否则其投标将被否决。</w:t>
      </w:r>
    </w:p>
    <w:p>
      <w:pPr>
        <w:pStyle w:val="12"/>
        <w:kinsoku w:val="0"/>
        <w:overflowPunct w:val="0"/>
        <w:spacing w:line="288" w:lineRule="auto"/>
        <w:ind w:firstLine="420" w:firstLineChars="200"/>
        <w:rPr>
          <w:rFonts w:ascii="宋体" w:hAnsi="宋体"/>
          <w:szCs w:val="21"/>
        </w:rPr>
      </w:pPr>
      <w:r>
        <w:rPr>
          <w:rFonts w:ascii="宋体" w:hAnsi="宋体"/>
          <w:szCs w:val="21"/>
        </w:rPr>
        <w:t>3.6.2</w:t>
      </w:r>
      <w:r>
        <w:rPr>
          <w:rFonts w:hint="eastAsia" w:ascii="宋体" w:hAns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kinsoku w:val="0"/>
        <w:overflowPunct w:val="0"/>
        <w:spacing w:line="288" w:lineRule="auto"/>
        <w:ind w:firstLine="420" w:firstLineChars="200"/>
        <w:rPr>
          <w:rFonts w:ascii="宋体" w:hAnsi="宋体"/>
          <w:szCs w:val="21"/>
        </w:rPr>
      </w:pPr>
      <w:r>
        <w:rPr>
          <w:rFonts w:ascii="宋体" w:hAnsi="宋体"/>
          <w:szCs w:val="21"/>
        </w:rPr>
        <w:t>3.6.3</w:t>
      </w:r>
      <w:r>
        <w:rPr>
          <w:rFonts w:hint="eastAsia" w:ascii="宋体" w:hAnsi="宋体"/>
          <w:szCs w:val="21"/>
        </w:rPr>
        <w:t>投标人提供两个或两个以上投标报价，或者在投标文件中提供一个报价，但同时提供两个或两个以上服务方案的，视为提供备选方案。</w:t>
      </w:r>
    </w:p>
    <w:p>
      <w:pPr>
        <w:pStyle w:val="12"/>
        <w:kinsoku w:val="0"/>
        <w:overflowPunct w:val="0"/>
        <w:spacing w:line="288" w:lineRule="auto"/>
        <w:ind w:firstLine="420" w:firstLineChars="200"/>
        <w:rPr>
          <w:rFonts w:ascii="宋体" w:hAnsi="宋体"/>
          <w:szCs w:val="21"/>
        </w:rPr>
      </w:pPr>
    </w:p>
    <w:p>
      <w:pPr>
        <w:pStyle w:val="7"/>
      </w:pPr>
      <w:bookmarkStart w:id="63" w:name="bookmark46"/>
      <w:bookmarkEnd w:id="63"/>
      <w:r>
        <w:t xml:space="preserve">3.7 </w:t>
      </w:r>
      <w:r>
        <w:rPr>
          <w:rFonts w:hint="eastAsia"/>
        </w:rPr>
        <w:t>投标文件的编制</w:t>
      </w:r>
    </w:p>
    <w:p>
      <w:pPr>
        <w:pStyle w:val="12"/>
        <w:kinsoku w:val="0"/>
        <w:overflowPunct w:val="0"/>
        <w:spacing w:line="288" w:lineRule="auto"/>
        <w:ind w:firstLine="420" w:firstLineChars="200"/>
        <w:rPr>
          <w:rFonts w:ascii="宋体" w:hAnsi="宋体"/>
          <w:szCs w:val="21"/>
        </w:rPr>
      </w:pPr>
      <w:r>
        <w:rPr>
          <w:rFonts w:ascii="宋体" w:hAnsi="宋体"/>
          <w:szCs w:val="21"/>
        </w:rPr>
        <w:t>3.7.1</w:t>
      </w:r>
      <w:r>
        <w:rPr>
          <w:rFonts w:hint="eastAsia" w:ascii="宋体" w:hAnsi="宋体"/>
          <w:szCs w:val="21"/>
        </w:rPr>
        <w:t>投标文件应按第六章“投标文件格式”进行编写，如有必要，可以增加附页，作为投标文件的组成部分。</w:t>
      </w:r>
    </w:p>
    <w:p>
      <w:pPr>
        <w:pStyle w:val="12"/>
        <w:kinsoku w:val="0"/>
        <w:overflowPunct w:val="0"/>
        <w:spacing w:line="288" w:lineRule="auto"/>
        <w:ind w:firstLine="420" w:firstLineChars="200"/>
        <w:rPr>
          <w:rFonts w:ascii="宋体" w:hAnsi="宋体"/>
          <w:szCs w:val="21"/>
        </w:rPr>
      </w:pPr>
      <w:r>
        <w:rPr>
          <w:rFonts w:ascii="宋体" w:hAnsi="宋体"/>
          <w:szCs w:val="21"/>
        </w:rPr>
        <w:t>3.7.2</w:t>
      </w:r>
      <w:r>
        <w:rPr>
          <w:rFonts w:hint="eastAsia" w:ascii="宋体" w:hAnsi="宋体"/>
          <w:szCs w:val="21"/>
        </w:rPr>
        <w:t>投标文件应当对招标文件有关服务期限、投标有效期、委托人要求、招标范围等实质性内容作出响应。</w:t>
      </w:r>
    </w:p>
    <w:p>
      <w:pPr>
        <w:pStyle w:val="12"/>
        <w:kinsoku w:val="0"/>
        <w:overflowPunct w:val="0"/>
        <w:spacing w:line="288" w:lineRule="auto"/>
        <w:ind w:firstLine="420" w:firstLineChars="200"/>
        <w:rPr>
          <w:rFonts w:ascii="宋体" w:hAnsi="宋体"/>
          <w:szCs w:val="21"/>
        </w:rPr>
      </w:pPr>
      <w:r>
        <w:rPr>
          <w:rFonts w:ascii="宋体" w:hAnsi="宋体"/>
          <w:szCs w:val="21"/>
        </w:rPr>
        <w:t>3.7.3</w:t>
      </w:r>
      <w:r>
        <w:rPr>
          <w:rFonts w:hint="eastAsia" w:ascii="宋体" w:hAnsi="宋体"/>
          <w:szCs w:val="21"/>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rPr>
          <w:rFonts w:ascii="宋体" w:hAnsi="宋体"/>
        </w:rPr>
      </w:pPr>
    </w:p>
    <w:p>
      <w:pPr>
        <w:pStyle w:val="5"/>
      </w:pPr>
      <w:bookmarkStart w:id="64" w:name="_Toc533357311"/>
      <w:bookmarkStart w:id="65" w:name="_Toc21250"/>
      <w:r>
        <w:t xml:space="preserve">4. </w:t>
      </w:r>
      <w:r>
        <w:rPr>
          <w:rFonts w:hint="eastAsia"/>
        </w:rPr>
        <w:t>投标</w:t>
      </w:r>
      <w:bookmarkEnd w:id="64"/>
      <w:bookmarkEnd w:id="65"/>
    </w:p>
    <w:p>
      <w:pPr>
        <w:pStyle w:val="7"/>
        <w:ind w:firstLine="420"/>
      </w:pPr>
      <w:bookmarkStart w:id="66" w:name="bookmark48"/>
      <w:bookmarkEnd w:id="66"/>
      <w:r>
        <w:t xml:space="preserve">4.1 </w:t>
      </w:r>
      <w:r>
        <w:rPr>
          <w:rFonts w:hint="eastAsia"/>
        </w:rPr>
        <w:t>投标文件的密封和标记</w:t>
      </w:r>
    </w:p>
    <w:p>
      <w:pPr>
        <w:pStyle w:val="12"/>
        <w:kinsoku w:val="0"/>
        <w:overflowPunct w:val="0"/>
        <w:spacing w:line="288" w:lineRule="auto"/>
        <w:ind w:firstLine="420" w:firstLineChars="200"/>
        <w:rPr>
          <w:rFonts w:ascii="宋体" w:hAnsi="宋体"/>
          <w:szCs w:val="21"/>
        </w:rPr>
      </w:pPr>
      <w:r>
        <w:rPr>
          <w:rFonts w:ascii="宋体" w:hAnsi="宋体"/>
          <w:szCs w:val="21"/>
        </w:rPr>
        <w:t>4.1.1</w:t>
      </w:r>
      <w:r>
        <w:rPr>
          <w:rFonts w:hint="eastAsia" w:ascii="宋体" w:hAnsi="宋体"/>
          <w:szCs w:val="21"/>
        </w:rPr>
        <w:t>投标人应当按照招标文件和电子招标投标交易平台的要求加密投标文件，具体要求见投标人须知前附表。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4.1.2</w:t>
      </w:r>
      <w:r>
        <w:rPr>
          <w:rFonts w:hint="eastAsia" w:ascii="宋体" w:hAnsi="宋体"/>
          <w:szCs w:val="21"/>
        </w:rPr>
        <w:t>投标文件封套上应写明的内容见投标人须知前附表。</w:t>
      </w:r>
    </w:p>
    <w:p>
      <w:pPr>
        <w:pStyle w:val="12"/>
        <w:kinsoku w:val="0"/>
        <w:overflowPunct w:val="0"/>
        <w:spacing w:line="288" w:lineRule="auto"/>
        <w:ind w:firstLine="420" w:firstLineChars="200"/>
        <w:rPr>
          <w:rFonts w:ascii="宋体" w:hAnsi="宋体"/>
          <w:strike/>
          <w:szCs w:val="21"/>
        </w:rPr>
      </w:pPr>
      <w:r>
        <w:rPr>
          <w:rFonts w:ascii="宋体" w:hAnsi="宋体"/>
          <w:strike/>
          <w:szCs w:val="21"/>
        </w:rPr>
        <w:t>4.1.3</w:t>
      </w:r>
      <w:r>
        <w:rPr>
          <w:rFonts w:hint="eastAsia" w:ascii="宋体" w:hAnsi="宋体"/>
          <w:strike/>
          <w:szCs w:val="21"/>
        </w:rPr>
        <w:t>未按本章第</w:t>
      </w:r>
      <w:r>
        <w:rPr>
          <w:rFonts w:ascii="宋体" w:hAnsi="宋体"/>
          <w:strike/>
          <w:szCs w:val="21"/>
        </w:rPr>
        <w:t>4.1.1</w:t>
      </w:r>
      <w:r>
        <w:rPr>
          <w:rFonts w:hint="eastAsia" w:ascii="宋体" w:hAnsi="宋体"/>
          <w:strike/>
          <w:szCs w:val="21"/>
        </w:rPr>
        <w:t>项要求密封的投标文件，招标人将予以拒收。</w:t>
      </w:r>
    </w:p>
    <w:p>
      <w:pPr>
        <w:pStyle w:val="12"/>
        <w:kinsoku w:val="0"/>
        <w:overflowPunct w:val="0"/>
        <w:spacing w:line="288" w:lineRule="auto"/>
        <w:ind w:firstLine="420" w:firstLineChars="200"/>
        <w:rPr>
          <w:rFonts w:ascii="宋体" w:hAnsi="宋体"/>
          <w:szCs w:val="21"/>
        </w:rPr>
      </w:pPr>
    </w:p>
    <w:p>
      <w:pPr>
        <w:pStyle w:val="7"/>
      </w:pPr>
      <w:bookmarkStart w:id="67" w:name="bookmark49"/>
      <w:bookmarkEnd w:id="67"/>
      <w:r>
        <w:t xml:space="preserve">4.2 </w:t>
      </w:r>
      <w:r>
        <w:rPr>
          <w:rFonts w:hint="eastAsia"/>
        </w:rPr>
        <w:t>投标文件的递交</w:t>
      </w:r>
    </w:p>
    <w:p>
      <w:pPr>
        <w:pStyle w:val="12"/>
        <w:kinsoku w:val="0"/>
        <w:overflowPunct w:val="0"/>
        <w:spacing w:line="288" w:lineRule="auto"/>
        <w:ind w:firstLine="420" w:firstLineChars="200"/>
        <w:rPr>
          <w:rFonts w:ascii="宋体" w:hAnsi="宋体"/>
          <w:szCs w:val="21"/>
        </w:rPr>
      </w:pPr>
      <w:r>
        <w:rPr>
          <w:rFonts w:ascii="宋体" w:hAnsi="宋体"/>
          <w:szCs w:val="21"/>
        </w:rPr>
        <w:t>4.2.1</w:t>
      </w:r>
      <w:r>
        <w:rPr>
          <w:rFonts w:hint="eastAsia" w:ascii="宋体" w:hAnsi="宋体"/>
          <w:szCs w:val="21"/>
        </w:rPr>
        <w:t>投标人应在投标人须知前附表规定的投标截止时间前递交投标文件。</w:t>
      </w:r>
    </w:p>
    <w:p>
      <w:pPr>
        <w:pStyle w:val="12"/>
        <w:kinsoku w:val="0"/>
        <w:overflowPunct w:val="0"/>
        <w:spacing w:line="288" w:lineRule="auto"/>
        <w:ind w:firstLine="420" w:firstLineChars="200"/>
        <w:rPr>
          <w:rFonts w:ascii="宋体" w:hAnsi="宋体"/>
          <w:szCs w:val="21"/>
        </w:rPr>
      </w:pPr>
      <w:r>
        <w:rPr>
          <w:rFonts w:ascii="宋体" w:hAnsi="宋体"/>
          <w:szCs w:val="21"/>
        </w:rPr>
        <w:t>4.2.2</w:t>
      </w:r>
      <w:r>
        <w:rPr>
          <w:rFonts w:hint="eastAsia" w:ascii="宋体" w:hAnsi="宋体"/>
          <w:szCs w:val="21"/>
        </w:rPr>
        <w:t>投标人通过下载招标文件的电子招标投标交易平台递交电子投标文件。</w:t>
      </w:r>
    </w:p>
    <w:p>
      <w:pPr>
        <w:pStyle w:val="12"/>
        <w:kinsoku w:val="0"/>
        <w:overflowPunct w:val="0"/>
        <w:spacing w:line="288" w:lineRule="auto"/>
        <w:ind w:firstLine="420" w:firstLineChars="200"/>
        <w:rPr>
          <w:rFonts w:ascii="宋体" w:hAnsi="宋体"/>
          <w:szCs w:val="21"/>
        </w:rPr>
      </w:pPr>
      <w:r>
        <w:rPr>
          <w:rFonts w:ascii="宋体" w:hAnsi="宋体"/>
          <w:szCs w:val="21"/>
        </w:rPr>
        <w:t>4.2.3</w:t>
      </w:r>
      <w:r>
        <w:rPr>
          <w:rFonts w:hint="eastAsia" w:ascii="宋体" w:hAnsi="宋体"/>
          <w:szCs w:val="21"/>
        </w:rPr>
        <w:t>除投标人须知前附表另有规定外，投标人所递交的投标文件不予退还。</w:t>
      </w:r>
    </w:p>
    <w:p>
      <w:pPr>
        <w:pStyle w:val="12"/>
        <w:kinsoku w:val="0"/>
        <w:overflowPunct w:val="0"/>
        <w:spacing w:line="288" w:lineRule="auto"/>
        <w:ind w:firstLine="420" w:firstLineChars="200"/>
        <w:rPr>
          <w:rFonts w:ascii="宋体" w:hAnsi="宋体"/>
          <w:szCs w:val="21"/>
        </w:rPr>
      </w:pPr>
      <w:r>
        <w:rPr>
          <w:rFonts w:ascii="宋体" w:hAnsi="宋体"/>
          <w:szCs w:val="21"/>
        </w:rPr>
        <w:t>4.2.4</w:t>
      </w:r>
      <w:r>
        <w:rPr>
          <w:rFonts w:hint="eastAsia" w:ascii="宋体" w:hAnsi="宋体"/>
          <w:szCs w:val="21"/>
        </w:rPr>
        <w:t>投标人完成电子投标文件上传后，电子招标投标交易平台即时向投标人发出递交回执通知。递交时间以递交回执通知载明的传输完成时间为准。</w:t>
      </w:r>
    </w:p>
    <w:p>
      <w:pPr>
        <w:pStyle w:val="12"/>
        <w:kinsoku w:val="0"/>
        <w:overflowPunct w:val="0"/>
        <w:spacing w:line="288" w:lineRule="auto"/>
        <w:ind w:firstLine="420" w:firstLineChars="200"/>
        <w:rPr>
          <w:rFonts w:ascii="宋体" w:hAnsi="宋体"/>
          <w:szCs w:val="21"/>
        </w:rPr>
      </w:pPr>
      <w:r>
        <w:rPr>
          <w:rFonts w:ascii="宋体" w:hAnsi="宋体"/>
          <w:szCs w:val="21"/>
        </w:rPr>
        <w:t>4.2.5</w:t>
      </w:r>
      <w:r>
        <w:rPr>
          <w:rFonts w:hint="eastAsia" w:ascii="宋体" w:hAnsi="宋体"/>
          <w:szCs w:val="21"/>
        </w:rPr>
        <w:t>逾期送达的投标文件，电子招标投标交易平台将予以拒收。</w:t>
      </w:r>
      <w:bookmarkStart w:id="68" w:name="bookmark50"/>
      <w:bookmarkEnd w:id="68"/>
    </w:p>
    <w:p>
      <w:pPr>
        <w:pStyle w:val="12"/>
        <w:kinsoku w:val="0"/>
        <w:overflowPunct w:val="0"/>
        <w:spacing w:line="288" w:lineRule="auto"/>
        <w:ind w:firstLine="420" w:firstLineChars="200"/>
        <w:rPr>
          <w:rFonts w:ascii="宋体" w:hAnsi="宋体"/>
          <w:szCs w:val="21"/>
        </w:rPr>
      </w:pPr>
    </w:p>
    <w:p>
      <w:pPr>
        <w:pStyle w:val="7"/>
      </w:pPr>
      <w:r>
        <w:t xml:space="preserve">4.3 </w:t>
      </w:r>
      <w:r>
        <w:rPr>
          <w:rFonts w:hint="eastAsia"/>
        </w:rPr>
        <w:t>投标文件的修改与撤回</w:t>
      </w:r>
    </w:p>
    <w:p>
      <w:pPr>
        <w:pStyle w:val="12"/>
        <w:kinsoku w:val="0"/>
        <w:overflowPunct w:val="0"/>
        <w:spacing w:line="288" w:lineRule="auto"/>
        <w:ind w:firstLine="420" w:firstLineChars="200"/>
        <w:rPr>
          <w:rFonts w:ascii="宋体" w:hAnsi="宋体"/>
          <w:szCs w:val="21"/>
        </w:rPr>
      </w:pPr>
      <w:r>
        <w:rPr>
          <w:rFonts w:ascii="宋体" w:hAnsi="宋体"/>
          <w:szCs w:val="21"/>
        </w:rPr>
        <w:t>4.3.1</w:t>
      </w:r>
      <w:r>
        <w:rPr>
          <w:rFonts w:hint="eastAsia" w:ascii="宋体" w:hAnsi="宋体"/>
          <w:szCs w:val="21"/>
        </w:rPr>
        <w:t>在本章第</w:t>
      </w:r>
      <w:r>
        <w:rPr>
          <w:rFonts w:ascii="宋体" w:hAnsi="宋体"/>
          <w:szCs w:val="21"/>
        </w:rPr>
        <w:t>4.2.1</w:t>
      </w:r>
      <w:r>
        <w:rPr>
          <w:rFonts w:hint="eastAsia" w:ascii="宋体" w:hAnsi="宋体"/>
          <w:szCs w:val="21"/>
        </w:rPr>
        <w:t>项规定的投标截止时间前，投标人可以修改或撤回已递交的投标文件，但应以书面形式通知招标人。</w:t>
      </w:r>
    </w:p>
    <w:p>
      <w:pPr>
        <w:pStyle w:val="12"/>
        <w:kinsoku w:val="0"/>
        <w:overflowPunct w:val="0"/>
        <w:spacing w:line="288" w:lineRule="auto"/>
        <w:ind w:firstLine="420" w:firstLineChars="200"/>
        <w:rPr>
          <w:rFonts w:ascii="宋体" w:hAnsi="宋体"/>
          <w:szCs w:val="21"/>
        </w:rPr>
      </w:pPr>
      <w:r>
        <w:rPr>
          <w:rFonts w:ascii="宋体" w:hAnsi="宋体"/>
          <w:szCs w:val="21"/>
        </w:rPr>
        <w:t>4.3.2</w:t>
      </w:r>
      <w:r>
        <w:rPr>
          <w:rFonts w:hint="eastAsia" w:ascii="宋体" w:hAnsi="宋体"/>
          <w:szCs w:val="21"/>
        </w:rPr>
        <w:t>投标人修改或撤回已递交投标文件的通知，应按照本章第</w:t>
      </w:r>
      <w:r>
        <w:rPr>
          <w:rFonts w:ascii="宋体" w:hAnsi="宋体"/>
          <w:szCs w:val="21"/>
        </w:rPr>
        <w:t>3.7.3</w:t>
      </w:r>
      <w:r>
        <w:rPr>
          <w:rFonts w:hint="eastAsia" w:ascii="宋体" w:hAnsi="宋体"/>
          <w:szCs w:val="21"/>
        </w:rPr>
        <w:t>项的要求加盖电子印章。电子招标投标交易平台收到通知后，即时向投标人发出确认回执通知。</w:t>
      </w:r>
    </w:p>
    <w:p>
      <w:pPr>
        <w:pStyle w:val="12"/>
        <w:kinsoku w:val="0"/>
        <w:overflowPunct w:val="0"/>
        <w:spacing w:line="288" w:lineRule="auto"/>
        <w:ind w:firstLine="420" w:firstLineChars="200"/>
        <w:rPr>
          <w:rFonts w:ascii="宋体" w:hAnsi="宋体"/>
          <w:szCs w:val="21"/>
        </w:rPr>
      </w:pPr>
      <w:r>
        <w:rPr>
          <w:rFonts w:ascii="宋体" w:hAnsi="宋体"/>
          <w:szCs w:val="21"/>
        </w:rPr>
        <w:t>4.3.3</w:t>
      </w:r>
      <w:r>
        <w:rPr>
          <w:rFonts w:hint="eastAsia" w:ascii="宋体" w:hAnsi="宋体"/>
          <w:szCs w:val="21"/>
        </w:rPr>
        <w:t>投标人撤回投标文件的，招标人自收到投标人书面撤回通知之日起</w:t>
      </w:r>
      <w:r>
        <w:rPr>
          <w:rFonts w:ascii="宋体" w:hAnsi="宋体"/>
          <w:szCs w:val="21"/>
        </w:rPr>
        <w:t>5</w:t>
      </w:r>
      <w:r>
        <w:rPr>
          <w:rFonts w:hint="eastAsia" w:ascii="宋体" w:hAnsi="宋体"/>
          <w:szCs w:val="21"/>
        </w:rPr>
        <w:t>日内退还已收取的投标保证金。</w:t>
      </w:r>
    </w:p>
    <w:p>
      <w:pPr>
        <w:pStyle w:val="12"/>
        <w:kinsoku w:val="0"/>
        <w:overflowPunct w:val="0"/>
        <w:spacing w:line="288" w:lineRule="auto"/>
        <w:ind w:firstLine="420" w:firstLineChars="200"/>
        <w:rPr>
          <w:rFonts w:ascii="宋体" w:hAnsi="宋体"/>
          <w:szCs w:val="21"/>
        </w:rPr>
      </w:pPr>
      <w:r>
        <w:rPr>
          <w:rFonts w:ascii="宋体" w:hAnsi="宋体"/>
          <w:szCs w:val="21"/>
        </w:rPr>
        <w:t>4.3.4</w:t>
      </w:r>
      <w:r>
        <w:rPr>
          <w:rFonts w:hint="eastAsia" w:ascii="宋体" w:hAnsi="宋体"/>
          <w:szCs w:val="21"/>
        </w:rPr>
        <w:t>修改的内容为投标文件的组成部分。修改的投标文件应按照本章第</w:t>
      </w:r>
      <w:r>
        <w:rPr>
          <w:rFonts w:ascii="宋体" w:hAnsi="宋体"/>
          <w:szCs w:val="21"/>
        </w:rPr>
        <w:t>3</w:t>
      </w:r>
      <w:r>
        <w:rPr>
          <w:rFonts w:hint="eastAsia" w:ascii="宋体" w:hAnsi="宋体"/>
          <w:szCs w:val="21"/>
        </w:rPr>
        <w:t>条、第</w:t>
      </w:r>
      <w:r>
        <w:rPr>
          <w:rFonts w:ascii="宋体" w:hAnsi="宋体"/>
          <w:szCs w:val="21"/>
        </w:rPr>
        <w:t>4</w:t>
      </w:r>
      <w:r>
        <w:rPr>
          <w:rFonts w:hint="eastAsia" w:ascii="宋体" w:hAnsi="宋体"/>
          <w:szCs w:val="21"/>
        </w:rPr>
        <w:t>条的规定进行编制、密封、标记和递交，并标明“修改”字样。</w:t>
      </w:r>
    </w:p>
    <w:p>
      <w:pPr>
        <w:pStyle w:val="12"/>
        <w:kinsoku w:val="0"/>
        <w:overflowPunct w:val="0"/>
        <w:spacing w:line="288" w:lineRule="auto"/>
        <w:ind w:firstLine="420" w:firstLineChars="200"/>
        <w:rPr>
          <w:rFonts w:ascii="宋体" w:hAnsi="宋体"/>
          <w:szCs w:val="21"/>
        </w:rPr>
      </w:pPr>
    </w:p>
    <w:p>
      <w:pPr>
        <w:pStyle w:val="5"/>
      </w:pPr>
      <w:bookmarkStart w:id="69" w:name="_Toc30561"/>
      <w:bookmarkStart w:id="70" w:name="_Toc533357312"/>
      <w:r>
        <w:t xml:space="preserve">5. </w:t>
      </w:r>
      <w:r>
        <w:rPr>
          <w:rFonts w:hint="eastAsia"/>
        </w:rPr>
        <w:t>开标</w:t>
      </w:r>
      <w:bookmarkEnd w:id="69"/>
      <w:bookmarkEnd w:id="70"/>
    </w:p>
    <w:p>
      <w:pPr>
        <w:pStyle w:val="7"/>
        <w:ind w:firstLine="420"/>
      </w:pPr>
      <w:bookmarkStart w:id="71" w:name="bookmark52"/>
      <w:bookmarkEnd w:id="71"/>
      <w:bookmarkStart w:id="72" w:name="bookmark53"/>
      <w:bookmarkEnd w:id="72"/>
      <w:r>
        <w:t xml:space="preserve">5.1 </w:t>
      </w:r>
      <w:r>
        <w:rPr>
          <w:rFonts w:hint="eastAsia"/>
        </w:rPr>
        <w:t>开标时间和地点</w:t>
      </w:r>
    </w:p>
    <w:p>
      <w:pPr>
        <w:pStyle w:val="12"/>
        <w:kinsoku w:val="0"/>
        <w:overflowPunct w:val="0"/>
        <w:spacing w:line="288" w:lineRule="auto"/>
        <w:ind w:firstLine="420" w:firstLineChars="200"/>
        <w:rPr>
          <w:rFonts w:ascii="宋体" w:hAnsi="宋体"/>
          <w:szCs w:val="21"/>
        </w:rPr>
      </w:pPr>
      <w:r>
        <w:rPr>
          <w:rFonts w:hint="eastAsia" w:ascii="宋体" w:hAnsi="宋体"/>
          <w:szCs w:val="21"/>
        </w:rPr>
        <w:t>招标人在本章第</w:t>
      </w:r>
      <w:r>
        <w:rPr>
          <w:rFonts w:ascii="宋体" w:hAnsi="宋体"/>
          <w:szCs w:val="21"/>
        </w:rPr>
        <w:t>4.2.1</w:t>
      </w:r>
      <w:r>
        <w:rPr>
          <w:rFonts w:hint="eastAsia" w:ascii="宋体" w:hAnsi="宋体"/>
          <w:szCs w:val="21"/>
        </w:rPr>
        <w:t>项规定的投标截止时间（开标时间）</w:t>
      </w:r>
      <w:r>
        <w:rPr>
          <w:rFonts w:ascii="宋体" w:hAnsi="宋体"/>
          <w:szCs w:val="21"/>
        </w:rPr>
        <w:t>,</w:t>
      </w:r>
      <w:r>
        <w:rPr>
          <w:rFonts w:hint="eastAsia" w:ascii="宋体" w:hAnsi="宋体"/>
          <w:szCs w:val="21"/>
        </w:rPr>
        <w:t>通过电子招标投标交易平台公开开标。开标时，投标人代表有权出席开标会，也可以自主决定不参加开标会。</w:t>
      </w:r>
    </w:p>
    <w:p>
      <w:pPr>
        <w:rPr>
          <w:rFonts w:ascii="宋体" w:hAnsi="宋体"/>
        </w:rPr>
      </w:pPr>
    </w:p>
    <w:p>
      <w:pPr>
        <w:pStyle w:val="7"/>
      </w:pPr>
      <w:bookmarkStart w:id="73" w:name="bookmark54"/>
      <w:bookmarkEnd w:id="73"/>
      <w:r>
        <w:t xml:space="preserve">5.2 </w:t>
      </w:r>
      <w:r>
        <w:rPr>
          <w:rFonts w:hint="eastAsia"/>
        </w:rPr>
        <w:t>开标程序</w:t>
      </w:r>
    </w:p>
    <w:p>
      <w:pPr>
        <w:pStyle w:val="12"/>
        <w:kinsoku w:val="0"/>
        <w:overflowPunct w:val="0"/>
        <w:spacing w:line="288" w:lineRule="auto"/>
        <w:ind w:firstLine="420" w:firstLineChars="200"/>
        <w:rPr>
          <w:rFonts w:ascii="宋体" w:hAnsi="宋体"/>
          <w:szCs w:val="21"/>
        </w:rPr>
      </w:pPr>
      <w:r>
        <w:rPr>
          <w:rFonts w:ascii="宋体" w:hAnsi="宋体"/>
          <w:szCs w:val="21"/>
        </w:rPr>
        <w:t>5.2.1</w:t>
      </w:r>
      <w:r>
        <w:rPr>
          <w:rFonts w:hint="eastAsia" w:ascii="宋体" w:hAnsi="宋体"/>
          <w:szCs w:val="21"/>
        </w:rPr>
        <w:t>主持人按下列程序进行开标：</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）宣布开标纪律；</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）公布在投标截止时间前递交投标文件的投标人名称；</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）宣布开标人、唱标人、记录人、监标人等有关人员姓名；</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）投标人通过电子招标投标交易平台对已递交的电子投标文件进行解密，公布招标项目名称、投标人名称、投标保证金的递交情况、投标报价及其他内容，并记录在案；</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）投标人代表、招标人代表、监标人、记录人等有关人员在开标记录上签字确认；若有关人员不签字的，不影响开标程序；</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）开标结束。</w:t>
      </w:r>
    </w:p>
    <w:p>
      <w:pPr>
        <w:pStyle w:val="12"/>
        <w:kinsoku w:val="0"/>
        <w:overflowPunct w:val="0"/>
        <w:spacing w:line="288" w:lineRule="auto"/>
        <w:ind w:firstLine="420" w:firstLineChars="200"/>
        <w:rPr>
          <w:rFonts w:ascii="宋体" w:hAnsi="宋体"/>
          <w:szCs w:val="21"/>
        </w:rPr>
      </w:pPr>
      <w:r>
        <w:rPr>
          <w:rFonts w:ascii="宋体" w:hAnsi="宋体"/>
          <w:szCs w:val="21"/>
        </w:rPr>
        <w:t>5.2.2</w:t>
      </w:r>
      <w:r>
        <w:rPr>
          <w:rFonts w:hint="eastAsia" w:ascii="宋体" w:hAnsi="宋体"/>
          <w:szCs w:val="21"/>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2"/>
        <w:kinsoku w:val="0"/>
        <w:overflowPunct w:val="0"/>
        <w:spacing w:line="288" w:lineRule="auto"/>
        <w:ind w:firstLine="420" w:firstLineChars="200"/>
        <w:rPr>
          <w:rFonts w:ascii="宋体" w:hAnsi="宋体"/>
          <w:szCs w:val="21"/>
        </w:rPr>
      </w:pPr>
      <w:r>
        <w:rPr>
          <w:rFonts w:ascii="宋体" w:hAnsi="宋体"/>
          <w:szCs w:val="21"/>
        </w:rPr>
        <w:t>5.2.3</w:t>
      </w:r>
      <w:r>
        <w:rPr>
          <w:rFonts w:hint="eastAsia" w:ascii="宋体" w:hAnsi="宋体"/>
          <w:szCs w:val="21"/>
        </w:rPr>
        <w:t>开标时，两个（含两个）以上的投标人加密打包投标文件电脑机器特征码一致的，不参与下一程序，并由评标委员会否决其投标。</w:t>
      </w:r>
    </w:p>
    <w:p>
      <w:pPr>
        <w:pStyle w:val="12"/>
        <w:kinsoku w:val="0"/>
        <w:overflowPunct w:val="0"/>
        <w:spacing w:line="288" w:lineRule="auto"/>
        <w:ind w:firstLine="420" w:firstLineChars="200"/>
        <w:rPr>
          <w:rFonts w:ascii="宋体" w:hAnsi="宋体"/>
          <w:szCs w:val="21"/>
        </w:rPr>
      </w:pPr>
    </w:p>
    <w:p>
      <w:pPr>
        <w:pStyle w:val="7"/>
      </w:pPr>
      <w:bookmarkStart w:id="74" w:name="bookmark55"/>
      <w:bookmarkEnd w:id="74"/>
      <w:r>
        <w:t xml:space="preserve">5.3 </w:t>
      </w:r>
      <w:r>
        <w:rPr>
          <w:rFonts w:hint="eastAsia"/>
        </w:rPr>
        <w:t>开标异议</w:t>
      </w:r>
    </w:p>
    <w:p>
      <w:pPr>
        <w:pStyle w:val="12"/>
        <w:kinsoku w:val="0"/>
        <w:overflowPunct w:val="0"/>
        <w:spacing w:line="288" w:lineRule="auto"/>
        <w:ind w:firstLine="420" w:firstLineChars="200"/>
        <w:rPr>
          <w:rFonts w:ascii="宋体" w:hAnsi="宋体"/>
          <w:szCs w:val="21"/>
        </w:rPr>
      </w:pPr>
      <w:r>
        <w:rPr>
          <w:rFonts w:hint="eastAsia" w:ascii="宋体" w:hAnsi="宋体"/>
          <w:szCs w:val="21"/>
        </w:rPr>
        <w:t>投标人对开标有异议的，应当在开标现场提出，并出示本人身份证，招标人当场作出答复，并制作记录。</w:t>
      </w:r>
    </w:p>
    <w:p>
      <w:pPr>
        <w:pStyle w:val="12"/>
        <w:kinsoku w:val="0"/>
        <w:overflowPunct w:val="0"/>
        <w:spacing w:line="288" w:lineRule="auto"/>
        <w:ind w:firstLine="420" w:firstLineChars="200"/>
        <w:rPr>
          <w:rFonts w:ascii="宋体" w:hAnsi="宋体"/>
          <w:szCs w:val="21"/>
        </w:rPr>
      </w:pPr>
    </w:p>
    <w:p>
      <w:pPr>
        <w:pStyle w:val="5"/>
      </w:pPr>
      <w:bookmarkStart w:id="75" w:name="_Toc533357313"/>
      <w:bookmarkStart w:id="76" w:name="_Toc26604"/>
      <w:r>
        <w:t xml:space="preserve">6. </w:t>
      </w:r>
      <w:r>
        <w:rPr>
          <w:rFonts w:hint="eastAsia"/>
        </w:rPr>
        <w:t>评标</w:t>
      </w:r>
      <w:bookmarkEnd w:id="75"/>
      <w:bookmarkEnd w:id="76"/>
    </w:p>
    <w:p>
      <w:pPr>
        <w:pStyle w:val="7"/>
        <w:ind w:firstLine="420"/>
      </w:pPr>
      <w:bookmarkStart w:id="77" w:name="bookmark57"/>
      <w:bookmarkEnd w:id="77"/>
      <w:r>
        <w:t xml:space="preserve">6.1 </w:t>
      </w:r>
      <w:r>
        <w:rPr>
          <w:rFonts w:hint="eastAsia"/>
        </w:rPr>
        <w:t>评标委员会</w:t>
      </w:r>
    </w:p>
    <w:p>
      <w:pPr>
        <w:pStyle w:val="12"/>
        <w:kinsoku w:val="0"/>
        <w:overflowPunct w:val="0"/>
        <w:spacing w:line="288" w:lineRule="auto"/>
        <w:ind w:firstLine="420" w:firstLineChars="200"/>
        <w:rPr>
          <w:rFonts w:ascii="宋体" w:hAnsi="宋体"/>
          <w:szCs w:val="21"/>
        </w:rPr>
      </w:pPr>
      <w:r>
        <w:rPr>
          <w:rFonts w:ascii="宋体" w:hAnsi="宋体"/>
          <w:szCs w:val="21"/>
        </w:rPr>
        <w:t>6.1.1</w:t>
      </w:r>
      <w:r>
        <w:rPr>
          <w:rFonts w:hint="eastAsia" w:ascii="宋体" w:hAnsi="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kinsoku w:val="0"/>
        <w:overflowPunct w:val="0"/>
        <w:spacing w:line="288" w:lineRule="auto"/>
        <w:ind w:firstLine="420" w:firstLineChars="200"/>
        <w:rPr>
          <w:rFonts w:ascii="宋体" w:hAnsi="宋体"/>
          <w:szCs w:val="21"/>
        </w:rPr>
      </w:pPr>
      <w:r>
        <w:rPr>
          <w:rFonts w:ascii="宋体" w:hAnsi="宋体"/>
          <w:szCs w:val="21"/>
        </w:rPr>
        <w:t>6.1.2</w:t>
      </w:r>
      <w:r>
        <w:rPr>
          <w:rFonts w:hint="eastAsia" w:ascii="宋体" w:hAnsi="宋体"/>
          <w:szCs w:val="21"/>
        </w:rPr>
        <w:t>评标委员会成员有下列情形之一的，应当回避：</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）投标人或投标人主要负责人的近亲属；</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）项目主管部门或者行政监督部门的人员；</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）与投标人有经济利益关系，可能影响对投标公正评审的；</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）曾因在招标、评标以及其他与招标投标有关活动中从事违法行为而受过行政处罚或刑事处罚的</w:t>
      </w:r>
    </w:p>
    <w:p>
      <w:pPr>
        <w:pStyle w:val="12"/>
        <w:kinsoku w:val="0"/>
        <w:overflowPunct w:val="0"/>
        <w:spacing w:line="288"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）与投标人有其他利害关系。</w:t>
      </w:r>
    </w:p>
    <w:p>
      <w:pPr>
        <w:pStyle w:val="12"/>
        <w:kinsoku w:val="0"/>
        <w:overflowPunct w:val="0"/>
        <w:spacing w:line="288" w:lineRule="auto"/>
        <w:ind w:firstLine="420" w:firstLineChars="200"/>
        <w:rPr>
          <w:rFonts w:ascii="宋体" w:hAnsi="宋体"/>
          <w:szCs w:val="21"/>
        </w:rPr>
      </w:pPr>
      <w:r>
        <w:rPr>
          <w:rFonts w:ascii="宋体" w:hAnsi="宋体"/>
          <w:szCs w:val="21"/>
        </w:rPr>
        <w:t>6.1.3</w:t>
      </w:r>
      <w:r>
        <w:rPr>
          <w:rFonts w:hint="eastAsia" w:ascii="宋体" w:hAnsi="宋体"/>
          <w:szCs w:val="21"/>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12"/>
        <w:kinsoku w:val="0"/>
        <w:overflowPunct w:val="0"/>
        <w:spacing w:line="288" w:lineRule="auto"/>
        <w:ind w:firstLine="420" w:firstLineChars="200"/>
        <w:rPr>
          <w:rFonts w:ascii="宋体" w:hAnsi="宋体"/>
          <w:szCs w:val="21"/>
        </w:rPr>
      </w:pPr>
    </w:p>
    <w:p>
      <w:pPr>
        <w:pStyle w:val="7"/>
      </w:pPr>
      <w:bookmarkStart w:id="78" w:name="bookmark58"/>
      <w:bookmarkEnd w:id="78"/>
      <w:r>
        <w:t xml:space="preserve">6.2 </w:t>
      </w:r>
      <w:r>
        <w:rPr>
          <w:rFonts w:hint="eastAsia"/>
        </w:rPr>
        <w:t>评标原则</w:t>
      </w:r>
    </w:p>
    <w:p>
      <w:pPr>
        <w:pStyle w:val="12"/>
        <w:kinsoku w:val="0"/>
        <w:overflowPunct w:val="0"/>
        <w:spacing w:line="288" w:lineRule="auto"/>
        <w:ind w:firstLine="420" w:firstLineChars="200"/>
        <w:rPr>
          <w:rFonts w:ascii="宋体" w:hAnsi="宋体"/>
          <w:szCs w:val="21"/>
        </w:rPr>
      </w:pPr>
      <w:r>
        <w:rPr>
          <w:rFonts w:hint="eastAsia" w:ascii="宋体" w:hAnsi="宋体"/>
          <w:szCs w:val="21"/>
        </w:rPr>
        <w:t>评标活动遵循公平、公正、科学和择优的原则。</w:t>
      </w:r>
    </w:p>
    <w:p>
      <w:pPr>
        <w:pStyle w:val="12"/>
        <w:kinsoku w:val="0"/>
        <w:overflowPunct w:val="0"/>
        <w:spacing w:line="288" w:lineRule="auto"/>
        <w:ind w:firstLine="420" w:firstLineChars="200"/>
        <w:rPr>
          <w:rFonts w:ascii="宋体" w:hAnsi="宋体"/>
          <w:szCs w:val="21"/>
        </w:rPr>
      </w:pPr>
    </w:p>
    <w:p>
      <w:pPr>
        <w:pStyle w:val="7"/>
      </w:pPr>
      <w:bookmarkStart w:id="79" w:name="bookmark59"/>
      <w:bookmarkEnd w:id="79"/>
      <w:r>
        <w:t xml:space="preserve">6.3 </w:t>
      </w:r>
      <w:r>
        <w:rPr>
          <w:rFonts w:hint="eastAsia"/>
        </w:rPr>
        <w:t>评标</w:t>
      </w:r>
    </w:p>
    <w:p>
      <w:pPr>
        <w:pStyle w:val="12"/>
        <w:kinsoku w:val="0"/>
        <w:overflowPunct w:val="0"/>
        <w:spacing w:line="288" w:lineRule="auto"/>
        <w:ind w:firstLine="420" w:firstLineChars="200"/>
        <w:rPr>
          <w:rFonts w:ascii="宋体" w:hAnsi="宋体"/>
          <w:szCs w:val="21"/>
        </w:rPr>
      </w:pPr>
      <w:r>
        <w:rPr>
          <w:rFonts w:ascii="宋体" w:hAnsi="宋体"/>
          <w:szCs w:val="21"/>
        </w:rPr>
        <w:t>6.3.1</w:t>
      </w: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pPr>
        <w:pStyle w:val="12"/>
        <w:kinsoku w:val="0"/>
        <w:overflowPunct w:val="0"/>
        <w:spacing w:line="288" w:lineRule="auto"/>
        <w:ind w:firstLine="420" w:firstLineChars="200"/>
        <w:rPr>
          <w:rFonts w:ascii="宋体" w:hAnsi="宋体"/>
          <w:szCs w:val="21"/>
        </w:rPr>
      </w:pPr>
      <w:r>
        <w:rPr>
          <w:rFonts w:ascii="宋体" w:hAnsi="宋体"/>
          <w:szCs w:val="21"/>
        </w:rPr>
        <w:t>6.3.2</w:t>
      </w:r>
      <w:r>
        <w:rPr>
          <w:rFonts w:hint="eastAsia" w:ascii="宋体" w:hAnsi="宋体"/>
          <w:szCs w:val="21"/>
        </w:rPr>
        <w:t>评标完成后，评标委员会应当向招标人提交书面评标报告和中标候选人名单。评标委员会推荐中标候选人的人数见投标人须知前附表。</w:t>
      </w:r>
    </w:p>
    <w:p>
      <w:pPr>
        <w:pStyle w:val="5"/>
      </w:pPr>
      <w:bookmarkStart w:id="80" w:name="bookmark60"/>
      <w:bookmarkEnd w:id="80"/>
      <w:bookmarkStart w:id="81" w:name="_Toc26243"/>
      <w:bookmarkStart w:id="82" w:name="_Toc533357314"/>
      <w:r>
        <w:t xml:space="preserve">7. </w:t>
      </w:r>
      <w:r>
        <w:rPr>
          <w:rFonts w:hint="eastAsia"/>
        </w:rPr>
        <w:t>合同授予</w:t>
      </w:r>
      <w:bookmarkEnd w:id="81"/>
      <w:bookmarkEnd w:id="82"/>
    </w:p>
    <w:p>
      <w:pPr>
        <w:pStyle w:val="7"/>
        <w:ind w:firstLine="420"/>
      </w:pPr>
      <w:bookmarkStart w:id="83" w:name="bookmark61"/>
      <w:bookmarkEnd w:id="83"/>
      <w:r>
        <w:t xml:space="preserve">7.1 </w:t>
      </w:r>
      <w:r>
        <w:rPr>
          <w:rFonts w:hint="eastAsia"/>
        </w:rPr>
        <w:t>中标候选人公示</w:t>
      </w:r>
    </w:p>
    <w:p>
      <w:pPr>
        <w:pStyle w:val="12"/>
        <w:kinsoku w:val="0"/>
        <w:overflowPunct w:val="0"/>
        <w:spacing w:line="288" w:lineRule="auto"/>
        <w:ind w:firstLine="420" w:firstLineChars="200"/>
        <w:rPr>
          <w:rFonts w:ascii="宋体" w:hAnsi="宋体"/>
          <w:szCs w:val="21"/>
        </w:rPr>
      </w:pPr>
      <w:r>
        <w:rPr>
          <w:rFonts w:hint="eastAsia" w:ascii="宋体" w:hAnsi="宋体"/>
          <w:szCs w:val="21"/>
        </w:rPr>
        <w:t>招标人在收到评标报告之日起</w:t>
      </w:r>
      <w:r>
        <w:rPr>
          <w:rFonts w:ascii="宋体" w:hAnsi="宋体"/>
          <w:szCs w:val="21"/>
        </w:rPr>
        <w:t>3</w:t>
      </w:r>
      <w:r>
        <w:rPr>
          <w:rFonts w:hint="eastAsia" w:ascii="宋体" w:hAnsi="宋体"/>
          <w:szCs w:val="21"/>
        </w:rPr>
        <w:t>日内，按照投标人须知前附表规定的公示媒介和期限公示中标候选人，公示期不得少于</w:t>
      </w:r>
      <w:r>
        <w:rPr>
          <w:rFonts w:ascii="宋体" w:hAnsi="宋体"/>
          <w:szCs w:val="21"/>
        </w:rPr>
        <w:t>3</w:t>
      </w:r>
      <w:r>
        <w:rPr>
          <w:rFonts w:hint="eastAsia" w:ascii="宋体" w:hAnsi="宋体"/>
          <w:szCs w:val="21"/>
        </w:rPr>
        <w:t>天。</w:t>
      </w:r>
    </w:p>
    <w:p>
      <w:pPr>
        <w:pStyle w:val="7"/>
      </w:pPr>
      <w:bookmarkStart w:id="84" w:name="bookmark62"/>
      <w:bookmarkEnd w:id="84"/>
      <w:r>
        <w:t xml:space="preserve">7.2 </w:t>
      </w:r>
      <w:r>
        <w:rPr>
          <w:rFonts w:hint="eastAsia"/>
        </w:rPr>
        <w:t>评标结果异议</w:t>
      </w:r>
    </w:p>
    <w:p>
      <w:pPr>
        <w:pStyle w:val="12"/>
        <w:kinsoku w:val="0"/>
        <w:overflowPunct w:val="0"/>
        <w:spacing w:line="288" w:lineRule="auto"/>
        <w:ind w:firstLine="420" w:firstLineChars="200"/>
        <w:rPr>
          <w:rFonts w:ascii="宋体" w:hAnsi="宋体"/>
          <w:szCs w:val="21"/>
        </w:rPr>
      </w:pPr>
      <w:r>
        <w:rPr>
          <w:rFonts w:hint="eastAsia" w:ascii="宋体" w:hAnsi="宋体"/>
          <w:szCs w:val="21"/>
        </w:rPr>
        <w:t>投标人或者其他利害关系人对评标结果有异议的，应当在中标候选人公示期间提出。招标人将在收到异议之日起</w:t>
      </w:r>
      <w:r>
        <w:rPr>
          <w:rFonts w:ascii="宋体" w:hAnsi="宋体"/>
          <w:szCs w:val="21"/>
        </w:rPr>
        <w:t>3</w:t>
      </w:r>
      <w:r>
        <w:rPr>
          <w:rFonts w:hint="eastAsia" w:ascii="宋体" w:hAnsi="宋体"/>
          <w:szCs w:val="21"/>
        </w:rPr>
        <w:t>日内作出答复；作出答复前，将暂停招标投标活动。</w:t>
      </w:r>
    </w:p>
    <w:p>
      <w:pPr>
        <w:pStyle w:val="12"/>
        <w:kinsoku w:val="0"/>
        <w:overflowPunct w:val="0"/>
        <w:spacing w:line="288" w:lineRule="auto"/>
        <w:ind w:firstLine="420" w:firstLineChars="200"/>
        <w:rPr>
          <w:rFonts w:ascii="宋体" w:hAnsi="宋体"/>
          <w:szCs w:val="21"/>
        </w:rPr>
      </w:pPr>
    </w:p>
    <w:p>
      <w:pPr>
        <w:pStyle w:val="7"/>
      </w:pPr>
      <w:bookmarkStart w:id="85" w:name="bookmark63"/>
      <w:bookmarkEnd w:id="85"/>
      <w:r>
        <w:t xml:space="preserve">7.3 </w:t>
      </w:r>
      <w:r>
        <w:rPr>
          <w:rFonts w:hint="eastAsia"/>
        </w:rPr>
        <w:t>中标候选人履约能力审查</w:t>
      </w:r>
    </w:p>
    <w:p>
      <w:pPr>
        <w:pStyle w:val="12"/>
        <w:kinsoku w:val="0"/>
        <w:overflowPunct w:val="0"/>
        <w:spacing w:line="288" w:lineRule="auto"/>
        <w:ind w:firstLine="420" w:firstLineChars="200"/>
        <w:rPr>
          <w:rFonts w:ascii="宋体" w:hAnsi="宋体"/>
          <w:szCs w:val="21"/>
        </w:rPr>
      </w:pPr>
      <w:r>
        <w:rPr>
          <w:rFonts w:hint="eastAsia" w:ascii="宋体" w:hAnsi="宋体"/>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12"/>
        <w:kinsoku w:val="0"/>
        <w:overflowPunct w:val="0"/>
        <w:spacing w:line="288" w:lineRule="auto"/>
        <w:ind w:firstLine="420" w:firstLineChars="200"/>
        <w:rPr>
          <w:rFonts w:ascii="宋体" w:hAnsi="宋体"/>
          <w:szCs w:val="21"/>
        </w:rPr>
      </w:pPr>
    </w:p>
    <w:p>
      <w:pPr>
        <w:pStyle w:val="7"/>
      </w:pPr>
      <w:bookmarkStart w:id="86" w:name="bookmark64"/>
      <w:bookmarkEnd w:id="86"/>
      <w:r>
        <w:t xml:space="preserve">7.4 </w:t>
      </w:r>
      <w:r>
        <w:rPr>
          <w:rFonts w:hint="eastAsia"/>
        </w:rPr>
        <w:t>定标</w:t>
      </w:r>
    </w:p>
    <w:p>
      <w:pPr>
        <w:pStyle w:val="12"/>
        <w:kinsoku w:val="0"/>
        <w:overflowPunct w:val="0"/>
        <w:spacing w:line="288" w:lineRule="auto"/>
        <w:ind w:firstLine="420" w:firstLineChars="200"/>
        <w:rPr>
          <w:rFonts w:ascii="宋体" w:hAnsi="宋体"/>
          <w:szCs w:val="21"/>
        </w:rPr>
      </w:pPr>
      <w:r>
        <w:rPr>
          <w:rFonts w:hint="eastAsia" w:ascii="宋体" w:hAnsi="宋体"/>
          <w:szCs w:val="21"/>
        </w:rPr>
        <w:t>按照投标人须知前附表的规定，招标人或招标人授权的评标委员会依法确定中标人。</w:t>
      </w:r>
    </w:p>
    <w:p>
      <w:pPr>
        <w:pStyle w:val="12"/>
        <w:kinsoku w:val="0"/>
        <w:overflowPunct w:val="0"/>
        <w:spacing w:line="288" w:lineRule="auto"/>
        <w:ind w:firstLine="420" w:firstLineChars="200"/>
        <w:rPr>
          <w:rFonts w:ascii="宋体" w:hAnsi="宋体"/>
          <w:szCs w:val="21"/>
        </w:rPr>
      </w:pPr>
    </w:p>
    <w:p>
      <w:pPr>
        <w:pStyle w:val="7"/>
      </w:pPr>
      <w:bookmarkStart w:id="87" w:name="bookmark65"/>
      <w:bookmarkEnd w:id="87"/>
      <w:r>
        <w:t xml:space="preserve">7.5 </w:t>
      </w:r>
      <w:r>
        <w:rPr>
          <w:rFonts w:hint="eastAsia"/>
        </w:rPr>
        <w:t>中标通知</w:t>
      </w:r>
    </w:p>
    <w:p>
      <w:pPr>
        <w:pStyle w:val="12"/>
        <w:kinsoku w:val="0"/>
        <w:overflowPunct w:val="0"/>
        <w:spacing w:line="288" w:lineRule="auto"/>
        <w:ind w:firstLine="420" w:firstLineChars="200"/>
        <w:rPr>
          <w:rFonts w:ascii="宋体" w:hAnsi="宋体"/>
          <w:szCs w:val="21"/>
        </w:rPr>
      </w:pPr>
      <w:r>
        <w:rPr>
          <w:rFonts w:hint="eastAsia" w:ascii="宋体" w:hAnsi="宋体"/>
          <w:szCs w:val="21"/>
        </w:rPr>
        <w:t>在本章第</w:t>
      </w:r>
      <w:r>
        <w:rPr>
          <w:rFonts w:ascii="宋体" w:hAnsi="宋体"/>
          <w:szCs w:val="21"/>
        </w:rPr>
        <w:t>3.3</w:t>
      </w:r>
      <w:r>
        <w:rPr>
          <w:rFonts w:hint="eastAsia" w:ascii="宋体" w:hAnsi="宋体"/>
          <w:szCs w:val="21"/>
        </w:rPr>
        <w:t>款规定的投标有效期内，招标人以书面形式向中标人发出中标通知书，同时将中标结果通知未中标的投标人。</w:t>
      </w:r>
    </w:p>
    <w:p>
      <w:pPr>
        <w:pStyle w:val="12"/>
        <w:kinsoku w:val="0"/>
        <w:overflowPunct w:val="0"/>
        <w:spacing w:line="288" w:lineRule="auto"/>
        <w:ind w:firstLine="420" w:firstLineChars="200"/>
        <w:rPr>
          <w:rFonts w:ascii="宋体" w:hAnsi="宋体"/>
          <w:szCs w:val="21"/>
        </w:rPr>
      </w:pPr>
    </w:p>
    <w:p>
      <w:pPr>
        <w:pStyle w:val="7"/>
      </w:pPr>
      <w:bookmarkStart w:id="88" w:name="bookmark66"/>
      <w:bookmarkEnd w:id="88"/>
      <w:r>
        <w:t xml:space="preserve">7.6 </w:t>
      </w:r>
      <w:r>
        <w:rPr>
          <w:rFonts w:hint="eastAsia"/>
        </w:rPr>
        <w:t>履约保证金</w:t>
      </w:r>
    </w:p>
    <w:p>
      <w:pPr>
        <w:pStyle w:val="12"/>
        <w:kinsoku w:val="0"/>
        <w:overflowPunct w:val="0"/>
        <w:spacing w:line="288" w:lineRule="auto"/>
        <w:ind w:firstLine="420" w:firstLineChars="200"/>
        <w:rPr>
          <w:rFonts w:ascii="宋体" w:hAnsi="宋体"/>
          <w:szCs w:val="21"/>
        </w:rPr>
      </w:pPr>
      <w:r>
        <w:rPr>
          <w:rFonts w:ascii="宋体" w:hAnsi="宋体"/>
          <w:szCs w:val="21"/>
        </w:rPr>
        <w:t>7.6.1</w:t>
      </w:r>
      <w:r>
        <w:rPr>
          <w:rFonts w:hint="eastAsia" w:ascii="宋体" w:hAnsi="宋体"/>
          <w:szCs w:val="21"/>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szCs w:val="21"/>
        </w:rPr>
        <w:t>10%</w:t>
      </w:r>
      <w:r>
        <w:rPr>
          <w:rFonts w:hint="eastAsia" w:ascii="宋体" w:hAnsi="宋体"/>
          <w:szCs w:val="21"/>
        </w:rPr>
        <w:t>。联合体中标的，其履约保证金以联合体各方或者联合体中牵头人的名义提交。</w:t>
      </w:r>
    </w:p>
    <w:p>
      <w:pPr>
        <w:pStyle w:val="12"/>
        <w:kinsoku w:val="0"/>
        <w:overflowPunct w:val="0"/>
        <w:spacing w:line="288" w:lineRule="auto"/>
        <w:ind w:firstLine="420" w:firstLineChars="200"/>
        <w:rPr>
          <w:rFonts w:ascii="宋体" w:hAnsi="宋体"/>
          <w:szCs w:val="21"/>
        </w:rPr>
      </w:pPr>
      <w:r>
        <w:rPr>
          <w:rFonts w:ascii="宋体" w:hAnsi="宋体"/>
          <w:szCs w:val="21"/>
        </w:rPr>
        <w:t>7.6.2</w:t>
      </w:r>
      <w:r>
        <w:rPr>
          <w:rFonts w:hint="eastAsia" w:ascii="宋体" w:hAnsi="宋体"/>
          <w:szCs w:val="21"/>
        </w:rPr>
        <w:t>中标人不能按本章第</w:t>
      </w:r>
      <w:r>
        <w:rPr>
          <w:rFonts w:ascii="宋体" w:hAnsi="宋体"/>
          <w:szCs w:val="21"/>
        </w:rPr>
        <w:t>7.6.1</w:t>
      </w:r>
      <w:r>
        <w:rPr>
          <w:rFonts w:hint="eastAsia" w:ascii="宋体" w:hAnsi="宋体"/>
          <w:szCs w:val="21"/>
        </w:rPr>
        <w:t>项要求提交履约保证金的，视为放弃中标，其投标保证金不予退还，给招标人造成的损失超过投标保证金数额的，中标人还应当对超过部分予以赔偿。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ascii="宋体" w:hAnsi="宋体"/>
          <w:szCs w:val="21"/>
        </w:rPr>
      </w:pPr>
    </w:p>
    <w:p>
      <w:pPr>
        <w:pStyle w:val="7"/>
      </w:pPr>
      <w:bookmarkStart w:id="89" w:name="bookmark67"/>
      <w:bookmarkEnd w:id="89"/>
      <w:r>
        <w:t xml:space="preserve">7.7 </w:t>
      </w:r>
      <w:r>
        <w:rPr>
          <w:rFonts w:hint="eastAsia"/>
        </w:rPr>
        <w:t>签订合同</w:t>
      </w:r>
    </w:p>
    <w:p>
      <w:pPr>
        <w:pStyle w:val="12"/>
        <w:kinsoku w:val="0"/>
        <w:overflowPunct w:val="0"/>
        <w:spacing w:line="288" w:lineRule="auto"/>
        <w:ind w:firstLine="420" w:firstLineChars="200"/>
        <w:rPr>
          <w:rFonts w:ascii="宋体" w:hAnsi="宋体"/>
          <w:szCs w:val="21"/>
        </w:rPr>
      </w:pPr>
      <w:r>
        <w:rPr>
          <w:rFonts w:ascii="宋体" w:hAnsi="宋体"/>
          <w:szCs w:val="21"/>
        </w:rPr>
        <w:t>7.7.1</w:t>
      </w:r>
      <w:r>
        <w:rPr>
          <w:rFonts w:hint="eastAsia" w:ascii="宋体" w:hAnsi="宋体"/>
          <w:szCs w:val="21"/>
        </w:rPr>
        <w:t>招标人和中标人应当在中标通知书发出之日起</w:t>
      </w:r>
      <w:r>
        <w:rPr>
          <w:rFonts w:ascii="宋体" w:hAnsi="宋体"/>
          <w:szCs w:val="21"/>
        </w:rPr>
        <w:t>30</w:t>
      </w:r>
      <w:r>
        <w:rPr>
          <w:rFonts w:hint="eastAsia" w:ascii="宋体" w:hAnsi="宋体"/>
          <w:szCs w:val="21"/>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kinsoku w:val="0"/>
        <w:overflowPunct w:val="0"/>
        <w:spacing w:line="288" w:lineRule="auto"/>
        <w:ind w:firstLine="420" w:firstLineChars="200"/>
        <w:rPr>
          <w:rFonts w:ascii="宋体" w:hAnsi="宋体"/>
          <w:szCs w:val="21"/>
        </w:rPr>
      </w:pPr>
      <w:r>
        <w:rPr>
          <w:rFonts w:ascii="宋体" w:hAnsi="宋体"/>
          <w:szCs w:val="21"/>
        </w:rPr>
        <w:t>7.7.2</w:t>
      </w:r>
      <w:r>
        <w:rPr>
          <w:rFonts w:hint="eastAsia" w:ascii="宋体" w:hAnsi="宋体"/>
          <w:szCs w:val="21"/>
        </w:rPr>
        <w:t>发出中标通知书后，招标人无正当理由拒签合同，或者在签订合同时向中标人提出附加条件的，招标人向中标人退还投标保证金；给中标人造成损失的，还应当赔偿损失。</w:t>
      </w:r>
    </w:p>
    <w:p>
      <w:pPr>
        <w:pStyle w:val="12"/>
        <w:kinsoku w:val="0"/>
        <w:overflowPunct w:val="0"/>
        <w:spacing w:line="288" w:lineRule="auto"/>
        <w:ind w:firstLine="420" w:firstLineChars="200"/>
        <w:rPr>
          <w:rFonts w:ascii="宋体" w:hAnsi="宋体"/>
          <w:szCs w:val="21"/>
        </w:rPr>
      </w:pPr>
      <w:r>
        <w:rPr>
          <w:rFonts w:ascii="宋体" w:hAnsi="宋体"/>
          <w:szCs w:val="21"/>
        </w:rPr>
        <w:t>7.7.3</w:t>
      </w:r>
      <w:r>
        <w:rPr>
          <w:rFonts w:hint="eastAsia" w:ascii="宋体" w:hAnsi="宋体"/>
          <w:szCs w:val="21"/>
        </w:rPr>
        <w:t>联合体中标的，联合体各方应当共同与招标人签订合同，就中标项目向招标人承担连带责任。</w:t>
      </w:r>
    </w:p>
    <w:p>
      <w:pPr>
        <w:pStyle w:val="5"/>
      </w:pPr>
      <w:bookmarkStart w:id="90" w:name="bookmark68"/>
      <w:bookmarkEnd w:id="90"/>
      <w:bookmarkStart w:id="91" w:name="_Toc533357315"/>
      <w:bookmarkStart w:id="92" w:name="_Toc32395"/>
      <w:r>
        <w:t xml:space="preserve">8. </w:t>
      </w:r>
      <w:r>
        <w:rPr>
          <w:rFonts w:hint="eastAsia"/>
        </w:rPr>
        <w:t>纪律和监督</w:t>
      </w:r>
      <w:bookmarkEnd w:id="91"/>
      <w:bookmarkEnd w:id="92"/>
    </w:p>
    <w:p>
      <w:pPr>
        <w:pStyle w:val="7"/>
      </w:pPr>
      <w:bookmarkStart w:id="93" w:name="bookmark69"/>
      <w:bookmarkEnd w:id="93"/>
      <w:r>
        <w:t xml:space="preserve">8.1 </w:t>
      </w:r>
      <w:r>
        <w:rPr>
          <w:rFonts w:hint="eastAsia"/>
        </w:rPr>
        <w:t>对招标人的纪律要求</w:t>
      </w:r>
    </w:p>
    <w:p>
      <w:pPr>
        <w:pStyle w:val="12"/>
        <w:kinsoku w:val="0"/>
        <w:overflowPunct w:val="0"/>
        <w:spacing w:line="288" w:lineRule="auto"/>
        <w:ind w:firstLine="420" w:firstLineChars="200"/>
        <w:rPr>
          <w:rFonts w:ascii="宋体" w:hAnsi="宋体"/>
          <w:szCs w:val="21"/>
        </w:rPr>
      </w:pPr>
      <w:r>
        <w:rPr>
          <w:rFonts w:hint="eastAsia" w:ascii="宋体" w:hAnsi="宋体"/>
          <w:szCs w:val="21"/>
        </w:rPr>
        <w:t>招标人不得泄露招标投标活动中应当保密的情况和资料，不得与投标人串通损害国家利益、社会公共利益或者他人合法权益。</w:t>
      </w:r>
    </w:p>
    <w:p>
      <w:pPr>
        <w:pStyle w:val="12"/>
        <w:kinsoku w:val="0"/>
        <w:overflowPunct w:val="0"/>
        <w:spacing w:line="288" w:lineRule="auto"/>
        <w:ind w:firstLine="420" w:firstLineChars="200"/>
        <w:rPr>
          <w:rFonts w:ascii="宋体" w:hAnsi="宋体"/>
          <w:szCs w:val="21"/>
        </w:rPr>
      </w:pPr>
    </w:p>
    <w:p>
      <w:pPr>
        <w:pStyle w:val="7"/>
      </w:pPr>
      <w:bookmarkStart w:id="94" w:name="bookmark70"/>
      <w:bookmarkEnd w:id="94"/>
      <w:r>
        <w:t xml:space="preserve">8.2 </w:t>
      </w:r>
      <w:r>
        <w:rPr>
          <w:rFonts w:hint="eastAsia"/>
        </w:rPr>
        <w:t>对投标人的纪律要求</w:t>
      </w:r>
    </w:p>
    <w:p>
      <w:pPr>
        <w:pStyle w:val="12"/>
        <w:kinsoku w:val="0"/>
        <w:overflowPunct w:val="0"/>
        <w:spacing w:line="288" w:lineRule="auto"/>
        <w:ind w:firstLine="420" w:firstLineChars="200"/>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2"/>
        <w:kinsoku w:val="0"/>
        <w:overflowPunct w:val="0"/>
        <w:spacing w:line="288" w:lineRule="auto"/>
        <w:ind w:firstLine="420" w:firstLineChars="200"/>
        <w:rPr>
          <w:rFonts w:ascii="宋体" w:hAnsi="宋体"/>
          <w:szCs w:val="21"/>
        </w:rPr>
      </w:pPr>
    </w:p>
    <w:p>
      <w:pPr>
        <w:pStyle w:val="7"/>
      </w:pPr>
      <w:bookmarkStart w:id="95" w:name="bookmark71"/>
      <w:bookmarkEnd w:id="95"/>
      <w:r>
        <w:t xml:space="preserve">8.3 </w:t>
      </w:r>
      <w:r>
        <w:rPr>
          <w:rFonts w:hint="eastAsia"/>
        </w:rPr>
        <w:t>对评标委员会成员的纪律要求</w:t>
      </w:r>
    </w:p>
    <w:p>
      <w:pPr>
        <w:pStyle w:val="12"/>
        <w:kinsoku w:val="0"/>
        <w:overflowPunct w:val="0"/>
        <w:spacing w:line="288" w:lineRule="auto"/>
        <w:ind w:firstLine="420" w:firstLineChars="200"/>
        <w:rPr>
          <w:rFonts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2"/>
        <w:kinsoku w:val="0"/>
        <w:overflowPunct w:val="0"/>
        <w:spacing w:line="288" w:lineRule="auto"/>
        <w:ind w:firstLine="420" w:firstLineChars="200"/>
        <w:rPr>
          <w:rFonts w:ascii="宋体" w:hAnsi="宋体"/>
          <w:szCs w:val="21"/>
        </w:rPr>
      </w:pPr>
    </w:p>
    <w:p>
      <w:pPr>
        <w:pStyle w:val="7"/>
      </w:pPr>
      <w:bookmarkStart w:id="96" w:name="bookmark72"/>
      <w:bookmarkEnd w:id="96"/>
      <w:r>
        <w:t xml:space="preserve">8.4 </w:t>
      </w:r>
      <w:r>
        <w:rPr>
          <w:rFonts w:hint="eastAsia"/>
        </w:rPr>
        <w:t>对与评标活动有关的工作人员的纪律要求</w:t>
      </w:r>
    </w:p>
    <w:p>
      <w:pPr>
        <w:pStyle w:val="12"/>
        <w:kinsoku w:val="0"/>
        <w:overflowPunct w:val="0"/>
        <w:spacing w:line="288" w:lineRule="auto"/>
        <w:ind w:firstLine="420" w:firstLineChars="200"/>
        <w:rPr>
          <w:rFonts w:ascii="宋体" w:hAnsi="宋体"/>
          <w:szCs w:val="21"/>
        </w:rPr>
      </w:pPr>
      <w:r>
        <w:rPr>
          <w:rFonts w:hint="eastAsia" w:ascii="宋体"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2"/>
        <w:kinsoku w:val="0"/>
        <w:overflowPunct w:val="0"/>
        <w:spacing w:line="288" w:lineRule="auto"/>
        <w:ind w:firstLine="420" w:firstLineChars="200"/>
        <w:rPr>
          <w:rFonts w:ascii="宋体" w:hAnsi="宋体"/>
          <w:szCs w:val="21"/>
        </w:rPr>
      </w:pPr>
    </w:p>
    <w:p>
      <w:pPr>
        <w:pStyle w:val="7"/>
      </w:pPr>
      <w:bookmarkStart w:id="97" w:name="bookmark73"/>
      <w:bookmarkEnd w:id="97"/>
      <w:r>
        <w:t xml:space="preserve">8.5 </w:t>
      </w:r>
      <w:r>
        <w:rPr>
          <w:rFonts w:hint="eastAsia"/>
        </w:rPr>
        <w:t>投诉</w:t>
      </w:r>
    </w:p>
    <w:p>
      <w:pPr>
        <w:pStyle w:val="12"/>
        <w:kinsoku w:val="0"/>
        <w:overflowPunct w:val="0"/>
        <w:spacing w:line="288" w:lineRule="auto"/>
        <w:ind w:firstLine="420" w:firstLineChars="200"/>
        <w:rPr>
          <w:rFonts w:ascii="宋体" w:hAnsi="宋体"/>
          <w:szCs w:val="21"/>
        </w:rPr>
      </w:pPr>
      <w:r>
        <w:rPr>
          <w:rFonts w:ascii="宋体" w:hAnsi="宋体"/>
          <w:szCs w:val="21"/>
        </w:rPr>
        <w:t>8.5.1</w:t>
      </w:r>
      <w:r>
        <w:rPr>
          <w:rFonts w:hint="eastAsia" w:ascii="宋体" w:hAnsi="宋体"/>
          <w:szCs w:val="21"/>
        </w:rPr>
        <w:t>投标人或者其他利害关系人认为招标投标活动不符合法律、行政法规规定的，可以自知道或者应当知道之日起</w:t>
      </w:r>
      <w:r>
        <w:rPr>
          <w:rFonts w:ascii="宋体" w:hAnsi="宋体"/>
          <w:szCs w:val="21"/>
        </w:rPr>
        <w:t>10</w:t>
      </w:r>
      <w:r>
        <w:rPr>
          <w:rFonts w:hint="eastAsia" w:ascii="宋体" w:hAnsi="宋体"/>
          <w:szCs w:val="21"/>
        </w:rPr>
        <w:t>日内向有关行政监督部门投诉。投诉应当有明确的请求和必要的证明材料。</w:t>
      </w:r>
    </w:p>
    <w:p>
      <w:pPr>
        <w:pStyle w:val="12"/>
        <w:kinsoku w:val="0"/>
        <w:overflowPunct w:val="0"/>
        <w:spacing w:line="288" w:lineRule="auto"/>
        <w:ind w:firstLine="420" w:firstLineChars="200"/>
        <w:rPr>
          <w:rFonts w:ascii="宋体" w:hAnsi="宋体"/>
          <w:szCs w:val="21"/>
        </w:rPr>
      </w:pPr>
      <w:r>
        <w:rPr>
          <w:rFonts w:ascii="宋体" w:hAnsi="宋体"/>
          <w:szCs w:val="21"/>
        </w:rPr>
        <w:t>8.5.2</w:t>
      </w:r>
      <w:r>
        <w:rPr>
          <w:rFonts w:hint="eastAsia" w:ascii="宋体" w:hAnsi="宋体"/>
          <w:szCs w:val="21"/>
        </w:rPr>
        <w:t>投标人或者其他利害关系人对招标文件、开标和评标结果提出投诉的，应当按照投标人须知第</w:t>
      </w:r>
      <w:r>
        <w:rPr>
          <w:rFonts w:ascii="宋体" w:hAnsi="宋体"/>
          <w:szCs w:val="21"/>
        </w:rPr>
        <w:t>2.4</w:t>
      </w:r>
      <w:r>
        <w:rPr>
          <w:rFonts w:hint="eastAsia" w:ascii="宋体" w:hAnsi="宋体"/>
          <w:szCs w:val="21"/>
        </w:rPr>
        <w:t>款、第</w:t>
      </w:r>
      <w:r>
        <w:rPr>
          <w:rFonts w:ascii="宋体" w:hAnsi="宋体"/>
          <w:szCs w:val="21"/>
        </w:rPr>
        <w:t>5.3</w:t>
      </w:r>
      <w:r>
        <w:rPr>
          <w:rFonts w:hint="eastAsia" w:ascii="宋体" w:hAnsi="宋体"/>
          <w:szCs w:val="21"/>
        </w:rPr>
        <w:t>款和第</w:t>
      </w:r>
      <w:r>
        <w:rPr>
          <w:rFonts w:ascii="宋体" w:hAnsi="宋体"/>
          <w:szCs w:val="21"/>
        </w:rPr>
        <w:t>7.2</w:t>
      </w:r>
      <w:r>
        <w:rPr>
          <w:rFonts w:hint="eastAsia" w:ascii="宋体" w:hAnsi="宋体"/>
          <w:szCs w:val="21"/>
        </w:rPr>
        <w:t>款的规定先向招标人提出异议。异议答复期间不计算在第</w:t>
      </w:r>
      <w:r>
        <w:rPr>
          <w:rFonts w:ascii="宋体" w:hAnsi="宋体"/>
          <w:szCs w:val="21"/>
        </w:rPr>
        <w:t>8.5.1</w:t>
      </w:r>
      <w:r>
        <w:rPr>
          <w:rFonts w:hint="eastAsia" w:ascii="宋体" w:hAnsi="宋体"/>
          <w:szCs w:val="21"/>
        </w:rPr>
        <w:t>项规定的期限内。</w:t>
      </w:r>
    </w:p>
    <w:p>
      <w:pPr>
        <w:pStyle w:val="12"/>
        <w:kinsoku w:val="0"/>
        <w:overflowPunct w:val="0"/>
        <w:spacing w:line="288" w:lineRule="auto"/>
        <w:ind w:firstLine="420" w:firstLineChars="200"/>
        <w:rPr>
          <w:rFonts w:ascii="宋体" w:hAnsi="宋体"/>
          <w:szCs w:val="21"/>
        </w:rPr>
      </w:pPr>
    </w:p>
    <w:p>
      <w:pPr>
        <w:pStyle w:val="5"/>
      </w:pPr>
      <w:bookmarkStart w:id="98" w:name="bookmark74"/>
      <w:bookmarkEnd w:id="98"/>
      <w:bookmarkStart w:id="99" w:name="_Toc11707"/>
      <w:r>
        <w:t xml:space="preserve">9. </w:t>
      </w:r>
      <w:r>
        <w:rPr>
          <w:rFonts w:hint="eastAsia"/>
        </w:rPr>
        <w:t>是否采用电子招标投标</w:t>
      </w:r>
      <w:bookmarkEnd w:id="99"/>
    </w:p>
    <w:p>
      <w:pPr>
        <w:pStyle w:val="12"/>
        <w:kinsoku w:val="0"/>
        <w:overflowPunct w:val="0"/>
        <w:spacing w:line="288" w:lineRule="auto"/>
        <w:ind w:firstLine="420" w:firstLineChars="200"/>
        <w:rPr>
          <w:rFonts w:ascii="宋体" w:hAnsi="宋体"/>
          <w:szCs w:val="21"/>
        </w:rPr>
      </w:pPr>
      <w:r>
        <w:rPr>
          <w:rFonts w:hint="eastAsia" w:ascii="宋体" w:hAnsi="宋体"/>
          <w:szCs w:val="21"/>
        </w:rPr>
        <w:t>本招标项目采用电子招标投标方式，具体要求见投标人须知前附表。</w:t>
      </w:r>
    </w:p>
    <w:p>
      <w:pPr>
        <w:pStyle w:val="12"/>
        <w:kinsoku w:val="0"/>
        <w:overflowPunct w:val="0"/>
        <w:spacing w:line="288" w:lineRule="auto"/>
        <w:ind w:firstLine="420" w:firstLineChars="200"/>
        <w:rPr>
          <w:rFonts w:ascii="宋体" w:hAnsi="宋体"/>
          <w:szCs w:val="21"/>
        </w:rPr>
      </w:pPr>
    </w:p>
    <w:p>
      <w:pPr>
        <w:pStyle w:val="5"/>
      </w:pPr>
      <w:bookmarkStart w:id="100" w:name="bookmark75"/>
      <w:bookmarkEnd w:id="100"/>
      <w:bookmarkStart w:id="101" w:name="_Toc25151"/>
      <w:r>
        <w:t xml:space="preserve">10. </w:t>
      </w:r>
      <w:r>
        <w:rPr>
          <w:rFonts w:hint="eastAsia"/>
        </w:rPr>
        <w:t>需要补充的其他内容</w:t>
      </w:r>
      <w:bookmarkEnd w:id="101"/>
    </w:p>
    <w:p>
      <w:pPr>
        <w:ind w:firstLine="424" w:firstLineChars="202"/>
        <w:rPr>
          <w:rFonts w:ascii="宋体" w:hAnsi="宋体"/>
        </w:rPr>
      </w:pPr>
      <w:r>
        <w:rPr>
          <w:rFonts w:hint="eastAsia" w:ascii="宋体" w:hAnsi="宋体"/>
        </w:rPr>
        <w:t>需要补充的其他内容：见投标人须知前附表。</w:t>
      </w:r>
    </w:p>
    <w:p>
      <w:pPr>
        <w:ind w:firstLine="424" w:firstLineChars="202"/>
        <w:rPr>
          <w:rFonts w:ascii="宋体" w:hAnsi="宋体"/>
        </w:rPr>
      </w:pPr>
    </w:p>
    <w:p>
      <w:pPr>
        <w:ind w:firstLine="424" w:firstLineChars="202"/>
        <w:rPr>
          <w:rFonts w:ascii="宋体" w:hAnsi="宋体"/>
        </w:rPr>
      </w:pPr>
    </w:p>
    <w:p>
      <w:pPr>
        <w:ind w:firstLine="424" w:firstLineChars="202"/>
        <w:rPr>
          <w:rFonts w:ascii="宋体" w:hAnsi="宋体"/>
        </w:rPr>
      </w:pPr>
    </w:p>
    <w:p>
      <w:pPr>
        <w:pStyle w:val="3"/>
      </w:pPr>
      <w:r>
        <w:rPr>
          <w:szCs w:val="24"/>
        </w:rPr>
        <w:br w:type="page"/>
      </w:r>
      <w:bookmarkStart w:id="102" w:name="_Toc533357317"/>
      <w:bookmarkStart w:id="103" w:name="_Toc18086"/>
      <w:r>
        <w:rPr>
          <w:rFonts w:hint="eastAsia"/>
        </w:rPr>
        <w:t>第三章  评标办法（综合评估法）</w:t>
      </w:r>
      <w:bookmarkEnd w:id="102"/>
      <w:bookmarkEnd w:id="103"/>
    </w:p>
    <w:p>
      <w:pPr>
        <w:pStyle w:val="4"/>
        <w:rPr>
          <w:rFonts w:ascii="宋体" w:hAnsi="宋体"/>
        </w:rPr>
      </w:pPr>
      <w:bookmarkStart w:id="104" w:name="_Toc31498"/>
      <w:bookmarkStart w:id="105" w:name="_Toc533357318"/>
      <w:r>
        <w:rPr>
          <w:rFonts w:hint="eastAsia" w:ascii="宋体" w:hAnsi="宋体"/>
        </w:rPr>
        <w:t>评标办法前附表</w:t>
      </w:r>
      <w:bookmarkEnd w:id="104"/>
      <w:bookmarkEnd w:id="105"/>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276" w:lineRule="auto"/>
              <w:jc w:val="center"/>
              <w:rPr>
                <w:rFonts w:ascii="宋体" w:hAnsi="宋体"/>
                <w:b/>
                <w:szCs w:val="21"/>
              </w:rPr>
            </w:pPr>
            <w:r>
              <w:rPr>
                <w:rFonts w:hint="eastAsia" w:ascii="宋体" w:hAnsi="宋体"/>
                <w:b/>
                <w:szCs w:val="21"/>
              </w:rPr>
              <w:t>条款号</w:t>
            </w:r>
          </w:p>
        </w:tc>
        <w:tc>
          <w:tcPr>
            <w:tcW w:w="1550" w:type="dxa"/>
            <w:vAlign w:val="center"/>
          </w:tcPr>
          <w:p>
            <w:pPr>
              <w:spacing w:line="276" w:lineRule="auto"/>
              <w:jc w:val="center"/>
              <w:rPr>
                <w:rFonts w:ascii="宋体" w:hAnsi="宋体"/>
                <w:b/>
                <w:szCs w:val="21"/>
              </w:rPr>
            </w:pPr>
            <w:r>
              <w:rPr>
                <w:rFonts w:hint="eastAsia" w:ascii="宋体" w:hAnsi="宋体"/>
                <w:b/>
                <w:szCs w:val="21"/>
              </w:rPr>
              <w:t>评审因素</w:t>
            </w:r>
          </w:p>
        </w:tc>
        <w:tc>
          <w:tcPr>
            <w:tcW w:w="7136" w:type="dxa"/>
            <w:vAlign w:val="center"/>
          </w:tcPr>
          <w:p>
            <w:pPr>
              <w:spacing w:line="276" w:lineRule="auto"/>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276" w:lineRule="auto"/>
              <w:jc w:val="center"/>
              <w:rPr>
                <w:rFonts w:ascii="宋体" w:hAnsi="宋体"/>
                <w:szCs w:val="21"/>
              </w:rPr>
            </w:pPr>
            <w:r>
              <w:rPr>
                <w:rFonts w:ascii="宋体" w:hAnsi="宋体"/>
                <w:szCs w:val="21"/>
              </w:rPr>
              <w:t>1</w:t>
            </w:r>
          </w:p>
        </w:tc>
        <w:tc>
          <w:tcPr>
            <w:tcW w:w="851" w:type="dxa"/>
            <w:vAlign w:val="center"/>
          </w:tcPr>
          <w:p>
            <w:pPr>
              <w:spacing w:line="276" w:lineRule="auto"/>
              <w:jc w:val="center"/>
              <w:rPr>
                <w:rFonts w:ascii="宋体" w:hAnsi="宋体"/>
                <w:szCs w:val="21"/>
              </w:rPr>
            </w:pPr>
            <w:r>
              <w:rPr>
                <w:rFonts w:hint="eastAsia" w:ascii="宋体" w:hAnsi="宋体"/>
                <w:szCs w:val="21"/>
              </w:rPr>
              <w:t>评标方法</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中标候选人排序方法</w:t>
            </w:r>
          </w:p>
        </w:tc>
        <w:tc>
          <w:tcPr>
            <w:tcW w:w="7136" w:type="dxa"/>
            <w:vAlign w:val="center"/>
          </w:tcPr>
          <w:p>
            <w:pPr>
              <w:spacing w:line="276" w:lineRule="auto"/>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方案得分高的优先；如果检测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276" w:lineRule="auto"/>
              <w:jc w:val="center"/>
              <w:rPr>
                <w:rFonts w:ascii="宋体" w:hAnsi="宋体"/>
                <w:szCs w:val="21"/>
              </w:rPr>
            </w:pPr>
            <w:r>
              <w:rPr>
                <w:rFonts w:ascii="宋体" w:hAnsi="宋体"/>
                <w:szCs w:val="21"/>
              </w:rPr>
              <w:t>2.1.1</w:t>
            </w:r>
          </w:p>
        </w:tc>
        <w:tc>
          <w:tcPr>
            <w:tcW w:w="851" w:type="dxa"/>
            <w:vMerge w:val="restart"/>
            <w:vAlign w:val="center"/>
          </w:tcPr>
          <w:p>
            <w:pPr>
              <w:spacing w:line="276" w:lineRule="auto"/>
              <w:jc w:val="center"/>
              <w:rPr>
                <w:rFonts w:ascii="宋体" w:hAnsi="宋体"/>
                <w:szCs w:val="21"/>
              </w:rPr>
            </w:pPr>
            <w:r>
              <w:rPr>
                <w:rFonts w:hint="eastAsia" w:ascii="宋体" w:hAnsi="宋体"/>
                <w:szCs w:val="21"/>
              </w:rPr>
              <w:t>形式评审标准</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投标人名称</w:t>
            </w:r>
          </w:p>
        </w:tc>
        <w:tc>
          <w:tcPr>
            <w:tcW w:w="7136" w:type="dxa"/>
            <w:vAlign w:val="center"/>
          </w:tcPr>
          <w:p>
            <w:pPr>
              <w:spacing w:line="276" w:lineRule="auto"/>
              <w:rPr>
                <w:rFonts w:ascii="宋体" w:hAnsi="宋体"/>
                <w:szCs w:val="21"/>
              </w:rPr>
            </w:pPr>
            <w:r>
              <w:rPr>
                <w:rFonts w:hint="eastAsia" w:ascii="宋体" w:hAnsi="宋体"/>
                <w:szCs w:val="21"/>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rPr>
                <w:rFonts w:ascii="宋体" w:hAnsi="宋体"/>
                <w:szCs w:val="21"/>
              </w:rPr>
            </w:pPr>
          </w:p>
        </w:tc>
        <w:tc>
          <w:tcPr>
            <w:tcW w:w="851" w:type="dxa"/>
            <w:vMerge w:val="continue"/>
            <w:vAlign w:val="center"/>
          </w:tcPr>
          <w:p>
            <w:pPr>
              <w:spacing w:line="276" w:lineRule="auto"/>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投标函及其附表签字盖章</w:t>
            </w:r>
          </w:p>
        </w:tc>
        <w:tc>
          <w:tcPr>
            <w:tcW w:w="7136" w:type="dxa"/>
            <w:vAlign w:val="center"/>
          </w:tcPr>
          <w:p>
            <w:pPr>
              <w:spacing w:line="276" w:lineRule="auto"/>
              <w:rPr>
                <w:rFonts w:ascii="宋体" w:hAnsi="宋体"/>
                <w:szCs w:val="21"/>
              </w:rPr>
            </w:pPr>
            <w:r>
              <w:rPr>
                <w:rFonts w:hint="eastAsia" w:ascii="宋体" w:hAnsi="宋体"/>
                <w:szCs w:val="21"/>
              </w:rPr>
              <w:t>投标函及其附表格式及签字盖章符合招标文件要求，由法定代表人签字的，应附法定代表人证明书，由代理人签字的，应附法定代表人证明书及授权委托书。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rPr>
                <w:rFonts w:ascii="宋体" w:hAnsi="宋体"/>
                <w:szCs w:val="21"/>
              </w:rPr>
            </w:pPr>
          </w:p>
        </w:tc>
        <w:tc>
          <w:tcPr>
            <w:tcW w:w="851" w:type="dxa"/>
            <w:vMerge w:val="continue"/>
            <w:vAlign w:val="center"/>
          </w:tcPr>
          <w:p>
            <w:pPr>
              <w:spacing w:line="276" w:lineRule="auto"/>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投标文件格式</w:t>
            </w:r>
          </w:p>
        </w:tc>
        <w:tc>
          <w:tcPr>
            <w:tcW w:w="7136" w:type="dxa"/>
            <w:vAlign w:val="center"/>
          </w:tcPr>
          <w:p>
            <w:pPr>
              <w:spacing w:line="276" w:lineRule="auto"/>
              <w:rPr>
                <w:rFonts w:ascii="宋体" w:hAnsi="宋体"/>
                <w:szCs w:val="21"/>
              </w:rPr>
            </w:pPr>
            <w:r>
              <w:rPr>
                <w:rFonts w:hint="eastAsia" w:ascii="宋体" w:hAnsi="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rPr>
                <w:rFonts w:ascii="宋体" w:hAnsi="宋体"/>
                <w:szCs w:val="21"/>
              </w:rPr>
            </w:pPr>
          </w:p>
        </w:tc>
        <w:tc>
          <w:tcPr>
            <w:tcW w:w="851" w:type="dxa"/>
            <w:vMerge w:val="continue"/>
            <w:vAlign w:val="center"/>
          </w:tcPr>
          <w:p>
            <w:pPr>
              <w:spacing w:line="276" w:lineRule="auto"/>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备选投标方案</w:t>
            </w:r>
          </w:p>
        </w:tc>
        <w:tc>
          <w:tcPr>
            <w:tcW w:w="7136" w:type="dxa"/>
            <w:vAlign w:val="center"/>
          </w:tcPr>
          <w:p>
            <w:pPr>
              <w:spacing w:line="276" w:lineRule="auto"/>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rPr>
                <w:rFonts w:ascii="宋体" w:hAnsi="宋体"/>
                <w:szCs w:val="21"/>
              </w:rPr>
            </w:pPr>
          </w:p>
        </w:tc>
        <w:tc>
          <w:tcPr>
            <w:tcW w:w="851" w:type="dxa"/>
            <w:vMerge w:val="continue"/>
            <w:vAlign w:val="center"/>
          </w:tcPr>
          <w:p>
            <w:pPr>
              <w:spacing w:line="276" w:lineRule="auto"/>
              <w:rPr>
                <w:rFonts w:ascii="宋体" w:hAnsi="宋体"/>
                <w:szCs w:val="21"/>
              </w:rPr>
            </w:pPr>
          </w:p>
        </w:tc>
        <w:tc>
          <w:tcPr>
            <w:tcW w:w="1550" w:type="dxa"/>
          </w:tcPr>
          <w:p>
            <w:pPr>
              <w:spacing w:line="276" w:lineRule="auto"/>
              <w:jc w:val="center"/>
              <w:rPr>
                <w:rFonts w:ascii="宋体" w:hAnsi="宋体" w:cs="宋体"/>
                <w:szCs w:val="21"/>
              </w:rPr>
            </w:pPr>
            <w:r>
              <w:rPr>
                <w:rFonts w:hint="eastAsia" w:ascii="宋体" w:hAnsi="宋体" w:cs="宋体"/>
                <w:szCs w:val="21"/>
              </w:rPr>
              <w:t>投标人机器码</w:t>
            </w:r>
          </w:p>
        </w:tc>
        <w:tc>
          <w:tcPr>
            <w:tcW w:w="7136" w:type="dxa"/>
          </w:tcPr>
          <w:p>
            <w:pPr>
              <w:spacing w:line="276" w:lineRule="auto"/>
              <w:rPr>
                <w:rFonts w:ascii="宋体" w:hAnsi="宋体"/>
                <w:szCs w:val="21"/>
              </w:rPr>
            </w:pPr>
            <w:r>
              <w:rPr>
                <w:rFonts w:hint="eastAsia" w:ascii="宋体" w:hAnsi="宋体"/>
                <w:szCs w:val="21"/>
              </w:rPr>
              <w:t>不同投标人机器码相同（以广州交易集团有限公司（广州公共资源交易中心）评标系统的检索信息为准），将被否决。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spacing w:line="276" w:lineRule="auto"/>
              <w:jc w:val="center"/>
              <w:rPr>
                <w:rFonts w:ascii="宋体" w:hAnsi="宋体"/>
                <w:szCs w:val="21"/>
              </w:rPr>
            </w:pPr>
            <w:r>
              <w:rPr>
                <w:rFonts w:ascii="宋体" w:hAnsi="宋体"/>
                <w:szCs w:val="21"/>
              </w:rPr>
              <w:t>2.1.2</w:t>
            </w:r>
          </w:p>
        </w:tc>
        <w:tc>
          <w:tcPr>
            <w:tcW w:w="851" w:type="dxa"/>
            <w:vMerge w:val="restart"/>
            <w:vAlign w:val="center"/>
          </w:tcPr>
          <w:p>
            <w:pPr>
              <w:spacing w:line="276" w:lineRule="auto"/>
              <w:jc w:val="center"/>
              <w:rPr>
                <w:rFonts w:ascii="宋体" w:hAnsi="宋体"/>
                <w:szCs w:val="21"/>
              </w:rPr>
            </w:pPr>
            <w:r>
              <w:rPr>
                <w:rFonts w:hint="eastAsia" w:ascii="宋体" w:hAnsi="宋体"/>
                <w:szCs w:val="21"/>
              </w:rPr>
              <w:t>资格评审标准</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营业执照</w:t>
            </w:r>
            <w:r>
              <w:rPr>
                <w:rFonts w:hint="eastAsia" w:ascii="宋体" w:hAnsi="宋体" w:cs="宋体"/>
                <w:szCs w:val="21"/>
                <w:u w:val="single"/>
              </w:rPr>
              <w:t>（或事业单位法人证书）</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资质要求</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业绩要求</w:t>
            </w:r>
          </w:p>
        </w:tc>
        <w:tc>
          <w:tcPr>
            <w:tcW w:w="7136" w:type="dxa"/>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项目负责人</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其他主要人员</w:t>
            </w:r>
          </w:p>
        </w:tc>
        <w:tc>
          <w:tcPr>
            <w:tcW w:w="7136" w:type="dxa"/>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试验检测仪器设备</w:t>
            </w:r>
          </w:p>
        </w:tc>
        <w:tc>
          <w:tcPr>
            <w:tcW w:w="7136" w:type="dxa"/>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其他要求</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联合体投标人</w:t>
            </w:r>
          </w:p>
        </w:tc>
        <w:tc>
          <w:tcPr>
            <w:tcW w:w="7136" w:type="dxa"/>
            <w:vAlign w:val="center"/>
          </w:tcPr>
          <w:p>
            <w:pPr>
              <w:spacing w:line="276" w:lineRule="auto"/>
              <w:rPr>
                <w:rFonts w:ascii="宋体" w:hAnsi="宋体"/>
                <w:szCs w:val="21"/>
              </w:rPr>
            </w:pPr>
            <w:r>
              <w:rPr>
                <w:rFonts w:hint="eastAsia" w:ascii="宋体" w:hAnsi="宋体"/>
                <w:szCs w:val="21"/>
                <w:u w:val="singl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不存在禁止投标的情形</w:t>
            </w:r>
          </w:p>
        </w:tc>
        <w:tc>
          <w:tcPr>
            <w:tcW w:w="7136" w:type="dxa"/>
            <w:vAlign w:val="center"/>
          </w:tcPr>
          <w:p>
            <w:pPr>
              <w:spacing w:line="276" w:lineRule="auto"/>
              <w:rPr>
                <w:rFonts w:ascii="宋体" w:hAnsi="宋体" w:cs="宋体"/>
                <w:szCs w:val="21"/>
              </w:rPr>
            </w:pPr>
            <w:r>
              <w:rPr>
                <w:rFonts w:hint="eastAsia" w:ascii="宋体" w:hAnsi="宋体" w:cs="宋体"/>
                <w:szCs w:val="21"/>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pPr>
              <w:spacing w:line="276" w:lineRule="auto"/>
              <w:jc w:val="center"/>
              <w:rPr>
                <w:rFonts w:ascii="宋体" w:hAnsi="宋体"/>
                <w:szCs w:val="21"/>
              </w:rPr>
            </w:pPr>
            <w:r>
              <w:rPr>
                <w:rFonts w:ascii="宋体" w:hAnsi="宋体"/>
                <w:szCs w:val="21"/>
              </w:rPr>
              <w:t>2.1.3</w:t>
            </w:r>
          </w:p>
        </w:tc>
        <w:tc>
          <w:tcPr>
            <w:tcW w:w="851" w:type="dxa"/>
            <w:vMerge w:val="restart"/>
            <w:vAlign w:val="center"/>
          </w:tcPr>
          <w:p>
            <w:pPr>
              <w:spacing w:line="276" w:lineRule="auto"/>
              <w:jc w:val="center"/>
              <w:rPr>
                <w:rFonts w:ascii="宋体" w:hAnsi="宋体"/>
                <w:szCs w:val="21"/>
              </w:rPr>
            </w:pPr>
            <w:r>
              <w:rPr>
                <w:rFonts w:hint="eastAsia" w:ascii="宋体" w:hAnsi="宋体"/>
                <w:szCs w:val="21"/>
              </w:rPr>
              <w:t>响应性评审标准</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投标报价</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投标内容</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服务期限</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质量标准</w:t>
            </w:r>
          </w:p>
        </w:tc>
        <w:tc>
          <w:tcPr>
            <w:tcW w:w="7136" w:type="dxa"/>
            <w:vAlign w:val="center"/>
          </w:tcPr>
          <w:p>
            <w:pPr>
              <w:spacing w:line="276" w:lineRule="auto"/>
              <w:rPr>
                <w:rFonts w:ascii="宋体" w:hAnsi="宋体" w:cs="宋体"/>
                <w:szCs w:val="21"/>
              </w:rPr>
            </w:pPr>
            <w:r>
              <w:rPr>
                <w:rFonts w:hint="eastAsia" w:ascii="宋体" w:hAnsi="宋体" w:cs="宋体"/>
                <w:szCs w:val="21"/>
              </w:rPr>
              <w:t>符合第二章“投标人须知”第1.3.3规定；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投标有效期</w:t>
            </w:r>
          </w:p>
        </w:tc>
        <w:tc>
          <w:tcPr>
            <w:tcW w:w="7136" w:type="dxa"/>
          </w:tcPr>
          <w:p>
            <w:pPr>
              <w:spacing w:line="276" w:lineRule="auto"/>
              <w:rPr>
                <w:rFonts w:ascii="宋体" w:hAnsi="宋体" w:cs="宋体"/>
                <w:szCs w:val="21"/>
              </w:rPr>
            </w:pPr>
            <w:r>
              <w:rPr>
                <w:rFonts w:hint="eastAsia" w:ascii="宋体" w:hAnsi="宋体" w:cs="宋体"/>
                <w:szCs w:val="21"/>
              </w:rPr>
              <w:t>符合第二章“投标人须知”第3.3.1规定；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投标保证金</w:t>
            </w:r>
          </w:p>
        </w:tc>
        <w:tc>
          <w:tcPr>
            <w:tcW w:w="7136" w:type="dxa"/>
          </w:tcPr>
          <w:p>
            <w:pPr>
              <w:spacing w:line="276" w:lineRule="auto"/>
              <w:rPr>
                <w:rFonts w:ascii="宋体" w:hAnsi="宋体" w:cs="宋体"/>
                <w:szCs w:val="21"/>
              </w:rPr>
            </w:pPr>
            <w:r>
              <w:rPr>
                <w:rFonts w:hint="eastAsia" w:ascii="宋体" w:hAnsi="宋体" w:cs="宋体"/>
                <w:szCs w:val="21"/>
              </w:rPr>
              <w:t>符合第二章“投标人须知”第3.4.1规定；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串通投标情形</w:t>
            </w:r>
          </w:p>
        </w:tc>
        <w:tc>
          <w:tcPr>
            <w:tcW w:w="7136" w:type="dxa"/>
          </w:tcPr>
          <w:p>
            <w:pPr>
              <w:spacing w:line="276" w:lineRule="auto"/>
              <w:rPr>
                <w:rFonts w:ascii="宋体" w:hAnsi="宋体" w:cs="宋体"/>
                <w:szCs w:val="21"/>
              </w:rPr>
            </w:pPr>
            <w:r>
              <w:rPr>
                <w:rFonts w:hint="eastAsia" w:ascii="宋体" w:hAnsi="宋体" w:cs="宋体"/>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276" w:lineRule="auto"/>
              <w:jc w:val="center"/>
              <w:rPr>
                <w:rFonts w:ascii="宋体" w:hAnsi="宋体"/>
                <w:szCs w:val="21"/>
              </w:rPr>
            </w:pPr>
            <w:r>
              <w:rPr>
                <w:rFonts w:ascii="宋体" w:hAnsi="宋体"/>
                <w:szCs w:val="21"/>
              </w:rPr>
              <w:t>2.2.1</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分值构成</w:t>
            </w:r>
          </w:p>
          <w:p>
            <w:pPr>
              <w:spacing w:line="276" w:lineRule="auto"/>
              <w:jc w:val="center"/>
              <w:rPr>
                <w:rFonts w:ascii="宋体" w:hAnsi="宋体" w:cs="宋体"/>
                <w:szCs w:val="21"/>
              </w:rPr>
            </w:pPr>
            <w:r>
              <w:rPr>
                <w:rFonts w:ascii="宋体" w:hAnsi="宋体" w:cs="宋体"/>
                <w:szCs w:val="21"/>
              </w:rPr>
              <w:t>(</w:t>
            </w:r>
            <w:r>
              <w:rPr>
                <w:rFonts w:hint="eastAsia" w:ascii="宋体" w:hAnsi="宋体" w:cs="宋体"/>
                <w:szCs w:val="21"/>
              </w:rPr>
              <w:t>总分</w:t>
            </w:r>
            <w:r>
              <w:rPr>
                <w:rFonts w:ascii="宋体" w:hAnsi="宋体" w:cs="宋体"/>
                <w:szCs w:val="21"/>
              </w:rPr>
              <w:t>100</w:t>
            </w:r>
            <w:r>
              <w:rPr>
                <w:rFonts w:hint="eastAsia" w:ascii="宋体" w:hAnsi="宋体" w:cs="宋体"/>
                <w:szCs w:val="21"/>
              </w:rPr>
              <w:t>分</w:t>
            </w:r>
            <w:r>
              <w:rPr>
                <w:rFonts w:ascii="宋体" w:hAnsi="宋体" w:cs="宋体"/>
                <w:szCs w:val="21"/>
              </w:rPr>
              <w:t>)</w:t>
            </w:r>
          </w:p>
        </w:tc>
        <w:tc>
          <w:tcPr>
            <w:tcW w:w="7136" w:type="dxa"/>
            <w:vAlign w:val="center"/>
          </w:tcPr>
          <w:p>
            <w:pPr>
              <w:spacing w:line="276" w:lineRule="auto"/>
            </w:pPr>
            <w:r>
              <w:rPr>
                <w:rFonts w:hint="eastAsia"/>
              </w:rPr>
              <w:t>A企业综合实力部分：</w:t>
            </w:r>
            <w:r>
              <w:t>60</w:t>
            </w:r>
            <w:r>
              <w:rPr>
                <w:rFonts w:hint="eastAsia"/>
              </w:rPr>
              <w:t>分</w:t>
            </w:r>
          </w:p>
          <w:p>
            <w:pPr>
              <w:spacing w:line="276" w:lineRule="auto"/>
            </w:pPr>
            <w:r>
              <w:rPr>
                <w:rFonts w:hint="eastAsia"/>
              </w:rPr>
              <w:t>B技术方案部分：20分</w:t>
            </w:r>
          </w:p>
          <w:p>
            <w:pPr>
              <w:spacing w:line="276" w:lineRule="auto"/>
            </w:pPr>
            <w:r>
              <w:rPr>
                <w:rFonts w:hint="eastAsia"/>
              </w:rPr>
              <w:t>C投标报价部分：</w:t>
            </w:r>
            <w:r>
              <w:rPr>
                <w:rFonts w:hint="eastAsia"/>
                <w:lang w:val="en-US" w:eastAsia="zh-CN"/>
              </w:rPr>
              <w:t>10</w:t>
            </w:r>
            <w:r>
              <w:rPr>
                <w:rFonts w:hint="eastAsia"/>
              </w:rPr>
              <w:t>分</w:t>
            </w:r>
          </w:p>
          <w:p>
            <w:pPr>
              <w:spacing w:line="276" w:lineRule="auto"/>
              <w:rPr>
                <w:rFonts w:ascii="宋体" w:hAnsi="宋体"/>
                <w:b/>
                <w:szCs w:val="21"/>
                <w:u w:val="single"/>
              </w:rPr>
            </w:pPr>
            <w:r>
              <w:rPr>
                <w:rFonts w:hint="eastAsia" w:ascii="宋体" w:hAnsi="宋体"/>
                <w:b/>
                <w:szCs w:val="21"/>
              </w:rPr>
              <w:t>D其他因素部分：</w:t>
            </w:r>
            <w:r>
              <w:rPr>
                <w:rFonts w:hint="eastAsia"/>
                <w:lang w:val="en-US" w:eastAsia="zh-CN"/>
              </w:rPr>
              <w:t>10</w:t>
            </w:r>
            <w:r>
              <w:rPr>
                <w:rFonts w:hint="eastAsia"/>
              </w:rPr>
              <w:t>分</w:t>
            </w:r>
          </w:p>
          <w:p>
            <w:pPr>
              <w:spacing w:line="276" w:lineRule="auto"/>
            </w:pPr>
            <w:r>
              <w:rPr>
                <w:rFonts w:hint="eastAsia" w:ascii="宋体" w:hAnsi="宋体" w:cs="宋体"/>
                <w:szCs w:val="21"/>
              </w:rPr>
              <w:t>注：投标人综合得分为各评委A+B+C</w:t>
            </w:r>
            <w:r>
              <w:rPr>
                <w:rFonts w:hint="eastAsia" w:ascii="宋体" w:hAnsi="宋体" w:cs="宋体"/>
                <w:szCs w:val="21"/>
                <w:lang w:val="en-US" w:eastAsia="zh-CN"/>
              </w:rPr>
              <w:t>+D</w:t>
            </w:r>
            <w:r>
              <w:rPr>
                <w:rFonts w:hint="eastAsia" w:ascii="宋体" w:hAnsi="宋体" w:cs="宋体"/>
                <w:szCs w:val="21"/>
              </w:rPr>
              <w:t>评分的算术平均</w:t>
            </w:r>
            <w:r>
              <w:rPr>
                <w:rFonts w:hint="eastAsia" w:ascii="宋体" w:hAnsi="宋体" w:cs="宋体"/>
                <w:szCs w:val="21"/>
                <w:lang w:val="en-US" w:eastAsia="zh-CN"/>
              </w:rPr>
              <w:t>分</w:t>
            </w:r>
            <w:r>
              <w:rPr>
                <w:rFonts w:hint="eastAsia" w:ascii="宋体" w:hAnsi="宋体" w:cs="宋体"/>
                <w:szCs w:val="21"/>
              </w:rPr>
              <w:t>，评分如出现小数点，则保留小数点后</w:t>
            </w:r>
            <w:r>
              <w:rPr>
                <w:rFonts w:hint="eastAsia" w:ascii="宋体" w:hAnsi="宋体" w:cs="宋体"/>
                <w:szCs w:val="21"/>
                <w:lang w:val="en-US" w:eastAsia="zh-CN"/>
              </w:rPr>
              <w:t>二</w:t>
            </w:r>
            <w:r>
              <w:rPr>
                <w:rFonts w:hint="eastAsia" w:ascii="宋体" w:hAnsi="宋体" w:cs="宋体"/>
                <w:szCs w:val="21"/>
              </w:rPr>
              <w:t>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spacing w:line="276" w:lineRule="auto"/>
              <w:jc w:val="center"/>
              <w:rPr>
                <w:rFonts w:ascii="宋体" w:hAnsi="宋体"/>
                <w:szCs w:val="21"/>
              </w:rPr>
            </w:pPr>
            <w:r>
              <w:rPr>
                <w:rFonts w:ascii="宋体" w:hAnsi="宋体"/>
                <w:szCs w:val="21"/>
              </w:rPr>
              <w:t>2.2.2</w:t>
            </w:r>
          </w:p>
        </w:tc>
        <w:tc>
          <w:tcPr>
            <w:tcW w:w="1550" w:type="dxa"/>
            <w:vAlign w:val="center"/>
          </w:tcPr>
          <w:p>
            <w:pPr>
              <w:spacing w:line="276" w:lineRule="auto"/>
              <w:jc w:val="center"/>
              <w:rPr>
                <w:rFonts w:ascii="宋体" w:hAnsi="宋体" w:cs="宋体"/>
                <w:szCs w:val="21"/>
              </w:rPr>
            </w:pPr>
            <w:r>
              <w:rPr>
                <w:rFonts w:hint="eastAsia" w:ascii="宋体" w:hAnsi="宋体" w:cs="宋体"/>
                <w:szCs w:val="21"/>
                <w:lang w:eastAsia="zh-CN"/>
              </w:rPr>
              <w:t>评标基准价</w:t>
            </w:r>
            <w:r>
              <w:rPr>
                <w:rFonts w:hint="eastAsia" w:ascii="宋体" w:hAnsi="宋体" w:cs="宋体"/>
                <w:szCs w:val="21"/>
              </w:rPr>
              <w:t>计算方法</w:t>
            </w:r>
          </w:p>
        </w:tc>
        <w:tc>
          <w:tcPr>
            <w:tcW w:w="7136" w:type="dxa"/>
            <w:vAlign w:val="center"/>
          </w:tcPr>
          <w:p>
            <w:pPr>
              <w:spacing w:line="240" w:lineRule="auto"/>
              <w:ind w:left="0" w:leftChars="0"/>
              <w:rPr>
                <w:rFonts w:hint="eastAsia" w:ascii="宋体" w:hAnsi="宋体" w:cs="宋体"/>
                <w:szCs w:val="21"/>
              </w:rPr>
            </w:pPr>
            <w:r>
              <w:rPr>
                <w:rFonts w:hint="eastAsia" w:ascii="宋体" w:hAnsi="宋体" w:cs="宋体"/>
                <w:szCs w:val="21"/>
              </w:rPr>
              <w:t>投标报价得分以</w:t>
            </w:r>
            <w:r>
              <w:rPr>
                <w:rFonts w:hint="eastAsia" w:ascii="宋体" w:hAnsi="宋体" w:cs="宋体"/>
                <w:szCs w:val="21"/>
                <w:lang w:eastAsia="zh-CN"/>
              </w:rPr>
              <w:t>评标基准价</w:t>
            </w:r>
            <w:r>
              <w:rPr>
                <w:rFonts w:hint="eastAsia" w:ascii="宋体" w:hAnsi="宋体" w:cs="宋体"/>
                <w:szCs w:val="21"/>
              </w:rPr>
              <w:t>作为计算各有效投标价得分的基础，当有效投标价等于</w:t>
            </w:r>
            <w:r>
              <w:rPr>
                <w:rFonts w:hint="eastAsia" w:ascii="宋体" w:hAnsi="宋体" w:cs="宋体"/>
                <w:szCs w:val="21"/>
                <w:lang w:eastAsia="zh-CN"/>
              </w:rPr>
              <w:t>评标基准价</w:t>
            </w:r>
            <w:r>
              <w:rPr>
                <w:rFonts w:hint="eastAsia" w:ascii="宋体" w:hAnsi="宋体" w:cs="宋体"/>
                <w:szCs w:val="21"/>
              </w:rPr>
              <w:t>时得</w:t>
            </w:r>
            <w:r>
              <w:rPr>
                <w:rFonts w:hint="eastAsia" w:ascii="宋体" w:hAnsi="宋体" w:cs="宋体"/>
                <w:szCs w:val="21"/>
                <w:lang w:val="en-US" w:eastAsia="zh-CN"/>
              </w:rPr>
              <w:t>10</w:t>
            </w:r>
            <w:r>
              <w:rPr>
                <w:rFonts w:hint="eastAsia" w:ascii="宋体" w:hAnsi="宋体" w:cs="宋体"/>
                <w:szCs w:val="21"/>
              </w:rPr>
              <w:t>分；投标有效投价与</w:t>
            </w:r>
            <w:r>
              <w:rPr>
                <w:rFonts w:hint="eastAsia" w:ascii="宋体" w:hAnsi="宋体" w:cs="宋体"/>
                <w:szCs w:val="21"/>
                <w:lang w:eastAsia="zh-CN"/>
              </w:rPr>
              <w:t>评标基准价</w:t>
            </w:r>
            <w:r>
              <w:rPr>
                <w:rFonts w:hint="eastAsia" w:ascii="宋体" w:hAnsi="宋体" w:cs="宋体"/>
                <w:szCs w:val="21"/>
              </w:rPr>
              <w:t>相比，每上偏</w:t>
            </w:r>
            <w:r>
              <w:rPr>
                <w:rFonts w:hint="eastAsia" w:ascii="宋体" w:hAnsi="宋体" w:cs="宋体"/>
                <w:szCs w:val="21"/>
                <w:lang w:val="en-US" w:eastAsia="zh-CN"/>
              </w:rPr>
              <w:t>1</w:t>
            </w:r>
            <w:r>
              <w:rPr>
                <w:rFonts w:hint="eastAsia" w:ascii="宋体" w:hAnsi="宋体" w:cs="宋体"/>
                <w:szCs w:val="21"/>
              </w:rPr>
              <w:t>%扣0.5分，每下偏1%扣0.</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color w:val="auto"/>
                <w:sz w:val="21"/>
                <w:szCs w:val="21"/>
                <w:highlight w:val="none"/>
                <w:lang w:eastAsia="zh-CN" w:bidi="ar"/>
              </w:rPr>
              <w:t>最多扣10分</w:t>
            </w:r>
            <w:r>
              <w:rPr>
                <w:rFonts w:hint="eastAsia" w:ascii="宋体" w:hAnsi="宋体" w:eastAsia="宋体" w:cs="宋体"/>
                <w:color w:val="auto"/>
                <w:sz w:val="21"/>
                <w:szCs w:val="21"/>
                <w:highlight w:val="none"/>
              </w:rPr>
              <w:t>。</w:t>
            </w:r>
          </w:p>
          <w:p>
            <w:pPr>
              <w:spacing w:line="240" w:lineRule="auto"/>
              <w:ind w:left="0" w:leftChars="0"/>
              <w:rPr>
                <w:rFonts w:hint="eastAsia" w:ascii="宋体" w:hAnsi="宋体" w:cs="宋体"/>
                <w:szCs w:val="21"/>
              </w:rPr>
            </w:pPr>
            <w:r>
              <w:rPr>
                <w:rFonts w:hint="eastAsia" w:ascii="宋体" w:hAnsi="宋体" w:cs="宋体"/>
                <w:szCs w:val="21"/>
              </w:rPr>
              <w:t>注：（1）当通过初步评审在位于[最高投标限价×90%，最高投标限价]区间的投标价中的有效投标人大于或等于5名时，所有入围的有效投标价中去掉一个最高价和一个最低价，取余下有效投标价的算术平均值的作为</w:t>
            </w:r>
            <w:r>
              <w:rPr>
                <w:rFonts w:hint="eastAsia" w:ascii="宋体" w:hAnsi="宋体" w:cs="宋体"/>
                <w:szCs w:val="21"/>
                <w:lang w:eastAsia="zh-CN"/>
              </w:rPr>
              <w:t>评标基准价</w:t>
            </w:r>
            <w:r>
              <w:rPr>
                <w:rFonts w:hint="eastAsia" w:ascii="宋体" w:hAnsi="宋体" w:cs="宋体"/>
                <w:szCs w:val="21"/>
              </w:rPr>
              <w:t>。当通过初步评审在位于[最高投标限价×90%，最高投标限价]区间的投标价中的有效投标人小于5名时，取所有入围的有效投标价的算术平均值的作为</w:t>
            </w:r>
            <w:r>
              <w:rPr>
                <w:rFonts w:hint="eastAsia" w:ascii="宋体" w:hAnsi="宋体" w:cs="宋体"/>
                <w:szCs w:val="21"/>
                <w:lang w:eastAsia="zh-CN"/>
              </w:rPr>
              <w:t>评标基准价</w:t>
            </w:r>
            <w:r>
              <w:rPr>
                <w:rFonts w:hint="eastAsia" w:ascii="宋体" w:hAnsi="宋体" w:cs="宋体"/>
                <w:szCs w:val="21"/>
              </w:rPr>
              <w:t>。若当通过初步评审没有投标价位于[最高投标限价×90%，最高投标限价]区间的有效投标人，所有投标人的报价得分为0分。</w:t>
            </w:r>
          </w:p>
          <w:p>
            <w:pPr>
              <w:spacing w:line="240" w:lineRule="auto"/>
              <w:jc w:val="left"/>
              <w:rPr>
                <w:rFonts w:ascii="宋体" w:hAnsi="宋体"/>
                <w:szCs w:val="21"/>
              </w:rPr>
            </w:pPr>
            <w:r>
              <w:rPr>
                <w:rFonts w:hint="eastAsia" w:ascii="宋体" w:hAnsi="宋体" w:cs="宋体"/>
                <w:szCs w:val="21"/>
              </w:rPr>
              <w:t>（2）投标人的得分为各评委评分的算术平均值，评分如出现小数点，则保留小数点后两位，第三位四舍五入。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pPr>
              <w:spacing w:line="276" w:lineRule="auto"/>
              <w:jc w:val="center"/>
              <w:rPr>
                <w:rFonts w:ascii="宋体" w:hAnsi="宋体"/>
                <w:szCs w:val="21"/>
              </w:rPr>
            </w:pPr>
            <w:r>
              <w:rPr>
                <w:rFonts w:ascii="宋体" w:hAnsi="宋体"/>
                <w:szCs w:val="21"/>
              </w:rPr>
              <w:t>2.2.3</w:t>
            </w:r>
          </w:p>
        </w:tc>
        <w:tc>
          <w:tcPr>
            <w:tcW w:w="1550" w:type="dxa"/>
            <w:vAlign w:val="center"/>
          </w:tcPr>
          <w:p>
            <w:pPr>
              <w:spacing w:line="276" w:lineRule="auto"/>
              <w:jc w:val="center"/>
              <w:rPr>
                <w:rFonts w:ascii="宋体" w:hAnsi="宋体" w:cs="宋体"/>
                <w:szCs w:val="21"/>
              </w:rPr>
            </w:pPr>
            <w:r>
              <w:rPr>
                <w:rFonts w:hint="eastAsia" w:ascii="宋体" w:hAnsi="宋体" w:cs="宋体"/>
                <w:szCs w:val="21"/>
              </w:rPr>
              <w:t>投标报价的偏差率计算公式</w:t>
            </w:r>
          </w:p>
        </w:tc>
        <w:tc>
          <w:tcPr>
            <w:tcW w:w="7136" w:type="dxa"/>
            <w:vAlign w:val="center"/>
          </w:tcPr>
          <w:p>
            <w:pPr>
              <w:spacing w:line="276" w:lineRule="auto"/>
              <w:rPr>
                <w:rFonts w:ascii="宋体" w:hAnsi="宋体"/>
                <w:szCs w:val="21"/>
              </w:rPr>
            </w:pPr>
            <w:r>
              <w:rPr>
                <w:rFonts w:hint="eastAsia" w:ascii="宋体" w:hAnsi="宋体"/>
                <w:szCs w:val="21"/>
              </w:rPr>
              <w:t>偏差率=100%×|投标人报价-</w:t>
            </w:r>
            <w:r>
              <w:rPr>
                <w:rFonts w:hint="eastAsia" w:ascii="宋体" w:hAnsi="宋体"/>
                <w:szCs w:val="21"/>
                <w:lang w:eastAsia="zh-CN"/>
              </w:rPr>
              <w:t>评标基准价</w:t>
            </w:r>
            <w:r>
              <w:rPr>
                <w:rFonts w:hint="eastAsia" w:ascii="宋体" w:hAnsi="宋体"/>
                <w:szCs w:val="21"/>
              </w:rPr>
              <w:t>|/</w:t>
            </w:r>
            <w:r>
              <w:rPr>
                <w:rFonts w:hint="eastAsia" w:ascii="宋体" w:hAnsi="宋体"/>
                <w:szCs w:val="21"/>
                <w:lang w:eastAsia="zh-CN"/>
              </w:rPr>
              <w:t>评标基准价</w:t>
            </w:r>
            <w:r>
              <w:rPr>
                <w:rFonts w:hint="eastAsia" w:ascii="宋体" w:hAnsi="宋体"/>
                <w:szCs w:val="21"/>
              </w:rPr>
              <w:t>（偏差率出现小数点时，保留小数点后2位，第三位小数四舍五入</w:t>
            </w:r>
            <w:r>
              <w:rPr>
                <w:rFonts w:hint="eastAsia" w:ascii="宋体" w:hAnsi="宋体"/>
                <w:szCs w:val="21"/>
                <w:lang w:eastAsia="zh-CN"/>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pPr>
              <w:spacing w:line="276" w:lineRule="auto"/>
              <w:jc w:val="center"/>
              <w:rPr>
                <w:rFonts w:ascii="宋体" w:hAnsi="宋体"/>
                <w:szCs w:val="21"/>
              </w:rPr>
            </w:pPr>
            <w:r>
              <w:rPr>
                <w:rFonts w:hint="eastAsia" w:ascii="宋体" w:hAnsi="宋体" w:cs="宋体"/>
                <w:szCs w:val="21"/>
              </w:rPr>
              <w:t>2.2.4（1）</w:t>
            </w:r>
          </w:p>
        </w:tc>
        <w:tc>
          <w:tcPr>
            <w:tcW w:w="851" w:type="dxa"/>
            <w:vMerge w:val="restart"/>
            <w:vAlign w:val="center"/>
          </w:tcPr>
          <w:p>
            <w:pPr>
              <w:spacing w:line="276" w:lineRule="auto"/>
              <w:jc w:val="center"/>
              <w:rPr>
                <w:rFonts w:ascii="宋体" w:hAnsi="宋体" w:cs="宋体"/>
                <w:szCs w:val="21"/>
              </w:rPr>
            </w:pPr>
            <w:r>
              <w:rPr>
                <w:rFonts w:hint="eastAsia" w:ascii="宋体" w:hAnsi="宋体" w:cs="宋体"/>
                <w:szCs w:val="21"/>
              </w:rPr>
              <w:t>企业综合实力评分标准</w:t>
            </w:r>
          </w:p>
        </w:tc>
        <w:tc>
          <w:tcPr>
            <w:tcW w:w="1550" w:type="dxa"/>
            <w:vAlign w:val="center"/>
          </w:tcPr>
          <w:p>
            <w:pPr>
              <w:spacing w:line="276" w:lineRule="auto"/>
              <w:jc w:val="center"/>
              <w:rPr>
                <w:rFonts w:ascii="宋体" w:hAnsi="宋体" w:cs="宋体"/>
                <w:szCs w:val="21"/>
              </w:rPr>
            </w:pPr>
            <w:r>
              <w:rPr>
                <w:rFonts w:hint="eastAsia" w:ascii="宋体" w:hAnsi="宋体" w:cs="宋体"/>
              </w:rPr>
              <w:t>投标人业绩</w:t>
            </w:r>
          </w:p>
        </w:tc>
        <w:tc>
          <w:tcPr>
            <w:tcW w:w="7136" w:type="dxa"/>
            <w:vAlign w:val="center"/>
          </w:tcPr>
          <w:p>
            <w:pPr>
              <w:spacing w:line="276" w:lineRule="auto"/>
              <w:jc w:val="left"/>
              <w:rPr>
                <w:rFonts w:ascii="宋体" w:hAnsi="宋体" w:cs="宋体"/>
                <w:szCs w:val="21"/>
              </w:rPr>
            </w:pPr>
            <w:r>
              <w:rPr>
                <w:rFonts w:hint="eastAsia" w:ascii="宋体" w:hAns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企业实力信誉</w:t>
            </w:r>
          </w:p>
        </w:tc>
        <w:tc>
          <w:tcPr>
            <w:tcW w:w="7136" w:type="dxa"/>
            <w:vAlign w:val="center"/>
          </w:tcPr>
          <w:p>
            <w:pPr>
              <w:spacing w:line="276" w:lineRule="auto"/>
              <w:jc w:val="left"/>
              <w:rPr>
                <w:rFonts w:ascii="宋体" w:hAnsi="宋体" w:cs="宋体"/>
                <w:szCs w:val="21"/>
              </w:rPr>
            </w:pPr>
            <w:r>
              <w:rPr>
                <w:rFonts w:hint="eastAsia" w:ascii="宋体" w:hAns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pPr>
              <w:spacing w:line="276" w:lineRule="auto"/>
              <w:jc w:val="center"/>
              <w:rPr>
                <w:rFonts w:ascii="宋体" w:hAnsi="宋体"/>
                <w:szCs w:val="21"/>
              </w:rPr>
            </w:pPr>
          </w:p>
        </w:tc>
        <w:tc>
          <w:tcPr>
            <w:tcW w:w="851" w:type="dxa"/>
            <w:vMerge w:val="continue"/>
            <w:vAlign w:val="center"/>
          </w:tcPr>
          <w:p>
            <w:pPr>
              <w:spacing w:line="276" w:lineRule="auto"/>
              <w:jc w:val="center"/>
              <w:rPr>
                <w:rFonts w:ascii="宋体" w:hAnsi="宋体"/>
                <w:szCs w:val="21"/>
              </w:rPr>
            </w:pPr>
          </w:p>
        </w:tc>
        <w:tc>
          <w:tcPr>
            <w:tcW w:w="1550" w:type="dxa"/>
            <w:vAlign w:val="center"/>
          </w:tcPr>
          <w:p>
            <w:pPr>
              <w:spacing w:line="276" w:lineRule="auto"/>
              <w:jc w:val="center"/>
              <w:rPr>
                <w:rFonts w:ascii="宋体" w:hAnsi="宋体" w:cs="宋体"/>
                <w:szCs w:val="21"/>
              </w:rPr>
            </w:pPr>
            <w:r>
              <w:rPr>
                <w:rFonts w:hint="eastAsia" w:ascii="宋体" w:hAnsi="宋体" w:cs="宋体"/>
                <w:szCs w:val="21"/>
              </w:rPr>
              <w:t>拟投入本项目的管理班子</w:t>
            </w:r>
          </w:p>
        </w:tc>
        <w:tc>
          <w:tcPr>
            <w:tcW w:w="7136" w:type="dxa"/>
            <w:vAlign w:val="center"/>
          </w:tcPr>
          <w:p>
            <w:pPr>
              <w:spacing w:line="276" w:lineRule="auto"/>
              <w:jc w:val="left"/>
              <w:rPr>
                <w:rFonts w:ascii="宋体" w:hAnsi="宋体" w:cs="宋体"/>
                <w:szCs w:val="21"/>
              </w:rPr>
            </w:pPr>
            <w:r>
              <w:rPr>
                <w:rFonts w:hint="eastAsia" w:ascii="宋体" w:hAns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67" w:type="dxa"/>
            <w:vAlign w:val="center"/>
          </w:tcPr>
          <w:p>
            <w:pPr>
              <w:spacing w:line="276" w:lineRule="auto"/>
              <w:jc w:val="center"/>
              <w:rPr>
                <w:rFonts w:ascii="宋体" w:hAnsi="宋体"/>
                <w:szCs w:val="21"/>
              </w:rPr>
            </w:pPr>
            <w:r>
              <w:rPr>
                <w:rFonts w:hint="eastAsia" w:ascii="宋体" w:hAnsi="宋体" w:cs="宋体"/>
                <w:szCs w:val="21"/>
              </w:rPr>
              <w:t>2.2.4（2）</w:t>
            </w:r>
          </w:p>
        </w:tc>
        <w:tc>
          <w:tcPr>
            <w:tcW w:w="851" w:type="dxa"/>
            <w:vAlign w:val="center"/>
          </w:tcPr>
          <w:p>
            <w:pPr>
              <w:spacing w:line="276" w:lineRule="auto"/>
              <w:jc w:val="center"/>
              <w:rPr>
                <w:rFonts w:ascii="宋体" w:hAnsi="宋体"/>
                <w:szCs w:val="21"/>
              </w:rPr>
            </w:pPr>
            <w:r>
              <w:rPr>
                <w:rFonts w:hint="eastAsia" w:ascii="宋体" w:hAnsi="宋体" w:cs="宋体"/>
                <w:szCs w:val="21"/>
              </w:rPr>
              <w:t>技术方案评分标准</w:t>
            </w:r>
          </w:p>
        </w:tc>
        <w:tc>
          <w:tcPr>
            <w:tcW w:w="1550" w:type="dxa"/>
            <w:vAlign w:val="center"/>
          </w:tcPr>
          <w:p>
            <w:pPr>
              <w:spacing w:line="276" w:lineRule="auto"/>
              <w:jc w:val="center"/>
              <w:rPr>
                <w:rFonts w:ascii="宋体" w:hAnsi="宋体" w:cs="Arial Unicode MS"/>
                <w:szCs w:val="21"/>
              </w:rPr>
            </w:pPr>
            <w:r>
              <w:rPr>
                <w:rFonts w:hint="eastAsia" w:ascii="宋体" w:hAnsi="宋体" w:cs="宋体"/>
              </w:rPr>
              <w:t>检测方案</w:t>
            </w:r>
          </w:p>
        </w:tc>
        <w:tc>
          <w:tcPr>
            <w:tcW w:w="7136" w:type="dxa"/>
            <w:vAlign w:val="center"/>
          </w:tcPr>
          <w:p>
            <w:pPr>
              <w:spacing w:line="276" w:lineRule="auto"/>
              <w:rPr>
                <w:rFonts w:ascii="宋体" w:hAnsi="宋体" w:cs="宋体"/>
                <w:kern w:val="0"/>
                <w:szCs w:val="21"/>
              </w:rPr>
            </w:pPr>
            <w:r>
              <w:rPr>
                <w:rFonts w:hint="eastAsia" w:ascii="宋体" w:hAns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276" w:lineRule="auto"/>
              <w:jc w:val="center"/>
              <w:rPr>
                <w:rFonts w:ascii="宋体" w:hAnsi="宋体" w:cs="宋体"/>
                <w:szCs w:val="21"/>
              </w:rPr>
            </w:pPr>
            <w:r>
              <w:rPr>
                <w:rFonts w:hint="eastAsia" w:ascii="宋体" w:hAnsi="宋体" w:cs="宋体"/>
                <w:szCs w:val="21"/>
              </w:rPr>
              <w:t>2.2.4（3）</w:t>
            </w:r>
          </w:p>
        </w:tc>
        <w:tc>
          <w:tcPr>
            <w:tcW w:w="851" w:type="dxa"/>
            <w:vAlign w:val="center"/>
          </w:tcPr>
          <w:p>
            <w:pPr>
              <w:spacing w:line="276" w:lineRule="auto"/>
              <w:ind w:left="-107" w:leftChars="-51" w:right="-107" w:rightChars="-51"/>
              <w:jc w:val="center"/>
              <w:rPr>
                <w:rFonts w:ascii="宋体" w:hAnsi="宋体" w:cs="宋体"/>
                <w:szCs w:val="21"/>
              </w:rPr>
            </w:pPr>
            <w:r>
              <w:rPr>
                <w:rFonts w:hint="eastAsia" w:ascii="宋体" w:hAnsi="宋体" w:cs="宋体"/>
                <w:szCs w:val="21"/>
              </w:rPr>
              <w:t>投标报价评分标准</w:t>
            </w:r>
          </w:p>
        </w:tc>
        <w:tc>
          <w:tcPr>
            <w:tcW w:w="8686" w:type="dxa"/>
            <w:gridSpan w:val="2"/>
            <w:vAlign w:val="center"/>
          </w:tcPr>
          <w:p>
            <w:pPr>
              <w:widowControl/>
              <w:spacing w:line="276" w:lineRule="auto"/>
              <w:rPr>
                <w:rFonts w:ascii="宋体" w:hAnsi="宋体" w:cs="宋体"/>
                <w:kern w:val="0"/>
                <w:szCs w:val="21"/>
              </w:rPr>
            </w:pPr>
            <w:r>
              <w:rPr>
                <w:rFonts w:hint="eastAsia" w:ascii="宋体" w:hAnsi="宋体" w:cs="宋体"/>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spacing w:line="276" w:lineRule="auto"/>
              <w:jc w:val="center"/>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4</w:t>
            </w:r>
            <w:r>
              <w:rPr>
                <w:rFonts w:hint="eastAsia" w:ascii="宋体" w:hAnsi="宋体"/>
                <w:szCs w:val="21"/>
              </w:rPr>
              <w:t>）</w:t>
            </w:r>
          </w:p>
        </w:tc>
        <w:tc>
          <w:tcPr>
            <w:tcW w:w="851" w:type="dxa"/>
            <w:vAlign w:val="center"/>
          </w:tcPr>
          <w:p>
            <w:pPr>
              <w:spacing w:line="276" w:lineRule="auto"/>
              <w:ind w:left="-126" w:leftChars="-60" w:right="-107" w:rightChars="-51"/>
              <w:jc w:val="center"/>
              <w:rPr>
                <w:rFonts w:ascii="宋体" w:hAnsi="宋体" w:cs="宋体"/>
                <w:szCs w:val="21"/>
              </w:rPr>
            </w:pPr>
            <w:r>
              <w:rPr>
                <w:rFonts w:hint="eastAsia" w:ascii="宋体" w:hAnsi="宋体" w:cs="宋体"/>
                <w:szCs w:val="21"/>
              </w:rPr>
              <w:t>其他因素评分标准</w:t>
            </w:r>
          </w:p>
        </w:tc>
        <w:tc>
          <w:tcPr>
            <w:tcW w:w="8686" w:type="dxa"/>
            <w:gridSpan w:val="2"/>
            <w:vAlign w:val="center"/>
          </w:tcPr>
          <w:p>
            <w:pPr>
              <w:widowControl/>
              <w:spacing w:line="276" w:lineRule="auto"/>
              <w:rPr>
                <w:rFonts w:ascii="宋体" w:hAnsi="宋体" w:cs="宋体"/>
                <w:strike/>
                <w:szCs w:val="21"/>
              </w:rPr>
            </w:pPr>
            <w:r>
              <w:rPr>
                <w:rFonts w:hint="eastAsia" w:ascii="宋体" w:hAnsi="宋体" w:cs="宋体"/>
                <w:szCs w:val="21"/>
              </w:rPr>
              <w:t>详见本章附表：综合评分表</w:t>
            </w:r>
          </w:p>
        </w:tc>
      </w:tr>
    </w:tbl>
    <w:p>
      <w:r>
        <w:rPr>
          <w:rFonts w:hint="eastAsia"/>
        </w:rPr>
        <w:br w:type="page"/>
      </w:r>
    </w:p>
    <w:p>
      <w:pPr>
        <w:pStyle w:val="5"/>
      </w:pPr>
      <w:bookmarkStart w:id="106" w:name="_Toc17098"/>
      <w:r>
        <w:rPr>
          <w:rFonts w:hint="eastAsia"/>
        </w:rPr>
        <w:t>附表一：形式评审表</w:t>
      </w:r>
      <w:bookmarkEnd w:id="106"/>
    </w:p>
    <w:p>
      <w:pPr>
        <w:spacing w:line="360" w:lineRule="auto"/>
        <w:jc w:val="center"/>
        <w:rPr>
          <w:rFonts w:ascii="宋体" w:hAnsi="宋体" w:cs="宋体"/>
          <w:sz w:val="28"/>
          <w:szCs w:val="28"/>
        </w:rPr>
      </w:pPr>
      <w:r>
        <w:rPr>
          <w:rFonts w:hint="eastAsia" w:ascii="宋体" w:hAnsi="宋体" w:cs="宋体"/>
          <w:sz w:val="28"/>
          <w:szCs w:val="28"/>
        </w:rPr>
        <w:t>形式评审表</w:t>
      </w:r>
    </w:p>
    <w:tbl>
      <w:tblPr>
        <w:tblStyle w:val="28"/>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8"/>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编号</w:t>
            </w:r>
          </w:p>
        </w:tc>
        <w:tc>
          <w:tcPr>
            <w:tcW w:w="4258" w:type="dxa"/>
            <w:tcBorders>
              <w:tl2br w:val="single" w:color="auto" w:sz="4" w:space="0"/>
            </w:tcBorders>
            <w:vAlign w:val="center"/>
          </w:tcPr>
          <w:p>
            <w:pPr>
              <w:tabs>
                <w:tab w:val="left" w:pos="720"/>
              </w:tabs>
              <w:snapToGrid w:val="0"/>
              <w:spacing w:line="276" w:lineRule="auto"/>
              <w:ind w:firstLine="2300" w:firstLineChars="1150"/>
              <w:rPr>
                <w:rFonts w:ascii="宋体" w:hAnsi="宋体"/>
                <w:sz w:val="20"/>
                <w:szCs w:val="20"/>
              </w:rPr>
            </w:pPr>
            <w:r>
              <w:rPr>
                <w:rFonts w:hint="eastAsia" w:ascii="宋体" w:hAnsi="宋体"/>
                <w:sz w:val="20"/>
                <w:szCs w:val="20"/>
              </w:rPr>
              <w:t>投标人名称</w:t>
            </w:r>
          </w:p>
          <w:p>
            <w:pPr>
              <w:tabs>
                <w:tab w:val="left" w:pos="720"/>
              </w:tabs>
              <w:snapToGrid w:val="0"/>
              <w:spacing w:line="276" w:lineRule="auto"/>
              <w:rPr>
                <w:rFonts w:ascii="宋体" w:hAnsi="宋体"/>
                <w:sz w:val="20"/>
                <w:szCs w:val="20"/>
              </w:rPr>
            </w:pPr>
            <w:r>
              <w:rPr>
                <w:rFonts w:hint="eastAsia" w:ascii="宋体" w:hAnsi="宋体"/>
                <w:sz w:val="20"/>
                <w:szCs w:val="20"/>
              </w:rPr>
              <w:t>评审项目</w:t>
            </w:r>
          </w:p>
        </w:tc>
        <w:tc>
          <w:tcPr>
            <w:tcW w:w="761" w:type="dxa"/>
            <w:vAlign w:val="center"/>
          </w:tcPr>
          <w:p>
            <w:pPr>
              <w:tabs>
                <w:tab w:val="left" w:pos="720"/>
              </w:tabs>
              <w:snapToGrid w:val="0"/>
              <w:spacing w:line="276" w:lineRule="auto"/>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1</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投标人名称：与营业执照（或事业单位法人证书）、资质证书一致。</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2</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投标函及其附表签字盖章：投标函及其附表格式及签字盖章符合招标文件要求，由法定代表人签字的，应附法定代表人证明书，由代理人签字的，应附法定代表人证明书及授权委托书。</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3</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投标文件格式：符合第六章“投标文件格式”的规定。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4</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备选投标方案：不允许。</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5</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投标人机器码：不同投标人机器码相同（以广州交易集团有限公司（广州公共资源交易中心）评标系统的检索信息为准），将被否决。</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结论</w:t>
            </w:r>
          </w:p>
        </w:tc>
        <w:tc>
          <w:tcPr>
            <w:tcW w:w="4258"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是否通过并进入下一阶段评审</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bl>
    <w:p>
      <w:pPr>
        <w:rPr>
          <w:rFonts w:ascii="宋体" w:hAnsi="宋体"/>
          <w:sz w:val="18"/>
          <w:szCs w:val="18"/>
        </w:rPr>
      </w:pPr>
    </w:p>
    <w:p>
      <w:pPr>
        <w:pStyle w:val="5"/>
      </w:pPr>
      <w:r>
        <w:br w:type="page"/>
      </w:r>
      <w:bookmarkStart w:id="107" w:name="_Toc24501"/>
      <w:r>
        <w:rPr>
          <w:rFonts w:hint="eastAsia"/>
        </w:rPr>
        <w:t>附表二：资格评审表</w:t>
      </w:r>
      <w:bookmarkEnd w:id="107"/>
    </w:p>
    <w:p>
      <w:pPr>
        <w:spacing w:line="360" w:lineRule="auto"/>
        <w:jc w:val="center"/>
        <w:rPr>
          <w:rFonts w:ascii="宋体" w:hAnsi="宋体" w:cs="宋体"/>
          <w:sz w:val="28"/>
          <w:szCs w:val="28"/>
        </w:rPr>
      </w:pPr>
      <w:r>
        <w:rPr>
          <w:rFonts w:hint="eastAsia" w:ascii="宋体" w:hAnsi="宋体" w:cs="宋体"/>
          <w:sz w:val="28"/>
          <w:szCs w:val="28"/>
        </w:rPr>
        <w:t>资格评审表</w:t>
      </w:r>
    </w:p>
    <w:tbl>
      <w:tblPr>
        <w:tblStyle w:val="28"/>
        <w:tblpPr w:leftFromText="180" w:rightFromText="180" w:vertAnchor="text" w:horzAnchor="margin" w:tblpY="1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163"/>
        <w:gridCol w:w="553"/>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编号</w:t>
            </w:r>
          </w:p>
        </w:tc>
        <w:tc>
          <w:tcPr>
            <w:tcW w:w="7163" w:type="dxa"/>
            <w:tcBorders>
              <w:tl2br w:val="single" w:color="auto" w:sz="4" w:space="0"/>
            </w:tcBorders>
            <w:vAlign w:val="center"/>
          </w:tcPr>
          <w:p>
            <w:pPr>
              <w:tabs>
                <w:tab w:val="left" w:pos="720"/>
              </w:tabs>
              <w:snapToGrid w:val="0"/>
              <w:spacing w:line="276" w:lineRule="auto"/>
              <w:ind w:firstLine="5490" w:firstLineChars="3050"/>
              <w:rPr>
                <w:rFonts w:ascii="宋体" w:hAnsi="宋体"/>
                <w:sz w:val="18"/>
                <w:szCs w:val="18"/>
              </w:rPr>
            </w:pPr>
            <w:r>
              <w:rPr>
                <w:rFonts w:hint="eastAsia" w:ascii="宋体" w:hAnsi="宋体"/>
                <w:sz w:val="18"/>
                <w:szCs w:val="18"/>
              </w:rPr>
              <w:t>投标人名称</w:t>
            </w:r>
          </w:p>
          <w:p>
            <w:pPr>
              <w:tabs>
                <w:tab w:val="left" w:pos="720"/>
              </w:tabs>
              <w:snapToGrid w:val="0"/>
              <w:spacing w:line="276" w:lineRule="auto"/>
              <w:rPr>
                <w:rFonts w:ascii="宋体" w:hAnsi="宋体"/>
                <w:sz w:val="18"/>
                <w:szCs w:val="18"/>
              </w:rPr>
            </w:pPr>
            <w:r>
              <w:rPr>
                <w:rFonts w:hint="eastAsia" w:ascii="宋体" w:hAnsi="宋体"/>
                <w:sz w:val="18"/>
                <w:szCs w:val="18"/>
              </w:rPr>
              <w:t>审查项目</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1</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投标人参加投标的意思表达清楚，投标人代表被授权有效。</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2</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投标人具有独立法人资格，持有事业单位登记管理部门核发的事业单位法人证书或工商行政（市场监督）管理部门核发的企业法人营业执照，且在营业期限内。</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3</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投标人具备建设行政主管部门颁发的建设工程质量检测机构资质证书</w:t>
            </w:r>
            <w:r>
              <w:rPr>
                <w:rFonts w:hint="eastAsia" w:ascii="宋体" w:hAnsi="宋体"/>
                <w:sz w:val="18"/>
                <w:szCs w:val="18"/>
                <w:u w:val="single"/>
              </w:rPr>
              <w:t>（检测范围覆盖地基基础工程检测、主体结构工程现场检测、钢结构工程检测、见证取样检测）</w:t>
            </w:r>
            <w:r>
              <w:rPr>
                <w:rFonts w:hint="eastAsia" w:ascii="宋体" w:hAnsi="宋体"/>
                <w:sz w:val="18"/>
                <w:szCs w:val="18"/>
              </w:rPr>
              <w:t>，或具备建设行政主管部门颁发的建设工程质量检测机构综合资质证书或专项资质证书（专项资质证书包括：建筑材料及构配件、主体结构及装饰装修、钢结构、地基基础、建筑节能、道路工程等）。且证书在有效期内。</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4</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投标人具有质量技术监督部门颁发的CMA计量认证合格证书或CMA检验检测机构资质认定证书</w:t>
            </w:r>
            <w:r>
              <w:rPr>
                <w:rFonts w:hint="eastAsia" w:ascii="宋体" w:hAnsi="宋体"/>
                <w:sz w:val="18"/>
                <w:szCs w:val="18"/>
                <w:u w:val="single"/>
              </w:rPr>
              <w:t>（CMA证书附表的认证范围覆盖招标主要内容：地基基础工程检测、主体结构工程现场检测、钢结构工程检测、见证取样检测等）</w:t>
            </w:r>
            <w:r>
              <w:rPr>
                <w:rFonts w:hint="eastAsia" w:ascii="宋体" w:hAnsi="宋体"/>
                <w:sz w:val="18"/>
                <w:szCs w:val="18"/>
              </w:rPr>
              <w:t>，且证书在有效期内。如投标人CMA计量认证合格证书或CMA检验检测机构资质认定证书中的检测项目与上述名称不同，但表达的意思一致也视为满足该项条件。</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5</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投标人拟委派项目负责人要求具备工程类相关专业工程师或以上职称。</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6</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投标登记前，投标人须在广州市住房和城乡建设局建立企业信用档案及拟担任项目负责人须是本企业信用档案中的在册人员。（信用档案办理详见《广州市住建行业信用管理平台检测企业信息录入指引》。</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7</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投标人出具按照招标文件要求的格式签署盖章的《投标申请人声明》（格式见招标文件第六章）。</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8</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投标人近</w:t>
            </w:r>
            <w:r>
              <w:rPr>
                <w:rFonts w:hint="eastAsia" w:ascii="宋体" w:hAnsi="宋体"/>
                <w:sz w:val="18"/>
                <w:szCs w:val="18"/>
                <w:lang w:val="en-US" w:eastAsia="zh-CN"/>
              </w:rPr>
              <w:t>三</w:t>
            </w:r>
            <w:r>
              <w:rPr>
                <w:rFonts w:hint="eastAsia" w:ascii="宋体" w:hAnsi="宋体"/>
                <w:sz w:val="18"/>
                <w:szCs w:val="18"/>
              </w:rPr>
              <w:t>年（从202</w:t>
            </w:r>
            <w:r>
              <w:rPr>
                <w:rFonts w:hint="eastAsia" w:ascii="宋体" w:hAnsi="宋体"/>
                <w:sz w:val="18"/>
                <w:szCs w:val="18"/>
                <w:lang w:val="en-US" w:eastAsia="zh-CN"/>
              </w:rPr>
              <w:t>0</w:t>
            </w:r>
            <w:r>
              <w:rPr>
                <w:rFonts w:hint="eastAsia" w:ascii="宋体" w:hAnsi="宋体"/>
                <w:sz w:val="18"/>
                <w:szCs w:val="18"/>
              </w:rPr>
              <w:t>年1月1日起至投标截止时间止）未因以往检测工作中存在伪造检测数据、出具虚假检测报告的行为被各级建设行政主管部门或市场监督管理部门行政处罚或通报的（按投标人提供的《投标申请人声明》第三条内容进行评审）。</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9</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投标人单位负责人为同一人或者存在控股、管理关系的不同单位，不得参加同一标段投标或者未划分标段的同一招标项目登记（按投标人提供的《投标人声明》第六条内容进行评审）。</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10</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投标人未被纳入失信联合惩戒名单且被限制参加建设工程投标的（具体名单以递交投标文件截止时间“信用广州”https://credit1.gz.gov.cn/sgs/sgsXkNew公布的“失信黑名单”为准。不包含限制参加财政投资工程或政府投资工程的投标）。投标人无需提供资料，按交易系统比对的结果进行评审。</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36" w:type="dxa"/>
            <w:vAlign w:val="center"/>
          </w:tcPr>
          <w:p>
            <w:pPr>
              <w:tabs>
                <w:tab w:val="left" w:pos="720"/>
              </w:tabs>
              <w:snapToGrid w:val="0"/>
              <w:spacing w:line="276" w:lineRule="auto"/>
              <w:jc w:val="center"/>
              <w:rPr>
                <w:rFonts w:ascii="宋体" w:hAnsi="宋体"/>
                <w:sz w:val="18"/>
                <w:szCs w:val="18"/>
              </w:rPr>
            </w:pPr>
            <w:r>
              <w:rPr>
                <w:rFonts w:hint="eastAsia" w:ascii="宋体" w:hAnsi="宋体"/>
                <w:sz w:val="18"/>
                <w:szCs w:val="18"/>
              </w:rPr>
              <w:t>结论</w:t>
            </w:r>
          </w:p>
        </w:tc>
        <w:tc>
          <w:tcPr>
            <w:tcW w:w="7163" w:type="dxa"/>
            <w:vAlign w:val="center"/>
          </w:tcPr>
          <w:p>
            <w:pPr>
              <w:tabs>
                <w:tab w:val="left" w:pos="720"/>
              </w:tabs>
              <w:snapToGrid w:val="0"/>
              <w:spacing w:line="276" w:lineRule="auto"/>
              <w:rPr>
                <w:rFonts w:ascii="宋体" w:hAnsi="宋体"/>
                <w:sz w:val="18"/>
                <w:szCs w:val="18"/>
              </w:rPr>
            </w:pPr>
            <w:r>
              <w:rPr>
                <w:rFonts w:hint="eastAsia" w:ascii="宋体" w:hAnsi="宋体"/>
                <w:sz w:val="18"/>
                <w:szCs w:val="18"/>
              </w:rPr>
              <w:t>是否通过并进入下一阶段评审</w:t>
            </w:r>
          </w:p>
        </w:tc>
        <w:tc>
          <w:tcPr>
            <w:tcW w:w="553" w:type="dxa"/>
            <w:vAlign w:val="center"/>
          </w:tcPr>
          <w:p>
            <w:pPr>
              <w:tabs>
                <w:tab w:val="left" w:pos="720"/>
              </w:tabs>
              <w:snapToGrid w:val="0"/>
              <w:spacing w:line="276" w:lineRule="auto"/>
              <w:jc w:val="center"/>
              <w:rPr>
                <w:rFonts w:ascii="宋体" w:hAnsi="宋体"/>
                <w:sz w:val="18"/>
                <w:szCs w:val="18"/>
              </w:rPr>
            </w:pPr>
          </w:p>
        </w:tc>
        <w:tc>
          <w:tcPr>
            <w:tcW w:w="553" w:type="dxa"/>
            <w:vAlign w:val="center"/>
          </w:tcPr>
          <w:p>
            <w:pPr>
              <w:tabs>
                <w:tab w:val="left" w:pos="720"/>
              </w:tabs>
              <w:snapToGrid w:val="0"/>
              <w:spacing w:line="276" w:lineRule="auto"/>
              <w:jc w:val="center"/>
              <w:rPr>
                <w:rFonts w:ascii="宋体" w:hAnsi="宋体"/>
                <w:sz w:val="18"/>
                <w:szCs w:val="18"/>
              </w:rPr>
            </w:pPr>
          </w:p>
        </w:tc>
        <w:tc>
          <w:tcPr>
            <w:tcW w:w="554" w:type="dxa"/>
            <w:vAlign w:val="center"/>
          </w:tcPr>
          <w:p>
            <w:pPr>
              <w:tabs>
                <w:tab w:val="left" w:pos="720"/>
              </w:tabs>
              <w:snapToGrid w:val="0"/>
              <w:spacing w:line="276" w:lineRule="auto"/>
              <w:jc w:val="center"/>
              <w:rPr>
                <w:rFonts w:ascii="宋体" w:hAnsi="宋体"/>
                <w:sz w:val="18"/>
                <w:szCs w:val="18"/>
              </w:rPr>
            </w:pPr>
          </w:p>
        </w:tc>
      </w:tr>
    </w:tbl>
    <w:p/>
    <w:p>
      <w:pPr>
        <w:pStyle w:val="5"/>
        <w:rPr>
          <w:rFonts w:cs="宋体"/>
          <w:szCs w:val="21"/>
        </w:rPr>
      </w:pPr>
      <w:r>
        <w:br w:type="page"/>
      </w:r>
      <w:bookmarkStart w:id="108" w:name="_Toc926"/>
      <w:r>
        <w:rPr>
          <w:rFonts w:hint="eastAsia"/>
        </w:rPr>
        <w:t>附表三：响应性评审表</w:t>
      </w:r>
      <w:bookmarkEnd w:id="108"/>
    </w:p>
    <w:p>
      <w:pPr>
        <w:spacing w:line="360" w:lineRule="auto"/>
        <w:jc w:val="center"/>
        <w:rPr>
          <w:rFonts w:ascii="宋体" w:hAnsi="宋体" w:cs="宋体"/>
          <w:sz w:val="28"/>
          <w:szCs w:val="28"/>
        </w:rPr>
      </w:pPr>
      <w:r>
        <w:rPr>
          <w:rFonts w:hint="eastAsia" w:ascii="宋体" w:hAnsi="宋体" w:cs="宋体"/>
          <w:sz w:val="28"/>
          <w:szCs w:val="28"/>
        </w:rPr>
        <w:t>响应性评审表</w:t>
      </w:r>
    </w:p>
    <w:p>
      <w:pPr>
        <w:rPr>
          <w:rFonts w:ascii="宋体" w:hAnsi="宋体"/>
          <w:sz w:val="18"/>
          <w:szCs w:val="18"/>
        </w:rPr>
      </w:pPr>
    </w:p>
    <w:tbl>
      <w:tblPr>
        <w:tblStyle w:val="28"/>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927"/>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编号</w:t>
            </w:r>
          </w:p>
        </w:tc>
        <w:tc>
          <w:tcPr>
            <w:tcW w:w="4927" w:type="dxa"/>
            <w:tcBorders>
              <w:tl2br w:val="single" w:color="auto" w:sz="4" w:space="0"/>
            </w:tcBorders>
            <w:vAlign w:val="center"/>
          </w:tcPr>
          <w:p>
            <w:pPr>
              <w:tabs>
                <w:tab w:val="left" w:pos="720"/>
              </w:tabs>
              <w:snapToGrid w:val="0"/>
              <w:spacing w:line="276" w:lineRule="auto"/>
              <w:ind w:firstLine="3600" w:firstLineChars="1800"/>
              <w:rPr>
                <w:rFonts w:ascii="宋体" w:hAnsi="宋体"/>
                <w:sz w:val="20"/>
                <w:szCs w:val="20"/>
              </w:rPr>
            </w:pPr>
            <w:r>
              <w:rPr>
                <w:rFonts w:hint="eastAsia" w:ascii="宋体" w:hAnsi="宋体"/>
                <w:sz w:val="20"/>
                <w:szCs w:val="20"/>
              </w:rPr>
              <w:t>投标人名称</w:t>
            </w:r>
          </w:p>
          <w:p>
            <w:pPr>
              <w:tabs>
                <w:tab w:val="left" w:pos="720"/>
              </w:tabs>
              <w:snapToGrid w:val="0"/>
              <w:spacing w:line="276" w:lineRule="auto"/>
              <w:rPr>
                <w:rFonts w:ascii="宋体" w:hAnsi="宋体"/>
                <w:sz w:val="20"/>
                <w:szCs w:val="20"/>
              </w:rPr>
            </w:pPr>
          </w:p>
          <w:p>
            <w:pPr>
              <w:tabs>
                <w:tab w:val="left" w:pos="720"/>
              </w:tabs>
              <w:snapToGrid w:val="0"/>
              <w:spacing w:line="276" w:lineRule="auto"/>
              <w:rPr>
                <w:rFonts w:ascii="宋体" w:hAnsi="宋体"/>
                <w:sz w:val="20"/>
                <w:szCs w:val="20"/>
              </w:rPr>
            </w:pPr>
            <w:r>
              <w:rPr>
                <w:rFonts w:hint="eastAsia" w:ascii="宋体" w:hAnsi="宋体"/>
                <w:sz w:val="20"/>
                <w:szCs w:val="20"/>
              </w:rPr>
              <w:t>评审项目</w:t>
            </w:r>
          </w:p>
        </w:tc>
        <w:tc>
          <w:tcPr>
            <w:tcW w:w="761" w:type="dxa"/>
            <w:vAlign w:val="center"/>
          </w:tcPr>
          <w:p>
            <w:pPr>
              <w:tabs>
                <w:tab w:val="left" w:pos="720"/>
              </w:tabs>
              <w:snapToGrid w:val="0"/>
              <w:spacing w:line="276" w:lineRule="auto"/>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1</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投标报价：符合第二章“投标人须知”第3.2款规定；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2</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投标内容：符合第二章“投标人须知”第1.3.1规定；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3</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服务期限：符合第二章“投标人须知”第1.3.2规定；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4</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质量标准：符合第二章“投标人须知”第1.3.3规定；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5</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投标有效期：符合第二章“投标人须知”第3.3.1规定；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6</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投标保证金：符合第二章“投标人须知”第3.4.1规定；</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7</w:t>
            </w:r>
          </w:p>
        </w:tc>
        <w:tc>
          <w:tcPr>
            <w:tcW w:w="4927" w:type="dxa"/>
            <w:vAlign w:val="center"/>
          </w:tcPr>
          <w:p>
            <w:pPr>
              <w:tabs>
                <w:tab w:val="left" w:pos="720"/>
              </w:tabs>
              <w:snapToGrid w:val="0"/>
              <w:spacing w:line="276" w:lineRule="auto"/>
              <w:rPr>
                <w:rFonts w:ascii="宋体" w:hAnsi="宋体" w:cs="宋体"/>
                <w:sz w:val="20"/>
                <w:szCs w:val="20"/>
              </w:rPr>
            </w:pPr>
            <w:r>
              <w:rPr>
                <w:rFonts w:hint="eastAsia" w:ascii="宋体" w:hAnsi="宋体" w:cs="宋体"/>
                <w:sz w:val="20"/>
                <w:szCs w:val="20"/>
              </w:rPr>
              <w:t>串通投标情形：不存在串通投标情形（串通投标情形以《中华人民共和国招标投标法实施条例》的规定为准）；</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tabs>
                <w:tab w:val="left" w:pos="720"/>
              </w:tabs>
              <w:snapToGrid w:val="0"/>
              <w:spacing w:line="276" w:lineRule="auto"/>
              <w:jc w:val="center"/>
              <w:rPr>
                <w:rFonts w:ascii="宋体" w:hAnsi="宋体"/>
                <w:sz w:val="20"/>
                <w:szCs w:val="20"/>
              </w:rPr>
            </w:pPr>
            <w:r>
              <w:rPr>
                <w:rFonts w:hint="eastAsia" w:ascii="宋体" w:hAnsi="宋体"/>
                <w:sz w:val="20"/>
                <w:szCs w:val="20"/>
              </w:rPr>
              <w:t>结论</w:t>
            </w:r>
          </w:p>
        </w:tc>
        <w:tc>
          <w:tcPr>
            <w:tcW w:w="4927" w:type="dxa"/>
            <w:vAlign w:val="center"/>
          </w:tcPr>
          <w:p>
            <w:pPr>
              <w:tabs>
                <w:tab w:val="left" w:pos="720"/>
              </w:tabs>
              <w:snapToGrid w:val="0"/>
              <w:spacing w:line="276" w:lineRule="auto"/>
              <w:rPr>
                <w:rFonts w:ascii="宋体" w:hAnsi="宋体"/>
                <w:sz w:val="20"/>
                <w:szCs w:val="20"/>
              </w:rPr>
            </w:pPr>
            <w:r>
              <w:rPr>
                <w:rFonts w:hint="eastAsia" w:ascii="宋体" w:hAnsi="宋体"/>
                <w:sz w:val="20"/>
                <w:szCs w:val="20"/>
              </w:rPr>
              <w:t>是否通过并进入下一阶段评审</w:t>
            </w:r>
          </w:p>
        </w:tc>
        <w:tc>
          <w:tcPr>
            <w:tcW w:w="761"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c>
          <w:tcPr>
            <w:tcW w:w="762" w:type="dxa"/>
            <w:vAlign w:val="center"/>
          </w:tcPr>
          <w:p>
            <w:pPr>
              <w:tabs>
                <w:tab w:val="left" w:pos="720"/>
              </w:tabs>
              <w:snapToGrid w:val="0"/>
              <w:spacing w:line="276" w:lineRule="auto"/>
              <w:jc w:val="center"/>
              <w:rPr>
                <w:rFonts w:ascii="宋体" w:hAnsi="宋体"/>
                <w:sz w:val="18"/>
                <w:szCs w:val="18"/>
              </w:rPr>
            </w:pPr>
          </w:p>
        </w:tc>
      </w:tr>
    </w:tbl>
    <w:p>
      <w:pPr>
        <w:pStyle w:val="5"/>
        <w:ind w:firstLine="281" w:firstLineChars="100"/>
      </w:pPr>
      <w:r>
        <w:rPr>
          <w:rFonts w:hint="eastAsia"/>
        </w:rPr>
        <w:br w:type="page"/>
      </w:r>
      <w:bookmarkStart w:id="109" w:name="_Toc25168"/>
      <w:bookmarkStart w:id="110" w:name="_Toc103592024"/>
      <w:bookmarkStart w:id="111" w:name="_Toc27817"/>
      <w:bookmarkStart w:id="112" w:name="_Toc2105"/>
      <w:bookmarkStart w:id="113" w:name="_Toc19098"/>
      <w:bookmarkStart w:id="114" w:name="_Toc9017"/>
      <w:r>
        <w:rPr>
          <w:rFonts w:hint="eastAsia"/>
        </w:rPr>
        <w:t>附表四：综合评分表</w:t>
      </w:r>
      <w:bookmarkEnd w:id="109"/>
      <w:bookmarkEnd w:id="110"/>
      <w:bookmarkEnd w:id="111"/>
      <w:bookmarkEnd w:id="112"/>
      <w:bookmarkEnd w:id="113"/>
      <w:bookmarkEnd w:id="114"/>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100"/>
        <w:gridCol w:w="1025"/>
        <w:gridCol w:w="7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58" w:type="dxa"/>
            <w:vMerge w:val="restart"/>
            <w:vAlign w:val="center"/>
          </w:tcPr>
          <w:p>
            <w:pPr>
              <w:jc w:val="center"/>
            </w:pPr>
            <w:r>
              <w:rPr>
                <w:rFonts w:hint="eastAsia"/>
              </w:rPr>
              <w:t>2.2.4</w:t>
            </w:r>
          </w:p>
          <w:p>
            <w:pPr>
              <w:pStyle w:val="2"/>
              <w:ind w:firstLine="0"/>
            </w:pPr>
            <w:r>
              <w:rPr>
                <w:rFonts w:hint="eastAsia" w:ascii="宋体" w:hAnsi="宋体" w:cs="宋体"/>
              </w:rPr>
              <w:t>（1）</w:t>
            </w:r>
          </w:p>
        </w:tc>
        <w:tc>
          <w:tcPr>
            <w:tcW w:w="1100" w:type="dxa"/>
            <w:vMerge w:val="restart"/>
            <w:vAlign w:val="center"/>
          </w:tcPr>
          <w:p>
            <w:pPr>
              <w:jc w:val="center"/>
              <w:rPr>
                <w:rFonts w:ascii="宋体" w:hAnsi="宋体" w:cs="宋体"/>
              </w:rPr>
            </w:pPr>
            <w:r>
              <w:rPr>
                <w:rFonts w:hint="eastAsia" w:ascii="宋体" w:hAnsi="宋体"/>
                <w:szCs w:val="21"/>
              </w:rPr>
              <w:t>企业综合实力评分</w:t>
            </w:r>
            <w:r>
              <w:rPr>
                <w:rFonts w:hint="eastAsia" w:ascii="宋体" w:hAnsi="宋体" w:cs="宋体"/>
              </w:rPr>
              <w:t>标准（60分）</w:t>
            </w:r>
          </w:p>
        </w:tc>
        <w:tc>
          <w:tcPr>
            <w:tcW w:w="1025" w:type="dxa"/>
            <w:vAlign w:val="center"/>
          </w:tcPr>
          <w:p>
            <w:pPr>
              <w:jc w:val="center"/>
              <w:rPr>
                <w:rFonts w:ascii="宋体" w:hAnsi="宋体" w:cs="宋体"/>
              </w:rPr>
            </w:pPr>
            <w:r>
              <w:rPr>
                <w:rFonts w:hint="eastAsia" w:ascii="宋体" w:hAnsi="宋体" w:cs="宋体"/>
              </w:rPr>
              <w:t>投标人业绩</w:t>
            </w:r>
          </w:p>
          <w:p>
            <w:pPr>
              <w:jc w:val="center"/>
              <w:rPr>
                <w:rFonts w:ascii="宋体" w:hAnsi="宋体" w:cs="宋体"/>
              </w:rPr>
            </w:pPr>
            <w:r>
              <w:rPr>
                <w:rFonts w:hint="eastAsia" w:ascii="宋体" w:hAnsi="宋体" w:cs="宋体"/>
              </w:rPr>
              <w:t>（15分）</w:t>
            </w:r>
          </w:p>
        </w:tc>
        <w:tc>
          <w:tcPr>
            <w:tcW w:w="7521" w:type="dxa"/>
            <w:vAlign w:val="center"/>
          </w:tcPr>
          <w:p>
            <w:pPr>
              <w:pStyle w:val="58"/>
              <w:jc w:val="left"/>
              <w:rPr>
                <w:rFonts w:ascii="宋体" w:hAnsi="宋体" w:cs="宋体"/>
                <w:szCs w:val="21"/>
              </w:rPr>
            </w:pPr>
            <w:r>
              <w:rPr>
                <w:rFonts w:hint="eastAsia" w:ascii="宋体" w:hAnsi="宋体" w:cs="宋体"/>
                <w:szCs w:val="21"/>
              </w:rPr>
              <w:t>投标人自</w:t>
            </w:r>
            <w:r>
              <w:rPr>
                <w:rFonts w:hint="eastAsia" w:ascii="宋体" w:hAnsi="宋体" w:cs="楷体_GB2312"/>
                <w:szCs w:val="21"/>
              </w:rPr>
              <w:t>201</w:t>
            </w:r>
            <w:r>
              <w:rPr>
                <w:rFonts w:ascii="宋体" w:hAnsi="宋体" w:cs="楷体_GB2312"/>
                <w:szCs w:val="21"/>
              </w:rPr>
              <w:t>9</w:t>
            </w:r>
            <w:r>
              <w:rPr>
                <w:rFonts w:hint="eastAsia" w:ascii="宋体" w:hAnsi="宋体" w:cs="楷体_GB2312"/>
                <w:szCs w:val="21"/>
              </w:rPr>
              <w:t>年1月1日</w:t>
            </w:r>
            <w:r>
              <w:rPr>
                <w:rFonts w:hint="eastAsia" w:ascii="宋体" w:hAnsi="宋体" w:cs="宋体"/>
                <w:kern w:val="0"/>
              </w:rPr>
              <w:t>至投标截止时间</w:t>
            </w:r>
            <w:r>
              <w:rPr>
                <w:rFonts w:hint="eastAsia" w:ascii="宋体" w:hAnsi="宋体"/>
              </w:rPr>
              <w:t>承接</w:t>
            </w:r>
            <w:r>
              <w:rPr>
                <w:rFonts w:hint="eastAsia" w:ascii="宋体" w:hAnsi="宋体" w:cs="楷体_GB2312"/>
                <w:szCs w:val="21"/>
              </w:rPr>
              <w:t>过的</w:t>
            </w:r>
            <w:r>
              <w:rPr>
                <w:rFonts w:hint="eastAsia"/>
              </w:rPr>
              <w:t>类似检测项目业绩</w:t>
            </w:r>
            <w:r>
              <w:rPr>
                <w:rFonts w:hint="eastAsia" w:ascii="宋体" w:hAnsi="宋体" w:cs="楷体_GB2312"/>
                <w:szCs w:val="21"/>
              </w:rPr>
              <w:t>：金额≥</w:t>
            </w:r>
            <w:r>
              <w:rPr>
                <w:rFonts w:hint="eastAsia" w:ascii="宋体" w:hAnsi="宋体" w:cs="楷体_GB2312"/>
                <w:szCs w:val="21"/>
                <w:lang w:val="en-US" w:eastAsia="zh-CN"/>
              </w:rPr>
              <w:t>500</w:t>
            </w:r>
            <w:r>
              <w:rPr>
                <w:rFonts w:hint="eastAsia" w:ascii="宋体" w:hAnsi="宋体" w:cs="楷体_GB2312"/>
                <w:szCs w:val="21"/>
              </w:rPr>
              <w:t>万元的每项得3分；其他不得分，最多得15分。</w:t>
            </w:r>
            <w:r>
              <w:rPr>
                <w:rFonts w:hint="eastAsia" w:ascii="宋体" w:hAnsi="宋体" w:cs="宋体"/>
                <w:szCs w:val="21"/>
              </w:rPr>
              <w:t>（须提交</w:t>
            </w:r>
            <w:r>
              <w:rPr>
                <w:rFonts w:hint="eastAsia" w:ascii="宋体" w:hAnsi="宋体"/>
              </w:rPr>
              <w:t>中标通知书（或免招标证明）</w:t>
            </w:r>
            <w:r>
              <w:rPr>
                <w:rFonts w:hint="eastAsia" w:ascii="宋体" w:hAnsi="宋体" w:cs="宋体"/>
                <w:szCs w:val="21"/>
              </w:rPr>
              <w:t>、</w:t>
            </w:r>
            <w:r>
              <w:rPr>
                <w:rFonts w:hint="eastAsia" w:ascii="宋体" w:hAnsi="宋体"/>
              </w:rPr>
              <w:t>检测合同</w:t>
            </w:r>
            <w:r>
              <w:rPr>
                <w:rFonts w:hint="eastAsia" w:ascii="宋体" w:hAnsi="宋体" w:cs="宋体"/>
                <w:szCs w:val="21"/>
              </w:rPr>
              <w:t>、检</w:t>
            </w:r>
            <w:r>
              <w:rPr>
                <w:rFonts w:hint="eastAsia" w:ascii="宋体" w:hAnsi="宋体"/>
              </w:rPr>
              <w:t>测报告关键页</w:t>
            </w:r>
            <w:r>
              <w:rPr>
                <w:rFonts w:hint="eastAsia" w:ascii="宋体" w:hAnsi="宋体" w:cs="宋体"/>
                <w:szCs w:val="21"/>
              </w:rPr>
              <w:t>扫描件，</w:t>
            </w:r>
            <w:r>
              <w:rPr>
                <w:rFonts w:hint="eastAsia" w:ascii="宋体" w:hAnsi="宋体"/>
              </w:rPr>
              <w:t>业绩时间以合同签订时间为准，业绩金额以提供的检测合同的金额为准</w:t>
            </w:r>
            <w:r>
              <w:rPr>
                <w:rFonts w:hint="eastAsia" w:ascii="宋体" w:hAnsi="宋体" w:cs="宋体"/>
                <w:szCs w:val="21"/>
              </w:rPr>
              <w:t>，否则不予认可）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58" w:type="dxa"/>
            <w:vMerge w:val="continue"/>
            <w:vAlign w:val="center"/>
          </w:tcPr>
          <w:p>
            <w:pPr>
              <w:jc w:val="center"/>
              <w:rPr>
                <w:rFonts w:ascii="宋体" w:hAnsi="宋体"/>
              </w:rPr>
            </w:pPr>
          </w:p>
        </w:tc>
        <w:tc>
          <w:tcPr>
            <w:tcW w:w="1100" w:type="dxa"/>
            <w:vMerge w:val="continue"/>
            <w:vAlign w:val="center"/>
          </w:tcPr>
          <w:p>
            <w:pPr>
              <w:jc w:val="center"/>
              <w:rPr>
                <w:rFonts w:ascii="宋体" w:hAnsi="宋体"/>
              </w:rPr>
            </w:pPr>
          </w:p>
        </w:tc>
        <w:tc>
          <w:tcPr>
            <w:tcW w:w="1025" w:type="dxa"/>
            <w:vMerge w:val="restart"/>
            <w:vAlign w:val="center"/>
          </w:tcPr>
          <w:p>
            <w:pPr>
              <w:pStyle w:val="63"/>
              <w:ind w:firstLine="0" w:firstLineChars="0"/>
              <w:jc w:val="center"/>
              <w:rPr>
                <w:rFonts w:ascii="宋体" w:hAnsi="宋体" w:cs="宋体"/>
                <w:szCs w:val="21"/>
              </w:rPr>
            </w:pPr>
            <w:r>
              <w:rPr>
                <w:rFonts w:hint="eastAsia" w:ascii="宋体" w:hAnsi="宋体" w:cs="宋体"/>
                <w:szCs w:val="21"/>
              </w:rPr>
              <w:t>企业实力信誉（30分）</w:t>
            </w:r>
          </w:p>
        </w:tc>
        <w:tc>
          <w:tcPr>
            <w:tcW w:w="7521" w:type="dxa"/>
            <w:vAlign w:val="center"/>
          </w:tcPr>
          <w:p>
            <w:pPr>
              <w:snapToGrid w:val="0"/>
              <w:jc w:val="left"/>
              <w:rPr>
                <w:rFonts w:ascii="宋体" w:hAnsi="宋体" w:cs="宋体"/>
                <w:b/>
                <w:bCs/>
              </w:rPr>
            </w:pPr>
            <w:r>
              <w:rPr>
                <w:rFonts w:hint="eastAsia" w:ascii="宋体" w:hAnsi="宋体" w:cs="宋体"/>
              </w:rPr>
              <w:t>投标人曾</w:t>
            </w:r>
            <w:r>
              <w:rPr>
                <w:rFonts w:hint="eastAsia" w:ascii="宋体" w:hAnsi="宋体" w:cs="宋体"/>
                <w:szCs w:val="21"/>
              </w:rPr>
              <w:t>获得过国家级“工程质量检测行业先进单位”的，每获得一次，得3分，最多得12分，</w:t>
            </w:r>
            <w:r>
              <w:rPr>
                <w:rFonts w:hint="eastAsia" w:ascii="宋体" w:hAnsi="宋体"/>
              </w:rPr>
              <w:t>无则得0分。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58" w:type="dxa"/>
            <w:vMerge w:val="continue"/>
            <w:vAlign w:val="center"/>
          </w:tcPr>
          <w:p>
            <w:pPr>
              <w:jc w:val="center"/>
              <w:rPr>
                <w:rFonts w:ascii="宋体" w:hAnsi="宋体"/>
              </w:rPr>
            </w:pPr>
          </w:p>
        </w:tc>
        <w:tc>
          <w:tcPr>
            <w:tcW w:w="1100" w:type="dxa"/>
            <w:vMerge w:val="continue"/>
            <w:vAlign w:val="center"/>
          </w:tcPr>
          <w:p>
            <w:pPr>
              <w:jc w:val="center"/>
              <w:rPr>
                <w:rFonts w:ascii="宋体" w:hAnsi="宋体"/>
              </w:rPr>
            </w:pPr>
          </w:p>
        </w:tc>
        <w:tc>
          <w:tcPr>
            <w:tcW w:w="1025" w:type="dxa"/>
            <w:vMerge w:val="continue"/>
            <w:vAlign w:val="center"/>
          </w:tcPr>
          <w:p>
            <w:pPr>
              <w:jc w:val="center"/>
              <w:rPr>
                <w:rFonts w:ascii="宋体" w:hAnsi="宋体" w:cs="宋体"/>
              </w:rPr>
            </w:pPr>
          </w:p>
        </w:tc>
        <w:tc>
          <w:tcPr>
            <w:tcW w:w="7521" w:type="dxa"/>
            <w:vAlign w:val="center"/>
          </w:tcPr>
          <w:p>
            <w:pPr>
              <w:adjustRightInd w:val="0"/>
              <w:spacing w:line="280" w:lineRule="exact"/>
              <w:ind w:right="65" w:rightChars="31"/>
              <w:rPr>
                <w:rFonts w:ascii="宋体" w:hAnsi="宋体" w:cs="宋体"/>
                <w:b/>
                <w:bCs/>
              </w:rPr>
            </w:pPr>
            <w:r>
              <w:rPr>
                <w:rFonts w:hint="eastAsia" w:ascii="宋体" w:hAnsi="宋体" w:cs="宋体"/>
              </w:rPr>
              <w:t>投标人具备</w:t>
            </w:r>
            <w:r>
              <w:rPr>
                <w:rFonts w:hint="eastAsia" w:ascii="宋体" w:hAnsi="宋体" w:cs="宋体"/>
                <w:szCs w:val="21"/>
              </w:rPr>
              <w:t>中国合格评定国家认可委员会检验机构认可证书（CNAS）和实验室认可证书（CNAS），且在有效期内的，得</w:t>
            </w:r>
            <w:r>
              <w:rPr>
                <w:rFonts w:hint="eastAsia" w:cs="宋体"/>
                <w:szCs w:val="21"/>
              </w:rPr>
              <w:t>6</w:t>
            </w:r>
            <w:r>
              <w:rPr>
                <w:rFonts w:hint="eastAsia" w:ascii="宋体" w:hAnsi="宋体" w:cs="宋体"/>
                <w:szCs w:val="21"/>
              </w:rPr>
              <w:t>分；具备其中一个证书的，得</w:t>
            </w:r>
            <w:r>
              <w:rPr>
                <w:rFonts w:hint="eastAsia" w:cs="宋体"/>
                <w:szCs w:val="21"/>
              </w:rPr>
              <w:t>3</w:t>
            </w:r>
            <w:r>
              <w:rPr>
                <w:rFonts w:hint="eastAsia" w:ascii="宋体" w:hAnsi="宋体" w:cs="宋体"/>
                <w:szCs w:val="21"/>
              </w:rPr>
              <w:t>分；最多得6分，</w:t>
            </w:r>
            <w:r>
              <w:rPr>
                <w:rFonts w:hint="eastAsia" w:ascii="宋体" w:hAnsi="宋体" w:cs="宋体"/>
              </w:rPr>
              <w:t>无则得0分。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58" w:type="dxa"/>
            <w:vMerge w:val="continue"/>
            <w:vAlign w:val="center"/>
          </w:tcPr>
          <w:p>
            <w:pPr>
              <w:jc w:val="center"/>
              <w:rPr>
                <w:rFonts w:ascii="宋体" w:hAnsi="宋体"/>
              </w:rPr>
            </w:pPr>
          </w:p>
        </w:tc>
        <w:tc>
          <w:tcPr>
            <w:tcW w:w="1100" w:type="dxa"/>
            <w:vMerge w:val="continue"/>
            <w:vAlign w:val="center"/>
          </w:tcPr>
          <w:p>
            <w:pPr>
              <w:jc w:val="center"/>
              <w:rPr>
                <w:rFonts w:ascii="宋体" w:hAnsi="宋体"/>
              </w:rPr>
            </w:pPr>
          </w:p>
        </w:tc>
        <w:tc>
          <w:tcPr>
            <w:tcW w:w="1025" w:type="dxa"/>
            <w:vMerge w:val="continue"/>
            <w:vAlign w:val="center"/>
          </w:tcPr>
          <w:p>
            <w:pPr>
              <w:jc w:val="center"/>
              <w:rPr>
                <w:rFonts w:ascii="宋体" w:hAnsi="宋体" w:cs="宋体"/>
              </w:rPr>
            </w:pPr>
          </w:p>
        </w:tc>
        <w:tc>
          <w:tcPr>
            <w:tcW w:w="7521" w:type="dxa"/>
            <w:vAlign w:val="center"/>
          </w:tcPr>
          <w:p>
            <w:pPr>
              <w:snapToGrid w:val="0"/>
              <w:jc w:val="left"/>
              <w:rPr>
                <w:rFonts w:ascii="宋体" w:hAnsi="宋体" w:cs="宋体"/>
                <w:b/>
                <w:bCs/>
              </w:rPr>
            </w:pPr>
            <w:r>
              <w:rPr>
                <w:rFonts w:hint="eastAsia" w:ascii="宋体" w:hAnsi="宋体" w:cs="宋体"/>
              </w:rPr>
              <w:t>投标人</w:t>
            </w:r>
            <w:r>
              <w:rPr>
                <w:rFonts w:hint="eastAsia" w:ascii="宋体" w:hAnsi="宋体" w:cs="宋体"/>
                <w:szCs w:val="21"/>
              </w:rPr>
              <w:t>通过质量管理体系、环境管理体系、职业健康安全管理体系、信息安全管理体系、信息技术服务</w:t>
            </w:r>
            <w:r>
              <w:rPr>
                <w:rFonts w:hint="eastAsia" w:ascii="宋体" w:hAnsi="宋体" w:cs="宋体"/>
                <w:kern w:val="0"/>
              </w:rPr>
              <w:t>管理体系、知识产权管理体系认证且在有效期内，每项得1分，最多得6分</w:t>
            </w:r>
            <w:r>
              <w:rPr>
                <w:rFonts w:hint="eastAsia" w:ascii="宋体" w:hAnsi="宋体" w:cs="宋体"/>
                <w:szCs w:val="21"/>
              </w:rPr>
              <w:t>，</w:t>
            </w:r>
            <w:r>
              <w:rPr>
                <w:rFonts w:hint="eastAsia" w:ascii="宋体" w:hAnsi="宋体" w:cs="宋体"/>
              </w:rPr>
              <w:t>无则得0分。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58" w:type="dxa"/>
            <w:vMerge w:val="continue"/>
            <w:vAlign w:val="center"/>
          </w:tcPr>
          <w:p>
            <w:pPr>
              <w:jc w:val="center"/>
              <w:rPr>
                <w:rFonts w:ascii="宋体" w:hAnsi="宋体"/>
              </w:rPr>
            </w:pPr>
          </w:p>
        </w:tc>
        <w:tc>
          <w:tcPr>
            <w:tcW w:w="1100" w:type="dxa"/>
            <w:vMerge w:val="continue"/>
            <w:vAlign w:val="center"/>
          </w:tcPr>
          <w:p>
            <w:pPr>
              <w:jc w:val="center"/>
              <w:rPr>
                <w:rFonts w:ascii="宋体" w:hAnsi="宋体"/>
              </w:rPr>
            </w:pPr>
          </w:p>
        </w:tc>
        <w:tc>
          <w:tcPr>
            <w:tcW w:w="1025" w:type="dxa"/>
            <w:vMerge w:val="continue"/>
            <w:vAlign w:val="center"/>
          </w:tcPr>
          <w:p>
            <w:pPr>
              <w:jc w:val="center"/>
              <w:rPr>
                <w:rFonts w:ascii="宋体" w:hAnsi="宋体" w:cs="宋体"/>
              </w:rPr>
            </w:pPr>
          </w:p>
        </w:tc>
        <w:tc>
          <w:tcPr>
            <w:tcW w:w="7521" w:type="dxa"/>
            <w:vAlign w:val="center"/>
          </w:tcPr>
          <w:p>
            <w:pPr>
              <w:snapToGrid w:val="0"/>
              <w:jc w:val="left"/>
              <w:rPr>
                <w:rFonts w:ascii="宋体" w:hAnsi="宋体" w:cs="宋体"/>
                <w:b/>
                <w:bCs/>
              </w:rPr>
            </w:pPr>
            <w:r>
              <w:rPr>
                <w:rFonts w:hint="eastAsia" w:ascii="宋体" w:hAnsi="宋体" w:eastAsia="宋体" w:cs="宋体"/>
                <w:color w:val="auto"/>
                <w:szCs w:val="21"/>
                <w:highlight w:val="none"/>
              </w:rPr>
              <w:t>具有国家级建筑领域质量检验检测中心，得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分；具有省级建筑领域质量检验检测中心，得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分；具有市级建筑领域质量检验检测中心，得1分；没有不得分</w:t>
            </w:r>
            <w:r>
              <w:rPr>
                <w:rFonts w:hint="eastAsia" w:ascii="宋体" w:hAnsi="宋体" w:eastAsia="宋体" w:cs="宋体"/>
                <w:color w:val="auto"/>
                <w:sz w:val="21"/>
                <w:szCs w:val="21"/>
                <w:highlight w:val="none"/>
              </w:rPr>
              <w:t>，最多得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58" w:type="dxa"/>
            <w:vMerge w:val="continue"/>
            <w:vAlign w:val="center"/>
          </w:tcPr>
          <w:p>
            <w:pPr>
              <w:jc w:val="left"/>
              <w:rPr>
                <w:rFonts w:ascii="宋体" w:hAnsi="宋体" w:cs="宋体"/>
              </w:rPr>
            </w:pPr>
          </w:p>
        </w:tc>
        <w:tc>
          <w:tcPr>
            <w:tcW w:w="1100" w:type="dxa"/>
            <w:vMerge w:val="continue"/>
            <w:vAlign w:val="center"/>
          </w:tcPr>
          <w:p>
            <w:pPr>
              <w:jc w:val="left"/>
              <w:rPr>
                <w:rFonts w:ascii="宋体" w:hAnsi="宋体" w:cs="宋体"/>
              </w:rPr>
            </w:pPr>
          </w:p>
        </w:tc>
        <w:tc>
          <w:tcPr>
            <w:tcW w:w="1025" w:type="dxa"/>
            <w:vMerge w:val="restart"/>
            <w:vAlign w:val="center"/>
          </w:tcPr>
          <w:p>
            <w:pPr>
              <w:jc w:val="center"/>
              <w:rPr>
                <w:rFonts w:ascii="宋体" w:hAnsi="宋体" w:cs="宋体"/>
              </w:rPr>
            </w:pPr>
            <w:r>
              <w:rPr>
                <w:rFonts w:hint="eastAsia" w:ascii="宋体" w:hAnsi="宋体" w:cs="宋体"/>
              </w:rPr>
              <w:t>拟投入本项目的管理班子</w:t>
            </w:r>
          </w:p>
          <w:p>
            <w:pPr>
              <w:jc w:val="center"/>
              <w:rPr>
                <w:rFonts w:ascii="宋体" w:hAnsi="宋体" w:cs="宋体"/>
              </w:rPr>
            </w:pPr>
            <w:r>
              <w:rPr>
                <w:rFonts w:hint="eastAsia" w:ascii="宋体" w:hAnsi="宋体" w:cs="宋体"/>
              </w:rPr>
              <w:t>（15分）</w:t>
            </w:r>
          </w:p>
        </w:tc>
        <w:tc>
          <w:tcPr>
            <w:tcW w:w="7521" w:type="dxa"/>
          </w:tcPr>
          <w:p>
            <w:pPr>
              <w:jc w:val="left"/>
              <w:rPr>
                <w:rFonts w:ascii="宋体" w:hAnsi="宋体" w:cs="宋体"/>
                <w:b/>
                <w:bCs/>
                <w:szCs w:val="21"/>
              </w:rPr>
            </w:pPr>
            <w:r>
              <w:rPr>
                <w:rFonts w:hint="eastAsia" w:ascii="宋体" w:hAnsi="宋体" w:cs="宋体"/>
                <w:b/>
                <w:bCs/>
                <w:szCs w:val="21"/>
              </w:rPr>
              <w:t>项目负责人：</w:t>
            </w:r>
          </w:p>
          <w:p>
            <w:pPr>
              <w:jc w:val="left"/>
              <w:rPr>
                <w:rFonts w:ascii="宋体" w:hAnsi="宋体" w:cs="宋体"/>
                <w:szCs w:val="21"/>
              </w:rPr>
            </w:pPr>
            <w:r>
              <w:rPr>
                <w:rFonts w:hint="eastAsia" w:ascii="宋体" w:hAnsi="宋体" w:cs="宋体"/>
                <w:szCs w:val="21"/>
              </w:rPr>
              <w:t>具有建设行政主管部门或其委托的机构、行业协会颁发的检测员证或检测鉴定培训合格证，且满足以下条件：</w:t>
            </w:r>
          </w:p>
          <w:p>
            <w:pPr>
              <w:jc w:val="left"/>
              <w:rPr>
                <w:rFonts w:ascii="宋体" w:hAnsi="宋体" w:cs="宋体"/>
                <w:szCs w:val="21"/>
              </w:rPr>
            </w:pPr>
            <w:r>
              <w:rPr>
                <w:rFonts w:hint="eastAsia" w:ascii="宋体" w:hAnsi="宋体" w:cs="宋体"/>
                <w:szCs w:val="21"/>
              </w:rPr>
              <w:t>（1）具有工程类专业正（教授级）高级工程师职称的得3分，高级工程师职称得1分；</w:t>
            </w:r>
          </w:p>
          <w:p>
            <w:pPr>
              <w:jc w:val="left"/>
              <w:rPr>
                <w:rFonts w:ascii="宋体" w:hAnsi="宋体" w:cs="宋体"/>
                <w:szCs w:val="21"/>
              </w:rPr>
            </w:pPr>
            <w:r>
              <w:rPr>
                <w:rFonts w:hint="eastAsia" w:ascii="宋体" w:hAnsi="宋体" w:cs="宋体"/>
                <w:szCs w:val="21"/>
              </w:rPr>
              <w:t>（2）具有注册土木工程师（岩土）执业资格证书的，且注册单位为投标单位，得3分；</w:t>
            </w:r>
          </w:p>
          <w:p>
            <w:pPr>
              <w:jc w:val="left"/>
              <w:rPr>
                <w:rFonts w:ascii="宋体" w:hAnsi="宋体" w:cs="宋体"/>
                <w:szCs w:val="21"/>
              </w:rPr>
            </w:pPr>
            <w:r>
              <w:rPr>
                <w:rFonts w:hint="eastAsia" w:ascii="宋体" w:hAnsi="宋体" w:cs="宋体"/>
                <w:szCs w:val="21"/>
              </w:rPr>
              <w:t>（3）具有一级注册结构工程师执业资格证书且注册单位为投标单位的得3分，具有二级注册结构工程师执业资格证书且注册单位为投标单位的得1分；</w:t>
            </w:r>
          </w:p>
          <w:p>
            <w:pPr>
              <w:jc w:val="left"/>
            </w:pPr>
            <w:r>
              <w:rPr>
                <w:rFonts w:hint="eastAsia" w:ascii="宋体" w:hAnsi="宋体" w:cs="宋体"/>
                <w:szCs w:val="21"/>
              </w:rPr>
              <w:t>本项最高得9分。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58" w:type="dxa"/>
            <w:vMerge w:val="continue"/>
            <w:vAlign w:val="center"/>
          </w:tcPr>
          <w:p>
            <w:pPr>
              <w:jc w:val="left"/>
              <w:rPr>
                <w:rFonts w:ascii="宋体" w:hAnsi="宋体" w:cs="宋体"/>
              </w:rPr>
            </w:pPr>
          </w:p>
        </w:tc>
        <w:tc>
          <w:tcPr>
            <w:tcW w:w="1100" w:type="dxa"/>
            <w:vMerge w:val="continue"/>
            <w:vAlign w:val="center"/>
          </w:tcPr>
          <w:p>
            <w:pPr>
              <w:jc w:val="left"/>
              <w:rPr>
                <w:rFonts w:ascii="宋体" w:hAnsi="宋体" w:cs="宋体"/>
              </w:rPr>
            </w:pPr>
          </w:p>
        </w:tc>
        <w:tc>
          <w:tcPr>
            <w:tcW w:w="1025" w:type="dxa"/>
            <w:vMerge w:val="continue"/>
            <w:vAlign w:val="center"/>
          </w:tcPr>
          <w:p>
            <w:pPr>
              <w:pStyle w:val="58"/>
              <w:jc w:val="center"/>
              <w:rPr>
                <w:rFonts w:ascii="宋体" w:hAnsi="宋体" w:cs="宋体"/>
                <w:sz w:val="18"/>
                <w:szCs w:val="18"/>
              </w:rPr>
            </w:pPr>
          </w:p>
        </w:tc>
        <w:tc>
          <w:tcPr>
            <w:tcW w:w="7521" w:type="dxa"/>
          </w:tcPr>
          <w:p>
            <w:pPr>
              <w:jc w:val="left"/>
              <w:rPr>
                <w:rFonts w:ascii="宋体" w:hAnsi="宋体" w:cs="宋体"/>
                <w:b/>
                <w:bCs/>
                <w:szCs w:val="21"/>
              </w:rPr>
            </w:pPr>
            <w:r>
              <w:rPr>
                <w:rFonts w:hint="eastAsia" w:ascii="宋体" w:hAnsi="宋体" w:cs="宋体"/>
                <w:b/>
                <w:bCs/>
                <w:szCs w:val="21"/>
              </w:rPr>
              <w:t>主要技术人员：</w:t>
            </w:r>
          </w:p>
          <w:p>
            <w:pPr>
              <w:jc w:val="left"/>
              <w:rPr>
                <w:rFonts w:ascii="宋体" w:hAnsi="宋体" w:cs="宋体"/>
                <w:szCs w:val="21"/>
              </w:rPr>
            </w:pPr>
            <w:r>
              <w:rPr>
                <w:rFonts w:ascii="宋体" w:hAnsi="宋体" w:cs="宋体"/>
                <w:szCs w:val="21"/>
              </w:rPr>
              <w:t>1</w:t>
            </w:r>
            <w:r>
              <w:rPr>
                <w:rFonts w:hint="eastAsia" w:ascii="宋体" w:hAnsi="宋体" w:cs="宋体"/>
                <w:szCs w:val="21"/>
              </w:rPr>
              <w:t>、主要技术人员（不含项目负责人）具有相关检测项目（至少一项）上岗证且具有高级工程师或以上职称，每人得</w:t>
            </w:r>
            <w:r>
              <w:rPr>
                <w:rFonts w:ascii="宋体" w:hAnsi="宋体" w:cs="宋体"/>
                <w:szCs w:val="21"/>
              </w:rPr>
              <w:t>1</w:t>
            </w:r>
            <w:r>
              <w:rPr>
                <w:rFonts w:hint="eastAsia" w:ascii="宋体" w:hAnsi="宋体" w:cs="宋体"/>
                <w:szCs w:val="21"/>
              </w:rPr>
              <w:t>分；</w:t>
            </w:r>
          </w:p>
          <w:p>
            <w:pPr>
              <w:jc w:val="left"/>
              <w:rPr>
                <w:rFonts w:ascii="宋体" w:hAnsi="宋体" w:cs="宋体"/>
                <w:szCs w:val="21"/>
              </w:rPr>
            </w:pPr>
            <w:r>
              <w:rPr>
                <w:rFonts w:ascii="宋体" w:hAnsi="宋体" w:cs="宋体"/>
                <w:szCs w:val="21"/>
              </w:rPr>
              <w:t>2</w:t>
            </w:r>
            <w:r>
              <w:rPr>
                <w:rFonts w:hint="eastAsia" w:ascii="宋体" w:hAnsi="宋体" w:cs="宋体"/>
                <w:szCs w:val="21"/>
              </w:rPr>
              <w:t>、主要技术人员（不含项目负责人）具有相关检测项目（至少一项）上岗证且具有中级工程师职称的，每人得</w:t>
            </w:r>
            <w:r>
              <w:rPr>
                <w:rFonts w:ascii="宋体" w:hAnsi="宋体" w:cs="宋体"/>
                <w:szCs w:val="21"/>
              </w:rPr>
              <w:t>0.5</w:t>
            </w:r>
            <w:r>
              <w:rPr>
                <w:rFonts w:hint="eastAsia" w:ascii="宋体" w:hAnsi="宋体" w:cs="宋体"/>
                <w:szCs w:val="21"/>
              </w:rPr>
              <w:t>分；</w:t>
            </w:r>
          </w:p>
          <w:p>
            <w:pPr>
              <w:jc w:val="left"/>
              <w:rPr>
                <w:rFonts w:ascii="宋体" w:hAnsi="宋体" w:cs="宋体"/>
                <w:szCs w:val="21"/>
              </w:rPr>
            </w:pPr>
            <w:r>
              <w:rPr>
                <w:rFonts w:ascii="宋体" w:hAnsi="宋体" w:cs="宋体"/>
                <w:szCs w:val="21"/>
              </w:rPr>
              <w:t>3</w:t>
            </w:r>
            <w:r>
              <w:rPr>
                <w:rFonts w:hint="eastAsia" w:ascii="宋体" w:hAnsi="宋体" w:cs="宋体"/>
                <w:szCs w:val="21"/>
              </w:rPr>
              <w:t>、主要技术人员（不含项目负责人）具有相关检测项目（至少一项）上岗证且具有助理工程师职称的，每人得</w:t>
            </w:r>
            <w:r>
              <w:rPr>
                <w:rFonts w:ascii="宋体" w:hAnsi="宋体" w:cs="宋体"/>
                <w:szCs w:val="21"/>
              </w:rPr>
              <w:t>0.25</w:t>
            </w:r>
            <w:r>
              <w:rPr>
                <w:rFonts w:hint="eastAsia" w:ascii="宋体" w:hAnsi="宋体" w:cs="宋体"/>
                <w:szCs w:val="21"/>
              </w:rPr>
              <w:t>分；</w:t>
            </w:r>
          </w:p>
          <w:p>
            <w:pPr>
              <w:jc w:val="left"/>
              <w:rPr>
                <w:rFonts w:ascii="宋体" w:hAnsi="宋体" w:cs="宋体"/>
              </w:rPr>
            </w:pPr>
            <w:r>
              <w:rPr>
                <w:rFonts w:hint="eastAsia" w:ascii="宋体" w:hAnsi="宋体" w:cs="宋体"/>
                <w:szCs w:val="21"/>
              </w:rPr>
              <w:t>本项最多得6分，同一人以最高职称计算。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8" w:type="dxa"/>
            <w:vAlign w:val="center"/>
          </w:tcPr>
          <w:p>
            <w:pPr>
              <w:jc w:val="left"/>
              <w:rPr>
                <w:rFonts w:ascii="宋体" w:hAnsi="宋体" w:cs="宋体"/>
              </w:rPr>
            </w:pPr>
            <w:r>
              <w:rPr>
                <w:rFonts w:hint="eastAsia" w:ascii="宋体" w:hAnsi="宋体" w:cs="宋体"/>
              </w:rPr>
              <w:t>2.2.4（2）</w:t>
            </w:r>
          </w:p>
        </w:tc>
        <w:tc>
          <w:tcPr>
            <w:tcW w:w="1100" w:type="dxa"/>
            <w:vAlign w:val="center"/>
          </w:tcPr>
          <w:p>
            <w:pPr>
              <w:jc w:val="left"/>
              <w:rPr>
                <w:rFonts w:ascii="宋体" w:hAnsi="宋体" w:cs="宋体"/>
              </w:rPr>
            </w:pPr>
            <w:r>
              <w:rPr>
                <w:rFonts w:hint="eastAsia" w:ascii="宋体" w:hAnsi="宋体"/>
                <w:szCs w:val="21"/>
              </w:rPr>
              <w:t>技术方案评分标准（20分）</w:t>
            </w:r>
          </w:p>
        </w:tc>
        <w:tc>
          <w:tcPr>
            <w:tcW w:w="1025" w:type="dxa"/>
            <w:vAlign w:val="center"/>
          </w:tcPr>
          <w:p>
            <w:pPr>
              <w:pStyle w:val="58"/>
              <w:jc w:val="center"/>
              <w:rPr>
                <w:rFonts w:ascii="宋体" w:hAnsi="宋体" w:cs="宋体"/>
                <w:sz w:val="18"/>
                <w:szCs w:val="18"/>
              </w:rPr>
            </w:pPr>
            <w:r>
              <w:rPr>
                <w:rFonts w:hint="eastAsia" w:ascii="宋体" w:hAnsi="宋体" w:cs="宋体"/>
                <w:szCs w:val="21"/>
              </w:rPr>
              <w:t>检测方案（</w:t>
            </w:r>
            <w:r>
              <w:rPr>
                <w:rFonts w:hint="eastAsia" w:ascii="宋体" w:hAnsi="宋体"/>
                <w:szCs w:val="21"/>
              </w:rPr>
              <w:t>20</w:t>
            </w:r>
            <w:r>
              <w:rPr>
                <w:rFonts w:hint="eastAsia" w:ascii="宋体" w:hAnsi="宋体" w:cs="宋体"/>
                <w:szCs w:val="21"/>
              </w:rPr>
              <w:t>分）</w:t>
            </w:r>
          </w:p>
        </w:tc>
        <w:tc>
          <w:tcPr>
            <w:tcW w:w="7521" w:type="dxa"/>
          </w:tcPr>
          <w:p>
            <w:pPr>
              <w:jc w:val="left"/>
              <w:rPr>
                <w:rFonts w:ascii="宋体" w:hAnsi="宋体" w:cs="宋体"/>
                <w:kern w:val="0"/>
                <w:szCs w:val="21"/>
              </w:rPr>
            </w:pPr>
            <w:r>
              <w:rPr>
                <w:rFonts w:hint="eastAsia" w:ascii="宋体" w:hAnsi="宋体" w:cs="宋体"/>
                <w:kern w:val="0"/>
                <w:szCs w:val="21"/>
              </w:rPr>
              <w:t>投标人方案横向比较：</w:t>
            </w:r>
          </w:p>
          <w:p>
            <w:pPr>
              <w:jc w:val="left"/>
              <w:rPr>
                <w:rFonts w:ascii="宋体" w:hAnsi="宋体" w:cs="宋体"/>
                <w:kern w:val="0"/>
                <w:szCs w:val="21"/>
              </w:rPr>
            </w:pPr>
            <w:r>
              <w:rPr>
                <w:rFonts w:hint="eastAsia" w:ascii="宋体" w:hAnsi="宋体" w:cs="宋体"/>
                <w:kern w:val="0"/>
                <w:szCs w:val="21"/>
              </w:rPr>
              <w:t>优：检测方案详细、具体，内容齐全，能满足本工程提出的所有项目，有合理可行的保证通过相关验收、满足工程进度确保措施，得(15-20]分；</w:t>
            </w:r>
          </w:p>
          <w:p>
            <w:pPr>
              <w:jc w:val="left"/>
              <w:rPr>
                <w:rFonts w:ascii="宋体" w:hAnsi="宋体" w:cs="宋体"/>
                <w:kern w:val="0"/>
                <w:szCs w:val="21"/>
              </w:rPr>
            </w:pPr>
            <w:r>
              <w:rPr>
                <w:rFonts w:hint="eastAsia" w:ascii="宋体" w:hAnsi="宋体" w:cs="宋体"/>
                <w:kern w:val="0"/>
                <w:szCs w:val="21"/>
              </w:rPr>
              <w:t>良：检测方案较详细、较具体，内容较齐全，有比较可行的保证通过相关验收、满足工程进度确保措施，得(10-15]分；</w:t>
            </w:r>
          </w:p>
          <w:p>
            <w:pPr>
              <w:jc w:val="left"/>
              <w:rPr>
                <w:rFonts w:ascii="宋体" w:hAnsi="宋体" w:cs="宋体"/>
                <w:kern w:val="0"/>
                <w:szCs w:val="21"/>
              </w:rPr>
            </w:pPr>
            <w:r>
              <w:rPr>
                <w:rFonts w:hint="eastAsia" w:ascii="宋体" w:hAnsi="宋体" w:cs="宋体"/>
                <w:kern w:val="0"/>
                <w:szCs w:val="21"/>
              </w:rPr>
              <w:t>中：检测方案基本内容满足要求，方法符合规范要求，有能通过相关验收、满足工程进度的确保措施，得(5-10]分；</w:t>
            </w:r>
          </w:p>
          <w:p>
            <w:pPr>
              <w:jc w:val="left"/>
              <w:rPr>
                <w:rFonts w:ascii="宋体" w:hAnsi="宋体" w:cs="宋体"/>
              </w:rPr>
            </w:pPr>
            <w:r>
              <w:rPr>
                <w:rFonts w:hint="eastAsia" w:ascii="宋体" w:hAnsi="宋体" w:cs="宋体"/>
                <w:kern w:val="0"/>
                <w:szCs w:val="21"/>
              </w:rPr>
              <w:t>差：检测方案基本内容阐述缺项，方法基本能满足检测要求</w:t>
            </w:r>
            <w:r>
              <w:rPr>
                <w:rStyle w:val="33"/>
                <w:rFonts w:hint="eastAsia"/>
                <w:lang w:val="en-US" w:eastAsia="zh-CN"/>
              </w:rPr>
              <w:t>的</w:t>
            </w:r>
            <w:r>
              <w:rPr>
                <w:rFonts w:hint="eastAsia" w:ascii="宋体" w:hAnsi="宋体" w:cs="宋体"/>
                <w:kern w:val="0"/>
                <w:szCs w:val="21"/>
              </w:rPr>
              <w:t>，得[0-5]分。</w:t>
            </w:r>
            <w:r>
              <w:rPr>
                <w:rFonts w:hint="eastAsia" w:ascii="宋体" w:hAnsi="宋体" w:cs="宋体"/>
                <w:szCs w:val="21"/>
                <w:lang w:val="en-US" w:eastAsia="zh-CN"/>
              </w:rPr>
              <w:t>注：</w:t>
            </w:r>
            <w:r>
              <w:rPr>
                <w:rFonts w:hint="eastAsia" w:ascii="宋体" w:hAnsi="宋体" w:cs="宋体"/>
                <w:szCs w:val="21"/>
              </w:rPr>
              <w:t>投标人的得分为各评委评分的算术平均</w:t>
            </w:r>
            <w:r>
              <w:rPr>
                <w:rFonts w:hint="eastAsia" w:ascii="宋体" w:hAnsi="宋体" w:cs="宋体"/>
                <w:szCs w:val="21"/>
                <w:lang w:val="en-US" w:eastAsia="zh-CN"/>
              </w:rPr>
              <w:t>分</w:t>
            </w:r>
            <w:r>
              <w:rPr>
                <w:rFonts w:hint="eastAsia" w:ascii="宋体" w:hAnsi="宋体" w:cs="宋体"/>
                <w:szCs w:val="21"/>
              </w:rPr>
              <w:t>，评分如出现小数点，则保留小数点后两位，第三位四舍五入。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8" w:type="dxa"/>
            <w:vMerge w:val="restart"/>
            <w:vAlign w:val="center"/>
          </w:tcPr>
          <w:p>
            <w:pPr>
              <w:jc w:val="center"/>
              <w:rPr>
                <w:rFonts w:ascii="宋体" w:hAnsi="宋体" w:cs="宋体"/>
              </w:rPr>
            </w:pPr>
            <w:r>
              <w:rPr>
                <w:rFonts w:hint="eastAsia" w:ascii="宋体" w:hAnsi="宋体" w:cs="宋体"/>
              </w:rPr>
              <w:t>2.2.4（3）</w:t>
            </w:r>
          </w:p>
        </w:tc>
        <w:tc>
          <w:tcPr>
            <w:tcW w:w="1100" w:type="dxa"/>
            <w:vMerge w:val="restart"/>
            <w:vAlign w:val="center"/>
          </w:tcPr>
          <w:p>
            <w:pPr>
              <w:jc w:val="center"/>
              <w:rPr>
                <w:rFonts w:hint="eastAsia" w:ascii="宋体" w:hAnsi="宋体" w:eastAsia="宋体" w:cs="宋体"/>
                <w:lang w:eastAsia="zh-CN"/>
              </w:rPr>
            </w:pPr>
            <w:r>
              <w:rPr>
                <w:rFonts w:hint="eastAsia" w:ascii="宋体" w:hAnsi="宋体" w:cs="宋体"/>
              </w:rPr>
              <w:t>投标报价评分标准（</w:t>
            </w:r>
            <w:r>
              <w:rPr>
                <w:rFonts w:hint="eastAsia" w:ascii="宋体" w:hAnsi="宋体" w:cs="宋体"/>
                <w:lang w:val="en-US" w:eastAsia="zh-CN"/>
              </w:rPr>
              <w:t>10</w:t>
            </w:r>
            <w:r>
              <w:rPr>
                <w:rFonts w:hint="eastAsia" w:ascii="宋体" w:hAnsi="宋体" w:cs="宋体"/>
              </w:rPr>
              <w:t>分</w:t>
            </w:r>
            <w:r>
              <w:rPr>
                <w:rFonts w:hint="eastAsia" w:ascii="宋体" w:hAnsi="宋体" w:cs="宋体"/>
                <w:lang w:eastAsia="zh-CN"/>
              </w:rPr>
              <w:t>）</w:t>
            </w:r>
          </w:p>
        </w:tc>
        <w:tc>
          <w:tcPr>
            <w:tcW w:w="1025" w:type="dxa"/>
            <w:vAlign w:val="center"/>
          </w:tcPr>
          <w:p>
            <w:pPr>
              <w:spacing w:line="280" w:lineRule="exact"/>
              <w:jc w:val="center"/>
              <w:rPr>
                <w:rFonts w:ascii="宋体" w:hAnsi="宋体" w:cs="宋体"/>
              </w:rPr>
            </w:pPr>
            <w:r>
              <w:rPr>
                <w:rFonts w:hint="eastAsia" w:ascii="宋体" w:hAnsi="宋体" w:cs="宋体"/>
                <w:szCs w:val="21"/>
              </w:rPr>
              <w:t>偏差率</w:t>
            </w:r>
          </w:p>
        </w:tc>
        <w:tc>
          <w:tcPr>
            <w:tcW w:w="7521" w:type="dxa"/>
            <w:vAlign w:val="center"/>
          </w:tcPr>
          <w:p>
            <w:pPr>
              <w:adjustRightInd w:val="0"/>
              <w:spacing w:line="280" w:lineRule="exact"/>
              <w:ind w:right="65" w:rightChars="31"/>
              <w:rPr>
                <w:rFonts w:ascii="宋体" w:hAnsi="宋体" w:cs="宋体"/>
                <w:szCs w:val="21"/>
              </w:rPr>
            </w:pPr>
            <w:r>
              <w:rPr>
                <w:rFonts w:hint="eastAsia" w:ascii="宋体" w:hAnsi="宋体"/>
                <w:szCs w:val="21"/>
              </w:rPr>
              <w:t>偏差率=100% ×|投标人报价-</w:t>
            </w:r>
            <w:r>
              <w:rPr>
                <w:rFonts w:hint="eastAsia" w:ascii="宋体" w:hAnsi="宋体"/>
                <w:szCs w:val="21"/>
                <w:lang w:eastAsia="zh-CN"/>
              </w:rPr>
              <w:t>评标基准价</w:t>
            </w:r>
            <w:r>
              <w:rPr>
                <w:rFonts w:hint="eastAsia" w:ascii="宋体" w:hAnsi="宋体"/>
                <w:szCs w:val="21"/>
              </w:rPr>
              <w:t>|/</w:t>
            </w:r>
            <w:r>
              <w:rPr>
                <w:rFonts w:hint="eastAsia" w:ascii="宋体" w:hAnsi="宋体"/>
                <w:szCs w:val="21"/>
                <w:lang w:eastAsia="zh-CN"/>
              </w:rPr>
              <w:t>评标基准价</w:t>
            </w:r>
            <w:r>
              <w:rPr>
                <w:rFonts w:hint="eastAsia" w:ascii="宋体" w:hAnsi="宋体"/>
                <w:szCs w:val="21"/>
              </w:rPr>
              <w:t>（偏差率出现小数点时，保留小数点后2位，第三位小数四舍五入；报价偏差率不足1%的，按直线内插法计算投标报价得分。）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658" w:type="dxa"/>
            <w:vMerge w:val="continue"/>
            <w:vAlign w:val="center"/>
          </w:tcPr>
          <w:p>
            <w:pPr>
              <w:jc w:val="center"/>
              <w:rPr>
                <w:rFonts w:ascii="宋体" w:hAnsi="宋体" w:cs="宋体"/>
              </w:rPr>
            </w:pPr>
          </w:p>
        </w:tc>
        <w:tc>
          <w:tcPr>
            <w:tcW w:w="1100" w:type="dxa"/>
            <w:vMerge w:val="continue"/>
            <w:vAlign w:val="center"/>
          </w:tcPr>
          <w:p>
            <w:pPr>
              <w:jc w:val="center"/>
              <w:rPr>
                <w:rFonts w:ascii="宋体" w:hAnsi="宋体" w:cs="宋体"/>
              </w:rPr>
            </w:pPr>
          </w:p>
        </w:tc>
        <w:tc>
          <w:tcPr>
            <w:tcW w:w="1025" w:type="dxa"/>
            <w:vAlign w:val="center"/>
          </w:tcPr>
          <w:p>
            <w:pPr>
              <w:jc w:val="center"/>
              <w:rPr>
                <w:rFonts w:ascii="宋体" w:hAnsi="宋体" w:cs="宋体"/>
                <w:szCs w:val="21"/>
              </w:rPr>
            </w:pPr>
            <w:r>
              <w:rPr>
                <w:rFonts w:hint="eastAsia" w:ascii="宋体" w:hAnsi="宋体" w:cs="宋体"/>
                <w:szCs w:val="21"/>
              </w:rPr>
              <w:t>计算</w:t>
            </w:r>
          </w:p>
          <w:p>
            <w:pPr>
              <w:jc w:val="center"/>
              <w:rPr>
                <w:rFonts w:ascii="宋体" w:hAnsi="宋体" w:cs="宋体"/>
              </w:rPr>
            </w:pPr>
            <w:r>
              <w:rPr>
                <w:rFonts w:hint="eastAsia" w:ascii="宋体" w:hAnsi="宋体" w:cs="宋体"/>
                <w:szCs w:val="21"/>
              </w:rPr>
              <w:t>方法</w:t>
            </w:r>
          </w:p>
        </w:tc>
        <w:tc>
          <w:tcPr>
            <w:tcW w:w="7521" w:type="dxa"/>
            <w:vAlign w:val="center"/>
          </w:tcPr>
          <w:p>
            <w:pPr>
              <w:spacing w:line="406" w:lineRule="exact"/>
              <w:ind w:left="27" w:leftChars="13"/>
              <w:rPr>
                <w:rFonts w:hint="eastAsia" w:ascii="宋体" w:hAnsi="宋体" w:cs="宋体"/>
                <w:szCs w:val="21"/>
              </w:rPr>
            </w:pPr>
            <w:r>
              <w:rPr>
                <w:rFonts w:hint="eastAsia" w:ascii="宋体" w:hAnsi="宋体" w:cs="宋体"/>
                <w:szCs w:val="21"/>
              </w:rPr>
              <w:t>投标报价得分以</w:t>
            </w:r>
            <w:r>
              <w:rPr>
                <w:rFonts w:hint="eastAsia" w:ascii="宋体" w:hAnsi="宋体" w:cs="宋体"/>
                <w:szCs w:val="21"/>
                <w:lang w:eastAsia="zh-CN"/>
              </w:rPr>
              <w:t>评标基准价</w:t>
            </w:r>
            <w:r>
              <w:rPr>
                <w:rFonts w:hint="eastAsia" w:ascii="宋体" w:hAnsi="宋体" w:cs="宋体"/>
                <w:szCs w:val="21"/>
              </w:rPr>
              <w:t>作为计算各有效投标价得分的基础，当有效投标价等于</w:t>
            </w:r>
            <w:r>
              <w:rPr>
                <w:rFonts w:hint="eastAsia" w:ascii="宋体" w:hAnsi="宋体" w:cs="宋体"/>
                <w:szCs w:val="21"/>
                <w:lang w:eastAsia="zh-CN"/>
              </w:rPr>
              <w:t>评标基准价</w:t>
            </w:r>
            <w:r>
              <w:rPr>
                <w:rFonts w:hint="eastAsia" w:ascii="宋体" w:hAnsi="宋体" w:cs="宋体"/>
                <w:szCs w:val="21"/>
              </w:rPr>
              <w:t>时得</w:t>
            </w:r>
            <w:r>
              <w:rPr>
                <w:rFonts w:hint="eastAsia" w:ascii="宋体" w:hAnsi="宋体" w:cs="宋体"/>
                <w:szCs w:val="21"/>
                <w:lang w:val="en-US" w:eastAsia="zh-CN"/>
              </w:rPr>
              <w:t>10</w:t>
            </w:r>
            <w:r>
              <w:rPr>
                <w:rFonts w:hint="eastAsia" w:ascii="宋体" w:hAnsi="宋体" w:cs="宋体"/>
                <w:szCs w:val="21"/>
              </w:rPr>
              <w:t>分；投标有效投价与</w:t>
            </w:r>
            <w:r>
              <w:rPr>
                <w:rFonts w:hint="eastAsia" w:ascii="宋体" w:hAnsi="宋体" w:cs="宋体"/>
                <w:szCs w:val="21"/>
                <w:lang w:eastAsia="zh-CN"/>
              </w:rPr>
              <w:t>评标基准价</w:t>
            </w:r>
            <w:r>
              <w:rPr>
                <w:rFonts w:hint="eastAsia" w:ascii="宋体" w:hAnsi="宋体" w:cs="宋体"/>
                <w:szCs w:val="21"/>
              </w:rPr>
              <w:t>相比，每上偏</w:t>
            </w:r>
            <w:r>
              <w:rPr>
                <w:rFonts w:hint="eastAsia" w:ascii="宋体" w:hAnsi="宋体" w:cs="宋体"/>
                <w:szCs w:val="21"/>
                <w:lang w:val="en-US" w:eastAsia="zh-CN"/>
              </w:rPr>
              <w:t>1</w:t>
            </w:r>
            <w:r>
              <w:rPr>
                <w:rFonts w:hint="eastAsia" w:ascii="宋体" w:hAnsi="宋体" w:cs="宋体"/>
                <w:szCs w:val="21"/>
              </w:rPr>
              <w:t>%扣0.5分，每下偏1%扣0.</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color w:val="auto"/>
                <w:sz w:val="21"/>
                <w:szCs w:val="21"/>
                <w:highlight w:val="none"/>
                <w:lang w:eastAsia="zh-CN" w:bidi="ar"/>
              </w:rPr>
              <w:t>最多扣10分</w:t>
            </w:r>
            <w:r>
              <w:rPr>
                <w:rFonts w:hint="eastAsia" w:ascii="宋体" w:hAnsi="宋体" w:eastAsia="宋体" w:cs="宋体"/>
                <w:color w:val="auto"/>
                <w:sz w:val="21"/>
                <w:szCs w:val="21"/>
                <w:highlight w:val="none"/>
              </w:rPr>
              <w:t>。</w:t>
            </w:r>
          </w:p>
          <w:p>
            <w:pPr>
              <w:spacing w:line="406" w:lineRule="exact"/>
              <w:ind w:left="27" w:leftChars="13"/>
              <w:rPr>
                <w:rFonts w:hint="eastAsia" w:ascii="宋体" w:hAnsi="宋体" w:cs="宋体"/>
                <w:szCs w:val="21"/>
              </w:rPr>
            </w:pPr>
            <w:r>
              <w:rPr>
                <w:rFonts w:hint="eastAsia" w:ascii="宋体" w:hAnsi="宋体" w:cs="宋体"/>
                <w:szCs w:val="21"/>
              </w:rPr>
              <w:t>注：（1）当通过初步评审在位于[最高投标限价×90%，最高投标限价]区间的投标价中的有效投标人大于或等于5名时，所有入围的有效投标价中去掉一个最高价和一个最低价，取余下有效投标价的算术平均值的作为</w:t>
            </w:r>
            <w:r>
              <w:rPr>
                <w:rFonts w:hint="eastAsia" w:ascii="宋体" w:hAnsi="宋体" w:cs="宋体"/>
                <w:szCs w:val="21"/>
                <w:lang w:eastAsia="zh-CN"/>
              </w:rPr>
              <w:t>评标基准价</w:t>
            </w:r>
            <w:r>
              <w:rPr>
                <w:rFonts w:hint="eastAsia" w:ascii="宋体" w:hAnsi="宋体" w:cs="宋体"/>
                <w:szCs w:val="21"/>
              </w:rPr>
              <w:t>。当通过初步评审在位于[最高投标限价×90%，最高投标限价]区间的投标价中的有效投标人小于5名时，取所有入围的有效投标价的算术平均值的作为</w:t>
            </w:r>
            <w:r>
              <w:rPr>
                <w:rFonts w:hint="eastAsia" w:ascii="宋体" w:hAnsi="宋体" w:cs="宋体"/>
                <w:szCs w:val="21"/>
                <w:lang w:eastAsia="zh-CN"/>
              </w:rPr>
              <w:t>评标基准价</w:t>
            </w:r>
            <w:r>
              <w:rPr>
                <w:rFonts w:hint="eastAsia" w:ascii="宋体" w:hAnsi="宋体" w:cs="宋体"/>
                <w:szCs w:val="21"/>
              </w:rPr>
              <w:t>。若当通过初步评审没有投标价位于[最高投标限价×90%，最高投标限价]区间的有效投标人，所有投标人的报价得分为0分。</w:t>
            </w:r>
          </w:p>
          <w:p>
            <w:pPr>
              <w:jc w:val="left"/>
              <w:rPr>
                <w:rFonts w:ascii="宋体" w:hAnsi="宋体" w:cs="宋体"/>
                <w:szCs w:val="21"/>
              </w:rPr>
            </w:pPr>
            <w:r>
              <w:rPr>
                <w:rFonts w:hint="eastAsia" w:ascii="宋体" w:hAnsi="宋体" w:cs="宋体"/>
                <w:szCs w:val="21"/>
              </w:rPr>
              <w:t>（2）投标人的得分为各评委评分的算术平均值，评分如出现小数点，则保留小数点后两位，第三位四舍五入。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658" w:type="dxa"/>
            <w:vAlign w:val="center"/>
          </w:tcPr>
          <w:p>
            <w:pPr>
              <w:shd w:val="clear" w:color="auto" w:fill="auto"/>
              <w:snapToGrid w:val="0"/>
              <w:spacing w:beforeLines="0" w:afterLines="0" w:line="312" w:lineRule="auto"/>
              <w:rPr>
                <w:rFonts w:ascii="宋体" w:hAnsi="宋体" w:cs="宋体"/>
              </w:rPr>
            </w:pPr>
            <w:r>
              <w:rPr>
                <w:rFonts w:hint="eastAsia" w:ascii="宋体" w:hAnsi="宋体" w:eastAsia="宋体" w:cs="宋体"/>
                <w:color w:val="auto"/>
                <w:sz w:val="21"/>
                <w:szCs w:val="21"/>
                <w:highlight w:val="none"/>
                <w:lang w:bidi="ar"/>
              </w:rPr>
              <w:t>2.2.4（4）</w:t>
            </w:r>
          </w:p>
        </w:tc>
        <w:tc>
          <w:tcPr>
            <w:tcW w:w="1100" w:type="dxa"/>
            <w:vAlign w:val="center"/>
          </w:tcPr>
          <w:p>
            <w:pPr>
              <w:snapToGrid w:val="0"/>
              <w:spacing w:beforeLines="0" w:afterLines="0" w:line="312" w:lineRule="auto"/>
              <w:ind w:left="-107" w:leftChars="-51" w:right="-107" w:righ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其他因素评分标准</w:t>
            </w:r>
          </w:p>
          <w:p>
            <w:pPr>
              <w:snapToGrid w:val="0"/>
              <w:spacing w:beforeLines="0" w:afterLines="0" w:line="312" w:lineRule="auto"/>
              <w:ind w:left="-107" w:leftChars="-51" w:right="-107" w:rightChars="-51"/>
              <w:jc w:val="center"/>
              <w:rPr>
                <w:rFonts w:ascii="宋体" w:hAnsi="宋体" w:cs="宋体"/>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025" w:type="dxa"/>
            <w:vAlign w:val="center"/>
          </w:tcPr>
          <w:p>
            <w:pPr>
              <w:shd w:val="clear" w:color="auto" w:fill="auto"/>
              <w:snapToGrid w:val="0"/>
              <w:spacing w:beforeLines="0" w:afterLines="0" w:line="312" w:lineRule="auto"/>
              <w:ind w:hanging="3" w:firstLineChars="0"/>
              <w:jc w:val="center"/>
              <w:rPr>
                <w:rFonts w:hint="eastAsia" w:ascii="宋体" w:hAnsi="宋体" w:cs="宋体"/>
                <w:szCs w:val="21"/>
              </w:rPr>
            </w:pPr>
            <w:r>
              <w:rPr>
                <w:rFonts w:hint="eastAsia" w:ascii="宋体" w:hAnsi="宋体" w:eastAsia="宋体" w:cs="宋体"/>
                <w:color w:val="auto"/>
                <w:sz w:val="21"/>
                <w:szCs w:val="21"/>
                <w:highlight w:val="none"/>
                <w:lang w:bidi="ar"/>
              </w:rPr>
              <w:t>投标人诚信得分</w:t>
            </w:r>
          </w:p>
        </w:tc>
        <w:tc>
          <w:tcPr>
            <w:tcW w:w="7521" w:type="dxa"/>
            <w:vAlign w:val="center"/>
          </w:tcPr>
          <w:p>
            <w:pPr>
              <w:shd w:val="clear" w:color="auto" w:fill="auto"/>
              <w:snapToGrid w:val="0"/>
              <w:spacing w:beforeLines="0" w:afterLines="0" w:line="312"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投标人诚信得分=诚信综合评价得分×10%。</w:t>
            </w:r>
          </w:p>
          <w:p>
            <w:pPr>
              <w:shd w:val="clear" w:color="auto" w:fill="auto"/>
              <w:snapToGrid w:val="0"/>
              <w:spacing w:beforeLines="0" w:afterLines="0" w:line="312" w:lineRule="auto"/>
              <w:rPr>
                <w:rFonts w:hint="eastAsia" w:ascii="宋体" w:hAnsi="宋体" w:cs="宋体"/>
                <w:szCs w:val="21"/>
              </w:rPr>
            </w:pPr>
            <w:r>
              <w:rPr>
                <w:rFonts w:hint="eastAsia" w:ascii="宋体" w:hAnsi="宋体" w:eastAsia="宋体" w:cs="宋体"/>
                <w:color w:val="auto"/>
                <w:sz w:val="21"/>
                <w:szCs w:val="21"/>
                <w:highlight w:val="none"/>
                <w:u w:val="single"/>
                <w:lang w:bidi="ar"/>
              </w:rPr>
              <w:t>诚信综合评价得分以投标截止时间当日广州公共资源交易中心网站信用信息专栏上公布的检测机构60日诚信分为准。未获诚信综合评价的不得分。（诚信综合评价得分查询路径：http://www.gzggzy.cn/html/xyxx/）</w:t>
            </w:r>
            <w:r>
              <w:rPr>
                <w:rFonts w:hint="eastAsia" w:ascii="宋体" w:hAnsi="宋体" w:eastAsia="宋体" w:cs="宋体"/>
                <w:b/>
                <w:bCs/>
                <w:color w:val="000000"/>
                <w:sz w:val="21"/>
                <w:szCs w:val="21"/>
                <w:highlight w:val="none"/>
              </w:rPr>
              <w:t>。</w:t>
            </w:r>
          </w:p>
        </w:tc>
      </w:tr>
    </w:tbl>
    <w:p>
      <w:pPr>
        <w:rPr>
          <w:rFonts w:ascii="宋体" w:hAnsi="宋体"/>
        </w:rPr>
      </w:pPr>
      <w:r>
        <w:rPr>
          <w:rFonts w:hint="eastAsia" w:ascii="宋体" w:hAnsi="宋体"/>
        </w:rPr>
        <w:t>备注：</w:t>
      </w:r>
    </w:p>
    <w:p>
      <w:pPr>
        <w:spacing w:line="276" w:lineRule="auto"/>
        <w:ind w:firstLine="420" w:firstLineChars="200"/>
        <w:rPr>
          <w:rFonts w:ascii="宋体" w:hAnsi="宋体" w:cs="宋体"/>
          <w:szCs w:val="21"/>
          <w:lang w:bidi="ar"/>
        </w:rPr>
      </w:pPr>
      <w:r>
        <w:rPr>
          <w:rFonts w:hint="eastAsia" w:ascii="宋体" w:hAnsi="宋体" w:cs="宋体"/>
          <w:szCs w:val="21"/>
          <w:lang w:bidi="ar"/>
        </w:rPr>
        <w:t>1、上表所述奖项、证书需提供有效证明材料，否则不得分。</w:t>
      </w:r>
    </w:p>
    <w:p>
      <w:pPr>
        <w:spacing w:line="276" w:lineRule="auto"/>
        <w:ind w:firstLine="420" w:firstLineChars="200"/>
        <w:rPr>
          <w:rFonts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、拟投入本项目人员：须提供其在本单位2023年</w:t>
      </w:r>
      <w:r>
        <w:rPr>
          <w:rFonts w:hint="eastAsia" w:ascii="宋体" w:hAnsi="宋体" w:cs="宋体"/>
          <w:szCs w:val="21"/>
          <w:lang w:val="en-US" w:eastAsia="zh-CN" w:bidi="ar"/>
        </w:rPr>
        <w:t>8</w:t>
      </w:r>
      <w:r>
        <w:rPr>
          <w:rFonts w:hint="eastAsia" w:ascii="宋体" w:hAnsi="宋体" w:cs="宋体"/>
          <w:szCs w:val="21"/>
          <w:lang w:bidi="ar"/>
        </w:rPr>
        <w:t>月的社保证明、职称证以及上岗证等扫描件，否则不得分。相关检测项目的上岗证是指涉及招标范围内的检测项目的上岗证。</w:t>
      </w:r>
    </w:p>
    <w:p>
      <w:pPr>
        <w:spacing w:line="276" w:lineRule="auto"/>
        <w:ind w:firstLine="420" w:firstLineChars="200"/>
      </w:pPr>
      <w:r>
        <w:rPr>
          <w:rFonts w:hint="eastAsia" w:ascii="宋体" w:hAnsi="宋体" w:cs="宋体"/>
          <w:szCs w:val="21"/>
          <w:lang w:val="en-US" w:eastAsia="zh-CN" w:bidi="ar"/>
        </w:rPr>
        <w:t>3</w:t>
      </w:r>
      <w:r>
        <w:rPr>
          <w:rFonts w:hint="eastAsia" w:ascii="宋体" w:hAnsi="宋体" w:cs="宋体"/>
          <w:szCs w:val="21"/>
          <w:lang w:bidi="ar"/>
        </w:rPr>
        <w:t>、</w:t>
      </w:r>
      <w:r>
        <w:rPr>
          <w:rFonts w:hint="eastAsia" w:ascii="宋体" w:hAnsi="宋体" w:cs="宋体"/>
          <w:szCs w:val="21"/>
        </w:rPr>
        <w:t>投标人的综合得分为各评委评分的算术平均</w:t>
      </w:r>
      <w:r>
        <w:rPr>
          <w:rFonts w:hint="eastAsia" w:ascii="宋体" w:hAnsi="宋体" w:cs="宋体"/>
          <w:szCs w:val="21"/>
          <w:lang w:val="en-US" w:eastAsia="zh-CN"/>
        </w:rPr>
        <w:t>分</w:t>
      </w:r>
      <w:r>
        <w:rPr>
          <w:rFonts w:hint="eastAsia" w:ascii="宋体" w:hAnsi="宋体" w:cs="宋体"/>
          <w:szCs w:val="21"/>
        </w:rPr>
        <w:t>，评分如出现小数点，则保留小数点后两位，第三位四舍五入。</w:t>
      </w:r>
      <w:r>
        <w:br w:type="page"/>
      </w:r>
    </w:p>
    <w:p>
      <w:pPr>
        <w:pStyle w:val="5"/>
        <w:rPr>
          <w:szCs w:val="21"/>
        </w:rPr>
      </w:pPr>
      <w:bookmarkStart w:id="115" w:name="_Toc30630"/>
      <w:r>
        <w:rPr>
          <w:rFonts w:hint="eastAsia"/>
        </w:rPr>
        <w:t>附表五：算术复核表</w:t>
      </w:r>
      <w:bookmarkEnd w:id="115"/>
    </w:p>
    <w:p>
      <w:pPr>
        <w:spacing w:line="360" w:lineRule="auto"/>
        <w:jc w:val="center"/>
        <w:rPr>
          <w:rFonts w:ascii="宋体" w:hAnsi="宋体"/>
          <w:b/>
          <w:sz w:val="36"/>
          <w:szCs w:val="36"/>
        </w:rPr>
      </w:pPr>
      <w:r>
        <w:rPr>
          <w:rFonts w:hint="eastAsia" w:ascii="宋体" w:hAnsi="宋体" w:cs="宋体"/>
          <w:sz w:val="28"/>
          <w:szCs w:val="28"/>
        </w:rPr>
        <w:t>算术复核表</w:t>
      </w:r>
    </w:p>
    <w:p>
      <w:pPr>
        <w:adjustRightInd w:val="0"/>
        <w:snapToGrid w:val="0"/>
        <w:spacing w:line="360" w:lineRule="auto"/>
        <w:rPr>
          <w:rFonts w:ascii="宋体" w:hAnsi="宋体"/>
          <w:szCs w:val="36"/>
          <w:u w:val="single"/>
        </w:rPr>
      </w:pPr>
      <w:r>
        <w:rPr>
          <w:rFonts w:hint="eastAsia" w:ascii="宋体" w:hAnsi="宋体"/>
          <w:szCs w:val="21"/>
        </w:rPr>
        <w:t>项目名称：</w:t>
      </w:r>
      <w:r>
        <w:rPr>
          <w:rFonts w:hint="eastAsia" w:ascii="宋体" w:hAnsi="宋体"/>
          <w:szCs w:val="21"/>
          <w:u w:val="single"/>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原投标报价</w:t>
            </w:r>
            <w:r>
              <w:rPr>
                <w:rFonts w:ascii="宋体" w:hAnsi="宋体"/>
                <w:szCs w:val="21"/>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算术复核后投标报价</w:t>
            </w:r>
            <w:r>
              <w:rPr>
                <w:rFonts w:ascii="宋体" w:hAnsi="宋体"/>
                <w:szCs w:val="21"/>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误差率</w:t>
            </w:r>
            <w:r>
              <w:rPr>
                <w:rFonts w:ascii="宋体" w:hAnsi="宋体"/>
                <w:szCs w:val="21"/>
              </w:rPr>
              <w:t>r=</w:t>
            </w:r>
            <w:r>
              <w:rPr>
                <w:rFonts w:hint="eastAsia" w:ascii="宋体" w:hAnsi="宋体"/>
                <w:szCs w:val="21"/>
              </w:rPr>
              <w:t>︱</w:t>
            </w:r>
            <w:r>
              <w:rPr>
                <w:rFonts w:ascii="宋体" w:hAnsi="宋体"/>
                <w:szCs w:val="21"/>
              </w:rPr>
              <w:t>A-B</w:t>
            </w:r>
            <w:r>
              <w:rPr>
                <w:rFonts w:hint="eastAsia" w:ascii="宋体" w:hAnsi="宋体"/>
                <w:szCs w:val="21"/>
              </w:rPr>
              <w:t>︳</w:t>
            </w:r>
            <w:r>
              <w:rPr>
                <w:rFonts w:ascii="宋体" w:hAnsi="宋体"/>
                <w:szCs w:val="21"/>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szCs w:val="21"/>
              </w:rPr>
            </w:pPr>
            <w:r>
              <w:rPr>
                <w:rFonts w:hint="eastAsia" w:ascii="宋体" w:hAnsi="宋体"/>
                <w:szCs w:val="21"/>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szCs w:val="21"/>
              </w:rPr>
            </w:pPr>
          </w:p>
        </w:tc>
      </w:tr>
    </w:tbl>
    <w:p>
      <w:pPr>
        <w:snapToGrid w:val="0"/>
        <w:spacing w:line="240" w:lineRule="atLeast"/>
        <w:jc w:val="center"/>
        <w:rPr>
          <w:rFonts w:ascii="宋体" w:hAnsi="宋体"/>
          <w:szCs w:val="21"/>
        </w:rPr>
      </w:pPr>
    </w:p>
    <w:p>
      <w:pPr>
        <w:pStyle w:val="26"/>
        <w:adjustRightInd w:val="0"/>
        <w:snapToGrid w:val="0"/>
        <w:spacing w:line="360" w:lineRule="auto"/>
        <w:ind w:firstLine="0"/>
        <w:rPr>
          <w:rFonts w:ascii="宋体" w:hAnsi="宋体"/>
        </w:rPr>
      </w:pPr>
    </w:p>
    <w:p>
      <w:pPr>
        <w:pStyle w:val="5"/>
      </w:pPr>
      <w:r>
        <w:rPr>
          <w:bCs/>
        </w:rPr>
        <w:br w:type="page"/>
      </w:r>
      <w:bookmarkStart w:id="116" w:name="_Toc12627"/>
      <w:r>
        <w:rPr>
          <w:rFonts w:hint="eastAsia"/>
          <w:bCs/>
        </w:rPr>
        <w:t>附表六：</w:t>
      </w:r>
      <w:r>
        <w:rPr>
          <w:rFonts w:hint="eastAsia"/>
        </w:rPr>
        <w:t>报价得分计算表</w:t>
      </w:r>
      <w:bookmarkEnd w:id="116"/>
    </w:p>
    <w:p>
      <w:pPr>
        <w:spacing w:line="360" w:lineRule="auto"/>
        <w:jc w:val="center"/>
        <w:rPr>
          <w:rFonts w:ascii="宋体" w:hAnsi="宋体"/>
          <w:b/>
          <w:sz w:val="36"/>
          <w:szCs w:val="36"/>
        </w:rPr>
      </w:pPr>
      <w:r>
        <w:rPr>
          <w:rFonts w:hint="eastAsia" w:ascii="宋体" w:hAnsi="宋体" w:cs="宋体"/>
          <w:sz w:val="28"/>
          <w:szCs w:val="28"/>
        </w:rPr>
        <w:t>报价得分计算表</w:t>
      </w:r>
    </w:p>
    <w:p>
      <w:pPr>
        <w:adjustRightInd w:val="0"/>
        <w:snapToGrid w:val="0"/>
        <w:spacing w:line="360" w:lineRule="auto"/>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65"/>
        <w:gridCol w:w="664"/>
        <w:gridCol w:w="664"/>
        <w:gridCol w:w="664"/>
        <w:gridCol w:w="664"/>
        <w:gridCol w:w="664"/>
        <w:gridCol w:w="664"/>
        <w:gridCol w:w="664"/>
        <w:gridCol w:w="664"/>
        <w:gridCol w:w="664"/>
        <w:gridCol w:w="66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ascii="宋体" w:hAnsi="宋体"/>
                <w:szCs w:val="21"/>
              </w:rPr>
            </w:pPr>
            <w:r>
              <w:rPr>
                <w:rFonts w:hint="eastAsia" w:ascii="宋体" w:hAnsi="宋体"/>
                <w:szCs w:val="21"/>
              </w:rPr>
              <w:t>投标人名称</w:t>
            </w:r>
          </w:p>
        </w:tc>
        <w:tc>
          <w:tcPr>
            <w:tcW w:w="665"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5"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ascii="宋体" w:hAnsi="宋体"/>
                <w:szCs w:val="21"/>
              </w:rPr>
            </w:pPr>
            <w:r>
              <w:rPr>
                <w:rFonts w:hint="eastAsia" w:ascii="宋体" w:hAnsi="宋体"/>
                <w:szCs w:val="21"/>
              </w:rPr>
              <w:t>投标报价（元）</w:t>
            </w:r>
          </w:p>
        </w:tc>
        <w:tc>
          <w:tcPr>
            <w:tcW w:w="665"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5"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hint="eastAsia" w:ascii="宋体" w:hAnsi="宋体" w:eastAsia="宋体"/>
                <w:szCs w:val="21"/>
                <w:lang w:eastAsia="zh-CN"/>
              </w:rPr>
            </w:pPr>
            <w:r>
              <w:rPr>
                <w:rFonts w:hint="eastAsia" w:ascii="宋体" w:hAnsi="宋体"/>
                <w:szCs w:val="21"/>
                <w:lang w:eastAsia="zh-CN"/>
              </w:rPr>
              <w:t>评标基准价</w:t>
            </w:r>
          </w:p>
        </w:tc>
        <w:tc>
          <w:tcPr>
            <w:tcW w:w="7970" w:type="dxa"/>
            <w:gridSpan w:val="12"/>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szCs w:val="21"/>
              </w:rPr>
            </w:pPr>
            <w:r>
              <w:rPr>
                <w:rFonts w:hint="eastAsia" w:ascii="宋体" w:hAnsi="宋体"/>
                <w:szCs w:val="21"/>
              </w:rPr>
              <w:t>偏差（%）</w:t>
            </w:r>
          </w:p>
        </w:tc>
        <w:tc>
          <w:tcPr>
            <w:tcW w:w="665"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5"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57" w:type="dxa"/>
            <w:vAlign w:val="center"/>
          </w:tcPr>
          <w:p>
            <w:pPr>
              <w:snapToGrid w:val="0"/>
              <w:spacing w:line="240" w:lineRule="atLeast"/>
              <w:jc w:val="center"/>
              <w:rPr>
                <w:rFonts w:ascii="宋体" w:hAnsi="宋体"/>
                <w:szCs w:val="21"/>
              </w:rPr>
            </w:pPr>
            <w:r>
              <w:rPr>
                <w:rFonts w:hint="eastAsia" w:ascii="宋体" w:hAnsi="宋体"/>
                <w:szCs w:val="21"/>
              </w:rPr>
              <w:t>减分</w:t>
            </w:r>
          </w:p>
        </w:tc>
        <w:tc>
          <w:tcPr>
            <w:tcW w:w="665"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5" w:type="dxa"/>
            <w:vAlign w:val="center"/>
          </w:tcPr>
          <w:p>
            <w:pPr>
              <w:snapToGrid w:val="0"/>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szCs w:val="21"/>
              </w:rPr>
            </w:pPr>
            <w:r>
              <w:rPr>
                <w:rFonts w:hint="eastAsia" w:ascii="宋体" w:hAnsi="宋体"/>
                <w:szCs w:val="21"/>
              </w:rPr>
              <w:t>得分</w:t>
            </w:r>
          </w:p>
        </w:tc>
        <w:tc>
          <w:tcPr>
            <w:tcW w:w="665"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4" w:type="dxa"/>
            <w:vAlign w:val="center"/>
          </w:tcPr>
          <w:p>
            <w:pPr>
              <w:snapToGrid w:val="0"/>
              <w:spacing w:line="240" w:lineRule="atLeast"/>
              <w:jc w:val="center"/>
              <w:rPr>
                <w:rFonts w:ascii="宋体" w:hAnsi="宋体"/>
                <w:szCs w:val="21"/>
              </w:rPr>
            </w:pPr>
          </w:p>
        </w:tc>
        <w:tc>
          <w:tcPr>
            <w:tcW w:w="665" w:type="dxa"/>
            <w:vAlign w:val="center"/>
          </w:tcPr>
          <w:p>
            <w:pPr>
              <w:snapToGrid w:val="0"/>
              <w:spacing w:line="240" w:lineRule="atLeast"/>
              <w:jc w:val="center"/>
              <w:rPr>
                <w:rFonts w:ascii="宋体" w:hAnsi="宋体"/>
                <w:szCs w:val="21"/>
              </w:rPr>
            </w:pPr>
          </w:p>
        </w:tc>
      </w:tr>
    </w:tbl>
    <w:p>
      <w:pPr>
        <w:pStyle w:val="2"/>
        <w:adjustRightInd w:val="0"/>
        <w:snapToGrid w:val="0"/>
        <w:rPr>
          <w:rFonts w:ascii="宋体" w:hAnsi="宋体" w:cs="宋体"/>
          <w:kern w:val="0"/>
          <w:szCs w:val="21"/>
        </w:rPr>
      </w:pPr>
    </w:p>
    <w:p>
      <w:pPr>
        <w:pStyle w:val="2"/>
        <w:adjustRightInd w:val="0"/>
        <w:snapToGrid w:val="0"/>
        <w:spacing w:line="360" w:lineRule="auto"/>
        <w:ind w:firstLine="0"/>
        <w:rPr>
          <w:rFonts w:ascii="宋体" w:hAnsi="宋体"/>
          <w:szCs w:val="36"/>
        </w:rPr>
      </w:pPr>
      <w:r>
        <w:rPr>
          <w:rFonts w:hint="eastAsia" w:ascii="宋体" w:hAnsi="宋体"/>
          <w:szCs w:val="36"/>
        </w:rPr>
        <w:t>注：</w:t>
      </w:r>
      <w:r>
        <w:rPr>
          <w:rFonts w:hint="eastAsia" w:ascii="宋体" w:hAnsi="宋体"/>
          <w:szCs w:val="21"/>
        </w:rPr>
        <w:t>当通过初步评审的有效投标人大于5名时，去掉一个最高价和一个最低价，取余下有效投标人的投标报价的算术平均值作为</w:t>
      </w:r>
      <w:r>
        <w:rPr>
          <w:rFonts w:hint="eastAsia" w:ascii="宋体" w:hAnsi="宋体"/>
          <w:szCs w:val="21"/>
          <w:lang w:eastAsia="zh-CN"/>
        </w:rPr>
        <w:t>评标基准价</w:t>
      </w:r>
      <w:r>
        <w:rPr>
          <w:rFonts w:hint="eastAsia" w:ascii="宋体" w:hAnsi="宋体"/>
          <w:szCs w:val="21"/>
        </w:rPr>
        <w:t>；当通过初步评审的有效投标人小于或等于5名时取所有入围的有效投标人的投标报价的算术平均值作为</w:t>
      </w:r>
      <w:r>
        <w:rPr>
          <w:rFonts w:hint="eastAsia" w:ascii="宋体" w:hAnsi="宋体"/>
          <w:szCs w:val="21"/>
          <w:lang w:eastAsia="zh-CN"/>
        </w:rPr>
        <w:t>评标基准价</w:t>
      </w:r>
      <w:r>
        <w:rPr>
          <w:rFonts w:hint="eastAsia" w:ascii="宋体" w:hAnsi="宋体"/>
          <w:szCs w:val="21"/>
        </w:rPr>
        <w:t>。</w:t>
      </w:r>
    </w:p>
    <w:p>
      <w:pPr>
        <w:pStyle w:val="2"/>
        <w:adjustRightInd w:val="0"/>
        <w:snapToGrid w:val="0"/>
        <w:spacing w:line="360" w:lineRule="auto"/>
        <w:ind w:firstLine="0"/>
        <w:rPr>
          <w:rFonts w:ascii="宋体" w:hAnsi="宋体"/>
          <w:szCs w:val="21"/>
        </w:rPr>
      </w:pPr>
      <w:r>
        <w:rPr>
          <w:rFonts w:hint="eastAsia" w:ascii="宋体" w:hAnsi="宋体"/>
          <w:szCs w:val="21"/>
        </w:rPr>
        <w:t xml:space="preserve"> </w:t>
      </w:r>
    </w:p>
    <w:p>
      <w:pPr>
        <w:pStyle w:val="2"/>
        <w:adjustRightInd w:val="0"/>
        <w:snapToGrid w:val="0"/>
        <w:spacing w:line="360" w:lineRule="auto"/>
        <w:ind w:firstLine="0"/>
        <w:rPr>
          <w:rFonts w:ascii="宋体" w:hAnsi="宋体"/>
          <w:szCs w:val="21"/>
        </w:rPr>
      </w:pPr>
      <w:r>
        <w:rPr>
          <w:rFonts w:hint="eastAsia" w:ascii="宋体" w:hAnsi="宋体"/>
          <w:szCs w:val="21"/>
        </w:rPr>
        <w:t>评委签名：                                                 日期：</w:t>
      </w:r>
    </w:p>
    <w:p>
      <w:pPr>
        <w:pStyle w:val="5"/>
        <w:numPr>
          <w:ilvl w:val="0"/>
          <w:numId w:val="1"/>
        </w:numPr>
      </w:pPr>
      <w:r>
        <w:rPr>
          <w:b w:val="0"/>
          <w:spacing w:val="20"/>
        </w:rPr>
        <w:br w:type="page"/>
      </w:r>
      <w:bookmarkStart w:id="117" w:name="_Toc11628"/>
      <w:bookmarkStart w:id="118" w:name="_Toc533357319"/>
      <w:r>
        <w:rPr>
          <w:rFonts w:hint="eastAsia"/>
        </w:rPr>
        <w:t>评标方法</w:t>
      </w:r>
      <w:bookmarkEnd w:id="117"/>
      <w:bookmarkEnd w:id="118"/>
    </w:p>
    <w:p>
      <w:pPr>
        <w:rPr>
          <w:rFonts w:ascii="宋体" w:hAnsi="宋体"/>
        </w:rPr>
      </w:pPr>
    </w:p>
    <w:p>
      <w:pPr>
        <w:spacing w:line="360" w:lineRule="auto"/>
        <w:ind w:firstLine="480" w:firstLineChars="200"/>
        <w:rPr>
          <w:rFonts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方案得分高的优先；如果检测方案得分也相等，由评标委员会采用记名投票方式，以得票多的优先。</w:t>
      </w:r>
    </w:p>
    <w:p>
      <w:pPr>
        <w:rPr>
          <w:rFonts w:ascii="宋体" w:hAnsi="宋体"/>
        </w:rPr>
      </w:pPr>
    </w:p>
    <w:p>
      <w:pPr>
        <w:pStyle w:val="5"/>
      </w:pPr>
      <w:bookmarkStart w:id="119" w:name="bookmark85"/>
      <w:bookmarkEnd w:id="119"/>
      <w:bookmarkStart w:id="120" w:name="_Toc533357320"/>
      <w:bookmarkStart w:id="121" w:name="_Toc15152"/>
      <w:r>
        <w:t xml:space="preserve">2. </w:t>
      </w:r>
      <w:r>
        <w:rPr>
          <w:rFonts w:hint="eastAsia"/>
        </w:rPr>
        <w:t>评审标准</w:t>
      </w:r>
      <w:bookmarkEnd w:id="120"/>
      <w:bookmarkEnd w:id="121"/>
    </w:p>
    <w:p>
      <w:pPr>
        <w:rPr>
          <w:rFonts w:ascii="宋体" w:hAnsi="宋体"/>
        </w:rPr>
      </w:pPr>
    </w:p>
    <w:p>
      <w:pPr>
        <w:pStyle w:val="7"/>
        <w:ind w:firstLine="420"/>
      </w:pPr>
      <w:bookmarkStart w:id="122" w:name="bookmark86"/>
      <w:bookmarkEnd w:id="122"/>
      <w:r>
        <w:t xml:space="preserve">2.1 </w:t>
      </w:r>
      <w:r>
        <w:rPr>
          <w:rFonts w:hint="eastAsia"/>
        </w:rPr>
        <w:t>初步评审标准</w:t>
      </w:r>
    </w:p>
    <w:p>
      <w:pPr>
        <w:spacing w:line="360" w:lineRule="auto"/>
        <w:ind w:firstLine="480" w:firstLineChars="200"/>
        <w:rPr>
          <w:rFonts w:ascii="宋体" w:hAnsi="宋体"/>
          <w:sz w:val="24"/>
          <w:szCs w:val="24"/>
        </w:rPr>
      </w:pPr>
      <w:r>
        <w:rPr>
          <w:rFonts w:ascii="宋体" w:hAnsi="宋体"/>
          <w:sz w:val="24"/>
          <w:szCs w:val="24"/>
        </w:rPr>
        <w:t>2.1.1</w:t>
      </w:r>
      <w:r>
        <w:rPr>
          <w:rFonts w:hint="eastAsia" w:ascii="宋体" w:hAnsi="宋体"/>
          <w:sz w:val="24"/>
          <w:szCs w:val="24"/>
        </w:rPr>
        <w:t>形式评审标准：见评标办法前附表。</w:t>
      </w:r>
    </w:p>
    <w:p>
      <w:pPr>
        <w:spacing w:line="360" w:lineRule="auto"/>
        <w:ind w:firstLine="480" w:firstLineChars="200"/>
        <w:rPr>
          <w:rFonts w:ascii="宋体" w:hAnsi="宋体"/>
          <w:sz w:val="24"/>
          <w:szCs w:val="24"/>
        </w:rPr>
      </w:pPr>
      <w:r>
        <w:rPr>
          <w:rFonts w:ascii="宋体" w:hAnsi="宋体"/>
          <w:sz w:val="24"/>
          <w:szCs w:val="24"/>
        </w:rPr>
        <w:t>2.1.2</w:t>
      </w:r>
      <w:r>
        <w:rPr>
          <w:rFonts w:hint="eastAsia" w:ascii="宋体" w:hAnsi="宋体"/>
          <w:sz w:val="24"/>
          <w:szCs w:val="24"/>
        </w:rPr>
        <w:t>资格评审标准：见评标办法前附表。</w:t>
      </w:r>
    </w:p>
    <w:p>
      <w:pPr>
        <w:spacing w:line="360" w:lineRule="auto"/>
        <w:ind w:firstLine="480" w:firstLineChars="200"/>
        <w:rPr>
          <w:rFonts w:ascii="宋体" w:hAnsi="宋体"/>
          <w:sz w:val="24"/>
          <w:szCs w:val="24"/>
        </w:rPr>
      </w:pPr>
      <w:r>
        <w:rPr>
          <w:rFonts w:ascii="宋体" w:hAnsi="宋体"/>
          <w:sz w:val="24"/>
          <w:szCs w:val="24"/>
        </w:rPr>
        <w:t>2.1.3</w:t>
      </w:r>
      <w:r>
        <w:rPr>
          <w:rFonts w:hint="eastAsia" w:ascii="宋体" w:hAnsi="宋体"/>
          <w:sz w:val="24"/>
          <w:szCs w:val="24"/>
        </w:rPr>
        <w:t>响应性评审标准：见评标办法前附表。</w:t>
      </w:r>
    </w:p>
    <w:p>
      <w:pPr>
        <w:rPr>
          <w:rFonts w:ascii="宋体" w:hAnsi="宋体"/>
        </w:rPr>
      </w:pPr>
    </w:p>
    <w:p>
      <w:pPr>
        <w:pStyle w:val="7"/>
      </w:pPr>
      <w:bookmarkStart w:id="123" w:name="bookmark87"/>
      <w:bookmarkEnd w:id="123"/>
      <w:r>
        <w:t xml:space="preserve">2.2 </w:t>
      </w:r>
      <w:r>
        <w:rPr>
          <w:rFonts w:hint="eastAsia"/>
        </w:rPr>
        <w:t>分值构成与评分标准</w:t>
      </w:r>
    </w:p>
    <w:p>
      <w:pPr>
        <w:spacing w:line="360" w:lineRule="auto"/>
        <w:ind w:firstLine="480" w:firstLineChars="200"/>
        <w:rPr>
          <w:rFonts w:ascii="宋体" w:hAnsi="宋体"/>
          <w:sz w:val="24"/>
          <w:szCs w:val="24"/>
        </w:rPr>
      </w:pPr>
      <w:r>
        <w:rPr>
          <w:rFonts w:ascii="宋体" w:hAnsi="宋体"/>
          <w:sz w:val="24"/>
          <w:szCs w:val="24"/>
        </w:rPr>
        <w:t>2.2.1</w:t>
      </w:r>
      <w:r>
        <w:rPr>
          <w:rFonts w:hint="eastAsia" w:ascii="宋体" w:hAnsi="宋体"/>
          <w:sz w:val="24"/>
          <w:szCs w:val="24"/>
        </w:rPr>
        <w:t>分值构成</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）企业综合实力部分：见评标办法前附表；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）技术方案部分：见评标办法前附表；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）投标报价部分：见评标办法前附表；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）其他因素部分：见评标办法前附表。</w:t>
      </w:r>
    </w:p>
    <w:p>
      <w:pPr>
        <w:spacing w:line="360" w:lineRule="auto"/>
        <w:ind w:firstLine="480" w:firstLineChars="200"/>
        <w:rPr>
          <w:rFonts w:ascii="宋体" w:hAnsi="宋体"/>
          <w:sz w:val="24"/>
          <w:szCs w:val="24"/>
        </w:rPr>
      </w:pPr>
      <w:r>
        <w:rPr>
          <w:rFonts w:ascii="宋体" w:hAnsi="宋体"/>
          <w:sz w:val="24"/>
          <w:szCs w:val="24"/>
        </w:rPr>
        <w:t>2.2.2</w:t>
      </w:r>
      <w:r>
        <w:rPr>
          <w:rFonts w:hint="eastAsia" w:ascii="宋体" w:hAnsi="宋体"/>
          <w:sz w:val="24"/>
          <w:szCs w:val="24"/>
          <w:lang w:eastAsia="zh-CN"/>
        </w:rPr>
        <w:t>评标基准价</w:t>
      </w:r>
      <w:r>
        <w:rPr>
          <w:rFonts w:hint="eastAsia" w:ascii="宋体" w:hAnsi="宋体"/>
          <w:sz w:val="24"/>
          <w:szCs w:val="24"/>
        </w:rPr>
        <w:t>计算</w:t>
      </w:r>
    </w:p>
    <w:p>
      <w:pPr>
        <w:spacing w:line="360" w:lineRule="auto"/>
        <w:ind w:firstLine="480" w:firstLineChars="200"/>
        <w:rPr>
          <w:rFonts w:ascii="宋体" w:hAnsi="宋体"/>
          <w:sz w:val="24"/>
          <w:szCs w:val="24"/>
        </w:rPr>
      </w:pPr>
      <w:r>
        <w:rPr>
          <w:rFonts w:hint="eastAsia" w:ascii="宋体" w:hAnsi="宋体"/>
          <w:sz w:val="24"/>
          <w:szCs w:val="24"/>
          <w:lang w:eastAsia="zh-CN"/>
        </w:rPr>
        <w:t>评标基准价</w:t>
      </w:r>
      <w:r>
        <w:rPr>
          <w:rFonts w:hint="eastAsia" w:ascii="宋体" w:hAnsi="宋体"/>
          <w:sz w:val="24"/>
          <w:szCs w:val="24"/>
        </w:rPr>
        <w:t>计算方法：见评标办法前附表。</w:t>
      </w:r>
    </w:p>
    <w:p>
      <w:pPr>
        <w:spacing w:line="360" w:lineRule="auto"/>
        <w:ind w:firstLine="480" w:firstLineChars="200"/>
        <w:rPr>
          <w:rFonts w:ascii="宋体" w:hAnsi="宋体"/>
          <w:sz w:val="24"/>
          <w:szCs w:val="24"/>
        </w:rPr>
      </w:pPr>
      <w:r>
        <w:rPr>
          <w:rFonts w:ascii="宋体" w:hAnsi="宋体"/>
          <w:sz w:val="24"/>
          <w:szCs w:val="24"/>
        </w:rPr>
        <w:t>2.2.3</w:t>
      </w:r>
      <w:r>
        <w:rPr>
          <w:rFonts w:hint="eastAsia" w:ascii="宋体" w:hAnsi="宋体"/>
          <w:sz w:val="24"/>
          <w:szCs w:val="24"/>
        </w:rPr>
        <w:t>投标报价的计算</w:t>
      </w:r>
    </w:p>
    <w:p>
      <w:pPr>
        <w:spacing w:line="360" w:lineRule="auto"/>
        <w:ind w:firstLine="480" w:firstLineChars="200"/>
        <w:rPr>
          <w:rFonts w:ascii="宋体" w:hAnsi="宋体"/>
          <w:sz w:val="24"/>
          <w:szCs w:val="24"/>
        </w:rPr>
      </w:pPr>
      <w:r>
        <w:rPr>
          <w:rFonts w:hint="eastAsia" w:ascii="宋体" w:hAnsi="宋体"/>
          <w:sz w:val="24"/>
          <w:szCs w:val="24"/>
        </w:rPr>
        <w:t>投标报价的偏差率计算公式：见评标办法前附表。</w:t>
      </w:r>
    </w:p>
    <w:p>
      <w:pPr>
        <w:spacing w:line="360" w:lineRule="auto"/>
        <w:ind w:firstLine="480" w:firstLineChars="200"/>
        <w:rPr>
          <w:rFonts w:ascii="宋体" w:hAnsi="宋体"/>
          <w:sz w:val="24"/>
          <w:szCs w:val="24"/>
        </w:rPr>
      </w:pPr>
      <w:r>
        <w:rPr>
          <w:rFonts w:ascii="宋体" w:hAnsi="宋体"/>
          <w:sz w:val="24"/>
          <w:szCs w:val="24"/>
        </w:rPr>
        <w:t>2.2.4</w:t>
      </w:r>
      <w:r>
        <w:rPr>
          <w:rFonts w:hint="eastAsia" w:ascii="宋体" w:hAnsi="宋体"/>
          <w:sz w:val="24"/>
          <w:szCs w:val="24"/>
        </w:rPr>
        <w:t>评分标准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）企业综合实力评分标准：见评标办法前附表；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）技术方案评分标准：见评标办法前附表；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）投标报价评分标准：见评标办法前附表；</w:t>
      </w:r>
    </w:p>
    <w:p>
      <w:pPr>
        <w:spacing w:line="360" w:lineRule="auto"/>
        <w:ind w:firstLine="480" w:firstLineChars="200"/>
        <w:rPr>
          <w:rFonts w:ascii="宋体" w:hAnsi="宋体"/>
          <w:strike w:val="0"/>
          <w:sz w:val="24"/>
          <w:szCs w:val="24"/>
        </w:rPr>
      </w:pPr>
      <w:r>
        <w:rPr>
          <w:rFonts w:hint="eastAsia" w:ascii="宋体" w:hAnsi="宋体"/>
          <w:strike w:val="0"/>
          <w:sz w:val="24"/>
          <w:szCs w:val="24"/>
        </w:rPr>
        <w:t>（</w:t>
      </w:r>
      <w:r>
        <w:rPr>
          <w:rFonts w:ascii="宋体" w:hAnsi="宋体"/>
          <w:strike w:val="0"/>
          <w:sz w:val="24"/>
          <w:szCs w:val="24"/>
        </w:rPr>
        <w:t>4</w:t>
      </w:r>
      <w:r>
        <w:rPr>
          <w:rFonts w:hint="eastAsia" w:ascii="宋体" w:hAnsi="宋体"/>
          <w:strike w:val="0"/>
          <w:sz w:val="24"/>
          <w:szCs w:val="24"/>
        </w:rPr>
        <w:t>）其他因素评分标准：见评标办法前附表。</w:t>
      </w:r>
    </w:p>
    <w:p>
      <w:pPr>
        <w:pStyle w:val="5"/>
      </w:pPr>
      <w:bookmarkStart w:id="124" w:name="bookmark88"/>
      <w:bookmarkEnd w:id="124"/>
      <w:bookmarkStart w:id="125" w:name="_Toc21355"/>
      <w:bookmarkStart w:id="126" w:name="_Toc533357321"/>
      <w:r>
        <w:t xml:space="preserve">3. </w:t>
      </w:r>
      <w:r>
        <w:rPr>
          <w:rFonts w:hint="eastAsia"/>
        </w:rPr>
        <w:t>评标程序</w:t>
      </w:r>
      <w:bookmarkEnd w:id="125"/>
      <w:bookmarkEnd w:id="126"/>
    </w:p>
    <w:p>
      <w:pPr>
        <w:rPr>
          <w:rFonts w:ascii="宋体" w:hAnsi="宋体"/>
        </w:rPr>
      </w:pPr>
    </w:p>
    <w:p>
      <w:pPr>
        <w:pStyle w:val="7"/>
      </w:pPr>
      <w:bookmarkStart w:id="127" w:name="bookmark89"/>
      <w:bookmarkEnd w:id="127"/>
      <w:r>
        <w:t xml:space="preserve">3.1 </w:t>
      </w:r>
      <w:r>
        <w:rPr>
          <w:rFonts w:hint="eastAsia"/>
        </w:rPr>
        <w:t>初步评审</w:t>
      </w:r>
    </w:p>
    <w:p>
      <w:pPr>
        <w:spacing w:line="360" w:lineRule="auto"/>
        <w:ind w:firstLine="480" w:firstLineChars="200"/>
        <w:rPr>
          <w:rFonts w:ascii="宋体" w:hAnsi="宋体"/>
          <w:sz w:val="24"/>
          <w:szCs w:val="24"/>
        </w:rPr>
      </w:pPr>
      <w:r>
        <w:rPr>
          <w:rFonts w:ascii="宋体" w:hAnsi="宋体"/>
          <w:sz w:val="24"/>
          <w:szCs w:val="24"/>
        </w:rPr>
        <w:t>3.1.1</w:t>
      </w:r>
      <w:r>
        <w:rPr>
          <w:rFonts w:hint="eastAsia" w:ascii="宋体" w:hAnsi="宋体"/>
          <w:sz w:val="24"/>
          <w:szCs w:val="24"/>
        </w:rPr>
        <w:t>评标委员会可以要求投标人提交第二章“投标人须知”规定的有关证明和证件的原件，以便核验。评标委员会依据本章第</w:t>
      </w:r>
      <w:r>
        <w:rPr>
          <w:rFonts w:ascii="宋体" w:hAnsi="宋体"/>
          <w:sz w:val="24"/>
          <w:szCs w:val="24"/>
        </w:rPr>
        <w:t>2.1</w:t>
      </w:r>
      <w:r>
        <w:rPr>
          <w:rFonts w:hint="eastAsia" w:ascii="宋体" w:hAnsi="宋体"/>
          <w:sz w:val="24"/>
          <w:szCs w:val="24"/>
        </w:rPr>
        <w:t>款规定的标准对投标文件进行初步评审。有一项不符合评审标准的，评标委员会应当否决其投标。</w:t>
      </w:r>
    </w:p>
    <w:p>
      <w:pPr>
        <w:spacing w:line="360" w:lineRule="auto"/>
        <w:ind w:firstLine="480" w:firstLineChars="200"/>
        <w:rPr>
          <w:rFonts w:ascii="宋体" w:hAnsi="宋体"/>
          <w:sz w:val="24"/>
          <w:szCs w:val="24"/>
        </w:rPr>
      </w:pPr>
      <w:r>
        <w:rPr>
          <w:rFonts w:ascii="宋体" w:hAnsi="宋体"/>
          <w:sz w:val="24"/>
          <w:szCs w:val="24"/>
        </w:rPr>
        <w:t>3.1.2</w:t>
      </w:r>
      <w:r>
        <w:rPr>
          <w:rFonts w:hint="eastAsia" w:ascii="宋体" w:hAnsi="宋体"/>
          <w:sz w:val="24"/>
          <w:szCs w:val="24"/>
        </w:rPr>
        <w:t>投标人有以下情形之一的，评标委员会应当否决其投标：</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）有串通投标、弄虚作假、行贿等违法行为。</w:t>
      </w:r>
    </w:p>
    <w:p>
      <w:pPr>
        <w:spacing w:line="360" w:lineRule="auto"/>
        <w:ind w:firstLine="480" w:firstLineChars="200"/>
        <w:rPr>
          <w:rFonts w:ascii="宋体" w:hAnsi="宋体"/>
          <w:sz w:val="24"/>
          <w:szCs w:val="24"/>
        </w:rPr>
      </w:pPr>
      <w:r>
        <w:rPr>
          <w:rFonts w:ascii="宋体" w:hAnsi="宋体"/>
          <w:sz w:val="24"/>
          <w:szCs w:val="24"/>
        </w:rPr>
        <w:t>3.1.3</w:t>
      </w:r>
      <w:r>
        <w:rPr>
          <w:rFonts w:hint="eastAsia" w:ascii="宋体" w:hAnsi="宋体"/>
          <w:sz w:val="24"/>
          <w:szCs w:val="24"/>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）投标文件中的大写金额与小写金额不一致的，以大写金额为准；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）总价金额与单价金额不一致的，以单价金额为准，但单价金额小数点有明显错误的除外。</w:t>
      </w:r>
    </w:p>
    <w:p>
      <w:pPr>
        <w:rPr>
          <w:rFonts w:ascii="宋体" w:hAnsi="宋体"/>
        </w:rPr>
      </w:pPr>
    </w:p>
    <w:p>
      <w:pPr>
        <w:pStyle w:val="7"/>
      </w:pPr>
      <w:bookmarkStart w:id="128" w:name="bookmark90"/>
      <w:bookmarkEnd w:id="128"/>
      <w:r>
        <w:t xml:space="preserve">3.2 </w:t>
      </w:r>
      <w:r>
        <w:rPr>
          <w:rFonts w:hint="eastAsia"/>
        </w:rPr>
        <w:t>详细评审</w:t>
      </w:r>
    </w:p>
    <w:p>
      <w:pPr>
        <w:spacing w:line="360" w:lineRule="auto"/>
        <w:ind w:firstLine="480" w:firstLineChars="200"/>
        <w:rPr>
          <w:rFonts w:ascii="宋体" w:hAnsi="宋体"/>
          <w:sz w:val="24"/>
          <w:szCs w:val="24"/>
        </w:rPr>
      </w:pPr>
      <w:r>
        <w:rPr>
          <w:rFonts w:ascii="宋体" w:hAnsi="宋体"/>
          <w:sz w:val="24"/>
          <w:szCs w:val="24"/>
        </w:rPr>
        <w:t>3.2.1</w:t>
      </w:r>
      <w:r>
        <w:rPr>
          <w:rFonts w:hint="eastAsia" w:ascii="宋体" w:hAnsi="宋体"/>
          <w:sz w:val="24"/>
          <w:szCs w:val="24"/>
        </w:rPr>
        <w:t>评标委员会按本章第</w:t>
      </w:r>
      <w:r>
        <w:rPr>
          <w:rFonts w:ascii="宋体" w:hAnsi="宋体"/>
          <w:sz w:val="24"/>
          <w:szCs w:val="24"/>
        </w:rPr>
        <w:t>2.2</w:t>
      </w:r>
      <w:r>
        <w:rPr>
          <w:rFonts w:hint="eastAsia" w:ascii="宋体" w:hAnsi="宋体"/>
          <w:sz w:val="24"/>
          <w:szCs w:val="24"/>
        </w:rPr>
        <w:t>款规定的量化因素和分值进行打分，并计算出综合评估得分。</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1</w:t>
      </w:r>
      <w:r>
        <w:rPr>
          <w:rFonts w:hint="eastAsia" w:ascii="宋体" w:hAnsi="宋体"/>
          <w:sz w:val="24"/>
          <w:szCs w:val="24"/>
        </w:rPr>
        <w:t>）目规定的评审因素和分值对企业综合实力部分计算出得分</w:t>
      </w:r>
      <w:r>
        <w:rPr>
          <w:rFonts w:hint="eastAsia" w:ascii="宋体" w:hAnsi="宋体"/>
          <w:b/>
          <w:szCs w:val="21"/>
        </w:rPr>
        <w:t>A</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2</w:t>
      </w:r>
      <w:r>
        <w:rPr>
          <w:rFonts w:hint="eastAsia" w:ascii="宋体" w:hAnsi="宋体"/>
          <w:sz w:val="24"/>
          <w:szCs w:val="24"/>
        </w:rPr>
        <w:t>）目规定的评审因素和分值对技术方案部分计算出得分</w:t>
      </w:r>
      <w:r>
        <w:rPr>
          <w:rFonts w:hint="eastAsia" w:ascii="宋体" w:hAnsi="宋体"/>
          <w:b/>
          <w:szCs w:val="21"/>
        </w:rPr>
        <w:t>B</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）按本章第</w:t>
      </w:r>
      <w:r>
        <w:rPr>
          <w:rFonts w:ascii="宋体" w:hAnsi="宋体"/>
          <w:sz w:val="24"/>
          <w:szCs w:val="24"/>
        </w:rPr>
        <w:t>2.2.4</w:t>
      </w:r>
      <w:r>
        <w:rPr>
          <w:rFonts w:hint="eastAsia" w:ascii="宋体" w:hAnsi="宋体"/>
          <w:sz w:val="24"/>
          <w:szCs w:val="24"/>
        </w:rPr>
        <w:t>（</w:t>
      </w:r>
      <w:r>
        <w:rPr>
          <w:rFonts w:ascii="宋体" w:hAnsi="宋体"/>
          <w:sz w:val="24"/>
          <w:szCs w:val="24"/>
        </w:rPr>
        <w:t>3</w:t>
      </w:r>
      <w:r>
        <w:rPr>
          <w:rFonts w:hint="eastAsia" w:ascii="宋体" w:hAnsi="宋体"/>
          <w:sz w:val="24"/>
          <w:szCs w:val="24"/>
        </w:rPr>
        <w:t>）目规定的评审因素和分值对投标报价部分计算出得分</w:t>
      </w:r>
      <w:r>
        <w:rPr>
          <w:rFonts w:hint="eastAsia" w:ascii="宋体" w:hAnsi="宋体"/>
          <w:b/>
          <w:szCs w:val="21"/>
        </w:rPr>
        <w:t>C</w:t>
      </w:r>
      <w:r>
        <w:rPr>
          <w:rFonts w:hint="eastAsia" w:ascii="宋体" w:hAnsi="宋体"/>
          <w:sz w:val="24"/>
          <w:szCs w:val="24"/>
        </w:rPr>
        <w:t>；</w:t>
      </w:r>
    </w:p>
    <w:p>
      <w:pPr>
        <w:spacing w:line="360" w:lineRule="auto"/>
        <w:ind w:firstLine="480" w:firstLineChars="200"/>
        <w:rPr>
          <w:rFonts w:ascii="宋体" w:hAnsi="宋体"/>
          <w:strike w:val="0"/>
          <w:sz w:val="24"/>
          <w:szCs w:val="24"/>
        </w:rPr>
      </w:pPr>
      <w:r>
        <w:rPr>
          <w:rFonts w:hint="eastAsia" w:ascii="宋体" w:hAnsi="宋体"/>
          <w:strike w:val="0"/>
          <w:sz w:val="24"/>
          <w:szCs w:val="24"/>
        </w:rPr>
        <w:t>（</w:t>
      </w:r>
      <w:r>
        <w:rPr>
          <w:rFonts w:ascii="宋体" w:hAnsi="宋体"/>
          <w:strike w:val="0"/>
          <w:sz w:val="24"/>
          <w:szCs w:val="24"/>
        </w:rPr>
        <w:t>4</w:t>
      </w:r>
      <w:r>
        <w:rPr>
          <w:rFonts w:hint="eastAsia" w:ascii="宋体" w:hAnsi="宋体"/>
          <w:strike w:val="0"/>
          <w:sz w:val="24"/>
          <w:szCs w:val="24"/>
        </w:rPr>
        <w:t>）按本章第</w:t>
      </w:r>
      <w:r>
        <w:rPr>
          <w:rFonts w:ascii="宋体" w:hAnsi="宋体"/>
          <w:strike w:val="0"/>
          <w:sz w:val="24"/>
          <w:szCs w:val="24"/>
        </w:rPr>
        <w:t>2.2.4</w:t>
      </w:r>
      <w:r>
        <w:rPr>
          <w:rFonts w:hint="eastAsia" w:ascii="宋体" w:hAnsi="宋体"/>
          <w:strike w:val="0"/>
          <w:sz w:val="24"/>
          <w:szCs w:val="24"/>
        </w:rPr>
        <w:t>（</w:t>
      </w:r>
      <w:r>
        <w:rPr>
          <w:rFonts w:ascii="宋体" w:hAnsi="宋体"/>
          <w:strike w:val="0"/>
          <w:sz w:val="24"/>
          <w:szCs w:val="24"/>
        </w:rPr>
        <w:t>4</w:t>
      </w:r>
      <w:r>
        <w:rPr>
          <w:rFonts w:hint="eastAsia" w:ascii="宋体" w:hAnsi="宋体"/>
          <w:strike w:val="0"/>
          <w:sz w:val="24"/>
          <w:szCs w:val="24"/>
        </w:rPr>
        <w:t>）目规定的评审因素和分值对其他因素部分计算出得分</w:t>
      </w:r>
      <w:r>
        <w:rPr>
          <w:rFonts w:hint="eastAsia" w:ascii="宋体" w:hAnsi="宋体"/>
          <w:b/>
          <w:strike w:val="0"/>
          <w:szCs w:val="21"/>
        </w:rPr>
        <w:t>D</w:t>
      </w:r>
      <w:r>
        <w:rPr>
          <w:rFonts w:hint="eastAsia" w:ascii="宋体" w:hAnsi="宋体"/>
          <w:strike w:val="0"/>
          <w:sz w:val="24"/>
          <w:szCs w:val="24"/>
        </w:rPr>
        <w:t>。</w:t>
      </w:r>
    </w:p>
    <w:p>
      <w:pPr>
        <w:spacing w:line="360" w:lineRule="auto"/>
        <w:ind w:firstLine="480" w:firstLineChars="200"/>
        <w:rPr>
          <w:rFonts w:ascii="宋体" w:hAnsi="宋体"/>
          <w:sz w:val="24"/>
          <w:szCs w:val="24"/>
        </w:rPr>
      </w:pPr>
      <w:r>
        <w:rPr>
          <w:rFonts w:ascii="宋体" w:hAnsi="宋体"/>
          <w:sz w:val="24"/>
          <w:szCs w:val="24"/>
        </w:rPr>
        <w:t>3.2.2</w:t>
      </w:r>
      <w:r>
        <w:rPr>
          <w:rFonts w:hint="eastAsia" w:ascii="宋体" w:hAnsi="宋体"/>
          <w:sz w:val="24"/>
          <w:szCs w:val="24"/>
        </w:rPr>
        <w:t>评分分值计算保留小数点后两位，小数点后第三位“四舍五入”。</w:t>
      </w:r>
    </w:p>
    <w:p>
      <w:pPr>
        <w:spacing w:line="360" w:lineRule="auto"/>
        <w:ind w:firstLine="480" w:firstLineChars="200"/>
        <w:rPr>
          <w:rFonts w:ascii="宋体" w:hAnsi="宋体"/>
          <w:sz w:val="24"/>
          <w:szCs w:val="24"/>
          <w:u w:val="single"/>
        </w:rPr>
      </w:pPr>
      <w:r>
        <w:rPr>
          <w:rFonts w:ascii="宋体" w:hAnsi="宋体"/>
          <w:sz w:val="24"/>
          <w:szCs w:val="24"/>
        </w:rPr>
        <w:t>3.2.3</w:t>
      </w:r>
      <w:r>
        <w:rPr>
          <w:rFonts w:hint="eastAsia" w:ascii="宋体" w:hAnsi="宋体"/>
          <w:sz w:val="24"/>
          <w:szCs w:val="24"/>
        </w:rPr>
        <w:t>投标人总得分：</w:t>
      </w:r>
      <w:r>
        <w:rPr>
          <w:rFonts w:hint="eastAsia" w:ascii="宋体" w:hAnsi="宋体"/>
          <w:sz w:val="24"/>
          <w:szCs w:val="24"/>
          <w:u w:val="single"/>
        </w:rPr>
        <w:t>评标办法前附表</w:t>
      </w:r>
    </w:p>
    <w:p>
      <w:pPr>
        <w:spacing w:line="360" w:lineRule="auto"/>
        <w:ind w:firstLine="480" w:firstLineChars="200"/>
        <w:rPr>
          <w:rFonts w:ascii="宋体" w:hAnsi="宋体"/>
          <w:sz w:val="24"/>
          <w:szCs w:val="24"/>
        </w:rPr>
      </w:pPr>
      <w:r>
        <w:rPr>
          <w:rFonts w:ascii="宋体" w:hAnsi="宋体"/>
          <w:sz w:val="24"/>
          <w:szCs w:val="24"/>
        </w:rPr>
        <w:t>3.2.4</w:t>
      </w:r>
      <w:r>
        <w:rPr>
          <w:rFonts w:hint="eastAsia" w:ascii="宋体" w:hAnsi="宋体"/>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rPr>
      </w:pPr>
    </w:p>
    <w:p>
      <w:pPr>
        <w:pStyle w:val="7"/>
      </w:pPr>
      <w:bookmarkStart w:id="129" w:name="bookmark91"/>
      <w:bookmarkEnd w:id="129"/>
      <w:r>
        <w:t xml:space="preserve">3.3 </w:t>
      </w:r>
      <w:r>
        <w:rPr>
          <w:rFonts w:hint="eastAsia"/>
        </w:rPr>
        <w:t>投标文件的澄清</w:t>
      </w:r>
    </w:p>
    <w:p>
      <w:pPr>
        <w:spacing w:line="360" w:lineRule="auto"/>
        <w:ind w:firstLine="480" w:firstLineChars="200"/>
        <w:rPr>
          <w:rFonts w:ascii="宋体" w:hAnsi="宋体"/>
          <w:sz w:val="24"/>
          <w:szCs w:val="24"/>
        </w:rPr>
      </w:pPr>
      <w:r>
        <w:rPr>
          <w:rFonts w:ascii="宋体" w:hAnsi="宋体"/>
          <w:sz w:val="24"/>
          <w:szCs w:val="24"/>
        </w:rPr>
        <w:t>3.3.1</w:t>
      </w:r>
      <w:r>
        <w:rPr>
          <w:rFonts w:hint="eastAsia" w:ascii="宋体" w:hAnsi="宋体"/>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sz w:val="24"/>
          <w:szCs w:val="24"/>
        </w:rPr>
      </w:pPr>
      <w:r>
        <w:rPr>
          <w:rFonts w:ascii="宋体" w:hAnsi="宋体"/>
          <w:sz w:val="24"/>
          <w:szCs w:val="24"/>
        </w:rPr>
        <w:t>3.3.2</w:t>
      </w:r>
      <w:r>
        <w:rPr>
          <w:rFonts w:hint="eastAsia" w:ascii="宋体" w:hAnsi="宋体"/>
          <w:sz w:val="24"/>
          <w:szCs w:val="24"/>
        </w:rPr>
        <w:t>澄清、说明或补正不得超出投标文件的范围且不得改变投标文件的实质性内容，并构成投标文件的组成部分。</w:t>
      </w:r>
    </w:p>
    <w:p>
      <w:pPr>
        <w:spacing w:line="360" w:lineRule="auto"/>
        <w:ind w:firstLine="480" w:firstLineChars="200"/>
        <w:rPr>
          <w:rFonts w:ascii="宋体" w:hAnsi="宋体"/>
          <w:sz w:val="24"/>
          <w:szCs w:val="24"/>
        </w:rPr>
      </w:pPr>
      <w:r>
        <w:rPr>
          <w:rFonts w:ascii="宋体" w:hAnsi="宋体"/>
          <w:sz w:val="24"/>
          <w:szCs w:val="24"/>
        </w:rPr>
        <w:t>3.3.3</w:t>
      </w:r>
      <w:r>
        <w:rPr>
          <w:rFonts w:hint="eastAsia" w:ascii="宋体" w:hAnsi="宋体"/>
          <w:sz w:val="24"/>
          <w:szCs w:val="24"/>
        </w:rPr>
        <w:t>评标委员会对投标人提交的澄清、说明或补正有疑问的，可以要求投标人进一步澄清、说明或补正，直至满足评标委员会的要求。</w:t>
      </w:r>
    </w:p>
    <w:p>
      <w:pPr>
        <w:rPr>
          <w:rFonts w:ascii="宋体" w:hAnsi="宋体"/>
        </w:rPr>
      </w:pPr>
    </w:p>
    <w:p>
      <w:pPr>
        <w:pStyle w:val="7"/>
      </w:pPr>
      <w:bookmarkStart w:id="130" w:name="bookmark92"/>
      <w:bookmarkEnd w:id="130"/>
      <w:r>
        <w:t xml:space="preserve">3.4 </w:t>
      </w:r>
      <w:r>
        <w:rPr>
          <w:rFonts w:hint="eastAsia"/>
        </w:rPr>
        <w:t>评标结果</w:t>
      </w:r>
    </w:p>
    <w:p>
      <w:pPr>
        <w:spacing w:line="360" w:lineRule="auto"/>
        <w:ind w:firstLine="480" w:firstLineChars="200"/>
        <w:rPr>
          <w:rFonts w:ascii="宋体" w:hAnsi="宋体"/>
          <w:sz w:val="24"/>
          <w:szCs w:val="24"/>
        </w:rPr>
      </w:pPr>
      <w:r>
        <w:rPr>
          <w:rFonts w:ascii="宋体" w:hAnsi="宋体"/>
          <w:sz w:val="24"/>
          <w:szCs w:val="24"/>
        </w:rPr>
        <w:t>3.4.1</w:t>
      </w:r>
      <w:r>
        <w:rPr>
          <w:rFonts w:hint="eastAsia" w:ascii="宋体" w:hAnsi="宋体"/>
          <w:sz w:val="24"/>
          <w:szCs w:val="24"/>
        </w:rPr>
        <w:t>除第二章“投标人须知”前附表授权直接确定中标人外，评标委员会按照得分由高到低的顺序推荐中标候选人，并标明排序。</w:t>
      </w:r>
    </w:p>
    <w:p>
      <w:r>
        <w:rPr>
          <w:rFonts w:ascii="宋体" w:hAnsi="宋体"/>
          <w:sz w:val="24"/>
          <w:szCs w:val="24"/>
        </w:rPr>
        <w:t>3.4.2</w:t>
      </w:r>
      <w:r>
        <w:rPr>
          <w:rFonts w:hint="eastAsia" w:ascii="宋体" w:hAnsi="宋体"/>
          <w:sz w:val="24"/>
          <w:szCs w:val="24"/>
        </w:rPr>
        <w:t>评标委员会完成评标后，应当向招标人提交书面评标报告和中标候选人名单。</w:t>
      </w:r>
    </w:p>
    <w:p>
      <w:pPr>
        <w:pStyle w:val="3"/>
        <w:rPr>
          <w:rFonts w:ascii="仿宋" w:hAnsi="仿宋" w:eastAsia="仿宋"/>
          <w:szCs w:val="21"/>
        </w:rPr>
      </w:pPr>
      <w:r>
        <w:rPr>
          <w:rFonts w:cs="宋体"/>
          <w:szCs w:val="21"/>
        </w:rPr>
        <w:br w:type="page"/>
      </w:r>
      <w:bookmarkStart w:id="131" w:name="_Toc12056"/>
      <w:bookmarkStart w:id="132" w:name="_Toc533357322"/>
      <w:r>
        <w:rPr>
          <w:rFonts w:hint="eastAsia"/>
        </w:rPr>
        <w:t>第四章  合同条款及格式</w:t>
      </w:r>
      <w:bookmarkEnd w:id="131"/>
      <w:bookmarkEnd w:id="132"/>
      <w:bookmarkStart w:id="133" w:name="_Toc533357324"/>
    </w:p>
    <w:p/>
    <w:p>
      <w:pPr>
        <w:pStyle w:val="3"/>
      </w:pPr>
      <w:r>
        <w:rPr>
          <w:rFonts w:hint="eastAsia"/>
        </w:rPr>
        <w:br w:type="page"/>
      </w:r>
      <w:bookmarkStart w:id="134" w:name="_Toc13347"/>
      <w:r>
        <w:rPr>
          <w:rFonts w:hint="eastAsia"/>
        </w:rPr>
        <w:t>第二卷</w:t>
      </w:r>
      <w:bookmarkEnd w:id="134"/>
    </w:p>
    <w:p>
      <w:pPr>
        <w:pStyle w:val="3"/>
        <w:numPr>
          <w:ilvl w:val="0"/>
          <w:numId w:val="2"/>
        </w:numPr>
      </w:pPr>
      <w:r>
        <w:rPr>
          <w:rFonts w:hint="eastAsia"/>
        </w:rPr>
        <w:t xml:space="preserve"> </w:t>
      </w:r>
      <w:bookmarkStart w:id="135" w:name="_Toc3390"/>
      <w:r>
        <w:rPr>
          <w:rFonts w:hint="eastAsia"/>
        </w:rPr>
        <w:t>委托人要求</w:t>
      </w:r>
      <w:bookmarkEnd w:id="135"/>
    </w:p>
    <w:p>
      <w:pPr>
        <w:spacing w:line="360" w:lineRule="auto"/>
        <w:ind w:firstLine="426" w:firstLineChars="177"/>
        <w:rPr>
          <w:rFonts w:ascii="宋体" w:hAnsi="宋体"/>
          <w:b/>
          <w:sz w:val="24"/>
          <w:szCs w:val="24"/>
        </w:rPr>
      </w:pPr>
      <w:r>
        <w:rPr>
          <w:rFonts w:hint="eastAsia" w:ascii="宋体" w:hAnsi="宋体"/>
          <w:b/>
          <w:sz w:val="24"/>
          <w:szCs w:val="24"/>
        </w:rPr>
        <w:t>1. 项目概况：</w:t>
      </w:r>
    </w:p>
    <w:p>
      <w:pPr>
        <w:spacing w:line="360" w:lineRule="auto"/>
        <w:ind w:firstLine="424" w:firstLineChars="177"/>
        <w:rPr>
          <w:rFonts w:ascii="宋体" w:hAnsi="宋体"/>
          <w:sz w:val="24"/>
          <w:szCs w:val="24"/>
        </w:rPr>
      </w:pPr>
      <w:r>
        <w:rPr>
          <w:rFonts w:hint="eastAsia" w:ascii="宋体" w:hAnsi="宋体"/>
          <w:sz w:val="24"/>
          <w:szCs w:val="24"/>
        </w:rPr>
        <w:t>1.1项目名称：</w:t>
      </w:r>
      <w:r>
        <w:rPr>
          <w:rFonts w:hint="eastAsia" w:ascii="宋体" w:hAnsi="宋体"/>
          <w:sz w:val="24"/>
          <w:szCs w:val="24"/>
          <w:u w:val="single"/>
        </w:rPr>
        <w:t>广州国际智谷总部中心项目第三方检测服务</w:t>
      </w:r>
    </w:p>
    <w:p>
      <w:pPr>
        <w:tabs>
          <w:tab w:val="left" w:pos="7513"/>
        </w:tabs>
        <w:spacing w:line="360" w:lineRule="auto"/>
        <w:ind w:firstLine="424" w:firstLineChars="177"/>
        <w:rPr>
          <w:rFonts w:ascii="宋体" w:hAnsi="宋体"/>
          <w:sz w:val="24"/>
          <w:szCs w:val="24"/>
        </w:rPr>
      </w:pPr>
      <w:r>
        <w:rPr>
          <w:rFonts w:hint="eastAsia" w:ascii="宋体" w:hAnsi="宋体"/>
          <w:sz w:val="24"/>
          <w:szCs w:val="24"/>
        </w:rPr>
        <w:t>1.2建设规模：</w:t>
      </w:r>
      <w:r>
        <w:rPr>
          <w:rFonts w:hint="eastAsia" w:ascii="宋体" w:hAnsi="宋体"/>
          <w:sz w:val="24"/>
          <w:szCs w:val="24"/>
          <w:u w:val="single"/>
        </w:rPr>
        <w:t>项目用地面积12030㎡，可建设用地面积12030㎡，总建筑面积约187200㎡。其中计容建筑面积144360㎡，包括写字楼、创意办公（类住宅产品）和商业裙房；不计容建筑面积约42840㎡，限高150米（最终建设规模以有关部门审批通过的方案为准）</w:t>
      </w:r>
      <w:r>
        <w:rPr>
          <w:rFonts w:hint="eastAsia" w:ascii="宋体" w:hAnsi="宋体"/>
          <w:sz w:val="24"/>
          <w:u w:val="single"/>
        </w:rPr>
        <w:t xml:space="preserve">。 </w:t>
      </w:r>
    </w:p>
    <w:p>
      <w:pPr>
        <w:spacing w:line="360" w:lineRule="auto"/>
        <w:ind w:firstLine="424" w:firstLineChars="177"/>
        <w:rPr>
          <w:rFonts w:ascii="宋体" w:hAnsi="宋体"/>
          <w:sz w:val="24"/>
          <w:szCs w:val="24"/>
        </w:rPr>
      </w:pPr>
      <w:r>
        <w:rPr>
          <w:rFonts w:hint="eastAsia" w:ascii="宋体" w:hAnsi="宋体"/>
          <w:sz w:val="24"/>
          <w:szCs w:val="24"/>
        </w:rPr>
        <w:t>1.3建设地点：</w:t>
      </w:r>
      <w:r>
        <w:rPr>
          <w:rFonts w:hint="eastAsia" w:ascii="宋体" w:hAnsi="宋体" w:cs="宋体"/>
          <w:sz w:val="24"/>
          <w:szCs w:val="24"/>
          <w:u w:val="single"/>
        </w:rPr>
        <w:t>广州市黄埔区黄埔大道以南黄埔临港经济区鱼珠LG-YZ-02地块。</w:t>
      </w:r>
    </w:p>
    <w:p>
      <w:pPr>
        <w:spacing w:line="360" w:lineRule="auto"/>
        <w:ind w:firstLine="424" w:firstLineChars="177"/>
        <w:rPr>
          <w:rFonts w:ascii="宋体" w:hAnsi="宋体"/>
          <w:sz w:val="24"/>
          <w:szCs w:val="24"/>
        </w:rPr>
      </w:pPr>
      <w:r>
        <w:rPr>
          <w:rFonts w:hint="eastAsia" w:ascii="宋体" w:hAnsi="宋体"/>
          <w:sz w:val="24"/>
          <w:szCs w:val="24"/>
        </w:rPr>
        <w:t>1.4工程投资：</w:t>
      </w:r>
      <w:r>
        <w:rPr>
          <w:rFonts w:hint="eastAsia" w:ascii="宋体" w:hAnsi="宋体"/>
          <w:sz w:val="24"/>
          <w:u w:val="single"/>
        </w:rPr>
        <w:t>项目总投资约338900万元，其中建安工程费113466.6万元</w:t>
      </w:r>
      <w:r>
        <w:rPr>
          <w:rFonts w:hint="eastAsia" w:ascii="宋体" w:hAnsi="宋体"/>
          <w:sz w:val="24"/>
          <w:szCs w:val="24"/>
          <w:u w:val="single"/>
        </w:rPr>
        <w:t>。</w:t>
      </w:r>
    </w:p>
    <w:p>
      <w:pPr>
        <w:spacing w:line="360" w:lineRule="auto"/>
        <w:ind w:firstLine="424" w:firstLineChars="177"/>
        <w:rPr>
          <w:rFonts w:ascii="宋体" w:hAnsi="宋体"/>
          <w:sz w:val="24"/>
          <w:szCs w:val="24"/>
        </w:rPr>
      </w:pPr>
      <w:r>
        <w:rPr>
          <w:rFonts w:hint="eastAsia" w:ascii="宋体" w:hAnsi="宋体"/>
          <w:sz w:val="24"/>
          <w:szCs w:val="24"/>
        </w:rPr>
        <w:t>1.5本次招标服务期：</w:t>
      </w:r>
    </w:p>
    <w:p>
      <w:pPr>
        <w:spacing w:line="360" w:lineRule="auto"/>
        <w:ind w:firstLine="424" w:firstLineChars="177"/>
        <w:rPr>
          <w:rFonts w:ascii="宋体" w:hAnsi="宋体"/>
          <w:sz w:val="24"/>
          <w:szCs w:val="24"/>
          <w:u w:val="single"/>
        </w:rPr>
      </w:pPr>
      <w:r>
        <w:rPr>
          <w:rFonts w:hint="eastAsia" w:ascii="宋体" w:hAnsi="宋体"/>
          <w:sz w:val="24"/>
          <w:szCs w:val="24"/>
          <w:u w:val="single"/>
        </w:rPr>
        <w:t>从中标单位进场至所有服务项目完成，服务周期必须满足实际施工及竣工验收要求。进场日期以招标人人通知时间为准。</w:t>
      </w:r>
    </w:p>
    <w:p>
      <w:pPr>
        <w:spacing w:line="360" w:lineRule="auto"/>
        <w:ind w:firstLine="424" w:firstLineChars="177"/>
        <w:rPr>
          <w:rFonts w:ascii="宋体" w:hAnsi="宋体"/>
          <w:sz w:val="24"/>
          <w:szCs w:val="24"/>
        </w:rPr>
      </w:pPr>
      <w:r>
        <w:rPr>
          <w:rFonts w:hint="eastAsia" w:ascii="宋体" w:hAnsi="宋体"/>
          <w:sz w:val="24"/>
          <w:szCs w:val="24"/>
        </w:rPr>
        <w:t>1.6工程质量标准：</w:t>
      </w:r>
      <w:r>
        <w:rPr>
          <w:rFonts w:hint="eastAsia" w:ascii="宋体" w:hAnsi="宋体"/>
          <w:sz w:val="24"/>
          <w:szCs w:val="24"/>
          <w:u w:val="single"/>
        </w:rPr>
        <w:t>合格。</w:t>
      </w:r>
    </w:p>
    <w:p>
      <w:pPr>
        <w:spacing w:line="360" w:lineRule="auto"/>
        <w:ind w:firstLine="426" w:firstLineChars="177"/>
        <w:rPr>
          <w:rFonts w:ascii="宋体" w:hAnsi="宋体"/>
          <w:b/>
          <w:sz w:val="24"/>
          <w:szCs w:val="24"/>
        </w:rPr>
      </w:pPr>
      <w:r>
        <w:rPr>
          <w:rFonts w:hint="eastAsia" w:ascii="宋体" w:hAnsi="宋体"/>
          <w:b/>
          <w:sz w:val="24"/>
          <w:szCs w:val="24"/>
        </w:rPr>
        <w:t>2.检测范围及内容：</w:t>
      </w:r>
    </w:p>
    <w:p>
      <w:pPr>
        <w:spacing w:line="360" w:lineRule="auto"/>
        <w:ind w:firstLine="424" w:firstLineChars="177"/>
        <w:rPr>
          <w:rFonts w:ascii="宋体" w:hAnsi="宋体"/>
          <w:sz w:val="24"/>
          <w:szCs w:val="24"/>
          <w:u w:val="single"/>
        </w:rPr>
      </w:pPr>
      <w:r>
        <w:rPr>
          <w:rFonts w:hint="eastAsia" w:ascii="宋体" w:hAnsi="宋体"/>
          <w:sz w:val="24"/>
          <w:szCs w:val="24"/>
          <w:u w:val="single"/>
        </w:rPr>
        <w:t>依据施工图及相关规范要求，开展工程第三方检测工作，具体以施工图纸、检测规范及主管部门要求为准。施工及验收阶段相关的第三方检测包括但不限于地基基础工程检测、主体结构工程现场检测、钢结构工程检测、见证取样检测等按规范和验收要求必须检测的项目。具体根据图纸、工程量清单及项目现场实际情况确定。服务范围除以上工作外，还包括但不限于以下内容：</w:t>
      </w:r>
    </w:p>
    <w:p>
      <w:pPr>
        <w:spacing w:line="360" w:lineRule="auto"/>
        <w:ind w:firstLine="424" w:firstLineChars="177"/>
        <w:rPr>
          <w:rFonts w:ascii="宋体" w:hAnsi="宋体"/>
          <w:bCs/>
          <w:sz w:val="24"/>
          <w:szCs w:val="24"/>
          <w:u w:val="single"/>
        </w:rPr>
      </w:pPr>
      <w:r>
        <w:rPr>
          <w:rFonts w:hint="eastAsia" w:ascii="宋体" w:hAnsi="宋体"/>
          <w:bCs/>
          <w:sz w:val="24"/>
          <w:szCs w:val="24"/>
          <w:u w:val="single"/>
        </w:rPr>
        <w:t>（1）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w:t>
      </w:r>
    </w:p>
    <w:p>
      <w:pPr>
        <w:spacing w:line="360" w:lineRule="auto"/>
        <w:ind w:firstLine="424" w:firstLineChars="177"/>
        <w:rPr>
          <w:rFonts w:ascii="宋体" w:hAnsi="宋体"/>
          <w:bCs/>
          <w:sz w:val="24"/>
          <w:szCs w:val="24"/>
          <w:u w:val="single"/>
        </w:rPr>
      </w:pPr>
      <w:r>
        <w:rPr>
          <w:rFonts w:hint="eastAsia" w:ascii="宋体" w:hAnsi="宋体"/>
          <w:bCs/>
          <w:sz w:val="24"/>
          <w:szCs w:val="24"/>
          <w:u w:val="single"/>
        </w:rPr>
        <w:t>（2）在进行检测任务的过程中与该工程相关的施工单位、监理单位、设计单位、业主、建设管理单位、建设主管部门等相关单位的协调工作，且合同价中已经综合考虑了该项协调工作的费用。</w:t>
      </w:r>
    </w:p>
    <w:p>
      <w:pPr>
        <w:spacing w:line="360" w:lineRule="auto"/>
        <w:ind w:firstLine="424" w:firstLineChars="177"/>
        <w:rPr>
          <w:rFonts w:ascii="宋体" w:hAnsi="宋体"/>
          <w:bCs/>
          <w:sz w:val="24"/>
          <w:szCs w:val="24"/>
          <w:u w:val="single"/>
        </w:rPr>
      </w:pPr>
      <w:r>
        <w:rPr>
          <w:rFonts w:hint="eastAsia" w:ascii="宋体" w:hAnsi="宋体"/>
          <w:bCs/>
          <w:sz w:val="24"/>
          <w:szCs w:val="24"/>
          <w:u w:val="single"/>
        </w:rPr>
        <w:t>（3）因按相关规定须与行业、行政监督部门传输报送检测数据信息的工作，且合同价中已经综合考虑了该项协调工作的费用。</w:t>
      </w:r>
    </w:p>
    <w:p>
      <w:pPr>
        <w:spacing w:line="360" w:lineRule="auto"/>
        <w:ind w:firstLine="424" w:firstLineChars="177"/>
        <w:rPr>
          <w:rFonts w:ascii="宋体" w:hAnsi="宋体"/>
          <w:bCs/>
          <w:sz w:val="24"/>
          <w:szCs w:val="24"/>
          <w:u w:val="single"/>
        </w:rPr>
      </w:pPr>
      <w:r>
        <w:rPr>
          <w:rFonts w:hint="eastAsia" w:ascii="宋体" w:hAnsi="宋体"/>
          <w:bCs/>
          <w:sz w:val="24"/>
          <w:szCs w:val="24"/>
          <w:u w:val="single"/>
        </w:rPr>
        <w:t>（4）根据相关规范和标准、主管部门文件的规定以及设计图纸的有关要求，结合工程实际情况编制相关项目的《检测方案》，并报质监部门备案（如需要）。</w:t>
      </w:r>
    </w:p>
    <w:p>
      <w:pPr>
        <w:spacing w:line="360" w:lineRule="auto"/>
        <w:ind w:firstLine="424" w:firstLineChars="177"/>
        <w:rPr>
          <w:rFonts w:ascii="宋体" w:hAnsi="宋体"/>
          <w:bCs/>
          <w:sz w:val="24"/>
          <w:szCs w:val="24"/>
        </w:rPr>
      </w:pPr>
      <w:r>
        <w:rPr>
          <w:rFonts w:hint="eastAsia" w:ascii="宋体" w:hAnsi="宋体"/>
          <w:bCs/>
          <w:sz w:val="24"/>
          <w:szCs w:val="24"/>
          <w:u w:val="single"/>
        </w:rPr>
        <w:t>（5）负责检测的工程质量需符合《建设工程质量管理条例》等国家相关管理要求。（具体以招标文件、施工图纸、检测方案为准）。</w:t>
      </w:r>
    </w:p>
    <w:p>
      <w:pPr>
        <w:spacing w:line="360" w:lineRule="auto"/>
        <w:ind w:firstLine="426" w:firstLineChars="177"/>
        <w:rPr>
          <w:rFonts w:ascii="宋体" w:hAnsi="宋体"/>
          <w:b/>
          <w:sz w:val="24"/>
          <w:szCs w:val="24"/>
        </w:rPr>
      </w:pPr>
      <w:r>
        <w:rPr>
          <w:rFonts w:hint="eastAsia" w:ascii="宋体" w:hAnsi="宋体"/>
          <w:b/>
          <w:sz w:val="24"/>
          <w:szCs w:val="24"/>
        </w:rPr>
        <w:t>3.检测标准：</w:t>
      </w:r>
    </w:p>
    <w:p>
      <w:pPr>
        <w:spacing w:line="360" w:lineRule="auto"/>
        <w:ind w:firstLine="424" w:firstLineChars="177"/>
        <w:rPr>
          <w:rFonts w:ascii="宋体" w:hAnsi="宋体"/>
          <w:sz w:val="24"/>
          <w:szCs w:val="24"/>
        </w:rPr>
      </w:pPr>
      <w:r>
        <w:rPr>
          <w:rFonts w:hint="eastAsia" w:ascii="宋体" w:hAnsi="宋体"/>
          <w:sz w:val="24"/>
          <w:szCs w:val="24"/>
        </w:rPr>
        <w:t>（1）《建筑工程施工质量验收统一标准》（GB50300-2013）；</w:t>
      </w:r>
    </w:p>
    <w:p>
      <w:pPr>
        <w:spacing w:line="360" w:lineRule="auto"/>
        <w:ind w:firstLine="424" w:firstLineChars="177"/>
        <w:rPr>
          <w:rFonts w:ascii="宋体" w:hAnsi="宋体"/>
          <w:sz w:val="24"/>
          <w:szCs w:val="24"/>
        </w:rPr>
      </w:pPr>
      <w:r>
        <w:rPr>
          <w:rFonts w:hint="eastAsia" w:ascii="宋体" w:hAnsi="宋体"/>
          <w:sz w:val="24"/>
          <w:szCs w:val="24"/>
        </w:rPr>
        <w:t>（2）《混凝土结构工程施工质量验收规范》（GB50204-2015）</w:t>
      </w:r>
    </w:p>
    <w:p>
      <w:pPr>
        <w:spacing w:line="360" w:lineRule="auto"/>
        <w:ind w:firstLine="424" w:firstLineChars="177"/>
        <w:rPr>
          <w:rFonts w:ascii="宋体" w:hAnsi="宋体"/>
          <w:sz w:val="24"/>
          <w:szCs w:val="24"/>
        </w:rPr>
      </w:pPr>
      <w:r>
        <w:rPr>
          <w:rFonts w:hint="eastAsia" w:ascii="宋体" w:hAnsi="宋体"/>
          <w:sz w:val="24"/>
          <w:szCs w:val="24"/>
        </w:rPr>
        <w:t>（3）《砌体工程施工质量验收规范》（GB50203-2011）</w:t>
      </w:r>
    </w:p>
    <w:p>
      <w:pPr>
        <w:spacing w:line="360" w:lineRule="auto"/>
        <w:ind w:firstLine="424" w:firstLineChars="177"/>
        <w:rPr>
          <w:rFonts w:ascii="宋体" w:hAnsi="宋体"/>
          <w:sz w:val="24"/>
          <w:szCs w:val="24"/>
        </w:rPr>
      </w:pPr>
      <w:r>
        <w:rPr>
          <w:rFonts w:hint="eastAsia" w:ascii="宋体" w:hAnsi="宋体"/>
          <w:sz w:val="24"/>
          <w:szCs w:val="24"/>
        </w:rPr>
        <w:t>（4）《屋面工程质量验收规范》（GB50207-2012）</w:t>
      </w:r>
    </w:p>
    <w:p>
      <w:pPr>
        <w:spacing w:line="360" w:lineRule="auto"/>
        <w:ind w:firstLine="424" w:firstLineChars="177"/>
        <w:rPr>
          <w:rFonts w:ascii="宋体" w:hAnsi="宋体"/>
          <w:sz w:val="24"/>
          <w:szCs w:val="24"/>
        </w:rPr>
      </w:pPr>
      <w:r>
        <w:rPr>
          <w:rFonts w:hint="eastAsia" w:ascii="宋体" w:hAnsi="宋体"/>
          <w:sz w:val="24"/>
          <w:szCs w:val="24"/>
        </w:rPr>
        <w:t>（5）《给水排水管道工程施工及验收规范》（GB50268-2008）</w:t>
      </w:r>
    </w:p>
    <w:p>
      <w:pPr>
        <w:spacing w:line="360" w:lineRule="auto"/>
        <w:ind w:firstLine="424" w:firstLineChars="177"/>
        <w:rPr>
          <w:rFonts w:ascii="宋体" w:hAnsi="宋体"/>
          <w:sz w:val="24"/>
          <w:szCs w:val="24"/>
        </w:rPr>
      </w:pPr>
      <w:r>
        <w:rPr>
          <w:rFonts w:hint="eastAsia" w:ascii="宋体" w:hAnsi="宋体"/>
          <w:sz w:val="24"/>
          <w:szCs w:val="24"/>
        </w:rPr>
        <w:t>（6）《建筑地面工程施工质量验收规范》（GB50209-2002）</w:t>
      </w:r>
    </w:p>
    <w:p>
      <w:pPr>
        <w:spacing w:line="360" w:lineRule="auto"/>
        <w:ind w:firstLine="424" w:firstLineChars="177"/>
        <w:rPr>
          <w:rFonts w:ascii="宋体" w:hAnsi="宋体"/>
          <w:sz w:val="24"/>
          <w:szCs w:val="24"/>
        </w:rPr>
      </w:pPr>
      <w:r>
        <w:rPr>
          <w:rFonts w:hint="eastAsia" w:ascii="宋体" w:hAnsi="宋体"/>
          <w:sz w:val="24"/>
          <w:szCs w:val="24"/>
        </w:rPr>
        <w:t>（7）《建筑装饰装修工程质量验收规范》（GB50300-2018）；</w:t>
      </w:r>
    </w:p>
    <w:p>
      <w:pPr>
        <w:spacing w:line="360" w:lineRule="auto"/>
        <w:ind w:firstLine="424" w:firstLineChars="177"/>
        <w:rPr>
          <w:rFonts w:ascii="宋体" w:hAnsi="宋体"/>
          <w:sz w:val="24"/>
          <w:szCs w:val="24"/>
        </w:rPr>
      </w:pPr>
      <w:r>
        <w:rPr>
          <w:rFonts w:hint="eastAsia" w:ascii="宋体" w:hAnsi="宋体"/>
          <w:sz w:val="24"/>
          <w:szCs w:val="24"/>
        </w:rPr>
        <w:t>（8）《广东省建筑节能工程施工质量验收规范》DBJ15-65-2009；</w:t>
      </w:r>
    </w:p>
    <w:p>
      <w:pPr>
        <w:spacing w:line="360" w:lineRule="auto"/>
        <w:ind w:firstLine="424" w:firstLineChars="177"/>
        <w:rPr>
          <w:rFonts w:ascii="宋体" w:hAnsi="宋体"/>
          <w:sz w:val="24"/>
          <w:szCs w:val="24"/>
        </w:rPr>
      </w:pPr>
      <w:r>
        <w:rPr>
          <w:rFonts w:hint="eastAsia" w:ascii="宋体" w:hAnsi="宋体"/>
          <w:sz w:val="24"/>
          <w:szCs w:val="24"/>
        </w:rPr>
        <w:t>（9）《建筑节能工程施工质量验收规范》GB50411；</w:t>
      </w:r>
    </w:p>
    <w:p>
      <w:pPr>
        <w:spacing w:line="360" w:lineRule="auto"/>
        <w:ind w:firstLine="424" w:firstLineChars="177"/>
        <w:rPr>
          <w:rFonts w:ascii="宋体" w:hAnsi="宋体"/>
          <w:sz w:val="24"/>
          <w:szCs w:val="24"/>
        </w:rPr>
      </w:pPr>
      <w:r>
        <w:rPr>
          <w:rFonts w:hint="eastAsia" w:ascii="宋体" w:hAnsi="宋体"/>
          <w:sz w:val="24"/>
          <w:szCs w:val="24"/>
        </w:rPr>
        <w:t>（10）《民用建筑工程室内环境污染控制规范》GB50325-2010；</w:t>
      </w:r>
    </w:p>
    <w:p>
      <w:pPr>
        <w:spacing w:line="360" w:lineRule="auto"/>
        <w:ind w:firstLine="424" w:firstLineChars="177"/>
        <w:rPr>
          <w:rFonts w:ascii="宋体" w:hAnsi="宋体"/>
          <w:sz w:val="24"/>
          <w:szCs w:val="24"/>
        </w:rPr>
      </w:pPr>
      <w:r>
        <w:rPr>
          <w:rFonts w:hint="eastAsia" w:ascii="宋体" w:hAnsi="宋体"/>
          <w:sz w:val="24"/>
          <w:szCs w:val="24"/>
        </w:rPr>
        <w:t>（11）《通风与空调工程施工质量验收规范》GB50243；</w:t>
      </w:r>
    </w:p>
    <w:p>
      <w:pPr>
        <w:spacing w:line="360" w:lineRule="auto"/>
        <w:ind w:firstLine="424" w:firstLineChars="177"/>
        <w:rPr>
          <w:rFonts w:ascii="宋体" w:hAnsi="宋体"/>
          <w:sz w:val="24"/>
          <w:szCs w:val="24"/>
        </w:rPr>
      </w:pPr>
      <w:r>
        <w:rPr>
          <w:rFonts w:hint="eastAsia" w:ascii="宋体" w:hAnsi="宋体"/>
          <w:sz w:val="24"/>
          <w:szCs w:val="24"/>
        </w:rPr>
        <w:t>（12）《建筑电气工程施工质量验收规范》GB50303；</w:t>
      </w:r>
    </w:p>
    <w:p>
      <w:pPr>
        <w:spacing w:line="360" w:lineRule="auto"/>
        <w:ind w:firstLine="424" w:firstLineChars="177"/>
        <w:rPr>
          <w:rFonts w:ascii="宋体" w:hAnsi="宋体"/>
          <w:sz w:val="24"/>
          <w:szCs w:val="24"/>
        </w:rPr>
      </w:pPr>
      <w:r>
        <w:rPr>
          <w:rFonts w:hint="eastAsia" w:ascii="宋体" w:hAnsi="宋体"/>
          <w:sz w:val="24"/>
          <w:szCs w:val="24"/>
        </w:rPr>
        <w:t>（13）《公共建筑节能检测标准》JGJ/T177；</w:t>
      </w:r>
    </w:p>
    <w:p>
      <w:pPr>
        <w:spacing w:line="360" w:lineRule="auto"/>
        <w:ind w:firstLine="424" w:firstLineChars="177"/>
        <w:rPr>
          <w:rFonts w:ascii="宋体" w:hAnsi="宋体"/>
          <w:sz w:val="24"/>
          <w:szCs w:val="24"/>
        </w:rPr>
      </w:pPr>
      <w:r>
        <w:rPr>
          <w:rFonts w:hint="eastAsia" w:ascii="宋体" w:hAnsi="宋体"/>
          <w:sz w:val="24"/>
          <w:szCs w:val="24"/>
        </w:rPr>
        <w:t>（14）《居住建筑节能检测标准》JGJ/T132；</w:t>
      </w:r>
    </w:p>
    <w:p>
      <w:pPr>
        <w:spacing w:line="360" w:lineRule="auto"/>
        <w:ind w:firstLine="424" w:firstLineChars="177"/>
        <w:rPr>
          <w:rFonts w:ascii="宋体" w:hAnsi="宋体"/>
          <w:sz w:val="24"/>
          <w:szCs w:val="24"/>
        </w:rPr>
      </w:pPr>
      <w:r>
        <w:rPr>
          <w:rFonts w:hint="eastAsia" w:ascii="宋体" w:hAnsi="宋体"/>
          <w:sz w:val="24"/>
          <w:szCs w:val="24"/>
        </w:rPr>
        <w:t>（15）《照明测量方法》GB/T5700；</w:t>
      </w:r>
    </w:p>
    <w:p>
      <w:pPr>
        <w:spacing w:line="360" w:lineRule="auto"/>
        <w:ind w:firstLine="424" w:firstLineChars="177"/>
        <w:rPr>
          <w:rFonts w:ascii="宋体" w:hAnsi="宋体"/>
          <w:sz w:val="24"/>
          <w:szCs w:val="24"/>
        </w:rPr>
      </w:pPr>
      <w:r>
        <w:rPr>
          <w:rFonts w:hint="eastAsia" w:ascii="宋体" w:hAnsi="宋体"/>
          <w:sz w:val="24"/>
          <w:szCs w:val="24"/>
        </w:rPr>
        <w:t>（16）《风机盘管机组》GB/T19232；</w:t>
      </w:r>
    </w:p>
    <w:p>
      <w:pPr>
        <w:spacing w:line="360" w:lineRule="auto"/>
        <w:ind w:firstLine="424" w:firstLineChars="177"/>
        <w:rPr>
          <w:rFonts w:ascii="宋体" w:hAnsi="宋体"/>
          <w:sz w:val="24"/>
          <w:szCs w:val="24"/>
        </w:rPr>
      </w:pPr>
      <w:r>
        <w:rPr>
          <w:rFonts w:hint="eastAsia" w:ascii="宋体" w:hAnsi="宋体"/>
          <w:sz w:val="24"/>
          <w:szCs w:val="24"/>
        </w:rPr>
        <w:t>（17）广东省标准《园林绿化用植物材料》DB440100/T105-2006</w:t>
      </w:r>
    </w:p>
    <w:p>
      <w:pPr>
        <w:spacing w:line="360" w:lineRule="auto"/>
        <w:ind w:firstLine="424" w:firstLineChars="177"/>
        <w:rPr>
          <w:rFonts w:ascii="宋体" w:hAnsi="宋体"/>
          <w:sz w:val="24"/>
          <w:szCs w:val="24"/>
        </w:rPr>
      </w:pPr>
      <w:r>
        <w:rPr>
          <w:rFonts w:hint="eastAsia" w:ascii="宋体" w:hAnsi="宋体"/>
          <w:sz w:val="24"/>
          <w:szCs w:val="24"/>
        </w:rPr>
        <w:t>（18）广东省标准《广东城市绿化工程施工和验收规范》DB44/T581-2009</w:t>
      </w:r>
    </w:p>
    <w:p>
      <w:pPr>
        <w:spacing w:line="360" w:lineRule="auto"/>
        <w:ind w:firstLine="424" w:firstLineChars="177"/>
        <w:rPr>
          <w:rFonts w:ascii="宋体" w:hAnsi="宋体"/>
          <w:sz w:val="24"/>
          <w:szCs w:val="24"/>
        </w:rPr>
      </w:pPr>
      <w:r>
        <w:rPr>
          <w:rFonts w:hint="eastAsia" w:ascii="宋体" w:hAnsi="宋体"/>
          <w:sz w:val="24"/>
          <w:szCs w:val="24"/>
        </w:rPr>
        <w:t>（19）广东省标准《城市绿化和园林绿地用植物材料木本苗》CJ/T24-1999</w:t>
      </w:r>
    </w:p>
    <w:p>
      <w:pPr>
        <w:spacing w:line="360" w:lineRule="auto"/>
        <w:ind w:firstLine="424" w:firstLineChars="177"/>
        <w:rPr>
          <w:rFonts w:ascii="宋体" w:hAnsi="宋体"/>
          <w:sz w:val="24"/>
          <w:szCs w:val="24"/>
        </w:rPr>
      </w:pPr>
      <w:r>
        <w:rPr>
          <w:rFonts w:hint="eastAsia" w:ascii="宋体" w:hAnsi="宋体"/>
          <w:sz w:val="24"/>
          <w:szCs w:val="24"/>
        </w:rPr>
        <w:t xml:space="preserve">（20）国家和广东省、广州市、黄埔区、开发区其他有关检测的法律、法规、规章、规范及标准。 </w:t>
      </w:r>
    </w:p>
    <w:p>
      <w:pPr>
        <w:spacing w:line="360" w:lineRule="auto"/>
        <w:ind w:firstLine="426" w:firstLineChars="177"/>
        <w:rPr>
          <w:rFonts w:ascii="宋体" w:hAnsi="宋体"/>
          <w:sz w:val="24"/>
          <w:szCs w:val="24"/>
        </w:rPr>
      </w:pPr>
      <w:r>
        <w:rPr>
          <w:rFonts w:hint="eastAsia" w:ascii="宋体" w:hAnsi="宋体"/>
          <w:b/>
          <w:sz w:val="24"/>
          <w:szCs w:val="24"/>
        </w:rPr>
        <w:t>4.服务要求：</w:t>
      </w:r>
    </w:p>
    <w:p>
      <w:pPr>
        <w:spacing w:line="360" w:lineRule="auto"/>
        <w:ind w:firstLine="424" w:firstLineChars="177"/>
        <w:rPr>
          <w:rFonts w:ascii="宋体" w:hAnsi="宋体"/>
          <w:sz w:val="24"/>
          <w:szCs w:val="24"/>
        </w:rPr>
      </w:pPr>
      <w:r>
        <w:rPr>
          <w:rFonts w:hint="eastAsia" w:ascii="宋体" w:hAnsi="宋体"/>
          <w:sz w:val="24"/>
          <w:szCs w:val="24"/>
        </w:rPr>
        <w:t>（1）符合法律、行政法规及部门规章；</w:t>
      </w:r>
    </w:p>
    <w:p>
      <w:pPr>
        <w:spacing w:line="360" w:lineRule="auto"/>
        <w:ind w:firstLine="424" w:firstLineChars="177"/>
        <w:rPr>
          <w:rFonts w:ascii="宋体" w:hAnsi="宋体"/>
          <w:sz w:val="24"/>
          <w:szCs w:val="24"/>
        </w:rPr>
      </w:pPr>
      <w:r>
        <w:rPr>
          <w:rFonts w:hint="eastAsia" w:ascii="宋体" w:hAnsi="宋体"/>
          <w:sz w:val="24"/>
          <w:szCs w:val="24"/>
        </w:rPr>
        <w:t>（2）符合本工程有关的规范、标准、规程。</w:t>
      </w:r>
    </w:p>
    <w:p>
      <w:pPr>
        <w:spacing w:line="360" w:lineRule="auto"/>
        <w:ind w:firstLine="424" w:firstLineChars="177"/>
        <w:rPr>
          <w:rFonts w:ascii="宋体" w:hAnsi="宋体"/>
          <w:sz w:val="24"/>
          <w:szCs w:val="24"/>
        </w:rPr>
      </w:pPr>
      <w:r>
        <w:rPr>
          <w:rFonts w:hint="eastAsia" w:ascii="宋体" w:hAnsi="宋体"/>
          <w:sz w:val="24"/>
          <w:szCs w:val="24"/>
        </w:rPr>
        <w:t>（3）按照《中华人民共和国建筑法》、《建设工程质量检测管理办法》中华人民共和国行业标准及其它相关等规范进行检测和判定，出具完整检测报告。检测报告应经检测人员签字、检测机构法定代表人或者其授权的签字人签署，并加盖检测机构公章或者检测专用章。</w:t>
      </w:r>
    </w:p>
    <w:p>
      <w:pPr>
        <w:spacing w:line="360" w:lineRule="auto"/>
        <w:ind w:firstLine="426" w:firstLineChars="177"/>
        <w:rPr>
          <w:rFonts w:ascii="宋体" w:hAnsi="宋体"/>
          <w:b/>
          <w:sz w:val="24"/>
          <w:szCs w:val="24"/>
        </w:rPr>
      </w:pPr>
      <w:bookmarkStart w:id="136" w:name="_Toc9843"/>
      <w:bookmarkStart w:id="137" w:name="_Toc511557119"/>
      <w:bookmarkStart w:id="138" w:name="_Toc24882"/>
      <w:r>
        <w:rPr>
          <w:rFonts w:hint="eastAsia" w:ascii="宋体" w:hAnsi="宋体"/>
          <w:b/>
          <w:sz w:val="24"/>
          <w:szCs w:val="24"/>
        </w:rPr>
        <w:t>5.委托人的其他要求</w:t>
      </w:r>
      <w:bookmarkEnd w:id="136"/>
      <w:bookmarkEnd w:id="137"/>
      <w:bookmarkEnd w:id="138"/>
      <w:r>
        <w:rPr>
          <w:rFonts w:hint="eastAsia" w:ascii="宋体" w:hAnsi="宋体"/>
          <w:b/>
          <w:sz w:val="24"/>
          <w:szCs w:val="24"/>
        </w:rPr>
        <w:t>：</w:t>
      </w:r>
    </w:p>
    <w:p>
      <w:pPr>
        <w:pStyle w:val="27"/>
        <w:spacing w:line="360" w:lineRule="auto"/>
        <w:ind w:left="0" w:leftChars="0" w:firstLine="480"/>
        <w:rPr>
          <w:rFonts w:ascii="宋体" w:hAnsi="宋体"/>
          <w:sz w:val="24"/>
        </w:rPr>
      </w:pPr>
      <w:r>
        <w:rPr>
          <w:rFonts w:hint="eastAsia" w:ascii="宋体" w:hAnsi="宋体"/>
          <w:sz w:val="24"/>
        </w:rPr>
        <w:t>1.本项目实施期间，如果因本项目施工质量抽查监督及验收需要，按规范和经批准的检测方案，经招标人确认需增加检测项目，且投标人也具备相应资质，则投标人不得以任何原因拒绝为招标人提供检测，并按要求出具符合验收要求的检测报告。投标人检测资质不能涵盖的项目报招标人批准后，由投标人委托具有相应资质的第三方实施，投标人应对该第三方出具的结果负责，并取得相应管理部门的确认。</w:t>
      </w:r>
    </w:p>
    <w:p>
      <w:pPr>
        <w:pStyle w:val="27"/>
        <w:spacing w:line="360" w:lineRule="auto"/>
        <w:ind w:left="0" w:leftChars="0" w:firstLine="480"/>
        <w:rPr>
          <w:rFonts w:ascii="宋体" w:hAnsi="宋体"/>
          <w:sz w:val="24"/>
        </w:rPr>
      </w:pPr>
      <w:r>
        <w:rPr>
          <w:rFonts w:hint="eastAsia" w:ascii="宋体" w:hAnsi="宋体"/>
          <w:sz w:val="24"/>
        </w:rPr>
        <w:t>2.检测方案及工作量：在施工过程中，检测服务单位依据施工图及相关检测验收规范，编制检测方案和工程量清单，以满足施工质量抽查监督、各单项竣工验收、竣工验收备案及区质检站等政府职能部门要求为前提，合理编制，不可擅自虚增检测项目和工作量，否则不予结算。检测方案需报施工单位、监理单位、设计单位、勘察单位、代建单位和建设业主审核确认后方可实施，检测项目及工作量按实结算。</w:t>
      </w:r>
    </w:p>
    <w:p>
      <w:pPr>
        <w:pStyle w:val="27"/>
        <w:spacing w:line="360" w:lineRule="auto"/>
        <w:ind w:left="0" w:leftChars="0" w:firstLine="480"/>
        <w:rPr>
          <w:rFonts w:ascii="宋体" w:hAnsi="宋体"/>
          <w:sz w:val="24"/>
        </w:rPr>
      </w:pPr>
      <w:r>
        <w:rPr>
          <w:rFonts w:hint="eastAsia" w:ascii="宋体" w:hAnsi="宋体"/>
          <w:sz w:val="24"/>
        </w:rPr>
        <w:t>3.其他详见本招标文件的第一章投标人须知和本工程委托检测合同的相关约定。</w:t>
      </w:r>
    </w:p>
    <w:p>
      <w:pPr>
        <w:pStyle w:val="3"/>
      </w:pPr>
      <w:r>
        <w:br w:type="page"/>
      </w:r>
      <w:bookmarkStart w:id="139" w:name="_Toc30698"/>
      <w:r>
        <w:rPr>
          <w:rFonts w:hint="eastAsia"/>
        </w:rPr>
        <w:t>第三卷</w:t>
      </w:r>
      <w:bookmarkEnd w:id="133"/>
      <w:bookmarkEnd w:id="139"/>
    </w:p>
    <w:p>
      <w:pPr>
        <w:pStyle w:val="3"/>
      </w:pPr>
      <w:bookmarkStart w:id="140" w:name="_Toc533357327"/>
      <w:bookmarkStart w:id="141" w:name="_Toc2527"/>
      <w:r>
        <w:rPr>
          <w:rFonts w:hint="eastAsia"/>
        </w:rPr>
        <w:t>第六章  投标文件格式</w:t>
      </w:r>
      <w:bookmarkEnd w:id="140"/>
      <w:bookmarkEnd w:id="141"/>
    </w:p>
    <w:p/>
    <w:p>
      <w:pPr>
        <w:pStyle w:val="27"/>
        <w:rPr>
          <w:rFonts w:ascii="Calibri" w:hAnsi="Calibri"/>
        </w:rPr>
      </w:pPr>
    </w:p>
    <w:p>
      <w:pPr>
        <w:jc w:val="center"/>
        <w:rPr>
          <w:rFonts w:ascii="宋体" w:hAnsi="宋体"/>
          <w:b/>
          <w:sz w:val="28"/>
          <w:szCs w:val="28"/>
        </w:rPr>
      </w:pPr>
      <w:r>
        <w:rPr>
          <w:rFonts w:hint="eastAsia" w:ascii="宋体" w:hAnsi="宋体"/>
          <w:b/>
          <w:sz w:val="28"/>
          <w:szCs w:val="28"/>
        </w:rPr>
        <w:t>目  录</w:t>
      </w:r>
    </w:p>
    <w:p>
      <w:pPr>
        <w:pStyle w:val="26"/>
        <w:tabs>
          <w:tab w:val="left" w:pos="960"/>
        </w:tabs>
        <w:spacing w:line="440" w:lineRule="exact"/>
        <w:ind w:left="960"/>
        <w:rPr>
          <w:rFonts w:ascii="宋体" w:hAnsi="宋体"/>
          <w:sz w:val="24"/>
        </w:rPr>
      </w:pPr>
      <w:bookmarkStart w:id="142" w:name="_Toc390704763"/>
      <w:bookmarkStart w:id="143" w:name="_Toc266373528"/>
      <w:r>
        <w:rPr>
          <w:rFonts w:hint="eastAsia" w:ascii="宋体" w:hAnsi="宋体"/>
          <w:sz w:val="24"/>
        </w:rPr>
        <w:t>一、投标函及其附表</w:t>
      </w:r>
    </w:p>
    <w:p>
      <w:pPr>
        <w:pStyle w:val="26"/>
        <w:tabs>
          <w:tab w:val="left" w:pos="960"/>
        </w:tabs>
        <w:spacing w:line="440" w:lineRule="exact"/>
        <w:ind w:left="960"/>
        <w:rPr>
          <w:rFonts w:ascii="宋体" w:hAnsi="宋体"/>
          <w:sz w:val="24"/>
        </w:rPr>
      </w:pPr>
      <w:r>
        <w:rPr>
          <w:rFonts w:hint="eastAsia" w:ascii="宋体" w:hAnsi="宋体"/>
          <w:sz w:val="24"/>
        </w:rPr>
        <w:t>二、法定代表人证明书及授权委托书</w:t>
      </w:r>
    </w:p>
    <w:p>
      <w:pPr>
        <w:pStyle w:val="26"/>
        <w:tabs>
          <w:tab w:val="left" w:pos="960"/>
        </w:tabs>
        <w:spacing w:line="440" w:lineRule="exact"/>
        <w:ind w:left="960"/>
        <w:rPr>
          <w:rFonts w:ascii="宋体" w:hAnsi="宋体"/>
          <w:sz w:val="24"/>
        </w:rPr>
      </w:pPr>
      <w:r>
        <w:rPr>
          <w:rFonts w:hint="eastAsia" w:ascii="宋体" w:hAnsi="宋体"/>
          <w:sz w:val="24"/>
        </w:rPr>
        <w:t>三、投标保证金</w:t>
      </w:r>
    </w:p>
    <w:p>
      <w:pPr>
        <w:pStyle w:val="26"/>
        <w:tabs>
          <w:tab w:val="left" w:pos="960"/>
        </w:tabs>
        <w:spacing w:line="440" w:lineRule="exact"/>
        <w:ind w:left="960"/>
        <w:rPr>
          <w:rFonts w:ascii="宋体" w:hAnsi="宋体"/>
          <w:sz w:val="24"/>
        </w:rPr>
      </w:pPr>
      <w:r>
        <w:rPr>
          <w:rFonts w:hint="eastAsia" w:ascii="宋体" w:hAnsi="宋体"/>
          <w:sz w:val="24"/>
        </w:rPr>
        <w:t>四、投标报价书</w:t>
      </w:r>
    </w:p>
    <w:p>
      <w:pPr>
        <w:pStyle w:val="26"/>
        <w:tabs>
          <w:tab w:val="left" w:pos="960"/>
        </w:tabs>
        <w:spacing w:line="440" w:lineRule="exact"/>
        <w:ind w:left="960"/>
        <w:rPr>
          <w:rFonts w:ascii="宋体" w:hAnsi="宋体"/>
          <w:sz w:val="24"/>
        </w:rPr>
      </w:pPr>
      <w:r>
        <w:rPr>
          <w:rFonts w:hint="eastAsia" w:ascii="宋体" w:hAnsi="宋体"/>
          <w:sz w:val="24"/>
        </w:rPr>
        <w:t>五、资格审查资料</w:t>
      </w:r>
    </w:p>
    <w:p>
      <w:pPr>
        <w:pStyle w:val="26"/>
        <w:tabs>
          <w:tab w:val="left" w:pos="960"/>
        </w:tabs>
        <w:spacing w:line="440" w:lineRule="exact"/>
        <w:ind w:left="960"/>
        <w:rPr>
          <w:rFonts w:ascii="宋体" w:hAnsi="宋体"/>
          <w:sz w:val="24"/>
        </w:rPr>
      </w:pPr>
      <w:r>
        <w:rPr>
          <w:rFonts w:hint="eastAsia" w:ascii="宋体" w:hAnsi="宋体"/>
          <w:sz w:val="24"/>
        </w:rPr>
        <w:t>六、类似项目情况表</w:t>
      </w:r>
    </w:p>
    <w:p>
      <w:pPr>
        <w:pStyle w:val="26"/>
        <w:tabs>
          <w:tab w:val="left" w:pos="960"/>
        </w:tabs>
        <w:spacing w:line="440" w:lineRule="exact"/>
        <w:ind w:left="960"/>
        <w:rPr>
          <w:rFonts w:ascii="宋体" w:hAnsi="宋体"/>
          <w:sz w:val="24"/>
        </w:rPr>
      </w:pPr>
      <w:r>
        <w:rPr>
          <w:rFonts w:hint="eastAsia" w:ascii="宋体" w:hAnsi="宋体"/>
          <w:sz w:val="24"/>
        </w:rPr>
        <w:t>七、拟投入本项目的检测人员一览表</w:t>
      </w:r>
    </w:p>
    <w:p>
      <w:pPr>
        <w:pStyle w:val="26"/>
        <w:tabs>
          <w:tab w:val="left" w:pos="960"/>
        </w:tabs>
        <w:spacing w:line="440" w:lineRule="exact"/>
        <w:ind w:left="960"/>
        <w:rPr>
          <w:rFonts w:ascii="宋体" w:hAnsi="宋体"/>
          <w:sz w:val="24"/>
        </w:rPr>
      </w:pPr>
      <w:r>
        <w:rPr>
          <w:rFonts w:hint="eastAsia" w:ascii="宋体" w:hAnsi="宋体"/>
          <w:sz w:val="24"/>
        </w:rPr>
        <w:t>八、拟投入本项目的检测人员简历表</w:t>
      </w:r>
    </w:p>
    <w:p>
      <w:pPr>
        <w:pStyle w:val="26"/>
        <w:tabs>
          <w:tab w:val="left" w:pos="960"/>
        </w:tabs>
        <w:spacing w:line="440" w:lineRule="exact"/>
        <w:ind w:left="960"/>
        <w:rPr>
          <w:rFonts w:ascii="宋体" w:hAnsi="宋体"/>
          <w:sz w:val="24"/>
        </w:rPr>
      </w:pPr>
      <w:r>
        <w:rPr>
          <w:rFonts w:hint="eastAsia" w:ascii="宋体" w:hAnsi="宋体"/>
          <w:sz w:val="24"/>
        </w:rPr>
        <w:t>九、拟投入本项目的主要仪器设备一览表</w:t>
      </w:r>
    </w:p>
    <w:p>
      <w:pPr>
        <w:pStyle w:val="26"/>
        <w:tabs>
          <w:tab w:val="left" w:pos="960"/>
        </w:tabs>
        <w:spacing w:line="440" w:lineRule="exact"/>
        <w:ind w:left="960"/>
        <w:rPr>
          <w:rFonts w:ascii="宋体" w:hAnsi="宋体"/>
          <w:sz w:val="24"/>
        </w:rPr>
      </w:pPr>
      <w:r>
        <w:rPr>
          <w:rFonts w:hint="eastAsia" w:ascii="宋体" w:hAnsi="宋体"/>
          <w:sz w:val="24"/>
        </w:rPr>
        <w:t>十、检测方案</w:t>
      </w:r>
    </w:p>
    <w:p>
      <w:pPr>
        <w:pStyle w:val="26"/>
        <w:tabs>
          <w:tab w:val="left" w:pos="960"/>
        </w:tabs>
        <w:spacing w:line="440" w:lineRule="exact"/>
        <w:ind w:left="960"/>
        <w:rPr>
          <w:rFonts w:ascii="宋体" w:hAnsi="宋体"/>
          <w:kern w:val="0"/>
          <w:sz w:val="18"/>
        </w:rPr>
      </w:pPr>
      <w:r>
        <w:rPr>
          <w:rFonts w:hint="eastAsia" w:ascii="宋体" w:hAnsi="宋体"/>
          <w:sz w:val="24"/>
        </w:rPr>
        <w:t>十一、其他资料</w:t>
      </w:r>
      <w:r>
        <w:rPr>
          <w:rFonts w:ascii="宋体" w:hAnsi="宋体"/>
          <w:sz w:val="24"/>
        </w:rPr>
        <w:br w:type="page"/>
      </w:r>
      <w:bookmarkEnd w:id="142"/>
    </w:p>
    <w:p>
      <w:pPr>
        <w:pStyle w:val="5"/>
        <w:ind w:firstLine="3534"/>
      </w:pPr>
      <w:bookmarkStart w:id="144" w:name="_Toc575"/>
      <w:bookmarkStart w:id="145" w:name="_Toc533334219"/>
      <w:bookmarkStart w:id="146" w:name="_Toc390704764"/>
      <w:bookmarkStart w:id="147" w:name="_Toc533357328"/>
      <w:bookmarkStart w:id="148" w:name="_Toc11434"/>
      <w:r>
        <w:rPr>
          <w:rFonts w:hint="eastAsia"/>
        </w:rPr>
        <w:t>一、</w:t>
      </w:r>
      <w:bookmarkStart w:id="149" w:name="_Toc369531692"/>
      <w:bookmarkStart w:id="150" w:name="_Toc352691656"/>
      <w:bookmarkStart w:id="151" w:name="_Toc6931"/>
      <w:r>
        <w:rPr>
          <w:rFonts w:hint="eastAsia"/>
        </w:rPr>
        <w:t>投标函及其附表</w:t>
      </w:r>
      <w:bookmarkEnd w:id="144"/>
      <w:bookmarkEnd w:id="145"/>
    </w:p>
    <w:bookmarkEnd w:id="149"/>
    <w:bookmarkEnd w:id="150"/>
    <w:bookmarkEnd w:id="151"/>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致：</w:t>
      </w:r>
      <w:r>
        <w:rPr>
          <w:rFonts w:ascii="宋体" w:hAnsi="宋体"/>
          <w:sz w:val="24"/>
          <w:szCs w:val="24"/>
        </w:rPr>
        <w:t xml:space="preserve">  </w:t>
      </w:r>
      <w:r>
        <w:rPr>
          <w:rFonts w:ascii="宋体" w:hAnsi="宋体"/>
          <w:sz w:val="24"/>
          <w:szCs w:val="24"/>
          <w:u w:val="single"/>
        </w:rPr>
        <w:t xml:space="preserve">       </w:t>
      </w:r>
      <w:r>
        <w:rPr>
          <w:rFonts w:ascii="宋体" w:hAnsi="宋体"/>
          <w:b/>
          <w:bCs/>
          <w:sz w:val="24"/>
          <w:szCs w:val="24"/>
          <w:u w:val="single"/>
        </w:rPr>
        <w:t xml:space="preserve"> </w:t>
      </w:r>
      <w:r>
        <w:rPr>
          <w:rFonts w:hint="eastAsia" w:ascii="宋体" w:hAnsi="宋体"/>
          <w:sz w:val="24"/>
          <w:szCs w:val="24"/>
          <w:u w:val="single"/>
        </w:rPr>
        <w:t>（招标人）</w:t>
      </w:r>
      <w:r>
        <w:rPr>
          <w:rFonts w:ascii="宋体" w:hAnsi="宋体"/>
          <w:sz w:val="24"/>
          <w:szCs w:val="24"/>
          <w:u w:val="single"/>
        </w:rPr>
        <w:t xml:space="preserve">          </w:t>
      </w:r>
    </w:p>
    <w:p>
      <w:pPr>
        <w:pStyle w:val="12"/>
        <w:spacing w:line="360" w:lineRule="auto"/>
        <w:ind w:firstLine="480" w:firstLineChars="200"/>
        <w:rPr>
          <w:rFonts w:ascii="宋体" w:hAnsi="宋体"/>
          <w:sz w:val="24"/>
          <w:szCs w:val="24"/>
        </w:rPr>
      </w:pPr>
      <w:r>
        <w:rPr>
          <w:rFonts w:ascii="宋体" w:hAnsi="宋体"/>
          <w:sz w:val="24"/>
          <w:szCs w:val="24"/>
        </w:rPr>
        <w:t xml:space="preserve">1. </w:t>
      </w:r>
      <w:r>
        <w:rPr>
          <w:rFonts w:hint="eastAsia" w:ascii="宋体" w:hAnsi="宋体"/>
          <w:sz w:val="24"/>
          <w:szCs w:val="24"/>
        </w:rPr>
        <w:t>在仔细分析研究了贵单位提供的</w:t>
      </w:r>
      <w:r>
        <w:rPr>
          <w:rFonts w:ascii="宋体" w:hAnsi="宋体"/>
          <w:sz w:val="24"/>
          <w:szCs w:val="24"/>
          <w:u w:val="single"/>
        </w:rPr>
        <w:t xml:space="preserve">        </w:t>
      </w:r>
      <w:r>
        <w:rPr>
          <w:rFonts w:hint="eastAsia" w:ascii="宋体" w:hAnsi="宋体"/>
          <w:sz w:val="24"/>
          <w:szCs w:val="24"/>
          <w:u w:val="single"/>
        </w:rPr>
        <w:t>（项目名称）</w:t>
      </w:r>
      <w:r>
        <w:rPr>
          <w:rFonts w:hint="eastAsia" w:ascii="宋体" w:hAnsi="宋体"/>
          <w:sz w:val="24"/>
          <w:szCs w:val="24"/>
        </w:rPr>
        <w:t>招标文件后，我方愿意以总价为人民币（大写）</w:t>
      </w:r>
      <w:r>
        <w:rPr>
          <w:rFonts w:ascii="宋体" w:hAnsi="宋体"/>
          <w:sz w:val="24"/>
          <w:szCs w:val="24"/>
          <w:u w:val="single"/>
        </w:rPr>
        <w:t xml:space="preserve">                      </w:t>
      </w:r>
      <w:r>
        <w:rPr>
          <w:rFonts w:hint="eastAsia" w:ascii="宋体" w:hAnsi="宋体"/>
          <w:sz w:val="24"/>
          <w:szCs w:val="24"/>
        </w:rPr>
        <w:t>（小写</w:t>
      </w:r>
      <w:r>
        <w:rPr>
          <w:rFonts w:hint="eastAsia" w:ascii="宋体" w:hAnsi="宋体"/>
          <w:sz w:val="24"/>
          <w:szCs w:val="24"/>
          <w:u w:val="single"/>
        </w:rPr>
        <w:t>　　　　　</w:t>
      </w:r>
      <w:r>
        <w:rPr>
          <w:rFonts w:hint="eastAsia" w:ascii="宋体" w:hAnsi="宋体"/>
          <w:sz w:val="24"/>
          <w:szCs w:val="24"/>
        </w:rPr>
        <w:t>）作为</w:t>
      </w:r>
      <w:r>
        <w:rPr>
          <w:rFonts w:ascii="宋体" w:hAnsi="宋体"/>
          <w:sz w:val="24"/>
          <w:szCs w:val="24"/>
          <w:u w:val="single"/>
        </w:rPr>
        <w:t xml:space="preserve">      </w:t>
      </w:r>
      <w:r>
        <w:rPr>
          <w:rFonts w:hint="eastAsia" w:ascii="宋体" w:hAnsi="宋体"/>
          <w:sz w:val="24"/>
          <w:szCs w:val="24"/>
          <w:u w:val="single"/>
        </w:rPr>
        <w:t>项目名称</w:t>
      </w:r>
      <w:r>
        <w:rPr>
          <w:rFonts w:ascii="宋体" w:hAnsi="宋体"/>
          <w:sz w:val="24"/>
          <w:szCs w:val="24"/>
          <w:u w:val="single"/>
        </w:rPr>
        <w:t xml:space="preserve">         </w:t>
      </w:r>
      <w:r>
        <w:rPr>
          <w:rFonts w:hint="eastAsia" w:ascii="宋体" w:hAnsi="宋体"/>
          <w:sz w:val="24"/>
          <w:szCs w:val="24"/>
        </w:rPr>
        <w:t>服务费的总价，并遵照招标文件的有关规定要求，承担全部服务任务工作。</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我方确认的</w:t>
      </w:r>
      <w:r>
        <w:rPr>
          <w:rFonts w:hint="eastAsia" w:ascii="宋体" w:hAnsi="宋体"/>
          <w:b/>
          <w:bCs/>
          <w:sz w:val="24"/>
          <w:szCs w:val="24"/>
        </w:rPr>
        <w:t>投标函</w:t>
      </w:r>
      <w:r>
        <w:rPr>
          <w:rFonts w:hint="eastAsia" w:ascii="宋体" w:hAnsi="宋体"/>
          <w:sz w:val="24"/>
          <w:szCs w:val="24"/>
        </w:rPr>
        <w:t>是我单位投标文件的组成部分。</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如果贵单位接受我方的投标，我方保证按合同规定的期限内开始本工程的检测工作并按投标书中规定的期限内完成合同规定的全部任务。</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我方同意在从规定的</w:t>
      </w:r>
      <w:r>
        <w:rPr>
          <w:rFonts w:hint="eastAsia" w:ascii="宋体" w:hAnsi="宋体"/>
          <w:b/>
          <w:bCs/>
          <w:sz w:val="24"/>
          <w:szCs w:val="24"/>
        </w:rPr>
        <w:t>递交投标文件截止之日起</w:t>
      </w:r>
      <w:r>
        <w:rPr>
          <w:rFonts w:ascii="宋体" w:hAnsi="宋体"/>
          <w:b/>
          <w:bCs/>
          <w:sz w:val="24"/>
          <w:szCs w:val="24"/>
        </w:rPr>
        <w:t>90</w:t>
      </w:r>
      <w:r>
        <w:rPr>
          <w:rFonts w:hint="eastAsia" w:ascii="宋体" w:hAnsi="宋体"/>
          <w:b/>
          <w:bCs/>
          <w:sz w:val="24"/>
          <w:szCs w:val="24"/>
        </w:rPr>
        <w:t>天</w:t>
      </w:r>
      <w:r>
        <w:rPr>
          <w:rFonts w:hint="eastAsia" w:ascii="宋体" w:hAnsi="宋体"/>
          <w:sz w:val="24"/>
          <w:szCs w:val="24"/>
        </w:rPr>
        <w:t>内遵守本投标文件。在此期限届满之前，本投标文件始终将对我们具有约束力并随时接受中标。</w:t>
      </w:r>
    </w:p>
    <w:p>
      <w:pPr>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我们理解，贵单位不一定接受最低标价的投标文件或可能接受其他任何投标文件，同时也理解，贵单位不负担我们的任何投标费用。</w:t>
      </w:r>
    </w:p>
    <w:p>
      <w:pPr>
        <w:rPr>
          <w:rFonts w:ascii="宋体" w:hAnsi="宋体"/>
        </w:rPr>
      </w:pPr>
    </w:p>
    <w:p>
      <w:pPr>
        <w:spacing w:line="440" w:lineRule="exact"/>
        <w:ind w:firstLine="2520" w:firstLineChars="1200"/>
        <w:jc w:val="left"/>
        <w:rPr>
          <w:rFonts w:ascii="宋体" w:hAnsi="宋体"/>
          <w:szCs w:val="21"/>
        </w:rPr>
      </w:pPr>
    </w:p>
    <w:p>
      <w:pPr>
        <w:pStyle w:val="12"/>
        <w:tabs>
          <w:tab w:val="left" w:pos="7321"/>
        </w:tabs>
        <w:spacing w:before="36"/>
        <w:ind w:left="2701"/>
        <w:rPr>
          <w:rFonts w:ascii="宋体" w:hAnsi="宋体"/>
        </w:rPr>
      </w:pPr>
      <w:r>
        <w:rPr>
          <w:rFonts w:hint="eastAsia" w:ascii="宋体" w:hAnsi="宋体"/>
        </w:rPr>
        <w:t>投标人：</w:t>
      </w:r>
      <w:r>
        <w:rPr>
          <w:rFonts w:ascii="宋体" w:hAnsi="宋体"/>
          <w:u w:val="single" w:color="000000"/>
        </w:rPr>
        <w:tab/>
      </w:r>
      <w:r>
        <w:rPr>
          <w:rFonts w:hint="eastAsia" w:ascii="宋体" w:hAnsi="宋体"/>
        </w:rPr>
        <w:t>（盖单位章）</w:t>
      </w:r>
    </w:p>
    <w:p>
      <w:pPr>
        <w:spacing w:before="13"/>
        <w:rPr>
          <w:rFonts w:ascii="宋体" w:hAnsi="宋体" w:cs="宋体"/>
          <w:sz w:val="9"/>
          <w:szCs w:val="9"/>
        </w:rPr>
      </w:pPr>
    </w:p>
    <w:p>
      <w:pPr>
        <w:pStyle w:val="12"/>
        <w:tabs>
          <w:tab w:val="left" w:pos="6481"/>
        </w:tabs>
        <w:spacing w:before="36"/>
        <w:ind w:left="2701"/>
        <w:rPr>
          <w:rFonts w:ascii="宋体" w:hAnsi="宋体"/>
        </w:rPr>
      </w:pPr>
      <w:r>
        <w:rPr>
          <w:rFonts w:hint="eastAsia" w:ascii="宋体" w:hAnsi="宋体"/>
          <w:spacing w:val="-2"/>
        </w:rPr>
        <w:t>法定代表人或其委托代理人：</w:t>
      </w:r>
      <w:r>
        <w:rPr>
          <w:rFonts w:ascii="宋体" w:hAnsi="宋体"/>
          <w:spacing w:val="-2"/>
          <w:u w:val="single" w:color="000000"/>
        </w:rPr>
        <w:tab/>
      </w:r>
      <w:r>
        <w:rPr>
          <w:rFonts w:hint="eastAsia" w:ascii="宋体" w:hAnsi="宋体"/>
          <w:spacing w:val="-1"/>
        </w:rPr>
        <w:t>（签字）</w:t>
      </w:r>
    </w:p>
    <w:p>
      <w:pPr>
        <w:spacing w:before="10"/>
        <w:rPr>
          <w:rFonts w:ascii="宋体" w:hAnsi="宋体" w:cs="宋体"/>
          <w:sz w:val="9"/>
          <w:szCs w:val="9"/>
        </w:rPr>
      </w:pPr>
    </w:p>
    <w:p>
      <w:pPr>
        <w:spacing w:line="440" w:lineRule="exact"/>
        <w:ind w:firstLine="4725" w:firstLineChars="2250"/>
        <w:jc w:val="right"/>
        <w:rPr>
          <w:rFonts w:ascii="宋体" w:hAnsi="宋体"/>
          <w:szCs w:val="21"/>
        </w:rPr>
      </w:pPr>
      <w:r>
        <w:rPr>
          <w:rFonts w:ascii="宋体" w:hAnsi="宋体"/>
          <w:u w:val="single" w:color="000000"/>
        </w:rPr>
        <w:tab/>
      </w:r>
      <w:r>
        <w:rPr>
          <w:rFonts w:hint="eastAsia" w:ascii="宋体" w:hAnsi="宋体"/>
        </w:rPr>
        <w:t>年</w:t>
      </w:r>
      <w:r>
        <w:rPr>
          <w:rFonts w:ascii="宋体" w:hAnsi="宋体"/>
          <w:u w:val="single" w:color="000000"/>
        </w:rPr>
        <w:tab/>
      </w:r>
      <w:r>
        <w:rPr>
          <w:rFonts w:ascii="宋体" w:hAnsi="宋体"/>
          <w:u w:val="single" w:color="000000"/>
        </w:rPr>
        <w:t xml:space="preserve"> </w:t>
      </w:r>
      <w:r>
        <w:rPr>
          <w:rFonts w:hint="eastAsia" w:ascii="宋体" w:hAnsi="宋体"/>
        </w:rPr>
        <w:t>月</w:t>
      </w:r>
      <w:r>
        <w:rPr>
          <w:rFonts w:ascii="宋体" w:hAnsi="宋体"/>
          <w:u w:val="single" w:color="000000"/>
        </w:rPr>
        <w:tab/>
      </w:r>
      <w:r>
        <w:rPr>
          <w:rFonts w:ascii="宋体" w:hAnsi="宋体"/>
          <w:u w:val="single" w:color="000000"/>
        </w:rPr>
        <w:t xml:space="preserve">  </w:t>
      </w:r>
      <w:r>
        <w:rPr>
          <w:rFonts w:hint="eastAsia" w:ascii="宋体" w:hAnsi="宋体"/>
        </w:rPr>
        <w:t>日</w:t>
      </w:r>
    </w:p>
    <w:p>
      <w:pPr>
        <w:spacing w:line="360" w:lineRule="auto"/>
        <w:ind w:firstLine="422" w:firstLineChars="200"/>
        <w:jc w:val="center"/>
        <w:rPr>
          <w:rFonts w:ascii="宋体" w:hAnsi="宋体"/>
          <w:b/>
          <w:bCs/>
          <w:sz w:val="24"/>
          <w:szCs w:val="24"/>
        </w:rPr>
      </w:pPr>
      <w:bookmarkStart w:id="152" w:name="_Toc532390635"/>
      <w:bookmarkStart w:id="153" w:name="_Toc370676427"/>
      <w:bookmarkStart w:id="154" w:name="_Toc13516"/>
      <w:bookmarkStart w:id="155" w:name="_Toc533334220"/>
      <w:bookmarkStart w:id="156" w:name="_Toc385943066"/>
      <w:bookmarkStart w:id="157" w:name="_Toc359594236"/>
      <w:bookmarkStart w:id="158" w:name="_Toc391394112"/>
      <w:bookmarkStart w:id="159" w:name="_Toc528170356"/>
      <w:bookmarkStart w:id="160" w:name="_Toc482188652"/>
      <w:r>
        <w:rPr>
          <w:rFonts w:ascii="宋体" w:hAnsi="宋体"/>
          <w:b/>
          <w:szCs w:val="21"/>
        </w:rPr>
        <w:br w:type="page"/>
      </w:r>
      <w:r>
        <w:rPr>
          <w:rFonts w:hint="eastAsia" w:ascii="宋体" w:hAnsi="宋体"/>
          <w:b/>
          <w:bCs/>
          <w:sz w:val="24"/>
          <w:szCs w:val="24"/>
        </w:rPr>
        <w:t>（二）投标函附</w:t>
      </w:r>
      <w:bookmarkEnd w:id="152"/>
      <w:bookmarkEnd w:id="153"/>
      <w:bookmarkEnd w:id="154"/>
      <w:bookmarkEnd w:id="155"/>
      <w:bookmarkEnd w:id="156"/>
      <w:bookmarkEnd w:id="157"/>
      <w:bookmarkEnd w:id="158"/>
      <w:bookmarkEnd w:id="159"/>
      <w:bookmarkEnd w:id="160"/>
      <w:r>
        <w:rPr>
          <w:rFonts w:hint="eastAsia" w:ascii="宋体" w:hAnsi="宋体"/>
          <w:b/>
          <w:bCs/>
          <w:sz w:val="24"/>
          <w:szCs w:val="24"/>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89"/>
        <w:gridCol w:w="412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8"/>
              </w:rPr>
            </w:pPr>
            <w:r>
              <w:rPr>
                <w:rFonts w:hint="eastAsia" w:ascii="宋体" w:hAnsi="宋体"/>
                <w:b/>
                <w:sz w:val="24"/>
                <w:szCs w:val="28"/>
              </w:rPr>
              <w:t>序号</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8"/>
              </w:rPr>
            </w:pPr>
            <w:r>
              <w:rPr>
                <w:rFonts w:hint="eastAsia" w:ascii="宋体" w:hAnsi="宋体"/>
                <w:b/>
                <w:sz w:val="24"/>
                <w:szCs w:val="28"/>
              </w:rPr>
              <w:t>条款名称</w:t>
            </w:r>
          </w:p>
        </w:tc>
        <w:tc>
          <w:tcPr>
            <w:tcW w:w="4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8"/>
              </w:rPr>
            </w:pPr>
            <w:r>
              <w:rPr>
                <w:rFonts w:hint="eastAsia" w:ascii="宋体" w:hAnsi="宋体"/>
                <w:b/>
                <w:sz w:val="24"/>
                <w:szCs w:val="28"/>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8"/>
              </w:rPr>
            </w:pPr>
            <w:r>
              <w:rPr>
                <w:rFonts w:hint="eastAsia" w:ascii="宋体" w:hAnsi="宋体"/>
                <w:b/>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1</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项目负责人</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u w:val="single"/>
              </w:rPr>
            </w:pPr>
            <w:r>
              <w:rPr>
                <w:rFonts w:hint="eastAsia" w:ascii="宋体" w:hAnsi="宋体" w:cs="宋体"/>
                <w:bCs/>
                <w:sz w:val="24"/>
                <w:szCs w:val="24"/>
              </w:rPr>
              <w:t>姓    名：</w:t>
            </w:r>
            <w:r>
              <w:rPr>
                <w:rFonts w:hint="eastAsia" w:ascii="宋体" w:hAnsi="宋体" w:cs="宋体"/>
                <w:bCs/>
                <w:sz w:val="24"/>
                <w:szCs w:val="24"/>
                <w:u w:val="single"/>
              </w:rPr>
              <w:t xml:space="preserve">           </w:t>
            </w:r>
          </w:p>
          <w:p>
            <w:pPr>
              <w:jc w:val="left"/>
              <w:rPr>
                <w:rFonts w:ascii="宋体" w:hAnsi="宋体" w:cs="宋体"/>
                <w:bCs/>
                <w:sz w:val="24"/>
                <w:szCs w:val="24"/>
              </w:rPr>
            </w:pPr>
            <w:r>
              <w:rPr>
                <w:rFonts w:hint="eastAsia" w:ascii="宋体" w:hAnsi="宋体" w:cs="宋体"/>
                <w:bCs/>
                <w:sz w:val="24"/>
                <w:szCs w:val="24"/>
              </w:rPr>
              <w:t>技术职称：</w:t>
            </w:r>
            <w:r>
              <w:rPr>
                <w:rFonts w:hint="eastAsia" w:ascii="宋体" w:hAnsi="宋体" w:cs="宋体"/>
                <w:bCs/>
                <w:sz w:val="24"/>
                <w:szCs w:val="24"/>
                <w:u w:val="single"/>
              </w:rPr>
              <w:t xml:space="preserve">           </w:t>
            </w:r>
          </w:p>
          <w:p>
            <w:pPr>
              <w:jc w:val="left"/>
              <w:rPr>
                <w:rFonts w:ascii="宋体" w:hAnsi="宋体" w:cs="宋体"/>
                <w:bCs/>
                <w:sz w:val="24"/>
                <w:szCs w:val="24"/>
              </w:rPr>
            </w:pPr>
            <w:r>
              <w:rPr>
                <w:rFonts w:hint="eastAsia" w:ascii="宋体" w:hAnsi="宋体" w:cs="宋体"/>
                <w:bCs/>
                <w:sz w:val="24"/>
                <w:szCs w:val="24"/>
              </w:rPr>
              <w:t>专    业：</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2</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rPr>
            </w:pPr>
            <w:r>
              <w:rPr>
                <w:rFonts w:hint="eastAsia" w:ascii="宋体" w:hAnsi="宋体" w:cs="宋体"/>
                <w:bCs/>
                <w:sz w:val="24"/>
                <w:szCs w:val="24"/>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3</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质量标准</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rPr>
            </w:pPr>
            <w:r>
              <w:rPr>
                <w:rFonts w:hint="eastAsia" w:ascii="宋体" w:hAnsi="宋体" w:cs="宋体"/>
                <w:bCs/>
                <w:sz w:val="24"/>
                <w:szCs w:val="24"/>
              </w:rPr>
              <w:t>合格</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4</w:t>
            </w:r>
          </w:p>
        </w:tc>
        <w:tc>
          <w:tcPr>
            <w:tcW w:w="1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投标报价</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u w:val="single"/>
              </w:rPr>
            </w:pPr>
            <w:r>
              <w:rPr>
                <w:rFonts w:hint="eastAsia" w:ascii="宋体" w:hAnsi="宋体" w:cs="宋体"/>
                <w:bCs/>
                <w:sz w:val="24"/>
                <w:szCs w:val="24"/>
              </w:rPr>
              <w:t xml:space="preserve">大写： </w:t>
            </w:r>
            <w:r>
              <w:rPr>
                <w:rFonts w:hint="eastAsia" w:ascii="宋体" w:hAnsi="宋体" w:cs="宋体"/>
                <w:bCs/>
                <w:sz w:val="24"/>
                <w:szCs w:val="24"/>
                <w:u w:val="single"/>
              </w:rPr>
              <w:t xml:space="preserve">        </w:t>
            </w:r>
          </w:p>
          <w:p>
            <w:pPr>
              <w:jc w:val="left"/>
              <w:rPr>
                <w:rFonts w:ascii="宋体" w:hAnsi="宋体" w:cs="宋体"/>
                <w:bCs/>
                <w:sz w:val="24"/>
                <w:szCs w:val="24"/>
              </w:rPr>
            </w:pPr>
            <w:r>
              <w:rPr>
                <w:rFonts w:hint="eastAsia" w:ascii="宋体" w:hAnsi="宋体" w:cs="宋体"/>
                <w:bCs/>
                <w:sz w:val="24"/>
                <w:szCs w:val="24"/>
              </w:rPr>
              <w:t xml:space="preserve">小写： </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szCs w:val="24"/>
              </w:rPr>
            </w:pP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rPr>
            </w:pPr>
            <w:r>
              <w:rPr>
                <w:rFonts w:hint="eastAsia" w:ascii="宋体" w:hAnsi="宋体" w:cs="宋体"/>
                <w:bCs/>
                <w:sz w:val="24"/>
                <w:szCs w:val="24"/>
              </w:rPr>
              <w:t>投标下浮率：</w:t>
            </w:r>
            <w:r>
              <w:rPr>
                <w:rFonts w:hint="eastAsia" w:ascii="宋体" w:hAnsi="宋体" w:cs="宋体"/>
                <w:bCs/>
                <w:sz w:val="24"/>
                <w:szCs w:val="24"/>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投标下浮率=（1-投标报价/</w:t>
            </w:r>
            <w:r>
              <w:rPr>
                <w:rFonts w:hint="eastAsia" w:ascii="宋体" w:hAnsi="宋体" w:cs="宋体"/>
                <w:b/>
                <w:szCs w:val="21"/>
              </w:rPr>
              <w:t>最高投标限价</w:t>
            </w:r>
            <w:r>
              <w:rPr>
                <w:rFonts w:hint="eastAsia" w:ascii="宋体" w:hAnsi="宋体"/>
                <w:b/>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p>
        </w:tc>
        <w:tc>
          <w:tcPr>
            <w:tcW w:w="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412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sz w:val="24"/>
                <w:szCs w:val="24"/>
              </w:rPr>
            </w:pPr>
            <w:r>
              <w:rPr>
                <w:rFonts w:hint="eastAsia" w:ascii="宋体" w:hAnsi="宋体" w:cs="宋体"/>
                <w:bCs/>
                <w:sz w:val="24"/>
              </w:rPr>
              <w:t xml:space="preserve"> 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p>
        </w:tc>
      </w:tr>
    </w:tbl>
    <w:p>
      <w:pPr>
        <w:spacing w:line="440" w:lineRule="exact"/>
        <w:ind w:firstLine="2520" w:firstLineChars="1200"/>
        <w:jc w:val="left"/>
        <w:rPr>
          <w:rFonts w:ascii="宋体" w:hAnsi="宋体"/>
          <w:szCs w:val="21"/>
        </w:rPr>
      </w:pPr>
    </w:p>
    <w:p>
      <w:pPr>
        <w:pStyle w:val="12"/>
        <w:tabs>
          <w:tab w:val="left" w:pos="7321"/>
        </w:tabs>
        <w:spacing w:before="36"/>
        <w:ind w:left="2701"/>
        <w:rPr>
          <w:rFonts w:ascii="宋体" w:hAnsi="宋体"/>
        </w:rPr>
      </w:pPr>
      <w:r>
        <w:rPr>
          <w:rFonts w:hint="eastAsia" w:ascii="宋体" w:hAnsi="宋体"/>
        </w:rPr>
        <w:t>投标人：</w:t>
      </w:r>
      <w:r>
        <w:rPr>
          <w:rFonts w:ascii="宋体" w:hAnsi="宋体"/>
          <w:u w:val="single" w:color="000000"/>
        </w:rPr>
        <w:tab/>
      </w:r>
      <w:r>
        <w:rPr>
          <w:rFonts w:hint="eastAsia" w:ascii="宋体" w:hAnsi="宋体"/>
        </w:rPr>
        <w:t>（盖单位章）</w:t>
      </w:r>
    </w:p>
    <w:p>
      <w:pPr>
        <w:spacing w:before="13"/>
        <w:rPr>
          <w:rFonts w:ascii="宋体" w:hAnsi="宋体" w:cs="宋体"/>
          <w:sz w:val="9"/>
          <w:szCs w:val="9"/>
        </w:rPr>
      </w:pPr>
    </w:p>
    <w:p>
      <w:pPr>
        <w:pStyle w:val="12"/>
        <w:tabs>
          <w:tab w:val="left" w:pos="6481"/>
        </w:tabs>
        <w:spacing w:before="36"/>
        <w:ind w:left="2701"/>
        <w:rPr>
          <w:rFonts w:ascii="宋体" w:hAnsi="宋体"/>
        </w:rPr>
      </w:pPr>
      <w:r>
        <w:rPr>
          <w:rFonts w:hint="eastAsia" w:ascii="宋体" w:hAnsi="宋体"/>
          <w:spacing w:val="-2"/>
        </w:rPr>
        <w:t>法定代表人或其委托代理人：</w:t>
      </w:r>
      <w:r>
        <w:rPr>
          <w:rFonts w:ascii="宋体" w:hAnsi="宋体"/>
          <w:spacing w:val="-2"/>
          <w:u w:val="single" w:color="000000"/>
        </w:rPr>
        <w:tab/>
      </w:r>
      <w:r>
        <w:rPr>
          <w:rFonts w:hint="eastAsia" w:ascii="宋体" w:hAnsi="宋体"/>
          <w:spacing w:val="-1"/>
        </w:rPr>
        <w:t>（签字或盖章）</w:t>
      </w:r>
    </w:p>
    <w:p>
      <w:pPr>
        <w:spacing w:before="10"/>
        <w:rPr>
          <w:rFonts w:ascii="宋体" w:hAnsi="宋体" w:cs="宋体"/>
          <w:sz w:val="9"/>
          <w:szCs w:val="9"/>
        </w:rPr>
      </w:pPr>
    </w:p>
    <w:p>
      <w:pPr>
        <w:spacing w:line="440" w:lineRule="exact"/>
        <w:ind w:firstLine="4620" w:firstLineChars="2200"/>
        <w:rPr>
          <w:rFonts w:ascii="宋体" w:hAnsi="宋体"/>
        </w:rPr>
      </w:pPr>
      <w:r>
        <w:rPr>
          <w:rFonts w:ascii="宋体" w:hAnsi="宋体"/>
          <w:u w:val="single" w:color="000000"/>
        </w:rPr>
        <w:tab/>
      </w:r>
      <w:r>
        <w:rPr>
          <w:rFonts w:hint="eastAsia" w:ascii="宋体" w:hAnsi="宋体"/>
        </w:rPr>
        <w:t>年</w:t>
      </w:r>
      <w:r>
        <w:rPr>
          <w:rFonts w:ascii="宋体" w:hAnsi="宋体"/>
          <w:u w:val="single" w:color="000000"/>
        </w:rPr>
        <w:tab/>
      </w:r>
      <w:r>
        <w:rPr>
          <w:rFonts w:ascii="宋体" w:hAnsi="宋体"/>
          <w:u w:val="single" w:color="000000"/>
        </w:rPr>
        <w:t xml:space="preserve"> </w:t>
      </w:r>
      <w:r>
        <w:rPr>
          <w:rFonts w:hint="eastAsia" w:ascii="宋体" w:hAnsi="宋体"/>
        </w:rPr>
        <w:t>月</w:t>
      </w:r>
      <w:r>
        <w:rPr>
          <w:rFonts w:ascii="宋体" w:hAnsi="宋体"/>
          <w:u w:val="single" w:color="000000"/>
        </w:rPr>
        <w:tab/>
      </w:r>
      <w:r>
        <w:rPr>
          <w:rFonts w:ascii="宋体" w:hAnsi="宋体"/>
          <w:u w:val="single" w:color="000000"/>
        </w:rPr>
        <w:t xml:space="preserve">  </w:t>
      </w:r>
      <w:r>
        <w:rPr>
          <w:rFonts w:hint="eastAsia" w:ascii="宋体" w:hAnsi="宋体"/>
        </w:rPr>
        <w:t>日</w:t>
      </w:r>
    </w:p>
    <w:p>
      <w:pPr>
        <w:spacing w:line="440" w:lineRule="exact"/>
        <w:ind w:firstLine="4620" w:firstLineChars="2200"/>
        <w:rPr>
          <w:rFonts w:ascii="宋体" w:hAnsi="宋体"/>
          <w:sz w:val="24"/>
        </w:rPr>
      </w:pPr>
      <w:r>
        <w:rPr>
          <w:rFonts w:ascii="宋体" w:hAnsi="宋体"/>
        </w:rPr>
        <w:br w:type="page"/>
      </w:r>
      <w:bookmarkEnd w:id="146"/>
      <w:bookmarkEnd w:id="147"/>
      <w:bookmarkEnd w:id="148"/>
      <w:bookmarkStart w:id="161" w:name="_Toc21863"/>
      <w:bookmarkStart w:id="162" w:name="_Toc533357330"/>
      <w:bookmarkStart w:id="163" w:name="_Toc333829918"/>
      <w:bookmarkStart w:id="164" w:name="_Toc374536213"/>
      <w:bookmarkStart w:id="165" w:name="_Toc390704765"/>
    </w:p>
    <w:bookmarkEnd w:id="143"/>
    <w:bookmarkEnd w:id="161"/>
    <w:bookmarkEnd w:id="162"/>
    <w:bookmarkEnd w:id="163"/>
    <w:bookmarkEnd w:id="164"/>
    <w:bookmarkEnd w:id="165"/>
    <w:p>
      <w:pPr>
        <w:pStyle w:val="5"/>
      </w:pPr>
      <w:bookmarkStart w:id="166" w:name="_Toc25046"/>
      <w:r>
        <w:rPr>
          <w:rFonts w:hint="eastAsia"/>
        </w:rPr>
        <w:t>二、法定代表人证明书及授权委托书</w:t>
      </w:r>
      <w:bookmarkEnd w:id="166"/>
    </w:p>
    <w:p>
      <w:pPr>
        <w:spacing w:before="156" w:beforeLines="50"/>
        <w:ind w:firstLine="482" w:firstLineChars="200"/>
        <w:jc w:val="center"/>
        <w:rPr>
          <w:rFonts w:ascii="宋体" w:hAnsi="宋体" w:cs="宋体"/>
          <w:b/>
          <w:sz w:val="24"/>
          <w:szCs w:val="24"/>
        </w:rPr>
      </w:pPr>
      <w:r>
        <w:rPr>
          <w:rFonts w:hint="eastAsia" w:ascii="宋体" w:hAnsi="宋体" w:cs="宋体"/>
          <w:b/>
          <w:sz w:val="24"/>
          <w:szCs w:val="24"/>
        </w:rPr>
        <w:t>法定代表人证明书</w:t>
      </w:r>
    </w:p>
    <w:p>
      <w:pPr>
        <w:spacing w:line="360" w:lineRule="auto"/>
        <w:jc w:val="center"/>
        <w:rPr>
          <w:rFonts w:ascii="宋体" w:hAnsi="宋体"/>
          <w:sz w:val="30"/>
          <w:szCs w:val="30"/>
        </w:rPr>
      </w:pPr>
      <w:r>
        <w:rPr>
          <w:rFonts w:ascii="宋体" w:hAnsi="宋体"/>
          <w:sz w:val="30"/>
          <w:szCs w:val="30"/>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56"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line="360" w:lineRule="auto"/>
        <w:rPr>
          <w:rFonts w:ascii="宋体" w:hAnsi="宋体"/>
          <w:sz w:val="24"/>
          <w:szCs w:val="24"/>
        </w:rPr>
      </w:pPr>
      <w:r>
        <w:rPr>
          <w:rFonts w:hint="eastAsia" w:ascii="宋体" w:hAnsi="宋体" w:cs="宋体"/>
          <w:sz w:val="24"/>
          <w:szCs w:val="24"/>
        </w:rPr>
        <w:t>注：按提供的该表格格式填写，或使用工商管理部门的格式填写。</w:t>
      </w:r>
    </w:p>
    <w:p>
      <w:pPr>
        <w:spacing w:before="156" w:beforeLines="50"/>
        <w:ind w:firstLine="482" w:firstLineChars="200"/>
        <w:jc w:val="center"/>
        <w:rPr>
          <w:rFonts w:ascii="宋体" w:hAnsi="宋体" w:cs="宋体"/>
          <w:b/>
          <w:sz w:val="24"/>
          <w:szCs w:val="24"/>
        </w:rPr>
      </w:pPr>
    </w:p>
    <w:p>
      <w:pPr>
        <w:spacing w:before="156" w:beforeLines="50"/>
        <w:ind w:firstLine="482" w:firstLineChars="200"/>
        <w:jc w:val="center"/>
        <w:rPr>
          <w:rFonts w:ascii="宋体" w:hAnsi="宋体" w:cs="宋体"/>
          <w:b/>
          <w:sz w:val="24"/>
          <w:szCs w:val="24"/>
        </w:rPr>
      </w:pPr>
      <w:r>
        <w:rPr>
          <w:rFonts w:hint="eastAsia" w:ascii="宋体" w:hAnsi="宋体" w:cs="宋体"/>
          <w:b/>
          <w:sz w:val="24"/>
          <w:szCs w:val="24"/>
        </w:rPr>
        <w:t>授权委托书</w:t>
      </w:r>
      <w:bookmarkEnd w:id="0"/>
      <w:bookmarkEnd w:id="1"/>
      <w:bookmarkEnd w:id="2"/>
    </w:p>
    <w:p>
      <w:pPr>
        <w:widowControl/>
        <w:spacing w:before="260" w:after="260"/>
        <w:ind w:right="1542"/>
        <w:jc w:val="center"/>
        <w:rPr>
          <w:rFonts w:ascii="宋体" w:hAnsi="宋体" w:cs="宋体"/>
          <w:b/>
          <w:bCs/>
          <w:kern w:val="0"/>
          <w:sz w:val="32"/>
          <w:szCs w:val="32"/>
        </w:rPr>
      </w:pPr>
      <w:r>
        <w:rPr>
          <w:rFonts w:ascii="宋体" w:hAnsi="宋体" w:cs="宋体"/>
          <w:b/>
          <w:bCs/>
          <w:kern w:val="0"/>
          <w:sz w:val="32"/>
          <w:szCs w:val="32"/>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56"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ascii="宋体" w:hAnsi="宋体" w:cs="宋体"/>
          <w:sz w:val="24"/>
          <w:szCs w:val="24"/>
        </w:rPr>
      </w:pPr>
      <w:r>
        <w:rPr>
          <w:rFonts w:hint="eastAsia" w:ascii="宋体" w:hAnsi="宋体" w:cs="宋体"/>
          <w:sz w:val="24"/>
          <w:szCs w:val="24"/>
        </w:rPr>
        <w:t>注：按提供的该表格格式填写，或使用工商管理部门的格式填写。</w:t>
      </w:r>
    </w:p>
    <w:p>
      <w:pPr>
        <w:pStyle w:val="5"/>
      </w:pPr>
      <w:r>
        <w:br w:type="page"/>
      </w:r>
      <w:bookmarkStart w:id="167" w:name="_Toc11935"/>
      <w:bookmarkStart w:id="168" w:name="_Toc533334223"/>
      <w:r>
        <w:rPr>
          <w:rFonts w:hint="eastAsia"/>
        </w:rPr>
        <w:t>三、</w:t>
      </w:r>
      <w:bookmarkStart w:id="169" w:name="_Toc384308381"/>
      <w:bookmarkStart w:id="170" w:name="_Toc152045792"/>
      <w:bookmarkStart w:id="171" w:name="_Toc352691666"/>
      <w:bookmarkStart w:id="172" w:name="_Toc300835214"/>
      <w:bookmarkStart w:id="173" w:name="_Toc247514284"/>
      <w:bookmarkStart w:id="174" w:name="_Toc361508757"/>
      <w:bookmarkStart w:id="175" w:name="_Toc247527832"/>
      <w:bookmarkStart w:id="176" w:name="_Toc13469"/>
      <w:bookmarkStart w:id="177" w:name="_Toc369531702"/>
      <w:bookmarkStart w:id="178" w:name="_Toc144974861"/>
      <w:bookmarkStart w:id="179" w:name="_Toc152042581"/>
      <w:r>
        <w:rPr>
          <w:rFonts w:hint="eastAsia"/>
        </w:rPr>
        <w:t>投标保证金凭证</w:t>
      </w:r>
      <w:bookmarkEnd w:id="167"/>
    </w:p>
    <w:bookmarkEnd w:id="168"/>
    <w:bookmarkEnd w:id="169"/>
    <w:bookmarkEnd w:id="170"/>
    <w:bookmarkEnd w:id="171"/>
    <w:bookmarkEnd w:id="172"/>
    <w:bookmarkEnd w:id="173"/>
    <w:bookmarkEnd w:id="174"/>
    <w:bookmarkEnd w:id="175"/>
    <w:bookmarkEnd w:id="176"/>
    <w:bookmarkEnd w:id="177"/>
    <w:bookmarkEnd w:id="178"/>
    <w:bookmarkEnd w:id="179"/>
    <w:p>
      <w:pPr>
        <w:spacing w:line="360" w:lineRule="auto"/>
        <w:ind w:firstLine="420" w:firstLineChars="200"/>
        <w:rPr>
          <w:rFonts w:ascii="宋体" w:hAnsi="宋体"/>
        </w:rPr>
      </w:pPr>
      <w:r>
        <w:rPr>
          <w:rFonts w:hint="eastAsia" w:ascii="宋体" w:hAnsi="宋体"/>
        </w:rPr>
        <w:t>如采用现金或者支票方式提交的由广州交易集团有限公司（广州公共资源交易中心）代收的，在此提供经广州交易集团有限公司（广州公共资源交易中心）确认的投标保证金回执；</w:t>
      </w:r>
    </w:p>
    <w:p>
      <w:pPr>
        <w:spacing w:line="360" w:lineRule="auto"/>
        <w:rPr>
          <w:rFonts w:ascii="宋体" w:hAnsi="宋体"/>
        </w:rPr>
      </w:pPr>
      <w:r>
        <w:rPr>
          <w:rFonts w:hint="eastAsia" w:ascii="宋体" w:hAnsi="宋体"/>
        </w:rPr>
        <w:t xml:space="preserve">   如采用投标保函或投标保证保险方式提交的，在此提供投标保函或投标保证保险扫描件。</w:t>
      </w:r>
    </w:p>
    <w:p>
      <w:pPr>
        <w:spacing w:line="440" w:lineRule="exact"/>
        <w:jc w:val="center"/>
        <w:rPr>
          <w:rFonts w:ascii="宋体" w:hAnsi="宋体" w:cs="宋体"/>
        </w:rPr>
      </w:pPr>
      <w:r>
        <w:rPr>
          <w:rFonts w:hint="eastAsia" w:ascii="宋体" w:hAnsi="宋体" w:cs="宋体"/>
          <w:sz w:val="24"/>
          <w:szCs w:val="24"/>
        </w:rPr>
        <w:t>（详见本招标文件第二章投标人须知前附表3.4.1）</w:t>
      </w:r>
    </w:p>
    <w:p>
      <w:pPr>
        <w:spacing w:line="440" w:lineRule="exact"/>
        <w:ind w:right="420"/>
        <w:jc w:val="center"/>
        <w:rPr>
          <w:rFonts w:ascii="宋体" w:hAnsi="宋体" w:cs="宋体"/>
        </w:rPr>
      </w:pPr>
    </w:p>
    <w:p>
      <w:pPr>
        <w:spacing w:line="440" w:lineRule="exact"/>
        <w:ind w:right="420"/>
        <w:jc w:val="left"/>
        <w:rPr>
          <w:rFonts w:ascii="宋体" w:hAnsi="宋体" w:cs="宋体"/>
          <w:sz w:val="24"/>
          <w:szCs w:val="24"/>
          <w:lang w:val="zh-CN"/>
        </w:rPr>
      </w:pPr>
      <w:r>
        <w:rPr>
          <w:rFonts w:hint="eastAsia" w:ascii="宋体" w:hAnsi="宋体" w:cs="宋体"/>
          <w:sz w:val="24"/>
          <w:szCs w:val="24"/>
          <w:lang w:val="zh-CN"/>
        </w:rPr>
        <w:t>（一）中小企业声明函</w:t>
      </w:r>
    </w:p>
    <w:p>
      <w:pPr>
        <w:snapToGrid w:val="0"/>
        <w:rPr>
          <w:rFonts w:ascii="宋体" w:hAnsi="宋体" w:cs="宋体"/>
          <w:sz w:val="24"/>
          <w:szCs w:val="24"/>
        </w:rPr>
      </w:pPr>
    </w:p>
    <w:p>
      <w:pPr>
        <w:pStyle w:val="16"/>
        <w:jc w:val="center"/>
        <w:rPr>
          <w:rFonts w:hAnsi="宋体" w:cs="宋体"/>
          <w:sz w:val="24"/>
          <w:szCs w:val="24"/>
        </w:rPr>
      </w:pPr>
      <w:r>
        <w:rPr>
          <w:rFonts w:hint="eastAsia" w:hAnsi="宋体" w:cs="宋体"/>
          <w:sz w:val="24"/>
          <w:szCs w:val="24"/>
        </w:rPr>
        <w:t>中小企业声明函</w:t>
      </w:r>
    </w:p>
    <w:p>
      <w:pPr>
        <w:pStyle w:val="16"/>
        <w:spacing w:line="560" w:lineRule="exact"/>
        <w:ind w:firstLine="480" w:firstLineChars="200"/>
        <w:rPr>
          <w:rFonts w:hAnsi="宋体" w:cs="宋体"/>
          <w:sz w:val="24"/>
          <w:szCs w:val="24"/>
        </w:rPr>
      </w:pPr>
      <w:r>
        <w:rPr>
          <w:rFonts w:hint="eastAsia" w:hAnsi="宋体" w:cs="宋体"/>
          <w:sz w:val="24"/>
          <w:szCs w:val="24"/>
        </w:rPr>
        <w:t>本企业郑重声明，根据《关于印发中小企业划型标准规定的通知》（工信部联企业〔2011〕300号）的规定，本企业具体情况如下：</w:t>
      </w:r>
    </w:p>
    <w:p>
      <w:pPr>
        <w:pStyle w:val="16"/>
        <w:spacing w:line="560" w:lineRule="exact"/>
        <w:ind w:firstLine="480" w:firstLineChars="200"/>
        <w:rPr>
          <w:rFonts w:hAnsi="宋体" w:cs="宋体"/>
          <w:sz w:val="24"/>
          <w:szCs w:val="24"/>
        </w:rPr>
      </w:pPr>
      <w:r>
        <w:rPr>
          <w:rFonts w:hint="eastAsia" w:hAnsi="宋体" w:cs="宋体"/>
          <w:sz w:val="24"/>
          <w:szCs w:val="24"/>
        </w:rPr>
        <w:t>本企业属于建筑业行业；营业收入为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 xml:space="preserve">      </w:t>
      </w:r>
      <w:r>
        <w:rPr>
          <w:rFonts w:hint="eastAsia" w:hAnsi="宋体" w:cs="宋体"/>
          <w:sz w:val="24"/>
          <w:szCs w:val="24"/>
        </w:rPr>
        <w:t>（中型企业、小型企业、微型企业）；</w:t>
      </w:r>
    </w:p>
    <w:p>
      <w:pPr>
        <w:pStyle w:val="16"/>
        <w:spacing w:line="560" w:lineRule="exact"/>
        <w:ind w:firstLine="480" w:firstLineChars="200"/>
        <w:rPr>
          <w:rFonts w:hAnsi="宋体" w:cs="宋体"/>
          <w:sz w:val="24"/>
          <w:szCs w:val="24"/>
        </w:rPr>
      </w:pPr>
      <w:r>
        <w:rPr>
          <w:rFonts w:hint="eastAsia" w:hAnsi="宋体" w:cs="宋体"/>
          <w:sz w:val="24"/>
          <w:szCs w:val="24"/>
        </w:rPr>
        <w:t xml:space="preserve">依据《政府采购促进中小企业发展管理办法》的规定，本企业不属于大企业的分支机构，不存在控股股东为大企业的情形，也不存在与大企业的负责人为同一人的情形。 </w:t>
      </w:r>
    </w:p>
    <w:p>
      <w:pPr>
        <w:pStyle w:val="16"/>
        <w:spacing w:line="560" w:lineRule="exact"/>
        <w:ind w:firstLine="480" w:firstLineChars="200"/>
        <w:rPr>
          <w:rFonts w:hAnsi="宋体" w:cs="宋体"/>
          <w:sz w:val="24"/>
          <w:szCs w:val="24"/>
        </w:rPr>
      </w:pPr>
      <w:r>
        <w:rPr>
          <w:rFonts w:hint="eastAsia" w:hAnsi="宋体" w:cs="宋体"/>
          <w:sz w:val="24"/>
          <w:szCs w:val="24"/>
        </w:rPr>
        <w:t xml:space="preserve">本企业对上述声明内容的真实性负责。如有虚假，将依法承担相应责任。 </w:t>
      </w:r>
    </w:p>
    <w:p>
      <w:pPr>
        <w:pStyle w:val="16"/>
        <w:spacing w:line="560" w:lineRule="exact"/>
        <w:ind w:firstLine="3600" w:firstLineChars="1500"/>
        <w:rPr>
          <w:rFonts w:hAnsi="宋体" w:cs="宋体"/>
          <w:sz w:val="24"/>
          <w:szCs w:val="24"/>
        </w:rPr>
      </w:pPr>
      <w:r>
        <w:rPr>
          <w:rFonts w:hint="eastAsia" w:hAnsi="宋体" w:cs="宋体"/>
          <w:sz w:val="24"/>
          <w:szCs w:val="24"/>
        </w:rPr>
        <w:t>企业名称（盖章）：</w:t>
      </w:r>
    </w:p>
    <w:p>
      <w:pPr>
        <w:pStyle w:val="16"/>
        <w:spacing w:line="560" w:lineRule="exact"/>
        <w:ind w:firstLine="3840" w:firstLineChars="1600"/>
        <w:rPr>
          <w:rFonts w:hAnsi="宋体" w:cs="宋体"/>
          <w:sz w:val="24"/>
          <w:szCs w:val="24"/>
        </w:rPr>
      </w:pPr>
      <w:r>
        <w:rPr>
          <w:rFonts w:hint="eastAsia" w:hAnsi="宋体" w:cs="宋体"/>
          <w:sz w:val="24"/>
          <w:szCs w:val="24"/>
        </w:rPr>
        <w:t>日 期：</w:t>
      </w:r>
    </w:p>
    <w:p>
      <w:pPr>
        <w:pStyle w:val="16"/>
        <w:spacing w:line="560" w:lineRule="exact"/>
        <w:ind w:firstLine="480" w:firstLineChars="200"/>
        <w:rPr>
          <w:rFonts w:hAnsi="宋体" w:cs="宋体"/>
          <w:sz w:val="24"/>
          <w:szCs w:val="24"/>
        </w:rPr>
      </w:pPr>
      <w:r>
        <w:rPr>
          <w:rFonts w:hint="eastAsia" w:hAnsi="宋体" w:cs="宋体"/>
          <w:sz w:val="24"/>
          <w:szCs w:val="24"/>
        </w:rPr>
        <w:t>注：</w:t>
      </w:r>
    </w:p>
    <w:p>
      <w:pPr>
        <w:pStyle w:val="16"/>
        <w:spacing w:line="560" w:lineRule="exact"/>
        <w:ind w:firstLine="480" w:firstLineChars="200"/>
        <w:rPr>
          <w:rFonts w:hAnsi="宋体" w:cs="宋体"/>
          <w:sz w:val="24"/>
          <w:szCs w:val="24"/>
        </w:rPr>
      </w:pPr>
      <w:r>
        <w:rPr>
          <w:rFonts w:hint="eastAsia" w:hAnsi="宋体" w:cs="宋体"/>
          <w:sz w:val="24"/>
          <w:szCs w:val="24"/>
        </w:rPr>
        <w:t>1、营业收入、资产总额填报上一年度数据，无上一年度数据的新成立企业可不填报。</w:t>
      </w:r>
    </w:p>
    <w:p>
      <w:pPr>
        <w:pStyle w:val="16"/>
        <w:spacing w:line="560" w:lineRule="exact"/>
        <w:ind w:firstLine="480" w:firstLineChars="200"/>
        <w:rPr>
          <w:rFonts w:hAnsi="宋体" w:cs="宋体"/>
          <w:sz w:val="24"/>
          <w:szCs w:val="24"/>
        </w:rPr>
      </w:pPr>
      <w:r>
        <w:rPr>
          <w:rFonts w:hint="eastAsia" w:hAnsi="宋体" w:cs="宋体"/>
          <w:sz w:val="24"/>
          <w:szCs w:val="24"/>
        </w:rPr>
        <w:t>2、《中小企业声明函》须按照本函格式填写，否则评标委员会有权视其为非中小企业，不享受免于提交投标保证金的优惠政策。</w:t>
      </w:r>
    </w:p>
    <w:p>
      <w:pPr>
        <w:pStyle w:val="16"/>
        <w:spacing w:line="560" w:lineRule="exact"/>
        <w:ind w:firstLine="480" w:firstLineChars="200"/>
        <w:rPr>
          <w:rFonts w:hAnsi="宋体" w:cs="宋体"/>
          <w:sz w:val="24"/>
          <w:szCs w:val="24"/>
        </w:rPr>
      </w:pPr>
      <w:r>
        <w:rPr>
          <w:rFonts w:hint="eastAsia" w:hAnsi="宋体" w:cs="宋体"/>
          <w:sz w:val="24"/>
          <w:szCs w:val="24"/>
        </w:rPr>
        <w:t>3、招标人、招标代理机构将按有关规定公开《中小企业声明函》。</w:t>
      </w:r>
    </w:p>
    <w:p>
      <w:pPr>
        <w:snapToGrid w:val="0"/>
        <w:spacing w:line="560" w:lineRule="exact"/>
        <w:rPr>
          <w:rFonts w:ascii="宋体" w:hAnsi="宋体" w:cs="宋体"/>
          <w:sz w:val="24"/>
          <w:szCs w:val="24"/>
          <w:lang w:val="zh-CN"/>
        </w:rPr>
      </w:pPr>
    </w:p>
    <w:p>
      <w:pPr>
        <w:snapToGrid w:val="0"/>
        <w:spacing w:line="560" w:lineRule="exact"/>
        <w:rPr>
          <w:rFonts w:ascii="宋体" w:hAnsi="宋体" w:cs="宋体"/>
          <w:sz w:val="24"/>
          <w:szCs w:val="24"/>
          <w:lang w:val="zh-CN"/>
        </w:rPr>
      </w:pPr>
    </w:p>
    <w:p>
      <w:pPr>
        <w:snapToGrid w:val="0"/>
        <w:spacing w:line="560" w:lineRule="exact"/>
        <w:rPr>
          <w:rFonts w:ascii="宋体" w:hAnsi="宋体" w:cs="宋体"/>
          <w:sz w:val="24"/>
          <w:szCs w:val="24"/>
          <w:lang w:val="zh-CN"/>
        </w:rPr>
      </w:pPr>
    </w:p>
    <w:p>
      <w:pPr>
        <w:snapToGrid w:val="0"/>
        <w:spacing w:line="560" w:lineRule="exact"/>
        <w:rPr>
          <w:rFonts w:ascii="宋体" w:hAnsi="宋体" w:cs="宋体"/>
          <w:sz w:val="24"/>
          <w:szCs w:val="24"/>
          <w:lang w:val="zh-CN"/>
        </w:rPr>
      </w:pPr>
      <w:r>
        <w:rPr>
          <w:rFonts w:hint="eastAsia" w:ascii="宋体" w:hAnsi="宋体" w:cs="宋体"/>
          <w:sz w:val="24"/>
          <w:szCs w:val="24"/>
          <w:lang w:val="zh-CN"/>
        </w:rPr>
        <w:t>（二）关于投标保证金的承诺</w:t>
      </w:r>
    </w:p>
    <w:p>
      <w:pPr>
        <w:snapToGrid w:val="0"/>
        <w:spacing w:line="560" w:lineRule="exact"/>
        <w:rPr>
          <w:rFonts w:ascii="宋体" w:hAnsi="宋体" w:cs="宋体"/>
          <w:b/>
          <w:bCs/>
          <w:sz w:val="24"/>
          <w:szCs w:val="24"/>
        </w:rPr>
      </w:pPr>
    </w:p>
    <w:p>
      <w:pPr>
        <w:pStyle w:val="16"/>
        <w:spacing w:line="560" w:lineRule="exact"/>
        <w:ind w:firstLine="480" w:firstLineChars="200"/>
        <w:jc w:val="center"/>
        <w:rPr>
          <w:rFonts w:hAnsi="宋体" w:cs="宋体"/>
          <w:sz w:val="24"/>
          <w:szCs w:val="24"/>
        </w:rPr>
      </w:pPr>
      <w:r>
        <w:rPr>
          <w:rFonts w:hint="eastAsia" w:hAnsi="宋体" w:cs="宋体"/>
          <w:sz w:val="24"/>
          <w:szCs w:val="24"/>
          <w:lang w:val="zh-CN"/>
        </w:rPr>
        <w:t>关于投标保证金的承诺</w:t>
      </w:r>
    </w:p>
    <w:p>
      <w:pPr>
        <w:pStyle w:val="16"/>
        <w:spacing w:line="560" w:lineRule="exact"/>
        <w:ind w:firstLine="480" w:firstLineChars="200"/>
        <w:rPr>
          <w:rFonts w:hAnsi="宋体" w:cs="宋体"/>
          <w:sz w:val="24"/>
          <w:szCs w:val="24"/>
        </w:rPr>
      </w:pPr>
    </w:p>
    <w:p>
      <w:pPr>
        <w:spacing w:line="560" w:lineRule="exact"/>
        <w:jc w:val="left"/>
        <w:rPr>
          <w:rFonts w:ascii="宋体" w:hAnsi="宋体" w:cs="宋体"/>
          <w:sz w:val="24"/>
          <w:szCs w:val="24"/>
        </w:rPr>
      </w:pPr>
      <w:r>
        <w:rPr>
          <w:rFonts w:hint="eastAsia" w:ascii="宋体" w:hAnsi="宋体" w:cs="宋体"/>
          <w:sz w:val="24"/>
          <w:szCs w:val="24"/>
        </w:rPr>
        <w:t>本招标项目招标人及招标监管机构：</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本公司就参加</w:t>
      </w:r>
      <w:r>
        <w:rPr>
          <w:rFonts w:hint="eastAsia" w:ascii="宋体" w:hAnsi="宋体" w:cs="宋体"/>
          <w:sz w:val="24"/>
          <w:szCs w:val="24"/>
          <w:u w:val="single"/>
        </w:rPr>
        <w:t xml:space="preserve">      （招标项目名称）     </w:t>
      </w:r>
      <w:r>
        <w:rPr>
          <w:rFonts w:hint="eastAsia" w:ascii="宋体" w:hAnsi="宋体" w:cs="宋体"/>
          <w:sz w:val="24"/>
          <w:szCs w:val="24"/>
        </w:rPr>
        <w:t>项目的投标工作，作出郑重声明：</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sz w:val="24"/>
          <w:szCs w:val="24"/>
          <w:lang w:val="zh-CN"/>
        </w:rPr>
        <w:t>一旦发生符合招标文件规定的不予退还投标保证金情形的，将</w:t>
      </w:r>
      <w:r>
        <w:rPr>
          <w:rFonts w:hint="eastAsia" w:ascii="宋体" w:hAnsi="宋体" w:cs="宋体"/>
          <w:sz w:val="24"/>
          <w:szCs w:val="24"/>
        </w:rPr>
        <w:t>按照招标人的要求，在规定的时间内向招标人足额补交投标保证金。</w:t>
      </w:r>
    </w:p>
    <w:p>
      <w:pPr>
        <w:pStyle w:val="62"/>
        <w:snapToGrid w:val="0"/>
        <w:spacing w:line="360" w:lineRule="auto"/>
        <w:ind w:firstLine="496" w:firstLineChars="200"/>
        <w:rPr>
          <w:rFonts w:ascii="宋体" w:hAnsi="宋体" w:eastAsia="宋体" w:cs="宋体"/>
        </w:rPr>
      </w:pPr>
      <w:r>
        <w:rPr>
          <w:rFonts w:hint="eastAsia" w:ascii="宋体" w:hAnsi="宋体" w:eastAsia="宋体" w:cs="宋体"/>
        </w:rPr>
        <w:t>本公司违反上述保证的，将被视为虚假承诺，按相关规定进行信用记录。本公司对失信行为产生的一切后果已知悉，并承担由此产生的相应责任。</w:t>
      </w:r>
    </w:p>
    <w:p>
      <w:pPr>
        <w:spacing w:line="360" w:lineRule="auto"/>
        <w:rPr>
          <w:rFonts w:ascii="宋体" w:hAnsi="宋体"/>
        </w:rPr>
      </w:pPr>
    </w:p>
    <w:p>
      <w:pPr>
        <w:pStyle w:val="5"/>
      </w:pPr>
      <w:r>
        <w:br w:type="page"/>
      </w:r>
      <w:bookmarkStart w:id="180" w:name="_Toc390704766"/>
      <w:bookmarkStart w:id="181" w:name="_Toc374536214"/>
      <w:bookmarkStart w:id="182" w:name="_Toc533357333"/>
      <w:bookmarkStart w:id="183" w:name="_Toc29831"/>
      <w:bookmarkStart w:id="184" w:name="_Toc11199"/>
      <w:r>
        <w:rPr>
          <w:rFonts w:hint="eastAsia"/>
          <w:szCs w:val="32"/>
        </w:rPr>
        <w:t>四</w:t>
      </w:r>
      <w:bookmarkEnd w:id="180"/>
      <w:bookmarkEnd w:id="181"/>
      <w:r>
        <w:rPr>
          <w:rFonts w:hint="eastAsia"/>
          <w:szCs w:val="32"/>
        </w:rPr>
        <w:t>、</w:t>
      </w:r>
      <w:r>
        <w:rPr>
          <w:rFonts w:hint="eastAsia"/>
        </w:rPr>
        <w:t>投</w:t>
      </w:r>
      <w:r>
        <w:rPr>
          <w:rFonts w:hint="eastAsia"/>
          <w:szCs w:val="22"/>
        </w:rPr>
        <w:t>标</w:t>
      </w:r>
      <w:r>
        <w:rPr>
          <w:rFonts w:hint="eastAsia"/>
        </w:rPr>
        <w:t>报价书</w:t>
      </w:r>
      <w:bookmarkEnd w:id="182"/>
      <w:bookmarkEnd w:id="183"/>
      <w:bookmarkEnd w:id="184"/>
    </w:p>
    <w:p>
      <w:pPr>
        <w:spacing w:line="500" w:lineRule="exact"/>
        <w:jc w:val="center"/>
        <w:rPr>
          <w:rFonts w:ascii="宋体" w:hAnsi="宋体"/>
          <w:b/>
          <w:bCs/>
          <w:sz w:val="30"/>
        </w:rPr>
      </w:pPr>
      <w:r>
        <w:rPr>
          <w:rFonts w:hint="eastAsia" w:ascii="宋体" w:hAnsi="宋体"/>
          <w:b/>
          <w:bCs/>
          <w:sz w:val="30"/>
        </w:rPr>
        <w:t xml:space="preserve"> </w:t>
      </w:r>
    </w:p>
    <w:p>
      <w:pPr>
        <w:spacing w:line="500" w:lineRule="exact"/>
        <w:jc w:val="center"/>
        <w:rPr>
          <w:rFonts w:ascii="宋体" w:hAnsi="宋体"/>
          <w:b/>
          <w:bCs/>
          <w:sz w:val="48"/>
          <w:szCs w:val="48"/>
        </w:rPr>
      </w:pPr>
      <w:r>
        <w:rPr>
          <w:rFonts w:hint="eastAsia" w:ascii="宋体" w:hAnsi="宋体"/>
          <w:b/>
          <w:bCs/>
          <w:sz w:val="30"/>
        </w:rPr>
        <w:t xml:space="preserve"> 广州国际智谷总部中心项目第三方检测服务</w:t>
      </w:r>
    </w:p>
    <w:p>
      <w:pPr>
        <w:spacing w:line="500" w:lineRule="exact"/>
        <w:jc w:val="center"/>
        <w:rPr>
          <w:rFonts w:ascii="宋体" w:hAnsi="宋体"/>
          <w:b/>
          <w:bCs/>
          <w:sz w:val="52"/>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600" w:lineRule="exact"/>
        <w:jc w:val="center"/>
        <w:rPr>
          <w:rFonts w:ascii="宋体" w:hAnsi="宋体"/>
          <w:b/>
          <w:bCs/>
          <w:sz w:val="52"/>
        </w:rPr>
      </w:pPr>
      <w:r>
        <w:rPr>
          <w:rFonts w:hint="eastAsia" w:ascii="宋体" w:hAnsi="宋体"/>
          <w:b/>
          <w:bCs/>
          <w:sz w:val="52"/>
        </w:rPr>
        <w:t>报</w:t>
      </w:r>
      <w:r>
        <w:rPr>
          <w:rFonts w:ascii="宋体" w:hAnsi="宋体"/>
          <w:b/>
          <w:bCs/>
          <w:sz w:val="52"/>
        </w:rPr>
        <w:t xml:space="preserve">  </w:t>
      </w:r>
      <w:r>
        <w:rPr>
          <w:rFonts w:hint="eastAsia" w:ascii="宋体" w:hAnsi="宋体"/>
          <w:b/>
          <w:bCs/>
          <w:sz w:val="52"/>
        </w:rPr>
        <w:t>价</w:t>
      </w:r>
      <w:r>
        <w:rPr>
          <w:rFonts w:ascii="宋体" w:hAnsi="宋体"/>
          <w:b/>
          <w:bCs/>
          <w:sz w:val="52"/>
        </w:rPr>
        <w:t xml:space="preserve">  </w:t>
      </w:r>
      <w:r>
        <w:rPr>
          <w:rFonts w:hint="eastAsia" w:ascii="宋体" w:hAnsi="宋体"/>
          <w:b/>
          <w:bCs/>
          <w:sz w:val="52"/>
        </w:rPr>
        <w:t>书</w:t>
      </w: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rPr>
          <w:rFonts w:ascii="宋体" w:hAnsi="宋体"/>
          <w:b/>
          <w:bCs/>
          <w:sz w:val="30"/>
        </w:rPr>
      </w:pPr>
    </w:p>
    <w:p>
      <w:pPr>
        <w:spacing w:line="500" w:lineRule="exact"/>
        <w:ind w:firstLine="2125" w:firstLineChars="756"/>
        <w:rPr>
          <w:rFonts w:ascii="宋体" w:hAnsi="宋体"/>
          <w:b/>
          <w:bCs/>
          <w:sz w:val="28"/>
        </w:rPr>
      </w:pPr>
      <w:r>
        <w:rPr>
          <w:rFonts w:hint="eastAsia" w:ascii="宋体" w:hAnsi="宋体"/>
          <w:b/>
          <w:bCs/>
          <w:sz w:val="28"/>
        </w:rPr>
        <w:t>投标人：（公章）</w:t>
      </w:r>
      <w:r>
        <w:rPr>
          <w:rFonts w:ascii="宋体" w:hAnsi="宋体"/>
          <w:b/>
          <w:bCs/>
          <w:sz w:val="28"/>
        </w:rPr>
        <w:t xml:space="preserve"> </w:t>
      </w:r>
    </w:p>
    <w:p>
      <w:pPr>
        <w:spacing w:line="500" w:lineRule="exact"/>
        <w:ind w:firstLine="2125" w:firstLineChars="756"/>
        <w:jc w:val="left"/>
        <w:rPr>
          <w:rFonts w:ascii="宋体" w:hAnsi="宋体"/>
          <w:b/>
          <w:bCs/>
          <w:sz w:val="28"/>
        </w:rPr>
      </w:pPr>
      <w:r>
        <w:rPr>
          <w:rFonts w:hint="eastAsia" w:ascii="宋体" w:hAnsi="宋体"/>
          <w:b/>
          <w:bCs/>
          <w:sz w:val="28"/>
        </w:rPr>
        <w:t>法定代表人(签字或盖章)：</w:t>
      </w:r>
    </w:p>
    <w:p>
      <w:pPr>
        <w:spacing w:line="500" w:lineRule="exact"/>
        <w:jc w:val="center"/>
        <w:rPr>
          <w:rFonts w:ascii="宋体" w:hAnsi="宋体"/>
          <w:b/>
          <w:bCs/>
          <w:sz w:val="28"/>
        </w:rPr>
      </w:pPr>
      <w:r>
        <w:rPr>
          <w:rFonts w:hint="eastAsia" w:ascii="宋体" w:hAnsi="宋体"/>
          <w:b/>
          <w:bCs/>
          <w:sz w:val="28"/>
        </w:rPr>
        <w:t>年</w:t>
      </w:r>
      <w:r>
        <w:rPr>
          <w:rFonts w:ascii="宋体" w:hAnsi="宋体"/>
          <w:b/>
          <w:bCs/>
          <w:sz w:val="28"/>
        </w:rPr>
        <w:t xml:space="preserve">   </w:t>
      </w:r>
      <w:r>
        <w:rPr>
          <w:rFonts w:hint="eastAsia" w:ascii="宋体" w:hAnsi="宋体"/>
          <w:b/>
          <w:bCs/>
          <w:sz w:val="28"/>
        </w:rPr>
        <w:t>月</w:t>
      </w:r>
      <w:r>
        <w:rPr>
          <w:rFonts w:ascii="宋体" w:hAnsi="宋体"/>
          <w:b/>
          <w:bCs/>
          <w:sz w:val="28"/>
        </w:rPr>
        <w:t xml:space="preserve">   </w:t>
      </w:r>
      <w:r>
        <w:rPr>
          <w:rFonts w:hint="eastAsia" w:ascii="宋体" w:hAnsi="宋体"/>
          <w:b/>
          <w:bCs/>
          <w:sz w:val="28"/>
        </w:rPr>
        <w:t>日</w:t>
      </w:r>
    </w:p>
    <w:p>
      <w:pPr>
        <w:spacing w:line="500" w:lineRule="exact"/>
        <w:jc w:val="center"/>
        <w:rPr>
          <w:rFonts w:ascii="宋体" w:hAnsi="宋体"/>
          <w:b/>
          <w:bCs/>
          <w:sz w:val="30"/>
        </w:rPr>
      </w:pPr>
    </w:p>
    <w:p>
      <w:pPr>
        <w:spacing w:line="500" w:lineRule="exact"/>
        <w:jc w:val="center"/>
        <w:rPr>
          <w:rFonts w:ascii="宋体" w:hAnsi="宋体"/>
          <w:b/>
          <w:bCs/>
          <w:sz w:val="30"/>
        </w:rPr>
      </w:pPr>
    </w:p>
    <w:p>
      <w:pPr>
        <w:spacing w:line="500" w:lineRule="exact"/>
        <w:rPr>
          <w:rFonts w:ascii="宋体" w:hAnsi="宋体"/>
          <w:szCs w:val="21"/>
        </w:rPr>
        <w:sectPr>
          <w:headerReference r:id="rId5" w:type="default"/>
          <w:footerReference r:id="rId6" w:type="default"/>
          <w:pgSz w:w="11906" w:h="16838"/>
          <w:pgMar w:top="1440" w:right="1080" w:bottom="1440" w:left="1080" w:header="851" w:footer="1021" w:gutter="0"/>
          <w:cols w:space="720" w:num="1"/>
          <w:docGrid w:type="lines" w:linePitch="312" w:charSpace="0"/>
        </w:sectPr>
      </w:pPr>
    </w:p>
    <w:p>
      <w:pPr>
        <w:pStyle w:val="12"/>
      </w:pPr>
      <w:bookmarkStart w:id="185" w:name="_Toc390704770"/>
      <w:bookmarkStart w:id="186" w:name="_Toc374536218"/>
      <w:bookmarkStart w:id="187" w:name="_Toc266373531"/>
      <w:bookmarkStart w:id="188" w:name="_Toc31556"/>
      <w:bookmarkStart w:id="189" w:name="_Toc374610687"/>
      <w:bookmarkStart w:id="190" w:name="_Toc333829923"/>
    </w:p>
    <w:p>
      <w:pPr>
        <w:spacing w:line="360" w:lineRule="auto"/>
        <w:jc w:val="center"/>
        <w:rPr>
          <w:b/>
          <w:sz w:val="32"/>
          <w:szCs w:val="20"/>
        </w:rPr>
      </w:pPr>
      <w:r>
        <w:rPr>
          <w:rFonts w:hint="eastAsia" w:cs="宋体"/>
          <w:b/>
          <w:sz w:val="32"/>
          <w:szCs w:val="20"/>
          <w:lang w:bidi="ar"/>
        </w:rPr>
        <w:t>报</w:t>
      </w:r>
      <w:r>
        <w:rPr>
          <w:b/>
          <w:sz w:val="32"/>
          <w:szCs w:val="20"/>
          <w:lang w:bidi="ar"/>
        </w:rPr>
        <w:t xml:space="preserve">  </w:t>
      </w:r>
      <w:r>
        <w:rPr>
          <w:rFonts w:hint="eastAsia" w:cs="宋体"/>
          <w:b/>
          <w:sz w:val="32"/>
          <w:szCs w:val="20"/>
          <w:lang w:bidi="ar"/>
        </w:rPr>
        <w:t>价</w:t>
      </w:r>
      <w:r>
        <w:rPr>
          <w:b/>
          <w:sz w:val="32"/>
          <w:szCs w:val="20"/>
          <w:lang w:bidi="ar"/>
        </w:rPr>
        <w:t xml:space="preserve">  </w:t>
      </w:r>
      <w:r>
        <w:rPr>
          <w:rFonts w:hint="eastAsia" w:cs="宋体"/>
          <w:b/>
          <w:sz w:val="32"/>
          <w:szCs w:val="20"/>
          <w:lang w:bidi="ar"/>
        </w:rPr>
        <w:t>说</w:t>
      </w:r>
      <w:r>
        <w:rPr>
          <w:b/>
          <w:sz w:val="32"/>
          <w:szCs w:val="20"/>
          <w:lang w:bidi="ar"/>
        </w:rPr>
        <w:t xml:space="preserve">  </w:t>
      </w:r>
      <w:r>
        <w:rPr>
          <w:rFonts w:hint="eastAsia" w:cs="宋体"/>
          <w:b/>
          <w:sz w:val="32"/>
          <w:szCs w:val="20"/>
          <w:lang w:bidi="ar"/>
        </w:rPr>
        <w:t>明</w:t>
      </w:r>
    </w:p>
    <w:p>
      <w:pPr>
        <w:spacing w:line="360" w:lineRule="auto"/>
        <w:jc w:val="center"/>
        <w:rPr>
          <w:b/>
          <w:sz w:val="32"/>
          <w:szCs w:val="20"/>
        </w:rPr>
      </w:pPr>
    </w:p>
    <w:p>
      <w:pPr>
        <w:pStyle w:val="24"/>
        <w:widowControl w:val="0"/>
        <w:spacing w:before="0" w:beforeAutospacing="0" w:after="120" w:afterAutospacing="0" w:line="360" w:lineRule="auto"/>
        <w:jc w:val="both"/>
        <w:rPr>
          <w:color w:val="auto"/>
          <w:szCs w:val="24"/>
        </w:rPr>
      </w:pPr>
      <w:r>
        <w:rPr>
          <w:rFonts w:ascii="Times New Roman" w:hAnsi="Times New Roman" w:cs="Times New Roman"/>
          <w:color w:val="auto"/>
          <w:kern w:val="2"/>
          <w:szCs w:val="24"/>
          <w:lang w:bidi="ar"/>
        </w:rPr>
        <w:t>1</w:t>
      </w:r>
      <w:r>
        <w:rPr>
          <w:rFonts w:hint="eastAsia" w:ascii="Times New Roman" w:hAnsi="Times New Roman"/>
          <w:color w:val="auto"/>
          <w:kern w:val="2"/>
          <w:szCs w:val="24"/>
          <w:lang w:bidi="ar"/>
        </w:rPr>
        <w:t>、在研究了招标文件的所有文件、技术资料后，</w:t>
      </w:r>
      <w:bookmarkStart w:id="191" w:name="_Hlk67066961"/>
      <w:r>
        <w:rPr>
          <w:rFonts w:hint="eastAsia" w:ascii="Times New Roman" w:hAnsi="Times New Roman"/>
          <w:color w:val="auto"/>
          <w:kern w:val="2"/>
          <w:szCs w:val="24"/>
          <w:lang w:bidi="ar"/>
        </w:rPr>
        <w:t>我方</w:t>
      </w:r>
      <w:bookmarkEnd w:id="191"/>
      <w:r>
        <w:rPr>
          <w:rFonts w:hint="eastAsia" w:ascii="Times New Roman" w:hAnsi="Times New Roman"/>
          <w:color w:val="auto"/>
          <w:kern w:val="2"/>
          <w:szCs w:val="24"/>
          <w:lang w:bidi="ar"/>
        </w:rPr>
        <w:t>对</w:t>
      </w:r>
      <w:r>
        <w:rPr>
          <w:rFonts w:ascii="Times New Roman" w:hAnsi="Times New Roman" w:cs="Times New Roman"/>
          <w:color w:val="auto"/>
          <w:kern w:val="2"/>
          <w:szCs w:val="24"/>
          <w:u w:val="single"/>
          <w:lang w:bidi="ar"/>
        </w:rPr>
        <w:t xml:space="preserve">   </w:t>
      </w:r>
      <w:r>
        <w:rPr>
          <w:rFonts w:hint="eastAsia" w:ascii="Times New Roman" w:hAnsi="Times New Roman"/>
          <w:color w:val="auto"/>
          <w:kern w:val="2"/>
          <w:szCs w:val="24"/>
          <w:u w:val="single"/>
          <w:lang w:bidi="ar"/>
        </w:rPr>
        <w:t>（项目名称）</w:t>
      </w:r>
      <w:r>
        <w:rPr>
          <w:rFonts w:ascii="Times New Roman" w:hAnsi="Times New Roman" w:cs="Times New Roman"/>
          <w:color w:val="auto"/>
          <w:kern w:val="2"/>
          <w:szCs w:val="24"/>
          <w:u w:val="single"/>
          <w:lang w:bidi="ar"/>
        </w:rPr>
        <w:t xml:space="preserve">   </w:t>
      </w:r>
      <w:r>
        <w:rPr>
          <w:rFonts w:hint="eastAsia" w:ascii="Times New Roman" w:hAnsi="Times New Roman"/>
          <w:color w:val="auto"/>
          <w:kern w:val="2"/>
          <w:szCs w:val="24"/>
          <w:lang w:bidi="ar"/>
        </w:rPr>
        <w:t>投标的总报价为（人民币）</w:t>
      </w:r>
      <w:r>
        <w:rPr>
          <w:rFonts w:ascii="Times New Roman" w:hAnsi="Times New Roman" w:cs="Times New Roman"/>
          <w:color w:val="auto"/>
          <w:kern w:val="2"/>
          <w:szCs w:val="24"/>
          <w:lang w:bidi="ar"/>
        </w:rPr>
        <w:t>___________</w:t>
      </w:r>
      <w:r>
        <w:rPr>
          <w:rFonts w:hint="eastAsia" w:ascii="Times New Roman" w:hAnsi="Times New Roman"/>
          <w:color w:val="auto"/>
          <w:kern w:val="2"/>
          <w:szCs w:val="24"/>
          <w:lang w:bidi="ar"/>
        </w:rPr>
        <w:t>元（大写：</w:t>
      </w:r>
      <w:r>
        <w:rPr>
          <w:rFonts w:ascii="Times New Roman" w:hAnsi="Times New Roman" w:cs="Times New Roman"/>
          <w:color w:val="auto"/>
          <w:kern w:val="2"/>
          <w:szCs w:val="24"/>
          <w:u w:val="single"/>
          <w:lang w:bidi="ar"/>
        </w:rPr>
        <w:t xml:space="preserve">             </w:t>
      </w:r>
      <w:r>
        <w:rPr>
          <w:rFonts w:hint="eastAsia" w:ascii="Times New Roman" w:hAnsi="Times New Roman"/>
          <w:color w:val="auto"/>
          <w:kern w:val="2"/>
          <w:szCs w:val="24"/>
          <w:lang w:bidi="ar"/>
        </w:rPr>
        <w:t>），具体详见报价明细。</w:t>
      </w:r>
    </w:p>
    <w:p>
      <w:pPr>
        <w:spacing w:line="360" w:lineRule="auto"/>
        <w:rPr>
          <w:sz w:val="28"/>
          <w:szCs w:val="20"/>
        </w:rPr>
      </w:pPr>
      <w:r>
        <w:rPr>
          <w:sz w:val="24"/>
          <w:szCs w:val="20"/>
          <w:lang w:bidi="ar"/>
        </w:rPr>
        <w:t>2</w:t>
      </w:r>
      <w:r>
        <w:rPr>
          <w:rFonts w:hint="eastAsia" w:cs="宋体"/>
          <w:sz w:val="24"/>
          <w:szCs w:val="20"/>
          <w:lang w:bidi="ar"/>
        </w:rPr>
        <w:t>、所有附件均为我们投标报价书的组成部分，我们理解招标单位并非必须接受最低价或招标单位可能收到的任何报价书的约束。</w:t>
      </w:r>
    </w:p>
    <w:p>
      <w:pPr>
        <w:spacing w:line="360" w:lineRule="auto"/>
        <w:rPr>
          <w:strike/>
          <w:sz w:val="24"/>
          <w:szCs w:val="20"/>
        </w:rPr>
      </w:pPr>
      <w:r>
        <w:rPr>
          <w:b/>
          <w:bCs/>
          <w:sz w:val="24"/>
          <w:szCs w:val="20"/>
          <w:lang w:bidi="ar"/>
        </w:rPr>
        <w:t>3</w:t>
      </w:r>
      <w:r>
        <w:rPr>
          <w:rFonts w:hint="eastAsia" w:cs="宋体"/>
          <w:b/>
          <w:bCs/>
          <w:sz w:val="24"/>
          <w:szCs w:val="20"/>
          <w:lang w:bidi="ar"/>
        </w:rPr>
        <w:t>、本报价金额为人民币，我方在最高投标限价内根据企业自身实力进行报价（以元为单位，保留两位小数，第三位小数四舍五入）</w:t>
      </w:r>
      <w:r>
        <w:rPr>
          <w:rFonts w:hint="eastAsia"/>
          <w:strike/>
        </w:rPr>
        <w:t>.</w:t>
      </w:r>
    </w:p>
    <w:p>
      <w:pPr>
        <w:spacing w:line="360" w:lineRule="auto"/>
        <w:rPr>
          <w:sz w:val="24"/>
          <w:szCs w:val="20"/>
        </w:rPr>
      </w:pPr>
      <w:r>
        <w:rPr>
          <w:rFonts w:hint="eastAsia"/>
          <w:sz w:val="24"/>
          <w:szCs w:val="20"/>
          <w:lang w:bidi="ar"/>
        </w:rPr>
        <w:t>4</w:t>
      </w:r>
      <w:r>
        <w:rPr>
          <w:rFonts w:hint="eastAsia" w:cs="宋体"/>
          <w:sz w:val="24"/>
          <w:szCs w:val="20"/>
          <w:lang w:bidi="ar"/>
        </w:rPr>
        <w:t>、（投标人需要说明的其他内容，由投标人自行填写）</w:t>
      </w:r>
    </w:p>
    <w:p>
      <w:pPr>
        <w:spacing w:line="360" w:lineRule="auto"/>
        <w:rPr>
          <w:sz w:val="28"/>
          <w:szCs w:val="20"/>
        </w:rPr>
      </w:pPr>
    </w:p>
    <w:p>
      <w:pPr>
        <w:spacing w:line="360" w:lineRule="auto"/>
        <w:rPr>
          <w:sz w:val="24"/>
          <w:szCs w:val="20"/>
        </w:rPr>
      </w:pPr>
      <w:r>
        <w:rPr>
          <w:sz w:val="24"/>
          <w:szCs w:val="20"/>
          <w:lang w:bidi="ar"/>
        </w:rPr>
        <w:t xml:space="preserve">                                       </w:t>
      </w:r>
      <w:r>
        <w:rPr>
          <w:rFonts w:hint="eastAsia" w:cs="宋体"/>
          <w:sz w:val="24"/>
          <w:szCs w:val="20"/>
          <w:lang w:bidi="ar"/>
        </w:rPr>
        <w:t>投标人：（公章）</w:t>
      </w:r>
    </w:p>
    <w:p>
      <w:pPr>
        <w:spacing w:line="360" w:lineRule="auto"/>
        <w:rPr>
          <w:sz w:val="24"/>
          <w:szCs w:val="20"/>
        </w:rPr>
      </w:pPr>
      <w:r>
        <w:rPr>
          <w:sz w:val="24"/>
          <w:szCs w:val="20"/>
          <w:lang w:bidi="ar"/>
        </w:rPr>
        <w:t xml:space="preserve">                                          </w:t>
      </w:r>
      <w:r>
        <w:rPr>
          <w:rFonts w:hint="eastAsia" w:cs="宋体"/>
          <w:sz w:val="24"/>
          <w:szCs w:val="20"/>
          <w:lang w:bidi="ar"/>
        </w:rPr>
        <w:t>年</w:t>
      </w:r>
      <w:r>
        <w:rPr>
          <w:sz w:val="24"/>
          <w:szCs w:val="20"/>
          <w:lang w:bidi="ar"/>
        </w:rPr>
        <w:t xml:space="preserve">  </w:t>
      </w:r>
      <w:r>
        <w:rPr>
          <w:rFonts w:hint="eastAsia" w:cs="宋体"/>
          <w:sz w:val="24"/>
          <w:szCs w:val="20"/>
          <w:lang w:bidi="ar"/>
        </w:rPr>
        <w:t>月</w:t>
      </w:r>
      <w:r>
        <w:rPr>
          <w:sz w:val="24"/>
          <w:szCs w:val="20"/>
          <w:lang w:bidi="ar"/>
        </w:rPr>
        <w:t xml:space="preserve">   </w:t>
      </w:r>
      <w:r>
        <w:rPr>
          <w:rFonts w:hint="eastAsia" w:cs="宋体"/>
          <w:sz w:val="24"/>
          <w:szCs w:val="20"/>
          <w:lang w:bidi="ar"/>
        </w:rPr>
        <w:t>日</w:t>
      </w:r>
    </w:p>
    <w:p>
      <w:pPr>
        <w:spacing w:line="360" w:lineRule="auto"/>
        <w:jc w:val="center"/>
        <w:rPr>
          <w:sz w:val="24"/>
          <w:szCs w:val="20"/>
        </w:rPr>
      </w:pPr>
      <w:r>
        <w:rPr>
          <w:sz w:val="24"/>
          <w:szCs w:val="20"/>
          <w:lang w:bidi="ar"/>
        </w:rPr>
        <w:br w:type="page"/>
      </w:r>
      <w:r>
        <w:rPr>
          <w:rFonts w:hint="eastAsia" w:ascii="宋体" w:hAnsi="宋体" w:cs="宋体"/>
          <w:b/>
          <w:sz w:val="32"/>
          <w:szCs w:val="32"/>
          <w:lang w:bidi="ar"/>
        </w:rPr>
        <w:t>1、报价汇总表</w:t>
      </w:r>
    </w:p>
    <w:p>
      <w:pPr>
        <w:spacing w:line="360" w:lineRule="auto"/>
        <w:jc w:val="left"/>
        <w:rPr>
          <w:rFonts w:ascii="宋体" w:hAnsi="宋体" w:cs="宋体"/>
          <w:sz w:val="22"/>
          <w:szCs w:val="20"/>
        </w:rPr>
      </w:pPr>
      <w:r>
        <w:rPr>
          <w:rFonts w:hint="eastAsia" w:ascii="宋体" w:hAnsi="宋体" w:cs="宋体"/>
          <w:sz w:val="22"/>
          <w:szCs w:val="20"/>
          <w:lang w:bidi="ar"/>
        </w:rPr>
        <w:t>工程名称：广州国际智谷总部中心项目第三方检测服务</w:t>
      </w:r>
    </w:p>
    <w:tbl>
      <w:tblPr>
        <w:tblStyle w:val="28"/>
        <w:tblW w:w="4996" w:type="pct"/>
        <w:jc w:val="center"/>
        <w:tblLayout w:type="autofit"/>
        <w:tblCellMar>
          <w:top w:w="0" w:type="dxa"/>
          <w:left w:w="108" w:type="dxa"/>
          <w:bottom w:w="0" w:type="dxa"/>
          <w:right w:w="108" w:type="dxa"/>
        </w:tblCellMar>
      </w:tblPr>
      <w:tblGrid>
        <w:gridCol w:w="1247"/>
        <w:gridCol w:w="3049"/>
        <w:gridCol w:w="2746"/>
        <w:gridCol w:w="2912"/>
      </w:tblGrid>
      <w:tr>
        <w:tblPrEx>
          <w:tblCellMar>
            <w:top w:w="0" w:type="dxa"/>
            <w:left w:w="108" w:type="dxa"/>
            <w:bottom w:w="0" w:type="dxa"/>
            <w:right w:w="108" w:type="dxa"/>
          </w:tblCellMar>
        </w:tblPrEx>
        <w:trPr>
          <w:trHeight w:val="880"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
                <w:bCs/>
                <w:kern w:val="0"/>
                <w:sz w:val="24"/>
                <w:szCs w:val="24"/>
                <w:lang w:bidi="ar"/>
              </w:rPr>
              <w:t>序号</w:t>
            </w:r>
          </w:p>
        </w:tc>
        <w:tc>
          <w:tcPr>
            <w:tcW w:w="1531"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
                <w:bCs/>
                <w:kern w:val="0"/>
                <w:sz w:val="24"/>
                <w:szCs w:val="24"/>
                <w:lang w:bidi="ar"/>
              </w:rPr>
              <w:t>费用名称</w:t>
            </w:r>
          </w:p>
        </w:tc>
        <w:tc>
          <w:tcPr>
            <w:tcW w:w="1379"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
                <w:bCs/>
                <w:kern w:val="0"/>
                <w:sz w:val="24"/>
                <w:szCs w:val="24"/>
                <w:lang w:bidi="ar"/>
              </w:rPr>
              <w:t>投标报价（元）</w:t>
            </w:r>
          </w:p>
        </w:tc>
        <w:tc>
          <w:tcPr>
            <w:tcW w:w="1462"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b/>
                <w:bCs/>
                <w:kern w:val="0"/>
                <w:sz w:val="24"/>
                <w:szCs w:val="24"/>
                <w:lang w:bidi="ar"/>
              </w:rPr>
              <w:t>备注</w:t>
            </w: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1</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基坑支护与地基基础检测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b/>
                <w:bCs/>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2</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建筑主体结构及钢结构检测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3</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建筑材料检测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4</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园林绿化检测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5</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节能及绿色建筑检测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6</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门窗及幕墙检测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7</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电气、智能及防雷工程检测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8</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室内环境检测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ascii="宋体" w:hAnsi="宋体" w:cs="宋体"/>
                <w:szCs w:val="21"/>
              </w:rPr>
            </w:pPr>
            <w:r>
              <w:rPr>
                <w:rFonts w:hint="eastAsia" w:ascii="宋体" w:hAnsi="宋体" w:cs="宋体"/>
                <w:kern w:val="0"/>
                <w:sz w:val="24"/>
                <w:szCs w:val="24"/>
                <w:lang w:bidi="ar"/>
              </w:rPr>
              <w:t>9</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0"/>
                <w:szCs w:val="20"/>
                <w:u w:val="none"/>
                <w:lang w:val="en-US" w:eastAsia="zh-CN" w:bidi="ar"/>
              </w:rPr>
              <w:t>消防设施检测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626" w:type="pct"/>
            <w:tcBorders>
              <w:top w:val="nil"/>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10</w:t>
            </w:r>
          </w:p>
        </w:tc>
        <w:tc>
          <w:tcPr>
            <w:tcW w:w="30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0"/>
                <w:szCs w:val="20"/>
                <w:u w:val="none"/>
                <w:lang w:val="en-US" w:eastAsia="zh-CN" w:bidi="ar"/>
              </w:rPr>
              <w:t>人防设备检测</w:t>
            </w:r>
          </w:p>
        </w:tc>
        <w:tc>
          <w:tcPr>
            <w:tcW w:w="1379" w:type="pct"/>
            <w:tcBorders>
              <w:top w:val="nil"/>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p>
        </w:tc>
        <w:tc>
          <w:tcPr>
            <w:tcW w:w="1462" w:type="pct"/>
            <w:tcBorders>
              <w:top w:val="nil"/>
              <w:left w:val="nil"/>
              <w:bottom w:val="single" w:color="auto" w:sz="4" w:space="0"/>
              <w:right w:val="single" w:color="auto" w:sz="4" w:space="0"/>
            </w:tcBorders>
            <w:vAlign w:val="center"/>
          </w:tcPr>
          <w:p>
            <w:pPr>
              <w:jc w:val="center"/>
              <w:rPr>
                <w:rFonts w:ascii="宋体" w:hAnsi="宋体" w:cs="宋体"/>
                <w:kern w:val="0"/>
                <w:szCs w:val="21"/>
              </w:rPr>
            </w:pPr>
          </w:p>
        </w:tc>
      </w:tr>
      <w:tr>
        <w:tblPrEx>
          <w:tblCellMar>
            <w:top w:w="0" w:type="dxa"/>
            <w:left w:w="108" w:type="dxa"/>
            <w:bottom w:w="0" w:type="dxa"/>
            <w:right w:w="108" w:type="dxa"/>
          </w:tblCellMar>
        </w:tblPrEx>
        <w:trPr>
          <w:trHeight w:val="595" w:hRule="atLeast"/>
          <w:jc w:val="center"/>
        </w:trPr>
        <w:tc>
          <w:tcPr>
            <w:tcW w:w="2157"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4"/>
                <w:szCs w:val="24"/>
                <w:lang w:bidi="ar"/>
              </w:rPr>
            </w:pPr>
            <w:r>
              <w:rPr>
                <w:rFonts w:hint="eastAsia" w:ascii="宋体" w:hAnsi="宋体" w:cs="宋体"/>
                <w:b/>
                <w:bCs/>
                <w:kern w:val="0"/>
                <w:sz w:val="24"/>
                <w:szCs w:val="24"/>
                <w:lang w:bidi="ar"/>
              </w:rPr>
              <w:t>总计</w:t>
            </w:r>
          </w:p>
        </w:tc>
        <w:tc>
          <w:tcPr>
            <w:tcW w:w="137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 w:val="24"/>
                <w:szCs w:val="24"/>
                <w:lang w:bidi="ar"/>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p>
        </w:tc>
      </w:tr>
    </w:tbl>
    <w:p>
      <w:pPr>
        <w:spacing w:line="360" w:lineRule="auto"/>
        <w:jc w:val="center"/>
        <w:rPr>
          <w:rFonts w:ascii="宋体" w:hAnsi="宋体" w:cs="宋体"/>
          <w:sz w:val="22"/>
          <w:szCs w:val="20"/>
          <w:lang w:bidi="ar"/>
        </w:rPr>
      </w:pPr>
    </w:p>
    <w:p>
      <w:pPr>
        <w:spacing w:line="360" w:lineRule="auto"/>
        <w:jc w:val="center"/>
        <w:rPr>
          <w:rFonts w:ascii="宋体" w:hAnsi="宋体" w:cs="宋体"/>
          <w:sz w:val="22"/>
          <w:szCs w:val="20"/>
          <w:lang w:bidi="ar"/>
        </w:rPr>
      </w:pPr>
    </w:p>
    <w:p>
      <w:pPr>
        <w:spacing w:line="360" w:lineRule="auto"/>
        <w:jc w:val="center"/>
        <w:rPr>
          <w:rFonts w:ascii="宋体" w:hAnsi="宋体" w:cs="宋体"/>
          <w:sz w:val="22"/>
          <w:szCs w:val="20"/>
          <w:lang w:bidi="ar"/>
        </w:rPr>
      </w:pPr>
    </w:p>
    <w:p>
      <w:pPr>
        <w:spacing w:line="360" w:lineRule="auto"/>
        <w:jc w:val="center"/>
        <w:rPr>
          <w:rFonts w:ascii="宋体" w:hAnsi="宋体" w:cs="宋体"/>
          <w:sz w:val="22"/>
          <w:szCs w:val="20"/>
        </w:rPr>
      </w:pPr>
      <w:r>
        <w:rPr>
          <w:rFonts w:hint="eastAsia" w:ascii="宋体" w:hAnsi="宋体" w:cs="宋体"/>
          <w:sz w:val="22"/>
          <w:szCs w:val="20"/>
          <w:lang w:bidi="ar"/>
        </w:rPr>
        <w:t xml:space="preserve">                            投标人：（公章）</w:t>
      </w:r>
    </w:p>
    <w:p>
      <w:pPr>
        <w:spacing w:line="360" w:lineRule="auto"/>
        <w:jc w:val="right"/>
        <w:rPr>
          <w:rFonts w:ascii="宋体" w:hAnsi="宋体" w:cs="宋体"/>
          <w:sz w:val="22"/>
          <w:szCs w:val="20"/>
        </w:rPr>
      </w:pPr>
    </w:p>
    <w:p>
      <w:pPr>
        <w:spacing w:line="360" w:lineRule="auto"/>
        <w:jc w:val="center"/>
        <w:rPr>
          <w:rFonts w:ascii="宋体" w:hAnsi="宋体" w:cs="宋体"/>
          <w:sz w:val="22"/>
          <w:szCs w:val="20"/>
        </w:rPr>
      </w:pPr>
      <w:r>
        <w:rPr>
          <w:rFonts w:hint="eastAsia" w:ascii="宋体" w:hAnsi="宋体" w:cs="宋体"/>
          <w:sz w:val="22"/>
          <w:szCs w:val="20"/>
          <w:lang w:bidi="ar"/>
        </w:rPr>
        <w:t xml:space="preserve">                                                     年  月   日</w:t>
      </w:r>
    </w:p>
    <w:p>
      <w:pPr>
        <w:spacing w:line="360" w:lineRule="auto"/>
        <w:jc w:val="center"/>
        <w:rPr>
          <w:rFonts w:ascii="宋体" w:hAnsi="宋体" w:cs="宋体"/>
          <w:sz w:val="22"/>
          <w:szCs w:val="20"/>
        </w:rPr>
      </w:pPr>
    </w:p>
    <w:p>
      <w:pPr>
        <w:spacing w:line="360" w:lineRule="auto"/>
        <w:jc w:val="center"/>
        <w:rPr>
          <w:rFonts w:ascii="宋体" w:hAnsi="宋体" w:cs="宋体"/>
          <w:sz w:val="22"/>
          <w:szCs w:val="20"/>
        </w:rPr>
      </w:pPr>
    </w:p>
    <w:p>
      <w:pPr>
        <w:widowControl/>
        <w:numPr>
          <w:ilvl w:val="0"/>
          <w:numId w:val="3"/>
        </w:numPr>
        <w:spacing w:line="360" w:lineRule="auto"/>
        <w:jc w:val="center"/>
        <w:rPr>
          <w:rFonts w:ascii="宋体" w:hAnsi="宋体" w:cs="宋体"/>
          <w:b/>
          <w:sz w:val="32"/>
          <w:szCs w:val="32"/>
          <w:lang w:bidi="ar"/>
        </w:rPr>
      </w:pPr>
      <w:r>
        <w:rPr>
          <w:rFonts w:hint="eastAsia" w:ascii="宋体" w:hAnsi="宋体"/>
          <w:sz w:val="22"/>
          <w:szCs w:val="20"/>
          <w:lang w:bidi="ar"/>
        </w:rPr>
        <w:br w:type="page"/>
      </w:r>
      <w:r>
        <w:rPr>
          <w:rFonts w:hint="eastAsia" w:ascii="宋体" w:hAnsi="宋体" w:cs="宋体"/>
          <w:b/>
          <w:sz w:val="32"/>
          <w:szCs w:val="32"/>
          <w:lang w:bidi="ar"/>
        </w:rPr>
        <w:t>工程量清单报价</w:t>
      </w:r>
    </w:p>
    <w:p>
      <w:pPr>
        <w:widowControl/>
        <w:spacing w:line="360" w:lineRule="auto"/>
        <w:jc w:val="center"/>
        <w:rPr>
          <w:rFonts w:ascii="宋体" w:hAnsi="宋体" w:cs="宋体"/>
          <w:b/>
          <w:sz w:val="32"/>
          <w:szCs w:val="32"/>
          <w:lang w:bidi="ar"/>
        </w:rPr>
      </w:pPr>
      <w:r>
        <w:rPr>
          <w:rFonts w:hint="eastAsia" w:ascii="宋体" w:hAnsi="宋体" w:cs="宋体"/>
          <w:b/>
          <w:sz w:val="32"/>
          <w:szCs w:val="32"/>
          <w:lang w:bidi="ar"/>
        </w:rPr>
        <w:t>(格式详见招标文件第七章第三方检测服务清单及综合单价限价表）</w:t>
      </w:r>
      <w:bookmarkEnd w:id="185"/>
      <w:bookmarkEnd w:id="186"/>
      <w:bookmarkEnd w:id="187"/>
      <w:bookmarkEnd w:id="188"/>
      <w:bookmarkEnd w:id="189"/>
      <w:bookmarkEnd w:id="190"/>
    </w:p>
    <w:p>
      <w:r>
        <w:rPr>
          <w:rFonts w:hint="eastAsia"/>
        </w:rPr>
        <w:br w:type="page"/>
      </w:r>
    </w:p>
    <w:p>
      <w:pPr>
        <w:pStyle w:val="5"/>
        <w:jc w:val="both"/>
      </w:pPr>
      <w:bookmarkStart w:id="192" w:name="_Toc4407"/>
      <w:r>
        <w:rPr>
          <w:rFonts w:hint="eastAsia"/>
        </w:rPr>
        <w:t>五、资格审查资料</w:t>
      </w:r>
      <w:bookmarkEnd w:id="192"/>
    </w:p>
    <w:p>
      <w:pPr>
        <w:widowControl/>
        <w:jc w:val="center"/>
        <w:rPr>
          <w:rFonts w:ascii="宋体" w:hAnsi="宋体" w:cs="宋体"/>
          <w:b/>
          <w:bCs/>
          <w:kern w:val="0"/>
          <w:szCs w:val="21"/>
        </w:rPr>
      </w:pPr>
      <w:r>
        <w:rPr>
          <w:rFonts w:hint="eastAsia" w:ascii="宋体" w:hAnsi="宋体" w:cs="宋体"/>
          <w:b/>
          <w:bCs/>
          <w:kern w:val="0"/>
          <w:szCs w:val="21"/>
        </w:rPr>
        <w:t>（一）投标人基本情况表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hint="eastAsia" w:ascii="宋体" w:hAnsi="宋体"/>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szCs w:val="21"/>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rPr>
            </w:pPr>
            <w:r>
              <w:rPr>
                <w:rFonts w:hint="eastAsia" w:ascii="宋体" w:hAnsi="宋体"/>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hint="eastAsia" w:ascii="宋体" w:hAnsi="宋体"/>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rPr>
            </w:pPr>
          </w:p>
        </w:tc>
      </w:tr>
    </w:tbl>
    <w:p>
      <w:pPr>
        <w:snapToGrid w:val="0"/>
        <w:rPr>
          <w:rFonts w:ascii="宋体" w:hAnsi="宋体"/>
          <w:spacing w:val="-5"/>
          <w:szCs w:val="21"/>
        </w:rPr>
      </w:pPr>
    </w:p>
    <w:p>
      <w:pPr>
        <w:snapToGrid w:val="0"/>
        <w:rPr>
          <w:rFonts w:ascii="宋体" w:hAnsi="宋体"/>
          <w:spacing w:val="-5"/>
          <w:szCs w:val="21"/>
        </w:rPr>
      </w:pPr>
      <w:r>
        <w:rPr>
          <w:rFonts w:hint="eastAsia" w:ascii="宋体" w:hAnsi="宋体"/>
          <w:spacing w:val="-5"/>
          <w:szCs w:val="21"/>
        </w:rPr>
        <w:t>注：</w:t>
      </w:r>
      <w:r>
        <w:rPr>
          <w:rFonts w:ascii="宋体" w:hAnsi="宋体"/>
          <w:spacing w:val="-5"/>
          <w:szCs w:val="21"/>
        </w:rPr>
        <w:t>1.</w:t>
      </w:r>
      <w:r>
        <w:rPr>
          <w:rFonts w:hint="eastAsia" w:ascii="宋体" w:hAnsi="宋体"/>
          <w:spacing w:val="-5"/>
          <w:szCs w:val="21"/>
        </w:rPr>
        <w:t>联系人栏应填写两个人的联系方式以便于联系。</w:t>
      </w:r>
    </w:p>
    <w:p>
      <w:pPr>
        <w:snapToGrid w:val="0"/>
        <w:rPr>
          <w:rFonts w:ascii="宋体" w:hAnsi="宋体"/>
          <w:position w:val="-30"/>
          <w:sz w:val="22"/>
        </w:rPr>
      </w:pPr>
      <w:r>
        <w:rPr>
          <w:rFonts w:ascii="宋体" w:hAnsi="宋体"/>
          <w:position w:val="-30"/>
          <w:szCs w:val="21"/>
        </w:rPr>
        <w:t>2</w:t>
      </w:r>
      <w:r>
        <w:rPr>
          <w:rFonts w:hint="eastAsia" w:ascii="宋体" w:hAnsi="宋体"/>
          <w:position w:val="-30"/>
          <w:szCs w:val="21"/>
        </w:rPr>
        <w:t>、本表后须附检测投标单位的营业执照副本或事业单位法人证书副本、建设行政主管部门颁发的建设工程质量检测机构资质证书、</w:t>
      </w:r>
      <w:r>
        <w:rPr>
          <w:rFonts w:ascii="宋体" w:hAnsi="宋体"/>
          <w:position w:val="-30"/>
          <w:szCs w:val="21"/>
        </w:rPr>
        <w:t>CMA</w:t>
      </w:r>
      <w:r>
        <w:rPr>
          <w:rFonts w:hint="eastAsia" w:ascii="宋体" w:hAnsi="宋体"/>
          <w:position w:val="-30"/>
          <w:szCs w:val="21"/>
        </w:rPr>
        <w:t>计量认证合格证书以及其他相关证明材料。</w:t>
      </w:r>
    </w:p>
    <w:p>
      <w:pPr>
        <w:widowControl/>
        <w:jc w:val="center"/>
        <w:rPr>
          <w:rFonts w:ascii="宋体" w:hAnsi="宋体" w:cs="宋体"/>
          <w:b/>
          <w:bCs/>
          <w:kern w:val="0"/>
          <w:sz w:val="28"/>
          <w:szCs w:val="28"/>
        </w:rPr>
      </w:pPr>
      <w:r>
        <w:rPr>
          <w:rFonts w:ascii="宋体" w:hAnsi="宋体"/>
          <w:position w:val="-30"/>
          <w:sz w:val="22"/>
        </w:rPr>
        <w:br w:type="page"/>
      </w:r>
      <w:r>
        <w:rPr>
          <w:rFonts w:hint="eastAsia" w:ascii="宋体" w:hAnsi="宋体" w:cs="宋体"/>
          <w:b/>
          <w:bCs/>
          <w:kern w:val="0"/>
          <w:sz w:val="28"/>
          <w:szCs w:val="28"/>
        </w:rPr>
        <w:t>（二）投标申请人声明</w:t>
      </w:r>
    </w:p>
    <w:p>
      <w:pPr>
        <w:spacing w:line="360" w:lineRule="auto"/>
        <w:rPr>
          <w:rFonts w:ascii="宋体" w:hAnsi="宋体" w:cs="宋体"/>
          <w:kern w:val="0"/>
          <w:sz w:val="24"/>
          <w:szCs w:val="24"/>
        </w:rPr>
      </w:pPr>
      <w:r>
        <w:rPr>
          <w:rFonts w:hint="eastAsia" w:ascii="宋体" w:hAnsi="宋体" w:cs="宋体"/>
          <w:kern w:val="0"/>
          <w:sz w:val="24"/>
          <w:szCs w:val="24"/>
        </w:rPr>
        <w:t>广州市黄埔区住房和城乡建设局、广州开发区建设和交通局、本招标项目招标人及招标监管机构：</w:t>
      </w:r>
    </w:p>
    <w:p>
      <w:pPr>
        <w:spacing w:line="360" w:lineRule="auto"/>
        <w:ind w:firstLine="484" w:firstLineChars="202"/>
        <w:rPr>
          <w:rFonts w:ascii="宋体" w:hAnsi="宋体"/>
          <w:sz w:val="24"/>
          <w:szCs w:val="24"/>
        </w:rPr>
      </w:pPr>
      <w:r>
        <w:rPr>
          <w:rFonts w:hint="eastAsia" w:ascii="宋体" w:hAnsi="宋体"/>
          <w:sz w:val="24"/>
          <w:szCs w:val="24"/>
        </w:rPr>
        <w:t>本公司就参加</w:t>
      </w:r>
      <w:r>
        <w:rPr>
          <w:rFonts w:hint="eastAsia" w:ascii="宋体" w:hAnsi="宋体"/>
          <w:sz w:val="24"/>
          <w:szCs w:val="24"/>
          <w:u w:val="single"/>
        </w:rPr>
        <w:t xml:space="preserve">                   </w:t>
      </w:r>
      <w:r>
        <w:rPr>
          <w:rFonts w:hint="eastAsia" w:ascii="宋体" w:hAnsi="宋体"/>
          <w:sz w:val="24"/>
          <w:szCs w:val="24"/>
        </w:rPr>
        <w:t>投标工作，作出郑重声明：</w:t>
      </w:r>
    </w:p>
    <w:p>
      <w:pPr>
        <w:spacing w:line="360" w:lineRule="auto"/>
        <w:ind w:firstLine="484" w:firstLineChars="202"/>
        <w:rPr>
          <w:rFonts w:ascii="宋体" w:hAnsi="宋体"/>
          <w:sz w:val="24"/>
          <w:szCs w:val="24"/>
        </w:rPr>
      </w:pPr>
      <w:r>
        <w:rPr>
          <w:rFonts w:hint="eastAsia" w:ascii="宋体" w:hAnsi="宋体"/>
          <w:sz w:val="24"/>
          <w:szCs w:val="24"/>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spacing w:line="360" w:lineRule="auto"/>
        <w:ind w:firstLine="484" w:firstLineChars="202"/>
        <w:rPr>
          <w:rFonts w:ascii="宋体" w:hAnsi="宋体"/>
          <w:sz w:val="24"/>
          <w:szCs w:val="24"/>
        </w:rPr>
      </w:pPr>
      <w:r>
        <w:rPr>
          <w:rFonts w:hint="eastAsia" w:ascii="宋体" w:hAnsi="宋体"/>
          <w:sz w:val="24"/>
          <w:szCs w:val="24"/>
        </w:rPr>
        <w:t>二、本公司保证在本项目投标中不与其他单位围标、串标，不出让投标资格，不向招标人或评标委员会成员行贿。</w:t>
      </w:r>
    </w:p>
    <w:p>
      <w:pPr>
        <w:spacing w:line="360" w:lineRule="auto"/>
        <w:ind w:firstLine="484" w:firstLineChars="202"/>
        <w:rPr>
          <w:rFonts w:ascii="宋体" w:hAnsi="宋体"/>
          <w:sz w:val="24"/>
          <w:szCs w:val="24"/>
        </w:rPr>
      </w:pPr>
      <w:r>
        <w:rPr>
          <w:rFonts w:hint="eastAsia" w:ascii="宋体" w:hAnsi="宋体"/>
          <w:sz w:val="24"/>
          <w:szCs w:val="24"/>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w:t>
      </w:r>
      <w:r>
        <w:rPr>
          <w:rFonts w:hint="eastAsia" w:ascii="宋体" w:hAnsi="宋体"/>
          <w:sz w:val="24"/>
          <w:szCs w:val="24"/>
          <w:lang w:val="en-US" w:eastAsia="zh-CN"/>
        </w:rPr>
        <w:t>三</w:t>
      </w:r>
      <w:r>
        <w:rPr>
          <w:rFonts w:hint="eastAsia" w:ascii="宋体" w:hAnsi="宋体"/>
          <w:sz w:val="24"/>
          <w:szCs w:val="24"/>
        </w:rPr>
        <w:t>年（从招标公告发布年度起逆推2年的1月1日起至投标截止时间止）未因以往检测工作中存在伪造检测数据、出具虚假检测报告的行为被各级建设行政主管部门或市场监督管理部门行政处罚或通报的。</w:t>
      </w:r>
    </w:p>
    <w:p>
      <w:pPr>
        <w:spacing w:line="360" w:lineRule="auto"/>
        <w:ind w:firstLine="484" w:firstLineChars="202"/>
        <w:rPr>
          <w:rFonts w:ascii="宋体" w:hAnsi="宋体"/>
          <w:sz w:val="24"/>
          <w:szCs w:val="24"/>
        </w:rPr>
      </w:pPr>
      <w:r>
        <w:rPr>
          <w:rFonts w:hint="eastAsia" w:ascii="宋体" w:hAnsi="宋体"/>
          <w:sz w:val="24"/>
          <w:szCs w:val="24"/>
        </w:rPr>
        <w:t>四、本公司不存在招标文件第二章投标人须知第1.4.3项所规定的任何一种情形。</w:t>
      </w:r>
    </w:p>
    <w:p>
      <w:pPr>
        <w:spacing w:line="360" w:lineRule="auto"/>
        <w:ind w:firstLine="484" w:firstLineChars="202"/>
        <w:rPr>
          <w:rFonts w:ascii="宋体" w:hAnsi="宋体"/>
          <w:sz w:val="24"/>
          <w:szCs w:val="24"/>
        </w:rPr>
      </w:pPr>
      <w:r>
        <w:rPr>
          <w:rFonts w:hint="eastAsia" w:ascii="宋体" w:hAnsi="宋体"/>
          <w:sz w:val="24"/>
          <w:szCs w:val="24"/>
        </w:rPr>
        <w:t xml:space="preserve">五、本公司不为招标人不具有独立法人资格的附属机构（单位），不存在与招标人存在利害关系且可能影响招标公正性；本公司及其有隶属关系的机构没有参加本项目的设计、前期工作、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pPr>
        <w:spacing w:line="360" w:lineRule="auto"/>
        <w:ind w:firstLine="484" w:firstLineChars="202"/>
        <w:rPr>
          <w:rFonts w:ascii="宋体" w:hAnsi="宋体"/>
          <w:sz w:val="24"/>
          <w:szCs w:val="24"/>
        </w:rPr>
      </w:pPr>
      <w:r>
        <w:rPr>
          <w:rFonts w:hint="eastAsia" w:ascii="宋体" w:hAnsi="宋体"/>
          <w:sz w:val="24"/>
          <w:szCs w:val="24"/>
        </w:rPr>
        <w:t>六、与本公司单位负责人为同一人或者与本公司存在控股、管理关系的其他单位包括</w:t>
      </w:r>
      <w:r>
        <w:rPr>
          <w:rFonts w:hint="eastAsia" w:ascii="宋体" w:hAnsi="宋体"/>
          <w:sz w:val="24"/>
          <w:szCs w:val="24"/>
          <w:u w:val="single"/>
        </w:rPr>
        <w:t xml:space="preserve">            </w:t>
      </w:r>
      <w:r>
        <w:rPr>
          <w:rFonts w:hint="eastAsia" w:ascii="宋体" w:hAnsi="宋体"/>
          <w:sz w:val="24"/>
          <w:szCs w:val="24"/>
        </w:rPr>
        <w:t>。（注：本条由投标人如实填写，如有，应列出全部满足招标公告资质要求的相关单位的名称；如无，则填写“无”。）</w:t>
      </w:r>
    </w:p>
    <w:p>
      <w:pPr>
        <w:spacing w:line="360" w:lineRule="auto"/>
        <w:ind w:firstLine="484" w:firstLineChars="202"/>
        <w:rPr>
          <w:rFonts w:ascii="宋体" w:hAnsi="宋体"/>
          <w:sz w:val="24"/>
          <w:szCs w:val="24"/>
        </w:rPr>
      </w:pPr>
      <w:r>
        <w:rPr>
          <w:rFonts w:hint="eastAsia" w:ascii="宋体" w:hAnsi="宋体"/>
          <w:sz w:val="24"/>
          <w:szCs w:val="24"/>
        </w:rPr>
        <w:t>七、本公司承诺，中标后严格执行安全生产相关管理规定。</w:t>
      </w:r>
    </w:p>
    <w:p>
      <w:pPr>
        <w:spacing w:line="360" w:lineRule="auto"/>
        <w:ind w:firstLine="484" w:firstLineChars="202"/>
        <w:rPr>
          <w:rFonts w:ascii="宋体" w:hAnsi="宋体"/>
          <w:sz w:val="24"/>
          <w:szCs w:val="24"/>
        </w:rPr>
      </w:pPr>
      <w:r>
        <w:rPr>
          <w:rFonts w:hint="eastAsia" w:ascii="宋体" w:hAnsi="宋体"/>
          <w:sz w:val="24"/>
          <w:szCs w:val="24"/>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360" w:lineRule="auto"/>
        <w:ind w:firstLine="484" w:firstLineChars="202"/>
        <w:rPr>
          <w:rFonts w:ascii="宋体" w:hAnsi="宋体"/>
          <w:sz w:val="24"/>
          <w:szCs w:val="24"/>
        </w:rPr>
      </w:pPr>
      <w:r>
        <w:rPr>
          <w:rFonts w:hint="eastAsia" w:ascii="宋体" w:hAnsi="宋体"/>
          <w:sz w:val="24"/>
          <w:szCs w:val="24"/>
        </w:rPr>
        <w:t>九、（1）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w:t>
      </w:r>
    </w:p>
    <w:p>
      <w:pPr>
        <w:spacing w:line="360" w:lineRule="auto"/>
        <w:ind w:firstLine="484" w:firstLineChars="202"/>
        <w:rPr>
          <w:rFonts w:ascii="宋体" w:hAnsi="宋体"/>
          <w:sz w:val="24"/>
          <w:szCs w:val="24"/>
        </w:rPr>
      </w:pPr>
      <w:r>
        <w:rPr>
          <w:rFonts w:hint="eastAsia" w:ascii="宋体" w:hAnsi="宋体"/>
          <w:sz w:val="24"/>
          <w:szCs w:val="24"/>
        </w:rPr>
        <w:t>（2）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划等部门列入黑名单、不良行为记录（处罚有效期内）的单位或个体经营者运输。</w:t>
      </w:r>
    </w:p>
    <w:p>
      <w:pPr>
        <w:spacing w:line="360" w:lineRule="auto"/>
        <w:ind w:firstLine="484" w:firstLineChars="202"/>
        <w:rPr>
          <w:rFonts w:ascii="宋体" w:hAnsi="宋体"/>
          <w:sz w:val="24"/>
          <w:szCs w:val="24"/>
        </w:rPr>
      </w:pPr>
      <w:r>
        <w:rPr>
          <w:rFonts w:hint="eastAsia" w:ascii="宋体" w:hAnsi="宋体"/>
          <w:sz w:val="24"/>
          <w:szCs w:val="24"/>
        </w:rPr>
        <w:t>本公司违反上述保证，或本声明陈述与事实不符，经查实，本公司愿意接受公开通报，承担由此带来的法律后果，并自愿停止参加广州市行政辖区内的招标投标活动三个月。</w:t>
      </w:r>
    </w:p>
    <w:p>
      <w:pPr>
        <w:spacing w:line="360" w:lineRule="auto"/>
        <w:ind w:firstLine="484" w:firstLineChars="202"/>
        <w:rPr>
          <w:rFonts w:ascii="宋体" w:hAnsi="宋体"/>
        </w:rPr>
      </w:pPr>
      <w:r>
        <w:rPr>
          <w:rFonts w:hint="eastAsia" w:ascii="宋体" w:hAnsi="宋体"/>
          <w:sz w:val="24"/>
          <w:szCs w:val="24"/>
        </w:rPr>
        <w:t>特此声明。</w:t>
      </w:r>
    </w:p>
    <w:p>
      <w:pPr>
        <w:pStyle w:val="60"/>
        <w:adjustRightInd w:val="0"/>
        <w:snapToGrid w:val="0"/>
        <w:ind w:firstLine="0"/>
        <w:rPr>
          <w:rFonts w:ascii="宋体" w:hAnsi="宋体" w:eastAsia="宋体"/>
          <w:color w:val="auto"/>
          <w:sz w:val="24"/>
          <w:szCs w:val="24"/>
        </w:rPr>
      </w:pPr>
    </w:p>
    <w:p>
      <w:pPr>
        <w:pStyle w:val="60"/>
        <w:adjustRightInd w:val="0"/>
        <w:snapToGrid w:val="0"/>
        <w:ind w:firstLine="0"/>
        <w:rPr>
          <w:rFonts w:ascii="宋体" w:hAnsi="宋体" w:eastAsia="宋体"/>
          <w:color w:val="auto"/>
          <w:sz w:val="24"/>
          <w:szCs w:val="24"/>
        </w:rPr>
      </w:pPr>
    </w:p>
    <w:p>
      <w:pPr>
        <w:pStyle w:val="60"/>
        <w:adjustRightInd w:val="0"/>
        <w:snapToGrid w:val="0"/>
        <w:ind w:firstLine="0"/>
        <w:rPr>
          <w:rFonts w:ascii="宋体" w:hAnsi="宋体" w:eastAsia="宋体"/>
          <w:color w:val="auto"/>
          <w:sz w:val="24"/>
          <w:szCs w:val="24"/>
        </w:rPr>
      </w:pPr>
    </w:p>
    <w:p>
      <w:pPr>
        <w:pStyle w:val="60"/>
        <w:adjustRightInd w:val="0"/>
        <w:snapToGrid w:val="0"/>
        <w:ind w:right="-35" w:firstLine="4819" w:firstLineChars="2008"/>
        <w:jc w:val="left"/>
        <w:rPr>
          <w:rFonts w:ascii="宋体" w:hAnsi="宋体" w:eastAsia="宋体"/>
          <w:color w:val="auto"/>
          <w:sz w:val="24"/>
          <w:szCs w:val="24"/>
        </w:rPr>
      </w:pPr>
      <w:r>
        <w:rPr>
          <w:rFonts w:hint="eastAsia" w:ascii="宋体" w:hAnsi="宋体" w:eastAsia="宋体"/>
          <w:color w:val="auto"/>
          <w:sz w:val="24"/>
          <w:szCs w:val="24"/>
        </w:rPr>
        <w:t>投标单位（盖公章）：</w:t>
      </w:r>
    </w:p>
    <w:p>
      <w:pPr>
        <w:pStyle w:val="60"/>
        <w:adjustRightInd w:val="0"/>
        <w:snapToGrid w:val="0"/>
        <w:ind w:right="-35" w:firstLine="4819" w:firstLineChars="2008"/>
        <w:jc w:val="left"/>
        <w:rPr>
          <w:rFonts w:ascii="宋体" w:hAnsi="宋体" w:eastAsia="宋体"/>
          <w:color w:val="auto"/>
          <w:sz w:val="24"/>
          <w:szCs w:val="24"/>
        </w:rPr>
      </w:pPr>
      <w:r>
        <w:rPr>
          <w:rFonts w:hint="eastAsia" w:ascii="宋体" w:hAnsi="宋体" w:eastAsia="宋体"/>
          <w:color w:val="auto"/>
          <w:sz w:val="24"/>
          <w:szCs w:val="24"/>
        </w:rPr>
        <w:t>法定代表人或授权委托人（签字或盖章）：</w:t>
      </w:r>
    </w:p>
    <w:p>
      <w:pPr>
        <w:widowControl/>
        <w:jc w:val="center"/>
        <w:rPr>
          <w:rFonts w:ascii="宋体" w:hAnsi="宋体" w:cs="宋体"/>
          <w:b/>
          <w:bCs/>
          <w:kern w:val="0"/>
          <w:szCs w:val="21"/>
        </w:rPr>
      </w:pPr>
      <w:r>
        <w:rPr>
          <w:rFonts w:hint="eastAsia" w:ascii="宋体" w:hAnsi="宋体"/>
          <w:sz w:val="24"/>
          <w:szCs w:val="24"/>
        </w:rPr>
        <w:t xml:space="preserve">                       日  期：    年   月   日</w:t>
      </w:r>
    </w:p>
    <w:p>
      <w:pPr>
        <w:widowControl/>
        <w:jc w:val="center"/>
        <w:rPr>
          <w:rFonts w:ascii="宋体" w:hAnsi="宋体" w:cs="宋体"/>
          <w:b/>
          <w:bCs/>
          <w:kern w:val="0"/>
          <w:szCs w:val="21"/>
        </w:rPr>
      </w:pPr>
    </w:p>
    <w:p>
      <w:pPr>
        <w:widowControl/>
        <w:rPr>
          <w:rFonts w:ascii="宋体" w:hAnsi="宋体" w:cs="宋体"/>
          <w:b/>
          <w:bCs/>
          <w:kern w:val="0"/>
          <w:szCs w:val="21"/>
        </w:rPr>
      </w:pPr>
    </w:p>
    <w:p>
      <w:pPr>
        <w:widowControl/>
        <w:spacing w:line="360" w:lineRule="auto"/>
        <w:jc w:val="center"/>
        <w:rPr>
          <w:rFonts w:ascii="宋体" w:hAnsi="宋体" w:cs="华文楷体"/>
          <w:strike/>
          <w:sz w:val="24"/>
          <w:szCs w:val="24"/>
        </w:rPr>
      </w:pPr>
      <w:r>
        <w:br w:type="page"/>
      </w:r>
    </w:p>
    <w:p>
      <w:pPr>
        <w:widowControl/>
        <w:spacing w:line="360" w:lineRule="auto"/>
        <w:rPr>
          <w:rFonts w:ascii="宋体" w:hAnsi="宋体" w:cs="宋体"/>
          <w:b/>
          <w:bCs/>
          <w:kern w:val="0"/>
          <w:sz w:val="28"/>
          <w:szCs w:val="28"/>
        </w:rPr>
      </w:pPr>
      <w:r>
        <w:rPr>
          <w:rFonts w:hint="eastAsia" w:ascii="宋体" w:hAnsi="宋体" w:cs="宋体"/>
          <w:b/>
          <w:bCs/>
          <w:kern w:val="0"/>
          <w:sz w:val="28"/>
          <w:szCs w:val="28"/>
        </w:rPr>
        <w:t>（四）其他符合第二章第1.4.1条款规定的证明</w:t>
      </w:r>
    </w:p>
    <w:p>
      <w:pPr>
        <w:pStyle w:val="27"/>
        <w:ind w:left="0" w:leftChars="0" w:firstLine="0" w:firstLineChars="0"/>
        <w:jc w:val="center"/>
        <w:rPr>
          <w:rFonts w:ascii="宋体" w:hAnsi="宋体" w:cs="宋体"/>
          <w:b/>
          <w:bCs/>
          <w:kern w:val="0"/>
          <w:szCs w:val="21"/>
        </w:rPr>
      </w:pPr>
    </w:p>
    <w:p>
      <w:pPr>
        <w:pStyle w:val="27"/>
        <w:ind w:left="0" w:leftChars="0" w:firstLine="0" w:firstLineChars="0"/>
        <w:jc w:val="center"/>
        <w:rPr>
          <w:rFonts w:ascii="宋体" w:hAnsi="宋体" w:cs="宋体"/>
          <w:b/>
          <w:bCs/>
          <w:kern w:val="0"/>
          <w:szCs w:val="21"/>
        </w:rPr>
      </w:pPr>
    </w:p>
    <w:p>
      <w:pPr>
        <w:pStyle w:val="27"/>
        <w:ind w:left="0" w:leftChars="0" w:firstLine="0" w:firstLineChars="0"/>
        <w:jc w:val="center"/>
        <w:rPr>
          <w:rFonts w:ascii="宋体" w:hAnsi="宋体" w:cs="宋体"/>
          <w:b/>
          <w:bCs/>
          <w:kern w:val="0"/>
          <w:szCs w:val="21"/>
        </w:rPr>
      </w:pPr>
    </w:p>
    <w:p>
      <w:pPr>
        <w:pStyle w:val="5"/>
      </w:pPr>
      <w:r>
        <w:br w:type="page"/>
      </w:r>
      <w:bookmarkStart w:id="193" w:name="_Toc22112"/>
      <w:bookmarkStart w:id="194" w:name="_Toc533357334"/>
      <w:bookmarkStart w:id="195" w:name="_Toc20625"/>
      <w:r>
        <w:rPr>
          <w:rFonts w:hint="eastAsia"/>
        </w:rPr>
        <w:t>六、类似项目业绩表</w:t>
      </w:r>
      <w:bookmarkEnd w:id="193"/>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41"/>
        <w:gridCol w:w="1054"/>
        <w:gridCol w:w="1356"/>
        <w:gridCol w:w="932"/>
        <w:gridCol w:w="182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25" w:type="dxa"/>
            <w:vAlign w:val="center"/>
          </w:tcPr>
          <w:p>
            <w:pPr>
              <w:snapToGrid w:val="0"/>
              <w:spacing w:line="240" w:lineRule="atLeast"/>
              <w:jc w:val="center"/>
              <w:rPr>
                <w:rFonts w:ascii="宋体" w:hAnsi="宋体"/>
                <w:sz w:val="24"/>
              </w:rPr>
            </w:pPr>
            <w:r>
              <w:rPr>
                <w:rFonts w:hint="eastAsia" w:ascii="宋体" w:hAnsi="宋体"/>
                <w:sz w:val="24"/>
              </w:rPr>
              <w:t>序号</w:t>
            </w:r>
          </w:p>
        </w:tc>
        <w:tc>
          <w:tcPr>
            <w:tcW w:w="1741" w:type="dxa"/>
            <w:vAlign w:val="center"/>
          </w:tcPr>
          <w:p>
            <w:pPr>
              <w:snapToGrid w:val="0"/>
              <w:spacing w:line="240" w:lineRule="atLeast"/>
              <w:jc w:val="center"/>
              <w:rPr>
                <w:rFonts w:ascii="宋体" w:hAnsi="宋体"/>
                <w:sz w:val="24"/>
              </w:rPr>
            </w:pPr>
            <w:r>
              <w:rPr>
                <w:rFonts w:hint="eastAsia" w:ascii="宋体" w:hAnsi="宋体"/>
                <w:sz w:val="24"/>
              </w:rPr>
              <w:t>工程名称</w:t>
            </w:r>
          </w:p>
        </w:tc>
        <w:tc>
          <w:tcPr>
            <w:tcW w:w="1054" w:type="dxa"/>
            <w:vAlign w:val="center"/>
          </w:tcPr>
          <w:p>
            <w:pPr>
              <w:snapToGrid w:val="0"/>
              <w:spacing w:line="240" w:lineRule="atLeast"/>
              <w:jc w:val="center"/>
              <w:rPr>
                <w:rFonts w:ascii="宋体" w:hAnsi="宋体"/>
                <w:sz w:val="24"/>
              </w:rPr>
            </w:pPr>
            <w:r>
              <w:rPr>
                <w:rFonts w:hint="eastAsia" w:ascii="宋体" w:hAnsi="宋体"/>
                <w:sz w:val="24"/>
              </w:rPr>
              <w:t>建设单位</w:t>
            </w:r>
          </w:p>
        </w:tc>
        <w:tc>
          <w:tcPr>
            <w:tcW w:w="1356" w:type="dxa"/>
            <w:vAlign w:val="center"/>
          </w:tcPr>
          <w:p>
            <w:pPr>
              <w:snapToGrid w:val="0"/>
              <w:spacing w:line="240" w:lineRule="atLeast"/>
              <w:jc w:val="center"/>
              <w:rPr>
                <w:rFonts w:ascii="宋体" w:hAnsi="宋体"/>
                <w:sz w:val="24"/>
              </w:rPr>
            </w:pPr>
            <w:r>
              <w:rPr>
                <w:rFonts w:hint="eastAsia" w:ascii="宋体" w:hAnsi="宋体"/>
                <w:sz w:val="24"/>
              </w:rPr>
              <w:t>合同价（万元）</w:t>
            </w:r>
          </w:p>
        </w:tc>
        <w:tc>
          <w:tcPr>
            <w:tcW w:w="932" w:type="dxa"/>
            <w:vAlign w:val="center"/>
          </w:tcPr>
          <w:p>
            <w:pPr>
              <w:snapToGrid w:val="0"/>
              <w:spacing w:line="240" w:lineRule="atLeast"/>
              <w:jc w:val="center"/>
              <w:rPr>
                <w:rFonts w:ascii="宋体" w:hAnsi="宋体"/>
                <w:sz w:val="24"/>
              </w:rPr>
            </w:pPr>
            <w:r>
              <w:rPr>
                <w:rFonts w:hint="eastAsia" w:ascii="宋体" w:hAnsi="宋体"/>
                <w:sz w:val="24"/>
              </w:rPr>
              <w:t>起止时间</w:t>
            </w:r>
          </w:p>
        </w:tc>
        <w:tc>
          <w:tcPr>
            <w:tcW w:w="1827" w:type="dxa"/>
            <w:vAlign w:val="center"/>
          </w:tcPr>
          <w:p>
            <w:pPr>
              <w:snapToGrid w:val="0"/>
              <w:spacing w:line="240" w:lineRule="atLeast"/>
              <w:jc w:val="center"/>
              <w:rPr>
                <w:rFonts w:ascii="宋体" w:hAnsi="宋体"/>
                <w:sz w:val="24"/>
              </w:rPr>
            </w:pPr>
            <w:r>
              <w:rPr>
                <w:rFonts w:hint="eastAsia" w:ascii="宋体" w:hAnsi="宋体"/>
                <w:sz w:val="24"/>
              </w:rPr>
              <w:t>工程所在地址</w:t>
            </w:r>
          </w:p>
        </w:tc>
        <w:tc>
          <w:tcPr>
            <w:tcW w:w="870" w:type="dxa"/>
            <w:vAlign w:val="center"/>
          </w:tcPr>
          <w:p>
            <w:pPr>
              <w:snapToGrid w:val="0"/>
              <w:spacing w:line="240" w:lineRule="atLeas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sz w:val="24"/>
              </w:rPr>
            </w:pPr>
          </w:p>
        </w:tc>
        <w:tc>
          <w:tcPr>
            <w:tcW w:w="1741" w:type="dxa"/>
            <w:vAlign w:val="center"/>
          </w:tcPr>
          <w:p>
            <w:pPr>
              <w:spacing w:line="240" w:lineRule="atLeast"/>
              <w:jc w:val="center"/>
              <w:rPr>
                <w:rFonts w:ascii="宋体" w:hAnsi="宋体"/>
                <w:sz w:val="24"/>
              </w:rPr>
            </w:pPr>
          </w:p>
        </w:tc>
        <w:tc>
          <w:tcPr>
            <w:tcW w:w="1054" w:type="dxa"/>
            <w:vAlign w:val="center"/>
          </w:tcPr>
          <w:p>
            <w:pPr>
              <w:spacing w:line="240" w:lineRule="atLeast"/>
              <w:jc w:val="center"/>
              <w:rPr>
                <w:rFonts w:ascii="宋体" w:hAnsi="宋体"/>
                <w:sz w:val="24"/>
              </w:rPr>
            </w:pPr>
          </w:p>
        </w:tc>
        <w:tc>
          <w:tcPr>
            <w:tcW w:w="1356" w:type="dxa"/>
            <w:vAlign w:val="center"/>
          </w:tcPr>
          <w:p>
            <w:pPr>
              <w:spacing w:line="240" w:lineRule="atLeast"/>
              <w:jc w:val="center"/>
              <w:rPr>
                <w:rFonts w:ascii="宋体" w:hAnsi="宋体"/>
                <w:sz w:val="24"/>
              </w:rPr>
            </w:pPr>
          </w:p>
        </w:tc>
        <w:tc>
          <w:tcPr>
            <w:tcW w:w="932" w:type="dxa"/>
            <w:vAlign w:val="center"/>
          </w:tcPr>
          <w:p>
            <w:pPr>
              <w:spacing w:line="240" w:lineRule="atLeast"/>
              <w:jc w:val="center"/>
              <w:rPr>
                <w:rFonts w:ascii="宋体" w:hAnsi="宋体"/>
                <w:sz w:val="24"/>
              </w:rPr>
            </w:pPr>
          </w:p>
        </w:tc>
        <w:tc>
          <w:tcPr>
            <w:tcW w:w="1827" w:type="dxa"/>
            <w:vAlign w:val="center"/>
          </w:tcPr>
          <w:p>
            <w:pPr>
              <w:spacing w:line="240" w:lineRule="atLeast"/>
              <w:jc w:val="center"/>
              <w:rPr>
                <w:rFonts w:ascii="宋体" w:hAnsi="宋体"/>
                <w:sz w:val="24"/>
              </w:rPr>
            </w:pPr>
          </w:p>
        </w:tc>
        <w:tc>
          <w:tcPr>
            <w:tcW w:w="870" w:type="dxa"/>
            <w:vAlign w:val="center"/>
          </w:tcPr>
          <w:p>
            <w:pPr>
              <w:spacing w:line="240" w:lineRule="atLeast"/>
              <w:jc w:val="center"/>
              <w:rPr>
                <w:rFonts w:ascii="宋体" w:hAnsi="宋体"/>
                <w:sz w:val="24"/>
              </w:rPr>
            </w:pPr>
          </w:p>
        </w:tc>
      </w:tr>
      <w:bookmarkEnd w:id="194"/>
      <w:bookmarkEnd w:id="195"/>
    </w:tbl>
    <w:p>
      <w:r>
        <w:rPr>
          <w:rFonts w:hint="eastAsia"/>
        </w:rPr>
        <w:br w:type="page"/>
      </w:r>
    </w:p>
    <w:p>
      <w:pPr>
        <w:pStyle w:val="5"/>
      </w:pPr>
      <w:bookmarkStart w:id="196" w:name="_Toc16868"/>
      <w:r>
        <w:rPr>
          <w:rFonts w:hint="eastAsia"/>
        </w:rPr>
        <w:t>七、拟投入本项目的检测人员一览表</w:t>
      </w:r>
      <w:bookmarkEnd w:id="19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pPr>
              <w:snapToGrid w:val="0"/>
              <w:spacing w:line="240" w:lineRule="atLeast"/>
              <w:jc w:val="center"/>
              <w:rPr>
                <w:rFonts w:ascii="宋体" w:hAnsi="宋体"/>
                <w:sz w:val="24"/>
              </w:rPr>
            </w:pPr>
            <w:r>
              <w:rPr>
                <w:rFonts w:hint="eastAsia" w:ascii="宋体" w:hAnsi="宋体"/>
                <w:sz w:val="24"/>
              </w:rPr>
              <w:t>序号</w:t>
            </w:r>
          </w:p>
        </w:tc>
        <w:tc>
          <w:tcPr>
            <w:tcW w:w="939" w:type="dxa"/>
            <w:vAlign w:val="center"/>
          </w:tcPr>
          <w:p>
            <w:pPr>
              <w:snapToGrid w:val="0"/>
              <w:spacing w:line="240" w:lineRule="atLeast"/>
              <w:jc w:val="center"/>
              <w:rPr>
                <w:rFonts w:ascii="宋体" w:hAnsi="宋体"/>
                <w:sz w:val="24"/>
              </w:rPr>
            </w:pPr>
            <w:r>
              <w:rPr>
                <w:rFonts w:hint="eastAsia" w:ascii="宋体" w:hAnsi="宋体"/>
                <w:sz w:val="24"/>
              </w:rPr>
              <w:t>姓名</w:t>
            </w:r>
          </w:p>
        </w:tc>
        <w:tc>
          <w:tcPr>
            <w:tcW w:w="904" w:type="dxa"/>
            <w:vAlign w:val="center"/>
          </w:tcPr>
          <w:p>
            <w:pPr>
              <w:snapToGrid w:val="0"/>
              <w:spacing w:line="240" w:lineRule="atLeast"/>
              <w:jc w:val="center"/>
              <w:rPr>
                <w:rFonts w:ascii="宋体" w:hAnsi="宋体"/>
                <w:sz w:val="24"/>
              </w:rPr>
            </w:pPr>
            <w:r>
              <w:rPr>
                <w:rFonts w:hint="eastAsia" w:ascii="宋体" w:hAnsi="宋体"/>
                <w:sz w:val="24"/>
              </w:rPr>
              <w:t>年龄</w:t>
            </w:r>
          </w:p>
        </w:tc>
        <w:tc>
          <w:tcPr>
            <w:tcW w:w="1484" w:type="dxa"/>
            <w:vAlign w:val="center"/>
          </w:tcPr>
          <w:p>
            <w:pPr>
              <w:snapToGrid w:val="0"/>
              <w:spacing w:line="240" w:lineRule="atLeast"/>
              <w:jc w:val="center"/>
              <w:rPr>
                <w:rFonts w:ascii="宋体" w:hAnsi="宋体"/>
                <w:sz w:val="24"/>
              </w:rPr>
            </w:pPr>
            <w:r>
              <w:rPr>
                <w:rFonts w:hint="eastAsia" w:ascii="宋体" w:hAnsi="宋体"/>
                <w:sz w:val="24"/>
              </w:rPr>
              <w:t>拟在本项目任职职位</w:t>
            </w:r>
          </w:p>
        </w:tc>
        <w:tc>
          <w:tcPr>
            <w:tcW w:w="1885" w:type="dxa"/>
            <w:vAlign w:val="center"/>
          </w:tcPr>
          <w:p>
            <w:pPr>
              <w:snapToGrid w:val="0"/>
              <w:spacing w:line="240" w:lineRule="atLeast"/>
              <w:jc w:val="center"/>
              <w:rPr>
                <w:rFonts w:ascii="宋体" w:hAnsi="宋体"/>
                <w:sz w:val="24"/>
              </w:rPr>
            </w:pPr>
            <w:r>
              <w:rPr>
                <w:rFonts w:hint="eastAsia" w:ascii="宋体" w:hAnsi="宋体"/>
                <w:sz w:val="24"/>
              </w:rPr>
              <w:t>毕业学校</w:t>
            </w:r>
            <w:r>
              <w:rPr>
                <w:rFonts w:ascii="宋体" w:hAnsi="宋体"/>
                <w:sz w:val="24"/>
              </w:rPr>
              <w:t>/</w:t>
            </w:r>
            <w:r>
              <w:rPr>
                <w:rFonts w:hint="eastAsia" w:ascii="宋体" w:hAnsi="宋体"/>
                <w:sz w:val="24"/>
              </w:rPr>
              <w:t>专业</w:t>
            </w:r>
          </w:p>
        </w:tc>
        <w:tc>
          <w:tcPr>
            <w:tcW w:w="883" w:type="dxa"/>
            <w:vAlign w:val="center"/>
          </w:tcPr>
          <w:p>
            <w:pPr>
              <w:snapToGrid w:val="0"/>
              <w:spacing w:line="240" w:lineRule="atLeast"/>
              <w:jc w:val="center"/>
              <w:rPr>
                <w:rFonts w:ascii="宋体" w:hAnsi="宋体"/>
                <w:sz w:val="24"/>
              </w:rPr>
            </w:pPr>
            <w:r>
              <w:rPr>
                <w:rFonts w:hint="eastAsia" w:ascii="宋体" w:hAnsi="宋体"/>
                <w:sz w:val="24"/>
              </w:rPr>
              <w:t>学历</w:t>
            </w:r>
          </w:p>
        </w:tc>
        <w:tc>
          <w:tcPr>
            <w:tcW w:w="992" w:type="dxa"/>
            <w:vAlign w:val="center"/>
          </w:tcPr>
          <w:p>
            <w:pPr>
              <w:snapToGrid w:val="0"/>
              <w:spacing w:line="240" w:lineRule="atLeast"/>
              <w:jc w:val="center"/>
              <w:rPr>
                <w:rFonts w:ascii="宋体" w:hAnsi="宋体"/>
                <w:sz w:val="24"/>
              </w:rPr>
            </w:pPr>
            <w:r>
              <w:rPr>
                <w:rFonts w:hint="eastAsia" w:ascii="宋体" w:hAnsi="宋体"/>
                <w:sz w:val="24"/>
              </w:rPr>
              <w:t>职称及专业</w:t>
            </w:r>
          </w:p>
        </w:tc>
        <w:tc>
          <w:tcPr>
            <w:tcW w:w="1276" w:type="dxa"/>
            <w:vAlign w:val="center"/>
          </w:tcPr>
          <w:p>
            <w:pPr>
              <w:snapToGrid w:val="0"/>
              <w:spacing w:line="240" w:lineRule="atLeast"/>
              <w:jc w:val="center"/>
              <w:rPr>
                <w:rFonts w:ascii="宋体" w:hAnsi="宋体"/>
                <w:sz w:val="24"/>
              </w:rPr>
            </w:pPr>
            <w:r>
              <w:rPr>
                <w:rFonts w:hint="eastAsia" w:ascii="宋体" w:hAnsi="宋体"/>
                <w:sz w:val="24"/>
              </w:rPr>
              <w:t>从事检测工作年限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sz w:val="22"/>
              </w:rPr>
            </w:pPr>
          </w:p>
        </w:tc>
        <w:tc>
          <w:tcPr>
            <w:tcW w:w="939" w:type="dxa"/>
            <w:vAlign w:val="center"/>
          </w:tcPr>
          <w:p>
            <w:pPr>
              <w:jc w:val="center"/>
              <w:rPr>
                <w:rFonts w:ascii="宋体" w:hAnsi="宋体"/>
                <w:sz w:val="22"/>
              </w:rPr>
            </w:pPr>
          </w:p>
        </w:tc>
        <w:tc>
          <w:tcPr>
            <w:tcW w:w="904" w:type="dxa"/>
            <w:vAlign w:val="center"/>
          </w:tcPr>
          <w:p>
            <w:pPr>
              <w:jc w:val="center"/>
              <w:rPr>
                <w:rFonts w:ascii="宋体" w:hAnsi="宋体"/>
                <w:sz w:val="22"/>
              </w:rPr>
            </w:pPr>
          </w:p>
        </w:tc>
        <w:tc>
          <w:tcPr>
            <w:tcW w:w="1484" w:type="dxa"/>
            <w:vAlign w:val="center"/>
          </w:tcPr>
          <w:p>
            <w:pPr>
              <w:jc w:val="center"/>
              <w:rPr>
                <w:rFonts w:ascii="宋体" w:hAnsi="宋体"/>
                <w:sz w:val="22"/>
              </w:rPr>
            </w:pPr>
          </w:p>
        </w:tc>
        <w:tc>
          <w:tcPr>
            <w:tcW w:w="1885" w:type="dxa"/>
            <w:vAlign w:val="center"/>
          </w:tcPr>
          <w:p>
            <w:pPr>
              <w:jc w:val="center"/>
              <w:rPr>
                <w:rFonts w:ascii="宋体" w:hAnsi="宋体"/>
                <w:sz w:val="22"/>
              </w:rPr>
            </w:pPr>
          </w:p>
        </w:tc>
        <w:tc>
          <w:tcPr>
            <w:tcW w:w="883" w:type="dxa"/>
            <w:vAlign w:val="center"/>
          </w:tcPr>
          <w:p>
            <w:pPr>
              <w:jc w:val="center"/>
              <w:rPr>
                <w:rFonts w:ascii="宋体" w:hAnsi="宋体"/>
                <w:sz w:val="22"/>
              </w:rPr>
            </w:pPr>
          </w:p>
        </w:tc>
        <w:tc>
          <w:tcPr>
            <w:tcW w:w="992" w:type="dxa"/>
            <w:vAlign w:val="center"/>
          </w:tcPr>
          <w:p>
            <w:pPr>
              <w:jc w:val="center"/>
              <w:rPr>
                <w:rFonts w:ascii="宋体" w:hAnsi="宋体"/>
                <w:sz w:val="22"/>
              </w:rPr>
            </w:pPr>
          </w:p>
        </w:tc>
        <w:tc>
          <w:tcPr>
            <w:tcW w:w="1276" w:type="dxa"/>
            <w:vAlign w:val="center"/>
          </w:tcPr>
          <w:p>
            <w:pPr>
              <w:jc w:val="center"/>
              <w:rPr>
                <w:rFonts w:ascii="宋体" w:hAnsi="宋体"/>
                <w:sz w:val="22"/>
              </w:rPr>
            </w:pPr>
          </w:p>
        </w:tc>
      </w:tr>
    </w:tbl>
    <w:p>
      <w:pPr>
        <w:ind w:firstLine="480" w:firstLineChars="200"/>
        <w:rPr>
          <w:rFonts w:ascii="宋体" w:hAnsi="宋体"/>
          <w:sz w:val="24"/>
        </w:rPr>
      </w:pPr>
    </w:p>
    <w:p>
      <w:pPr>
        <w:rPr>
          <w:rFonts w:ascii="宋体" w:hAnsi="宋体"/>
        </w:rPr>
      </w:pPr>
      <w:r>
        <w:rPr>
          <w:rFonts w:ascii="宋体" w:hAnsi="宋体"/>
          <w:sz w:val="24"/>
        </w:rPr>
        <w:br w:type="page"/>
      </w:r>
    </w:p>
    <w:p>
      <w:pPr>
        <w:pStyle w:val="5"/>
      </w:pPr>
      <w:bookmarkStart w:id="197" w:name="_Toc26704"/>
      <w:r>
        <w:rPr>
          <w:rFonts w:hint="eastAsia"/>
        </w:rPr>
        <w:t>八、拟投入本项目的检测人员简历表</w:t>
      </w:r>
      <w:bookmarkEnd w:id="197"/>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sz w:val="24"/>
              </w:rPr>
            </w:pPr>
            <w:r>
              <w:rPr>
                <w:rFonts w:hint="eastAsia" w:ascii="宋体" w:hAnsi="宋体"/>
                <w:sz w:val="24"/>
              </w:rPr>
              <w:t>姓名</w:t>
            </w:r>
          </w:p>
        </w:tc>
        <w:tc>
          <w:tcPr>
            <w:tcW w:w="1295" w:type="dxa"/>
            <w:vAlign w:val="center"/>
          </w:tcPr>
          <w:p>
            <w:pPr>
              <w:snapToGrid w:val="0"/>
              <w:spacing w:line="0" w:lineRule="atLeast"/>
              <w:jc w:val="center"/>
              <w:rPr>
                <w:rFonts w:ascii="宋体" w:hAnsi="宋体"/>
                <w:sz w:val="24"/>
              </w:rPr>
            </w:pPr>
          </w:p>
        </w:tc>
        <w:tc>
          <w:tcPr>
            <w:tcW w:w="1044" w:type="dxa"/>
            <w:gridSpan w:val="2"/>
            <w:vAlign w:val="center"/>
          </w:tcPr>
          <w:p>
            <w:pPr>
              <w:snapToGrid w:val="0"/>
              <w:spacing w:line="0" w:lineRule="atLeast"/>
              <w:jc w:val="center"/>
              <w:rPr>
                <w:rFonts w:ascii="宋体" w:hAnsi="宋体"/>
                <w:sz w:val="24"/>
              </w:rPr>
            </w:pPr>
            <w:r>
              <w:rPr>
                <w:rFonts w:hint="eastAsia" w:ascii="宋体" w:hAnsi="宋体"/>
                <w:sz w:val="24"/>
              </w:rPr>
              <w:t>年龄</w:t>
            </w:r>
          </w:p>
        </w:tc>
        <w:tc>
          <w:tcPr>
            <w:tcW w:w="1364" w:type="dxa"/>
            <w:gridSpan w:val="2"/>
            <w:vAlign w:val="center"/>
          </w:tcPr>
          <w:p>
            <w:pPr>
              <w:snapToGrid w:val="0"/>
              <w:spacing w:line="0" w:lineRule="atLeast"/>
              <w:jc w:val="center"/>
              <w:rPr>
                <w:rFonts w:ascii="宋体" w:hAnsi="宋体"/>
                <w:sz w:val="24"/>
              </w:rPr>
            </w:pPr>
          </w:p>
        </w:tc>
        <w:tc>
          <w:tcPr>
            <w:tcW w:w="1830" w:type="dxa"/>
            <w:gridSpan w:val="2"/>
            <w:vAlign w:val="center"/>
          </w:tcPr>
          <w:p>
            <w:pPr>
              <w:snapToGrid w:val="0"/>
              <w:spacing w:line="0" w:lineRule="atLeast"/>
              <w:jc w:val="center"/>
              <w:rPr>
                <w:rFonts w:ascii="宋体" w:hAnsi="宋体"/>
                <w:sz w:val="24"/>
              </w:rPr>
            </w:pPr>
            <w:r>
              <w:rPr>
                <w:rFonts w:hint="eastAsia" w:ascii="宋体" w:hAnsi="宋体"/>
                <w:sz w:val="24"/>
              </w:rPr>
              <w:t>学历</w:t>
            </w:r>
          </w:p>
        </w:tc>
        <w:tc>
          <w:tcPr>
            <w:tcW w:w="2027" w:type="dxa"/>
          </w:tcPr>
          <w:p>
            <w:pPr>
              <w:snapToGrid w:val="0"/>
              <w:spacing w:line="0" w:lineRule="atLeas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sz w:val="24"/>
              </w:rPr>
            </w:pPr>
            <w:r>
              <w:rPr>
                <w:rFonts w:hint="eastAsia" w:ascii="宋体" w:hAnsi="宋体"/>
                <w:sz w:val="24"/>
              </w:rPr>
              <w:t>技术职称</w:t>
            </w:r>
          </w:p>
        </w:tc>
        <w:tc>
          <w:tcPr>
            <w:tcW w:w="1295" w:type="dxa"/>
            <w:vAlign w:val="center"/>
          </w:tcPr>
          <w:p>
            <w:pPr>
              <w:snapToGrid w:val="0"/>
              <w:spacing w:line="0" w:lineRule="atLeast"/>
              <w:jc w:val="center"/>
              <w:rPr>
                <w:rFonts w:ascii="宋体" w:hAnsi="宋体"/>
                <w:sz w:val="24"/>
              </w:rPr>
            </w:pPr>
          </w:p>
        </w:tc>
        <w:tc>
          <w:tcPr>
            <w:tcW w:w="1044" w:type="dxa"/>
            <w:gridSpan w:val="2"/>
            <w:vAlign w:val="center"/>
          </w:tcPr>
          <w:p>
            <w:pPr>
              <w:snapToGrid w:val="0"/>
              <w:spacing w:line="0" w:lineRule="atLeast"/>
              <w:jc w:val="center"/>
              <w:rPr>
                <w:rFonts w:ascii="宋体" w:hAnsi="宋体"/>
                <w:sz w:val="24"/>
              </w:rPr>
            </w:pPr>
            <w:r>
              <w:rPr>
                <w:rFonts w:hint="eastAsia" w:ascii="宋体" w:hAnsi="宋体"/>
                <w:sz w:val="24"/>
              </w:rPr>
              <w:t>职务</w:t>
            </w:r>
          </w:p>
        </w:tc>
        <w:tc>
          <w:tcPr>
            <w:tcW w:w="1364" w:type="dxa"/>
            <w:gridSpan w:val="2"/>
            <w:vAlign w:val="center"/>
          </w:tcPr>
          <w:p>
            <w:pPr>
              <w:snapToGrid w:val="0"/>
              <w:spacing w:line="0" w:lineRule="atLeast"/>
              <w:jc w:val="center"/>
              <w:rPr>
                <w:rFonts w:ascii="宋体" w:hAnsi="宋体"/>
                <w:sz w:val="24"/>
              </w:rPr>
            </w:pPr>
          </w:p>
        </w:tc>
        <w:tc>
          <w:tcPr>
            <w:tcW w:w="1830" w:type="dxa"/>
            <w:gridSpan w:val="2"/>
            <w:vAlign w:val="center"/>
          </w:tcPr>
          <w:p>
            <w:pPr>
              <w:snapToGrid w:val="0"/>
              <w:spacing w:line="0" w:lineRule="atLeast"/>
              <w:jc w:val="center"/>
              <w:rPr>
                <w:rFonts w:ascii="宋体" w:hAnsi="宋体"/>
                <w:sz w:val="24"/>
              </w:rPr>
            </w:pPr>
            <w:r>
              <w:rPr>
                <w:rFonts w:hint="eastAsia" w:ascii="宋体" w:hAnsi="宋体"/>
                <w:sz w:val="24"/>
              </w:rPr>
              <w:t>在本项目担任职务</w:t>
            </w:r>
          </w:p>
        </w:tc>
        <w:tc>
          <w:tcPr>
            <w:tcW w:w="2027" w:type="dxa"/>
          </w:tcPr>
          <w:p>
            <w:pPr>
              <w:snapToGrid w:val="0"/>
              <w:spacing w:line="0" w:lineRule="atLeas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sz w:val="24"/>
              </w:rPr>
            </w:pPr>
            <w:r>
              <w:rPr>
                <w:rFonts w:hint="eastAsia" w:ascii="宋体" w:hAnsi="宋体"/>
                <w:sz w:val="24"/>
              </w:rPr>
              <w:t>毕业学校</w:t>
            </w:r>
          </w:p>
        </w:tc>
        <w:tc>
          <w:tcPr>
            <w:tcW w:w="3703" w:type="dxa"/>
            <w:gridSpan w:val="5"/>
            <w:vAlign w:val="center"/>
          </w:tcPr>
          <w:p>
            <w:pPr>
              <w:snapToGrid w:val="0"/>
              <w:spacing w:line="0" w:lineRule="atLeast"/>
              <w:jc w:val="center"/>
              <w:rPr>
                <w:rFonts w:ascii="宋体" w:hAnsi="宋体"/>
                <w:sz w:val="24"/>
              </w:rPr>
            </w:pPr>
            <w:r>
              <w:rPr>
                <w:rFonts w:hint="eastAsia" w:ascii="宋体" w:hAnsi="宋体"/>
                <w:sz w:val="24"/>
              </w:rPr>
              <w:t>毕业于      学校     专业</w:t>
            </w:r>
          </w:p>
        </w:tc>
        <w:tc>
          <w:tcPr>
            <w:tcW w:w="1830" w:type="dxa"/>
            <w:gridSpan w:val="2"/>
            <w:vAlign w:val="center"/>
          </w:tcPr>
          <w:p>
            <w:pPr>
              <w:snapToGrid w:val="0"/>
              <w:spacing w:line="0" w:lineRule="atLeast"/>
              <w:jc w:val="center"/>
              <w:rPr>
                <w:rFonts w:ascii="宋体" w:hAnsi="宋体"/>
                <w:sz w:val="24"/>
              </w:rPr>
            </w:pPr>
            <w:r>
              <w:rPr>
                <w:rFonts w:hint="eastAsia" w:ascii="宋体" w:hAnsi="宋体"/>
                <w:position w:val="-30"/>
                <w:sz w:val="24"/>
              </w:rPr>
              <w:t>从事检测工作年限</w:t>
            </w:r>
          </w:p>
        </w:tc>
        <w:tc>
          <w:tcPr>
            <w:tcW w:w="2027" w:type="dxa"/>
          </w:tcPr>
          <w:p>
            <w:pPr>
              <w:snapToGrid w:val="0"/>
              <w:spacing w:line="0" w:lineRule="atLeas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pPr>
              <w:snapToGrid w:val="0"/>
              <w:spacing w:line="0" w:lineRule="atLeast"/>
              <w:jc w:val="center"/>
              <w:rPr>
                <w:rFonts w:ascii="宋体" w:hAnsi="宋体"/>
                <w:sz w:val="24"/>
              </w:rPr>
            </w:pPr>
            <w:r>
              <w:rPr>
                <w:rFonts w:hint="eastAsia" w:ascii="宋体" w:hAnsi="宋体"/>
                <w:sz w:val="24"/>
              </w:rPr>
              <w:t>执业资格证号或注册证号</w:t>
            </w:r>
          </w:p>
        </w:tc>
        <w:tc>
          <w:tcPr>
            <w:tcW w:w="5984" w:type="dxa"/>
            <w:gridSpan w:val="6"/>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pPr>
              <w:snapToGrid w:val="0"/>
              <w:spacing w:line="0" w:lineRule="atLeast"/>
              <w:jc w:val="center"/>
              <w:rPr>
                <w:rFonts w:ascii="宋体" w:hAnsi="宋体"/>
                <w:sz w:val="24"/>
              </w:rPr>
            </w:pPr>
            <w:r>
              <w:rPr>
                <w:rFonts w:hint="eastAsia" w:ascii="宋体" w:hAnsi="宋体"/>
                <w:sz w:val="24"/>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pPr>
              <w:snapToGrid w:val="0"/>
              <w:spacing w:line="0" w:lineRule="atLeast"/>
              <w:jc w:val="center"/>
              <w:rPr>
                <w:rFonts w:ascii="宋体" w:hAnsi="宋体"/>
                <w:sz w:val="24"/>
              </w:rPr>
            </w:pPr>
            <w:r>
              <w:rPr>
                <w:rFonts w:hint="eastAsia" w:ascii="宋体" w:hAnsi="宋体"/>
                <w:sz w:val="24"/>
              </w:rPr>
              <w:t>时间</w:t>
            </w:r>
          </w:p>
        </w:tc>
        <w:tc>
          <w:tcPr>
            <w:tcW w:w="3476" w:type="dxa"/>
            <w:gridSpan w:val="5"/>
          </w:tcPr>
          <w:p>
            <w:pPr>
              <w:snapToGrid w:val="0"/>
              <w:spacing w:line="0" w:lineRule="atLeast"/>
              <w:jc w:val="center"/>
              <w:rPr>
                <w:rFonts w:ascii="宋体" w:hAnsi="宋体"/>
                <w:sz w:val="24"/>
              </w:rPr>
            </w:pPr>
            <w:r>
              <w:rPr>
                <w:rFonts w:hint="eastAsia" w:ascii="宋体" w:hAnsi="宋体"/>
                <w:sz w:val="24"/>
              </w:rPr>
              <w:t>参加过的主要工作</w:t>
            </w:r>
          </w:p>
        </w:tc>
        <w:tc>
          <w:tcPr>
            <w:tcW w:w="1607" w:type="dxa"/>
            <w:gridSpan w:val="2"/>
          </w:tcPr>
          <w:p>
            <w:pPr>
              <w:snapToGrid w:val="0"/>
              <w:spacing w:line="0" w:lineRule="atLeast"/>
              <w:jc w:val="center"/>
              <w:rPr>
                <w:rFonts w:ascii="宋体" w:hAnsi="宋体"/>
                <w:sz w:val="24"/>
              </w:rPr>
            </w:pPr>
            <w:r>
              <w:rPr>
                <w:rFonts w:hint="eastAsia" w:ascii="宋体" w:hAnsi="宋体"/>
                <w:sz w:val="24"/>
              </w:rPr>
              <w:t>担任何职</w:t>
            </w:r>
          </w:p>
        </w:tc>
        <w:tc>
          <w:tcPr>
            <w:tcW w:w="2657" w:type="dxa"/>
            <w:gridSpan w:val="2"/>
          </w:tcPr>
          <w:p>
            <w:pPr>
              <w:snapToGrid w:val="0"/>
              <w:spacing w:line="0" w:lineRule="atLeast"/>
              <w:jc w:val="center"/>
              <w:rPr>
                <w:rFonts w:ascii="宋体" w:hAnsi="宋体"/>
                <w:sz w:val="24"/>
              </w:rPr>
            </w:pPr>
            <w:r>
              <w:rPr>
                <w:rFonts w:hint="eastAsia" w:ascii="宋体" w:hAnsi="宋体"/>
                <w:sz w:val="24"/>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sz w:val="24"/>
              </w:rPr>
            </w:pPr>
          </w:p>
        </w:tc>
        <w:tc>
          <w:tcPr>
            <w:tcW w:w="3476" w:type="dxa"/>
            <w:gridSpan w:val="5"/>
          </w:tcPr>
          <w:p>
            <w:pPr>
              <w:snapToGrid w:val="0"/>
              <w:spacing w:line="0" w:lineRule="atLeast"/>
              <w:rPr>
                <w:rFonts w:ascii="宋体" w:hAnsi="宋体"/>
                <w:sz w:val="24"/>
              </w:rPr>
            </w:pPr>
          </w:p>
        </w:tc>
        <w:tc>
          <w:tcPr>
            <w:tcW w:w="1607" w:type="dxa"/>
            <w:gridSpan w:val="2"/>
          </w:tcPr>
          <w:p>
            <w:pPr>
              <w:snapToGrid w:val="0"/>
              <w:spacing w:line="0" w:lineRule="atLeast"/>
              <w:rPr>
                <w:rFonts w:ascii="宋体" w:hAnsi="宋体"/>
                <w:sz w:val="24"/>
              </w:rPr>
            </w:pPr>
          </w:p>
        </w:tc>
        <w:tc>
          <w:tcPr>
            <w:tcW w:w="2657" w:type="dxa"/>
            <w:gridSpan w:val="2"/>
          </w:tcPr>
          <w:p>
            <w:pPr>
              <w:snapToGrid w:val="0"/>
              <w:spacing w:line="0" w:lineRule="atLeast"/>
              <w:rPr>
                <w:rFonts w:ascii="宋体" w:hAnsi="宋体"/>
                <w:sz w:val="24"/>
              </w:rPr>
            </w:pPr>
          </w:p>
        </w:tc>
      </w:tr>
    </w:tbl>
    <w:p>
      <w:pPr>
        <w:widowControl/>
        <w:jc w:val="left"/>
        <w:rPr>
          <w:rFonts w:ascii="宋体" w:hAnsi="宋体"/>
          <w:sz w:val="24"/>
        </w:rPr>
      </w:pPr>
    </w:p>
    <w:p>
      <w:pPr>
        <w:rPr>
          <w:rFonts w:ascii="宋体" w:hAnsi="宋体"/>
          <w:sz w:val="24"/>
        </w:rPr>
      </w:pPr>
    </w:p>
    <w:p>
      <w:pPr>
        <w:pStyle w:val="5"/>
      </w:pPr>
      <w:r>
        <w:rPr>
          <w:sz w:val="24"/>
        </w:rPr>
        <w:br w:type="page"/>
      </w:r>
      <w:bookmarkStart w:id="198" w:name="_Toc11350"/>
      <w:r>
        <w:rPr>
          <w:rFonts w:hint="eastAsia"/>
        </w:rPr>
        <w:t>九、拟投入本项目的主要检测仪器设备一览表</w:t>
      </w:r>
      <w:bookmarkEnd w:id="19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93"/>
        <w:gridCol w:w="900"/>
        <w:gridCol w:w="992"/>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36" w:type="dxa"/>
            <w:vMerge w:val="restart"/>
            <w:vAlign w:val="center"/>
          </w:tcPr>
          <w:p>
            <w:pPr>
              <w:jc w:val="center"/>
              <w:rPr>
                <w:rFonts w:ascii="宋体" w:hAnsi="宋体"/>
                <w:szCs w:val="21"/>
              </w:rPr>
            </w:pPr>
            <w:r>
              <w:rPr>
                <w:rFonts w:hint="eastAsia" w:ascii="宋体" w:hAnsi="宋体"/>
                <w:szCs w:val="21"/>
              </w:rPr>
              <w:t>序号</w:t>
            </w:r>
          </w:p>
        </w:tc>
        <w:tc>
          <w:tcPr>
            <w:tcW w:w="1793" w:type="dxa"/>
            <w:vMerge w:val="restart"/>
            <w:vAlign w:val="center"/>
          </w:tcPr>
          <w:p>
            <w:pPr>
              <w:jc w:val="center"/>
              <w:rPr>
                <w:rFonts w:ascii="宋体" w:hAnsi="宋体"/>
                <w:szCs w:val="21"/>
              </w:rPr>
            </w:pPr>
            <w:r>
              <w:rPr>
                <w:rFonts w:hint="eastAsia" w:ascii="宋体" w:hAnsi="宋体"/>
                <w:szCs w:val="21"/>
              </w:rPr>
              <w:t>设备名称</w:t>
            </w:r>
          </w:p>
        </w:tc>
        <w:tc>
          <w:tcPr>
            <w:tcW w:w="900" w:type="dxa"/>
            <w:vMerge w:val="restart"/>
            <w:vAlign w:val="center"/>
          </w:tcPr>
          <w:p>
            <w:pPr>
              <w:jc w:val="center"/>
              <w:rPr>
                <w:rFonts w:ascii="宋体" w:hAnsi="宋体"/>
                <w:szCs w:val="21"/>
              </w:rPr>
            </w:pPr>
            <w:r>
              <w:rPr>
                <w:rFonts w:hint="eastAsia" w:ascii="宋体" w:hAnsi="宋体"/>
                <w:szCs w:val="21"/>
              </w:rPr>
              <w:t>本项目</w:t>
            </w:r>
          </w:p>
          <w:p>
            <w:pPr>
              <w:jc w:val="center"/>
              <w:rPr>
                <w:rFonts w:ascii="宋体" w:hAnsi="宋体"/>
                <w:szCs w:val="21"/>
              </w:rPr>
            </w:pPr>
            <w:r>
              <w:rPr>
                <w:rFonts w:hint="eastAsia" w:ascii="宋体" w:hAnsi="宋体"/>
                <w:szCs w:val="21"/>
              </w:rPr>
              <w:t>数量基本要求</w:t>
            </w:r>
          </w:p>
        </w:tc>
        <w:tc>
          <w:tcPr>
            <w:tcW w:w="6314" w:type="dxa"/>
            <w:gridSpan w:val="5"/>
            <w:vAlign w:val="center"/>
          </w:tcPr>
          <w:p>
            <w:pPr>
              <w:jc w:val="center"/>
              <w:rPr>
                <w:rFonts w:ascii="宋体" w:hAnsi="宋体"/>
                <w:szCs w:val="21"/>
              </w:rPr>
            </w:pPr>
            <w:r>
              <w:rPr>
                <w:rFonts w:hint="eastAsia" w:ascii="宋体" w:hAnsi="宋体"/>
                <w:szCs w:val="21"/>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vMerge w:val="continue"/>
            <w:vAlign w:val="center"/>
          </w:tcPr>
          <w:p>
            <w:pPr>
              <w:jc w:val="center"/>
              <w:rPr>
                <w:rFonts w:ascii="宋体" w:hAnsi="宋体"/>
                <w:szCs w:val="21"/>
              </w:rPr>
            </w:pPr>
          </w:p>
        </w:tc>
        <w:tc>
          <w:tcPr>
            <w:tcW w:w="1793" w:type="dxa"/>
            <w:vMerge w:val="continue"/>
            <w:vAlign w:val="center"/>
          </w:tcPr>
          <w:p>
            <w:pPr>
              <w:jc w:val="center"/>
              <w:rPr>
                <w:rFonts w:ascii="宋体" w:hAnsi="宋体"/>
                <w:szCs w:val="21"/>
              </w:rPr>
            </w:pPr>
          </w:p>
        </w:tc>
        <w:tc>
          <w:tcPr>
            <w:tcW w:w="900" w:type="dxa"/>
            <w:vMerge w:val="continue"/>
            <w:vAlign w:val="center"/>
          </w:tcPr>
          <w:p>
            <w:pPr>
              <w:jc w:val="center"/>
              <w:rPr>
                <w:rFonts w:ascii="宋体" w:hAnsi="宋体"/>
                <w:szCs w:val="21"/>
              </w:rPr>
            </w:pPr>
          </w:p>
        </w:tc>
        <w:tc>
          <w:tcPr>
            <w:tcW w:w="992" w:type="dxa"/>
            <w:vAlign w:val="center"/>
          </w:tcPr>
          <w:p>
            <w:pPr>
              <w:jc w:val="center"/>
              <w:rPr>
                <w:rFonts w:ascii="宋体" w:hAnsi="宋体"/>
                <w:szCs w:val="21"/>
              </w:rPr>
            </w:pPr>
            <w:r>
              <w:rPr>
                <w:rFonts w:hint="eastAsia" w:ascii="宋体" w:hAnsi="宋体"/>
                <w:szCs w:val="21"/>
              </w:rPr>
              <w:t>数量</w:t>
            </w:r>
          </w:p>
        </w:tc>
        <w:tc>
          <w:tcPr>
            <w:tcW w:w="1785" w:type="dxa"/>
            <w:vAlign w:val="center"/>
          </w:tcPr>
          <w:p>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校准机构</w:t>
            </w:r>
          </w:p>
        </w:tc>
        <w:tc>
          <w:tcPr>
            <w:tcW w:w="1116" w:type="dxa"/>
            <w:vAlign w:val="center"/>
          </w:tcPr>
          <w:p>
            <w:pPr>
              <w:jc w:val="center"/>
              <w:rPr>
                <w:rFonts w:ascii="宋体" w:hAnsi="宋体"/>
                <w:szCs w:val="21"/>
              </w:rPr>
            </w:pPr>
            <w:r>
              <w:rPr>
                <w:rFonts w:hint="eastAsia" w:ascii="宋体" w:hAnsi="宋体"/>
                <w:szCs w:val="21"/>
              </w:rPr>
              <w:t>有效期</w:t>
            </w:r>
          </w:p>
        </w:tc>
        <w:tc>
          <w:tcPr>
            <w:tcW w:w="1341" w:type="dxa"/>
            <w:vAlign w:val="center"/>
          </w:tcPr>
          <w:p>
            <w:pPr>
              <w:jc w:val="center"/>
              <w:rPr>
                <w:rFonts w:ascii="宋体" w:hAnsi="宋体"/>
                <w:szCs w:val="21"/>
              </w:rPr>
            </w:pPr>
            <w:r>
              <w:rPr>
                <w:rFonts w:hint="eastAsia" w:ascii="宋体" w:hAnsi="宋体"/>
                <w:szCs w:val="21"/>
              </w:rPr>
              <w:t>检定</w:t>
            </w:r>
            <w:r>
              <w:rPr>
                <w:rFonts w:ascii="宋体" w:hAnsi="宋体"/>
                <w:szCs w:val="21"/>
              </w:rPr>
              <w:t>/</w:t>
            </w:r>
            <w:r>
              <w:rPr>
                <w:rFonts w:hint="eastAsia" w:ascii="宋体" w:hAnsi="宋体"/>
                <w:szCs w:val="21"/>
              </w:rPr>
              <w:t>校准周期</w:t>
            </w:r>
          </w:p>
        </w:tc>
        <w:tc>
          <w:tcPr>
            <w:tcW w:w="1080"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1</w:t>
            </w:r>
          </w:p>
        </w:tc>
        <w:tc>
          <w:tcPr>
            <w:tcW w:w="1793" w:type="dxa"/>
            <w:vAlign w:val="center"/>
          </w:tcPr>
          <w:p>
            <w:pPr>
              <w:spacing w:line="240" w:lineRule="exact"/>
              <w:jc w:val="center"/>
              <w:rPr>
                <w:rFonts w:ascii="宋体" w:hAnsi="宋体"/>
                <w:szCs w:val="21"/>
              </w:rPr>
            </w:pPr>
          </w:p>
        </w:tc>
        <w:tc>
          <w:tcPr>
            <w:tcW w:w="900" w:type="dxa"/>
            <w:vAlign w:val="center"/>
          </w:tcPr>
          <w:p>
            <w:pPr>
              <w:spacing w:line="240" w:lineRule="exact"/>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2</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3</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4</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5</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6</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7</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8</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9</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6" w:type="dxa"/>
            <w:vAlign w:val="center"/>
          </w:tcPr>
          <w:p>
            <w:pPr>
              <w:spacing w:line="240" w:lineRule="exact"/>
              <w:jc w:val="center"/>
              <w:rPr>
                <w:rFonts w:ascii="宋体" w:hAnsi="宋体"/>
                <w:szCs w:val="21"/>
              </w:rPr>
            </w:pPr>
            <w:r>
              <w:rPr>
                <w:rFonts w:ascii="宋体" w:hAnsi="宋体"/>
                <w:szCs w:val="21"/>
              </w:rPr>
              <w:t>10</w:t>
            </w:r>
          </w:p>
        </w:tc>
        <w:tc>
          <w:tcPr>
            <w:tcW w:w="1793" w:type="dxa"/>
            <w:vAlign w:val="center"/>
          </w:tcPr>
          <w:p>
            <w:pPr>
              <w:spacing w:line="240" w:lineRule="exact"/>
              <w:jc w:val="center"/>
              <w:rPr>
                <w:rFonts w:ascii="宋体" w:hAnsi="宋体"/>
                <w:szCs w:val="21"/>
              </w:rPr>
            </w:pPr>
          </w:p>
        </w:tc>
        <w:tc>
          <w:tcPr>
            <w:tcW w:w="900" w:type="dxa"/>
            <w:vAlign w:val="center"/>
          </w:tcPr>
          <w:p>
            <w:pPr>
              <w:jc w:val="center"/>
              <w:rPr>
                <w:rFonts w:ascii="宋体" w:hAnsi="宋体"/>
                <w:szCs w:val="21"/>
              </w:rPr>
            </w:pPr>
          </w:p>
        </w:tc>
        <w:tc>
          <w:tcPr>
            <w:tcW w:w="992" w:type="dxa"/>
            <w:vAlign w:val="center"/>
          </w:tcPr>
          <w:p>
            <w:pPr>
              <w:spacing w:line="240" w:lineRule="exact"/>
              <w:jc w:val="center"/>
              <w:rPr>
                <w:rFonts w:ascii="宋体" w:hAnsi="宋体"/>
                <w:szCs w:val="21"/>
              </w:rPr>
            </w:pPr>
          </w:p>
        </w:tc>
        <w:tc>
          <w:tcPr>
            <w:tcW w:w="1785" w:type="dxa"/>
            <w:vAlign w:val="center"/>
          </w:tcPr>
          <w:p>
            <w:pPr>
              <w:spacing w:line="240" w:lineRule="exact"/>
              <w:jc w:val="center"/>
              <w:rPr>
                <w:rFonts w:ascii="宋体" w:hAnsi="宋体"/>
                <w:szCs w:val="21"/>
              </w:rPr>
            </w:pPr>
          </w:p>
        </w:tc>
        <w:tc>
          <w:tcPr>
            <w:tcW w:w="1116" w:type="dxa"/>
            <w:vAlign w:val="center"/>
          </w:tcPr>
          <w:p>
            <w:pPr>
              <w:spacing w:line="240" w:lineRule="exact"/>
              <w:jc w:val="center"/>
              <w:rPr>
                <w:rFonts w:ascii="宋体" w:hAnsi="宋体"/>
                <w:szCs w:val="21"/>
              </w:rPr>
            </w:pPr>
          </w:p>
        </w:tc>
        <w:tc>
          <w:tcPr>
            <w:tcW w:w="1341" w:type="dxa"/>
            <w:vAlign w:val="center"/>
          </w:tcPr>
          <w:p>
            <w:pPr>
              <w:spacing w:line="240" w:lineRule="exact"/>
              <w:jc w:val="center"/>
              <w:rPr>
                <w:rFonts w:ascii="宋体" w:hAnsi="宋体"/>
                <w:szCs w:val="21"/>
              </w:rPr>
            </w:pPr>
          </w:p>
        </w:tc>
        <w:tc>
          <w:tcPr>
            <w:tcW w:w="1080" w:type="dxa"/>
            <w:vAlign w:val="center"/>
          </w:tcPr>
          <w:p>
            <w:pPr>
              <w:spacing w:line="240" w:lineRule="exact"/>
              <w:jc w:val="center"/>
              <w:rPr>
                <w:rFonts w:ascii="宋体" w:hAnsi="宋体"/>
                <w:szCs w:val="21"/>
              </w:rPr>
            </w:pPr>
          </w:p>
        </w:tc>
      </w:tr>
    </w:tbl>
    <w:p>
      <w:pPr>
        <w:snapToGrid w:val="0"/>
        <w:spacing w:line="360" w:lineRule="auto"/>
        <w:ind w:right="-97" w:rightChars="-46"/>
        <w:rPr>
          <w:rFonts w:ascii="宋体" w:hAnsi="宋体"/>
          <w:sz w:val="24"/>
        </w:rPr>
      </w:pPr>
    </w:p>
    <w:p>
      <w:pPr>
        <w:pStyle w:val="5"/>
      </w:pPr>
      <w:r>
        <w:br w:type="page"/>
      </w:r>
      <w:bookmarkStart w:id="199" w:name="_Toc533334237"/>
      <w:bookmarkStart w:id="200" w:name="_Toc532390645"/>
      <w:bookmarkStart w:id="201" w:name="_Toc20161"/>
      <w:bookmarkStart w:id="202" w:name="_Toc528170367"/>
      <w:bookmarkStart w:id="203" w:name="_Toc9171"/>
      <w:r>
        <w:rPr>
          <w:rFonts w:hint="eastAsia"/>
        </w:rPr>
        <w:t>十、</w:t>
      </w:r>
      <w:bookmarkEnd w:id="199"/>
      <w:bookmarkEnd w:id="200"/>
      <w:bookmarkEnd w:id="201"/>
      <w:bookmarkEnd w:id="202"/>
      <w:r>
        <w:rPr>
          <w:rFonts w:hint="eastAsia"/>
        </w:rPr>
        <w:t>检测方案</w:t>
      </w:r>
      <w:bookmarkEnd w:id="203"/>
    </w:p>
    <w:p>
      <w:pPr>
        <w:pStyle w:val="5"/>
      </w:pPr>
      <w:bookmarkStart w:id="204" w:name="_Toc533334238"/>
      <w:bookmarkStart w:id="205" w:name="_Toc30307"/>
      <w:r>
        <w:rPr>
          <w:rFonts w:hint="eastAsia"/>
          <w:b w:val="0"/>
          <w:bCs/>
        </w:rPr>
        <w:t>格式自定。</w:t>
      </w:r>
      <w:r>
        <w:br w:type="page"/>
      </w:r>
      <w:r>
        <w:rPr>
          <w:rFonts w:hint="eastAsia"/>
        </w:rPr>
        <w:t>十一、其他资料</w:t>
      </w:r>
      <w:bookmarkEnd w:id="204"/>
      <w:bookmarkEnd w:id="205"/>
    </w:p>
    <w:p>
      <w:pPr>
        <w:spacing w:line="360" w:lineRule="auto"/>
        <w:ind w:firstLine="480" w:firstLineChars="200"/>
        <w:jc w:val="left"/>
        <w:rPr>
          <w:rFonts w:ascii="宋体" w:hAnsi="宋体"/>
          <w:sz w:val="24"/>
          <w:szCs w:val="24"/>
        </w:rPr>
      </w:pPr>
      <w:r>
        <w:rPr>
          <w:rFonts w:hint="eastAsia" w:ascii="宋体" w:hAnsi="宋体"/>
          <w:sz w:val="24"/>
        </w:rPr>
        <w:t>投标人须知前附表规定的其他资料，</w:t>
      </w:r>
      <w:r>
        <w:rPr>
          <w:rFonts w:hint="eastAsia" w:ascii="宋体" w:hAnsi="宋体"/>
          <w:sz w:val="24"/>
          <w:szCs w:val="24"/>
        </w:rPr>
        <w:t>投标人认为有必要提交的其他资料，格式自定。</w:t>
      </w:r>
    </w:p>
    <w:p>
      <w:pPr>
        <w:snapToGrid w:val="0"/>
        <w:spacing w:line="360" w:lineRule="auto"/>
        <w:ind w:right="-97" w:rightChars="-46"/>
        <w:rPr>
          <w:rFonts w:ascii="宋体" w:hAnsi="宋体"/>
          <w:sz w:val="24"/>
          <w:szCs w:val="18"/>
        </w:rPr>
      </w:pPr>
    </w:p>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
      <w:pPr>
        <w:pStyle w:val="4"/>
      </w:pPr>
    </w:p>
    <w:p>
      <w:pPr>
        <w:pStyle w:val="3"/>
        <w:keepNext w:val="0"/>
        <w:keepLines w:val="0"/>
        <w:adjustRightInd w:val="0"/>
        <w:snapToGrid w:val="0"/>
        <w:spacing w:line="360" w:lineRule="auto"/>
      </w:pPr>
      <w:bookmarkStart w:id="206" w:name="_Toc2184"/>
      <w:bookmarkStart w:id="207" w:name="_Toc31327"/>
      <w:r>
        <w:rPr>
          <w:rFonts w:hint="eastAsia" w:cs="宋体"/>
        </w:rPr>
        <w:t>第七章</w:t>
      </w:r>
      <w:r>
        <w:t xml:space="preserve">  </w:t>
      </w:r>
      <w:r>
        <w:rPr>
          <w:rFonts w:hint="eastAsia" w:cs="宋体"/>
        </w:rPr>
        <w:t>第三方检测服务清单及综合单价限价表</w:t>
      </w:r>
      <w:bookmarkEnd w:id="206"/>
      <w:bookmarkEnd w:id="207"/>
    </w:p>
    <w:p>
      <w:pPr>
        <w:widowControl/>
        <w:spacing w:line="360" w:lineRule="auto"/>
        <w:jc w:val="center"/>
        <w:rPr>
          <w:sz w:val="28"/>
          <w:szCs w:val="28"/>
        </w:rPr>
      </w:pPr>
      <w:r>
        <w:rPr>
          <w:rFonts w:hint="eastAsia" w:ascii="宋体" w:hAnsi="宋体" w:cs="宋体"/>
          <w:kern w:val="0"/>
          <w:sz w:val="28"/>
          <w:szCs w:val="28"/>
          <w:lang w:bidi="ar"/>
        </w:rPr>
        <w:t>（另册）</w:t>
      </w:r>
    </w:p>
    <w:p/>
    <w:sectPr>
      <w:headerReference r:id="rId7" w:type="default"/>
      <w:pgSz w:w="11906" w:h="16838"/>
      <w:pgMar w:top="1440" w:right="1080" w:bottom="1440" w:left="108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635" b="44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ElcXioJAgAAAwQAAA4AAAAAAAAAAQAgAAAAHwEAAGRy&#10;cy9lMm9Eb2MueG1sUEsFBgAAAAAGAAYAWQEAAJo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2"/>
      <w:rPr>
        <w:rStyle w:val="30"/>
      </w:rPr>
    </w:pPr>
    <w:r>
      <w:fldChar w:fldCharType="begin"/>
    </w:r>
    <w:r>
      <w:rPr>
        <w:rStyle w:val="30"/>
      </w:rPr>
      <w:instrText xml:space="preserve">PAGE  </w:instrText>
    </w:r>
    <w:r>
      <w:fldChar w:fldCharType="separate"/>
    </w:r>
    <w:r>
      <w:rPr>
        <w:rStyle w:val="30"/>
      </w:rPr>
      <w:t>42</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0"/>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A1299"/>
    <w:multiLevelType w:val="singleLevel"/>
    <w:tmpl w:val="C21A1299"/>
    <w:lvl w:ilvl="0" w:tentative="0">
      <w:start w:val="2"/>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mM5MWRlZTMxNzJiMmZkODNhNjNjNzRhNmM3NzkifQ=="/>
    <w:docVar w:name="KSO_WPS_MARK_KEY" w:val="b0bf2640-3d60-42aa-b136-eeee4212a3fa"/>
  </w:docVars>
  <w:rsids>
    <w:rsidRoot w:val="00FE62DA"/>
    <w:rsid w:val="000D61AF"/>
    <w:rsid w:val="0019240B"/>
    <w:rsid w:val="001C19D9"/>
    <w:rsid w:val="00AC1CF7"/>
    <w:rsid w:val="00B903BC"/>
    <w:rsid w:val="00C50652"/>
    <w:rsid w:val="00D14A10"/>
    <w:rsid w:val="00D26BDB"/>
    <w:rsid w:val="00FE62DA"/>
    <w:rsid w:val="02073418"/>
    <w:rsid w:val="0360057C"/>
    <w:rsid w:val="03976B21"/>
    <w:rsid w:val="0442414A"/>
    <w:rsid w:val="083A2C5B"/>
    <w:rsid w:val="08500666"/>
    <w:rsid w:val="09DF154F"/>
    <w:rsid w:val="09F14739"/>
    <w:rsid w:val="09F61D78"/>
    <w:rsid w:val="0B266665"/>
    <w:rsid w:val="0BF551D9"/>
    <w:rsid w:val="0BF65476"/>
    <w:rsid w:val="0D3C216F"/>
    <w:rsid w:val="0E2350DD"/>
    <w:rsid w:val="0E967BE9"/>
    <w:rsid w:val="0F9C6EF5"/>
    <w:rsid w:val="102E3706"/>
    <w:rsid w:val="10790FE5"/>
    <w:rsid w:val="1133168B"/>
    <w:rsid w:val="11823E91"/>
    <w:rsid w:val="13184396"/>
    <w:rsid w:val="13376A27"/>
    <w:rsid w:val="13EA1B35"/>
    <w:rsid w:val="149D016E"/>
    <w:rsid w:val="17274D96"/>
    <w:rsid w:val="17DC0D8C"/>
    <w:rsid w:val="18F002B2"/>
    <w:rsid w:val="1B882A24"/>
    <w:rsid w:val="1D305121"/>
    <w:rsid w:val="22561186"/>
    <w:rsid w:val="228D5B38"/>
    <w:rsid w:val="229F2797"/>
    <w:rsid w:val="23DC4613"/>
    <w:rsid w:val="263C373D"/>
    <w:rsid w:val="26A97218"/>
    <w:rsid w:val="26B3091F"/>
    <w:rsid w:val="29437F8A"/>
    <w:rsid w:val="294A756A"/>
    <w:rsid w:val="2C155C0E"/>
    <w:rsid w:val="2C4209CD"/>
    <w:rsid w:val="2D0F08AF"/>
    <w:rsid w:val="2E025576"/>
    <w:rsid w:val="2E293BF2"/>
    <w:rsid w:val="2EED4C20"/>
    <w:rsid w:val="2F2648F3"/>
    <w:rsid w:val="31CE3E35"/>
    <w:rsid w:val="329D709F"/>
    <w:rsid w:val="32AC51A0"/>
    <w:rsid w:val="3335650D"/>
    <w:rsid w:val="341E587B"/>
    <w:rsid w:val="34A55F9D"/>
    <w:rsid w:val="34A97864"/>
    <w:rsid w:val="35521C81"/>
    <w:rsid w:val="363F0EA1"/>
    <w:rsid w:val="37CD55EE"/>
    <w:rsid w:val="38284018"/>
    <w:rsid w:val="3BC55553"/>
    <w:rsid w:val="3C914A94"/>
    <w:rsid w:val="3D424389"/>
    <w:rsid w:val="3E5844CD"/>
    <w:rsid w:val="3EFE4C27"/>
    <w:rsid w:val="3F397087"/>
    <w:rsid w:val="3F5342F2"/>
    <w:rsid w:val="3FA56E51"/>
    <w:rsid w:val="3FB47623"/>
    <w:rsid w:val="3FB812C0"/>
    <w:rsid w:val="3FBC5057"/>
    <w:rsid w:val="40C6334F"/>
    <w:rsid w:val="41BB0BAE"/>
    <w:rsid w:val="444C631A"/>
    <w:rsid w:val="45554194"/>
    <w:rsid w:val="49310669"/>
    <w:rsid w:val="4ABF7FCF"/>
    <w:rsid w:val="4AFA62A3"/>
    <w:rsid w:val="4B72052F"/>
    <w:rsid w:val="4B8A5994"/>
    <w:rsid w:val="4B9569C6"/>
    <w:rsid w:val="4C1C6CBA"/>
    <w:rsid w:val="4EFF65A6"/>
    <w:rsid w:val="4F4C1097"/>
    <w:rsid w:val="4F7505EE"/>
    <w:rsid w:val="52100AA2"/>
    <w:rsid w:val="52540C46"/>
    <w:rsid w:val="558943A7"/>
    <w:rsid w:val="55CC2F32"/>
    <w:rsid w:val="573F3A30"/>
    <w:rsid w:val="579B705F"/>
    <w:rsid w:val="58D77C23"/>
    <w:rsid w:val="59AC10B0"/>
    <w:rsid w:val="5B8E4B8A"/>
    <w:rsid w:val="5BB97DF8"/>
    <w:rsid w:val="5C3F26AF"/>
    <w:rsid w:val="5CD749CB"/>
    <w:rsid w:val="5D6454EE"/>
    <w:rsid w:val="5E40699E"/>
    <w:rsid w:val="60AA2D84"/>
    <w:rsid w:val="60EE26D2"/>
    <w:rsid w:val="615D7134"/>
    <w:rsid w:val="62E01DF8"/>
    <w:rsid w:val="633A772C"/>
    <w:rsid w:val="634700C4"/>
    <w:rsid w:val="6464541D"/>
    <w:rsid w:val="64A70DF2"/>
    <w:rsid w:val="663C7AF5"/>
    <w:rsid w:val="664939B5"/>
    <w:rsid w:val="668313EA"/>
    <w:rsid w:val="68C77CB4"/>
    <w:rsid w:val="69B85878"/>
    <w:rsid w:val="6A12254A"/>
    <w:rsid w:val="6C4B29D3"/>
    <w:rsid w:val="6C4C513B"/>
    <w:rsid w:val="6CD40841"/>
    <w:rsid w:val="6D5270DA"/>
    <w:rsid w:val="6E896A06"/>
    <w:rsid w:val="717D653A"/>
    <w:rsid w:val="723759C7"/>
    <w:rsid w:val="72DC25D7"/>
    <w:rsid w:val="73D439C3"/>
    <w:rsid w:val="746F4124"/>
    <w:rsid w:val="758B3E18"/>
    <w:rsid w:val="7682521B"/>
    <w:rsid w:val="775E6FEA"/>
    <w:rsid w:val="795A0E6B"/>
    <w:rsid w:val="79FD0B98"/>
    <w:rsid w:val="7A584103"/>
    <w:rsid w:val="7CE02C9B"/>
    <w:rsid w:val="7D4C540E"/>
    <w:rsid w:val="7DFC22A6"/>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5"/>
    <w:qFormat/>
    <w:uiPriority w:val="0"/>
    <w:pPr>
      <w:keepNext/>
      <w:keepLines/>
      <w:spacing w:line="412" w:lineRule="auto"/>
      <w:jc w:val="center"/>
      <w:outlineLvl w:val="1"/>
    </w:pPr>
    <w:rPr>
      <w:rFonts w:ascii="Arial" w:hAnsi="Arial"/>
      <w:b/>
      <w:sz w:val="24"/>
      <w:szCs w:val="20"/>
    </w:rPr>
  </w:style>
  <w:style w:type="paragraph" w:styleId="5">
    <w:name w:val="heading 3"/>
    <w:basedOn w:val="1"/>
    <w:next w:val="1"/>
    <w:link w:val="36"/>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7"/>
    <w:qFormat/>
    <w:uiPriority w:val="0"/>
    <w:pPr>
      <w:keepNext/>
      <w:keepLines/>
      <w:jc w:val="center"/>
      <w:outlineLvl w:val="3"/>
    </w:pPr>
    <w:rPr>
      <w:rFonts w:ascii="Cambria" w:hAnsi="Cambria"/>
      <w:b/>
      <w:bCs/>
      <w:sz w:val="28"/>
      <w:szCs w:val="28"/>
    </w:rPr>
  </w:style>
  <w:style w:type="paragraph" w:styleId="7">
    <w:name w:val="heading 5"/>
    <w:basedOn w:val="1"/>
    <w:next w:val="1"/>
    <w:link w:val="38"/>
    <w:qFormat/>
    <w:uiPriority w:val="0"/>
    <w:pPr>
      <w:keepNext/>
      <w:keepLines/>
      <w:spacing w:line="376" w:lineRule="auto"/>
      <w:outlineLvl w:val="4"/>
    </w:pPr>
    <w:rPr>
      <w:b/>
      <w:bCs/>
      <w:sz w:val="24"/>
      <w:szCs w:val="24"/>
    </w:rPr>
  </w:style>
  <w:style w:type="paragraph" w:styleId="8">
    <w:name w:val="heading 7"/>
    <w:basedOn w:val="1"/>
    <w:next w:val="2"/>
    <w:link w:val="39"/>
    <w:qFormat/>
    <w:uiPriority w:val="0"/>
    <w:pPr>
      <w:keepNext/>
      <w:keepLines/>
      <w:spacing w:before="240" w:after="64" w:line="320" w:lineRule="auto"/>
      <w:outlineLvl w:val="6"/>
    </w:pPr>
    <w:rPr>
      <w:b/>
      <w:kern w:val="0"/>
      <w:sz w:val="24"/>
      <w:szCs w:val="2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rPr>
  </w:style>
  <w:style w:type="paragraph" w:styleId="9">
    <w:name w:val="Document Map"/>
    <w:basedOn w:val="1"/>
    <w:link w:val="42"/>
    <w:qFormat/>
    <w:uiPriority w:val="0"/>
    <w:rPr>
      <w:rFonts w:ascii="宋体" w:hAnsi="Calibri"/>
      <w:sz w:val="18"/>
      <w:szCs w:val="18"/>
    </w:rPr>
  </w:style>
  <w:style w:type="paragraph" w:styleId="10">
    <w:name w:val="annotation text"/>
    <w:basedOn w:val="1"/>
    <w:link w:val="43"/>
    <w:qFormat/>
    <w:uiPriority w:val="0"/>
    <w:pPr>
      <w:jc w:val="left"/>
    </w:pPr>
    <w:rPr>
      <w:rFonts w:ascii="Calibri" w:hAnsi="Calibri"/>
    </w:rPr>
  </w:style>
  <w:style w:type="paragraph" w:styleId="11">
    <w:name w:val="Body Text 3"/>
    <w:basedOn w:val="1"/>
    <w:link w:val="44"/>
    <w:qFormat/>
    <w:uiPriority w:val="0"/>
    <w:rPr>
      <w:rFonts w:ascii="宋体" w:hAnsi="Calibri"/>
      <w:sz w:val="24"/>
    </w:rPr>
  </w:style>
  <w:style w:type="paragraph" w:styleId="12">
    <w:name w:val="Body Text"/>
    <w:basedOn w:val="1"/>
    <w:next w:val="1"/>
    <w:link w:val="45"/>
    <w:qFormat/>
    <w:uiPriority w:val="0"/>
    <w:rPr>
      <w:szCs w:val="20"/>
    </w:rPr>
  </w:style>
  <w:style w:type="paragraph" w:styleId="13">
    <w:name w:val="Body Text Indent"/>
    <w:basedOn w:val="1"/>
    <w:next w:val="14"/>
    <w:link w:val="46"/>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4">
    <w:name w:val="envelope return"/>
    <w:basedOn w:val="1"/>
    <w:qFormat/>
    <w:uiPriority w:val="0"/>
    <w:pPr>
      <w:snapToGrid w:val="0"/>
    </w:pPr>
    <w:rPr>
      <w:rFonts w:ascii="Arial" w:hAnsi="Arial" w:cs="Arial"/>
    </w:rPr>
  </w:style>
  <w:style w:type="paragraph" w:styleId="15">
    <w:name w:val="toc 3"/>
    <w:basedOn w:val="1"/>
    <w:next w:val="1"/>
    <w:qFormat/>
    <w:uiPriority w:val="39"/>
    <w:pPr>
      <w:ind w:left="840" w:leftChars="400"/>
    </w:pPr>
    <w:rPr>
      <w:rFonts w:ascii="Calibri" w:hAnsi="Calibri"/>
    </w:rPr>
  </w:style>
  <w:style w:type="paragraph" w:styleId="16">
    <w:name w:val="Plain Text"/>
    <w:basedOn w:val="1"/>
    <w:next w:val="1"/>
    <w:link w:val="47"/>
    <w:qFormat/>
    <w:uiPriority w:val="0"/>
    <w:rPr>
      <w:rFonts w:ascii="宋体" w:hAnsi="Calibri"/>
      <w:sz w:val="22"/>
    </w:rPr>
  </w:style>
  <w:style w:type="paragraph" w:styleId="17">
    <w:name w:val="Date"/>
    <w:basedOn w:val="1"/>
    <w:next w:val="1"/>
    <w:link w:val="48"/>
    <w:qFormat/>
    <w:uiPriority w:val="0"/>
    <w:pPr>
      <w:ind w:left="100" w:leftChars="2500"/>
    </w:pPr>
    <w:rPr>
      <w:rFonts w:ascii="Calibri" w:hAnsi="Calibri"/>
    </w:rPr>
  </w:style>
  <w:style w:type="paragraph" w:styleId="18">
    <w:name w:val="Body Text Indent 2"/>
    <w:basedOn w:val="1"/>
    <w:link w:val="49"/>
    <w:qFormat/>
    <w:uiPriority w:val="0"/>
    <w:pPr>
      <w:spacing w:line="480" w:lineRule="auto"/>
      <w:ind w:left="420" w:leftChars="200"/>
    </w:pPr>
    <w:rPr>
      <w:szCs w:val="24"/>
    </w:rPr>
  </w:style>
  <w:style w:type="paragraph" w:styleId="19">
    <w:name w:val="Balloon Text"/>
    <w:basedOn w:val="1"/>
    <w:link w:val="50"/>
    <w:qFormat/>
    <w:uiPriority w:val="0"/>
    <w:rPr>
      <w:rFonts w:ascii="Calibri" w:hAnsi="Calibri"/>
      <w:sz w:val="18"/>
      <w:szCs w:val="18"/>
    </w:rPr>
  </w:style>
  <w:style w:type="paragraph" w:styleId="20">
    <w:name w:val="footer"/>
    <w:basedOn w:val="1"/>
    <w:link w:val="41"/>
    <w:unhideWhenUsed/>
    <w:qFormat/>
    <w:uiPriority w:val="99"/>
    <w:pPr>
      <w:tabs>
        <w:tab w:val="center" w:pos="4153"/>
        <w:tab w:val="right" w:pos="8306"/>
      </w:tabs>
      <w:snapToGrid w:val="0"/>
      <w:jc w:val="left"/>
    </w:pPr>
    <w:rPr>
      <w:sz w:val="18"/>
      <w:szCs w:val="18"/>
    </w:rPr>
  </w:style>
  <w:style w:type="paragraph" w:styleId="21">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rPr>
  </w:style>
  <w:style w:type="paragraph" w:styleId="23">
    <w:name w:val="toc 2"/>
    <w:basedOn w:val="1"/>
    <w:next w:val="1"/>
    <w:qFormat/>
    <w:uiPriority w:val="39"/>
    <w:pPr>
      <w:ind w:left="420" w:leftChars="200"/>
    </w:pPr>
    <w:rPr>
      <w:rFonts w:ascii="Calibri" w:hAnsi="Calibri"/>
    </w:rPr>
  </w:style>
  <w:style w:type="paragraph" w:styleId="2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25">
    <w:name w:val="annotation subject"/>
    <w:basedOn w:val="10"/>
    <w:next w:val="10"/>
    <w:link w:val="51"/>
    <w:qFormat/>
    <w:uiPriority w:val="0"/>
    <w:rPr>
      <w:b/>
      <w:bCs/>
    </w:rPr>
  </w:style>
  <w:style w:type="paragraph" w:styleId="26">
    <w:name w:val="Body Text First Indent"/>
    <w:basedOn w:val="12"/>
    <w:link w:val="52"/>
    <w:qFormat/>
    <w:uiPriority w:val="0"/>
    <w:pPr>
      <w:spacing w:line="312" w:lineRule="auto"/>
      <w:ind w:firstLine="420"/>
    </w:pPr>
    <w:rPr>
      <w:rFonts w:ascii="Calibri" w:hAnsi="Calibri"/>
      <w:szCs w:val="24"/>
    </w:rPr>
  </w:style>
  <w:style w:type="paragraph" w:styleId="27">
    <w:name w:val="Body Text First Indent 2"/>
    <w:basedOn w:val="13"/>
    <w:link w:val="53"/>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0">
    <w:name w:val="page number"/>
    <w:qFormat/>
    <w:uiPriority w:val="0"/>
    <w:rPr>
      <w:rFonts w:ascii="Calibri" w:hAnsi="Calibri" w:eastAsia="宋体" w:cs="Times New Roman"/>
    </w:rPr>
  </w:style>
  <w:style w:type="character" w:styleId="31">
    <w:name w:val="FollowedHyperlink"/>
    <w:qFormat/>
    <w:uiPriority w:val="0"/>
    <w:rPr>
      <w:rFonts w:ascii="Times New Roman" w:hAnsi="Times New Roman" w:eastAsia="楷体_GB2312" w:cs="Times New Roman"/>
      <w:color w:val="000000"/>
      <w:u w:val="none"/>
    </w:rPr>
  </w:style>
  <w:style w:type="character" w:styleId="32">
    <w:name w:val="Hyperlink"/>
    <w:qFormat/>
    <w:uiPriority w:val="99"/>
    <w:rPr>
      <w:rFonts w:ascii="Calibri" w:hAnsi="Calibri" w:eastAsia="宋体" w:cs="Times New Roman"/>
      <w:color w:val="0000FF"/>
      <w:u w:val="single"/>
    </w:rPr>
  </w:style>
  <w:style w:type="character" w:styleId="33">
    <w:name w:val="annotation reference"/>
    <w:qFormat/>
    <w:uiPriority w:val="0"/>
    <w:rPr>
      <w:rFonts w:ascii="Calibri" w:hAnsi="Calibri" w:eastAsia="宋体" w:cs="Times New Roman"/>
      <w:sz w:val="21"/>
      <w:szCs w:val="21"/>
    </w:rPr>
  </w:style>
  <w:style w:type="character" w:customStyle="1" w:styleId="34">
    <w:name w:val="标题 1 Char"/>
    <w:basedOn w:val="29"/>
    <w:link w:val="3"/>
    <w:qFormat/>
    <w:uiPriority w:val="0"/>
    <w:rPr>
      <w:rFonts w:ascii="宋体" w:hAnsi="宋体" w:eastAsia="宋体" w:cs="Times New Roman"/>
      <w:b/>
      <w:kern w:val="44"/>
      <w:sz w:val="44"/>
      <w:szCs w:val="20"/>
    </w:rPr>
  </w:style>
  <w:style w:type="character" w:customStyle="1" w:styleId="35">
    <w:name w:val="标题 2 Char"/>
    <w:basedOn w:val="29"/>
    <w:link w:val="4"/>
    <w:qFormat/>
    <w:uiPriority w:val="0"/>
    <w:rPr>
      <w:rFonts w:ascii="Arial" w:hAnsi="Arial" w:eastAsia="宋体" w:cs="Times New Roman"/>
      <w:b/>
      <w:sz w:val="24"/>
      <w:szCs w:val="20"/>
    </w:rPr>
  </w:style>
  <w:style w:type="character" w:customStyle="1" w:styleId="36">
    <w:name w:val="标题 3 Char"/>
    <w:basedOn w:val="29"/>
    <w:link w:val="5"/>
    <w:qFormat/>
    <w:uiPriority w:val="0"/>
    <w:rPr>
      <w:rFonts w:ascii="宋体" w:hAnsi="宋体" w:eastAsia="宋体" w:cs="Times New Roman"/>
      <w:b/>
      <w:sz w:val="28"/>
      <w:szCs w:val="28"/>
    </w:rPr>
  </w:style>
  <w:style w:type="character" w:customStyle="1" w:styleId="37">
    <w:name w:val="标题 4 Char"/>
    <w:basedOn w:val="29"/>
    <w:link w:val="6"/>
    <w:qFormat/>
    <w:uiPriority w:val="0"/>
    <w:rPr>
      <w:rFonts w:ascii="Cambria" w:hAnsi="Cambria" w:eastAsia="宋体" w:cs="Times New Roman"/>
      <w:b/>
      <w:bCs/>
      <w:sz w:val="28"/>
      <w:szCs w:val="28"/>
    </w:rPr>
  </w:style>
  <w:style w:type="character" w:customStyle="1" w:styleId="38">
    <w:name w:val="标题 5 Char"/>
    <w:basedOn w:val="29"/>
    <w:link w:val="7"/>
    <w:qFormat/>
    <w:uiPriority w:val="0"/>
    <w:rPr>
      <w:rFonts w:ascii="Times New Roman" w:hAnsi="Times New Roman" w:eastAsia="宋体" w:cs="Times New Roman"/>
      <w:b/>
      <w:bCs/>
      <w:sz w:val="24"/>
      <w:szCs w:val="24"/>
    </w:rPr>
  </w:style>
  <w:style w:type="character" w:customStyle="1" w:styleId="39">
    <w:name w:val="标题 7 Char"/>
    <w:basedOn w:val="29"/>
    <w:link w:val="8"/>
    <w:qFormat/>
    <w:uiPriority w:val="0"/>
    <w:rPr>
      <w:rFonts w:ascii="Times New Roman" w:hAnsi="Times New Roman" w:eastAsia="宋体" w:cs="Times New Roman"/>
      <w:b/>
      <w:kern w:val="0"/>
      <w:sz w:val="24"/>
      <w:szCs w:val="20"/>
    </w:rPr>
  </w:style>
  <w:style w:type="character" w:customStyle="1" w:styleId="40">
    <w:name w:val="页眉 Char"/>
    <w:basedOn w:val="29"/>
    <w:link w:val="21"/>
    <w:qFormat/>
    <w:uiPriority w:val="0"/>
    <w:rPr>
      <w:rFonts w:ascii="Times New Roman" w:hAnsi="Times New Roman" w:eastAsia="宋体" w:cs="Times New Roman"/>
      <w:sz w:val="18"/>
      <w:szCs w:val="18"/>
    </w:rPr>
  </w:style>
  <w:style w:type="character" w:customStyle="1" w:styleId="41">
    <w:name w:val="页脚 Char"/>
    <w:basedOn w:val="29"/>
    <w:link w:val="20"/>
    <w:qFormat/>
    <w:uiPriority w:val="99"/>
    <w:rPr>
      <w:rFonts w:ascii="Times New Roman" w:hAnsi="Times New Roman" w:eastAsia="宋体" w:cs="Times New Roman"/>
      <w:sz w:val="18"/>
      <w:szCs w:val="18"/>
    </w:rPr>
  </w:style>
  <w:style w:type="character" w:customStyle="1" w:styleId="42">
    <w:name w:val="文档结构图 Char"/>
    <w:basedOn w:val="29"/>
    <w:link w:val="9"/>
    <w:qFormat/>
    <w:uiPriority w:val="0"/>
    <w:rPr>
      <w:rFonts w:ascii="宋体" w:hAnsi="Calibri" w:eastAsia="宋体" w:cs="Times New Roman"/>
      <w:sz w:val="18"/>
      <w:szCs w:val="18"/>
    </w:rPr>
  </w:style>
  <w:style w:type="character" w:customStyle="1" w:styleId="43">
    <w:name w:val="批注文字 Char"/>
    <w:basedOn w:val="29"/>
    <w:link w:val="10"/>
    <w:qFormat/>
    <w:uiPriority w:val="0"/>
    <w:rPr>
      <w:rFonts w:ascii="Calibri" w:hAnsi="Calibri" w:eastAsia="宋体" w:cs="Times New Roman"/>
    </w:rPr>
  </w:style>
  <w:style w:type="character" w:customStyle="1" w:styleId="44">
    <w:name w:val="正文文本 3 Char"/>
    <w:basedOn w:val="29"/>
    <w:link w:val="11"/>
    <w:qFormat/>
    <w:uiPriority w:val="0"/>
    <w:rPr>
      <w:rFonts w:ascii="宋体" w:hAnsi="Calibri" w:eastAsia="宋体" w:cs="Times New Roman"/>
      <w:sz w:val="24"/>
    </w:rPr>
  </w:style>
  <w:style w:type="character" w:customStyle="1" w:styleId="45">
    <w:name w:val="正文文本 Char"/>
    <w:basedOn w:val="29"/>
    <w:link w:val="12"/>
    <w:qFormat/>
    <w:uiPriority w:val="0"/>
    <w:rPr>
      <w:rFonts w:ascii="Times New Roman" w:hAnsi="Times New Roman" w:eastAsia="宋体" w:cs="Times New Roman"/>
      <w:szCs w:val="20"/>
    </w:rPr>
  </w:style>
  <w:style w:type="character" w:customStyle="1" w:styleId="46">
    <w:name w:val="正文文本缩进 Char"/>
    <w:basedOn w:val="29"/>
    <w:link w:val="13"/>
    <w:qFormat/>
    <w:uiPriority w:val="0"/>
    <w:rPr>
      <w:rFonts w:ascii="宋体" w:hAnsi="宋体" w:eastAsia="宋体" w:cs="Times New Roman"/>
      <w:color w:val="000000"/>
      <w:kern w:val="0"/>
      <w:sz w:val="20"/>
      <w:szCs w:val="24"/>
    </w:rPr>
  </w:style>
  <w:style w:type="character" w:customStyle="1" w:styleId="47">
    <w:name w:val="纯文本 Char"/>
    <w:basedOn w:val="29"/>
    <w:link w:val="16"/>
    <w:qFormat/>
    <w:uiPriority w:val="0"/>
    <w:rPr>
      <w:rFonts w:ascii="宋体" w:hAnsi="Calibri" w:eastAsia="宋体" w:cs="Times New Roman"/>
      <w:sz w:val="22"/>
    </w:rPr>
  </w:style>
  <w:style w:type="character" w:customStyle="1" w:styleId="48">
    <w:name w:val="日期 Char"/>
    <w:basedOn w:val="29"/>
    <w:link w:val="17"/>
    <w:qFormat/>
    <w:uiPriority w:val="0"/>
    <w:rPr>
      <w:rFonts w:ascii="Calibri" w:hAnsi="Calibri" w:eastAsia="宋体" w:cs="Times New Roman"/>
    </w:rPr>
  </w:style>
  <w:style w:type="character" w:customStyle="1" w:styleId="49">
    <w:name w:val="正文文本缩进 2 Char"/>
    <w:basedOn w:val="29"/>
    <w:link w:val="18"/>
    <w:qFormat/>
    <w:uiPriority w:val="0"/>
    <w:rPr>
      <w:rFonts w:ascii="Times New Roman" w:hAnsi="Times New Roman" w:eastAsia="宋体" w:cs="Times New Roman"/>
      <w:szCs w:val="24"/>
    </w:rPr>
  </w:style>
  <w:style w:type="character" w:customStyle="1" w:styleId="50">
    <w:name w:val="批注框文本 Char"/>
    <w:basedOn w:val="29"/>
    <w:link w:val="19"/>
    <w:qFormat/>
    <w:uiPriority w:val="0"/>
    <w:rPr>
      <w:rFonts w:ascii="Calibri" w:hAnsi="Calibri" w:eastAsia="宋体" w:cs="Times New Roman"/>
      <w:sz w:val="18"/>
      <w:szCs w:val="18"/>
    </w:rPr>
  </w:style>
  <w:style w:type="character" w:customStyle="1" w:styleId="51">
    <w:name w:val="批注主题 Char"/>
    <w:basedOn w:val="43"/>
    <w:link w:val="25"/>
    <w:qFormat/>
    <w:uiPriority w:val="0"/>
    <w:rPr>
      <w:rFonts w:ascii="Calibri" w:hAnsi="Calibri" w:eastAsia="宋体" w:cs="Times New Roman"/>
      <w:b/>
      <w:bCs/>
    </w:rPr>
  </w:style>
  <w:style w:type="character" w:customStyle="1" w:styleId="52">
    <w:name w:val="正文首行缩进 Char"/>
    <w:basedOn w:val="45"/>
    <w:link w:val="26"/>
    <w:qFormat/>
    <w:uiPriority w:val="0"/>
    <w:rPr>
      <w:rFonts w:ascii="Calibri" w:hAnsi="Calibri" w:eastAsia="宋体" w:cs="Times New Roman"/>
      <w:szCs w:val="24"/>
    </w:rPr>
  </w:style>
  <w:style w:type="character" w:customStyle="1" w:styleId="53">
    <w:name w:val="正文首行缩进 2 Char"/>
    <w:basedOn w:val="46"/>
    <w:link w:val="27"/>
    <w:qFormat/>
    <w:uiPriority w:val="0"/>
    <w:rPr>
      <w:rFonts w:ascii="Times New Roman" w:hAnsi="Times New Roman" w:eastAsia="宋体" w:cs="Times New Roman"/>
      <w:color w:val="000000"/>
      <w:kern w:val="0"/>
      <w:sz w:val="20"/>
      <w:szCs w:val="24"/>
    </w:rPr>
  </w:style>
  <w:style w:type="character" w:customStyle="1" w:styleId="54">
    <w:name w:val="datagrid-sort-icon3"/>
    <w:basedOn w:val="29"/>
    <w:qFormat/>
    <w:uiPriority w:val="0"/>
    <w:rPr>
      <w:rFonts w:ascii="Calibri" w:hAnsi="Calibri" w:eastAsia="宋体" w:cs="Times New Roman"/>
    </w:rPr>
  </w:style>
  <w:style w:type="paragraph" w:customStyle="1" w:styleId="55">
    <w:name w:val="_Style 3"/>
    <w:basedOn w:val="1"/>
    <w:qFormat/>
    <w:uiPriority w:val="0"/>
    <w:pPr>
      <w:spacing w:line="360" w:lineRule="auto"/>
      <w:jc w:val="center"/>
    </w:pPr>
    <w:rPr>
      <w:szCs w:val="20"/>
    </w:rPr>
  </w:style>
  <w:style w:type="paragraph" w:customStyle="1" w:styleId="56">
    <w:name w:val="列出段落1"/>
    <w:basedOn w:val="1"/>
    <w:qFormat/>
    <w:uiPriority w:val="0"/>
    <w:pPr>
      <w:ind w:firstLine="420" w:firstLineChars="200"/>
    </w:pPr>
    <w:rPr>
      <w:szCs w:val="24"/>
    </w:rPr>
  </w:style>
  <w:style w:type="paragraph" w:customStyle="1" w:styleId="57">
    <w:name w:val="列表段落1"/>
    <w:basedOn w:val="1"/>
    <w:qFormat/>
    <w:uiPriority w:val="0"/>
    <w:pPr>
      <w:ind w:firstLine="420" w:firstLineChars="200"/>
    </w:pPr>
    <w:rPr>
      <w:szCs w:val="24"/>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qFormat/>
    <w:uiPriority w:val="0"/>
    <w:rPr>
      <w:rFonts w:ascii="Times New Roman" w:hAnsi="Times New Roman" w:eastAsia="宋体" w:cs="Times New Roman"/>
      <w:kern w:val="2"/>
      <w:sz w:val="21"/>
      <w:szCs w:val="22"/>
      <w:lang w:val="en-US" w:eastAsia="zh-CN" w:bidi="ar-SA"/>
    </w:rPr>
  </w:style>
  <w:style w:type="paragraph" w:customStyle="1" w:styleId="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1">
    <w:name w:val="列出段落2"/>
    <w:basedOn w:val="1"/>
    <w:qFormat/>
    <w:uiPriority w:val="0"/>
    <w:pPr>
      <w:ind w:firstLine="420" w:firstLineChars="200"/>
    </w:pPr>
    <w:rPr>
      <w:szCs w:val="24"/>
    </w:rPr>
  </w:style>
  <w:style w:type="paragraph" w:customStyle="1" w:styleId="62">
    <w:name w:val="文一"/>
    <w:basedOn w:val="1"/>
    <w:qFormat/>
    <w:uiPriority w:val="0"/>
    <w:pPr>
      <w:topLinePunct/>
      <w:ind w:firstLine="200"/>
    </w:pPr>
    <w:rPr>
      <w:rFonts w:eastAsia="Times New Roman"/>
      <w:spacing w:val="4"/>
      <w:sz w:val="24"/>
      <w:szCs w:val="24"/>
    </w:rPr>
  </w:style>
  <w:style w:type="paragraph" w:customStyle="1" w:styleId="63">
    <w:name w:val="列表段落2"/>
    <w:basedOn w:val="1"/>
    <w:qFormat/>
    <w:uiPriority w:val="0"/>
    <w:pPr>
      <w:ind w:firstLine="420" w:firstLineChars="200"/>
    </w:pPr>
    <w:rPr>
      <w:szCs w:val="24"/>
    </w:rPr>
  </w:style>
  <w:style w:type="paragraph" w:customStyle="1" w:styleId="64">
    <w:name w:val="p0"/>
    <w:basedOn w:val="1"/>
    <w:qFormat/>
    <w:uiPriority w:val="0"/>
    <w:pPr>
      <w:widowControl/>
    </w:pPr>
    <w:rPr>
      <w:kern w:val="0"/>
      <w:szCs w:val="21"/>
    </w:rPr>
  </w:style>
  <w:style w:type="paragraph" w:customStyle="1" w:styleId="65">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28510</Words>
  <Characters>30359</Characters>
  <Lines>243</Lines>
  <Paragraphs>68</Paragraphs>
  <TotalTime>9</TotalTime>
  <ScaleCrop>false</ScaleCrop>
  <LinksUpToDate>false</LinksUpToDate>
  <CharactersWithSpaces>31138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2022-07-04T09:19:00Z</dcterms:created>
  <dc:creator>Admin</dc:creator>
  <cp:lastModifiedBy>小芬</cp:lastModifiedBy>
  <cp:lastPrinted>2023-09-04T07:17:00Z</cp:lastPrinted>
  <dcterms:modified xsi:type="dcterms:W3CDTF">2023-09-27T07:44:26Z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0F16550D099F430BA5F988E0907E91D2_13</vt:lpwstr>
  </property>
</Properties>
</file>