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jc w:val="center"/>
        <w:rPr>
          <w:rFonts w:ascii="宋体" w:hAnsi="宋体" w:cs="宋体"/>
          <w:b/>
          <w:bCs/>
          <w:color w:val="auto"/>
          <w:sz w:val="44"/>
          <w:szCs w:val="44"/>
          <w:highlight w:val="none"/>
        </w:rPr>
      </w:pPr>
    </w:p>
    <w:p>
      <w:pPr>
        <w:spacing w:line="360" w:lineRule="auto"/>
        <w:ind w:firstLine="883"/>
        <w:jc w:val="center"/>
        <w:rPr>
          <w:rFonts w:ascii="宋体" w:hAnsi="宋体" w:cs="宋体"/>
          <w:b/>
          <w:bCs/>
          <w:color w:val="auto"/>
          <w:sz w:val="44"/>
          <w:szCs w:val="44"/>
          <w:highlight w:val="none"/>
        </w:rPr>
      </w:pPr>
    </w:p>
    <w:p>
      <w:pPr>
        <w:spacing w:after="104"/>
        <w:jc w:val="center"/>
        <w:rPr>
          <w:rFonts w:ascii="宋体" w:hAnsi="宋体" w:eastAsia="宋体" w:cs="宋体"/>
          <w:color w:val="auto"/>
          <w:sz w:val="44"/>
          <w:szCs w:val="44"/>
          <w:highlight w:val="none"/>
        </w:rPr>
      </w:pPr>
      <w:r>
        <w:rPr>
          <w:rFonts w:hint="eastAsia" w:ascii="宋体" w:hAnsi="宋体" w:cs="宋体"/>
          <w:b/>
          <w:bCs/>
          <w:color w:val="auto"/>
          <w:sz w:val="44"/>
          <w:szCs w:val="44"/>
          <w:highlight w:val="none"/>
        </w:rPr>
        <w:t>花都区中轴线学校建设项目第三方监测服务</w:t>
      </w:r>
    </w:p>
    <w:p>
      <w:pPr>
        <w:spacing w:after="72"/>
        <w:ind w:right="66"/>
        <w:jc w:val="right"/>
        <w:rPr>
          <w:rFonts w:ascii="宋体" w:hAnsi="宋体" w:eastAsia="宋体" w:cs="宋体"/>
          <w:color w:val="auto"/>
          <w:sz w:val="21"/>
          <w:highlight w:val="none"/>
        </w:rPr>
      </w:pPr>
    </w:p>
    <w:p>
      <w:pPr>
        <w:spacing w:after="72"/>
        <w:ind w:right="66"/>
        <w:jc w:val="right"/>
        <w:rPr>
          <w:rFonts w:ascii="宋体" w:hAnsi="宋体" w:eastAsia="宋体" w:cs="宋体"/>
          <w:color w:val="auto"/>
          <w:highlight w:val="none"/>
        </w:rPr>
      </w:pPr>
    </w:p>
    <w:p>
      <w:pPr>
        <w:spacing w:after="0"/>
        <w:rPr>
          <w:rFonts w:ascii="宋体" w:hAnsi="宋体" w:eastAsia="宋体" w:cs="宋体"/>
          <w:color w:val="auto"/>
          <w:sz w:val="28"/>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line="218" w:lineRule="auto"/>
        <w:jc w:val="center"/>
        <w:rPr>
          <w:rFonts w:ascii="宋体" w:hAnsi="宋体" w:eastAsia="宋体" w:cs="宋体"/>
          <w:b/>
          <w:color w:val="auto"/>
          <w:sz w:val="84"/>
          <w:szCs w:val="84"/>
          <w:highlight w:val="none"/>
        </w:rPr>
      </w:pPr>
      <w:r>
        <w:rPr>
          <w:rFonts w:hint="eastAsia" w:ascii="宋体" w:hAnsi="宋体" w:eastAsia="宋体" w:cs="宋体"/>
          <w:b/>
          <w:color w:val="auto"/>
          <w:sz w:val="84"/>
          <w:szCs w:val="84"/>
          <w:highlight w:val="none"/>
        </w:rPr>
        <w:t>招标文件</w:t>
      </w:r>
    </w:p>
    <w:p>
      <w:pPr>
        <w:spacing w:after="137"/>
        <w:rPr>
          <w:rFonts w:ascii="宋体" w:hAnsi="宋体" w:eastAsia="宋体" w:cs="宋体"/>
          <w:color w:val="auto"/>
          <w:highlight w:val="none"/>
        </w:rPr>
      </w:pPr>
    </w:p>
    <w:p>
      <w:pPr>
        <w:spacing w:after="134"/>
        <w:rPr>
          <w:rFonts w:ascii="宋体" w:hAnsi="宋体" w:eastAsia="宋体" w:cs="宋体"/>
          <w:color w:val="auto"/>
          <w:sz w:val="21"/>
          <w:highlight w:val="none"/>
        </w:rPr>
      </w:pPr>
    </w:p>
    <w:p>
      <w:pPr>
        <w:spacing w:after="134"/>
        <w:rPr>
          <w:rFonts w:ascii="宋体" w:hAnsi="宋体" w:eastAsia="宋体" w:cs="宋体"/>
          <w:color w:val="auto"/>
          <w:highlight w:val="none"/>
        </w:rPr>
      </w:pPr>
    </w:p>
    <w:p>
      <w:pPr>
        <w:spacing w:after="137"/>
        <w:rPr>
          <w:rFonts w:ascii="宋体" w:hAnsi="宋体" w:eastAsia="宋体" w:cs="宋体"/>
          <w:color w:val="auto"/>
          <w:sz w:val="21"/>
          <w:highlight w:val="none"/>
        </w:rPr>
      </w:pPr>
    </w:p>
    <w:p>
      <w:pPr>
        <w:spacing w:after="134"/>
        <w:rPr>
          <w:rFonts w:ascii="宋体" w:hAnsi="宋体" w:eastAsia="宋体" w:cs="宋体"/>
          <w:color w:val="auto"/>
          <w:sz w:val="21"/>
          <w:highlight w:val="none"/>
        </w:rPr>
      </w:pPr>
    </w:p>
    <w:p>
      <w:pPr>
        <w:spacing w:after="134"/>
        <w:rPr>
          <w:rFonts w:ascii="宋体" w:hAnsi="宋体" w:eastAsia="宋体" w:cs="宋体"/>
          <w:color w:val="auto"/>
          <w:sz w:val="21"/>
          <w:highlight w:val="none"/>
        </w:rPr>
      </w:pPr>
    </w:p>
    <w:p>
      <w:pPr>
        <w:spacing w:after="134"/>
        <w:rPr>
          <w:rFonts w:ascii="宋体" w:hAnsi="宋体" w:eastAsia="宋体" w:cs="宋体"/>
          <w:color w:val="auto"/>
          <w:sz w:val="21"/>
          <w:highlight w:val="none"/>
        </w:rPr>
      </w:pPr>
    </w:p>
    <w:p>
      <w:pPr>
        <w:spacing w:after="134"/>
        <w:rPr>
          <w:rFonts w:ascii="宋体" w:hAnsi="宋体" w:eastAsia="宋体" w:cs="宋体"/>
          <w:color w:val="auto"/>
          <w:sz w:val="21"/>
          <w:highlight w:val="none"/>
        </w:rPr>
      </w:pPr>
    </w:p>
    <w:p>
      <w:pPr>
        <w:spacing w:after="134"/>
        <w:rPr>
          <w:rFonts w:ascii="宋体" w:hAnsi="宋体" w:eastAsia="宋体" w:cs="宋体"/>
          <w:color w:val="auto"/>
          <w:highlight w:val="none"/>
        </w:rPr>
      </w:pPr>
    </w:p>
    <w:p>
      <w:pPr>
        <w:spacing w:after="137"/>
        <w:rPr>
          <w:rFonts w:ascii="宋体" w:hAnsi="宋体" w:eastAsia="宋体" w:cs="宋体"/>
          <w:color w:val="auto"/>
          <w:highlight w:val="none"/>
        </w:rPr>
      </w:pPr>
    </w:p>
    <w:p>
      <w:pPr>
        <w:spacing w:after="137"/>
        <w:rPr>
          <w:rFonts w:ascii="宋体" w:hAnsi="宋体" w:eastAsia="宋体" w:cs="宋体"/>
          <w:color w:val="auto"/>
          <w:highlight w:val="none"/>
        </w:rPr>
      </w:pPr>
    </w:p>
    <w:p>
      <w:pPr>
        <w:spacing w:line="360" w:lineRule="auto"/>
        <w:jc w:val="center"/>
        <w:rPr>
          <w:rFonts w:ascii="宋体" w:hAnsi="宋体" w:eastAsia="宋体" w:cs="宋体"/>
          <w:b/>
          <w:bCs/>
          <w:color w:val="auto"/>
          <w:sz w:val="32"/>
          <w:szCs w:val="32"/>
          <w:highlight w:val="none"/>
          <w:u w:val="single"/>
        </w:rPr>
      </w:pPr>
      <w:r>
        <w:rPr>
          <w:rFonts w:hint="eastAsia" w:ascii="宋体" w:hAnsi="宋体" w:cs="宋体"/>
          <w:b/>
          <w:bCs/>
          <w:color w:val="auto"/>
          <w:sz w:val="32"/>
          <w:szCs w:val="32"/>
          <w:highlight w:val="none"/>
        </w:rPr>
        <w:t>招标单位：</w:t>
      </w:r>
      <w:r>
        <w:rPr>
          <w:rFonts w:hint="eastAsia" w:ascii="宋体" w:hAnsi="宋体" w:eastAsia="宋体" w:cs="宋体"/>
          <w:b/>
          <w:bCs/>
          <w:color w:val="auto"/>
          <w:sz w:val="32"/>
          <w:szCs w:val="32"/>
          <w:highlight w:val="none"/>
        </w:rPr>
        <w:t>广州市花都区公共建设项目管理中心</w:t>
      </w:r>
    </w:p>
    <w:p>
      <w:pPr>
        <w:spacing w:line="360" w:lineRule="auto"/>
        <w:jc w:val="center"/>
        <w:rPr>
          <w:rFonts w:ascii="宋体" w:hAnsi="宋体" w:eastAsia="宋体" w:cs="宋体"/>
          <w:b/>
          <w:bCs/>
          <w:color w:val="auto"/>
          <w:sz w:val="32"/>
          <w:szCs w:val="32"/>
          <w:highlight w:val="none"/>
          <w:u w:val="single"/>
        </w:rPr>
      </w:pPr>
      <w:r>
        <w:rPr>
          <w:rFonts w:hint="eastAsia" w:ascii="宋体" w:hAnsi="宋体" w:cs="宋体"/>
          <w:b/>
          <w:bCs/>
          <w:color w:val="auto"/>
          <w:sz w:val="32"/>
          <w:szCs w:val="32"/>
          <w:highlight w:val="none"/>
        </w:rPr>
        <w:t>招标代理单位：</w:t>
      </w:r>
      <w:r>
        <w:rPr>
          <w:rFonts w:hint="eastAsia" w:ascii="宋体" w:hAnsi="宋体" w:eastAsia="宋体" w:cs="宋体"/>
          <w:b/>
          <w:bCs/>
          <w:color w:val="auto"/>
          <w:sz w:val="32"/>
          <w:szCs w:val="32"/>
          <w:highlight w:val="none"/>
        </w:rPr>
        <w:t>广东省机电设备招标有限公司</w:t>
      </w:r>
    </w:p>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日期：</w:t>
      </w:r>
      <w:r>
        <w:rPr>
          <w:rFonts w:ascii="宋体" w:hAnsi="宋体" w:cs="宋体"/>
          <w:b/>
          <w:bCs/>
          <w:color w:val="auto"/>
          <w:sz w:val="32"/>
          <w:szCs w:val="32"/>
          <w:highlight w:val="none"/>
        </w:rPr>
        <w:t>20</w:t>
      </w:r>
      <w:r>
        <w:rPr>
          <w:rFonts w:hint="eastAsia" w:ascii="宋体" w:hAnsi="宋体" w:cs="宋体"/>
          <w:b/>
          <w:bCs/>
          <w:color w:val="auto"/>
          <w:sz w:val="32"/>
          <w:szCs w:val="32"/>
          <w:highlight w:val="none"/>
        </w:rPr>
        <w:t>23年</w:t>
      </w:r>
      <w:r>
        <w:rPr>
          <w:rFonts w:hint="eastAsia" w:ascii="宋体" w:hAnsi="宋体" w:eastAsia="宋体" w:cs="宋体"/>
          <w:b/>
          <w:bCs/>
          <w:color w:val="auto"/>
          <w:sz w:val="32"/>
          <w:szCs w:val="32"/>
          <w:highlight w:val="none"/>
        </w:rPr>
        <w:t>9</w:t>
      </w:r>
      <w:r>
        <w:rPr>
          <w:rFonts w:hint="eastAsia" w:ascii="宋体" w:hAnsi="宋体" w:cs="宋体"/>
          <w:b/>
          <w:bCs/>
          <w:color w:val="auto"/>
          <w:sz w:val="32"/>
          <w:szCs w:val="32"/>
          <w:highlight w:val="none"/>
        </w:rPr>
        <w:t>月</w:t>
      </w:r>
    </w:p>
    <w:p>
      <w:pPr>
        <w:spacing w:line="360" w:lineRule="auto"/>
        <w:ind w:firstLine="984" w:firstLineChars="350"/>
        <w:rPr>
          <w:rFonts w:ascii="宋体" w:hAnsi="宋体" w:eastAsia="宋体" w:cs="宋体"/>
          <w:b/>
          <w:color w:val="auto"/>
          <w:kern w:val="0"/>
          <w:sz w:val="28"/>
          <w:szCs w:val="28"/>
          <w:highlight w:val="none"/>
        </w:rPr>
      </w:pPr>
    </w:p>
    <w:p>
      <w:pPr>
        <w:spacing w:after="0" w:line="265" w:lineRule="auto"/>
        <w:ind w:left="10" w:right="119" w:hanging="10"/>
        <w:jc w:val="center"/>
        <w:rPr>
          <w:rFonts w:ascii="宋体" w:hAnsi="宋体" w:eastAsia="宋体" w:cs="宋体"/>
          <w:color w:val="auto"/>
          <w:highlight w:val="none"/>
        </w:rPr>
      </w:pPr>
      <w:r>
        <w:rPr>
          <w:rFonts w:hint="eastAsia" w:ascii="宋体" w:hAnsi="宋体" w:eastAsia="宋体" w:cs="宋体"/>
          <w:color w:val="auto"/>
          <w:sz w:val="28"/>
          <w:highlight w:val="none"/>
        </w:rPr>
        <w:t xml:space="preserve">目  录 </w:t>
      </w:r>
    </w:p>
    <w:p>
      <w:pPr>
        <w:pStyle w:val="26"/>
        <w:tabs>
          <w:tab w:val="right" w:leader="dot" w:pos="9289"/>
        </w:tabs>
        <w:rPr>
          <w:rFonts w:asciiTheme="minorHAnsi" w:hAnsiTheme="minorHAnsi" w:eastAsiaTheme="minorEastAsia" w:cstheme="minorBidi"/>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"_Toc142406572" </w:instrText>
      </w:r>
      <w:r>
        <w:rPr>
          <w:color w:val="auto"/>
          <w:highlight w:val="none"/>
        </w:rPr>
        <w:fldChar w:fldCharType="separate"/>
      </w:r>
      <w:r>
        <w:rPr>
          <w:rStyle w:val="43"/>
          <w:rFonts w:hint="eastAsia" w:ascii="宋体" w:hAnsi="宋体" w:eastAsia="宋体" w:cs="宋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_Toc142406572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6"/>
        <w:tabs>
          <w:tab w:val="right" w:leader="dot" w:pos="9289"/>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"_Toc142406573" </w:instrText>
      </w:r>
      <w:r>
        <w:rPr>
          <w:color w:val="auto"/>
          <w:highlight w:val="none"/>
        </w:rPr>
        <w:fldChar w:fldCharType="separate"/>
      </w:r>
      <w:r>
        <w:rPr>
          <w:rStyle w:val="43"/>
          <w:rFonts w:hint="eastAsia" w:ascii="宋体" w:hAnsi="宋体" w:eastAsia="宋体" w:cs="宋体"/>
          <w:color w:val="auto"/>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_Toc142406573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6"/>
        <w:tabs>
          <w:tab w:val="right" w:leader="dot" w:pos="9289"/>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"_Toc142406574" </w:instrText>
      </w:r>
      <w:r>
        <w:rPr>
          <w:color w:val="auto"/>
          <w:highlight w:val="none"/>
        </w:rPr>
        <w:fldChar w:fldCharType="separate"/>
      </w:r>
      <w:r>
        <w:rPr>
          <w:rStyle w:val="43"/>
          <w:rFonts w:hint="eastAsia" w:ascii="宋体" w:hAnsi="宋体" w:eastAsia="宋体" w:cs="宋体"/>
          <w:color w:val="auto"/>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_Toc142406574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6"/>
        <w:tabs>
          <w:tab w:val="right" w:leader="dot" w:pos="9289"/>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"_Toc142406646" </w:instrText>
      </w:r>
      <w:r>
        <w:rPr>
          <w:color w:val="auto"/>
          <w:highlight w:val="none"/>
        </w:rPr>
        <w:fldChar w:fldCharType="separate"/>
      </w:r>
      <w:r>
        <w:rPr>
          <w:rStyle w:val="43"/>
          <w:rFonts w:hint="eastAsia" w:ascii="宋体" w:hAnsi="宋体" w:eastAsia="宋体" w:cs="宋体"/>
          <w:color w:val="auto"/>
          <w:highlight w:val="none"/>
        </w:rPr>
        <w:t>第四章合同条款及格式</w:t>
      </w:r>
      <w:r>
        <w:rPr>
          <w:color w:val="auto"/>
          <w:highlight w:val="none"/>
        </w:rPr>
        <w:tab/>
      </w:r>
      <w:r>
        <w:rPr>
          <w:color w:val="auto"/>
          <w:highlight w:val="none"/>
        </w:rPr>
        <w:fldChar w:fldCharType="begin"/>
      </w:r>
      <w:r>
        <w:rPr>
          <w:color w:val="auto"/>
          <w:highlight w:val="none"/>
        </w:rPr>
        <w:instrText xml:space="preserve"> PAGEREF _Toc142406646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6"/>
        <w:tabs>
          <w:tab w:val="right" w:leader="dot" w:pos="9289"/>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"_Toc142406649" </w:instrText>
      </w:r>
      <w:r>
        <w:rPr>
          <w:color w:val="auto"/>
          <w:highlight w:val="none"/>
        </w:rPr>
        <w:fldChar w:fldCharType="separate"/>
      </w:r>
      <w:r>
        <w:rPr>
          <w:rStyle w:val="43"/>
          <w:rFonts w:hint="eastAsia" w:ascii="宋体" w:hAnsi="宋体" w:eastAsia="宋体" w:cs="宋体"/>
          <w:color w:val="auto"/>
          <w:highlight w:val="none"/>
        </w:rPr>
        <w:t>第五章委托人要求</w:t>
      </w:r>
      <w:r>
        <w:rPr>
          <w:color w:val="auto"/>
          <w:highlight w:val="none"/>
        </w:rPr>
        <w:tab/>
      </w:r>
      <w:r>
        <w:rPr>
          <w:color w:val="auto"/>
          <w:highlight w:val="none"/>
        </w:rPr>
        <w:fldChar w:fldCharType="begin"/>
      </w:r>
      <w:r>
        <w:rPr>
          <w:color w:val="auto"/>
          <w:highlight w:val="none"/>
        </w:rPr>
        <w:instrText xml:space="preserve"> PAGEREF _Toc142406649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6"/>
        <w:tabs>
          <w:tab w:val="right" w:leader="dot" w:pos="9289"/>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"_Toc142406651" </w:instrText>
      </w:r>
      <w:r>
        <w:rPr>
          <w:color w:val="auto"/>
          <w:highlight w:val="none"/>
        </w:rPr>
        <w:fldChar w:fldCharType="separate"/>
      </w:r>
      <w:r>
        <w:rPr>
          <w:rStyle w:val="43"/>
          <w:rFonts w:hint="eastAsia" w:ascii="宋体" w:hAnsi="宋体" w:eastAsia="宋体" w:cs="宋体"/>
          <w:color w:val="auto"/>
          <w:highlight w:val="none"/>
        </w:rPr>
        <w:t>第六章投标文件格式</w:t>
      </w:r>
      <w:r>
        <w:rPr>
          <w:color w:val="auto"/>
          <w:highlight w:val="none"/>
        </w:rPr>
        <w:tab/>
      </w:r>
      <w:r>
        <w:rPr>
          <w:color w:val="auto"/>
          <w:highlight w:val="none"/>
        </w:rPr>
        <w:fldChar w:fldCharType="begin"/>
      </w:r>
      <w:r>
        <w:rPr>
          <w:color w:val="auto"/>
          <w:highlight w:val="none"/>
        </w:rPr>
        <w:instrText xml:space="preserve"> PAGEREF _Toc142406651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26"/>
        <w:tabs>
          <w:tab w:val="right" w:leader="dot" w:pos="8750"/>
        </w:tabs>
        <w:rPr>
          <w:rFonts w:ascii="宋体" w:hAnsi="宋体" w:eastAsia="宋体" w:cs="宋体"/>
          <w:color w:val="auto"/>
          <w:highlight w:val="none"/>
        </w:rPr>
        <w:sectPr>
          <w:footerReference r:id="rId3" w:type="default"/>
          <w:pgSz w:w="11907" w:h="16840"/>
          <w:pgMar w:top="1361" w:right="1304" w:bottom="1361" w:left="1304" w:header="720" w:footer="720" w:gutter="0"/>
          <w:pgNumType w:start="1"/>
          <w:cols w:space="720" w:num="1"/>
          <w:docGrid w:linePitch="299" w:charSpace="0"/>
        </w:sectPr>
      </w:pPr>
      <w:r>
        <w:rPr>
          <w:rFonts w:hint="eastAsia" w:ascii="宋体" w:hAnsi="宋体" w:eastAsia="宋体" w:cs="宋体"/>
          <w:color w:val="auto"/>
          <w:highlight w:val="none"/>
        </w:rPr>
        <w:fldChar w:fldCharType="end"/>
      </w:r>
    </w:p>
    <w:p>
      <w:pPr>
        <w:pStyle w:val="3"/>
        <w:spacing w:after="914" w:line="240" w:lineRule="auto"/>
        <w:ind w:right="0"/>
        <w:rPr>
          <w:rFonts w:ascii="宋体" w:hAnsi="宋体" w:eastAsia="宋体" w:cs="宋体"/>
          <w:color w:val="auto"/>
          <w:sz w:val="44"/>
          <w:highlight w:val="none"/>
        </w:rPr>
      </w:pPr>
      <w:bookmarkStart w:id="0" w:name="_Toc142406572"/>
      <w:bookmarkStart w:id="1" w:name="_Toc508382083"/>
      <w:r>
        <w:rPr>
          <w:rFonts w:hint="eastAsia" w:ascii="宋体" w:hAnsi="宋体" w:eastAsia="宋体" w:cs="宋体"/>
          <w:color w:val="auto"/>
          <w:sz w:val="44"/>
          <w:highlight w:val="none"/>
        </w:rPr>
        <w:t>第一卷</w:t>
      </w:r>
      <w:bookmarkEnd w:id="0"/>
      <w:bookmarkEnd w:id="1"/>
    </w:p>
    <w:p>
      <w:pPr>
        <w:pStyle w:val="3"/>
        <w:spacing w:after="224" w:line="240" w:lineRule="auto"/>
        <w:ind w:left="0" w:right="0" w:firstLine="0"/>
        <w:rPr>
          <w:rFonts w:ascii="宋体" w:hAnsi="宋体" w:eastAsia="宋体" w:cs="宋体"/>
          <w:color w:val="auto"/>
          <w:sz w:val="44"/>
          <w:highlight w:val="none"/>
        </w:rPr>
      </w:pPr>
      <w:bookmarkStart w:id="2" w:name="_Toc142406573"/>
      <w:bookmarkStart w:id="3" w:name="_Toc508382084"/>
      <w:r>
        <w:rPr>
          <w:rFonts w:hint="eastAsia" w:ascii="宋体" w:hAnsi="宋体" w:eastAsia="宋体" w:cs="宋体"/>
          <w:color w:val="auto"/>
          <w:sz w:val="44"/>
          <w:highlight w:val="none"/>
        </w:rPr>
        <w:t>第一章招标公告</w:t>
      </w:r>
      <w:bookmarkEnd w:id="2"/>
      <w:bookmarkEnd w:id="3"/>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（另附）</w:t>
      </w:r>
    </w:p>
    <w:p>
      <w:pPr>
        <w:pStyle w:val="3"/>
        <w:adjustRightInd w:val="0"/>
        <w:spacing w:after="850" w:line="360" w:lineRule="auto"/>
        <w:ind w:right="2770" w:hanging="11"/>
        <w:jc w:val="right"/>
        <w:rPr>
          <w:rFonts w:ascii="宋体" w:hAnsi="宋体" w:eastAsia="宋体" w:cs="宋体"/>
          <w:color w:val="auto"/>
          <w:highlight w:val="none"/>
        </w:rPr>
      </w:pPr>
      <w:bookmarkStart w:id="4" w:name="_Toc508382092"/>
      <w:r>
        <w:rPr>
          <w:rFonts w:hint="eastAsia" w:ascii="宋体" w:hAnsi="宋体" w:eastAsia="宋体" w:cs="宋体"/>
          <w:color w:val="auto"/>
          <w:sz w:val="44"/>
          <w:highlight w:val="none"/>
        </w:rPr>
        <w:br w:type="page"/>
      </w:r>
      <w:bookmarkStart w:id="5" w:name="_Toc142406574"/>
      <w:r>
        <w:rPr>
          <w:rFonts w:hint="eastAsia" w:ascii="宋体" w:hAnsi="宋体" w:eastAsia="宋体" w:cs="宋体"/>
          <w:color w:val="auto"/>
          <w:sz w:val="44"/>
          <w:highlight w:val="none"/>
        </w:rPr>
        <w:t>第二章投标人须知</w:t>
      </w:r>
      <w:bookmarkEnd w:id="4"/>
      <w:bookmarkEnd w:id="5"/>
    </w:p>
    <w:p>
      <w:pPr>
        <w:pStyle w:val="4"/>
        <w:spacing w:after="155" w:line="360" w:lineRule="auto"/>
        <w:ind w:left="-5" w:right="0" w:hanging="11"/>
        <w:jc w:val="center"/>
        <w:rPr>
          <w:rFonts w:ascii="宋体" w:hAnsi="宋体" w:eastAsia="宋体" w:cs="宋体"/>
          <w:color w:val="auto"/>
          <w:highlight w:val="none"/>
        </w:rPr>
      </w:pPr>
      <w:bookmarkStart w:id="6" w:name="_Toc508382093"/>
      <w:bookmarkStart w:id="7" w:name="_Toc508788610"/>
      <w:bookmarkStart w:id="8" w:name="_Toc142406575"/>
      <w:r>
        <w:rPr>
          <w:rFonts w:hint="eastAsia" w:ascii="宋体" w:hAnsi="宋体" w:eastAsia="宋体" w:cs="宋体"/>
          <w:color w:val="auto"/>
          <w:sz w:val="32"/>
          <w:highlight w:val="none"/>
        </w:rPr>
        <w:t>投标人须知前附表</w:t>
      </w:r>
      <w:bookmarkEnd w:id="6"/>
      <w:bookmarkEnd w:id="7"/>
      <w:bookmarkEnd w:id="8"/>
    </w:p>
    <w:tbl>
      <w:tblPr>
        <w:tblStyle w:val="38"/>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
      <w:tblGrid>
        <w:gridCol w:w="1057"/>
        <w:gridCol w:w="1546"/>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199" w:hRule="atLeast"/>
          <w:jc w:val="center"/>
        </w:trPr>
        <w:tc>
          <w:tcPr>
            <w:tcW w:w="1057" w:type="dxa"/>
            <w:noWrap/>
            <w:vAlign w:val="center"/>
          </w:tcPr>
          <w:p>
            <w:pPr>
              <w:spacing w:after="0" w:line="240" w:lineRule="auto"/>
              <w:ind w:left="15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546" w:type="dxa"/>
            <w:noWrap/>
            <w:vAlign w:val="center"/>
          </w:tcPr>
          <w:p>
            <w:pPr>
              <w:spacing w:after="0" w:line="240" w:lineRule="auto"/>
              <w:ind w:left="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571" w:type="dxa"/>
            <w:noWrap/>
            <w:vAlign w:val="center"/>
          </w:tcPr>
          <w:p>
            <w:pPr>
              <w:spacing w:after="0" w:line="240" w:lineRule="auto"/>
              <w:ind w:left="1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712"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1.1.2 </w:t>
            </w:r>
          </w:p>
        </w:tc>
        <w:tc>
          <w:tcPr>
            <w:tcW w:w="1546"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招标人 </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招标人：广州市花都区公共建设项目管理中心</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广州市花都区公共建设项目管理中心</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地址：广州市花都区公益路41号</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联系人：王工</w:t>
            </w:r>
          </w:p>
          <w:p>
            <w:pPr>
              <w:pStyle w:val="36"/>
              <w:spacing w:after="0"/>
              <w:ind w:firstLine="0"/>
              <w:rPr>
                <w:color w:val="auto"/>
                <w:kern w:val="2"/>
                <w:sz w:val="21"/>
                <w:szCs w:val="21"/>
                <w:highlight w:val="none"/>
              </w:rPr>
            </w:pPr>
            <w:r>
              <w:rPr>
                <w:rFonts w:hint="eastAsia" w:ascii="宋体" w:hAnsi="宋体" w:cs="宋体"/>
                <w:color w:val="auto"/>
                <w:kern w:val="2"/>
                <w:sz w:val="21"/>
                <w:szCs w:val="21"/>
                <w:highlight w:val="none"/>
              </w:rPr>
              <w:t>电话：020-37760912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716"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1.1.3 </w:t>
            </w:r>
          </w:p>
        </w:tc>
        <w:tc>
          <w:tcPr>
            <w:tcW w:w="1546"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招标代理机构 </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招标代理机构：广东省机电设备招标有限公司</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址：广州市环市中路316号金鹰大厦10楼</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联 系 人：陈工    </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电    话：020-83546109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200"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1.1.4 </w:t>
            </w:r>
          </w:p>
        </w:tc>
        <w:tc>
          <w:tcPr>
            <w:tcW w:w="1546"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招标项目名称 </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szCs w:val="21"/>
                <w:highlight w:val="none"/>
              </w:rPr>
              <w:t>花都区中轴线学校建设项目第三方监测服务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199"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1.1.5 </w:t>
            </w:r>
          </w:p>
        </w:tc>
        <w:tc>
          <w:tcPr>
            <w:tcW w:w="1546"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项目建设地点 </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90"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1.1.6 </w:t>
            </w:r>
          </w:p>
        </w:tc>
        <w:tc>
          <w:tcPr>
            <w:tcW w:w="1546"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项目建设规模 </w:t>
            </w:r>
          </w:p>
        </w:tc>
        <w:tc>
          <w:tcPr>
            <w:tcW w:w="6571" w:type="dxa"/>
            <w:noWrap/>
            <w:vAlign w:val="center"/>
          </w:tcPr>
          <w:p>
            <w:pPr>
              <w:spacing w:after="0" w:line="240" w:lineRule="auto"/>
              <w:ind w:right="15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367"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1.1.7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工程项目施工预计开工日期和建设周期</w:t>
            </w:r>
          </w:p>
        </w:tc>
        <w:tc>
          <w:tcPr>
            <w:tcW w:w="6571" w:type="dxa"/>
            <w:noWrap/>
            <w:vAlign w:val="center"/>
          </w:tcPr>
          <w:p>
            <w:pPr>
              <w:spacing w:after="0"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包括施工准备阶段及施工全过程，自中标单位进场至所有服务项目完成为止。具体进场日期以总监理工程师或发包人代表签发的开工令为准。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90"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1.1.8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建筑安装工程费/工程概算</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sz w:val="21"/>
                <w:szCs w:val="21"/>
                <w:highlight w:val="none"/>
                <w:u w:val="single"/>
              </w:rPr>
              <w:t>详见招标公告</w:t>
            </w:r>
            <w:r>
              <w:rPr>
                <w:rFonts w:hint="eastAsia" w:ascii="宋体" w:hAnsi="宋体" w:cs="宋体"/>
                <w:color w:val="auto"/>
                <w:kern w:val="2"/>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199"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1.2.1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资金来源及比例</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sz w:val="21"/>
                <w:szCs w:val="21"/>
                <w:highlight w:val="none"/>
                <w:u w:val="single"/>
              </w:rPr>
              <w:t>详见招标公告</w:t>
            </w:r>
            <w:r>
              <w:rPr>
                <w:rFonts w:hint="eastAsia" w:ascii="宋体" w:hAnsi="宋体" w:cs="宋体"/>
                <w:color w:val="auto"/>
                <w:kern w:val="2"/>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200"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1.2.2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资金落实情况</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791"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分包</w:t>
            </w:r>
          </w:p>
        </w:tc>
        <w:tc>
          <w:tcPr>
            <w:tcW w:w="6571" w:type="dxa"/>
            <w:noWrap/>
            <w:vAlign w:val="center"/>
          </w:tcPr>
          <w:p>
            <w:pPr>
              <w:rPr>
                <w:rFonts w:ascii="宋体" w:hAnsi="宋体" w:eastAsia="宋体" w:cs="宋体"/>
                <w:color w:val="auto"/>
                <w:kern w:val="0"/>
                <w:sz w:val="21"/>
                <w:szCs w:val="21"/>
                <w:highlight w:val="none"/>
                <w:u w:val="single"/>
              </w:rPr>
            </w:pPr>
            <w:r>
              <w:rPr>
                <w:rFonts w:hint="eastAsia" w:ascii="宋体" w:hAnsi="宋体" w:eastAsia="宋体"/>
                <w:color w:val="auto"/>
                <w:sz w:val="21"/>
                <w:szCs w:val="21"/>
                <w:highlight w:val="none"/>
                <w:lang w:bidi="ar"/>
              </w:rPr>
              <w:t>对于非主要监测工作，经招标人同意后可依法分包。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791"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招标范围</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989"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sz w:val="21"/>
                <w:szCs w:val="21"/>
                <w:highlight w:val="none"/>
                <w:u w:val="single"/>
              </w:rPr>
              <w:t>监测</w:t>
            </w:r>
            <w:r>
              <w:rPr>
                <w:rFonts w:hint="eastAsia" w:ascii="宋体" w:hAnsi="宋体" w:cs="宋体"/>
                <w:color w:val="auto"/>
                <w:kern w:val="2"/>
                <w:sz w:val="21"/>
                <w:szCs w:val="21"/>
                <w:highlight w:val="none"/>
              </w:rPr>
              <w:t>服务期限</w:t>
            </w:r>
          </w:p>
        </w:tc>
        <w:tc>
          <w:tcPr>
            <w:tcW w:w="6571" w:type="dxa"/>
            <w:noWrap/>
            <w:vAlign w:val="center"/>
          </w:tcPr>
          <w:p>
            <w:pPr>
              <w:spacing w:after="0"/>
              <w:rPr>
                <w:rFonts w:ascii="宋体" w:hAnsi="宋体" w:cs="宋体"/>
                <w:color w:val="auto"/>
                <w:sz w:val="21"/>
                <w:szCs w:val="21"/>
                <w:highlight w:val="none"/>
              </w:rPr>
            </w:pPr>
            <w:r>
              <w:rPr>
                <w:rFonts w:hint="eastAsia" w:ascii="宋体" w:hAnsi="宋体" w:eastAsia="宋体" w:cs="宋体"/>
                <w:color w:val="auto"/>
                <w:sz w:val="21"/>
                <w:szCs w:val="21"/>
                <w:highlight w:val="none"/>
              </w:rPr>
              <w:t>服务周期包括施工准备阶段及施工全过程，自中标单位进场至所有服务项目完成为止。具体进场日期以总监理工程师或发包人代表签发的开工令为准。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571"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1.3.3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质量标准</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符合国家及省、市有关监测标准。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Ex>
        <w:trPr>
          <w:trHeight w:val="1426"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投标人资质条件、能力、信誉</w:t>
            </w:r>
          </w:p>
        </w:tc>
        <w:tc>
          <w:tcPr>
            <w:tcW w:w="6571" w:type="dxa"/>
            <w:noWrap/>
            <w:vAlign w:val="center"/>
          </w:tcPr>
          <w:p>
            <w:pPr>
              <w:pStyle w:val="77"/>
              <w:snapToGrid w:val="0"/>
              <w:spacing w:line="360" w:lineRule="exact"/>
              <w:ind w:left="142" w:right="106" w:firstLine="0" w:firstLineChars="0"/>
              <w:rPr>
                <w:rFonts w:ascii="宋体" w:hAnsi="宋体" w:cs="宋体"/>
                <w:color w:val="auto"/>
                <w:highlight w:val="none"/>
              </w:rPr>
            </w:pPr>
            <w:r>
              <w:rPr>
                <w:rFonts w:hint="eastAsia" w:ascii="宋体" w:hAnsi="宋体" w:cs="宋体"/>
                <w:color w:val="auto"/>
                <w:highlight w:val="none"/>
              </w:rPr>
              <w:t>（1）资质要求：</w:t>
            </w:r>
            <w:r>
              <w:rPr>
                <w:rFonts w:hint="eastAsia" w:ascii="宋体" w:hAnsi="宋体" w:cs="宋体"/>
                <w:color w:val="auto"/>
                <w:highlight w:val="none"/>
                <w:u w:val="single"/>
              </w:rPr>
              <w:t>详见招标公告</w:t>
            </w:r>
          </w:p>
          <w:p>
            <w:pPr>
              <w:pStyle w:val="77"/>
              <w:snapToGrid w:val="0"/>
              <w:spacing w:line="360" w:lineRule="exact"/>
              <w:ind w:left="142" w:right="106" w:firstLine="0" w:firstLineChars="0"/>
              <w:rPr>
                <w:rFonts w:ascii="宋体" w:hAnsi="宋体" w:cs="宋体"/>
                <w:color w:val="auto"/>
                <w:highlight w:val="none"/>
              </w:rPr>
            </w:pPr>
            <w:r>
              <w:rPr>
                <w:rFonts w:hint="eastAsia" w:ascii="宋体" w:hAnsi="宋体" w:cs="宋体"/>
                <w:color w:val="auto"/>
                <w:highlight w:val="none"/>
              </w:rPr>
              <w:t>（2）财务要求：</w:t>
            </w:r>
            <w:r>
              <w:rPr>
                <w:rFonts w:hint="eastAsia" w:ascii="宋体" w:hAnsi="宋体" w:cs="宋体"/>
                <w:color w:val="auto"/>
                <w:highlight w:val="none"/>
                <w:u w:val="single"/>
              </w:rPr>
              <w:t xml:space="preserve">/ </w:t>
            </w:r>
          </w:p>
          <w:p>
            <w:pPr>
              <w:pStyle w:val="77"/>
              <w:snapToGrid w:val="0"/>
              <w:spacing w:line="360" w:lineRule="exact"/>
              <w:ind w:left="142" w:right="106" w:firstLine="0" w:firstLineChars="0"/>
              <w:rPr>
                <w:rFonts w:ascii="宋体" w:hAnsi="宋体" w:cs="宋体"/>
                <w:color w:val="auto"/>
                <w:highlight w:val="none"/>
              </w:rPr>
            </w:pPr>
            <w:r>
              <w:rPr>
                <w:rFonts w:hint="eastAsia" w:ascii="宋体" w:hAnsi="宋体" w:cs="宋体"/>
                <w:color w:val="auto"/>
                <w:highlight w:val="none"/>
              </w:rPr>
              <w:t>（3）业绩要求：</w:t>
            </w:r>
            <w:r>
              <w:rPr>
                <w:rFonts w:hint="eastAsia" w:ascii="宋体" w:hAnsi="宋体" w:cs="宋体"/>
                <w:color w:val="auto"/>
                <w:highlight w:val="none"/>
                <w:u w:val="single"/>
              </w:rPr>
              <w:t xml:space="preserve">/ </w:t>
            </w:r>
          </w:p>
          <w:p>
            <w:pPr>
              <w:pStyle w:val="77"/>
              <w:snapToGrid w:val="0"/>
              <w:spacing w:line="360" w:lineRule="exact"/>
              <w:ind w:left="142" w:right="106" w:firstLine="0" w:firstLineChars="0"/>
              <w:rPr>
                <w:rFonts w:ascii="宋体" w:hAnsi="宋体" w:cs="宋体"/>
                <w:color w:val="auto"/>
                <w:highlight w:val="none"/>
              </w:rPr>
            </w:pPr>
            <w:r>
              <w:rPr>
                <w:rFonts w:hint="eastAsia" w:ascii="宋体" w:hAnsi="宋体" w:cs="宋体"/>
                <w:color w:val="auto"/>
                <w:highlight w:val="none"/>
              </w:rPr>
              <w:t>（4）信誉要求：</w:t>
            </w:r>
            <w:r>
              <w:rPr>
                <w:rFonts w:hint="eastAsia" w:ascii="宋体" w:hAnsi="宋体" w:cs="宋体"/>
                <w:color w:val="auto"/>
                <w:highlight w:val="none"/>
                <w:u w:val="single"/>
              </w:rPr>
              <w:t xml:space="preserve">/ </w:t>
            </w:r>
          </w:p>
          <w:p>
            <w:pPr>
              <w:pStyle w:val="77"/>
              <w:snapToGrid w:val="0"/>
              <w:spacing w:line="360" w:lineRule="exact"/>
              <w:ind w:left="142" w:right="106" w:firstLine="0" w:firstLineChars="0"/>
              <w:rPr>
                <w:rFonts w:ascii="宋体" w:hAnsi="宋体" w:cs="宋体"/>
                <w:color w:val="auto"/>
                <w:highlight w:val="none"/>
              </w:rPr>
            </w:pPr>
            <w:r>
              <w:rPr>
                <w:rFonts w:hint="eastAsia" w:ascii="宋体" w:hAnsi="宋体" w:cs="宋体"/>
                <w:color w:val="auto"/>
                <w:highlight w:val="none"/>
              </w:rPr>
              <w:t xml:space="preserve">（5）项目负责人的资格要求： </w:t>
            </w:r>
            <w:r>
              <w:rPr>
                <w:rFonts w:hint="eastAsia" w:ascii="宋体" w:hAnsi="宋体" w:cs="宋体"/>
                <w:color w:val="auto"/>
                <w:highlight w:val="none"/>
                <w:u w:val="single"/>
              </w:rPr>
              <w:t>/</w:t>
            </w:r>
          </w:p>
          <w:p>
            <w:pPr>
              <w:pStyle w:val="77"/>
              <w:snapToGrid w:val="0"/>
              <w:spacing w:line="360" w:lineRule="exact"/>
              <w:ind w:left="142" w:right="106" w:firstLine="0" w:firstLineChars="0"/>
              <w:rPr>
                <w:rFonts w:ascii="宋体" w:hAnsi="宋体" w:cs="宋体"/>
                <w:color w:val="auto"/>
                <w:highlight w:val="none"/>
              </w:rPr>
            </w:pPr>
            <w:r>
              <w:rPr>
                <w:rFonts w:hint="eastAsia" w:ascii="宋体" w:hAnsi="宋体" w:cs="宋体"/>
                <w:color w:val="auto"/>
                <w:highlight w:val="none"/>
              </w:rPr>
              <w:t>（6）其他主要人员要求：</w:t>
            </w:r>
            <w:r>
              <w:rPr>
                <w:rFonts w:hint="eastAsia" w:ascii="宋体" w:hAnsi="宋体" w:cs="宋体"/>
                <w:color w:val="auto"/>
                <w:highlight w:val="none"/>
                <w:u w:val="single"/>
              </w:rPr>
              <w:t xml:space="preserve">/ </w:t>
            </w:r>
          </w:p>
          <w:p>
            <w:pPr>
              <w:pStyle w:val="77"/>
              <w:snapToGrid w:val="0"/>
              <w:spacing w:line="360" w:lineRule="exact"/>
              <w:ind w:left="142" w:right="106" w:firstLine="0" w:firstLineChars="0"/>
              <w:rPr>
                <w:rFonts w:ascii="宋体" w:hAnsi="宋体" w:cs="宋体"/>
                <w:color w:val="auto"/>
                <w:highlight w:val="none"/>
                <w:u w:val="single"/>
              </w:rPr>
            </w:pPr>
            <w:r>
              <w:rPr>
                <w:rFonts w:hint="eastAsia" w:ascii="宋体" w:hAnsi="宋体" w:cs="宋体"/>
                <w:color w:val="auto"/>
                <w:highlight w:val="none"/>
              </w:rPr>
              <w:t>（7）试验监测仪器设备要求：</w:t>
            </w:r>
            <w:r>
              <w:rPr>
                <w:rFonts w:hint="eastAsia" w:ascii="宋体" w:hAnsi="宋体" w:cs="宋体"/>
                <w:color w:val="auto"/>
                <w:highlight w:val="none"/>
                <w:u w:val="single"/>
              </w:rPr>
              <w:t>/</w:t>
            </w:r>
          </w:p>
          <w:p>
            <w:pPr>
              <w:pStyle w:val="77"/>
              <w:snapToGrid w:val="0"/>
              <w:spacing w:line="360" w:lineRule="exact"/>
              <w:ind w:left="142" w:right="106" w:firstLine="0" w:firstLineChars="0"/>
              <w:rPr>
                <w:rFonts w:ascii="宋体" w:hAnsi="宋体" w:cs="宋体"/>
                <w:color w:val="auto"/>
                <w:highlight w:val="none"/>
              </w:rPr>
            </w:pPr>
            <w:r>
              <w:rPr>
                <w:rFonts w:hint="eastAsia" w:ascii="宋体" w:hAnsi="宋体" w:cs="宋体"/>
                <w:color w:val="auto"/>
                <w:highlight w:val="none"/>
              </w:rPr>
              <w:t>（8）其他要求：</w:t>
            </w:r>
            <w:r>
              <w:rPr>
                <w:rFonts w:hint="eastAsia" w:ascii="宋体" w:hAnsi="宋体" w:cs="宋体"/>
                <w:color w:val="auto"/>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392"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1.4.2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是否接受联合体投标</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■不接受 </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□接受，应满足下列要求：</w:t>
            </w:r>
            <w:r>
              <w:rPr>
                <w:rFonts w:hint="eastAsia" w:ascii="宋体" w:hAnsi="宋体" w:cs="宋体"/>
                <w:color w:val="auto"/>
                <w:kern w:val="2"/>
                <w:sz w:val="21"/>
                <w:szCs w:val="21"/>
                <w:highlight w:val="none"/>
                <w:u w:val="singl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219" w:hRule="atLeast"/>
          <w:jc w:val="center"/>
        </w:trPr>
        <w:tc>
          <w:tcPr>
            <w:tcW w:w="1057"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1.4.3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投标人不得存在的其他情形</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517"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1.9.1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踏勘现场</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■不组织。自公告发布之日起，地点详见招标公告</w:t>
            </w:r>
            <w:r>
              <w:rPr>
                <w:rFonts w:hint="eastAsia" w:ascii="宋体" w:hAnsi="宋体" w:cs="宋体"/>
                <w:color w:val="auto"/>
                <w:sz w:val="21"/>
                <w:szCs w:val="21"/>
                <w:highlight w:val="none"/>
              </w:rPr>
              <w:t>。</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□组织，踏勘时间：踏勘集中地点：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548"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1.10.1 </w:t>
            </w:r>
          </w:p>
        </w:tc>
        <w:tc>
          <w:tcPr>
            <w:tcW w:w="1546" w:type="dxa"/>
            <w:noWrap/>
            <w:vAlign w:val="center"/>
          </w:tcPr>
          <w:p>
            <w:pP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■不召开 </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□召开，召开时间：召开地点：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219" w:hRule="atLeast"/>
          <w:jc w:val="center"/>
        </w:trPr>
        <w:tc>
          <w:tcPr>
            <w:tcW w:w="1057" w:type="dxa"/>
            <w:vMerge w:val="restart"/>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1.10.2 </w:t>
            </w:r>
          </w:p>
        </w:tc>
        <w:tc>
          <w:tcPr>
            <w:tcW w:w="1546" w:type="dxa"/>
            <w:vMerge w:val="restart"/>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投标人在投标预备会前提出问题</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时间：无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219" w:hRule="atLeast"/>
          <w:jc w:val="center"/>
        </w:trPr>
        <w:tc>
          <w:tcPr>
            <w:tcW w:w="1057" w:type="dxa"/>
            <w:vMerge w:val="continue"/>
            <w:noWrap/>
            <w:vAlign w:val="center"/>
          </w:tcPr>
          <w:p>
            <w:pPr>
              <w:spacing w:line="240" w:lineRule="auto"/>
              <w:rPr>
                <w:rFonts w:ascii="宋体" w:hAnsi="宋体" w:eastAsia="宋体" w:cs="宋体"/>
                <w:color w:val="auto"/>
                <w:sz w:val="21"/>
                <w:szCs w:val="21"/>
                <w:highlight w:val="none"/>
              </w:rPr>
            </w:pPr>
          </w:p>
        </w:tc>
        <w:tc>
          <w:tcPr>
            <w:tcW w:w="1546" w:type="dxa"/>
            <w:vMerge w:val="continue"/>
            <w:noWrap/>
            <w:vAlign w:val="center"/>
          </w:tcPr>
          <w:p>
            <w:pPr>
              <w:pStyle w:val="36"/>
              <w:spacing w:after="0"/>
              <w:ind w:firstLine="0"/>
              <w:jc w:val="center"/>
              <w:rPr>
                <w:rFonts w:ascii="宋体" w:hAnsi="宋体" w:cs="宋体"/>
                <w:color w:val="auto"/>
                <w:kern w:val="2"/>
                <w:sz w:val="21"/>
                <w:szCs w:val="21"/>
                <w:highlight w:val="none"/>
              </w:rPr>
            </w:pP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形式：无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325"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1.10.3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招标文件澄清发出的形式</w:t>
            </w:r>
          </w:p>
        </w:tc>
        <w:tc>
          <w:tcPr>
            <w:tcW w:w="6571"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广州公共资源交易中心网站招标答疑专区发布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219"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1.12.1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实质性要求和条件</w:t>
            </w:r>
          </w:p>
        </w:tc>
        <w:tc>
          <w:tcPr>
            <w:tcW w:w="6571" w:type="dxa"/>
            <w:noWrap/>
            <w:vAlign w:val="center"/>
          </w:tcPr>
          <w:p>
            <w:pPr>
              <w:spacing w:line="240" w:lineRule="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560"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1.12.3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偏差</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325"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构成招标文件的其他资料</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273" w:hRule="atLeast"/>
          <w:jc w:val="center"/>
        </w:trPr>
        <w:tc>
          <w:tcPr>
            <w:tcW w:w="1057" w:type="dxa"/>
            <w:vMerge w:val="restart"/>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2.2.1 </w:t>
            </w:r>
          </w:p>
        </w:tc>
        <w:tc>
          <w:tcPr>
            <w:tcW w:w="1546" w:type="dxa"/>
            <w:vMerge w:val="restart"/>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投标人要求澄清招标文件</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时间：在递交投标文件截止日期前18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608" w:hRule="atLeast"/>
          <w:jc w:val="center"/>
        </w:trPr>
        <w:tc>
          <w:tcPr>
            <w:tcW w:w="1057" w:type="dxa"/>
            <w:vMerge w:val="continue"/>
            <w:noWrap/>
            <w:vAlign w:val="center"/>
          </w:tcPr>
          <w:p>
            <w:pPr>
              <w:spacing w:line="240" w:lineRule="auto"/>
              <w:rPr>
                <w:rFonts w:ascii="宋体" w:hAnsi="宋体" w:eastAsia="宋体" w:cs="宋体"/>
                <w:color w:val="auto"/>
                <w:sz w:val="21"/>
                <w:szCs w:val="21"/>
                <w:highlight w:val="none"/>
              </w:rPr>
            </w:pPr>
          </w:p>
        </w:tc>
        <w:tc>
          <w:tcPr>
            <w:tcW w:w="1546" w:type="dxa"/>
            <w:vMerge w:val="continue"/>
            <w:noWrap/>
            <w:vAlign w:val="center"/>
          </w:tcPr>
          <w:p>
            <w:pPr>
              <w:pStyle w:val="36"/>
              <w:spacing w:after="0"/>
              <w:ind w:firstLine="0"/>
              <w:jc w:val="center"/>
              <w:rPr>
                <w:rFonts w:ascii="宋体" w:hAnsi="宋体" w:cs="宋体"/>
                <w:color w:val="auto"/>
                <w:kern w:val="2"/>
                <w:sz w:val="21"/>
                <w:szCs w:val="21"/>
                <w:highlight w:val="none"/>
              </w:rPr>
            </w:pP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1.形式：网上答疑：</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2.招标人澄清、修补或答疑期限：在递交投标文件截止日期前15 日</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3.答疑纪要须经招投标监管机构备案后，方可在广州公共资源交易中心网站“招标答疑”专区发布。 </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4、招标答疑纪要一经在广州公共资源交易中心网站发布，视作已发放给所有投标人。具体要求：操作详见广州公共资源交易中心网站发布的《 房屋建筑和市政基础设施工程全流程电子化项目专章 》。提问一律不得署名。</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5、招标答疑纪要为招标文件的一部分。投标人可在广州公共资源交易中心网站浏览、下载招标答疑纪要。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1207"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招标文件澄清发出的形式</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本项目的招标文件澄清及答疑文件将在广州公共资源交易中心网上发布，投标人自行下载。从招标文件澄清及答疑文件发布之日起即视为投标人已确认收到。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219" w:hRule="atLeast"/>
          <w:jc w:val="center"/>
        </w:trPr>
        <w:tc>
          <w:tcPr>
            <w:tcW w:w="1057" w:type="dxa"/>
            <w:vMerge w:val="restart"/>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p>
        </w:tc>
        <w:tc>
          <w:tcPr>
            <w:tcW w:w="1546" w:type="dxa"/>
            <w:vMerge w:val="restart"/>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投标人确认收到招标文件澄清</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时间：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325" w:hRule="atLeast"/>
          <w:jc w:val="center"/>
        </w:trPr>
        <w:tc>
          <w:tcPr>
            <w:tcW w:w="1057" w:type="dxa"/>
            <w:vMerge w:val="continue"/>
            <w:noWrap/>
            <w:vAlign w:val="center"/>
          </w:tcPr>
          <w:p>
            <w:pPr>
              <w:spacing w:line="240" w:lineRule="auto"/>
              <w:rPr>
                <w:rFonts w:ascii="宋体" w:hAnsi="宋体" w:eastAsia="宋体" w:cs="宋体"/>
                <w:color w:val="auto"/>
                <w:sz w:val="21"/>
                <w:szCs w:val="21"/>
                <w:highlight w:val="none"/>
              </w:rPr>
            </w:pPr>
          </w:p>
        </w:tc>
        <w:tc>
          <w:tcPr>
            <w:tcW w:w="1546" w:type="dxa"/>
            <w:vMerge w:val="continue"/>
            <w:noWrap/>
            <w:vAlign w:val="center"/>
          </w:tcPr>
          <w:p>
            <w:pPr>
              <w:pStyle w:val="36"/>
              <w:spacing w:after="0"/>
              <w:ind w:firstLine="0"/>
              <w:jc w:val="center"/>
              <w:rPr>
                <w:rFonts w:ascii="宋体" w:hAnsi="宋体" w:cs="宋体"/>
                <w:color w:val="auto"/>
                <w:kern w:val="2"/>
                <w:sz w:val="21"/>
                <w:szCs w:val="21"/>
                <w:highlight w:val="none"/>
              </w:rPr>
            </w:pP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形式：广州公共资源交易中心网站答疑专区发布后视为投标人确认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3" w:type="dxa"/>
            <w:left w:w="108" w:type="dxa"/>
            <w:bottom w:w="25" w:type="dxa"/>
            <w:right w:w="115" w:type="dxa"/>
          </w:tblCellMar>
        </w:tblPrEx>
        <w:trPr>
          <w:trHeight w:val="325"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2.3.1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招标文件修改发出的形式</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广州公共资源交易中心网站答疑专区发布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273" w:hRule="atLeast"/>
          <w:jc w:val="center"/>
        </w:trPr>
        <w:tc>
          <w:tcPr>
            <w:tcW w:w="1057" w:type="dxa"/>
            <w:vMerge w:val="restart"/>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2.3.2 </w:t>
            </w:r>
          </w:p>
        </w:tc>
        <w:tc>
          <w:tcPr>
            <w:tcW w:w="1546" w:type="dxa"/>
            <w:vMerge w:val="restart"/>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投标人确认收到招标文件修改</w:t>
            </w:r>
          </w:p>
        </w:tc>
        <w:tc>
          <w:tcPr>
            <w:tcW w:w="6571" w:type="dxa"/>
            <w:noWrap/>
            <w:vAlign w:val="center"/>
          </w:tcPr>
          <w:p>
            <w:pPr>
              <w:pStyle w:val="36"/>
              <w:spacing w:after="0"/>
              <w:ind w:right="132" w:rightChars="60"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时间：广州公共资源交易中心网站答疑专区发布后视为投标人确认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255" w:hRule="atLeast"/>
          <w:jc w:val="center"/>
        </w:trPr>
        <w:tc>
          <w:tcPr>
            <w:tcW w:w="1057" w:type="dxa"/>
            <w:vMerge w:val="continue"/>
            <w:noWrap/>
            <w:vAlign w:val="center"/>
          </w:tcPr>
          <w:p>
            <w:pPr>
              <w:spacing w:line="240" w:lineRule="auto"/>
              <w:rPr>
                <w:rFonts w:ascii="宋体" w:hAnsi="宋体" w:eastAsia="宋体" w:cs="宋体"/>
                <w:color w:val="auto"/>
                <w:sz w:val="21"/>
                <w:szCs w:val="21"/>
                <w:highlight w:val="none"/>
              </w:rPr>
            </w:pPr>
          </w:p>
        </w:tc>
        <w:tc>
          <w:tcPr>
            <w:tcW w:w="1546" w:type="dxa"/>
            <w:vMerge w:val="continue"/>
            <w:noWrap/>
            <w:vAlign w:val="center"/>
          </w:tcPr>
          <w:p>
            <w:pPr>
              <w:pStyle w:val="36"/>
              <w:spacing w:after="0"/>
              <w:ind w:firstLine="0"/>
              <w:jc w:val="center"/>
              <w:rPr>
                <w:rFonts w:ascii="宋体" w:hAnsi="宋体" w:cs="宋体"/>
                <w:color w:val="auto"/>
                <w:kern w:val="2"/>
                <w:sz w:val="21"/>
                <w:szCs w:val="21"/>
                <w:highlight w:val="none"/>
              </w:rPr>
            </w:pP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形式：广州公共资源交易中心网站答疑专区发布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423"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构成投标文件的其他资料</w:t>
            </w:r>
          </w:p>
        </w:tc>
        <w:tc>
          <w:tcPr>
            <w:tcW w:w="6571" w:type="dxa"/>
            <w:noWrap/>
            <w:vAlign w:val="center"/>
          </w:tcPr>
          <w:p>
            <w:pPr>
              <w:pStyle w:val="36"/>
              <w:spacing w:after="0"/>
              <w:ind w:right="132" w:rightChars="60"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投标申请人声明、以及企业荣誉证书、信用证书、相关网页截图等（如有）投标人需提交的证明资料。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939"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3.2.1 </w:t>
            </w:r>
          </w:p>
        </w:tc>
        <w:tc>
          <w:tcPr>
            <w:tcW w:w="1546" w:type="dxa"/>
            <w:noWrap/>
            <w:vAlign w:val="center"/>
          </w:tcPr>
          <w:p>
            <w:pP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增值税税金的</w:t>
            </w:r>
          </w:p>
          <w:p>
            <w:pP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计算方法</w:t>
            </w:r>
          </w:p>
        </w:tc>
        <w:tc>
          <w:tcPr>
            <w:tcW w:w="6571"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按国家、省有关计价规范执行。本项目按增值税计算税金，采用一般计税方法，计价方法按照粤建市函【2018】898号文、穗建造价【2010】31号执行。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579"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3.2.3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报价方式</w:t>
            </w:r>
          </w:p>
        </w:tc>
        <w:tc>
          <w:tcPr>
            <w:tcW w:w="6571" w:type="dxa"/>
            <w:noWrap/>
            <w:vAlign w:val="center"/>
          </w:tcPr>
          <w:p>
            <w:pPr>
              <w:pStyle w:val="36"/>
              <w:spacing w:after="0"/>
              <w:ind w:right="132" w:rightChars="60" w:firstLine="0"/>
              <w:rPr>
                <w:rFonts w:ascii="宋体" w:hAnsi="宋体" w:cs="宋体"/>
                <w:color w:val="auto"/>
                <w:kern w:val="2"/>
                <w:sz w:val="21"/>
                <w:szCs w:val="21"/>
                <w:highlight w:val="none"/>
                <w:u w:val="single"/>
              </w:rPr>
            </w:pPr>
            <w:r>
              <w:rPr>
                <w:rFonts w:hint="eastAsia" w:ascii="宋体" w:hAnsi="宋体" w:cs="宋体"/>
                <w:color w:val="auto"/>
                <w:kern w:val="2"/>
                <w:sz w:val="21"/>
                <w:szCs w:val="21"/>
                <w:highlight w:val="none"/>
              </w:rPr>
              <w:t>采用固定下浮率报价方式报价。并依据所报下浮率列明投标报价。（以元为单位，精确到小数点后2位），报价超过控制价将按无效投标处理。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568"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3.2.4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招标控制价</w:t>
            </w:r>
          </w:p>
        </w:tc>
        <w:tc>
          <w:tcPr>
            <w:tcW w:w="6571" w:type="dxa"/>
            <w:noWrap/>
            <w:vAlign w:val="center"/>
          </w:tcPr>
          <w:p>
            <w:pPr>
              <w:spacing w:line="360" w:lineRule="auto"/>
              <w:ind w:right="112" w:rightChars="51"/>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pPr>
              <w:pStyle w:val="15"/>
              <w:rPr>
                <w:rFonts w:ascii="宋体" w:hAnsi="宋体" w:cs="宋体"/>
                <w:color w:val="auto"/>
                <w:sz w:val="21"/>
                <w:szCs w:val="21"/>
                <w:highlight w:val="none"/>
              </w:rPr>
            </w:pPr>
            <w:r>
              <w:rPr>
                <w:rFonts w:hint="eastAsia" w:ascii="宋体" w:hAnsi="宋体" w:cs="宋体"/>
                <w:color w:val="auto"/>
                <w:sz w:val="21"/>
                <w:szCs w:val="21"/>
                <w:highlight w:val="none"/>
              </w:rPr>
              <w:t>■有，最高投标限价：</w:t>
            </w:r>
            <w:r>
              <w:rPr>
                <w:rFonts w:hint="eastAsia" w:ascii="宋体" w:hAnsi="宋体" w:cs="宋体"/>
                <w:color w:val="auto"/>
                <w:sz w:val="21"/>
                <w:szCs w:val="21"/>
                <w:highlight w:val="none"/>
                <w:u w:val="single"/>
                <w:lang w:val="en-US" w:eastAsia="zh-CN"/>
              </w:rPr>
              <w:t>145.3510万</w:t>
            </w:r>
            <w:r>
              <w:rPr>
                <w:rFonts w:hint="eastAsia" w:ascii="宋体" w:hAnsi="宋体" w:cs="宋体"/>
                <w:color w:val="auto"/>
                <w:sz w:val="21"/>
                <w:szCs w:val="21"/>
                <w:highlight w:val="none"/>
              </w:rPr>
              <w:t>元</w:t>
            </w:r>
          </w:p>
          <w:p>
            <w:pPr>
              <w:pStyle w:val="74"/>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本项目招标控制价只作为招标的依据，投标金额及下浮率（%）作为签订合同的依据。中标价不作为竣工结算的依据。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254"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3.2.5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投标报价的其他要求</w:t>
            </w:r>
          </w:p>
        </w:tc>
        <w:tc>
          <w:tcPr>
            <w:tcW w:w="6571" w:type="dxa"/>
            <w:noWrap/>
            <w:vAlign w:val="center"/>
          </w:tcPr>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投标人必须详细审阅全部招标文件，充分考虑职责和义务，全面地理解招标文件对投标报价的要求，并按招标人提出的条件及内容进行报价。</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一、各投标人自行报价，投标报价超过最高投标限价的，一律视为废标。</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二、投标报价及费用计算方式：</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各投标人应根据工程实际编制监测方案，本项目监测综合结算单价原则：（</w:t>
            </w:r>
            <w:r>
              <w:rPr>
                <w:rFonts w:ascii="宋体" w:hAnsi="宋体" w:eastAsia="宋体" w:cs="宋体"/>
                <w:color w:val="auto"/>
                <w:sz w:val="21"/>
                <w:szCs w:val="21"/>
                <w:highlight w:val="none"/>
              </w:rPr>
              <w:t>1）《关于印发&lt;</w:t>
            </w:r>
            <w:r>
              <w:rPr>
                <w:rFonts w:hint="eastAsia" w:ascii="宋体" w:hAnsi="宋体" w:eastAsia="宋体" w:cs="宋体"/>
                <w:color w:val="auto"/>
                <w:sz w:val="21"/>
                <w:szCs w:val="21"/>
                <w:highlight w:val="none"/>
              </w:rPr>
              <w:t>广东省房屋建筑和市政工程质量安全检测收费指导价</w:t>
            </w:r>
            <w:r>
              <w:rPr>
                <w:rFonts w:ascii="宋体" w:hAnsi="宋体" w:eastAsia="宋体" w:cs="宋体"/>
                <w:color w:val="auto"/>
                <w:sz w:val="21"/>
                <w:szCs w:val="21"/>
                <w:highlight w:val="none"/>
              </w:rPr>
              <w:t>(第一批)&gt;</w:t>
            </w:r>
            <w:r>
              <w:rPr>
                <w:rFonts w:hint="eastAsia" w:ascii="宋体" w:hAnsi="宋体" w:eastAsia="宋体" w:cs="宋体"/>
                <w:color w:val="auto"/>
                <w:sz w:val="21"/>
                <w:szCs w:val="21"/>
                <w:highlight w:val="none"/>
              </w:rPr>
              <w:t>和</w:t>
            </w:r>
            <w:r>
              <w:rPr>
                <w:rFonts w:ascii="宋体" w:hAnsi="宋体" w:eastAsia="宋体" w:cs="宋体"/>
                <w:color w:val="auto"/>
                <w:sz w:val="21"/>
                <w:szCs w:val="21"/>
                <w:highlight w:val="none"/>
              </w:rPr>
              <w:t>&lt;</w:t>
            </w:r>
            <w:r>
              <w:rPr>
                <w:rFonts w:hint="eastAsia" w:ascii="宋体" w:hAnsi="宋体" w:eastAsia="宋体" w:cs="宋体"/>
                <w:color w:val="auto"/>
                <w:sz w:val="21"/>
                <w:szCs w:val="21"/>
                <w:highlight w:val="none"/>
              </w:rPr>
              <w:t>广东省既有房屋建筑安全性鉴定收费指导价</w:t>
            </w:r>
            <w:r>
              <w:rPr>
                <w:rFonts w:ascii="宋体" w:hAnsi="宋体" w:eastAsia="宋体" w:cs="宋体"/>
                <w:color w:val="auto"/>
                <w:sz w:val="21"/>
                <w:szCs w:val="21"/>
                <w:highlight w:val="none"/>
              </w:rPr>
              <w:t>&gt;</w:t>
            </w:r>
            <w:r>
              <w:rPr>
                <w:rFonts w:hint="eastAsia" w:ascii="宋体" w:hAnsi="宋体" w:eastAsia="宋体" w:cs="宋体"/>
                <w:color w:val="auto"/>
                <w:sz w:val="21"/>
                <w:szCs w:val="21"/>
                <w:highlight w:val="none"/>
              </w:rPr>
              <w:t>的通知》（粤建检协</w:t>
            </w:r>
            <w:r>
              <w:rPr>
                <w:rFonts w:ascii="宋体" w:hAnsi="宋体" w:eastAsia="宋体" w:cs="宋体"/>
                <w:color w:val="auto"/>
                <w:sz w:val="21"/>
                <w:szCs w:val="21"/>
                <w:highlight w:val="none"/>
              </w:rPr>
              <w:t>[2015]8号文）、关于印发《广州市建设工程基坑监测、变</w:t>
            </w:r>
            <w:r>
              <w:rPr>
                <w:rFonts w:hint="eastAsia" w:ascii="宋体" w:hAnsi="宋体" w:eastAsia="宋体" w:cs="宋体"/>
                <w:color w:val="auto"/>
                <w:sz w:val="21"/>
                <w:szCs w:val="21"/>
                <w:highlight w:val="none"/>
              </w:rPr>
              <w:t>形点监测收费项目及标准指导性意见》的通知（穗建检协字（</w:t>
            </w:r>
            <w:r>
              <w:rPr>
                <w:rFonts w:ascii="宋体" w:hAnsi="宋体" w:eastAsia="宋体" w:cs="宋体"/>
                <w:color w:val="auto"/>
                <w:sz w:val="21"/>
                <w:szCs w:val="21"/>
                <w:highlight w:val="none"/>
              </w:rPr>
              <w:t>2013）12号）等有关的</w:t>
            </w:r>
            <w:r>
              <w:rPr>
                <w:rFonts w:hint="eastAsia" w:ascii="宋体" w:hAnsi="宋体" w:eastAsia="宋体" w:cs="宋体"/>
                <w:color w:val="auto"/>
                <w:sz w:val="21"/>
                <w:szCs w:val="21"/>
                <w:highlight w:val="none"/>
              </w:rPr>
              <w:t>监测收费规定相适应的单价乘以（</w:t>
            </w:r>
            <w:r>
              <w:rPr>
                <w:rFonts w:ascii="宋体" w:hAnsi="宋体" w:eastAsia="宋体" w:cs="宋体"/>
                <w:color w:val="auto"/>
                <w:sz w:val="21"/>
                <w:szCs w:val="21"/>
                <w:highlight w:val="none"/>
              </w:rPr>
              <w:t>1-投标下浮率），以招标人审定为准。</w:t>
            </w:r>
          </w:p>
          <w:p>
            <w:pPr>
              <w:snapToGrid w:val="0"/>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报价已包括了为完成设计文件及有关规范要求的所有材料设备监测项目所发生的劳务(含技术人员)、材料、机械(含各种车辆、仪器设备、软件等使用费、进出场费)、差旅交通费、临时设施费、检测试验费、报告编写费、各项管理费、就餐费、住宿费、管理费、利润、规费、税金、保险费、相关协调费及其他实物和技术工作收费等全部相关费用，以及合同明示或暗示的所有责任、义务和风险。请投标人自行综合考虑，不予另行计算。工程量按经发包人核定的实际发生量计取（如超出监测规范或相关文件规定的工程量，不予结算）。</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三、成本警戒价为</w:t>
            </w:r>
            <w:r>
              <w:rPr>
                <w:rFonts w:hint="eastAsia" w:ascii="宋体" w:hAnsi="宋体" w:eastAsia="宋体" w:cs="宋体"/>
                <w:color w:val="auto"/>
                <w:sz w:val="21"/>
                <w:szCs w:val="21"/>
                <w:highlight w:val="none"/>
                <w:u w:val="single"/>
                <w:lang w:val="en-US" w:eastAsia="zh-CN"/>
              </w:rPr>
              <w:t>116.2808</w:t>
            </w:r>
            <w:r>
              <w:rPr>
                <w:rFonts w:hint="eastAsia" w:ascii="宋体" w:hAnsi="宋体" w:eastAsia="宋体" w:cs="宋体"/>
                <w:color w:val="auto"/>
                <w:sz w:val="21"/>
                <w:szCs w:val="21"/>
                <w:highlight w:val="none"/>
                <w:u w:val="none"/>
                <w:lang w:val="en-US" w:eastAsia="zh-CN"/>
              </w:rPr>
              <w:t>万</w:t>
            </w:r>
            <w:r>
              <w:rPr>
                <w:rFonts w:hint="eastAsia" w:ascii="宋体" w:hAnsi="宋体" w:eastAsia="宋体" w:cs="宋体"/>
                <w:color w:val="auto"/>
                <w:sz w:val="21"/>
                <w:szCs w:val="21"/>
                <w:highlight w:val="none"/>
              </w:rPr>
              <w:t>元。（按最高投标限价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36"/>
              <w:spacing w:after="0" w:line="360" w:lineRule="auto"/>
              <w:ind w:firstLine="0"/>
              <w:rPr>
                <w:rFonts w:ascii="宋体" w:hAnsi="宋体" w:cs="宋体"/>
                <w:color w:val="auto"/>
                <w:kern w:val="2"/>
                <w:sz w:val="21"/>
                <w:szCs w:val="21"/>
                <w:highlight w:val="none"/>
              </w:rPr>
            </w:pPr>
            <w:r>
              <w:rPr>
                <w:rFonts w:ascii="宋体" w:hAnsi="宋体" w:cs="宋体"/>
                <w:color w:val="auto"/>
                <w:kern w:val="2"/>
                <w:sz w:val="21"/>
                <w:szCs w:val="21"/>
                <w:highlight w:val="none"/>
              </w:rPr>
              <w:t>四、招标人向投标人提供的资料和数据，是招标人现有的能使投标人利用的资料，招标人对投标人由此而作出的推论、理解和结论概不负责。投标人根据招标文件中的内容进行报价所产生的一切风险，投标人应充分预见并承担风险。投标人应认真审阅招标文件的所有内容，对工程现场和周围环境进行现场踏勘，获取编制投标文件和签署合同所需的所有资料。一旦中标，这种考察即被认为其结果已在投标文件中得到充分的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255"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3.3.1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投标有效期</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266"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投标保证金</w:t>
            </w:r>
          </w:p>
        </w:tc>
        <w:tc>
          <w:tcPr>
            <w:tcW w:w="6571" w:type="dxa"/>
            <w:noWrap/>
            <w:vAlign w:val="center"/>
          </w:tcPr>
          <w:p>
            <w:pPr>
              <w:shd w:val="clear" w:color="auto" w:fill="FFFFFF"/>
              <w:tabs>
                <w:tab w:val="center" w:pos="4415"/>
              </w:tabs>
              <w:spacing w:line="360" w:lineRule="auto"/>
              <w:rPr>
                <w:rFonts w:ascii="宋体" w:hAnsi="宋体" w:cs="宋体"/>
                <w:color w:val="auto"/>
                <w:szCs w:val="21"/>
                <w:highlight w:val="none"/>
              </w:rPr>
            </w:pPr>
            <w:r>
              <w:rPr>
                <w:rFonts w:hint="eastAsia" w:ascii="宋体" w:hAnsi="宋体" w:cs="宋体"/>
                <w:color w:val="auto"/>
                <w:szCs w:val="21"/>
                <w:highlight w:val="none"/>
              </w:rPr>
              <w:t>是否要求投标人递交投标保证金：</w:t>
            </w:r>
          </w:p>
          <w:p>
            <w:pPr>
              <w:shd w:val="clear" w:color="auto" w:fill="FFFFFF"/>
              <w:tabs>
                <w:tab w:val="center" w:pos="4415"/>
              </w:tabs>
              <w:spacing w:line="360" w:lineRule="auto"/>
              <w:rPr>
                <w:rFonts w:ascii="宋体" w:hAnsi="宋体" w:cs="宋体"/>
                <w:color w:val="auto"/>
                <w:szCs w:val="21"/>
                <w:highlight w:val="none"/>
              </w:rPr>
            </w:pPr>
            <w:r>
              <w:rPr>
                <w:rFonts w:hint="eastAsia" w:ascii="宋体" w:hAnsi="宋体" w:cs="宋体"/>
                <w:color w:val="auto"/>
                <w:szCs w:val="21"/>
                <w:highlight w:val="none"/>
              </w:rPr>
              <w:t>□要求，投标保证金的形式：</w:t>
            </w:r>
          </w:p>
          <w:p>
            <w:pPr>
              <w:shd w:val="clear" w:color="auto" w:fill="FFFFFF"/>
              <w:tabs>
                <w:tab w:val="center" w:pos="4415"/>
              </w:tabs>
              <w:spacing w:line="360" w:lineRule="auto"/>
              <w:rPr>
                <w:rFonts w:ascii="宋体" w:hAnsi="宋体" w:cs="宋体"/>
                <w:color w:val="auto"/>
                <w:szCs w:val="21"/>
                <w:highlight w:val="none"/>
              </w:rPr>
            </w:pPr>
            <w:r>
              <w:rPr>
                <w:rFonts w:hint="eastAsia" w:ascii="宋体" w:hAnsi="宋体" w:cs="宋体"/>
                <w:color w:val="auto"/>
                <w:szCs w:val="21"/>
                <w:highlight w:val="none"/>
              </w:rPr>
              <w:t>投标保证金的金额：</w:t>
            </w:r>
          </w:p>
          <w:p>
            <w:pPr>
              <w:pStyle w:val="36"/>
              <w:spacing w:after="0"/>
              <w:ind w:right="77" w:rightChars="35" w:firstLine="0"/>
              <w:rPr>
                <w:rFonts w:ascii="宋体" w:hAnsi="宋体" w:cs="宋体"/>
                <w:color w:val="auto"/>
                <w:kern w:val="2"/>
                <w:sz w:val="21"/>
                <w:szCs w:val="21"/>
                <w:highlight w:val="none"/>
              </w:rPr>
            </w:pPr>
            <w:r>
              <w:rPr>
                <w:rFonts w:hint="eastAsia" w:ascii="宋体" w:hAnsi="宋体" w:cs="宋体"/>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437"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资格审查资料的特殊要求</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■无 </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□有，具体要求：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437"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3.5.2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近年财务状况的年份要求</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436"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3.5.3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近年完成的类似项目情况的时间要求</w:t>
            </w:r>
          </w:p>
        </w:tc>
        <w:tc>
          <w:tcPr>
            <w:tcW w:w="6571" w:type="dxa"/>
            <w:noWrap/>
            <w:vAlign w:val="center"/>
          </w:tcPr>
          <w:p>
            <w:pPr>
              <w:pStyle w:val="36"/>
              <w:spacing w:after="0"/>
              <w:ind w:right="132" w:rightChars="60"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437"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3.5.5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近年发生的诉讼及仲裁情况的时间要求</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108" w:type="dxa"/>
            <w:bottom w:w="46" w:type="dxa"/>
            <w:right w:w="0" w:type="dxa"/>
          </w:tblCellMar>
        </w:tblPrEx>
        <w:trPr>
          <w:trHeight w:val="437"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3.6.1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是否允许递交备选投标方案</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■不允许 </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□允许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375" w:hRule="atLeast"/>
          <w:jc w:val="center"/>
        </w:trPr>
        <w:tc>
          <w:tcPr>
            <w:tcW w:w="1057" w:type="dxa"/>
            <w:noWrap/>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highlight w:val="none"/>
              </w:rPr>
              <w:t>3.7.</w:t>
            </w:r>
            <w:r>
              <w:rPr>
                <w:rFonts w:hint="eastAsia" w:ascii="宋体" w:hAnsi="宋体" w:eastAsia="宋体" w:cs="宋体"/>
                <w:color w:val="auto"/>
                <w:spacing w:val="-1"/>
                <w:sz w:val="21"/>
                <w:highlight w:val="none"/>
              </w:rPr>
              <w:t>3</w:t>
            </w:r>
            <w:r>
              <w:rPr>
                <w:rFonts w:hint="eastAsia" w:ascii="宋体" w:hAnsi="宋体" w:eastAsia="宋体" w:cs="宋体"/>
                <w:color w:val="auto"/>
                <w:spacing w:val="-3"/>
                <w:sz w:val="21"/>
                <w:highlight w:val="none"/>
              </w:rPr>
              <w:t>（</w:t>
            </w:r>
            <w:r>
              <w:rPr>
                <w:rFonts w:hint="eastAsia" w:ascii="宋体" w:hAnsi="宋体" w:eastAsia="宋体" w:cs="宋体"/>
                <w:color w:val="auto"/>
                <w:spacing w:val="-2"/>
                <w:sz w:val="21"/>
                <w:highlight w:val="none"/>
              </w:rPr>
              <w:t>B</w:t>
            </w:r>
            <w:r>
              <w:rPr>
                <w:rFonts w:hint="eastAsia" w:ascii="宋体" w:hAnsi="宋体" w:eastAsia="宋体" w:cs="宋体"/>
                <w:color w:val="auto"/>
                <w:sz w:val="21"/>
                <w:highlight w:val="none"/>
              </w:rPr>
              <w:t>）</w:t>
            </w:r>
          </w:p>
        </w:tc>
        <w:tc>
          <w:tcPr>
            <w:tcW w:w="1546" w:type="dxa"/>
            <w:noWrap/>
            <w:vAlign w:val="center"/>
          </w:tcPr>
          <w:p>
            <w:pPr>
              <w:pStyle w:val="36"/>
              <w:spacing w:after="0"/>
              <w:ind w:left="106" w:leftChars="48"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投标文件所附证书证</w:t>
            </w:r>
          </w:p>
          <w:p>
            <w:pPr>
              <w:pStyle w:val="36"/>
              <w:spacing w:after="0"/>
              <w:ind w:left="106" w:leftChars="48"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件要求</w:t>
            </w:r>
          </w:p>
        </w:tc>
        <w:tc>
          <w:tcPr>
            <w:tcW w:w="6571" w:type="dxa"/>
            <w:noWrap/>
            <w:vAlign w:val="center"/>
          </w:tcPr>
          <w:p>
            <w:pPr>
              <w:pStyle w:val="36"/>
              <w:spacing w:after="0"/>
              <w:ind w:right="33" w:rightChars="15"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375" w:hRule="atLeast"/>
          <w:jc w:val="center"/>
        </w:trPr>
        <w:tc>
          <w:tcPr>
            <w:tcW w:w="1057" w:type="dxa"/>
            <w:noWrap/>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highlight w:val="none"/>
              </w:rPr>
              <w:t>3.7.</w:t>
            </w:r>
            <w:r>
              <w:rPr>
                <w:rFonts w:hint="eastAsia" w:ascii="宋体" w:hAnsi="宋体" w:eastAsia="宋体" w:cs="宋体"/>
                <w:color w:val="auto"/>
                <w:spacing w:val="-1"/>
                <w:sz w:val="21"/>
                <w:highlight w:val="none"/>
              </w:rPr>
              <w:t>3</w:t>
            </w:r>
            <w:r>
              <w:rPr>
                <w:rFonts w:hint="eastAsia" w:ascii="宋体" w:hAnsi="宋体" w:eastAsia="宋体" w:cs="宋体"/>
                <w:color w:val="auto"/>
                <w:spacing w:val="-3"/>
                <w:sz w:val="21"/>
                <w:highlight w:val="none"/>
              </w:rPr>
              <w:t>（</w:t>
            </w:r>
            <w:r>
              <w:rPr>
                <w:rFonts w:hint="eastAsia" w:ascii="宋体" w:hAnsi="宋体" w:eastAsia="宋体" w:cs="宋体"/>
                <w:color w:val="auto"/>
                <w:spacing w:val="-2"/>
                <w:sz w:val="21"/>
                <w:highlight w:val="none"/>
              </w:rPr>
              <w:t>B</w:t>
            </w:r>
            <w:r>
              <w:rPr>
                <w:rFonts w:hint="eastAsia" w:ascii="宋体" w:hAnsi="宋体" w:eastAsia="宋体" w:cs="宋体"/>
                <w:color w:val="auto"/>
                <w:sz w:val="21"/>
                <w:highlight w:val="none"/>
              </w:rPr>
              <w:t>）</w:t>
            </w:r>
          </w:p>
        </w:tc>
        <w:tc>
          <w:tcPr>
            <w:tcW w:w="1546" w:type="dxa"/>
            <w:noWrap/>
            <w:vAlign w:val="center"/>
          </w:tcPr>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投标文件签字或盖章</w:t>
            </w:r>
          </w:p>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要求</w:t>
            </w:r>
          </w:p>
        </w:tc>
        <w:tc>
          <w:tcPr>
            <w:tcW w:w="6571" w:type="dxa"/>
            <w:noWrap/>
            <w:vAlign w:val="center"/>
          </w:tcPr>
          <w:p>
            <w:pPr>
              <w:pStyle w:val="36"/>
              <w:spacing w:after="0"/>
              <w:ind w:right="20" w:rightChars="9" w:firstLine="0"/>
              <w:rPr>
                <w:rFonts w:ascii="宋体" w:hAnsi="宋体" w:cs="宋体"/>
                <w:b/>
                <w:strike/>
                <w:color w:val="auto"/>
                <w:kern w:val="2"/>
                <w:sz w:val="21"/>
                <w:szCs w:val="21"/>
                <w:highlight w:val="none"/>
              </w:rPr>
            </w:pPr>
            <w:r>
              <w:rPr>
                <w:rFonts w:hint="eastAsia" w:ascii="宋体" w:hAnsi="宋体" w:cs="宋体"/>
                <w:b/>
                <w:color w:val="auto"/>
                <w:kern w:val="2"/>
                <w:sz w:val="21"/>
                <w:szCs w:val="21"/>
                <w:highlight w:val="none"/>
              </w:rPr>
              <w:t>投标文件的所有证书证件、证明文件及招标文件所附格式要求盖章处需加盖电子印章，在招标文件所附格式规定签名位置，法定代表人或其授权代表应加盖个人电子印章或在线下完成后扫描上传，其余可不加盖电子印章或签名。</w:t>
            </w:r>
          </w:p>
          <w:p>
            <w:pPr>
              <w:pStyle w:val="36"/>
              <w:spacing w:after="0"/>
              <w:ind w:right="20" w:rightChars="9"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1.根据交易平台实际情况，暂不实施关于采用个人数字证书和加盖法定代表人或代理人等个人电子印章要求。</w:t>
            </w:r>
          </w:p>
          <w:p>
            <w:pPr>
              <w:pStyle w:val="36"/>
              <w:spacing w:after="0"/>
              <w:ind w:right="20" w:rightChars="9"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2.投标文件应按《 房屋建筑和市政基础设施工程全流程电子化项目专章 》编制。如不按上述要求编制引起系统无法检索、读取相关信息的，其后果由投标人承担。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375" w:hRule="atLeast"/>
          <w:jc w:val="center"/>
        </w:trPr>
        <w:tc>
          <w:tcPr>
            <w:tcW w:w="1057" w:type="dxa"/>
            <w:noWrap/>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highlight w:val="none"/>
              </w:rPr>
              <w:t>4.1.</w:t>
            </w:r>
            <w:r>
              <w:rPr>
                <w:rFonts w:hint="eastAsia" w:ascii="宋体" w:hAnsi="宋体" w:eastAsia="宋体" w:cs="宋体"/>
                <w:color w:val="auto"/>
                <w:spacing w:val="-1"/>
                <w:sz w:val="21"/>
                <w:highlight w:val="none"/>
              </w:rPr>
              <w:t>1</w:t>
            </w:r>
            <w:r>
              <w:rPr>
                <w:rFonts w:hint="eastAsia" w:ascii="宋体" w:hAnsi="宋体" w:eastAsia="宋体" w:cs="宋体"/>
                <w:color w:val="auto"/>
                <w:spacing w:val="-3"/>
                <w:sz w:val="21"/>
                <w:highlight w:val="none"/>
              </w:rPr>
              <w:t>（</w:t>
            </w:r>
            <w:r>
              <w:rPr>
                <w:rFonts w:hint="eastAsia" w:ascii="宋体" w:hAnsi="宋体" w:eastAsia="宋体" w:cs="宋体"/>
                <w:color w:val="auto"/>
                <w:spacing w:val="-2"/>
                <w:sz w:val="21"/>
                <w:highlight w:val="none"/>
              </w:rPr>
              <w:t>B</w:t>
            </w:r>
            <w:r>
              <w:rPr>
                <w:rFonts w:hint="eastAsia" w:ascii="宋体" w:hAnsi="宋体" w:eastAsia="宋体" w:cs="宋体"/>
                <w:color w:val="auto"/>
                <w:sz w:val="21"/>
                <w:highlight w:val="none"/>
              </w:rPr>
              <w:t>）</w:t>
            </w:r>
          </w:p>
        </w:tc>
        <w:tc>
          <w:tcPr>
            <w:tcW w:w="1546" w:type="dxa"/>
            <w:noWrap/>
            <w:vAlign w:val="center"/>
          </w:tcPr>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投标文件加密要求</w:t>
            </w:r>
          </w:p>
        </w:tc>
        <w:tc>
          <w:tcPr>
            <w:tcW w:w="6571" w:type="dxa"/>
            <w:noWrap/>
            <w:vAlign w:val="center"/>
          </w:tcPr>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1.网上递交的电子投标文件须进行加密。具体操作详见广州公共资源交易中心网站发布的《房屋建筑和市政基础设施工程全流程电子化项目专章》。</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2. 未按要求密封的投标文件，招标人将予以拒收。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348"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p>
        </w:tc>
        <w:tc>
          <w:tcPr>
            <w:tcW w:w="1546" w:type="dxa"/>
            <w:noWrap/>
            <w:vAlign w:val="center"/>
          </w:tcPr>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封套上应载明的信息</w:t>
            </w:r>
          </w:p>
        </w:tc>
        <w:tc>
          <w:tcPr>
            <w:tcW w:w="6571" w:type="dxa"/>
            <w:noWrap/>
            <w:vAlign w:val="center"/>
          </w:tcPr>
          <w:p>
            <w:pPr>
              <w:pStyle w:val="14"/>
              <w:topLinePunct/>
              <w:contextualSpacing/>
              <w:rPr>
                <w:rFonts w:ascii="宋体" w:hAnsi="宋体" w:cs="宋体"/>
                <w:color w:val="auto"/>
                <w:kern w:val="2"/>
                <w:sz w:val="21"/>
                <w:szCs w:val="21"/>
                <w:highlight w:val="none"/>
              </w:rPr>
            </w:pPr>
            <w:r>
              <w:rPr>
                <w:rFonts w:hint="eastAsia" w:ascii="宋体" w:hAnsi="宋体" w:cs="宋体"/>
                <w:color w:val="auto"/>
                <w:kern w:val="2"/>
                <w:sz w:val="21"/>
                <w:szCs w:val="21"/>
                <w:highlight w:val="none"/>
              </w:rPr>
              <w:t>如有提交投标文件光盘或U盘备用，封套上应注明如下信息：</w:t>
            </w:r>
          </w:p>
          <w:p>
            <w:pPr>
              <w:pStyle w:val="14"/>
              <w:topLinePunct/>
              <w:contextualSpacing/>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招标人名称：</w:t>
            </w:r>
          </w:p>
          <w:p>
            <w:pPr>
              <w:pStyle w:val="14"/>
              <w:topLinePunct/>
              <w:contextualSpacing/>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招标人地址：</w:t>
            </w:r>
          </w:p>
          <w:p>
            <w:pPr>
              <w:pStyle w:val="14"/>
              <w:topLinePunct/>
              <w:contextualSpacing/>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（项目名称）</w:t>
            </w:r>
            <w:r>
              <w:rPr>
                <w:rFonts w:hint="eastAsia" w:ascii="宋体" w:hAnsi="宋体" w:cs="宋体"/>
                <w:color w:val="auto"/>
                <w:kern w:val="2"/>
                <w:sz w:val="21"/>
                <w:szCs w:val="21"/>
                <w:highlight w:val="none"/>
              </w:rPr>
              <w:t>招标项目投标文件</w:t>
            </w:r>
          </w:p>
          <w:p>
            <w:pPr>
              <w:pStyle w:val="14"/>
              <w:topLinePunct/>
              <w:contextualSpacing/>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招标项目编号：</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在年月日时前不得开启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219"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p>
        </w:tc>
        <w:tc>
          <w:tcPr>
            <w:tcW w:w="1546" w:type="dxa"/>
            <w:noWrap/>
            <w:vAlign w:val="center"/>
          </w:tcPr>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投标截止时间</w:t>
            </w:r>
          </w:p>
        </w:tc>
        <w:tc>
          <w:tcPr>
            <w:tcW w:w="6571" w:type="dxa"/>
            <w:noWrap/>
            <w:vAlign w:val="center"/>
          </w:tcPr>
          <w:p>
            <w:pPr>
              <w:pStyle w:val="36"/>
              <w:spacing w:after="0"/>
              <w:ind w:right="33" w:rightChars="15" w:firstLine="0"/>
              <w:jc w:val="left"/>
              <w:rPr>
                <w:rFonts w:ascii="宋体" w:hAnsi="宋体" w:cs="宋体"/>
                <w:color w:val="auto"/>
                <w:kern w:val="2"/>
                <w:sz w:val="21"/>
                <w:szCs w:val="21"/>
                <w:highlight w:val="none"/>
              </w:rPr>
            </w:pPr>
            <w:r>
              <w:rPr>
                <w:rFonts w:hint="eastAsia" w:ascii="宋体" w:hAnsi="宋体" w:cs="宋体"/>
                <w:color w:val="auto"/>
                <w:sz w:val="21"/>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826"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4.2.2（B） </w:t>
            </w:r>
          </w:p>
        </w:tc>
        <w:tc>
          <w:tcPr>
            <w:tcW w:w="1546" w:type="dxa"/>
            <w:noWrap/>
            <w:vAlign w:val="center"/>
          </w:tcPr>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递交投标文件</w:t>
            </w:r>
          </w:p>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地点</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sz w:val="21"/>
                <w:highlight w:val="none"/>
              </w:rPr>
              <w:t>投标人通过下载招标文件的电子招标投标交易平台递交电子投标文件。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387"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4.2.3 </w:t>
            </w:r>
          </w:p>
        </w:tc>
        <w:tc>
          <w:tcPr>
            <w:tcW w:w="1546" w:type="dxa"/>
            <w:noWrap/>
            <w:vAlign w:val="center"/>
          </w:tcPr>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投标文件是否退还</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■否 </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□是，退还时间：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390"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highlight w:val="none"/>
              </w:rPr>
              <w:t>A</w:t>
            </w:r>
            <w:r>
              <w:rPr>
                <w:rFonts w:hint="eastAsia" w:ascii="宋体" w:hAnsi="宋体" w:eastAsia="宋体" w:cs="宋体"/>
                <w:color w:val="auto"/>
                <w:sz w:val="21"/>
                <w:szCs w:val="21"/>
                <w:highlight w:val="none"/>
              </w:rPr>
              <w:t xml:space="preserve">） </w:t>
            </w:r>
          </w:p>
        </w:tc>
        <w:tc>
          <w:tcPr>
            <w:tcW w:w="1546" w:type="dxa"/>
            <w:noWrap/>
            <w:vAlign w:val="center"/>
          </w:tcPr>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开标时间和地点</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sz w:val="21"/>
                <w:szCs w:val="21"/>
                <w:highlight w:val="none"/>
                <w:u w:val="single"/>
              </w:rPr>
              <w:t>本电子招投标项目在本章</w:t>
            </w:r>
            <w:r>
              <w:rPr>
                <w:rFonts w:ascii="宋体" w:hAnsi="宋体" w:cs="宋体"/>
                <w:color w:val="auto"/>
                <w:sz w:val="21"/>
                <w:szCs w:val="21"/>
                <w:highlight w:val="none"/>
                <w:u w:val="single"/>
              </w:rPr>
              <w:t xml:space="preserve">4.2.1项规定的投标截止时间（开标时间），在广州公共资源交易中心花都交易部第 </w:t>
            </w:r>
            <w:r>
              <w:rPr>
                <w:rFonts w:hint="eastAsia" w:ascii="宋体" w:hAnsi="宋体" w:cs="宋体"/>
                <w:color w:val="auto"/>
                <w:sz w:val="21"/>
                <w:szCs w:val="21"/>
                <w:highlight w:val="none"/>
                <w:u w:val="single"/>
              </w:rPr>
              <w:t>开标室公开开标，并邀请所有投标人的法定代表人（单位负责人）或其委托代理人准时参加。</w:t>
            </w:r>
            <w:r>
              <w:rPr>
                <w:rFonts w:hint="eastAsia" w:ascii="宋体" w:hAnsi="宋体" w:cs="宋体"/>
                <w:b/>
                <w:color w:val="auto"/>
                <w:sz w:val="21"/>
                <w:szCs w:val="21"/>
                <w:highlight w:val="none"/>
                <w:u w:val="single"/>
              </w:rPr>
              <w:t>开标时，投标人代表有权出席开标会，也可以自主决定不参加开标会，不参加开标会议的，视为认可开标结果。若投标人代表对开标过程有异议，须在开标现场提出，凭本人身份证原件提问。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533"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5.2（B）</w:t>
            </w:r>
          </w:p>
          <w:p>
            <w:pPr>
              <w:spacing w:line="240" w:lineRule="auto"/>
              <w:rPr>
                <w:rFonts w:ascii="宋体" w:hAnsi="宋体" w:eastAsia="宋体" w:cs="宋体"/>
                <w:color w:val="auto"/>
                <w:sz w:val="21"/>
                <w:szCs w:val="21"/>
                <w:highlight w:val="none"/>
              </w:rPr>
            </w:pPr>
          </w:p>
        </w:tc>
        <w:tc>
          <w:tcPr>
            <w:tcW w:w="1546" w:type="dxa"/>
            <w:noWrap/>
            <w:vAlign w:val="center"/>
          </w:tcPr>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开标程序</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电子招投标项目开标按下列程序进行：</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5.2.1主持人按下列程序进行开标：</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（1）宣布开标纪律；</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（2）公布在投标截止时间前递交投标文件的投标人名称；</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（3）宣布开标人、唱标人、记录人、监标人等有关人员姓名；</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（4）（B）投标人通过电子招标投标交易平台对已递交的电子投标文件进行解密，公布招标项目名称、投标人名称、投标报价、监测服务期限及其他内容，并记录在案；</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（5）（B）投标人代表、招标人代表、监标人、记录人等有关人员在开标记录上签字确认；若有关人员不签字的，不影响开标程序；</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（6）开标结束。</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5.2.2投标截止时间前未完成投标文件传输的或因投标人之外的原因造成投标文件未解密的或未在投标截止时间后半小时内解密的，视为投标人其撤回投标文件。因投标人原因造成投标文件未解密的，视为撤销其投标文件。</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5.2.3投标人与其他投标人加密打包投标文件电脑机器特征码一致的(以广州公共资源交易中心评标系统的检索信息为准)将被否决。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779"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6.1.1 </w:t>
            </w:r>
          </w:p>
        </w:tc>
        <w:tc>
          <w:tcPr>
            <w:tcW w:w="1546" w:type="dxa"/>
            <w:noWrap/>
            <w:vAlign w:val="center"/>
          </w:tcPr>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评标委员会的组建</w:t>
            </w:r>
          </w:p>
        </w:tc>
        <w:tc>
          <w:tcPr>
            <w:tcW w:w="6571" w:type="dxa"/>
            <w:noWrap/>
            <w:vAlign w:val="center"/>
          </w:tcPr>
          <w:p>
            <w:pPr>
              <w:widowControl w:val="0"/>
              <w:spacing w:after="0" w:line="276" w:lineRule="auto"/>
              <w:ind w:left="1476" w:hanging="1476" w:hangingChars="703"/>
              <w:jc w:val="both"/>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评标委员会由招标人依法组建。</w:t>
            </w:r>
          </w:p>
          <w:p>
            <w:pPr>
              <w:rPr>
                <w:rFonts w:cs="宋体"/>
                <w:color w:val="auto"/>
                <w:sz w:val="21"/>
                <w:szCs w:val="21"/>
                <w:highlight w:val="none"/>
              </w:rPr>
            </w:pPr>
            <w:r>
              <w:rPr>
                <w:rFonts w:hint="eastAsia" w:ascii="宋体" w:hAnsi="宋体" w:eastAsia="宋体" w:cs="宋体"/>
                <w:color w:val="auto"/>
                <w:sz w:val="21"/>
                <w:szCs w:val="21"/>
                <w:highlight w:val="none"/>
                <w:lang w:bidi="ar"/>
              </w:rPr>
              <w:t>评标委员会构成：5人，其中招标人代表1人，专家4人。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390"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6.3.2 </w:t>
            </w:r>
          </w:p>
        </w:tc>
        <w:tc>
          <w:tcPr>
            <w:tcW w:w="1546" w:type="dxa"/>
            <w:noWrap/>
            <w:vAlign w:val="center"/>
          </w:tcPr>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评标委员会推荐中标</w:t>
            </w:r>
          </w:p>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候选人的人数</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 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497"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 </w:t>
            </w:r>
          </w:p>
        </w:tc>
        <w:tc>
          <w:tcPr>
            <w:tcW w:w="1546" w:type="dxa"/>
            <w:noWrap/>
            <w:vAlign w:val="center"/>
          </w:tcPr>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中标候选人公示媒介</w:t>
            </w:r>
          </w:p>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及期限</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公示媒介： 广州公共资源交易中心、广东省招标投标监管网、中国招标投标公共服务平台</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公示期限：3日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390"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 </w:t>
            </w:r>
          </w:p>
        </w:tc>
        <w:tc>
          <w:tcPr>
            <w:tcW w:w="1546" w:type="dxa"/>
            <w:noWrap/>
            <w:vAlign w:val="center"/>
          </w:tcPr>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是否授权评标委员会</w:t>
            </w:r>
          </w:p>
          <w:p>
            <w:pPr>
              <w:pStyle w:val="36"/>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确定中标人</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□是 </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199"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7.6.1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履约保证金</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是否要求中标人提交履约保证金：</w:t>
            </w:r>
          </w:p>
          <w:p>
            <w:pPr>
              <w:pStyle w:val="36"/>
              <w:widowControl/>
              <w:spacing w:after="0" w:line="276" w:lineRule="auto"/>
              <w:ind w:firstLine="0"/>
              <w:jc w:val="left"/>
              <w:rPr>
                <w:rFonts w:ascii="宋体" w:hAnsi="宋体" w:cs="宋体"/>
                <w:color w:val="auto"/>
                <w:szCs w:val="21"/>
                <w:highlight w:val="none"/>
              </w:rPr>
            </w:pPr>
            <w:r>
              <w:rPr>
                <w:rFonts w:hint="eastAsia" w:ascii="宋体" w:hAnsi="宋体" w:cs="宋体"/>
                <w:color w:val="auto"/>
                <w:kern w:val="2"/>
                <w:sz w:val="21"/>
                <w:szCs w:val="21"/>
                <w:highlight w:val="none"/>
              </w:rPr>
              <w:t>■要求，</w:t>
            </w:r>
            <w:r>
              <w:rPr>
                <w:rFonts w:hint="eastAsia" w:ascii="宋体" w:hAnsi="宋体" w:cs="宋体"/>
                <w:color w:val="auto"/>
                <w:kern w:val="2"/>
                <w:sz w:val="21"/>
                <w:szCs w:val="21"/>
                <w:highlight w:val="none"/>
                <w:lang w:bidi="ar"/>
              </w:rPr>
              <w:t>履约担保的形式：以合同约定为准。</w:t>
            </w:r>
          </w:p>
          <w:p>
            <w:pPr>
              <w:pStyle w:val="36"/>
              <w:widowControl/>
              <w:spacing w:after="0"/>
              <w:jc w:val="left"/>
              <w:rPr>
                <w:color w:val="auto"/>
                <w:highlight w:val="none"/>
              </w:rPr>
            </w:pPr>
            <w:r>
              <w:rPr>
                <w:rFonts w:hint="eastAsia" w:ascii="宋体" w:hAnsi="宋体" w:cs="宋体"/>
                <w:color w:val="auto"/>
                <w:kern w:val="2"/>
                <w:sz w:val="21"/>
                <w:szCs w:val="21"/>
                <w:highlight w:val="none"/>
                <w:lang w:bidi="ar"/>
              </w:rPr>
              <w:t>履约担保的金额：履约担保金额为中标金额的10%。</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387"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是否采用电子招标投标</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□否 </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■是，具体要求：</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1、具体操作详见附件《房建市政全流程电子化项目操作专章》。</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2、现场提交投标文件光盘或U盘备用</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人将按《房建市政全流程电子化项目操作专章》的操作方法制作的非加密的电子投标文件（PDF格式）刻入光盘或U盘（1份），在开标现场（投标截止时间前）提交备用。刻录好的投标文件光盘或U盘密封在密封袋中，并在封口处加盖投标人单位公章。密封袋上应写明的内容见投标人须知前附表要求4.1.2。现场递交的投标文件（光盘或U盘）不得加密。光盘或U盘（备用投标文件）无法读取或导入的，则视为未提交投标文件光盘或U盘或U盘(备用)。如果投标人没有按规定通过交易平台网上递交电子投标文件的，不再读取提交的光盘或U盘。投标人也可不提交投标文件光盘或U盘(备用)。</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3、补救方案</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（1）投标文件解密失败的补救方案：</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（2）评标时突发情况的补救方案</w:t>
            </w:r>
          </w:p>
          <w:p>
            <w:pPr>
              <w:pStyle w:val="36"/>
              <w:spacing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若遇不可抗力发生（指网络瘫痪、服务器损坏、交易系统故障短期无法恢复等因素），由评标委员会开启现场递交的全部投标文件光盘或U盘，并按光盘或U盘内容进行评审。</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265"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 </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需要补充的其他内容</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348" w:hRule="atLeast"/>
          <w:jc w:val="center"/>
        </w:trPr>
        <w:tc>
          <w:tcPr>
            <w:tcW w:w="1057" w:type="dxa"/>
            <w:noWrap/>
            <w:vAlign w:val="center"/>
          </w:tcPr>
          <w:p>
            <w:pPr>
              <w:spacing w:line="240" w:lineRule="auto"/>
              <w:rPr>
                <w:rFonts w:ascii="宋体" w:hAnsi="宋体" w:eastAsia="宋体" w:cs="宋体"/>
                <w:color w:val="auto"/>
                <w:sz w:val="21"/>
                <w:szCs w:val="21"/>
                <w:highlight w:val="none"/>
              </w:rPr>
            </w:pPr>
            <w:r>
              <w:rPr>
                <w:rFonts w:hint="eastAsia" w:ascii="宋体" w:hAnsi="宋体" w:eastAsia="宋体" w:cs="宋体"/>
                <w:color w:val="auto"/>
                <w:highlight w:val="none"/>
              </w:rPr>
              <w:t>10.1</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潜在投标人或利害关系人对本招标公告及招标文件内容异议的，向招标人书面提出。</w:t>
            </w:r>
          </w:p>
        </w:tc>
        <w:tc>
          <w:tcPr>
            <w:tcW w:w="6571" w:type="dxa"/>
            <w:noWrap/>
            <w:vAlign w:val="center"/>
          </w:tcPr>
          <w:p>
            <w:pPr>
              <w:pStyle w:val="36"/>
              <w:spacing w:after="0"/>
              <w:ind w:firstLine="0"/>
              <w:jc w:val="left"/>
              <w:rPr>
                <w:rFonts w:ascii="宋体" w:hAnsi="宋体" w:cs="宋体"/>
                <w:color w:val="auto"/>
                <w:sz w:val="21"/>
                <w:szCs w:val="21"/>
                <w:highlight w:val="none"/>
                <w:u w:val="single"/>
              </w:rPr>
            </w:pPr>
            <w:r>
              <w:rPr>
                <w:rFonts w:hint="eastAsia" w:ascii="宋体" w:hAnsi="宋体" w:cs="宋体"/>
                <w:color w:val="auto"/>
                <w:kern w:val="2"/>
                <w:sz w:val="21"/>
                <w:szCs w:val="21"/>
                <w:highlight w:val="none"/>
              </w:rPr>
              <w:t>异议受理部门：</w:t>
            </w:r>
            <w:r>
              <w:rPr>
                <w:rFonts w:hint="eastAsia" w:ascii="宋体" w:hAnsi="宋体" w:cs="宋体"/>
                <w:color w:val="auto"/>
                <w:sz w:val="21"/>
                <w:szCs w:val="21"/>
                <w:highlight w:val="none"/>
                <w:u w:val="single"/>
              </w:rPr>
              <w:t>广州市花都区公共建设项目管理中心</w:t>
            </w:r>
          </w:p>
          <w:p>
            <w:pPr>
              <w:pStyle w:val="36"/>
              <w:spacing w:after="0"/>
              <w:ind w:firstLine="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监管电话：020-86812116</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sz w:val="21"/>
                <w:szCs w:val="21"/>
                <w:highlight w:val="none"/>
                <w:u w:val="single"/>
              </w:rPr>
              <w:t>地    址：广州市花都区公益路41号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643" w:hRule="atLeast"/>
          <w:jc w:val="center"/>
        </w:trPr>
        <w:tc>
          <w:tcPr>
            <w:tcW w:w="1057" w:type="dxa"/>
            <w:noWrap/>
            <w:vAlign w:val="center"/>
          </w:tcPr>
          <w:p>
            <w:pPr>
              <w:spacing w:line="240" w:lineRule="auto"/>
              <w:rPr>
                <w:rFonts w:ascii="宋体" w:hAnsi="宋体" w:eastAsia="宋体" w:cs="宋体"/>
                <w:color w:val="auto"/>
                <w:highlight w:val="none"/>
              </w:rPr>
            </w:pPr>
            <w:r>
              <w:rPr>
                <w:rFonts w:hint="eastAsia" w:ascii="宋体" w:hAnsi="宋体" w:eastAsia="宋体" w:cs="宋体"/>
                <w:color w:val="auto"/>
                <w:highlight w:val="none"/>
              </w:rPr>
              <w:t>10.2</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招标监督机构：</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招标监督机构：</w:t>
            </w:r>
            <w:r>
              <w:rPr>
                <w:rFonts w:hint="eastAsia" w:ascii="宋体" w:hAnsi="宋体" w:cs="宋体"/>
                <w:color w:val="auto"/>
                <w:sz w:val="21"/>
                <w:szCs w:val="21"/>
                <w:highlight w:val="none"/>
                <w:u w:val="single"/>
              </w:rPr>
              <w:t>广州市花都区公共建设项目管理中心</w:t>
            </w:r>
          </w:p>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监督电话：</w:t>
            </w:r>
            <w:r>
              <w:rPr>
                <w:rFonts w:hint="eastAsia" w:ascii="宋体" w:hAnsi="宋体" w:cs="宋体"/>
                <w:color w:val="auto"/>
                <w:sz w:val="21"/>
                <w:szCs w:val="21"/>
                <w:highlight w:val="none"/>
                <w:u w:val="single"/>
              </w:rPr>
              <w:t>020-86812116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399" w:hRule="atLeast"/>
          <w:jc w:val="center"/>
        </w:trPr>
        <w:tc>
          <w:tcPr>
            <w:tcW w:w="1057" w:type="dxa"/>
            <w:noWrap/>
            <w:vAlign w:val="center"/>
          </w:tcPr>
          <w:p>
            <w:pPr>
              <w:spacing w:line="240" w:lineRule="auto"/>
              <w:rPr>
                <w:rFonts w:ascii="宋体" w:hAnsi="宋体" w:eastAsia="宋体" w:cs="宋体"/>
                <w:color w:val="auto"/>
                <w:highlight w:val="none"/>
              </w:rPr>
            </w:pPr>
            <w:r>
              <w:rPr>
                <w:rFonts w:hint="eastAsia" w:ascii="宋体" w:hAnsi="宋体" w:eastAsia="宋体" w:cs="宋体"/>
                <w:color w:val="auto"/>
                <w:highlight w:val="none"/>
              </w:rPr>
              <w:t>10.3</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其他费用</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交易服务费：中标人代缴公共资源交易服务费，其费用包含在中标人投标报价中，交易中心向中标人开具增值税发票。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623" w:hRule="atLeast"/>
          <w:jc w:val="center"/>
        </w:trPr>
        <w:tc>
          <w:tcPr>
            <w:tcW w:w="1057" w:type="dxa"/>
            <w:noWrap/>
            <w:vAlign w:val="center"/>
          </w:tcPr>
          <w:p>
            <w:pPr>
              <w:spacing w:line="240" w:lineRule="auto"/>
              <w:rPr>
                <w:rFonts w:ascii="宋体" w:hAnsi="宋体" w:eastAsia="宋体" w:cs="宋体"/>
                <w:color w:val="auto"/>
                <w:highlight w:val="none"/>
              </w:rPr>
            </w:pPr>
            <w:r>
              <w:rPr>
                <w:rFonts w:hint="eastAsia" w:ascii="宋体" w:hAnsi="宋体" w:eastAsia="宋体" w:cs="宋体"/>
                <w:color w:val="auto"/>
                <w:highlight w:val="none"/>
              </w:rPr>
              <w:t>10.4</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送达</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《投诉处理决定书》和《行政处理决定书》在广州市住房和城乡建设委员会网站上公布的，视为送达其他与决定书有关的当事人。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820" w:hRule="atLeast"/>
          <w:jc w:val="center"/>
        </w:trPr>
        <w:tc>
          <w:tcPr>
            <w:tcW w:w="1057" w:type="dxa"/>
            <w:noWrap/>
            <w:vAlign w:val="center"/>
          </w:tcPr>
          <w:p>
            <w:pPr>
              <w:spacing w:line="240" w:lineRule="auto"/>
              <w:rPr>
                <w:rFonts w:ascii="宋体" w:hAnsi="宋体" w:eastAsia="宋体" w:cs="宋体"/>
                <w:color w:val="auto"/>
                <w:highlight w:val="none"/>
              </w:rPr>
            </w:pPr>
            <w:r>
              <w:rPr>
                <w:rFonts w:hint="eastAsia" w:ascii="宋体" w:hAnsi="宋体" w:eastAsia="宋体" w:cs="宋体"/>
                <w:color w:val="auto"/>
                <w:highlight w:val="none"/>
              </w:rPr>
              <w:t>10.5</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招标失败的情形</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本项目采用资格后审方式，经评定的通过资格审查有效投标人不足3名或通过符合性审查的有效投标人不足3名时为招标失败。招标人分析招标失败原因，修正招标方案，报有关管理部门核准后，重新组织招标。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790" w:hRule="atLeast"/>
          <w:jc w:val="center"/>
        </w:trPr>
        <w:tc>
          <w:tcPr>
            <w:tcW w:w="1057" w:type="dxa"/>
            <w:noWrap/>
            <w:vAlign w:val="center"/>
          </w:tcPr>
          <w:p>
            <w:pPr>
              <w:spacing w:line="240" w:lineRule="auto"/>
              <w:rPr>
                <w:rFonts w:ascii="宋体" w:hAnsi="宋体" w:eastAsia="宋体" w:cs="宋体"/>
                <w:color w:val="auto"/>
                <w:highlight w:val="none"/>
              </w:rPr>
            </w:pPr>
            <w:r>
              <w:rPr>
                <w:rFonts w:hint="eastAsia" w:ascii="宋体" w:hAnsi="宋体" w:eastAsia="宋体" w:cs="宋体"/>
                <w:color w:val="auto"/>
                <w:highlight w:val="none"/>
              </w:rPr>
              <w:t>10.6</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拟投入的试验监测设备最低配置</w:t>
            </w:r>
          </w:p>
        </w:tc>
        <w:tc>
          <w:tcPr>
            <w:tcW w:w="6571" w:type="dxa"/>
            <w:noWrap/>
            <w:vAlign w:val="center"/>
          </w:tcPr>
          <w:p>
            <w:pPr>
              <w:pStyle w:val="36"/>
              <w:spacing w:after="0"/>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见表5</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拟投入本项目的主要监测仪器设备一览表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9" w:type="dxa"/>
            <w:left w:w="0" w:type="dxa"/>
            <w:bottom w:w="37" w:type="dxa"/>
            <w:right w:w="0" w:type="dxa"/>
          </w:tblCellMar>
        </w:tblPrEx>
        <w:trPr>
          <w:trHeight w:val="954" w:hRule="atLeast"/>
          <w:jc w:val="center"/>
        </w:trPr>
        <w:tc>
          <w:tcPr>
            <w:tcW w:w="1057" w:type="dxa"/>
            <w:noWrap/>
            <w:vAlign w:val="center"/>
          </w:tcPr>
          <w:p>
            <w:pPr>
              <w:spacing w:line="240" w:lineRule="auto"/>
              <w:rPr>
                <w:rFonts w:ascii="宋体" w:hAnsi="宋体" w:eastAsia="宋体" w:cs="宋体"/>
                <w:color w:val="auto"/>
                <w:highlight w:val="none"/>
              </w:rPr>
            </w:pPr>
            <w:r>
              <w:rPr>
                <w:rFonts w:hint="eastAsia" w:ascii="宋体" w:hAnsi="宋体" w:eastAsia="宋体" w:cs="宋体"/>
                <w:color w:val="auto"/>
                <w:highlight w:val="none"/>
              </w:rPr>
              <w:t>10.7</w:t>
            </w:r>
          </w:p>
        </w:tc>
        <w:tc>
          <w:tcPr>
            <w:tcW w:w="1546" w:type="dxa"/>
            <w:noWrap/>
            <w:vAlign w:val="center"/>
          </w:tcPr>
          <w:p>
            <w:pPr>
              <w:pStyle w:val="36"/>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w:t>
            </w:r>
          </w:p>
        </w:tc>
        <w:tc>
          <w:tcPr>
            <w:tcW w:w="6571" w:type="dxa"/>
            <w:noWrap/>
            <w:vAlign w:val="center"/>
          </w:tcPr>
          <w:p>
            <w:pPr>
              <w:pStyle w:val="36"/>
              <w:spacing w:after="0"/>
              <w:ind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 承包方式：该项目实行</w:t>
            </w:r>
            <w:r>
              <w:rPr>
                <w:rFonts w:ascii="宋体" w:hAnsi="宋体" w:cs="宋体"/>
                <w:color w:val="auto"/>
                <w:kern w:val="2"/>
                <w:sz w:val="21"/>
                <w:szCs w:val="21"/>
                <w:highlight w:val="none"/>
              </w:rPr>
              <w:t>下浮率报价方式</w:t>
            </w:r>
            <w:r>
              <w:rPr>
                <w:rFonts w:hint="eastAsia" w:ascii="宋体" w:hAnsi="宋体" w:cs="宋体"/>
                <w:color w:val="auto"/>
                <w:kern w:val="2"/>
                <w:sz w:val="21"/>
                <w:szCs w:val="21"/>
                <w:highlight w:val="none"/>
              </w:rPr>
              <w:t>，包工期、包质量、包安全、包文明、包服务、包工作成果、包本服务项目竣工资料整理和存档备案。符合国家和行业现行规定验收标准，确保监测项目的规范性及数量能满足建设行政主管部门的施工质量验收和存档备案要求。合同价款根据招标文件技术服务合同约定的计价方式进行计价和结算。</w:t>
            </w:r>
          </w:p>
          <w:p>
            <w:pPr>
              <w:pStyle w:val="36"/>
              <w:spacing w:after="0"/>
              <w:ind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2.在产生中标候选人后，中标候选人后须同意并授权招标人将我司投标文件商务部分的人员、业绩、奖项等资料进行公示，并去掉或遮盖报价清单、方案等涉及商业秘密的内容。</w:t>
            </w:r>
          </w:p>
          <w:p>
            <w:pPr>
              <w:pStyle w:val="36"/>
              <w:spacing w:after="0"/>
              <w:ind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3.确定中标人后，中标人须提交与投标资料内容一致的纸质投标文件（一正七副）给招标人。</w:t>
            </w:r>
          </w:p>
          <w:p>
            <w:pPr>
              <w:pStyle w:val="36"/>
              <w:spacing w:after="0"/>
              <w:ind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4. 中标人须向招标代理机构缴纳招标代理服务费：以中标金额作为计费基数，按国家计委计价格[2002]1980号支付。在领取《中标通知书》前应向招标代理机构缴纳招标代理服务费。</w:t>
            </w:r>
          </w:p>
        </w:tc>
      </w:tr>
    </w:tbl>
    <w:p>
      <w:pPr>
        <w:pStyle w:val="4"/>
        <w:spacing w:after="500" w:line="262" w:lineRule="auto"/>
        <w:ind w:left="0" w:right="0" w:firstLine="0"/>
        <w:rPr>
          <w:rFonts w:ascii="宋体" w:hAnsi="宋体" w:eastAsia="宋体" w:cs="宋体"/>
          <w:b/>
          <w:color w:val="auto"/>
          <w:sz w:val="32"/>
          <w:highlight w:val="none"/>
        </w:rPr>
        <w:sectPr>
          <w:footerReference r:id="rId4" w:type="default"/>
          <w:pgSz w:w="11907" w:h="16840"/>
          <w:pgMar w:top="1446" w:right="1134" w:bottom="1469" w:left="1134" w:header="720" w:footer="720" w:gutter="0"/>
          <w:cols w:space="720" w:num="1"/>
        </w:sectPr>
      </w:pPr>
      <w:bookmarkStart w:id="9" w:name="_Toc508788611"/>
      <w:bookmarkStart w:id="10" w:name="_Toc508382094"/>
    </w:p>
    <w:p>
      <w:pPr>
        <w:pStyle w:val="4"/>
        <w:spacing w:after="500" w:line="262" w:lineRule="auto"/>
        <w:ind w:left="-5" w:right="0"/>
        <w:rPr>
          <w:rFonts w:ascii="宋体" w:hAnsi="宋体" w:eastAsia="宋体" w:cs="宋体"/>
          <w:color w:val="auto"/>
          <w:highlight w:val="none"/>
        </w:rPr>
      </w:pPr>
      <w:bookmarkStart w:id="11" w:name="_Toc142406576"/>
      <w:r>
        <w:rPr>
          <w:rFonts w:hint="eastAsia" w:ascii="宋体" w:hAnsi="宋体" w:eastAsia="宋体" w:cs="宋体"/>
          <w:b/>
          <w:color w:val="auto"/>
          <w:sz w:val="32"/>
          <w:highlight w:val="none"/>
        </w:rPr>
        <w:t xml:space="preserve">1. </w:t>
      </w:r>
      <w:r>
        <w:rPr>
          <w:rFonts w:hint="eastAsia" w:ascii="宋体" w:hAnsi="宋体" w:eastAsia="宋体" w:cs="宋体"/>
          <w:color w:val="auto"/>
          <w:sz w:val="32"/>
          <w:highlight w:val="none"/>
        </w:rPr>
        <w:t>总则</w:t>
      </w:r>
      <w:bookmarkEnd w:id="9"/>
      <w:bookmarkEnd w:id="10"/>
      <w:bookmarkEnd w:id="11"/>
    </w:p>
    <w:p>
      <w:pPr>
        <w:pStyle w:val="5"/>
        <w:spacing w:after="283"/>
        <w:ind w:left="132" w:right="0"/>
        <w:rPr>
          <w:rFonts w:ascii="宋体" w:hAnsi="宋体" w:eastAsia="宋体" w:cs="宋体"/>
          <w:color w:val="auto"/>
          <w:highlight w:val="none"/>
        </w:rPr>
      </w:pPr>
      <w:bookmarkStart w:id="12" w:name="_Toc142406577"/>
      <w:bookmarkStart w:id="13" w:name="_Toc508788612"/>
      <w:bookmarkStart w:id="14" w:name="_Toc508382095"/>
      <w:r>
        <w:rPr>
          <w:rFonts w:hint="eastAsia" w:ascii="宋体" w:hAnsi="宋体" w:eastAsia="宋体" w:cs="宋体"/>
          <w:color w:val="auto"/>
          <w:highlight w:val="none"/>
        </w:rPr>
        <w:t>1.1 招标项目概况</w:t>
      </w:r>
      <w:bookmarkEnd w:id="12"/>
      <w:bookmarkEnd w:id="13"/>
      <w:bookmarkEnd w:id="14"/>
    </w:p>
    <w:p>
      <w:pPr>
        <w:spacing w:after="0" w:line="372"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1.1.1 根据《中华人民共和国招标投标法》、《中华人民共和国招标投标法实施条例》等有关法律、法规和规章的规定，本招标项目已具备招标条件，现对监测进行招标。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1.1.2 招标人：见投标人须知前附表。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1.1.3 招标代理机构：见投标人须知前附表。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1.1.4 招标项目名称：见投标人须知前附表。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1.1.5 项目建设地点：见投标人须知前附表。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1.1.6 项目建设规模：见投标人须知前附表。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1.1.7 工程项目施工预计开工日期和建设周期：见投标人须知前附表。 </w:t>
      </w:r>
    </w:p>
    <w:p>
      <w:pPr>
        <w:spacing w:after="342"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1.1.8 建筑安装工程费/工程概算：见投标人须知前附表。 </w:t>
      </w:r>
    </w:p>
    <w:p>
      <w:pPr>
        <w:pStyle w:val="5"/>
        <w:spacing w:after="286"/>
        <w:ind w:left="132" w:right="0"/>
        <w:rPr>
          <w:rFonts w:ascii="宋体" w:hAnsi="宋体" w:eastAsia="宋体" w:cs="宋体"/>
          <w:color w:val="auto"/>
          <w:highlight w:val="none"/>
        </w:rPr>
      </w:pPr>
      <w:bookmarkStart w:id="15" w:name="_Toc142406578"/>
      <w:bookmarkStart w:id="16" w:name="_Toc508788613"/>
      <w:bookmarkStart w:id="17" w:name="_Toc508382096"/>
      <w:r>
        <w:rPr>
          <w:rFonts w:hint="eastAsia" w:ascii="宋体" w:hAnsi="宋体" w:eastAsia="宋体" w:cs="宋体"/>
          <w:color w:val="auto"/>
          <w:highlight w:val="none"/>
        </w:rPr>
        <w:t>1.2 招标项目的资金来源和落实情况</w:t>
      </w:r>
      <w:bookmarkEnd w:id="15"/>
      <w:bookmarkEnd w:id="16"/>
      <w:bookmarkEnd w:id="17"/>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1.2.1 资金来源及比例：见投标人须知前附表。 </w:t>
      </w:r>
    </w:p>
    <w:p>
      <w:pPr>
        <w:spacing w:after="342"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1.2.2 资金落实情况：见投标人须知前附表。 </w:t>
      </w:r>
    </w:p>
    <w:p>
      <w:pPr>
        <w:pStyle w:val="5"/>
        <w:spacing w:after="293"/>
        <w:ind w:left="132" w:right="0"/>
        <w:rPr>
          <w:rFonts w:ascii="宋体" w:hAnsi="宋体" w:eastAsia="宋体" w:cs="宋体"/>
          <w:color w:val="auto"/>
          <w:highlight w:val="none"/>
        </w:rPr>
      </w:pPr>
      <w:bookmarkStart w:id="18" w:name="_Toc508382097"/>
      <w:bookmarkStart w:id="19" w:name="_Toc142406579"/>
      <w:bookmarkStart w:id="20" w:name="_Toc508788614"/>
      <w:r>
        <w:rPr>
          <w:rFonts w:hint="eastAsia" w:ascii="宋体" w:hAnsi="宋体" w:eastAsia="宋体" w:cs="宋体"/>
          <w:color w:val="auto"/>
          <w:highlight w:val="none"/>
        </w:rPr>
        <w:t>1.3 招标范围、监测服务期限和质量标准</w:t>
      </w:r>
      <w:bookmarkEnd w:id="18"/>
      <w:bookmarkEnd w:id="19"/>
      <w:bookmarkEnd w:id="20"/>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1.3.1 招标范围：见投标人须知前附表。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1.3.2 监测服务期限：见投标人须知前附表。 </w:t>
      </w:r>
    </w:p>
    <w:p>
      <w:pPr>
        <w:spacing w:after="341"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1.3.3 质量标准：见投标人须知前附表。 </w:t>
      </w:r>
    </w:p>
    <w:p>
      <w:pPr>
        <w:pStyle w:val="5"/>
        <w:spacing w:after="292"/>
        <w:ind w:left="132" w:right="0"/>
        <w:rPr>
          <w:rFonts w:ascii="宋体" w:hAnsi="宋体" w:eastAsia="宋体" w:cs="宋体"/>
          <w:color w:val="auto"/>
          <w:highlight w:val="none"/>
        </w:rPr>
      </w:pPr>
      <w:bookmarkStart w:id="21" w:name="_Toc508382098"/>
      <w:bookmarkStart w:id="22" w:name="_Toc142406580"/>
      <w:bookmarkStart w:id="23" w:name="_Toc508788615"/>
      <w:r>
        <w:rPr>
          <w:rFonts w:hint="eastAsia" w:ascii="宋体" w:hAnsi="宋体" w:eastAsia="宋体" w:cs="宋体"/>
          <w:color w:val="auto"/>
          <w:highlight w:val="none"/>
        </w:rPr>
        <w:t>1.4 投标人资格要求</w:t>
      </w:r>
      <w:bookmarkEnd w:id="21"/>
      <w:bookmarkEnd w:id="22"/>
      <w:bookmarkEnd w:id="23"/>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1.4.1 投标人应具备承担本招标项目资质条件、能力和信誉： </w:t>
      </w:r>
    </w:p>
    <w:p>
      <w:pPr>
        <w:numPr>
          <w:ilvl w:val="0"/>
          <w:numId w:val="1"/>
        </w:numPr>
        <w:spacing w:after="123" w:line="265" w:lineRule="auto"/>
        <w:ind w:right="103" w:firstLine="314"/>
        <w:rPr>
          <w:rFonts w:ascii="宋体" w:hAnsi="宋体" w:eastAsia="宋体" w:cs="宋体"/>
          <w:color w:val="auto"/>
          <w:highlight w:val="none"/>
        </w:rPr>
      </w:pPr>
      <w:r>
        <w:rPr>
          <w:rFonts w:hint="eastAsia" w:ascii="宋体" w:hAnsi="宋体" w:eastAsia="宋体" w:cs="宋体"/>
          <w:color w:val="auto"/>
          <w:sz w:val="21"/>
          <w:highlight w:val="none"/>
        </w:rPr>
        <w:t xml:space="preserve">资质要求：见投标人须知前附表； </w:t>
      </w:r>
    </w:p>
    <w:p>
      <w:pPr>
        <w:numPr>
          <w:ilvl w:val="0"/>
          <w:numId w:val="1"/>
        </w:numPr>
        <w:spacing w:after="123" w:line="265" w:lineRule="auto"/>
        <w:ind w:right="103" w:firstLine="314"/>
        <w:rPr>
          <w:rFonts w:ascii="宋体" w:hAnsi="宋体" w:eastAsia="宋体" w:cs="宋体"/>
          <w:color w:val="auto"/>
          <w:highlight w:val="none"/>
        </w:rPr>
      </w:pPr>
      <w:r>
        <w:rPr>
          <w:rFonts w:hint="eastAsia" w:ascii="宋体" w:hAnsi="宋体" w:eastAsia="宋体" w:cs="宋体"/>
          <w:color w:val="auto"/>
          <w:sz w:val="21"/>
          <w:highlight w:val="none"/>
        </w:rPr>
        <w:t xml:space="preserve">财务要求：见投标人须知前附表； </w:t>
      </w:r>
    </w:p>
    <w:p>
      <w:pPr>
        <w:numPr>
          <w:ilvl w:val="0"/>
          <w:numId w:val="1"/>
        </w:numPr>
        <w:spacing w:after="123" w:line="265" w:lineRule="auto"/>
        <w:ind w:right="103" w:firstLine="314"/>
        <w:rPr>
          <w:rFonts w:ascii="宋体" w:hAnsi="宋体" w:eastAsia="宋体" w:cs="宋体"/>
          <w:color w:val="auto"/>
          <w:highlight w:val="none"/>
        </w:rPr>
      </w:pPr>
      <w:r>
        <w:rPr>
          <w:rFonts w:hint="eastAsia" w:ascii="宋体" w:hAnsi="宋体" w:eastAsia="宋体" w:cs="宋体"/>
          <w:color w:val="auto"/>
          <w:sz w:val="21"/>
          <w:highlight w:val="none"/>
        </w:rPr>
        <w:t xml:space="preserve">业绩要求：见投标人须知前附表； </w:t>
      </w:r>
    </w:p>
    <w:p>
      <w:pPr>
        <w:numPr>
          <w:ilvl w:val="0"/>
          <w:numId w:val="1"/>
        </w:numPr>
        <w:spacing w:after="123" w:line="265" w:lineRule="auto"/>
        <w:ind w:right="103" w:firstLine="314"/>
        <w:rPr>
          <w:rFonts w:ascii="宋体" w:hAnsi="宋体" w:eastAsia="宋体" w:cs="宋体"/>
          <w:color w:val="auto"/>
          <w:highlight w:val="none"/>
        </w:rPr>
      </w:pPr>
      <w:r>
        <w:rPr>
          <w:rFonts w:hint="eastAsia" w:ascii="宋体" w:hAnsi="宋体" w:eastAsia="宋体" w:cs="宋体"/>
          <w:color w:val="auto"/>
          <w:sz w:val="21"/>
          <w:highlight w:val="none"/>
        </w:rPr>
        <w:t xml:space="preserve">信誉要求：见投标人须知前附表； </w:t>
      </w:r>
    </w:p>
    <w:p>
      <w:pPr>
        <w:numPr>
          <w:ilvl w:val="0"/>
          <w:numId w:val="1"/>
        </w:numPr>
        <w:spacing w:after="123" w:line="369" w:lineRule="auto"/>
        <w:ind w:right="103" w:firstLine="314"/>
        <w:rPr>
          <w:rFonts w:ascii="宋体" w:hAnsi="宋体" w:eastAsia="宋体" w:cs="宋体"/>
          <w:color w:val="auto"/>
          <w:highlight w:val="none"/>
        </w:rPr>
      </w:pPr>
      <w:r>
        <w:rPr>
          <w:rFonts w:hint="eastAsia" w:ascii="宋体" w:hAnsi="宋体" w:eastAsia="宋体" w:cs="宋体"/>
          <w:color w:val="auto"/>
          <w:sz w:val="21"/>
          <w:highlight w:val="none"/>
        </w:rPr>
        <w:t xml:space="preserve">项目负责人的资格要求：见投标人须知前附表； </w:t>
      </w:r>
    </w:p>
    <w:p>
      <w:pPr>
        <w:numPr>
          <w:ilvl w:val="0"/>
          <w:numId w:val="1"/>
        </w:numPr>
        <w:spacing w:after="123" w:line="265" w:lineRule="auto"/>
        <w:ind w:right="103" w:firstLine="314"/>
        <w:rPr>
          <w:rFonts w:ascii="宋体" w:hAnsi="宋体" w:eastAsia="宋体" w:cs="宋体"/>
          <w:color w:val="auto"/>
          <w:highlight w:val="none"/>
        </w:rPr>
      </w:pPr>
      <w:r>
        <w:rPr>
          <w:rFonts w:hint="eastAsia" w:ascii="宋体" w:hAnsi="宋体" w:eastAsia="宋体" w:cs="宋体"/>
          <w:color w:val="auto"/>
          <w:sz w:val="21"/>
          <w:highlight w:val="none"/>
        </w:rPr>
        <w:t xml:space="preserve">其他主要人员要求：见投标人须知前附表。 </w:t>
      </w:r>
    </w:p>
    <w:p>
      <w:pPr>
        <w:numPr>
          <w:ilvl w:val="0"/>
          <w:numId w:val="1"/>
        </w:numPr>
        <w:spacing w:after="123" w:line="265" w:lineRule="auto"/>
        <w:ind w:right="103" w:firstLine="314"/>
        <w:rPr>
          <w:rFonts w:ascii="宋体" w:hAnsi="宋体" w:eastAsia="宋体" w:cs="宋体"/>
          <w:color w:val="auto"/>
          <w:highlight w:val="none"/>
        </w:rPr>
      </w:pPr>
      <w:r>
        <w:rPr>
          <w:rFonts w:hint="eastAsia" w:ascii="宋体" w:hAnsi="宋体" w:eastAsia="宋体" w:cs="宋体"/>
          <w:color w:val="auto"/>
          <w:sz w:val="21"/>
          <w:highlight w:val="none"/>
        </w:rPr>
        <w:t xml:space="preserve">试验监测仪器设备要求：见投标人须知前附表。 </w:t>
      </w:r>
    </w:p>
    <w:p>
      <w:pPr>
        <w:numPr>
          <w:ilvl w:val="0"/>
          <w:numId w:val="1"/>
        </w:numPr>
        <w:spacing w:after="123" w:line="265" w:lineRule="auto"/>
        <w:ind w:right="103" w:firstLine="314"/>
        <w:rPr>
          <w:rFonts w:ascii="宋体" w:hAnsi="宋体" w:eastAsia="宋体" w:cs="宋体"/>
          <w:color w:val="auto"/>
          <w:highlight w:val="none"/>
        </w:rPr>
      </w:pPr>
      <w:r>
        <w:rPr>
          <w:rFonts w:hint="eastAsia" w:ascii="宋体" w:hAnsi="宋体" w:eastAsia="宋体" w:cs="宋体"/>
          <w:color w:val="auto"/>
          <w:sz w:val="21"/>
          <w:highlight w:val="none"/>
        </w:rPr>
        <w:t xml:space="preserve">其他要求：见投标人须知前附表。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需要提交的相关证明材料见本章第 3.5 款的规定。 </w:t>
      </w:r>
    </w:p>
    <w:p>
      <w:pPr>
        <w:spacing w:after="0" w:line="371"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1.4.2 投标人须知前附表规定接受联合体投标的，联合体除应符合本章第 1.4.1 项和投标人须知前附表的要求外，还应遵守以下规定： </w:t>
      </w:r>
    </w:p>
    <w:p>
      <w:pPr>
        <w:numPr>
          <w:ilvl w:val="0"/>
          <w:numId w:val="2"/>
        </w:numPr>
        <w:spacing w:after="0" w:line="370" w:lineRule="auto"/>
        <w:ind w:right="103" w:firstLine="314"/>
        <w:rPr>
          <w:rFonts w:ascii="宋体" w:hAnsi="宋体" w:eastAsia="宋体" w:cs="宋体"/>
          <w:color w:val="auto"/>
          <w:highlight w:val="none"/>
        </w:rPr>
      </w:pPr>
      <w:r>
        <w:rPr>
          <w:rFonts w:hint="eastAsia" w:ascii="宋体" w:hAnsi="宋体" w:eastAsia="宋体" w:cs="宋体"/>
          <w:color w:val="auto"/>
          <w:sz w:val="21"/>
          <w:highlight w:val="none"/>
        </w:rPr>
        <w:t xml:space="preserve">联合体各方应按招标文件提供的格式签订联合体协议书，明确联合体牵头人和各方权利义务，并承诺就中标项目向招标人承担连带责任； </w:t>
      </w:r>
    </w:p>
    <w:p>
      <w:pPr>
        <w:numPr>
          <w:ilvl w:val="0"/>
          <w:numId w:val="2"/>
        </w:numPr>
        <w:spacing w:after="123" w:line="265" w:lineRule="auto"/>
        <w:ind w:right="103" w:firstLine="314"/>
        <w:rPr>
          <w:rFonts w:ascii="宋体" w:hAnsi="宋体" w:eastAsia="宋体" w:cs="宋体"/>
          <w:color w:val="auto"/>
          <w:highlight w:val="none"/>
        </w:rPr>
      </w:pPr>
      <w:r>
        <w:rPr>
          <w:rFonts w:hint="eastAsia" w:ascii="宋体" w:hAnsi="宋体" w:eastAsia="宋体" w:cs="宋体"/>
          <w:color w:val="auto"/>
          <w:sz w:val="21"/>
          <w:highlight w:val="none"/>
        </w:rPr>
        <w:t xml:space="preserve">由同一专业的单位组成的联合体，按照资质等级较低的单位确定资质等级； </w:t>
      </w:r>
    </w:p>
    <w:p>
      <w:pPr>
        <w:numPr>
          <w:ilvl w:val="0"/>
          <w:numId w:val="2"/>
        </w:numPr>
        <w:spacing w:after="0" w:line="369" w:lineRule="auto"/>
        <w:ind w:right="103" w:firstLine="314"/>
        <w:rPr>
          <w:rFonts w:ascii="宋体" w:hAnsi="宋体" w:eastAsia="宋体" w:cs="宋体"/>
          <w:color w:val="auto"/>
          <w:highlight w:val="none"/>
        </w:rPr>
      </w:pPr>
      <w:r>
        <w:rPr>
          <w:rFonts w:hint="eastAsia" w:ascii="宋体" w:hAnsi="宋体" w:eastAsia="宋体" w:cs="宋体"/>
          <w:color w:val="auto"/>
          <w:sz w:val="21"/>
          <w:highlight w:val="none"/>
        </w:rPr>
        <w:t xml:space="preserve">联合体各方不得再以自己名义单独或参加其他联合体在本招标项目中投标，否则各相关投标均无效。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1.4.3 投标人不得存在下列情形之一： </w:t>
      </w:r>
    </w:p>
    <w:p>
      <w:pPr>
        <w:numPr>
          <w:ilvl w:val="0"/>
          <w:numId w:val="3"/>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为招标人不具有独立法人资格的附属机构（单位）； </w:t>
      </w:r>
    </w:p>
    <w:p>
      <w:pPr>
        <w:numPr>
          <w:ilvl w:val="0"/>
          <w:numId w:val="3"/>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与招标人存在利害关系且可能影响招标公正性； </w:t>
      </w:r>
    </w:p>
    <w:p>
      <w:pPr>
        <w:numPr>
          <w:ilvl w:val="0"/>
          <w:numId w:val="3"/>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与本招标项目的其他投标人为同一个单位负责人； </w:t>
      </w:r>
    </w:p>
    <w:p>
      <w:pPr>
        <w:numPr>
          <w:ilvl w:val="0"/>
          <w:numId w:val="3"/>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与本招标项目的其他投标人存在控股、管理关系； </w:t>
      </w:r>
    </w:p>
    <w:p>
      <w:pPr>
        <w:numPr>
          <w:ilvl w:val="0"/>
          <w:numId w:val="3"/>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为本招标项目的代建人；</w:t>
      </w:r>
    </w:p>
    <w:p>
      <w:pPr>
        <w:numPr>
          <w:ilvl w:val="0"/>
          <w:numId w:val="3"/>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为本招标项目的监理人； </w:t>
      </w:r>
    </w:p>
    <w:p>
      <w:pPr>
        <w:numPr>
          <w:ilvl w:val="0"/>
          <w:numId w:val="3"/>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为本招标项目的招标代理机构； </w:t>
      </w:r>
    </w:p>
    <w:p>
      <w:pPr>
        <w:numPr>
          <w:ilvl w:val="0"/>
          <w:numId w:val="3"/>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与本招标项目的代建人或监理人或招标代理机构同为一个法定代表人； </w:t>
      </w:r>
    </w:p>
    <w:p>
      <w:pPr>
        <w:numPr>
          <w:ilvl w:val="0"/>
          <w:numId w:val="3"/>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与本招标项目的代建人或监理人或招标代理机构存在控股或参股关系； </w:t>
      </w:r>
    </w:p>
    <w:p>
      <w:pPr>
        <w:numPr>
          <w:ilvl w:val="0"/>
          <w:numId w:val="3"/>
        </w:numPr>
        <w:spacing w:after="0" w:line="36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与本招标项目的施工承包人以及建筑材料、建筑构配件和设备供应商有隶属关系或者其他利害关系； </w:t>
      </w:r>
    </w:p>
    <w:p>
      <w:pPr>
        <w:numPr>
          <w:ilvl w:val="0"/>
          <w:numId w:val="3"/>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被依法暂停或者取消投标资格； </w:t>
      </w:r>
    </w:p>
    <w:p>
      <w:pPr>
        <w:numPr>
          <w:ilvl w:val="0"/>
          <w:numId w:val="3"/>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被责令停产停业、暂扣或者吊销许可证、暂扣或者吊销执照； </w:t>
      </w:r>
    </w:p>
    <w:p>
      <w:pPr>
        <w:numPr>
          <w:ilvl w:val="0"/>
          <w:numId w:val="3"/>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进入清算程序，或被宣告破产，或其他丧失履约能力的情形； </w:t>
      </w:r>
    </w:p>
    <w:p>
      <w:pPr>
        <w:numPr>
          <w:ilvl w:val="0"/>
          <w:numId w:val="3"/>
        </w:numPr>
        <w:spacing w:after="2" w:line="367"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在最近三年内发生重大监测质量问题； </w:t>
      </w:r>
    </w:p>
    <w:p>
      <w:pPr>
        <w:numPr>
          <w:ilvl w:val="0"/>
          <w:numId w:val="3"/>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被工商行政管理机关在全国企业信用信息公示系统中列入严重违法失信企业名单； </w:t>
      </w:r>
    </w:p>
    <w:p>
      <w:pPr>
        <w:numPr>
          <w:ilvl w:val="0"/>
          <w:numId w:val="3"/>
        </w:numPr>
        <w:spacing w:after="123" w:line="265" w:lineRule="auto"/>
        <w:ind w:right="103" w:firstLine="420"/>
        <w:rPr>
          <w:rFonts w:ascii="宋体" w:hAnsi="宋体" w:eastAsia="宋体" w:cs="宋体"/>
          <w:color w:val="auto"/>
          <w:sz w:val="21"/>
          <w:highlight w:val="none"/>
        </w:rPr>
      </w:pPr>
      <w:r>
        <w:rPr>
          <w:rFonts w:ascii="宋体" w:hAnsi="宋体" w:eastAsia="宋体" w:cs="宋体"/>
          <w:color w:val="auto"/>
          <w:sz w:val="21"/>
          <w:highlight w:val="none"/>
        </w:rPr>
        <w:t>未被纳入失信联合惩戒名单且被限制参加建设工程的投标（具体名单以递交投标文件截止时间“信用广州”https://credit1.gz.gov.cn/sgs/sgsXkNew公布的“失信黑名单”为准，不包含限制参加财政投资工程或政府投资工程的投标）</w:t>
      </w:r>
      <w:r>
        <w:rPr>
          <w:rFonts w:hint="eastAsia" w:ascii="宋体" w:hAnsi="宋体" w:eastAsia="宋体" w:cs="宋体"/>
          <w:color w:val="auto"/>
          <w:sz w:val="21"/>
          <w:highlight w:val="none"/>
        </w:rPr>
        <w:t xml:space="preserve"> </w:t>
      </w:r>
    </w:p>
    <w:p>
      <w:pPr>
        <w:spacing w:after="346" w:line="369" w:lineRule="auto"/>
        <w:ind w:left="827" w:right="103"/>
        <w:rPr>
          <w:rFonts w:ascii="宋体" w:hAnsi="宋体" w:eastAsia="宋体" w:cs="宋体"/>
          <w:color w:val="auto"/>
          <w:highlight w:val="none"/>
        </w:rPr>
      </w:pPr>
      <w:r>
        <w:rPr>
          <w:rFonts w:hint="eastAsia" w:ascii="宋体" w:hAnsi="宋体" w:eastAsia="宋体" w:cs="宋体"/>
          <w:color w:val="auto"/>
          <w:sz w:val="21"/>
          <w:highlight w:val="none"/>
        </w:rPr>
        <w:t xml:space="preserve">（17）在近三年内投标人或其法定代表人、拟委任的项目负责人有行贿犯罪行为的。 </w:t>
      </w:r>
    </w:p>
    <w:p>
      <w:pPr>
        <w:pStyle w:val="5"/>
        <w:tabs>
          <w:tab w:val="left" w:pos="5160"/>
        </w:tabs>
        <w:spacing w:after="282"/>
        <w:ind w:left="132" w:right="0"/>
        <w:rPr>
          <w:rFonts w:ascii="宋体" w:hAnsi="宋体" w:eastAsia="宋体" w:cs="宋体"/>
          <w:color w:val="auto"/>
          <w:highlight w:val="none"/>
        </w:rPr>
      </w:pPr>
      <w:bookmarkStart w:id="24" w:name="_Toc508382099"/>
      <w:bookmarkStart w:id="25" w:name="_Toc508788616"/>
      <w:bookmarkStart w:id="26" w:name="_Toc142406581"/>
      <w:r>
        <w:rPr>
          <w:rFonts w:hint="eastAsia" w:ascii="宋体" w:hAnsi="宋体" w:eastAsia="宋体" w:cs="宋体"/>
          <w:color w:val="auto"/>
          <w:highlight w:val="none"/>
        </w:rPr>
        <w:t>1.5 费用承担</w:t>
      </w:r>
      <w:bookmarkEnd w:id="24"/>
      <w:bookmarkEnd w:id="25"/>
      <w:bookmarkEnd w:id="26"/>
      <w:r>
        <w:rPr>
          <w:rFonts w:hint="eastAsia" w:ascii="宋体" w:hAnsi="宋体" w:eastAsia="宋体" w:cs="宋体"/>
          <w:color w:val="auto"/>
          <w:highlight w:val="none"/>
        </w:rPr>
        <w:tab/>
      </w:r>
    </w:p>
    <w:p>
      <w:pPr>
        <w:spacing w:after="338" w:line="265" w:lineRule="auto"/>
        <w:ind w:left="417" w:right="103" w:hanging="10"/>
        <w:rPr>
          <w:rFonts w:ascii="宋体" w:hAnsi="宋体" w:eastAsia="宋体" w:cs="宋体"/>
          <w:color w:val="auto"/>
          <w:sz w:val="21"/>
          <w:highlight w:val="none"/>
        </w:rPr>
      </w:pPr>
      <w:r>
        <w:rPr>
          <w:rFonts w:hint="eastAsia" w:ascii="宋体" w:hAnsi="宋体" w:eastAsia="宋体" w:cs="宋体"/>
          <w:color w:val="auto"/>
          <w:sz w:val="21"/>
          <w:highlight w:val="none"/>
        </w:rPr>
        <w:t xml:space="preserve">投标人准备和参加投标活动发生的费用自理。 </w:t>
      </w:r>
    </w:p>
    <w:p>
      <w:pPr>
        <w:pStyle w:val="5"/>
        <w:spacing w:after="286" w:line="259" w:lineRule="auto"/>
        <w:ind w:left="132" w:right="0"/>
        <w:rPr>
          <w:rFonts w:ascii="宋体" w:hAnsi="宋体" w:eastAsia="宋体" w:cs="宋体"/>
          <w:color w:val="auto"/>
          <w:highlight w:val="none"/>
        </w:rPr>
      </w:pPr>
      <w:bookmarkStart w:id="27" w:name="_Toc508788617"/>
      <w:bookmarkStart w:id="28" w:name="_Toc142406582"/>
      <w:bookmarkStart w:id="29" w:name="_Toc508382100"/>
      <w:r>
        <w:rPr>
          <w:rFonts w:hint="eastAsia" w:ascii="宋体" w:hAnsi="宋体" w:eastAsia="宋体" w:cs="宋体"/>
          <w:color w:val="auto"/>
          <w:highlight w:val="none"/>
        </w:rPr>
        <w:t>1.6 保密</w:t>
      </w:r>
      <w:bookmarkEnd w:id="27"/>
      <w:bookmarkEnd w:id="28"/>
      <w:bookmarkEnd w:id="29"/>
    </w:p>
    <w:p>
      <w:pPr>
        <w:spacing w:after="235" w:line="356"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参与招标投标活动的各方应对招标文件和投标文件中的商业和技术等秘密保密，否则应承担相应的法律责任。 </w:t>
      </w:r>
    </w:p>
    <w:p>
      <w:pPr>
        <w:pStyle w:val="5"/>
        <w:spacing w:after="282"/>
        <w:ind w:left="132" w:right="0"/>
        <w:rPr>
          <w:rFonts w:ascii="宋体" w:hAnsi="宋体" w:eastAsia="宋体" w:cs="宋体"/>
          <w:color w:val="auto"/>
          <w:highlight w:val="none"/>
        </w:rPr>
      </w:pPr>
      <w:bookmarkStart w:id="30" w:name="_Toc508382101"/>
      <w:bookmarkStart w:id="31" w:name="_Toc508788618"/>
      <w:bookmarkStart w:id="32" w:name="_Toc142406583"/>
      <w:r>
        <w:rPr>
          <w:rFonts w:hint="eastAsia" w:ascii="宋体" w:hAnsi="宋体" w:eastAsia="宋体" w:cs="宋体"/>
          <w:color w:val="auto"/>
          <w:highlight w:val="none"/>
        </w:rPr>
        <w:t>1.7 语言文字</w:t>
      </w:r>
      <w:bookmarkEnd w:id="30"/>
      <w:bookmarkEnd w:id="31"/>
      <w:bookmarkEnd w:id="32"/>
    </w:p>
    <w:p>
      <w:pPr>
        <w:spacing w:after="339"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招标投标文件使用的语言文字为中文。专用术语使用外文的，应附有中文注释。 </w:t>
      </w:r>
    </w:p>
    <w:p>
      <w:pPr>
        <w:pStyle w:val="5"/>
        <w:spacing w:after="290"/>
        <w:ind w:left="132" w:right="0"/>
        <w:rPr>
          <w:rFonts w:ascii="宋体" w:hAnsi="宋体" w:eastAsia="宋体" w:cs="宋体"/>
          <w:color w:val="auto"/>
          <w:highlight w:val="none"/>
        </w:rPr>
      </w:pPr>
      <w:bookmarkStart w:id="33" w:name="_Toc142406584"/>
      <w:bookmarkStart w:id="34" w:name="_Toc508382102"/>
      <w:bookmarkStart w:id="35" w:name="_Toc508788619"/>
      <w:r>
        <w:rPr>
          <w:rFonts w:hint="eastAsia" w:ascii="宋体" w:hAnsi="宋体" w:eastAsia="宋体" w:cs="宋体"/>
          <w:color w:val="auto"/>
          <w:highlight w:val="none"/>
        </w:rPr>
        <w:t>1.8 计量单位</w:t>
      </w:r>
      <w:bookmarkEnd w:id="33"/>
      <w:bookmarkEnd w:id="34"/>
      <w:bookmarkEnd w:id="35"/>
    </w:p>
    <w:p>
      <w:pPr>
        <w:spacing w:after="342"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所有计量均采用中华人民共和国法定计量单位。 </w:t>
      </w:r>
    </w:p>
    <w:p>
      <w:pPr>
        <w:pStyle w:val="5"/>
        <w:spacing w:after="282"/>
        <w:ind w:left="132" w:right="0"/>
        <w:rPr>
          <w:rFonts w:ascii="宋体" w:hAnsi="宋体" w:eastAsia="宋体" w:cs="宋体"/>
          <w:color w:val="auto"/>
          <w:highlight w:val="none"/>
        </w:rPr>
      </w:pPr>
      <w:bookmarkStart w:id="36" w:name="_Toc142406585"/>
      <w:bookmarkStart w:id="37" w:name="_Toc508382103"/>
      <w:bookmarkStart w:id="38" w:name="_Toc508788620"/>
      <w:r>
        <w:rPr>
          <w:rFonts w:hint="eastAsia" w:ascii="宋体" w:hAnsi="宋体" w:eastAsia="宋体" w:cs="宋体"/>
          <w:color w:val="auto"/>
          <w:highlight w:val="none"/>
        </w:rPr>
        <w:t>1.9 踏勘现场</w:t>
      </w:r>
      <w:bookmarkEnd w:id="36"/>
      <w:bookmarkEnd w:id="37"/>
      <w:bookmarkEnd w:id="38"/>
    </w:p>
    <w:p>
      <w:pPr>
        <w:spacing w:after="123" w:line="265" w:lineRule="auto"/>
        <w:ind w:right="103" w:firstLine="407"/>
        <w:rPr>
          <w:rFonts w:ascii="宋体" w:hAnsi="宋体" w:eastAsia="宋体" w:cs="宋体"/>
          <w:color w:val="auto"/>
          <w:highlight w:val="none"/>
        </w:rPr>
      </w:pPr>
      <w:r>
        <w:rPr>
          <w:rFonts w:hint="eastAsia" w:ascii="宋体" w:hAnsi="宋体" w:eastAsia="宋体" w:cs="宋体"/>
          <w:color w:val="auto"/>
          <w:sz w:val="21"/>
          <w:highlight w:val="none"/>
        </w:rPr>
        <w:t xml:space="preserve">1.9.1 投标人须知前附表规定组织踏勘现场的，招标人按投标人须知前附表规定的时间、地点组织投标人踏勘项目现场。部分投标人未按时参加踏勘现场的，不影响踏勘现场的正常进行。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1.9.2 投标人踏勘现场发生的费用自理。 </w:t>
      </w:r>
    </w:p>
    <w:p>
      <w:pPr>
        <w:spacing w:after="123" w:line="265" w:lineRule="auto"/>
        <w:ind w:right="103" w:firstLine="407"/>
        <w:rPr>
          <w:rFonts w:ascii="宋体" w:hAnsi="宋体" w:eastAsia="宋体" w:cs="宋体"/>
          <w:color w:val="auto"/>
          <w:highlight w:val="none"/>
        </w:rPr>
      </w:pPr>
      <w:r>
        <w:rPr>
          <w:rFonts w:hint="eastAsia" w:ascii="宋体" w:hAnsi="宋体" w:eastAsia="宋体" w:cs="宋体"/>
          <w:color w:val="auto"/>
          <w:sz w:val="21"/>
          <w:highlight w:val="none"/>
        </w:rPr>
        <w:t xml:space="preserve">1.9.3 除招标人的原因外，投标人自行负责在踏勘现场中所发生的人员伤亡和财产损失。 </w:t>
      </w:r>
    </w:p>
    <w:p>
      <w:pPr>
        <w:spacing w:after="223" w:line="367"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1.9.4 招标人在踏勘现场中介绍的工程场地和相关的周边环境情况，供投标人在编制投标文件时参考，招标人不对投标人据此作出的判断和决策负责。 </w:t>
      </w:r>
    </w:p>
    <w:p>
      <w:pPr>
        <w:pStyle w:val="5"/>
        <w:spacing w:after="290"/>
        <w:ind w:left="132" w:right="0"/>
        <w:rPr>
          <w:rFonts w:ascii="宋体" w:hAnsi="宋体" w:eastAsia="宋体" w:cs="宋体"/>
          <w:color w:val="auto"/>
          <w:highlight w:val="none"/>
        </w:rPr>
      </w:pPr>
      <w:bookmarkStart w:id="39" w:name="_Toc508788621"/>
      <w:bookmarkStart w:id="40" w:name="_Toc508382104"/>
      <w:bookmarkStart w:id="41" w:name="_Toc142406586"/>
      <w:r>
        <w:rPr>
          <w:rFonts w:hint="eastAsia" w:ascii="宋体" w:hAnsi="宋体" w:eastAsia="宋体" w:cs="宋体"/>
          <w:color w:val="auto"/>
          <w:highlight w:val="none"/>
        </w:rPr>
        <w:t>1.10 投标预备会</w:t>
      </w:r>
      <w:bookmarkEnd w:id="39"/>
      <w:bookmarkEnd w:id="40"/>
      <w:bookmarkEnd w:id="41"/>
    </w:p>
    <w:p>
      <w:pPr>
        <w:spacing w:after="3" w:line="367"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1.10.1 投标人须知前附表规定召开投标预备会的，招标人按投标人须知前附表规定的时间和地点召开投标预备会，澄清投标人提出的问题。 </w:t>
      </w:r>
    </w:p>
    <w:p>
      <w:pPr>
        <w:spacing w:after="0" w:line="36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1.10.2 投标人应按投标人须知前附表规定的时间和形式将提出的问题送达招标人，以便招标人在会议期间澄清。 </w:t>
      </w:r>
    </w:p>
    <w:p>
      <w:pPr>
        <w:spacing w:after="123" w:line="36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1.10.3 投标预备会后，招标人将对投标人所提问题的澄清，以投标人须知前附表规定的形式通知所有购买招标文件的投标人。该澄清内容为招标文件的组成部分。 </w:t>
      </w:r>
    </w:p>
    <w:p>
      <w:pPr>
        <w:pStyle w:val="5"/>
        <w:spacing w:after="286" w:line="259" w:lineRule="auto"/>
        <w:ind w:left="132" w:right="0"/>
        <w:rPr>
          <w:rFonts w:ascii="宋体" w:hAnsi="宋体" w:eastAsia="宋体" w:cs="宋体"/>
          <w:color w:val="auto"/>
          <w:highlight w:val="none"/>
        </w:rPr>
      </w:pPr>
      <w:bookmarkStart w:id="42" w:name="_Toc142406587"/>
      <w:bookmarkStart w:id="43" w:name="_Toc508788622"/>
      <w:bookmarkStart w:id="44" w:name="_Toc508382105"/>
      <w:r>
        <w:rPr>
          <w:rFonts w:hint="eastAsia" w:ascii="宋体" w:hAnsi="宋体" w:eastAsia="宋体" w:cs="宋体"/>
          <w:color w:val="auto"/>
          <w:highlight w:val="none"/>
        </w:rPr>
        <w:t>1.11 分包</w:t>
      </w:r>
      <w:bookmarkEnd w:id="42"/>
      <w:bookmarkEnd w:id="43"/>
      <w:bookmarkEnd w:id="44"/>
    </w:p>
    <w:p>
      <w:pPr>
        <w:spacing w:after="123"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投标人应具备自行完成约定项目的监测工作的能力，除另有约定外原则上不得转包和分包。如投标人监测资质不能涵盖的项目，报招标人书面批准同意后，由投标方委托具有相应资质的第三方实施，投标人应对该第三方出具的结果负责，并取得相关行业管理部门的确认。</w:t>
      </w:r>
    </w:p>
    <w:p>
      <w:pPr>
        <w:pStyle w:val="5"/>
        <w:spacing w:after="290"/>
        <w:ind w:left="132" w:right="0"/>
        <w:rPr>
          <w:rFonts w:ascii="宋体" w:hAnsi="宋体" w:eastAsia="宋体" w:cs="宋体"/>
          <w:color w:val="auto"/>
          <w:highlight w:val="none"/>
        </w:rPr>
      </w:pPr>
      <w:bookmarkStart w:id="45" w:name="_Toc508382106"/>
      <w:bookmarkStart w:id="46" w:name="_Toc508788623"/>
      <w:bookmarkStart w:id="47" w:name="_Toc142406588"/>
      <w:r>
        <w:rPr>
          <w:rFonts w:hint="eastAsia" w:ascii="宋体" w:hAnsi="宋体" w:eastAsia="宋体" w:cs="宋体"/>
          <w:color w:val="auto"/>
          <w:highlight w:val="none"/>
        </w:rPr>
        <w:t>1.12 响应和偏差</w:t>
      </w:r>
      <w:bookmarkEnd w:id="45"/>
      <w:bookmarkEnd w:id="46"/>
      <w:bookmarkEnd w:id="47"/>
    </w:p>
    <w:p>
      <w:pPr>
        <w:spacing w:after="0" w:line="36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1.12.1投标文件应当对招标文件的实质性要求和条件作出满足性或更有利于招标人的响应，否则，投标人的投标将被否决。实质性要求和条件见投标人须知前附表。 </w:t>
      </w:r>
    </w:p>
    <w:p>
      <w:pPr>
        <w:spacing w:after="123" w:line="265" w:lineRule="auto"/>
        <w:ind w:right="103" w:firstLine="407"/>
        <w:rPr>
          <w:rFonts w:ascii="宋体" w:hAnsi="宋体" w:eastAsia="宋体" w:cs="宋体"/>
          <w:color w:val="auto"/>
          <w:highlight w:val="none"/>
        </w:rPr>
      </w:pPr>
      <w:r>
        <w:rPr>
          <w:rFonts w:hint="eastAsia" w:ascii="宋体" w:hAnsi="宋体" w:eastAsia="宋体" w:cs="宋体"/>
          <w:color w:val="auto"/>
          <w:sz w:val="21"/>
          <w:highlight w:val="none"/>
        </w:rPr>
        <w:t xml:space="preserve">1.12.2 投标人应根据招标文件的要求提供投标监测方案等内容以对招标文件作出响应。 </w:t>
      </w:r>
    </w:p>
    <w:p>
      <w:pPr>
        <w:spacing w:after="258" w:line="374" w:lineRule="auto"/>
        <w:ind w:right="103" w:firstLine="434"/>
        <w:rPr>
          <w:rFonts w:ascii="宋体" w:hAnsi="宋体" w:eastAsia="宋体" w:cs="宋体"/>
          <w:color w:val="auto"/>
          <w:highlight w:val="none"/>
        </w:rPr>
      </w:pPr>
      <w:r>
        <w:rPr>
          <w:rFonts w:hint="eastAsia" w:ascii="宋体" w:hAnsi="宋体" w:eastAsia="宋体" w:cs="宋体"/>
          <w:color w:val="auto"/>
          <w:sz w:val="21"/>
          <w:highlight w:val="none"/>
        </w:rPr>
        <w:t xml:space="preserve">1.12.3 投标人须知前附表允许投标文件偏离招标文件某些要求的，偏差应当符合招标文件规定的偏差范围和幅度。 </w:t>
      </w:r>
    </w:p>
    <w:p>
      <w:pPr>
        <w:pStyle w:val="4"/>
        <w:spacing w:after="503" w:line="264" w:lineRule="auto"/>
        <w:ind w:left="-5" w:right="0"/>
        <w:rPr>
          <w:rFonts w:ascii="宋体" w:hAnsi="宋体" w:eastAsia="宋体" w:cs="宋体"/>
          <w:color w:val="auto"/>
          <w:highlight w:val="none"/>
        </w:rPr>
      </w:pPr>
      <w:bookmarkStart w:id="48" w:name="_Toc142406589"/>
      <w:bookmarkStart w:id="49" w:name="_Toc508788624"/>
      <w:bookmarkStart w:id="50" w:name="_Toc508382107"/>
      <w:r>
        <w:rPr>
          <w:rFonts w:hint="eastAsia" w:ascii="宋体" w:hAnsi="宋体" w:eastAsia="宋体" w:cs="宋体"/>
          <w:b/>
          <w:color w:val="auto"/>
          <w:sz w:val="32"/>
          <w:highlight w:val="none"/>
        </w:rPr>
        <w:t xml:space="preserve">2. </w:t>
      </w:r>
      <w:r>
        <w:rPr>
          <w:rFonts w:hint="eastAsia" w:ascii="宋体" w:hAnsi="宋体" w:eastAsia="宋体" w:cs="宋体"/>
          <w:color w:val="auto"/>
          <w:sz w:val="32"/>
          <w:highlight w:val="none"/>
        </w:rPr>
        <w:t>招标文件</w:t>
      </w:r>
      <w:bookmarkEnd w:id="48"/>
      <w:bookmarkEnd w:id="49"/>
      <w:bookmarkEnd w:id="50"/>
    </w:p>
    <w:p>
      <w:pPr>
        <w:pStyle w:val="5"/>
        <w:spacing w:after="285"/>
        <w:ind w:left="132" w:right="0"/>
        <w:rPr>
          <w:rFonts w:ascii="宋体" w:hAnsi="宋体" w:eastAsia="宋体" w:cs="宋体"/>
          <w:color w:val="auto"/>
          <w:highlight w:val="none"/>
        </w:rPr>
      </w:pPr>
      <w:bookmarkStart w:id="51" w:name="_Toc508788625"/>
      <w:bookmarkStart w:id="52" w:name="_Toc508382108"/>
      <w:bookmarkStart w:id="53" w:name="_Toc142406590"/>
      <w:r>
        <w:rPr>
          <w:rFonts w:hint="eastAsia" w:ascii="宋体" w:hAnsi="宋体" w:eastAsia="宋体" w:cs="宋体"/>
          <w:color w:val="auto"/>
          <w:highlight w:val="none"/>
        </w:rPr>
        <w:t>2.1 招标文件的组成</w:t>
      </w:r>
      <w:bookmarkEnd w:id="51"/>
      <w:bookmarkEnd w:id="52"/>
      <w:bookmarkEnd w:id="53"/>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本招标文件包括： </w:t>
      </w:r>
    </w:p>
    <w:p>
      <w:pPr>
        <w:numPr>
          <w:ilvl w:val="0"/>
          <w:numId w:val="4"/>
        </w:numPr>
        <w:spacing w:after="123" w:line="265" w:lineRule="auto"/>
        <w:ind w:right="103" w:hanging="526"/>
        <w:rPr>
          <w:rFonts w:ascii="宋体" w:hAnsi="宋体" w:eastAsia="宋体" w:cs="宋体"/>
          <w:color w:val="auto"/>
          <w:highlight w:val="none"/>
        </w:rPr>
      </w:pPr>
      <w:r>
        <w:rPr>
          <w:rFonts w:hint="eastAsia" w:ascii="宋体" w:hAnsi="宋体" w:eastAsia="宋体" w:cs="宋体"/>
          <w:color w:val="auto"/>
          <w:sz w:val="21"/>
          <w:highlight w:val="none"/>
        </w:rPr>
        <w:t xml:space="preserve">招标公告（或投标邀请书）； </w:t>
      </w:r>
    </w:p>
    <w:p>
      <w:pPr>
        <w:numPr>
          <w:ilvl w:val="0"/>
          <w:numId w:val="4"/>
        </w:numPr>
        <w:spacing w:after="123" w:line="265" w:lineRule="auto"/>
        <w:ind w:right="103" w:hanging="526"/>
        <w:rPr>
          <w:rFonts w:ascii="宋体" w:hAnsi="宋体" w:eastAsia="宋体" w:cs="宋体"/>
          <w:color w:val="auto"/>
          <w:highlight w:val="none"/>
        </w:rPr>
      </w:pPr>
      <w:r>
        <w:rPr>
          <w:rFonts w:hint="eastAsia" w:ascii="宋体" w:hAnsi="宋体" w:eastAsia="宋体" w:cs="宋体"/>
          <w:color w:val="auto"/>
          <w:sz w:val="21"/>
          <w:highlight w:val="none"/>
        </w:rPr>
        <w:t xml:space="preserve">投标人须知； </w:t>
      </w:r>
    </w:p>
    <w:p>
      <w:pPr>
        <w:numPr>
          <w:ilvl w:val="0"/>
          <w:numId w:val="4"/>
        </w:numPr>
        <w:spacing w:after="123" w:line="265" w:lineRule="auto"/>
        <w:ind w:right="103" w:hanging="526"/>
        <w:rPr>
          <w:rFonts w:ascii="宋体" w:hAnsi="宋体" w:eastAsia="宋体" w:cs="宋体"/>
          <w:color w:val="auto"/>
          <w:highlight w:val="none"/>
        </w:rPr>
      </w:pPr>
      <w:r>
        <w:rPr>
          <w:rFonts w:hint="eastAsia" w:ascii="宋体" w:hAnsi="宋体" w:eastAsia="宋体" w:cs="宋体"/>
          <w:color w:val="auto"/>
          <w:sz w:val="21"/>
          <w:highlight w:val="none"/>
        </w:rPr>
        <w:t xml:space="preserve">评标办法； </w:t>
      </w:r>
    </w:p>
    <w:p>
      <w:pPr>
        <w:numPr>
          <w:ilvl w:val="0"/>
          <w:numId w:val="4"/>
        </w:numPr>
        <w:spacing w:after="123" w:line="265" w:lineRule="auto"/>
        <w:ind w:right="103" w:hanging="526"/>
        <w:rPr>
          <w:rFonts w:ascii="宋体" w:hAnsi="宋体" w:eastAsia="宋体" w:cs="宋体"/>
          <w:color w:val="auto"/>
          <w:highlight w:val="none"/>
        </w:rPr>
      </w:pPr>
      <w:r>
        <w:rPr>
          <w:rFonts w:hint="eastAsia" w:ascii="宋体" w:hAnsi="宋体" w:eastAsia="宋体" w:cs="宋体"/>
          <w:color w:val="auto"/>
          <w:sz w:val="21"/>
          <w:highlight w:val="none"/>
        </w:rPr>
        <w:t xml:space="preserve">合同条款及格式（另册）； </w:t>
      </w:r>
    </w:p>
    <w:p>
      <w:pPr>
        <w:numPr>
          <w:ilvl w:val="0"/>
          <w:numId w:val="4"/>
        </w:numPr>
        <w:spacing w:after="123" w:line="265" w:lineRule="auto"/>
        <w:ind w:right="103" w:hanging="526"/>
        <w:rPr>
          <w:rFonts w:ascii="宋体" w:hAnsi="宋体" w:eastAsia="宋体" w:cs="宋体"/>
          <w:color w:val="auto"/>
          <w:highlight w:val="none"/>
        </w:rPr>
      </w:pPr>
      <w:r>
        <w:rPr>
          <w:rFonts w:hint="eastAsia" w:ascii="宋体" w:hAnsi="宋体" w:eastAsia="宋体" w:cs="宋体"/>
          <w:color w:val="auto"/>
          <w:sz w:val="21"/>
          <w:highlight w:val="none"/>
        </w:rPr>
        <w:t xml:space="preserve">委托人要求； </w:t>
      </w:r>
    </w:p>
    <w:p>
      <w:pPr>
        <w:numPr>
          <w:ilvl w:val="0"/>
          <w:numId w:val="4"/>
        </w:numPr>
        <w:spacing w:after="123" w:line="265" w:lineRule="auto"/>
        <w:ind w:right="103" w:hanging="526"/>
        <w:rPr>
          <w:rFonts w:ascii="宋体" w:hAnsi="宋体" w:eastAsia="宋体" w:cs="宋体"/>
          <w:color w:val="auto"/>
          <w:highlight w:val="none"/>
        </w:rPr>
      </w:pPr>
      <w:r>
        <w:rPr>
          <w:rFonts w:hint="eastAsia" w:ascii="宋体" w:hAnsi="宋体" w:eastAsia="宋体" w:cs="宋体"/>
          <w:color w:val="auto"/>
          <w:sz w:val="21"/>
          <w:highlight w:val="none"/>
        </w:rPr>
        <w:t xml:space="preserve">投标文件格式； </w:t>
      </w:r>
    </w:p>
    <w:p>
      <w:pPr>
        <w:numPr>
          <w:ilvl w:val="0"/>
          <w:numId w:val="4"/>
        </w:numPr>
        <w:spacing w:after="123" w:line="265" w:lineRule="auto"/>
        <w:ind w:right="103" w:hanging="526"/>
        <w:rPr>
          <w:rFonts w:ascii="宋体" w:hAnsi="宋体" w:eastAsia="宋体" w:cs="宋体"/>
          <w:color w:val="auto"/>
          <w:highlight w:val="none"/>
        </w:rPr>
      </w:pPr>
      <w:r>
        <w:rPr>
          <w:rFonts w:hint="eastAsia" w:ascii="宋体" w:hAnsi="宋体" w:eastAsia="宋体" w:cs="宋体"/>
          <w:color w:val="auto"/>
          <w:sz w:val="21"/>
          <w:highlight w:val="none"/>
        </w:rPr>
        <w:t xml:space="preserve">投标人须知前附表规定的其他资料。 </w:t>
      </w:r>
    </w:p>
    <w:p>
      <w:pPr>
        <w:spacing w:after="214" w:line="373"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根据本章第 1.10 款、第 2.2 款和第 2.3 款对招标文件所作的澄清、修改，构成招标文件的组成部分。 </w:t>
      </w:r>
    </w:p>
    <w:p>
      <w:pPr>
        <w:pStyle w:val="5"/>
        <w:spacing w:after="284"/>
        <w:ind w:left="132" w:right="0"/>
        <w:rPr>
          <w:rFonts w:ascii="宋体" w:hAnsi="宋体" w:eastAsia="宋体" w:cs="宋体"/>
          <w:color w:val="auto"/>
          <w:highlight w:val="none"/>
        </w:rPr>
      </w:pPr>
      <w:bookmarkStart w:id="54" w:name="_Toc508788626"/>
      <w:bookmarkStart w:id="55" w:name="_Toc142406591"/>
      <w:bookmarkStart w:id="56" w:name="_Toc508382109"/>
      <w:r>
        <w:rPr>
          <w:rFonts w:hint="eastAsia" w:ascii="宋体" w:hAnsi="宋体" w:eastAsia="宋体" w:cs="宋体"/>
          <w:color w:val="auto"/>
          <w:highlight w:val="none"/>
        </w:rPr>
        <w:t>2.2 招标文件的澄清</w:t>
      </w:r>
      <w:bookmarkEnd w:id="54"/>
      <w:bookmarkEnd w:id="55"/>
      <w:bookmarkEnd w:id="56"/>
    </w:p>
    <w:p>
      <w:pPr>
        <w:spacing w:after="9" w:line="35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2.2.1 投标人应仔细阅读和检查招标文件的全部内容。如发现缺页或附件不全，应及时向招标人提出，以便补齐。如有疑问，应按投标人须知前附表规定的时间和形式将提出的问题送达招标人，要求招标人对招标文件予以澄清。 </w:t>
      </w:r>
    </w:p>
    <w:p>
      <w:pPr>
        <w:spacing w:after="130" w:line="369" w:lineRule="auto"/>
        <w:ind w:left="-15" w:right="197" w:firstLine="410"/>
        <w:jc w:val="both"/>
        <w:rPr>
          <w:rFonts w:ascii="宋体" w:hAnsi="宋体" w:eastAsia="宋体" w:cs="宋体"/>
          <w:color w:val="auto"/>
          <w:highlight w:val="none"/>
        </w:rPr>
      </w:pPr>
      <w:r>
        <w:rPr>
          <w:rFonts w:hint="eastAsia" w:ascii="宋体" w:hAnsi="宋体" w:eastAsia="宋体" w:cs="宋体"/>
          <w:color w:val="auto"/>
          <w:sz w:val="21"/>
          <w:highlight w:val="none"/>
        </w:rPr>
        <w:t xml:space="preserve">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 </w:t>
      </w:r>
    </w:p>
    <w:p>
      <w:pPr>
        <w:spacing w:after="215" w:line="373"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2.2.3投标人在收到澄清后，应按投标人须知前附表规定的时间和形式通知招标人，确认已收到该澄清。</w:t>
      </w:r>
    </w:p>
    <w:p>
      <w:pPr>
        <w:spacing w:after="215" w:line="373"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2.2.4 除非招标人认为确有必要答复，否则，招标人有权拒绝回复投标人在本章第 2.2.1 项规定的时间后的任何澄清要求。 </w:t>
      </w:r>
    </w:p>
    <w:p>
      <w:pPr>
        <w:pStyle w:val="5"/>
        <w:spacing w:after="285"/>
        <w:ind w:left="132" w:right="0"/>
        <w:rPr>
          <w:rFonts w:ascii="宋体" w:hAnsi="宋体" w:eastAsia="宋体" w:cs="宋体"/>
          <w:color w:val="auto"/>
          <w:highlight w:val="none"/>
        </w:rPr>
      </w:pPr>
      <w:bookmarkStart w:id="57" w:name="_Toc508382110"/>
      <w:bookmarkStart w:id="58" w:name="_Toc508788627"/>
      <w:bookmarkStart w:id="59" w:name="_Toc142406592"/>
      <w:r>
        <w:rPr>
          <w:rFonts w:hint="eastAsia" w:ascii="宋体" w:hAnsi="宋体" w:eastAsia="宋体" w:cs="宋体"/>
          <w:color w:val="auto"/>
          <w:highlight w:val="none"/>
        </w:rPr>
        <w:t>2.3 招标文件的修改</w:t>
      </w:r>
      <w:bookmarkEnd w:id="57"/>
      <w:bookmarkEnd w:id="58"/>
      <w:bookmarkEnd w:id="59"/>
    </w:p>
    <w:p>
      <w:pPr>
        <w:spacing w:after="5" w:line="369" w:lineRule="auto"/>
        <w:ind w:left="-15" w:right="197" w:firstLine="410"/>
        <w:jc w:val="both"/>
        <w:rPr>
          <w:rFonts w:ascii="宋体" w:hAnsi="宋体" w:eastAsia="宋体" w:cs="宋体"/>
          <w:color w:val="auto"/>
          <w:highlight w:val="none"/>
        </w:rPr>
      </w:pPr>
      <w:r>
        <w:rPr>
          <w:rFonts w:hint="eastAsia" w:ascii="宋体" w:hAnsi="宋体" w:eastAsia="宋体" w:cs="宋体"/>
          <w:color w:val="auto"/>
          <w:sz w:val="21"/>
          <w:highlight w:val="none"/>
        </w:rPr>
        <w:t xml:space="preserve">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 </w:t>
      </w:r>
    </w:p>
    <w:p>
      <w:pPr>
        <w:spacing w:after="222" w:line="36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2.3.2投标人收到修改内容</w:t>
      </w:r>
      <w:bookmarkStart w:id="60" w:name="_Toc352691482"/>
      <w:bookmarkStart w:id="61" w:name="_Toc144974506"/>
      <w:bookmarkStart w:id="62" w:name="_Toc247513961"/>
      <w:bookmarkStart w:id="63" w:name="_Toc247527562"/>
      <w:bookmarkStart w:id="64" w:name="_Toc24632"/>
      <w:bookmarkStart w:id="65" w:name="_Toc384308218"/>
      <w:bookmarkStart w:id="66" w:name="_Toc152045538"/>
      <w:bookmarkStart w:id="67" w:name="_Toc361508593"/>
      <w:bookmarkStart w:id="68" w:name="_Toc300834958"/>
      <w:bookmarkStart w:id="69" w:name="_Toc369531524"/>
      <w:bookmarkStart w:id="70" w:name="_Toc152042314"/>
      <w:r>
        <w:rPr>
          <w:rFonts w:hint="eastAsia" w:ascii="宋体" w:hAnsi="宋体" w:eastAsia="宋体" w:cs="宋体"/>
          <w:color w:val="auto"/>
          <w:sz w:val="21"/>
          <w:highlight w:val="none"/>
        </w:rPr>
        <w:t>后，</w:t>
      </w:r>
      <w:bookmarkEnd w:id="60"/>
      <w:bookmarkEnd w:id="61"/>
      <w:bookmarkEnd w:id="62"/>
      <w:bookmarkEnd w:id="63"/>
      <w:bookmarkEnd w:id="64"/>
      <w:bookmarkEnd w:id="65"/>
      <w:bookmarkEnd w:id="66"/>
      <w:bookmarkEnd w:id="67"/>
      <w:bookmarkEnd w:id="68"/>
      <w:bookmarkEnd w:id="69"/>
      <w:bookmarkEnd w:id="70"/>
      <w:r>
        <w:rPr>
          <w:rFonts w:hint="eastAsia" w:ascii="宋体" w:hAnsi="宋体" w:eastAsia="宋体" w:cs="宋体"/>
          <w:color w:val="auto"/>
          <w:sz w:val="21"/>
          <w:highlight w:val="none"/>
        </w:rPr>
        <w:t xml:space="preserve">应按投标人须知前附表规定的时间和形式通知招标人，确认已收到该修改。 </w:t>
      </w:r>
    </w:p>
    <w:p>
      <w:pPr>
        <w:pStyle w:val="5"/>
        <w:spacing w:after="285"/>
        <w:ind w:left="132" w:right="0"/>
        <w:rPr>
          <w:rFonts w:ascii="宋体" w:hAnsi="宋体" w:eastAsia="宋体" w:cs="宋体"/>
          <w:color w:val="auto"/>
          <w:highlight w:val="none"/>
        </w:rPr>
      </w:pPr>
      <w:bookmarkStart w:id="71" w:name="_Toc142406593"/>
      <w:bookmarkStart w:id="72" w:name="_Toc508788628"/>
      <w:bookmarkStart w:id="73" w:name="_Toc508382111"/>
      <w:r>
        <w:rPr>
          <w:rFonts w:hint="eastAsia" w:ascii="宋体" w:hAnsi="宋体" w:eastAsia="宋体" w:cs="宋体"/>
          <w:color w:val="auto"/>
          <w:highlight w:val="none"/>
        </w:rPr>
        <w:t>2.4 招标文件的异议</w:t>
      </w:r>
      <w:bookmarkEnd w:id="71"/>
      <w:bookmarkEnd w:id="72"/>
      <w:bookmarkEnd w:id="73"/>
    </w:p>
    <w:p>
      <w:pPr>
        <w:spacing w:after="265" w:line="372"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投标人或者其他利害关系人对招标文件有异议的，应当在投标截止时间 10 日前以书面形式提出。招标人将在收到异议之日起 3 日内作出答复；作出答复前，将暂停招标投标活动。 </w:t>
      </w:r>
    </w:p>
    <w:p>
      <w:pPr>
        <w:pStyle w:val="4"/>
        <w:spacing w:after="503" w:line="264" w:lineRule="auto"/>
        <w:ind w:left="-5" w:right="0"/>
        <w:rPr>
          <w:rFonts w:ascii="宋体" w:hAnsi="宋体" w:eastAsia="宋体" w:cs="宋体"/>
          <w:color w:val="auto"/>
          <w:highlight w:val="none"/>
        </w:rPr>
      </w:pPr>
      <w:bookmarkStart w:id="74" w:name="_Toc508382112"/>
      <w:bookmarkStart w:id="75" w:name="_Toc508788629"/>
      <w:bookmarkStart w:id="76" w:name="_Toc142406594"/>
      <w:r>
        <w:rPr>
          <w:rFonts w:hint="eastAsia" w:ascii="宋体" w:hAnsi="宋体" w:eastAsia="宋体" w:cs="宋体"/>
          <w:b/>
          <w:color w:val="auto"/>
          <w:sz w:val="32"/>
          <w:highlight w:val="none"/>
        </w:rPr>
        <w:t xml:space="preserve">3. </w:t>
      </w:r>
      <w:r>
        <w:rPr>
          <w:rFonts w:hint="eastAsia" w:ascii="宋体" w:hAnsi="宋体" w:eastAsia="宋体" w:cs="宋体"/>
          <w:color w:val="auto"/>
          <w:sz w:val="32"/>
          <w:highlight w:val="none"/>
        </w:rPr>
        <w:t>投标文件</w:t>
      </w:r>
      <w:bookmarkEnd w:id="74"/>
      <w:bookmarkEnd w:id="75"/>
      <w:bookmarkEnd w:id="76"/>
    </w:p>
    <w:p>
      <w:pPr>
        <w:pStyle w:val="5"/>
        <w:spacing w:after="283"/>
        <w:ind w:left="132" w:right="0"/>
        <w:rPr>
          <w:rFonts w:ascii="宋体" w:hAnsi="宋体" w:eastAsia="宋体" w:cs="宋体"/>
          <w:color w:val="auto"/>
          <w:highlight w:val="none"/>
        </w:rPr>
      </w:pPr>
      <w:bookmarkStart w:id="77" w:name="_Toc508788630"/>
      <w:bookmarkStart w:id="78" w:name="_Toc508382113"/>
      <w:bookmarkStart w:id="79" w:name="_Toc142406595"/>
      <w:r>
        <w:rPr>
          <w:rFonts w:hint="eastAsia" w:ascii="宋体" w:hAnsi="宋体" w:eastAsia="宋体" w:cs="宋体"/>
          <w:color w:val="auto"/>
          <w:highlight w:val="none"/>
        </w:rPr>
        <w:t>3.1 投标文件的组成</w:t>
      </w:r>
      <w:bookmarkEnd w:id="77"/>
      <w:bookmarkEnd w:id="78"/>
      <w:bookmarkEnd w:id="79"/>
    </w:p>
    <w:p>
      <w:pPr>
        <w:spacing w:after="123" w:line="265" w:lineRule="auto"/>
        <w:ind w:left="10" w:right="103" w:hanging="1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3.1.1 投标文件应包括下列内容： </w:t>
      </w:r>
    </w:p>
    <w:p>
      <w:pPr>
        <w:pStyle w:val="15"/>
        <w:kinsoku w:val="0"/>
        <w:overflowPunct w:val="0"/>
        <w:spacing w:before="76"/>
        <w:rPr>
          <w:rFonts w:ascii="宋体" w:hAnsi="宋体" w:cs="宋体"/>
          <w:color w:val="auto"/>
          <w:sz w:val="21"/>
          <w:szCs w:val="21"/>
          <w:highlight w:val="none"/>
          <w:u w:val="single"/>
        </w:rPr>
      </w:pP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1</w:t>
      </w:r>
      <w:r>
        <w:rPr>
          <w:rFonts w:hint="eastAsia" w:ascii="宋体" w:hAnsi="宋体" w:cs="宋体"/>
          <w:color w:val="auto"/>
          <w:spacing w:val="-3"/>
          <w:sz w:val="21"/>
          <w:szCs w:val="21"/>
          <w:highlight w:val="none"/>
          <w:u w:val="single"/>
        </w:rPr>
        <w:t>）</w:t>
      </w:r>
      <w:r>
        <w:rPr>
          <w:rFonts w:hint="eastAsia" w:ascii="宋体" w:hAnsi="宋体" w:cs="宋体"/>
          <w:color w:val="auto"/>
          <w:sz w:val="21"/>
          <w:szCs w:val="21"/>
          <w:highlight w:val="none"/>
          <w:u w:val="single"/>
        </w:rPr>
        <w:t>投</w:t>
      </w:r>
      <w:r>
        <w:rPr>
          <w:rFonts w:hint="eastAsia" w:ascii="宋体" w:hAnsi="宋体" w:cs="宋体"/>
          <w:color w:val="auto"/>
          <w:spacing w:val="-3"/>
          <w:sz w:val="21"/>
          <w:szCs w:val="21"/>
          <w:highlight w:val="none"/>
          <w:u w:val="single"/>
        </w:rPr>
        <w:t>标</w:t>
      </w:r>
      <w:r>
        <w:rPr>
          <w:rFonts w:hint="eastAsia" w:ascii="宋体" w:hAnsi="宋体" w:cs="宋体"/>
          <w:color w:val="auto"/>
          <w:sz w:val="21"/>
          <w:szCs w:val="21"/>
          <w:highlight w:val="none"/>
          <w:u w:val="single"/>
        </w:rPr>
        <w:t>函</w:t>
      </w:r>
      <w:r>
        <w:rPr>
          <w:rFonts w:hint="eastAsia" w:ascii="宋体" w:hAnsi="宋体" w:cs="宋体"/>
          <w:color w:val="auto"/>
          <w:spacing w:val="-3"/>
          <w:sz w:val="21"/>
          <w:szCs w:val="21"/>
          <w:highlight w:val="none"/>
          <w:u w:val="single"/>
        </w:rPr>
        <w:t>及</w:t>
      </w:r>
      <w:r>
        <w:rPr>
          <w:rFonts w:hint="eastAsia" w:ascii="宋体" w:hAnsi="宋体" w:cs="宋体"/>
          <w:color w:val="auto"/>
          <w:sz w:val="21"/>
          <w:szCs w:val="21"/>
          <w:highlight w:val="none"/>
          <w:u w:val="single"/>
        </w:rPr>
        <w:t>投</w:t>
      </w:r>
      <w:r>
        <w:rPr>
          <w:rFonts w:hint="eastAsia" w:ascii="宋体" w:hAnsi="宋体" w:cs="宋体"/>
          <w:color w:val="auto"/>
          <w:spacing w:val="-3"/>
          <w:sz w:val="21"/>
          <w:szCs w:val="21"/>
          <w:highlight w:val="none"/>
          <w:u w:val="single"/>
        </w:rPr>
        <w:t>标</w:t>
      </w:r>
      <w:r>
        <w:rPr>
          <w:rFonts w:hint="eastAsia" w:ascii="宋体" w:hAnsi="宋体" w:cs="宋体"/>
          <w:color w:val="auto"/>
          <w:sz w:val="21"/>
          <w:szCs w:val="21"/>
          <w:highlight w:val="none"/>
          <w:u w:val="single"/>
        </w:rPr>
        <w:t>函</w:t>
      </w:r>
      <w:r>
        <w:rPr>
          <w:rFonts w:hint="eastAsia" w:ascii="宋体" w:hAnsi="宋体" w:cs="宋体"/>
          <w:color w:val="auto"/>
          <w:spacing w:val="-3"/>
          <w:sz w:val="21"/>
          <w:szCs w:val="21"/>
          <w:highlight w:val="none"/>
          <w:u w:val="single"/>
        </w:rPr>
        <w:t>附录</w:t>
      </w:r>
      <w:r>
        <w:rPr>
          <w:rFonts w:hint="eastAsia" w:ascii="宋体" w:hAnsi="宋体" w:cs="宋体"/>
          <w:color w:val="auto"/>
          <w:sz w:val="21"/>
          <w:szCs w:val="21"/>
          <w:highlight w:val="none"/>
          <w:u w:val="single"/>
        </w:rPr>
        <w:t>；</w:t>
      </w:r>
    </w:p>
    <w:p>
      <w:pPr>
        <w:pStyle w:val="15"/>
        <w:kinsoku w:val="0"/>
        <w:overflowPunct w:val="0"/>
        <w:spacing w:before="73"/>
        <w:rPr>
          <w:rFonts w:ascii="宋体" w:hAnsi="宋体" w:cs="宋体"/>
          <w:color w:val="auto"/>
          <w:sz w:val="21"/>
          <w:szCs w:val="21"/>
          <w:highlight w:val="none"/>
          <w:u w:val="single"/>
        </w:rPr>
      </w:pPr>
      <w:r>
        <w:rPr>
          <w:rFonts w:hint="eastAsia" w:ascii="宋体" w:hAnsi="宋体" w:cs="宋体"/>
          <w:color w:val="auto"/>
          <w:spacing w:val="-3"/>
          <w:sz w:val="21"/>
          <w:szCs w:val="21"/>
          <w:highlight w:val="none"/>
          <w:u w:val="single"/>
        </w:rPr>
        <w:t>（2）</w:t>
      </w:r>
      <w:r>
        <w:rPr>
          <w:rFonts w:hint="eastAsia" w:ascii="宋体" w:hAnsi="宋体" w:cs="宋体"/>
          <w:color w:val="auto"/>
          <w:sz w:val="21"/>
          <w:szCs w:val="21"/>
          <w:highlight w:val="none"/>
          <w:u w:val="single"/>
        </w:rPr>
        <w:t>法</w:t>
      </w:r>
      <w:r>
        <w:rPr>
          <w:rFonts w:hint="eastAsia" w:ascii="宋体" w:hAnsi="宋体" w:cs="宋体"/>
          <w:color w:val="auto"/>
          <w:spacing w:val="-3"/>
          <w:sz w:val="21"/>
          <w:szCs w:val="21"/>
          <w:highlight w:val="none"/>
          <w:u w:val="single"/>
        </w:rPr>
        <w:t>定</w:t>
      </w:r>
      <w:r>
        <w:rPr>
          <w:rFonts w:hint="eastAsia" w:ascii="宋体" w:hAnsi="宋体" w:cs="宋体"/>
          <w:color w:val="auto"/>
          <w:sz w:val="21"/>
          <w:szCs w:val="21"/>
          <w:highlight w:val="none"/>
          <w:u w:val="single"/>
        </w:rPr>
        <w:t>代</w:t>
      </w:r>
      <w:r>
        <w:rPr>
          <w:rFonts w:hint="eastAsia" w:ascii="宋体" w:hAnsi="宋体" w:cs="宋体"/>
          <w:color w:val="auto"/>
          <w:spacing w:val="-3"/>
          <w:sz w:val="21"/>
          <w:szCs w:val="21"/>
          <w:highlight w:val="none"/>
          <w:u w:val="single"/>
        </w:rPr>
        <w:t>表</w:t>
      </w:r>
      <w:r>
        <w:rPr>
          <w:rFonts w:hint="eastAsia" w:ascii="宋体" w:hAnsi="宋体" w:cs="宋体"/>
          <w:color w:val="auto"/>
          <w:sz w:val="21"/>
          <w:szCs w:val="21"/>
          <w:highlight w:val="none"/>
          <w:u w:val="single"/>
        </w:rPr>
        <w:t>人</w:t>
      </w:r>
      <w:r>
        <w:rPr>
          <w:rFonts w:hint="eastAsia" w:ascii="宋体" w:hAnsi="宋体" w:cs="宋体"/>
          <w:color w:val="auto"/>
          <w:spacing w:val="-3"/>
          <w:sz w:val="21"/>
          <w:szCs w:val="21"/>
          <w:highlight w:val="none"/>
          <w:u w:val="single"/>
        </w:rPr>
        <w:t>身</w:t>
      </w:r>
      <w:r>
        <w:rPr>
          <w:rFonts w:hint="eastAsia" w:ascii="宋体" w:hAnsi="宋体" w:cs="宋体"/>
          <w:color w:val="auto"/>
          <w:sz w:val="21"/>
          <w:szCs w:val="21"/>
          <w:highlight w:val="none"/>
          <w:u w:val="single"/>
        </w:rPr>
        <w:t>份</w:t>
      </w:r>
      <w:r>
        <w:rPr>
          <w:rFonts w:hint="eastAsia" w:ascii="宋体" w:hAnsi="宋体" w:cs="宋体"/>
          <w:color w:val="auto"/>
          <w:spacing w:val="-3"/>
          <w:sz w:val="21"/>
          <w:szCs w:val="21"/>
          <w:highlight w:val="none"/>
          <w:u w:val="single"/>
        </w:rPr>
        <w:t>证明</w:t>
      </w:r>
      <w:r>
        <w:rPr>
          <w:rFonts w:hint="eastAsia" w:ascii="宋体" w:hAnsi="宋体" w:cs="宋体"/>
          <w:color w:val="auto"/>
          <w:sz w:val="21"/>
          <w:szCs w:val="21"/>
          <w:highlight w:val="none"/>
          <w:u w:val="single"/>
        </w:rPr>
        <w:t>或授</w:t>
      </w:r>
      <w:r>
        <w:rPr>
          <w:rFonts w:hint="eastAsia" w:ascii="宋体" w:hAnsi="宋体" w:cs="宋体"/>
          <w:color w:val="auto"/>
          <w:spacing w:val="-3"/>
          <w:sz w:val="21"/>
          <w:szCs w:val="21"/>
          <w:highlight w:val="none"/>
          <w:u w:val="single"/>
        </w:rPr>
        <w:t>权</w:t>
      </w:r>
      <w:r>
        <w:rPr>
          <w:rFonts w:hint="eastAsia" w:ascii="宋体" w:hAnsi="宋体" w:cs="宋体"/>
          <w:color w:val="auto"/>
          <w:sz w:val="21"/>
          <w:szCs w:val="21"/>
          <w:highlight w:val="none"/>
          <w:u w:val="single"/>
        </w:rPr>
        <w:t>委</w:t>
      </w:r>
      <w:r>
        <w:rPr>
          <w:rFonts w:hint="eastAsia" w:ascii="宋体" w:hAnsi="宋体" w:cs="宋体"/>
          <w:color w:val="auto"/>
          <w:spacing w:val="-3"/>
          <w:sz w:val="21"/>
          <w:szCs w:val="21"/>
          <w:highlight w:val="none"/>
          <w:u w:val="single"/>
        </w:rPr>
        <w:t>托</w:t>
      </w:r>
      <w:r>
        <w:rPr>
          <w:rFonts w:hint="eastAsia" w:ascii="宋体" w:hAnsi="宋体" w:cs="宋体"/>
          <w:color w:val="auto"/>
          <w:sz w:val="21"/>
          <w:szCs w:val="21"/>
          <w:highlight w:val="none"/>
          <w:u w:val="single"/>
        </w:rPr>
        <w:t>书；</w:t>
      </w:r>
    </w:p>
    <w:p>
      <w:pPr>
        <w:pStyle w:val="15"/>
        <w:kinsoku w:val="0"/>
        <w:overflowPunct w:val="0"/>
        <w:spacing w:before="75"/>
        <w:rPr>
          <w:rFonts w:ascii="宋体" w:hAnsi="宋体" w:cs="宋体"/>
          <w:color w:val="auto"/>
          <w:spacing w:val="-3"/>
          <w:sz w:val="21"/>
          <w:szCs w:val="21"/>
          <w:highlight w:val="none"/>
          <w:u w:val="single"/>
        </w:rPr>
      </w:pPr>
      <w:r>
        <w:rPr>
          <w:rFonts w:hint="eastAsia" w:ascii="宋体" w:hAnsi="宋体" w:cs="宋体"/>
          <w:color w:val="auto"/>
          <w:sz w:val="21"/>
          <w:szCs w:val="21"/>
          <w:highlight w:val="none"/>
          <w:u w:val="single"/>
        </w:rPr>
        <w:t>（3</w:t>
      </w:r>
      <w:r>
        <w:rPr>
          <w:rFonts w:hint="eastAsia" w:ascii="宋体" w:hAnsi="宋体" w:cs="宋体"/>
          <w:color w:val="auto"/>
          <w:spacing w:val="-3"/>
          <w:sz w:val="21"/>
          <w:szCs w:val="21"/>
          <w:highlight w:val="none"/>
          <w:u w:val="single"/>
        </w:rPr>
        <w:t>）资格审查资料</w:t>
      </w:r>
    </w:p>
    <w:p>
      <w:pPr>
        <w:pStyle w:val="15"/>
        <w:kinsoku w:val="0"/>
        <w:overflowPunct w:val="0"/>
        <w:spacing w:before="75"/>
        <w:rPr>
          <w:rFonts w:ascii="宋体" w:hAnsi="宋体" w:cs="宋体"/>
          <w:color w:val="auto"/>
          <w:sz w:val="21"/>
          <w:szCs w:val="21"/>
          <w:highlight w:val="none"/>
          <w:u w:val="single"/>
        </w:rPr>
      </w:pPr>
      <w:r>
        <w:rPr>
          <w:rFonts w:hint="eastAsia" w:ascii="宋体" w:hAnsi="宋体" w:cs="宋体"/>
          <w:color w:val="auto"/>
          <w:spacing w:val="-3"/>
          <w:sz w:val="21"/>
          <w:szCs w:val="21"/>
          <w:highlight w:val="none"/>
          <w:u w:val="single"/>
        </w:rPr>
        <w:t>（4）资信业绩</w:t>
      </w:r>
      <w:r>
        <w:rPr>
          <w:rFonts w:hint="eastAsia" w:ascii="宋体" w:hAnsi="宋体" w:cs="宋体"/>
          <w:color w:val="auto"/>
          <w:sz w:val="21"/>
          <w:szCs w:val="21"/>
          <w:highlight w:val="none"/>
          <w:u w:val="single"/>
        </w:rPr>
        <w:t>资</w:t>
      </w:r>
      <w:r>
        <w:rPr>
          <w:rFonts w:hint="eastAsia" w:ascii="宋体" w:hAnsi="宋体" w:cs="宋体"/>
          <w:color w:val="auto"/>
          <w:spacing w:val="-3"/>
          <w:sz w:val="21"/>
          <w:szCs w:val="21"/>
          <w:highlight w:val="none"/>
          <w:u w:val="single"/>
        </w:rPr>
        <w:t>料</w:t>
      </w:r>
      <w:r>
        <w:rPr>
          <w:rFonts w:hint="eastAsia" w:ascii="宋体" w:hAnsi="宋体" w:cs="宋体"/>
          <w:color w:val="auto"/>
          <w:sz w:val="21"/>
          <w:szCs w:val="21"/>
          <w:highlight w:val="none"/>
          <w:u w:val="single"/>
        </w:rPr>
        <w:t>；</w:t>
      </w:r>
    </w:p>
    <w:p>
      <w:pPr>
        <w:pStyle w:val="15"/>
        <w:kinsoku w:val="0"/>
        <w:overflowPunct w:val="0"/>
        <w:spacing w:before="75"/>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（5</w:t>
      </w:r>
      <w:r>
        <w:rPr>
          <w:rFonts w:hint="eastAsia" w:ascii="宋体" w:hAnsi="宋体" w:cs="宋体"/>
          <w:color w:val="auto"/>
          <w:spacing w:val="-3"/>
          <w:sz w:val="21"/>
          <w:szCs w:val="21"/>
          <w:highlight w:val="none"/>
          <w:u w:val="single"/>
        </w:rPr>
        <w:t>）监测</w:t>
      </w:r>
      <w:r>
        <w:rPr>
          <w:rFonts w:hint="eastAsia" w:ascii="宋体" w:hAnsi="宋体" w:cs="宋体"/>
          <w:color w:val="auto"/>
          <w:sz w:val="21"/>
          <w:highlight w:val="none"/>
          <w:u w:val="single"/>
        </w:rPr>
        <w:t>方案</w:t>
      </w:r>
      <w:r>
        <w:rPr>
          <w:rFonts w:hint="eastAsia" w:ascii="宋体" w:hAnsi="宋体" w:cs="宋体"/>
          <w:color w:val="auto"/>
          <w:sz w:val="21"/>
          <w:szCs w:val="21"/>
          <w:highlight w:val="none"/>
          <w:u w:val="single"/>
        </w:rPr>
        <w:t>；</w:t>
      </w:r>
    </w:p>
    <w:p>
      <w:pPr>
        <w:pStyle w:val="15"/>
        <w:kinsoku w:val="0"/>
        <w:overflowPunct w:val="0"/>
        <w:spacing w:before="75"/>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（6）投</w:t>
      </w:r>
      <w:r>
        <w:rPr>
          <w:rFonts w:hint="eastAsia" w:ascii="宋体" w:hAnsi="宋体" w:cs="宋体"/>
          <w:color w:val="auto"/>
          <w:spacing w:val="-3"/>
          <w:sz w:val="21"/>
          <w:szCs w:val="21"/>
          <w:highlight w:val="none"/>
          <w:u w:val="single"/>
        </w:rPr>
        <w:t>标</w:t>
      </w:r>
      <w:r>
        <w:rPr>
          <w:rFonts w:hint="eastAsia" w:ascii="宋体" w:hAnsi="宋体" w:cs="宋体"/>
          <w:color w:val="auto"/>
          <w:sz w:val="21"/>
          <w:szCs w:val="21"/>
          <w:highlight w:val="none"/>
          <w:u w:val="single"/>
        </w:rPr>
        <w:t>人</w:t>
      </w:r>
      <w:r>
        <w:rPr>
          <w:rFonts w:hint="eastAsia" w:ascii="宋体" w:hAnsi="宋体" w:cs="宋体"/>
          <w:color w:val="auto"/>
          <w:spacing w:val="-3"/>
          <w:sz w:val="21"/>
          <w:szCs w:val="21"/>
          <w:highlight w:val="none"/>
          <w:u w:val="single"/>
        </w:rPr>
        <w:t>须</w:t>
      </w:r>
      <w:r>
        <w:rPr>
          <w:rFonts w:hint="eastAsia" w:ascii="宋体" w:hAnsi="宋体" w:cs="宋体"/>
          <w:color w:val="auto"/>
          <w:sz w:val="21"/>
          <w:szCs w:val="21"/>
          <w:highlight w:val="none"/>
          <w:u w:val="single"/>
        </w:rPr>
        <w:t>知</w:t>
      </w:r>
      <w:r>
        <w:rPr>
          <w:rFonts w:hint="eastAsia" w:ascii="宋体" w:hAnsi="宋体" w:cs="宋体"/>
          <w:color w:val="auto"/>
          <w:spacing w:val="-3"/>
          <w:sz w:val="21"/>
          <w:szCs w:val="21"/>
          <w:highlight w:val="none"/>
          <w:u w:val="single"/>
        </w:rPr>
        <w:t>前</w:t>
      </w:r>
      <w:r>
        <w:rPr>
          <w:rFonts w:hint="eastAsia" w:ascii="宋体" w:hAnsi="宋体" w:cs="宋体"/>
          <w:color w:val="auto"/>
          <w:sz w:val="21"/>
          <w:szCs w:val="21"/>
          <w:highlight w:val="none"/>
          <w:u w:val="single"/>
        </w:rPr>
        <w:t>附</w:t>
      </w:r>
      <w:r>
        <w:rPr>
          <w:rFonts w:hint="eastAsia" w:ascii="宋体" w:hAnsi="宋体" w:cs="宋体"/>
          <w:color w:val="auto"/>
          <w:spacing w:val="-3"/>
          <w:sz w:val="21"/>
          <w:szCs w:val="21"/>
          <w:highlight w:val="none"/>
          <w:u w:val="single"/>
        </w:rPr>
        <w:t>表规</w:t>
      </w:r>
      <w:r>
        <w:rPr>
          <w:rFonts w:hint="eastAsia" w:ascii="宋体" w:hAnsi="宋体" w:cs="宋体"/>
          <w:color w:val="auto"/>
          <w:sz w:val="21"/>
          <w:szCs w:val="21"/>
          <w:highlight w:val="none"/>
          <w:u w:val="single"/>
        </w:rPr>
        <w:t>定的</w:t>
      </w:r>
      <w:r>
        <w:rPr>
          <w:rFonts w:hint="eastAsia" w:ascii="宋体" w:hAnsi="宋体" w:cs="宋体"/>
          <w:color w:val="auto"/>
          <w:spacing w:val="-3"/>
          <w:sz w:val="21"/>
          <w:szCs w:val="21"/>
          <w:highlight w:val="none"/>
          <w:u w:val="single"/>
        </w:rPr>
        <w:t>其</w:t>
      </w:r>
      <w:r>
        <w:rPr>
          <w:rFonts w:hint="eastAsia" w:ascii="宋体" w:hAnsi="宋体" w:cs="宋体"/>
          <w:color w:val="auto"/>
          <w:sz w:val="21"/>
          <w:szCs w:val="21"/>
          <w:highlight w:val="none"/>
          <w:u w:val="single"/>
        </w:rPr>
        <w:t>他</w:t>
      </w:r>
      <w:r>
        <w:rPr>
          <w:rFonts w:hint="eastAsia" w:ascii="宋体" w:hAnsi="宋体" w:cs="宋体"/>
          <w:color w:val="auto"/>
          <w:spacing w:val="-3"/>
          <w:sz w:val="21"/>
          <w:szCs w:val="21"/>
          <w:highlight w:val="none"/>
          <w:u w:val="single"/>
        </w:rPr>
        <w:t>资</w:t>
      </w:r>
      <w:r>
        <w:rPr>
          <w:rFonts w:hint="eastAsia" w:ascii="宋体" w:hAnsi="宋体" w:cs="宋体"/>
          <w:color w:val="auto"/>
          <w:sz w:val="21"/>
          <w:szCs w:val="21"/>
          <w:highlight w:val="none"/>
          <w:u w:val="single"/>
        </w:rPr>
        <w:t>料。</w:t>
      </w:r>
    </w:p>
    <w:p>
      <w:pPr>
        <w:spacing w:after="123" w:line="356"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投标人在评标过程中作出的符合法律法规和招标文件规定的澄清确认，构成投标文件的组成部分。 </w:t>
      </w:r>
    </w:p>
    <w:p>
      <w:pPr>
        <w:pStyle w:val="5"/>
        <w:spacing w:after="282"/>
        <w:ind w:left="132" w:right="0"/>
        <w:rPr>
          <w:rFonts w:ascii="宋体" w:hAnsi="宋体" w:eastAsia="宋体" w:cs="宋体"/>
          <w:color w:val="auto"/>
          <w:highlight w:val="none"/>
        </w:rPr>
      </w:pPr>
      <w:bookmarkStart w:id="80" w:name="_Toc508788631"/>
      <w:bookmarkStart w:id="81" w:name="_Toc508382114"/>
      <w:bookmarkStart w:id="82" w:name="_Toc142406596"/>
      <w:r>
        <w:rPr>
          <w:rFonts w:hint="eastAsia" w:ascii="宋体" w:hAnsi="宋体" w:eastAsia="宋体" w:cs="宋体"/>
          <w:color w:val="auto"/>
          <w:highlight w:val="none"/>
        </w:rPr>
        <w:t>3.2 投标报价</w:t>
      </w:r>
      <w:bookmarkEnd w:id="80"/>
      <w:bookmarkEnd w:id="81"/>
      <w:bookmarkEnd w:id="82"/>
    </w:p>
    <w:p>
      <w:pPr>
        <w:spacing w:after="216" w:line="373" w:lineRule="auto"/>
        <w:ind w:right="103" w:firstLine="360"/>
        <w:rPr>
          <w:rFonts w:ascii="宋体" w:hAnsi="宋体" w:eastAsia="宋体" w:cs="宋体"/>
          <w:color w:val="auto"/>
          <w:sz w:val="21"/>
          <w:highlight w:val="none"/>
        </w:rPr>
      </w:pPr>
      <w:r>
        <w:rPr>
          <w:rFonts w:hint="eastAsia" w:ascii="宋体" w:hAnsi="宋体" w:eastAsia="宋体" w:cs="宋体"/>
          <w:color w:val="auto"/>
          <w:sz w:val="21"/>
          <w:highlight w:val="none"/>
        </w:rPr>
        <w:t>3.2.1 投标报价应包括国家规定的增值税税金，除投标人须知前附表另有规定外，增值税税金按一般计税方法计算。投标人应按第六章“投标文件格式”的要求在投标函中进行报价并填写报价书。</w:t>
      </w:r>
    </w:p>
    <w:p>
      <w:pPr>
        <w:spacing w:after="216" w:line="373" w:lineRule="auto"/>
        <w:ind w:right="103" w:firstLine="360"/>
        <w:rPr>
          <w:rFonts w:ascii="宋体" w:hAnsi="宋体" w:eastAsia="宋体" w:cs="宋体"/>
          <w:color w:val="auto"/>
          <w:sz w:val="21"/>
          <w:highlight w:val="none"/>
        </w:rPr>
      </w:pPr>
      <w:r>
        <w:rPr>
          <w:rFonts w:hint="eastAsia" w:ascii="宋体" w:hAnsi="宋体" w:eastAsia="宋体" w:cs="宋体"/>
          <w:color w:val="auto"/>
          <w:sz w:val="21"/>
          <w:highlight w:val="none"/>
        </w:rPr>
        <w:t>3.2.2投标人应充分了解该项目的总体情况以及影响投标报价的其他要素。</w:t>
      </w:r>
    </w:p>
    <w:p>
      <w:pPr>
        <w:spacing w:after="216" w:line="373" w:lineRule="auto"/>
        <w:ind w:right="103" w:firstLine="360"/>
        <w:rPr>
          <w:rFonts w:ascii="宋体" w:hAnsi="宋体" w:eastAsia="宋体" w:cs="宋体"/>
          <w:color w:val="auto"/>
          <w:sz w:val="21"/>
          <w:highlight w:val="none"/>
        </w:rPr>
      </w:pPr>
      <w:r>
        <w:rPr>
          <w:rFonts w:hint="eastAsia" w:ascii="宋体" w:hAnsi="宋体" w:eastAsia="宋体" w:cs="宋体"/>
          <w:color w:val="auto"/>
          <w:sz w:val="21"/>
          <w:highlight w:val="none"/>
        </w:rPr>
        <w:t>3.2.3本项目的报价方式见投标人须知前附表。投标人在投标截止时间前修改投标函中的投标报价总额，应同时修改投标文件中的相应报价。此修改须符合本章第 4.3 款的有关要求。</w:t>
      </w:r>
    </w:p>
    <w:p>
      <w:pPr>
        <w:spacing w:after="216" w:line="373" w:lineRule="auto"/>
        <w:ind w:right="103" w:firstLine="360"/>
        <w:rPr>
          <w:rFonts w:ascii="宋体" w:hAnsi="宋体" w:eastAsia="宋体" w:cs="宋体"/>
          <w:color w:val="auto"/>
          <w:sz w:val="21"/>
          <w:highlight w:val="none"/>
        </w:rPr>
      </w:pPr>
      <w:r>
        <w:rPr>
          <w:rFonts w:hint="eastAsia" w:ascii="宋体" w:hAnsi="宋体" w:eastAsia="宋体" w:cs="宋体"/>
          <w:color w:val="auto"/>
          <w:sz w:val="21"/>
          <w:highlight w:val="none"/>
        </w:rPr>
        <w:t>3.2.3.1投标人的投标报价，应在前款所述收费标准和招标控制价范围内报价；应是按照投标须知前附表的工期要求、建设地点，完成投标须知前附表的招标内容内已由招标人制定的监测量列明工作的全部费用，投标报价包括但不限于为实施和完成本项目全部试验监测工作所需的劳务费、技术服务费、试验监测仪器设备使用费、机械进退场费（二次或多次）、车辆通行费、食宿费、资料费、管理费、规费（按广州市花都区建设项目收费标准）、保险费（含建筑工程一切险和第三方责任险）、其他一切建设使用费（含驻地建设费、临时用水、用电费）、一切税费以及合同明示或暗示的所有一般风险、责任和义务等，以及为完成本项目监测的全部利润等所有的服务费用。</w:t>
      </w:r>
    </w:p>
    <w:p>
      <w:pPr>
        <w:spacing w:after="216" w:line="373" w:lineRule="auto"/>
        <w:ind w:right="103" w:firstLine="360"/>
        <w:rPr>
          <w:rFonts w:ascii="宋体" w:hAnsi="宋体" w:eastAsia="宋体" w:cs="宋体"/>
          <w:color w:val="auto"/>
          <w:sz w:val="21"/>
          <w:szCs w:val="21"/>
          <w:highlight w:val="none"/>
        </w:rPr>
      </w:pPr>
      <w:r>
        <w:rPr>
          <w:rFonts w:hint="eastAsia" w:ascii="宋体" w:hAnsi="宋体" w:eastAsia="宋体" w:cs="宋体"/>
          <w:color w:val="auto"/>
          <w:sz w:val="21"/>
          <w:highlight w:val="none"/>
        </w:rPr>
        <w:t>3.2.3.2</w:t>
      </w:r>
      <w:r>
        <w:rPr>
          <w:rFonts w:hint="eastAsia" w:ascii="宋体" w:hAnsi="宋体" w:eastAsia="宋体" w:cs="宋体"/>
          <w:color w:val="auto"/>
          <w:sz w:val="21"/>
          <w:szCs w:val="21"/>
          <w:highlight w:val="none"/>
        </w:rPr>
        <w:t>如相关收费标准没有的项目，其计价方式则参考市场价格收费。</w:t>
      </w:r>
    </w:p>
    <w:p>
      <w:pPr>
        <w:spacing w:after="5" w:line="369" w:lineRule="auto"/>
        <w:ind w:left="-15" w:right="197" w:firstLine="410"/>
        <w:jc w:val="both"/>
        <w:rPr>
          <w:rFonts w:ascii="宋体" w:hAnsi="宋体" w:eastAsia="宋体" w:cs="宋体"/>
          <w:color w:val="auto"/>
          <w:sz w:val="21"/>
          <w:szCs w:val="21"/>
          <w:highlight w:val="none"/>
        </w:rPr>
      </w:pPr>
      <w:r>
        <w:rPr>
          <w:rFonts w:hint="eastAsia" w:ascii="宋体" w:hAnsi="宋体" w:eastAsia="宋体" w:cs="宋体"/>
          <w:color w:val="auto"/>
          <w:sz w:val="21"/>
          <w:highlight w:val="none"/>
        </w:rPr>
        <w:t>3.2.3.3</w:t>
      </w:r>
      <w:r>
        <w:rPr>
          <w:rFonts w:hint="eastAsia" w:ascii="宋体" w:hAnsi="宋体" w:eastAsia="宋体" w:cs="宋体"/>
          <w:color w:val="auto"/>
          <w:sz w:val="21"/>
          <w:szCs w:val="21"/>
          <w:highlight w:val="none"/>
        </w:rPr>
        <w:t>监测数量按实结算，监测综合结算单价原则：（1）《关于印发</w:t>
      </w:r>
      <w:r>
        <w:rPr>
          <w:rFonts w:ascii="宋体" w:hAnsi="宋体" w:eastAsia="宋体" w:cs="宋体"/>
          <w:color w:val="auto"/>
          <w:sz w:val="21"/>
          <w:szCs w:val="21"/>
          <w:highlight w:val="none"/>
        </w:rPr>
        <w:t>&lt;</w:t>
      </w:r>
      <w:r>
        <w:rPr>
          <w:rFonts w:hint="eastAsia" w:ascii="宋体" w:hAnsi="宋体" w:eastAsia="宋体" w:cs="宋体"/>
          <w:color w:val="auto"/>
          <w:sz w:val="21"/>
          <w:szCs w:val="21"/>
          <w:highlight w:val="none"/>
        </w:rPr>
        <w:t>广东省房屋建筑和市政工程质量安全检测收费指导价(第一批)</w:t>
      </w:r>
      <w:r>
        <w:rPr>
          <w:rFonts w:ascii="宋体" w:hAnsi="宋体" w:eastAsia="宋体" w:cs="宋体"/>
          <w:color w:val="auto"/>
          <w:sz w:val="21"/>
          <w:szCs w:val="21"/>
          <w:highlight w:val="none"/>
        </w:rPr>
        <w:t>&gt;</w:t>
      </w:r>
      <w:r>
        <w:rPr>
          <w:rFonts w:hint="eastAsia" w:ascii="宋体" w:hAnsi="宋体" w:eastAsia="宋体" w:cs="宋体"/>
          <w:color w:val="auto"/>
          <w:sz w:val="21"/>
          <w:szCs w:val="21"/>
          <w:highlight w:val="none"/>
        </w:rPr>
        <w:t>和</w:t>
      </w:r>
      <w:r>
        <w:rPr>
          <w:rFonts w:ascii="宋体" w:hAnsi="宋体" w:eastAsia="宋体" w:cs="宋体"/>
          <w:color w:val="auto"/>
          <w:sz w:val="21"/>
          <w:szCs w:val="21"/>
          <w:highlight w:val="none"/>
        </w:rPr>
        <w:t>&lt;</w:t>
      </w:r>
      <w:r>
        <w:rPr>
          <w:rFonts w:hint="eastAsia" w:ascii="宋体" w:hAnsi="宋体" w:eastAsia="宋体" w:cs="宋体"/>
          <w:color w:val="auto"/>
          <w:sz w:val="21"/>
          <w:szCs w:val="21"/>
          <w:highlight w:val="none"/>
        </w:rPr>
        <w:t>广东省既有房屋建筑安全性鉴定收费指导价</w:t>
      </w:r>
      <w:r>
        <w:rPr>
          <w:rFonts w:ascii="宋体" w:hAnsi="宋体" w:eastAsia="宋体" w:cs="宋体"/>
          <w:color w:val="auto"/>
          <w:sz w:val="21"/>
          <w:szCs w:val="21"/>
          <w:highlight w:val="none"/>
        </w:rPr>
        <w:t>&gt;</w:t>
      </w:r>
      <w:r>
        <w:rPr>
          <w:rFonts w:hint="eastAsia" w:ascii="宋体" w:hAnsi="宋体" w:eastAsia="宋体" w:cs="宋体"/>
          <w:color w:val="auto"/>
          <w:sz w:val="21"/>
          <w:szCs w:val="21"/>
          <w:highlight w:val="none"/>
        </w:rPr>
        <w:t>的通知》（粤建检协[2015]8号文）、关于印发《广州市建设工程基坑监测、变形点监测收费项目及标准指导性意见》的通知（穗建检协字（2013）12号）等有关的监测收费规定相适应的单价乘以（</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投标下浮率），实际监测数量以发包人、监理单位、乙方现场确认的工程量为准。最终结算价以财政部门或第三方审核单位的审定价为准。</w:t>
      </w:r>
    </w:p>
    <w:p>
      <w:pPr>
        <w:spacing w:after="5" w:line="369" w:lineRule="auto"/>
        <w:ind w:left="-15" w:right="197" w:firstLine="410"/>
        <w:jc w:val="both"/>
        <w:rPr>
          <w:rFonts w:ascii="宋体" w:hAnsi="宋体" w:eastAsia="宋体" w:cs="宋体"/>
          <w:color w:val="auto"/>
          <w:sz w:val="21"/>
          <w:szCs w:val="21"/>
          <w:highlight w:val="none"/>
        </w:rPr>
      </w:pPr>
      <w:r>
        <w:rPr>
          <w:rFonts w:hint="eastAsia" w:ascii="宋体" w:hAnsi="宋体" w:eastAsia="宋体" w:cs="宋体"/>
          <w:color w:val="auto"/>
          <w:sz w:val="21"/>
          <w:highlight w:val="none"/>
        </w:rPr>
        <w:t>3.2.3.4</w:t>
      </w:r>
      <w:r>
        <w:rPr>
          <w:rFonts w:hint="eastAsia" w:ascii="宋体" w:hAnsi="宋体" w:eastAsia="宋体" w:cs="宋体"/>
          <w:color w:val="auto"/>
          <w:sz w:val="21"/>
          <w:szCs w:val="21"/>
          <w:highlight w:val="none"/>
        </w:rPr>
        <w:t>中标单位根据项目服务范围制定监测方案，结算以确定的检验</w:t>
      </w:r>
      <w:r>
        <w:rPr>
          <w:rFonts w:hint="eastAsia" w:ascii="宋体" w:hAnsi="宋体" w:eastAsia="宋体" w:cs="宋体"/>
          <w:color w:val="auto"/>
          <w:sz w:val="21"/>
          <w:highlight w:val="none"/>
        </w:rPr>
        <w:t>、监测</w:t>
      </w:r>
      <w:r>
        <w:rPr>
          <w:rFonts w:hint="eastAsia" w:ascii="宋体" w:hAnsi="宋体" w:eastAsia="宋体" w:cs="宋体"/>
          <w:color w:val="auto"/>
          <w:sz w:val="21"/>
          <w:szCs w:val="21"/>
          <w:highlight w:val="none"/>
        </w:rPr>
        <w:t>方案为依据，工程量以实际发生为准。（实际发生的监测工程量须由甲方、监理单位、乙方现场确认，否则不予结算。经设计认可，建设单位有权增加或减少计划表所列监测方法和数量）。</w:t>
      </w:r>
    </w:p>
    <w:p>
      <w:pPr>
        <w:spacing w:after="5" w:line="369" w:lineRule="auto"/>
        <w:ind w:left="-15" w:right="197" w:firstLine="410"/>
        <w:jc w:val="both"/>
        <w:rPr>
          <w:rFonts w:ascii="宋体" w:hAnsi="宋体" w:eastAsia="宋体" w:cs="宋体"/>
          <w:color w:val="auto"/>
          <w:sz w:val="21"/>
          <w:szCs w:val="21"/>
          <w:highlight w:val="none"/>
        </w:rPr>
      </w:pPr>
      <w:r>
        <w:rPr>
          <w:rFonts w:ascii="宋体" w:hAnsi="宋体" w:eastAsia="宋体" w:cs="宋体"/>
          <w:color w:val="auto"/>
          <w:sz w:val="21"/>
          <w:highlight w:val="none"/>
        </w:rPr>
        <w:t>3.2.3.5</w:t>
      </w:r>
      <w:r>
        <w:rPr>
          <w:rFonts w:hint="eastAsia" w:ascii="宋体" w:hAnsi="宋体" w:eastAsia="宋体" w:cs="宋体"/>
          <w:color w:val="auto"/>
          <w:sz w:val="21"/>
          <w:szCs w:val="21"/>
          <w:highlight w:val="none"/>
        </w:rPr>
        <w:t>投标人可先到工地踏勘以充分了解工地位置、情况、道路、储存空间、装卸限制及任何其他足以影响承包价的情况，任何因忽视或误解工地情况而导致的索赔或工期延长申请将不被批准。</w:t>
      </w:r>
    </w:p>
    <w:p>
      <w:pPr>
        <w:spacing w:after="5" w:line="369" w:lineRule="auto"/>
        <w:ind w:left="-15" w:right="197" w:firstLine="410"/>
        <w:jc w:val="both"/>
        <w:rPr>
          <w:rFonts w:ascii="宋体" w:hAnsi="宋体" w:eastAsia="宋体" w:cs="宋体"/>
          <w:color w:val="auto"/>
          <w:sz w:val="21"/>
          <w:szCs w:val="21"/>
          <w:highlight w:val="none"/>
        </w:rPr>
      </w:pPr>
      <w:r>
        <w:rPr>
          <w:rFonts w:ascii="宋体" w:hAnsi="宋体" w:eastAsia="宋体" w:cs="宋体"/>
          <w:color w:val="auto"/>
          <w:sz w:val="21"/>
          <w:highlight w:val="none"/>
        </w:rPr>
        <w:t>3.2.3.6</w:t>
      </w:r>
      <w:r>
        <w:rPr>
          <w:rFonts w:hint="eastAsia" w:ascii="宋体" w:hAnsi="宋体" w:eastAsia="宋体" w:cs="宋体"/>
          <w:color w:val="auto"/>
          <w:sz w:val="21"/>
          <w:szCs w:val="21"/>
          <w:highlight w:val="none"/>
        </w:rPr>
        <w:t>投标人应根据现场勘察情况进行报价，该报价视为已包含了进行监测工作所必要的人工、材料、机械设备、水电费及现场临时设施等所有费用。</w:t>
      </w:r>
    </w:p>
    <w:p>
      <w:pPr>
        <w:spacing w:after="5" w:line="369" w:lineRule="auto"/>
        <w:ind w:left="-15" w:right="197" w:firstLine="410"/>
        <w:jc w:val="both"/>
        <w:rPr>
          <w:rFonts w:ascii="宋体" w:hAnsi="宋体" w:eastAsia="宋体" w:cs="宋体"/>
          <w:color w:val="auto"/>
          <w:highlight w:val="none"/>
        </w:rPr>
      </w:pPr>
      <w:r>
        <w:rPr>
          <w:rFonts w:hint="eastAsia" w:ascii="宋体" w:hAnsi="宋体" w:eastAsia="宋体" w:cs="宋体"/>
          <w:color w:val="auto"/>
          <w:sz w:val="21"/>
          <w:highlight w:val="none"/>
        </w:rPr>
        <w:t>3.2.3.7</w:t>
      </w:r>
      <w:r>
        <w:rPr>
          <w:rFonts w:hint="eastAsia" w:ascii="宋体" w:hAnsi="宋体" w:eastAsia="宋体" w:cs="宋体"/>
          <w:color w:val="auto"/>
          <w:sz w:val="21"/>
          <w:szCs w:val="21"/>
          <w:highlight w:val="none"/>
        </w:rPr>
        <w:t>本工程投标报价采用的币种为人民币。</w:t>
      </w:r>
    </w:p>
    <w:p>
      <w:pPr>
        <w:spacing w:after="0" w:line="36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3.2.4 招标人设有招标控制价的，投标人的投标报价不得超过招标控制价，招标控制价在投标人须知前附表中载明。 </w:t>
      </w:r>
    </w:p>
    <w:p>
      <w:pPr>
        <w:pStyle w:val="36"/>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highlight w:val="none"/>
        </w:rPr>
        <w:t>3.2.5投标报价的其他要求见投标人须知前附表。</w:t>
      </w:r>
    </w:p>
    <w:p>
      <w:pPr>
        <w:pStyle w:val="5"/>
        <w:spacing w:after="282"/>
        <w:ind w:left="132" w:right="0"/>
        <w:rPr>
          <w:rFonts w:ascii="宋体" w:hAnsi="宋体" w:eastAsia="宋体" w:cs="宋体"/>
          <w:color w:val="auto"/>
          <w:highlight w:val="none"/>
        </w:rPr>
      </w:pPr>
      <w:bookmarkStart w:id="83" w:name="_Toc142406597"/>
      <w:bookmarkStart w:id="84" w:name="_Toc508382115"/>
      <w:bookmarkStart w:id="85" w:name="_Toc508788632"/>
      <w:r>
        <w:rPr>
          <w:rFonts w:hint="eastAsia" w:ascii="宋体" w:hAnsi="宋体" w:eastAsia="宋体" w:cs="宋体"/>
          <w:color w:val="auto"/>
          <w:highlight w:val="none"/>
        </w:rPr>
        <w:t>3.3 投标有效期</w:t>
      </w:r>
      <w:bookmarkEnd w:id="83"/>
      <w:bookmarkEnd w:id="84"/>
      <w:bookmarkEnd w:id="85"/>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3.3.1 除投标人须知前附表另有规定外，投标有效期为90天。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3.3.2 在投标有效期内，投标人撤销投标文件的，应承担招标文件和法律规定的责任。 </w:t>
      </w:r>
    </w:p>
    <w:p>
      <w:pPr>
        <w:spacing w:after="234" w:line="356"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3.3.3 3.3.3 出现特殊情况需要延长投标有效期的，招标人以书面形式通知所有投标人延长投标有效期。投标人同意延长的，不得要求或被允许修改或撤销其投标文件；投标人拒绝延长的，其投标失效。 </w:t>
      </w:r>
    </w:p>
    <w:p>
      <w:pPr>
        <w:pStyle w:val="5"/>
        <w:spacing w:after="283"/>
        <w:ind w:left="132" w:right="0"/>
        <w:rPr>
          <w:rFonts w:ascii="宋体" w:hAnsi="宋体" w:eastAsia="宋体" w:cs="宋体"/>
          <w:color w:val="auto"/>
          <w:highlight w:val="none"/>
        </w:rPr>
      </w:pPr>
      <w:bookmarkStart w:id="86" w:name="_Toc142406598"/>
      <w:bookmarkStart w:id="87" w:name="_Toc508382116"/>
      <w:bookmarkStart w:id="88" w:name="_Toc508788633"/>
      <w:r>
        <w:rPr>
          <w:rFonts w:hint="eastAsia" w:ascii="宋体" w:hAnsi="宋体" w:eastAsia="宋体" w:cs="宋体"/>
          <w:color w:val="auto"/>
          <w:highlight w:val="none"/>
        </w:rPr>
        <w:t>3.4 投标保证金</w:t>
      </w:r>
      <w:bookmarkEnd w:id="86"/>
      <w:bookmarkEnd w:id="87"/>
      <w:bookmarkEnd w:id="88"/>
    </w:p>
    <w:p>
      <w:pPr>
        <w:spacing w:after="123" w:line="358"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3.4.1 本项目不要求递交投标保证金</w:t>
      </w:r>
    </w:p>
    <w:p>
      <w:pPr>
        <w:spacing w:after="123" w:line="358"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3.4.2 投标人如存在下列情况之一的，将被拒绝在一定时期内参与招标人后续工程投标（拒绝时限为自招标人发出通知之日起计十二个月）：</w:t>
      </w:r>
    </w:p>
    <w:p>
      <w:pPr>
        <w:pStyle w:val="15"/>
        <w:kinsoku w:val="0"/>
        <w:overflowPunct w:val="0"/>
        <w:spacing w:line="310" w:lineRule="auto"/>
        <w:ind w:right="222"/>
        <w:jc w:val="both"/>
        <w:rPr>
          <w:rFonts w:ascii="宋体" w:hAnsi="宋体" w:cs="宋体"/>
          <w:color w:val="auto"/>
          <w:sz w:val="21"/>
          <w:szCs w:val="21"/>
          <w:highlight w:val="none"/>
        </w:rPr>
      </w:pPr>
      <w:r>
        <w:rPr>
          <w:rFonts w:hint="eastAsia" w:ascii="宋体" w:hAnsi="宋体" w:cs="宋体"/>
          <w:color w:val="auto"/>
          <w:sz w:val="21"/>
          <w:highlight w:val="none"/>
        </w:rPr>
        <w:t>（1）投标人存在在规定的投标有效期内撤销或修改其投标文件或在收到中标通知书后，无正当理由拒签合同或未按招标文件规定提交履约担保。</w:t>
      </w:r>
      <w:r>
        <w:rPr>
          <w:rFonts w:hint="eastAsia" w:ascii="宋体" w:hAnsi="宋体" w:cs="宋体"/>
          <w:color w:val="auto"/>
          <w:sz w:val="21"/>
          <w:szCs w:val="21"/>
          <w:highlight w:val="none"/>
        </w:rPr>
        <w:t>3.5资格审查资料（适用于已进行资格预审的）</w:t>
      </w:r>
    </w:p>
    <w:p>
      <w:pPr>
        <w:pStyle w:val="5"/>
        <w:spacing w:after="281"/>
        <w:ind w:left="132" w:right="0"/>
        <w:rPr>
          <w:rFonts w:ascii="宋体" w:hAnsi="宋体" w:eastAsia="宋体" w:cs="宋体"/>
          <w:color w:val="auto"/>
          <w:sz w:val="21"/>
          <w:szCs w:val="21"/>
          <w:highlight w:val="none"/>
        </w:rPr>
      </w:pPr>
      <w:bookmarkStart w:id="89" w:name="_Toc142406599"/>
      <w:bookmarkStart w:id="90" w:name="_Toc508382117"/>
      <w:bookmarkStart w:id="91" w:name="_Toc508788634"/>
      <w:r>
        <w:rPr>
          <w:rFonts w:hint="eastAsia" w:ascii="宋体" w:hAnsi="宋体" w:eastAsia="宋体" w:cs="宋体"/>
          <w:color w:val="auto"/>
          <w:sz w:val="21"/>
          <w:szCs w:val="21"/>
          <w:highlight w:val="none"/>
        </w:rPr>
        <w:t>3.5 资格审查资料（适用于未进行资格预审的）</w:t>
      </w:r>
      <w:bookmarkEnd w:id="89"/>
      <w:bookmarkEnd w:id="90"/>
      <w:bookmarkEnd w:id="91"/>
    </w:p>
    <w:p>
      <w:pPr>
        <w:spacing w:after="18" w:line="355" w:lineRule="auto"/>
        <w:ind w:right="103" w:firstLine="420"/>
        <w:rPr>
          <w:rFonts w:ascii="宋体" w:hAnsi="宋体" w:eastAsia="宋体" w:cs="宋体"/>
          <w:color w:val="auto"/>
          <w:highlight w:val="none"/>
        </w:rPr>
      </w:pPr>
      <w:r>
        <w:rPr>
          <w:rFonts w:hint="eastAsia" w:ascii="宋体" w:hAnsi="宋体" w:eastAsia="宋体" w:cs="宋体"/>
          <w:color w:val="auto"/>
          <w:sz w:val="21"/>
          <w:szCs w:val="21"/>
          <w:highlight w:val="none"/>
        </w:rPr>
        <w:t>除投标人须知前附表另有规定外，投标人应按下列规定提供资格审查资料，以证明其满足本</w:t>
      </w:r>
      <w:r>
        <w:rPr>
          <w:rFonts w:hint="eastAsia" w:ascii="宋体" w:hAnsi="宋体" w:eastAsia="宋体" w:cs="宋体"/>
          <w:color w:val="auto"/>
          <w:sz w:val="21"/>
          <w:highlight w:val="none"/>
        </w:rPr>
        <w:t>章第 1.4 款规定的资质、财务、业绩、信誉等要求。</w:t>
      </w:r>
    </w:p>
    <w:p>
      <w:pPr>
        <w:spacing w:after="0" w:line="367"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3.5.1投标人具有承接本工程所需的以下资质条件：</w:t>
      </w:r>
    </w:p>
    <w:p>
      <w:pPr>
        <w:spacing w:after="1"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投标人参加投标的意思表达清楚，投标人代表被授权有效；</w:t>
      </w:r>
    </w:p>
    <w:p>
      <w:pPr>
        <w:spacing w:after="1"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投标人均具有独立法人资格，按国家法律经营；</w:t>
      </w:r>
    </w:p>
    <w:p>
      <w:pPr>
        <w:spacing w:after="1"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持有事业单位登记管理部门核发的事业单位法人证书且在有效期内或工商行政管理部门核发的企业法人营业执照且在有效期内；</w:t>
      </w:r>
    </w:p>
    <w:p>
      <w:pPr>
        <w:spacing w:after="1"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3.5.2本次招标要求投标人须同时具备以下资质：</w:t>
      </w:r>
    </w:p>
    <w:p>
      <w:pPr>
        <w:spacing w:after="1"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1）投标人持有质量技术监督部门颁发的CMA计量认证合格证书,（认证范围须覆盖本次招标的主要内容，监测认证范围需包括：基坑监测、沉降观测。如CMA计量认证合格证书中的认证项目与本次招标主要内容的名称不同，但表达的意思一致也视为满足该项条件），且计量认证证书需在有效期内；</w:t>
      </w:r>
    </w:p>
    <w:p>
      <w:pPr>
        <w:spacing w:after="1"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（2）投标人须具有建设行政主管部门颁发的以下任意一种①、②、③资质：</w:t>
      </w:r>
    </w:p>
    <w:p>
      <w:pPr>
        <w:pStyle w:val="80"/>
        <w:spacing w:line="4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①</w:t>
      </w:r>
      <w:r>
        <w:rPr>
          <w:rFonts w:hint="eastAsia" w:ascii="宋体" w:hAnsi="宋体" w:eastAsia="宋体" w:cs="宋体"/>
          <w:color w:val="auto"/>
          <w:szCs w:val="22"/>
          <w:highlight w:val="none"/>
          <w:lang w:bidi="ar"/>
        </w:rPr>
        <w:t>工程勘察综合资质甲级；</w:t>
      </w:r>
    </w:p>
    <w:p>
      <w:pPr>
        <w:pStyle w:val="80"/>
        <w:spacing w:line="4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②工程勘察专业类岩土工程物探测试检测监测乙级（或以上）资质和工程勘察专业类工程测量乙级资质（或以上）。</w:t>
      </w:r>
    </w:p>
    <w:p>
      <w:pPr>
        <w:pStyle w:val="80"/>
        <w:spacing w:line="4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③工程勘察专业类岩土工程勘察乙级（或以上）资质和工程勘察专业类工程测量乙级资质（或以上）。</w:t>
      </w:r>
    </w:p>
    <w:p>
      <w:pPr>
        <w:pStyle w:val="80"/>
        <w:spacing w:after="1" w:line="440" w:lineRule="exact"/>
        <w:ind w:right="103"/>
        <w:rPr>
          <w:rFonts w:ascii="宋体" w:hAnsi="宋体" w:eastAsia="宋体" w:cs="宋体"/>
          <w:color w:val="auto"/>
          <w:highlight w:val="none"/>
        </w:rPr>
      </w:pPr>
      <w:r>
        <w:rPr>
          <w:rFonts w:hint="eastAsia" w:ascii="宋体" w:hAnsi="宋体" w:eastAsia="宋体" w:cs="宋体"/>
          <w:color w:val="auto"/>
          <w:highlight w:val="none"/>
        </w:rPr>
        <w:t>3.5.3其他要求：</w:t>
      </w:r>
    </w:p>
    <w:p>
      <w:pPr>
        <w:spacing w:after="1"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（1）投标人已按规定格式签名盖章《投标人声明》（格式见招标文件第六章投标文件格式）；</w:t>
      </w:r>
    </w:p>
    <w:p>
      <w:pPr>
        <w:spacing w:after="1"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（2）投标人必须于投标登记前在广州市住建行业信用管理平台建立诚信档案；</w:t>
      </w:r>
    </w:p>
    <w:p>
      <w:pPr>
        <w:spacing w:after="1"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（3）投标人未出现以下情形：与其它投标人的单位负责人为同一人或者存在控股、管理关系的。如不同投标申请人出现单位负责人为同一人或者存在控股、管理关系的情形，则相关投标均无效。</w:t>
      </w:r>
    </w:p>
    <w:p>
      <w:pPr>
        <w:spacing w:after="1"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（4）未被列入拖欠农民工工资失信联合惩戒对象名单（投标人无需提供资料，按交易系统比对的结果进行评审）；</w:t>
      </w:r>
    </w:p>
    <w:p>
      <w:pPr>
        <w:spacing w:after="1"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注：因联合惩戒措施表述存在细微差别，惩戒措施与上文不完全一致但措施内容相同的，也应属于被限制参与相关项目的投标。</w:t>
      </w:r>
    </w:p>
    <w:p>
      <w:pPr>
        <w:spacing w:after="1"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注：未在招标公告第3条单列的资审合格条件，不作为资审不合格的依据。</w:t>
      </w:r>
    </w:p>
    <w:p>
      <w:pPr>
        <w:spacing w:after="1"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（5）本项目不接受联合体投标</w:t>
      </w:r>
    </w:p>
    <w:p>
      <w:pPr>
        <w:pStyle w:val="2"/>
        <w:rPr>
          <w:color w:val="auto"/>
          <w:highlight w:val="none"/>
        </w:rPr>
      </w:pPr>
    </w:p>
    <w:p>
      <w:pPr>
        <w:pStyle w:val="5"/>
        <w:spacing w:after="284"/>
        <w:ind w:left="132"/>
        <w:rPr>
          <w:rFonts w:ascii="宋体" w:hAnsi="宋体" w:eastAsia="宋体" w:cs="宋体"/>
          <w:color w:val="auto"/>
          <w:highlight w:val="none"/>
        </w:rPr>
      </w:pPr>
      <w:bookmarkStart w:id="92" w:name="_Toc142406600"/>
      <w:bookmarkStart w:id="93" w:name="_Toc508788635"/>
      <w:bookmarkStart w:id="94" w:name="_Toc508382118"/>
      <w:r>
        <w:rPr>
          <w:rFonts w:hint="eastAsia" w:ascii="宋体" w:hAnsi="宋体" w:eastAsia="宋体" w:cs="宋体"/>
          <w:color w:val="auto"/>
          <w:highlight w:val="none"/>
        </w:rPr>
        <w:t>3.6 备选投标方案</w:t>
      </w:r>
      <w:bookmarkEnd w:id="92"/>
      <w:bookmarkEnd w:id="93"/>
      <w:bookmarkEnd w:id="94"/>
    </w:p>
    <w:p>
      <w:pPr>
        <w:spacing w:after="0" w:line="368"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3.6.1 除投标人须知前附表规定允许外，投标人不得递交备选投标方案，否则其投标将被否决。 </w:t>
      </w:r>
    </w:p>
    <w:p>
      <w:pPr>
        <w:spacing w:after="9" w:line="35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3.6.2 允许投标人递交备选投标方案的，只有中标人所递交的备选投标方案方可予以考虑。评标委员会认为中标人的备选投标方案优于其按照招标文件要求编制的投标方案的，招标人可以接受该备选投标方案。 </w:t>
      </w:r>
    </w:p>
    <w:p>
      <w:pPr>
        <w:spacing w:after="222" w:line="36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3.6.3 投标人提供两个或两个以上投标报价，或者在投标文件中提供一个报价，但同时提供两个或两个以上监测方案的，视为提供备选方案。 </w:t>
      </w:r>
    </w:p>
    <w:p>
      <w:pPr>
        <w:pStyle w:val="5"/>
        <w:spacing w:after="285"/>
        <w:ind w:left="132" w:right="0"/>
        <w:rPr>
          <w:rFonts w:ascii="宋体" w:hAnsi="宋体" w:eastAsia="宋体" w:cs="宋体"/>
          <w:color w:val="auto"/>
          <w:highlight w:val="none"/>
        </w:rPr>
      </w:pPr>
      <w:bookmarkStart w:id="95" w:name="_Toc508382119"/>
      <w:bookmarkStart w:id="96" w:name="_Toc142406601"/>
      <w:bookmarkStart w:id="97" w:name="_Toc508788636"/>
      <w:r>
        <w:rPr>
          <w:rFonts w:hint="eastAsia" w:ascii="宋体" w:hAnsi="宋体" w:eastAsia="宋体" w:cs="宋体"/>
          <w:color w:val="auto"/>
          <w:highlight w:val="none"/>
        </w:rPr>
        <w:t>3.7 投标文件的编制</w:t>
      </w:r>
      <w:bookmarkEnd w:id="95"/>
      <w:bookmarkEnd w:id="96"/>
      <w:bookmarkEnd w:id="97"/>
    </w:p>
    <w:p>
      <w:pPr>
        <w:spacing w:after="13" w:line="358"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3.7.1 投标文件应按第六章“投标文件格式”进行编写，如有必要，可以增加附页，作为投标文件的组成部分。其中，投标函附录在满足招标文件实质性要求的基础上，可以提出比招标文件要求更有利于招标人的承诺。 </w:t>
      </w:r>
    </w:p>
    <w:p>
      <w:pPr>
        <w:spacing w:after="3" w:line="367"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3.7.2 投标文件应当对招标文件有关监测服务期限、投标有效期、委托人要求、招标范围等实质性内容作出响应。 </w:t>
      </w:r>
    </w:p>
    <w:p>
      <w:pPr>
        <w:spacing w:after="0" w:line="366"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after="0" w:line="366" w:lineRule="auto"/>
        <w:ind w:right="103" w:firstLine="420"/>
        <w:rPr>
          <w:rFonts w:ascii="宋体" w:hAnsi="宋体" w:eastAsia="宋体" w:cs="宋体"/>
          <w:color w:val="auto"/>
          <w:highlight w:val="none"/>
        </w:rPr>
      </w:pPr>
    </w:p>
    <w:p>
      <w:pPr>
        <w:pStyle w:val="4"/>
        <w:spacing w:after="500" w:line="262" w:lineRule="auto"/>
        <w:ind w:left="-5" w:right="0"/>
        <w:rPr>
          <w:rFonts w:ascii="宋体" w:hAnsi="宋体" w:eastAsia="宋体" w:cs="宋体"/>
          <w:color w:val="auto"/>
          <w:highlight w:val="none"/>
        </w:rPr>
      </w:pPr>
      <w:bookmarkStart w:id="98" w:name="_Toc508788637"/>
      <w:bookmarkStart w:id="99" w:name="_Toc508382120"/>
      <w:bookmarkStart w:id="100" w:name="_Toc142406602"/>
      <w:r>
        <w:rPr>
          <w:rFonts w:hint="eastAsia" w:ascii="宋体" w:hAnsi="宋体" w:eastAsia="宋体" w:cs="宋体"/>
          <w:b/>
          <w:color w:val="auto"/>
          <w:sz w:val="32"/>
          <w:highlight w:val="none"/>
        </w:rPr>
        <w:t xml:space="preserve">4. </w:t>
      </w:r>
      <w:r>
        <w:rPr>
          <w:rFonts w:hint="eastAsia" w:ascii="宋体" w:hAnsi="宋体" w:eastAsia="宋体" w:cs="宋体"/>
          <w:color w:val="auto"/>
          <w:sz w:val="32"/>
          <w:highlight w:val="none"/>
        </w:rPr>
        <w:t>投标</w:t>
      </w:r>
      <w:bookmarkEnd w:id="98"/>
      <w:bookmarkEnd w:id="99"/>
      <w:bookmarkEnd w:id="100"/>
    </w:p>
    <w:p>
      <w:pPr>
        <w:pStyle w:val="5"/>
        <w:spacing w:after="285"/>
        <w:ind w:left="132" w:right="0"/>
        <w:rPr>
          <w:rFonts w:ascii="宋体" w:hAnsi="宋体" w:eastAsia="宋体" w:cs="宋体"/>
          <w:color w:val="auto"/>
          <w:sz w:val="21"/>
          <w:highlight w:val="none"/>
        </w:rPr>
      </w:pPr>
      <w:bookmarkStart w:id="101" w:name="_Toc508788638"/>
      <w:bookmarkStart w:id="102" w:name="_Toc508382121"/>
      <w:bookmarkStart w:id="103" w:name="_Toc142406603"/>
      <w:r>
        <w:rPr>
          <w:rFonts w:hint="eastAsia" w:ascii="宋体" w:hAnsi="宋体" w:eastAsia="宋体" w:cs="宋体"/>
          <w:color w:val="auto"/>
          <w:highlight w:val="none"/>
        </w:rPr>
        <w:t>4.1 投标文件的密封和标记</w:t>
      </w:r>
      <w:bookmarkEnd w:id="101"/>
      <w:bookmarkEnd w:id="102"/>
      <w:bookmarkEnd w:id="103"/>
    </w:p>
    <w:p>
      <w:pPr>
        <w:pStyle w:val="15"/>
        <w:kinsoku w:val="0"/>
        <w:overflowPunct w:val="0"/>
        <w:spacing w:before="44" w:line="295" w:lineRule="auto"/>
        <w:ind w:left="100" w:right="113" w:firstLine="419"/>
        <w:rPr>
          <w:rFonts w:ascii="宋体" w:hAnsi="宋体" w:cs="宋体"/>
          <w:color w:val="auto"/>
          <w:sz w:val="21"/>
          <w:highlight w:val="none"/>
        </w:rPr>
      </w:pPr>
      <w:r>
        <w:rPr>
          <w:rFonts w:hint="eastAsia" w:ascii="宋体" w:hAnsi="宋体" w:cs="宋体"/>
          <w:color w:val="auto"/>
          <w:sz w:val="21"/>
          <w:highlight w:val="none"/>
        </w:rPr>
        <w:t>4.1.1 （B）投标人应当按照招标文件和电子招标投标交易平台的要求加密投标文件，具体要求见投标人须知前附表。</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4.1.2 投标文件封套上应写明的内容见投标人须知前附表。 </w:t>
      </w:r>
    </w:p>
    <w:p>
      <w:pPr>
        <w:spacing w:after="346" w:line="265" w:lineRule="auto"/>
        <w:ind w:left="417" w:right="103" w:hanging="10"/>
        <w:rPr>
          <w:rFonts w:ascii="宋体" w:hAnsi="宋体" w:eastAsia="宋体" w:cs="宋体"/>
          <w:color w:val="auto"/>
          <w:sz w:val="21"/>
          <w:highlight w:val="none"/>
        </w:rPr>
      </w:pPr>
      <w:r>
        <w:rPr>
          <w:rFonts w:hint="eastAsia" w:ascii="宋体" w:hAnsi="宋体" w:eastAsia="宋体" w:cs="宋体"/>
          <w:color w:val="auto"/>
          <w:sz w:val="21"/>
          <w:highlight w:val="none"/>
        </w:rPr>
        <w:t xml:space="preserve">4.1.3 未按本章第 4.1.1 项要求密封的投标文件，招标人将予以拒收。 </w:t>
      </w:r>
    </w:p>
    <w:p>
      <w:pPr>
        <w:pStyle w:val="5"/>
        <w:spacing w:after="284"/>
        <w:ind w:left="132" w:right="0"/>
        <w:rPr>
          <w:rFonts w:ascii="宋体" w:hAnsi="宋体" w:eastAsia="宋体" w:cs="宋体"/>
          <w:color w:val="auto"/>
          <w:highlight w:val="none"/>
        </w:rPr>
      </w:pPr>
      <w:bookmarkStart w:id="104" w:name="_Toc508382122"/>
      <w:bookmarkStart w:id="105" w:name="_Toc142406604"/>
      <w:bookmarkStart w:id="106" w:name="_Toc508788639"/>
      <w:r>
        <w:rPr>
          <w:rFonts w:hint="eastAsia" w:ascii="宋体" w:hAnsi="宋体" w:eastAsia="宋体" w:cs="宋体"/>
          <w:color w:val="auto"/>
          <w:highlight w:val="none"/>
        </w:rPr>
        <w:t>4.2 投标文件的递交</w:t>
      </w:r>
      <w:bookmarkEnd w:id="104"/>
      <w:bookmarkEnd w:id="105"/>
      <w:bookmarkEnd w:id="106"/>
    </w:p>
    <w:p>
      <w:pPr>
        <w:pStyle w:val="15"/>
        <w:kinsoku w:val="0"/>
        <w:overflowPunct w:val="0"/>
        <w:rPr>
          <w:rFonts w:ascii="宋体" w:hAnsi="宋体" w:cs="宋体"/>
          <w:color w:val="auto"/>
          <w:sz w:val="21"/>
          <w:highlight w:val="none"/>
        </w:rPr>
      </w:pPr>
      <w:r>
        <w:rPr>
          <w:rFonts w:hint="eastAsia" w:ascii="宋体" w:hAnsi="宋体" w:cs="宋体"/>
          <w:color w:val="auto"/>
          <w:sz w:val="21"/>
          <w:highlight w:val="none"/>
        </w:rPr>
        <w:t xml:space="preserve">    4.2.1 投标人应在投标人须知前附表规定的投标截止时间前递交投标文件。</w:t>
      </w:r>
    </w:p>
    <w:p>
      <w:pPr>
        <w:pStyle w:val="15"/>
        <w:kinsoku w:val="0"/>
        <w:overflowPunct w:val="0"/>
        <w:spacing w:before="75"/>
        <w:rPr>
          <w:rFonts w:ascii="宋体" w:hAnsi="宋体" w:cs="宋体"/>
          <w:dstrike/>
          <w:color w:val="auto"/>
          <w:sz w:val="21"/>
          <w:highlight w:val="none"/>
        </w:rPr>
      </w:pPr>
      <w:r>
        <w:rPr>
          <w:rFonts w:hint="eastAsia" w:ascii="宋体" w:hAnsi="宋体" w:cs="宋体"/>
          <w:color w:val="auto"/>
          <w:sz w:val="21"/>
          <w:highlight w:val="none"/>
        </w:rPr>
        <w:t xml:space="preserve">    4.2.2 （B）投标人通过下载招标文件的电子招标投标交易平台递交电子投标文件。</w:t>
      </w:r>
    </w:p>
    <w:p>
      <w:pPr>
        <w:pStyle w:val="15"/>
        <w:kinsoku w:val="0"/>
        <w:overflowPunct w:val="0"/>
        <w:spacing w:before="75"/>
        <w:rPr>
          <w:rFonts w:ascii="宋体" w:hAnsi="宋体" w:cs="宋体"/>
          <w:color w:val="auto"/>
          <w:sz w:val="21"/>
          <w:highlight w:val="none"/>
        </w:rPr>
      </w:pPr>
      <w:r>
        <w:rPr>
          <w:rFonts w:hint="eastAsia" w:ascii="宋体" w:hAnsi="宋体" w:cs="宋体"/>
          <w:color w:val="auto"/>
          <w:sz w:val="21"/>
          <w:highlight w:val="none"/>
        </w:rPr>
        <w:t xml:space="preserve">    4.2.3 除投标人须知前附表另有规定外，投标人所递交的投标文件不予退还。</w:t>
      </w:r>
    </w:p>
    <w:p>
      <w:pPr>
        <w:pStyle w:val="15"/>
        <w:kinsoku w:val="0"/>
        <w:overflowPunct w:val="0"/>
        <w:spacing w:before="72"/>
        <w:rPr>
          <w:rFonts w:ascii="宋体" w:hAnsi="宋体" w:cs="宋体"/>
          <w:dstrike/>
          <w:color w:val="auto"/>
          <w:sz w:val="21"/>
          <w:highlight w:val="none"/>
        </w:rPr>
      </w:pPr>
      <w:r>
        <w:rPr>
          <w:rFonts w:hint="eastAsia" w:ascii="宋体" w:hAnsi="宋体" w:cs="宋体"/>
          <w:color w:val="auto"/>
          <w:sz w:val="21"/>
          <w:highlight w:val="none"/>
        </w:rPr>
        <w:t xml:space="preserve">    4.2.4 （B）投标人完成电子投标文件上传后，电子招标投标交易平台即时向投标人发出递 交回执通知。递交时间以递交回执通知载明的传输完成时间为准。</w:t>
      </w:r>
    </w:p>
    <w:p>
      <w:pPr>
        <w:pStyle w:val="15"/>
        <w:kinsoku w:val="0"/>
        <w:overflowPunct w:val="0"/>
        <w:spacing w:before="75"/>
        <w:rPr>
          <w:rFonts w:ascii="宋体" w:hAnsi="宋体" w:cs="宋体"/>
          <w:color w:val="auto"/>
          <w:sz w:val="21"/>
          <w:highlight w:val="none"/>
        </w:rPr>
      </w:pPr>
      <w:r>
        <w:rPr>
          <w:rFonts w:hint="eastAsia" w:ascii="宋体" w:hAnsi="宋体" w:cs="宋体"/>
          <w:color w:val="auto"/>
          <w:sz w:val="21"/>
          <w:highlight w:val="none"/>
        </w:rPr>
        <w:t xml:space="preserve">    4.2.5 （B）逾期送达的投标文件，电子招标投标交易平台将予以拒收。</w:t>
      </w:r>
    </w:p>
    <w:p>
      <w:pPr>
        <w:spacing w:after="0"/>
        <w:ind w:left="420"/>
        <w:rPr>
          <w:rFonts w:ascii="宋体" w:hAnsi="宋体" w:eastAsia="宋体" w:cs="宋体"/>
          <w:color w:val="auto"/>
          <w:highlight w:val="none"/>
        </w:rPr>
      </w:pPr>
    </w:p>
    <w:p>
      <w:pPr>
        <w:pStyle w:val="5"/>
        <w:spacing w:after="285"/>
        <w:ind w:left="132" w:right="0"/>
        <w:rPr>
          <w:rFonts w:ascii="宋体" w:hAnsi="宋体" w:eastAsia="宋体" w:cs="宋体"/>
          <w:color w:val="auto"/>
          <w:highlight w:val="none"/>
        </w:rPr>
      </w:pPr>
      <w:bookmarkStart w:id="107" w:name="_Toc142406605"/>
      <w:bookmarkStart w:id="108" w:name="_Toc508788640"/>
      <w:bookmarkStart w:id="109" w:name="_Toc508382123"/>
      <w:r>
        <w:rPr>
          <w:rFonts w:hint="eastAsia" w:ascii="宋体" w:hAnsi="宋体" w:eastAsia="宋体" w:cs="宋体"/>
          <w:color w:val="auto"/>
          <w:highlight w:val="none"/>
        </w:rPr>
        <w:t>4.3 投标文件的修改与撤回</w:t>
      </w:r>
      <w:bookmarkEnd w:id="107"/>
      <w:bookmarkEnd w:id="108"/>
      <w:bookmarkEnd w:id="109"/>
    </w:p>
    <w:p>
      <w:pPr>
        <w:spacing w:after="0" w:line="371"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4.3.1 在本章第 4.2.1 项规定的投标截止时间前，投标人可以修改或撤回已递交的投标文件，但应以书面形式通知招标人。 </w:t>
      </w:r>
    </w:p>
    <w:p>
      <w:pPr>
        <w:pStyle w:val="15"/>
        <w:kinsoku w:val="0"/>
        <w:overflowPunct w:val="0"/>
        <w:spacing w:before="40" w:line="295" w:lineRule="auto"/>
        <w:ind w:left="100" w:firstLine="419"/>
        <w:rPr>
          <w:rFonts w:ascii="宋体" w:hAnsi="宋体" w:cs="宋体"/>
          <w:color w:val="auto"/>
          <w:sz w:val="21"/>
          <w:highlight w:val="none"/>
        </w:rPr>
      </w:pPr>
      <w:r>
        <w:rPr>
          <w:rFonts w:hint="eastAsia" w:ascii="宋体" w:hAnsi="宋体" w:cs="宋体"/>
          <w:color w:val="auto"/>
          <w:sz w:val="21"/>
          <w:highlight w:val="none"/>
        </w:rPr>
        <w:t>4.3.2 （B）投标人修改或撤回已递交投标文件的通知，应按照本章第 3.7.3（B）项的要求 加盖电子印章。电子招标投标交易平台收到通知后，即时向投标人发出确认回执通知。</w:t>
      </w:r>
    </w:p>
    <w:p>
      <w:pPr>
        <w:spacing w:after="252" w:line="37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4.3.4 修改的内容为投标文件的组成部分。修改的投标文件应按照本章第 3 条、第 4 条的规定进行编制、密封、标记和递交，并标明“修改”字样。 </w:t>
      </w:r>
    </w:p>
    <w:p>
      <w:pPr>
        <w:pStyle w:val="4"/>
        <w:spacing w:after="500" w:line="262" w:lineRule="auto"/>
        <w:ind w:left="-5" w:right="0"/>
        <w:rPr>
          <w:rFonts w:ascii="宋体" w:hAnsi="宋体" w:eastAsia="宋体" w:cs="宋体"/>
          <w:color w:val="auto"/>
          <w:highlight w:val="none"/>
        </w:rPr>
      </w:pPr>
      <w:bookmarkStart w:id="110" w:name="_Toc508788641"/>
      <w:bookmarkStart w:id="111" w:name="_Toc142406606"/>
      <w:bookmarkStart w:id="112" w:name="_Toc508382124"/>
      <w:r>
        <w:rPr>
          <w:rFonts w:hint="eastAsia" w:ascii="宋体" w:hAnsi="宋体" w:eastAsia="宋体" w:cs="宋体"/>
          <w:b/>
          <w:color w:val="auto"/>
          <w:sz w:val="32"/>
          <w:highlight w:val="none"/>
        </w:rPr>
        <w:t xml:space="preserve">5. </w:t>
      </w:r>
      <w:r>
        <w:rPr>
          <w:rFonts w:hint="eastAsia" w:ascii="宋体" w:hAnsi="宋体" w:eastAsia="宋体" w:cs="宋体"/>
          <w:color w:val="auto"/>
          <w:sz w:val="32"/>
          <w:highlight w:val="none"/>
        </w:rPr>
        <w:t>开标</w:t>
      </w:r>
      <w:bookmarkEnd w:id="110"/>
      <w:bookmarkEnd w:id="111"/>
      <w:bookmarkEnd w:id="112"/>
    </w:p>
    <w:p>
      <w:pPr>
        <w:pStyle w:val="5"/>
        <w:spacing w:after="281"/>
        <w:ind w:left="132" w:right="0"/>
        <w:rPr>
          <w:rFonts w:ascii="宋体" w:hAnsi="宋体" w:eastAsia="宋体" w:cs="宋体"/>
          <w:color w:val="auto"/>
          <w:highlight w:val="none"/>
        </w:rPr>
      </w:pPr>
      <w:bookmarkStart w:id="113" w:name="_Toc508788642"/>
      <w:bookmarkStart w:id="114" w:name="_Toc142406607"/>
      <w:bookmarkStart w:id="115" w:name="_Toc508382125"/>
      <w:r>
        <w:rPr>
          <w:rFonts w:hint="eastAsia" w:ascii="宋体" w:hAnsi="宋体" w:eastAsia="宋体" w:cs="宋体"/>
          <w:color w:val="auto"/>
          <w:highlight w:val="none"/>
        </w:rPr>
        <w:t>5.1 开标时间和地点（A）</w:t>
      </w:r>
      <w:bookmarkEnd w:id="113"/>
      <w:bookmarkEnd w:id="114"/>
      <w:bookmarkEnd w:id="115"/>
    </w:p>
    <w:p>
      <w:pPr>
        <w:spacing w:after="216" w:line="374"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招标人在本章第 4.2.1 项规定的投标截止时间（开标时间）和投标人须知前附表规定的地点公开开标，并邀请所有投标人的法定代表人或其委托代理人准时参加。</w:t>
      </w:r>
    </w:p>
    <w:p>
      <w:pPr>
        <w:pStyle w:val="5"/>
        <w:spacing w:after="282"/>
        <w:ind w:left="132" w:right="0"/>
        <w:rPr>
          <w:rFonts w:ascii="宋体" w:hAnsi="宋体" w:eastAsia="宋体" w:cs="宋体"/>
          <w:color w:val="auto"/>
          <w:highlight w:val="none"/>
        </w:rPr>
      </w:pPr>
      <w:bookmarkStart w:id="116" w:name="_Toc508382126"/>
      <w:bookmarkStart w:id="117" w:name="_Toc508788643"/>
      <w:bookmarkStart w:id="118" w:name="_Toc142406608"/>
      <w:r>
        <w:rPr>
          <w:rFonts w:hint="eastAsia" w:ascii="宋体" w:hAnsi="宋体" w:eastAsia="宋体" w:cs="宋体"/>
          <w:color w:val="auto"/>
          <w:highlight w:val="none"/>
        </w:rPr>
        <w:t>5.2 开标程序</w:t>
      </w:r>
      <w:bookmarkEnd w:id="116"/>
      <w:bookmarkEnd w:id="117"/>
      <w:bookmarkEnd w:id="118"/>
    </w:p>
    <w:p>
      <w:pPr>
        <w:pStyle w:val="15"/>
        <w:kinsoku w:val="0"/>
        <w:overflowPunct w:val="0"/>
        <w:ind w:left="407"/>
        <w:rPr>
          <w:rFonts w:ascii="宋体" w:hAnsi="宋体" w:cs="宋体"/>
          <w:color w:val="auto"/>
          <w:sz w:val="21"/>
          <w:highlight w:val="none"/>
        </w:rPr>
      </w:pPr>
      <w:r>
        <w:rPr>
          <w:rFonts w:hint="eastAsia" w:ascii="宋体" w:hAnsi="宋体" w:cs="宋体"/>
          <w:color w:val="auto"/>
          <w:sz w:val="21"/>
          <w:highlight w:val="none"/>
          <w:u w:val="single"/>
        </w:rPr>
        <w:t>5.2.1</w:t>
      </w:r>
      <w:r>
        <w:rPr>
          <w:rFonts w:hint="eastAsia" w:ascii="宋体" w:hAnsi="宋体" w:cs="宋体"/>
          <w:color w:val="auto"/>
          <w:sz w:val="21"/>
          <w:highlight w:val="none"/>
        </w:rPr>
        <w:t>主持</w:t>
      </w:r>
      <w:r>
        <w:rPr>
          <w:rFonts w:hint="eastAsia" w:ascii="宋体" w:hAnsi="宋体" w:cs="宋体"/>
          <w:color w:val="auto"/>
          <w:spacing w:val="-3"/>
          <w:sz w:val="21"/>
          <w:highlight w:val="none"/>
        </w:rPr>
        <w:t>人</w:t>
      </w:r>
      <w:r>
        <w:rPr>
          <w:rFonts w:hint="eastAsia" w:ascii="宋体" w:hAnsi="宋体" w:cs="宋体"/>
          <w:color w:val="auto"/>
          <w:sz w:val="21"/>
          <w:highlight w:val="none"/>
        </w:rPr>
        <w:t>按</w:t>
      </w:r>
      <w:r>
        <w:rPr>
          <w:rFonts w:hint="eastAsia" w:ascii="宋体" w:hAnsi="宋体" w:cs="宋体"/>
          <w:color w:val="auto"/>
          <w:spacing w:val="-3"/>
          <w:sz w:val="21"/>
          <w:highlight w:val="none"/>
        </w:rPr>
        <w:t>下</w:t>
      </w:r>
      <w:r>
        <w:rPr>
          <w:rFonts w:hint="eastAsia" w:ascii="宋体" w:hAnsi="宋体" w:cs="宋体"/>
          <w:color w:val="auto"/>
          <w:sz w:val="21"/>
          <w:highlight w:val="none"/>
        </w:rPr>
        <w:t>列</w:t>
      </w:r>
      <w:r>
        <w:rPr>
          <w:rFonts w:hint="eastAsia" w:ascii="宋体" w:hAnsi="宋体" w:cs="宋体"/>
          <w:color w:val="auto"/>
          <w:spacing w:val="-3"/>
          <w:sz w:val="21"/>
          <w:highlight w:val="none"/>
        </w:rPr>
        <w:t>程</w:t>
      </w:r>
      <w:r>
        <w:rPr>
          <w:rFonts w:hint="eastAsia" w:ascii="宋体" w:hAnsi="宋体" w:cs="宋体"/>
          <w:color w:val="auto"/>
          <w:sz w:val="21"/>
          <w:highlight w:val="none"/>
        </w:rPr>
        <w:t>序</w:t>
      </w:r>
      <w:r>
        <w:rPr>
          <w:rFonts w:hint="eastAsia" w:ascii="宋体" w:hAnsi="宋体" w:cs="宋体"/>
          <w:color w:val="auto"/>
          <w:spacing w:val="-3"/>
          <w:sz w:val="21"/>
          <w:highlight w:val="none"/>
        </w:rPr>
        <w:t>进</w:t>
      </w:r>
      <w:r>
        <w:rPr>
          <w:rFonts w:hint="eastAsia" w:ascii="宋体" w:hAnsi="宋体" w:cs="宋体"/>
          <w:color w:val="auto"/>
          <w:sz w:val="21"/>
          <w:highlight w:val="none"/>
        </w:rPr>
        <w:t>行</w:t>
      </w:r>
      <w:r>
        <w:rPr>
          <w:rFonts w:hint="eastAsia" w:ascii="宋体" w:hAnsi="宋体" w:cs="宋体"/>
          <w:color w:val="auto"/>
          <w:spacing w:val="-3"/>
          <w:sz w:val="21"/>
          <w:highlight w:val="none"/>
        </w:rPr>
        <w:t>开</w:t>
      </w:r>
      <w:r>
        <w:rPr>
          <w:rFonts w:hint="eastAsia" w:ascii="宋体" w:hAnsi="宋体" w:cs="宋体"/>
          <w:color w:val="auto"/>
          <w:sz w:val="21"/>
          <w:highlight w:val="none"/>
        </w:rPr>
        <w:t>标：</w:t>
      </w:r>
    </w:p>
    <w:p>
      <w:pPr>
        <w:pStyle w:val="15"/>
        <w:kinsoku w:val="0"/>
        <w:overflowPunct w:val="0"/>
        <w:spacing w:before="91"/>
        <w:ind w:left="407"/>
        <w:rPr>
          <w:rFonts w:ascii="宋体" w:hAnsi="宋体" w:cs="宋体"/>
          <w:color w:val="auto"/>
          <w:sz w:val="21"/>
          <w:highlight w:val="none"/>
        </w:rPr>
      </w:pPr>
      <w:r>
        <w:rPr>
          <w:rFonts w:hint="eastAsia" w:ascii="宋体" w:hAnsi="宋体" w:cs="宋体"/>
          <w:color w:val="auto"/>
          <w:sz w:val="21"/>
          <w:highlight w:val="none"/>
        </w:rPr>
        <w:t>（1）宣布开标纪律；</w:t>
      </w:r>
    </w:p>
    <w:p>
      <w:pPr>
        <w:pStyle w:val="15"/>
        <w:kinsoku w:val="0"/>
        <w:overflowPunct w:val="0"/>
        <w:spacing w:before="72"/>
        <w:ind w:left="407"/>
        <w:rPr>
          <w:rFonts w:ascii="宋体" w:hAnsi="宋体" w:cs="宋体"/>
          <w:color w:val="auto"/>
          <w:sz w:val="21"/>
          <w:highlight w:val="none"/>
        </w:rPr>
      </w:pPr>
      <w:r>
        <w:rPr>
          <w:rFonts w:hint="eastAsia" w:ascii="宋体" w:hAnsi="宋体" w:cs="宋体"/>
          <w:color w:val="auto"/>
          <w:sz w:val="21"/>
          <w:highlight w:val="none"/>
        </w:rPr>
        <w:t>（2）公布在投标截止时间前递交投标文件的投标人名称；</w:t>
      </w:r>
    </w:p>
    <w:p>
      <w:pPr>
        <w:pStyle w:val="15"/>
        <w:kinsoku w:val="0"/>
        <w:overflowPunct w:val="0"/>
        <w:spacing w:before="75"/>
        <w:ind w:left="407"/>
        <w:rPr>
          <w:rFonts w:ascii="宋体" w:hAnsi="宋体" w:cs="宋体"/>
          <w:color w:val="auto"/>
          <w:sz w:val="21"/>
          <w:highlight w:val="none"/>
        </w:rPr>
      </w:pPr>
      <w:r>
        <w:rPr>
          <w:rFonts w:hint="eastAsia" w:ascii="宋体" w:hAnsi="宋体" w:cs="宋体"/>
          <w:color w:val="auto"/>
          <w:sz w:val="21"/>
          <w:highlight w:val="none"/>
        </w:rPr>
        <w:t>（3）宣布开标人、唱标人、记录人、监标人等有关人员姓名；</w:t>
      </w:r>
    </w:p>
    <w:p>
      <w:pPr>
        <w:pStyle w:val="15"/>
        <w:kinsoku w:val="0"/>
        <w:overflowPunct w:val="0"/>
        <w:spacing w:line="325" w:lineRule="exact"/>
        <w:ind w:left="407"/>
        <w:rPr>
          <w:rFonts w:ascii="宋体" w:hAnsi="宋体" w:cs="宋体"/>
          <w:color w:val="auto"/>
          <w:sz w:val="21"/>
          <w:highlight w:val="none"/>
        </w:rPr>
      </w:pPr>
      <w:r>
        <w:rPr>
          <w:rFonts w:hint="eastAsia" w:ascii="宋体" w:hAnsi="宋体" w:cs="宋体"/>
          <w:color w:val="auto"/>
          <w:sz w:val="21"/>
          <w:highlight w:val="none"/>
        </w:rPr>
        <w:t>（4）（B）投标人通过电子招标投标交易平台对已递交的电子投标文件进行解密，公布招标项目名称、投标人名称、投标报价、监测服务期限及其他内容，并记录在案；</w:t>
      </w:r>
    </w:p>
    <w:p>
      <w:pPr>
        <w:pStyle w:val="15"/>
        <w:kinsoku w:val="0"/>
        <w:overflowPunct w:val="0"/>
        <w:spacing w:before="31"/>
        <w:ind w:left="407"/>
        <w:rPr>
          <w:rFonts w:ascii="宋体" w:hAnsi="宋体" w:cs="宋体"/>
          <w:color w:val="auto"/>
          <w:sz w:val="21"/>
          <w:highlight w:val="none"/>
        </w:rPr>
      </w:pPr>
      <w:r>
        <w:rPr>
          <w:rFonts w:hint="eastAsia" w:ascii="宋体" w:hAnsi="宋体" w:cs="宋体"/>
          <w:color w:val="auto"/>
          <w:sz w:val="21"/>
          <w:highlight w:val="none"/>
        </w:rPr>
        <w:t>（5）（A）投标人代表、招标人代表、监标人、记录人等有关人员在开标记录上签字确认；</w:t>
      </w:r>
    </w:p>
    <w:p>
      <w:pPr>
        <w:pStyle w:val="15"/>
        <w:kinsoku w:val="0"/>
        <w:overflowPunct w:val="0"/>
        <w:spacing w:before="44"/>
        <w:ind w:left="407"/>
        <w:rPr>
          <w:rFonts w:ascii="宋体" w:hAnsi="宋体" w:cs="宋体"/>
          <w:color w:val="auto"/>
          <w:sz w:val="21"/>
          <w:highlight w:val="none"/>
        </w:rPr>
      </w:pPr>
      <w:r>
        <w:rPr>
          <w:rFonts w:hint="eastAsia" w:ascii="宋体" w:hAnsi="宋体" w:cs="宋体"/>
          <w:color w:val="auto"/>
          <w:sz w:val="21"/>
          <w:highlight w:val="none"/>
        </w:rPr>
        <w:t>（6）开标结束。</w:t>
      </w:r>
    </w:p>
    <w:p>
      <w:pPr>
        <w:spacing w:after="123" w:line="265" w:lineRule="auto"/>
        <w:ind w:left="817" w:right="103"/>
        <w:rPr>
          <w:rFonts w:ascii="宋体" w:hAnsi="宋体" w:eastAsia="宋体" w:cs="宋体"/>
          <w:color w:val="auto"/>
          <w:highlight w:val="none"/>
        </w:rPr>
      </w:pPr>
    </w:p>
    <w:p>
      <w:pPr>
        <w:pStyle w:val="5"/>
        <w:spacing w:after="282"/>
        <w:ind w:left="132" w:right="0"/>
        <w:rPr>
          <w:rFonts w:ascii="宋体" w:hAnsi="宋体" w:eastAsia="宋体" w:cs="宋体"/>
          <w:color w:val="auto"/>
          <w:highlight w:val="none"/>
        </w:rPr>
      </w:pPr>
      <w:bookmarkStart w:id="119" w:name="_Toc508382127"/>
      <w:bookmarkStart w:id="120" w:name="_Toc508788644"/>
      <w:bookmarkStart w:id="121" w:name="_Toc142406609"/>
      <w:r>
        <w:rPr>
          <w:rFonts w:hint="eastAsia" w:ascii="宋体" w:hAnsi="宋体" w:eastAsia="宋体" w:cs="宋体"/>
          <w:color w:val="auto"/>
          <w:highlight w:val="none"/>
        </w:rPr>
        <w:t>5.3 开标异议</w:t>
      </w:r>
      <w:bookmarkEnd w:id="119"/>
      <w:bookmarkEnd w:id="120"/>
      <w:bookmarkEnd w:id="121"/>
    </w:p>
    <w:p>
      <w:pPr>
        <w:spacing w:after="380"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投标人对开标有异议的，应当在开标现场提出，招标人当场作出答复，并制作记录。 </w:t>
      </w:r>
    </w:p>
    <w:p>
      <w:pPr>
        <w:pStyle w:val="4"/>
        <w:spacing w:after="500" w:line="262" w:lineRule="auto"/>
        <w:ind w:left="-5" w:right="0"/>
        <w:rPr>
          <w:rFonts w:ascii="宋体" w:hAnsi="宋体" w:eastAsia="宋体" w:cs="宋体"/>
          <w:color w:val="auto"/>
          <w:highlight w:val="none"/>
        </w:rPr>
      </w:pPr>
      <w:bookmarkStart w:id="122" w:name="_Toc508788645"/>
      <w:bookmarkStart w:id="123" w:name="_Toc508382128"/>
      <w:bookmarkStart w:id="124" w:name="_Toc142406610"/>
      <w:r>
        <w:rPr>
          <w:rFonts w:hint="eastAsia" w:ascii="宋体" w:hAnsi="宋体" w:eastAsia="宋体" w:cs="宋体"/>
          <w:b/>
          <w:color w:val="auto"/>
          <w:sz w:val="32"/>
          <w:highlight w:val="none"/>
        </w:rPr>
        <w:t xml:space="preserve">6. </w:t>
      </w:r>
      <w:r>
        <w:rPr>
          <w:rFonts w:hint="eastAsia" w:ascii="宋体" w:hAnsi="宋体" w:eastAsia="宋体" w:cs="宋体"/>
          <w:color w:val="auto"/>
          <w:sz w:val="32"/>
          <w:highlight w:val="none"/>
        </w:rPr>
        <w:t>评标</w:t>
      </w:r>
      <w:bookmarkEnd w:id="122"/>
      <w:bookmarkEnd w:id="123"/>
      <w:bookmarkEnd w:id="124"/>
    </w:p>
    <w:p>
      <w:pPr>
        <w:pStyle w:val="5"/>
        <w:spacing w:after="281"/>
        <w:ind w:left="132" w:right="0"/>
        <w:rPr>
          <w:rFonts w:ascii="宋体" w:hAnsi="宋体" w:eastAsia="宋体" w:cs="宋体"/>
          <w:color w:val="auto"/>
          <w:highlight w:val="none"/>
        </w:rPr>
      </w:pPr>
      <w:bookmarkStart w:id="125" w:name="_Toc508788646"/>
      <w:bookmarkStart w:id="126" w:name="_Toc142406611"/>
      <w:bookmarkStart w:id="127" w:name="_Toc508382129"/>
      <w:r>
        <w:rPr>
          <w:rFonts w:hint="eastAsia" w:ascii="宋体" w:hAnsi="宋体" w:eastAsia="宋体" w:cs="宋体"/>
          <w:color w:val="auto"/>
          <w:highlight w:val="none"/>
        </w:rPr>
        <w:t>6.1 评标委员会</w:t>
      </w:r>
      <w:bookmarkEnd w:id="125"/>
      <w:bookmarkEnd w:id="126"/>
      <w:bookmarkEnd w:id="127"/>
    </w:p>
    <w:p>
      <w:pPr>
        <w:spacing w:after="9" w:line="35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6.1.2 评标委员会成员有下列情形之一的，应当回避： </w:t>
      </w:r>
    </w:p>
    <w:p>
      <w:pPr>
        <w:numPr>
          <w:ilvl w:val="0"/>
          <w:numId w:val="5"/>
        </w:numPr>
        <w:spacing w:after="123" w:line="265" w:lineRule="auto"/>
        <w:ind w:right="103" w:firstLine="718"/>
        <w:rPr>
          <w:rFonts w:ascii="宋体" w:hAnsi="宋体" w:eastAsia="宋体" w:cs="宋体"/>
          <w:color w:val="auto"/>
          <w:highlight w:val="none"/>
        </w:rPr>
      </w:pPr>
      <w:r>
        <w:rPr>
          <w:rFonts w:hint="eastAsia" w:ascii="宋体" w:hAnsi="宋体" w:eastAsia="宋体" w:cs="宋体"/>
          <w:color w:val="auto"/>
          <w:sz w:val="21"/>
          <w:highlight w:val="none"/>
        </w:rPr>
        <w:t xml:space="preserve">投标人或投标人主要负责人的近亲属； </w:t>
      </w:r>
    </w:p>
    <w:p>
      <w:pPr>
        <w:numPr>
          <w:ilvl w:val="0"/>
          <w:numId w:val="5"/>
        </w:numPr>
        <w:spacing w:after="123" w:line="265" w:lineRule="auto"/>
        <w:ind w:right="103" w:firstLine="718"/>
        <w:rPr>
          <w:rFonts w:ascii="宋体" w:hAnsi="宋体" w:eastAsia="宋体" w:cs="宋体"/>
          <w:color w:val="auto"/>
          <w:highlight w:val="none"/>
        </w:rPr>
      </w:pPr>
      <w:r>
        <w:rPr>
          <w:rFonts w:hint="eastAsia" w:ascii="宋体" w:hAnsi="宋体" w:eastAsia="宋体" w:cs="宋体"/>
          <w:color w:val="auto"/>
          <w:sz w:val="21"/>
          <w:highlight w:val="none"/>
        </w:rPr>
        <w:t xml:space="preserve">项目主管部门或者行政监督部门的人员； </w:t>
      </w:r>
    </w:p>
    <w:p>
      <w:pPr>
        <w:numPr>
          <w:ilvl w:val="0"/>
          <w:numId w:val="5"/>
        </w:numPr>
        <w:spacing w:after="123" w:line="265" w:lineRule="auto"/>
        <w:ind w:right="103" w:firstLine="718"/>
        <w:rPr>
          <w:rFonts w:ascii="宋体" w:hAnsi="宋体" w:eastAsia="宋体" w:cs="宋体"/>
          <w:color w:val="auto"/>
          <w:highlight w:val="none"/>
        </w:rPr>
      </w:pPr>
      <w:r>
        <w:rPr>
          <w:rFonts w:hint="eastAsia" w:ascii="宋体" w:hAnsi="宋体" w:eastAsia="宋体" w:cs="宋体"/>
          <w:color w:val="auto"/>
          <w:sz w:val="21"/>
          <w:highlight w:val="none"/>
        </w:rPr>
        <w:t xml:space="preserve">与投标人有经济利益关系，可能影响对投标公正评审的； </w:t>
      </w:r>
    </w:p>
    <w:p>
      <w:pPr>
        <w:numPr>
          <w:ilvl w:val="0"/>
          <w:numId w:val="5"/>
        </w:numPr>
        <w:spacing w:after="0" w:line="370" w:lineRule="auto"/>
        <w:ind w:right="103" w:firstLine="718"/>
        <w:rPr>
          <w:rFonts w:ascii="宋体" w:hAnsi="宋体" w:eastAsia="宋体" w:cs="宋体"/>
          <w:color w:val="auto"/>
          <w:highlight w:val="none"/>
        </w:rPr>
      </w:pPr>
      <w:r>
        <w:rPr>
          <w:rFonts w:hint="eastAsia" w:ascii="宋体" w:hAnsi="宋体" w:eastAsia="宋体" w:cs="宋体"/>
          <w:color w:val="auto"/>
          <w:sz w:val="21"/>
          <w:highlight w:val="none"/>
        </w:rPr>
        <w:t xml:space="preserve">曾因在招标、评标以及其他与招标投标有关活动中从事违法行为而受过行政处罚或刑事处罚的； </w:t>
      </w:r>
    </w:p>
    <w:p>
      <w:pPr>
        <w:numPr>
          <w:ilvl w:val="0"/>
          <w:numId w:val="5"/>
        </w:numPr>
        <w:spacing w:after="123" w:line="265" w:lineRule="auto"/>
        <w:ind w:right="103" w:firstLine="718"/>
        <w:rPr>
          <w:rFonts w:ascii="宋体" w:hAnsi="宋体" w:eastAsia="宋体" w:cs="宋体"/>
          <w:color w:val="auto"/>
          <w:highlight w:val="none"/>
        </w:rPr>
      </w:pPr>
      <w:r>
        <w:rPr>
          <w:rFonts w:hint="eastAsia" w:ascii="宋体" w:hAnsi="宋体" w:eastAsia="宋体" w:cs="宋体"/>
          <w:color w:val="auto"/>
          <w:sz w:val="21"/>
          <w:highlight w:val="none"/>
        </w:rPr>
        <w:t xml:space="preserve">与投标人有其他利害关系。 </w:t>
      </w:r>
    </w:p>
    <w:p>
      <w:pPr>
        <w:spacing w:after="233" w:line="358"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6.1.3 评标过程中，评标委员会成员有回避事由、擅离职守或者因健康等原因不能继续评标的，招标人有权更换。被更换的评标委员会成员作出的评审结论无效，由更换后的评标委员会成员重新进行评审。 </w:t>
      </w:r>
    </w:p>
    <w:p>
      <w:pPr>
        <w:pStyle w:val="5"/>
        <w:spacing w:after="282"/>
        <w:ind w:left="132" w:right="0"/>
        <w:rPr>
          <w:rFonts w:ascii="宋体" w:hAnsi="宋体" w:eastAsia="宋体" w:cs="宋体"/>
          <w:color w:val="auto"/>
          <w:highlight w:val="none"/>
        </w:rPr>
      </w:pPr>
      <w:bookmarkStart w:id="128" w:name="_Toc142406612"/>
      <w:bookmarkStart w:id="129" w:name="_Toc508382130"/>
      <w:bookmarkStart w:id="130" w:name="_Toc508788647"/>
      <w:r>
        <w:rPr>
          <w:rFonts w:hint="eastAsia" w:ascii="宋体" w:hAnsi="宋体" w:eastAsia="宋体" w:cs="宋体"/>
          <w:color w:val="auto"/>
          <w:highlight w:val="none"/>
        </w:rPr>
        <w:t>6.2 评标原则</w:t>
      </w:r>
      <w:bookmarkEnd w:id="128"/>
      <w:bookmarkEnd w:id="129"/>
      <w:bookmarkEnd w:id="130"/>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评标活动遵循公平、公正、科学和择优的原则。 </w:t>
      </w:r>
    </w:p>
    <w:p>
      <w:pPr>
        <w:pStyle w:val="5"/>
        <w:spacing w:after="286" w:line="259" w:lineRule="auto"/>
        <w:ind w:left="132" w:right="0"/>
        <w:rPr>
          <w:rFonts w:ascii="宋体" w:hAnsi="宋体" w:eastAsia="宋体" w:cs="宋体"/>
          <w:color w:val="auto"/>
          <w:highlight w:val="none"/>
        </w:rPr>
      </w:pPr>
      <w:bookmarkStart w:id="131" w:name="_Toc508788648"/>
      <w:bookmarkStart w:id="132" w:name="_Toc142406613"/>
      <w:bookmarkStart w:id="133" w:name="_Toc508382131"/>
      <w:r>
        <w:rPr>
          <w:rFonts w:hint="eastAsia" w:ascii="宋体" w:hAnsi="宋体" w:eastAsia="宋体" w:cs="宋体"/>
          <w:color w:val="auto"/>
          <w:highlight w:val="none"/>
        </w:rPr>
        <w:t>6.3 评标</w:t>
      </w:r>
      <w:bookmarkEnd w:id="131"/>
      <w:bookmarkEnd w:id="132"/>
      <w:bookmarkEnd w:id="133"/>
    </w:p>
    <w:p>
      <w:pPr>
        <w:spacing w:after="0" w:line="372"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6.3.1 评标委员会按照第三章“评标办法”规定的方法、评审因素、标准和程序对投标文件进行评审。第三章“评标办法”没有规定的方法、评审因素和标准，不作为评标依据。 </w:t>
      </w:r>
    </w:p>
    <w:p>
      <w:pPr>
        <w:spacing w:after="255" w:line="374"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6.3.2 评标完成后，评标委员会应当向招标人提交书面评标报告和中标候选人名单。评标委员会推荐中标候选人的人数见投标人须知前附表。 </w:t>
      </w:r>
    </w:p>
    <w:p>
      <w:pPr>
        <w:pStyle w:val="4"/>
        <w:spacing w:after="503" w:line="264" w:lineRule="auto"/>
        <w:ind w:left="-5" w:right="0"/>
        <w:rPr>
          <w:rFonts w:ascii="宋体" w:hAnsi="宋体" w:eastAsia="宋体" w:cs="宋体"/>
          <w:color w:val="auto"/>
          <w:highlight w:val="none"/>
        </w:rPr>
      </w:pPr>
      <w:bookmarkStart w:id="134" w:name="_Toc508788649"/>
      <w:bookmarkStart w:id="135" w:name="_Toc508382132"/>
      <w:bookmarkStart w:id="136" w:name="_Toc142406614"/>
      <w:r>
        <w:rPr>
          <w:rFonts w:hint="eastAsia" w:ascii="宋体" w:hAnsi="宋体" w:eastAsia="宋体" w:cs="宋体"/>
          <w:b/>
          <w:color w:val="auto"/>
          <w:sz w:val="32"/>
          <w:highlight w:val="none"/>
        </w:rPr>
        <w:t xml:space="preserve">7. </w:t>
      </w:r>
      <w:r>
        <w:rPr>
          <w:rFonts w:hint="eastAsia" w:ascii="宋体" w:hAnsi="宋体" w:eastAsia="宋体" w:cs="宋体"/>
          <w:color w:val="auto"/>
          <w:sz w:val="32"/>
          <w:highlight w:val="none"/>
        </w:rPr>
        <w:t>合同授予</w:t>
      </w:r>
      <w:bookmarkEnd w:id="134"/>
      <w:bookmarkEnd w:id="135"/>
      <w:bookmarkEnd w:id="136"/>
    </w:p>
    <w:p>
      <w:pPr>
        <w:pStyle w:val="5"/>
        <w:spacing w:after="282"/>
        <w:ind w:left="132" w:right="0"/>
        <w:rPr>
          <w:rFonts w:ascii="宋体" w:hAnsi="宋体" w:eastAsia="宋体" w:cs="宋体"/>
          <w:color w:val="auto"/>
          <w:highlight w:val="none"/>
        </w:rPr>
      </w:pPr>
      <w:bookmarkStart w:id="137" w:name="_Toc508382133"/>
      <w:bookmarkStart w:id="138" w:name="_Toc508788650"/>
      <w:bookmarkStart w:id="139" w:name="_Toc142406615"/>
      <w:r>
        <w:rPr>
          <w:rFonts w:hint="eastAsia" w:ascii="宋体" w:hAnsi="宋体" w:eastAsia="宋体" w:cs="宋体"/>
          <w:color w:val="auto"/>
          <w:highlight w:val="none"/>
        </w:rPr>
        <w:t>7.1 中标候选人公示</w:t>
      </w:r>
      <w:bookmarkEnd w:id="137"/>
      <w:bookmarkEnd w:id="138"/>
      <w:bookmarkEnd w:id="139"/>
    </w:p>
    <w:p>
      <w:pPr>
        <w:spacing w:after="221" w:line="374" w:lineRule="auto"/>
        <w:ind w:right="103" w:firstLine="420"/>
        <w:rPr>
          <w:rFonts w:ascii="宋体" w:hAnsi="宋体" w:eastAsia="宋体" w:cs="宋体"/>
          <w:color w:val="auto"/>
          <w:highlight w:val="none"/>
          <w:u w:val="single"/>
        </w:rPr>
      </w:pPr>
      <w:r>
        <w:rPr>
          <w:rFonts w:hint="eastAsia" w:ascii="宋体" w:hAnsi="宋体" w:eastAsia="宋体" w:cs="宋体"/>
          <w:color w:val="auto"/>
          <w:sz w:val="21"/>
          <w:highlight w:val="none"/>
        </w:rPr>
        <w:t xml:space="preserve">招标人在收到评标报告之日起 3 日内，按照投标人须知前附表规定的公示媒介和期限公示中标候选人，公示期不得少于3 天。 </w:t>
      </w:r>
    </w:p>
    <w:p>
      <w:pPr>
        <w:pStyle w:val="5"/>
        <w:spacing w:after="278"/>
        <w:ind w:left="132" w:right="0"/>
        <w:rPr>
          <w:rFonts w:ascii="宋体" w:hAnsi="宋体" w:eastAsia="宋体" w:cs="宋体"/>
          <w:color w:val="auto"/>
          <w:highlight w:val="none"/>
        </w:rPr>
      </w:pPr>
      <w:bookmarkStart w:id="140" w:name="_Toc508788651"/>
      <w:bookmarkStart w:id="141" w:name="_Toc508382134"/>
      <w:bookmarkStart w:id="142" w:name="_Toc142406616"/>
      <w:r>
        <w:rPr>
          <w:rFonts w:hint="eastAsia" w:ascii="宋体" w:hAnsi="宋体" w:eastAsia="宋体" w:cs="宋体"/>
          <w:color w:val="auto"/>
          <w:highlight w:val="none"/>
        </w:rPr>
        <w:t>7.2 评标结果异议</w:t>
      </w:r>
      <w:bookmarkEnd w:id="140"/>
      <w:bookmarkEnd w:id="141"/>
      <w:bookmarkEnd w:id="142"/>
    </w:p>
    <w:p>
      <w:pPr>
        <w:spacing w:after="246" w:line="354"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投标人或者其他利害关系人对评标结果有异议的，应当在中标候选人公示期间提出。招标人将在收到异议之日起 3 日内作出答复；作出答复前，将暂停招标投标活动。 </w:t>
      </w:r>
    </w:p>
    <w:p>
      <w:pPr>
        <w:pStyle w:val="5"/>
        <w:spacing w:after="279"/>
        <w:ind w:left="132" w:right="0"/>
        <w:rPr>
          <w:rFonts w:ascii="宋体" w:hAnsi="宋体" w:eastAsia="宋体" w:cs="宋体"/>
          <w:color w:val="auto"/>
          <w:highlight w:val="none"/>
        </w:rPr>
      </w:pPr>
      <w:bookmarkStart w:id="143" w:name="_Toc508788652"/>
      <w:bookmarkStart w:id="144" w:name="_Toc508382135"/>
      <w:bookmarkStart w:id="145" w:name="_Toc142406617"/>
      <w:r>
        <w:rPr>
          <w:rFonts w:hint="eastAsia" w:ascii="宋体" w:hAnsi="宋体" w:eastAsia="宋体" w:cs="宋体"/>
          <w:color w:val="auto"/>
          <w:highlight w:val="none"/>
        </w:rPr>
        <w:t>7.3 中标候选人履约能力审查</w:t>
      </w:r>
      <w:bookmarkEnd w:id="143"/>
      <w:bookmarkEnd w:id="144"/>
      <w:bookmarkEnd w:id="145"/>
    </w:p>
    <w:p>
      <w:pPr>
        <w:spacing w:after="223" w:line="369" w:lineRule="auto"/>
        <w:ind w:left="-15" w:right="197" w:firstLine="410"/>
        <w:jc w:val="both"/>
        <w:rPr>
          <w:rFonts w:ascii="宋体" w:hAnsi="宋体" w:eastAsia="宋体" w:cs="宋体"/>
          <w:color w:val="auto"/>
          <w:highlight w:val="none"/>
        </w:rPr>
      </w:pPr>
      <w:r>
        <w:rPr>
          <w:rFonts w:hint="eastAsia" w:ascii="宋体" w:hAnsi="宋体" w:eastAsia="宋体" w:cs="宋体"/>
          <w:color w:val="auto"/>
          <w:sz w:val="21"/>
          <w:highlight w:val="none"/>
        </w:rPr>
        <w:t xml:space="preserve">中标候选人的经营、财务状况发生较大变化或存在违法行为，招标人认为可能影响其履约能力的，将在发出中标通知书前提请原评标委员会按照招标文件规定的标准和方法进行审查确认。 </w:t>
      </w:r>
    </w:p>
    <w:p>
      <w:pPr>
        <w:pStyle w:val="5"/>
        <w:spacing w:after="286" w:line="259" w:lineRule="auto"/>
        <w:ind w:left="132" w:right="0"/>
        <w:rPr>
          <w:rFonts w:ascii="宋体" w:hAnsi="宋体" w:eastAsia="宋体" w:cs="宋体"/>
          <w:color w:val="auto"/>
          <w:highlight w:val="none"/>
        </w:rPr>
      </w:pPr>
      <w:bookmarkStart w:id="146" w:name="_Toc508382136"/>
      <w:bookmarkStart w:id="147" w:name="_Toc142406618"/>
      <w:bookmarkStart w:id="148" w:name="_Toc508788653"/>
      <w:r>
        <w:rPr>
          <w:rFonts w:hint="eastAsia" w:ascii="宋体" w:hAnsi="宋体" w:eastAsia="宋体" w:cs="宋体"/>
          <w:color w:val="auto"/>
          <w:highlight w:val="none"/>
        </w:rPr>
        <w:t>7.4 定标</w:t>
      </w:r>
      <w:bookmarkEnd w:id="146"/>
      <w:bookmarkEnd w:id="147"/>
      <w:bookmarkEnd w:id="148"/>
    </w:p>
    <w:p>
      <w:pPr>
        <w:spacing w:after="347"/>
        <w:ind w:right="27" w:firstLine="420" w:firstLineChars="200"/>
        <w:jc w:val="both"/>
        <w:rPr>
          <w:rFonts w:ascii="宋体" w:hAnsi="宋体" w:eastAsia="宋体" w:cs="宋体"/>
          <w:color w:val="auto"/>
          <w:highlight w:val="none"/>
        </w:rPr>
      </w:pPr>
      <w:r>
        <w:rPr>
          <w:rFonts w:hint="eastAsia" w:ascii="宋体" w:hAnsi="宋体" w:eastAsia="宋体" w:cs="宋体"/>
          <w:color w:val="auto"/>
          <w:sz w:val="21"/>
          <w:highlight w:val="none"/>
        </w:rPr>
        <w:t xml:space="preserve">按照投标人须知前附表的规定，招标人或招标人授权的评标委员会依法确定中标人。 </w:t>
      </w:r>
    </w:p>
    <w:p>
      <w:pPr>
        <w:pStyle w:val="5"/>
        <w:spacing w:after="282"/>
        <w:ind w:left="132" w:right="0"/>
        <w:rPr>
          <w:rFonts w:ascii="宋体" w:hAnsi="宋体" w:eastAsia="宋体" w:cs="宋体"/>
          <w:color w:val="auto"/>
          <w:highlight w:val="none"/>
        </w:rPr>
      </w:pPr>
      <w:bookmarkStart w:id="149" w:name="_Toc142406619"/>
      <w:bookmarkStart w:id="150" w:name="_Toc508788654"/>
      <w:bookmarkStart w:id="151" w:name="_Toc508382137"/>
      <w:r>
        <w:rPr>
          <w:rFonts w:hint="eastAsia" w:ascii="宋体" w:hAnsi="宋体" w:eastAsia="宋体" w:cs="宋体"/>
          <w:color w:val="auto"/>
          <w:highlight w:val="none"/>
        </w:rPr>
        <w:t>7.5 中标通知</w:t>
      </w:r>
      <w:bookmarkEnd w:id="149"/>
      <w:bookmarkEnd w:id="150"/>
      <w:bookmarkEnd w:id="151"/>
    </w:p>
    <w:p>
      <w:pPr>
        <w:spacing w:after="218" w:line="372"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在本章第 3.3 款规定的投标有效期内，招标人以书面形式向中标人发出中标通知书，同时将中标结果通知未中标的投标人。</w:t>
      </w:r>
    </w:p>
    <w:p>
      <w:pPr>
        <w:pStyle w:val="5"/>
        <w:spacing w:after="284"/>
        <w:ind w:left="132" w:right="0"/>
        <w:rPr>
          <w:rFonts w:ascii="宋体" w:hAnsi="宋体" w:eastAsia="宋体" w:cs="宋体"/>
          <w:color w:val="auto"/>
          <w:highlight w:val="none"/>
        </w:rPr>
      </w:pPr>
      <w:bookmarkStart w:id="152" w:name="_Toc508788655"/>
      <w:bookmarkStart w:id="153" w:name="_Toc508382138"/>
      <w:bookmarkStart w:id="154" w:name="_Toc142406620"/>
      <w:r>
        <w:rPr>
          <w:rFonts w:hint="eastAsia" w:ascii="宋体" w:hAnsi="宋体" w:eastAsia="宋体" w:cs="宋体"/>
          <w:color w:val="auto"/>
          <w:highlight w:val="none"/>
        </w:rPr>
        <w:t>7.6 履约保证金</w:t>
      </w:r>
      <w:bookmarkEnd w:id="152"/>
      <w:bookmarkEnd w:id="153"/>
      <w:bookmarkEnd w:id="154"/>
    </w:p>
    <w:p>
      <w:pPr>
        <w:spacing w:after="0" w:line="371" w:lineRule="auto"/>
        <w:ind w:left="11" w:leftChars="5" w:right="198" w:firstLine="420" w:firstLineChars="200"/>
        <w:jc w:val="both"/>
        <w:rPr>
          <w:rFonts w:ascii="宋体" w:hAnsi="宋体" w:eastAsia="宋体" w:cs="宋体"/>
          <w:dstrike/>
          <w:color w:val="auto"/>
          <w:highlight w:val="none"/>
        </w:rPr>
      </w:pPr>
      <w:r>
        <w:rPr>
          <w:rFonts w:hint="eastAsia" w:ascii="宋体" w:hAnsi="宋体" w:eastAsia="宋体" w:cs="宋体"/>
          <w:color w:val="auto"/>
          <w:sz w:val="21"/>
          <w:highlight w:val="none"/>
        </w:rPr>
        <w:t xml:space="preserve">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10%的银行保函或担保公司担保。 </w:t>
      </w:r>
    </w:p>
    <w:p>
      <w:pPr>
        <w:pStyle w:val="5"/>
        <w:spacing w:after="282"/>
        <w:ind w:left="132" w:right="0"/>
        <w:rPr>
          <w:rFonts w:ascii="宋体" w:hAnsi="宋体" w:eastAsia="宋体" w:cs="宋体"/>
          <w:color w:val="auto"/>
          <w:highlight w:val="none"/>
        </w:rPr>
      </w:pPr>
      <w:r>
        <w:rPr>
          <w:rFonts w:hint="eastAsia" w:ascii="宋体" w:hAnsi="宋体" w:eastAsia="宋体" w:cs="宋体"/>
          <w:color w:val="auto"/>
          <w:sz w:val="21"/>
          <w:highlight w:val="none"/>
        </w:rPr>
        <w:t>7.6.2 中标人不能按本章第 7.6.1 项要求提交履约保证金的，视为放弃中标，其投标保证金不予退还，给招标人造成的损失超过投标保证金数额的，中标人还应当对超过部分予以赔偿。</w:t>
      </w:r>
      <w:bookmarkStart w:id="155" w:name="_Toc508382139"/>
      <w:bookmarkStart w:id="156" w:name="_Toc508788656"/>
      <w:bookmarkStart w:id="157" w:name="_Toc142406621"/>
    </w:p>
    <w:p>
      <w:pPr>
        <w:pStyle w:val="5"/>
        <w:spacing w:after="282"/>
        <w:ind w:left="132" w:right="0"/>
        <w:rPr>
          <w:rFonts w:ascii="宋体" w:hAnsi="宋体" w:eastAsia="宋体" w:cs="宋体"/>
          <w:color w:val="auto"/>
          <w:highlight w:val="none"/>
        </w:rPr>
      </w:pPr>
      <w:r>
        <w:rPr>
          <w:rFonts w:hint="eastAsia" w:ascii="宋体" w:hAnsi="宋体" w:eastAsia="宋体" w:cs="宋体"/>
          <w:color w:val="auto"/>
          <w:highlight w:val="none"/>
        </w:rPr>
        <w:t>7.7 签订合同</w:t>
      </w:r>
      <w:bookmarkEnd w:id="155"/>
      <w:bookmarkEnd w:id="156"/>
      <w:bookmarkEnd w:id="157"/>
    </w:p>
    <w:p>
      <w:pPr>
        <w:spacing w:after="14" w:line="357"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7.7.1 招标人和中标人应当自中标通知书发出之日起30天内，根据招标文件和中标人的投标文件订立书面合同。中标人无正当理由拒签合同的，招标人取消其中标资格；给招标人造成的损失，中标人应向招标人予以赔偿。 </w:t>
      </w:r>
    </w:p>
    <w:p>
      <w:pPr>
        <w:spacing w:after="0" w:line="36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7.7.2 发出中标通知书后，招标人无正当理由拒签合同的；给中标人造成损失的，应当向中标人赔偿损失。 </w:t>
      </w:r>
    </w:p>
    <w:p>
      <w:pPr>
        <w:pStyle w:val="4"/>
        <w:spacing w:after="503" w:line="264" w:lineRule="auto"/>
        <w:ind w:left="-5" w:right="0"/>
        <w:rPr>
          <w:rFonts w:ascii="宋体" w:hAnsi="宋体" w:eastAsia="宋体" w:cs="宋体"/>
          <w:color w:val="auto"/>
          <w:highlight w:val="none"/>
        </w:rPr>
      </w:pPr>
      <w:bookmarkStart w:id="158" w:name="_Toc508382140"/>
      <w:bookmarkStart w:id="159" w:name="_Toc142406622"/>
      <w:bookmarkStart w:id="160" w:name="_Toc508788657"/>
      <w:r>
        <w:rPr>
          <w:rFonts w:hint="eastAsia" w:ascii="宋体" w:hAnsi="宋体" w:eastAsia="宋体" w:cs="宋体"/>
          <w:b/>
          <w:color w:val="auto"/>
          <w:sz w:val="32"/>
          <w:highlight w:val="none"/>
        </w:rPr>
        <w:t>8.</w:t>
      </w:r>
      <w:r>
        <w:rPr>
          <w:rFonts w:hint="eastAsia" w:ascii="宋体" w:hAnsi="宋体" w:eastAsia="宋体" w:cs="宋体"/>
          <w:color w:val="auto"/>
          <w:sz w:val="32"/>
          <w:highlight w:val="none"/>
        </w:rPr>
        <w:t>纪律和监督</w:t>
      </w:r>
      <w:bookmarkEnd w:id="158"/>
      <w:bookmarkEnd w:id="159"/>
      <w:bookmarkEnd w:id="160"/>
    </w:p>
    <w:p>
      <w:pPr>
        <w:pStyle w:val="5"/>
        <w:spacing w:after="278"/>
        <w:ind w:left="132" w:right="0"/>
        <w:rPr>
          <w:rFonts w:ascii="宋体" w:hAnsi="宋体" w:eastAsia="宋体" w:cs="宋体"/>
          <w:color w:val="auto"/>
          <w:highlight w:val="none"/>
        </w:rPr>
      </w:pPr>
      <w:bookmarkStart w:id="161" w:name="_Toc508788658"/>
      <w:bookmarkStart w:id="162" w:name="_Toc508382141"/>
      <w:bookmarkStart w:id="163" w:name="_Toc142406623"/>
      <w:r>
        <w:rPr>
          <w:rFonts w:hint="eastAsia" w:ascii="宋体" w:hAnsi="宋体" w:eastAsia="宋体" w:cs="宋体"/>
          <w:color w:val="auto"/>
          <w:highlight w:val="none"/>
        </w:rPr>
        <w:t>8.1 对招标人的纪律要求</w:t>
      </w:r>
      <w:bookmarkEnd w:id="161"/>
      <w:bookmarkEnd w:id="162"/>
      <w:bookmarkEnd w:id="163"/>
    </w:p>
    <w:p>
      <w:pPr>
        <w:spacing w:after="240" w:line="354"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招标人不得泄露招标投标活动中应当保密的情况和资料，不得与投标人串通损害国家利益、社会公共利益或者他人合法权益。 </w:t>
      </w:r>
    </w:p>
    <w:p>
      <w:pPr>
        <w:pStyle w:val="5"/>
        <w:spacing w:after="278"/>
        <w:ind w:left="132" w:right="0"/>
        <w:rPr>
          <w:rFonts w:ascii="宋体" w:hAnsi="宋体" w:eastAsia="宋体" w:cs="宋体"/>
          <w:color w:val="auto"/>
          <w:highlight w:val="none"/>
        </w:rPr>
      </w:pPr>
      <w:bookmarkStart w:id="164" w:name="_Toc508382142"/>
      <w:bookmarkStart w:id="165" w:name="_Toc142406624"/>
      <w:bookmarkStart w:id="166" w:name="_Toc508788659"/>
      <w:r>
        <w:rPr>
          <w:rFonts w:hint="eastAsia" w:ascii="宋体" w:hAnsi="宋体" w:eastAsia="宋体" w:cs="宋体"/>
          <w:color w:val="auto"/>
          <w:highlight w:val="none"/>
        </w:rPr>
        <w:t>8.2 对投标人的纪律要求</w:t>
      </w:r>
      <w:bookmarkEnd w:id="164"/>
      <w:bookmarkEnd w:id="165"/>
      <w:bookmarkEnd w:id="166"/>
    </w:p>
    <w:p>
      <w:pPr>
        <w:spacing w:after="242" w:line="352"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投标人不得相互串通投标或者与招标人串通投标，不得向招标人或者评标委员会成员行贿谋取中标，不得以他人名义投标或者以其他方式弄虚作假骗取中标；投标人不得以任何方式干扰、影响评标工作。 </w:t>
      </w:r>
    </w:p>
    <w:p>
      <w:pPr>
        <w:pStyle w:val="5"/>
        <w:spacing w:after="279"/>
        <w:ind w:left="132" w:right="0"/>
        <w:rPr>
          <w:rFonts w:ascii="宋体" w:hAnsi="宋体" w:eastAsia="宋体" w:cs="宋体"/>
          <w:color w:val="auto"/>
          <w:highlight w:val="none"/>
        </w:rPr>
      </w:pPr>
      <w:bookmarkStart w:id="167" w:name="_Toc142406625"/>
      <w:bookmarkStart w:id="168" w:name="_Toc508788660"/>
      <w:bookmarkStart w:id="169" w:name="_Toc508382143"/>
      <w:r>
        <w:rPr>
          <w:rFonts w:hint="eastAsia" w:ascii="宋体" w:hAnsi="宋体" w:eastAsia="宋体" w:cs="宋体"/>
          <w:color w:val="auto"/>
          <w:highlight w:val="none"/>
        </w:rPr>
        <w:t>8.3 对评标委员会成员的纪律要求</w:t>
      </w:r>
      <w:bookmarkEnd w:id="167"/>
      <w:bookmarkEnd w:id="168"/>
      <w:bookmarkEnd w:id="169"/>
    </w:p>
    <w:p>
      <w:pPr>
        <w:spacing w:after="348" w:line="34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 </w:t>
      </w:r>
    </w:p>
    <w:p>
      <w:pPr>
        <w:pStyle w:val="5"/>
        <w:spacing w:after="280"/>
        <w:ind w:left="132" w:right="0"/>
        <w:rPr>
          <w:rFonts w:ascii="宋体" w:hAnsi="宋体" w:eastAsia="宋体" w:cs="宋体"/>
          <w:color w:val="auto"/>
          <w:highlight w:val="none"/>
        </w:rPr>
      </w:pPr>
      <w:bookmarkStart w:id="170" w:name="_Toc508382144"/>
      <w:bookmarkStart w:id="171" w:name="_Toc508788661"/>
      <w:bookmarkStart w:id="172" w:name="_Toc142406626"/>
      <w:r>
        <w:rPr>
          <w:rFonts w:hint="eastAsia" w:ascii="宋体" w:hAnsi="宋体" w:eastAsia="宋体" w:cs="宋体"/>
          <w:color w:val="auto"/>
          <w:highlight w:val="none"/>
        </w:rPr>
        <w:t>8.4 对与评标活动有关的工作人员的纪律要求</w:t>
      </w:r>
      <w:bookmarkEnd w:id="170"/>
      <w:bookmarkEnd w:id="171"/>
      <w:bookmarkEnd w:id="172"/>
    </w:p>
    <w:p>
      <w:pPr>
        <w:spacing w:after="239" w:line="352"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 </w:t>
      </w:r>
    </w:p>
    <w:p>
      <w:pPr>
        <w:pStyle w:val="5"/>
        <w:spacing w:after="286" w:line="259" w:lineRule="auto"/>
        <w:ind w:left="132" w:right="0"/>
        <w:rPr>
          <w:rFonts w:ascii="宋体" w:hAnsi="宋体" w:eastAsia="宋体" w:cs="宋体"/>
          <w:color w:val="auto"/>
          <w:highlight w:val="none"/>
        </w:rPr>
      </w:pPr>
      <w:bookmarkStart w:id="173" w:name="_Toc142406627"/>
      <w:bookmarkStart w:id="174" w:name="_Toc508788662"/>
      <w:bookmarkStart w:id="175" w:name="_Toc508382145"/>
      <w:r>
        <w:rPr>
          <w:rFonts w:hint="eastAsia" w:ascii="宋体" w:hAnsi="宋体" w:eastAsia="宋体" w:cs="宋体"/>
          <w:color w:val="auto"/>
          <w:highlight w:val="none"/>
        </w:rPr>
        <w:t>8.5 投诉</w:t>
      </w:r>
      <w:bookmarkEnd w:id="173"/>
      <w:bookmarkEnd w:id="174"/>
      <w:bookmarkEnd w:id="175"/>
    </w:p>
    <w:p>
      <w:pPr>
        <w:spacing w:after="5" w:line="369" w:lineRule="auto"/>
        <w:ind w:left="-15" w:right="197" w:firstLine="410"/>
        <w:jc w:val="both"/>
        <w:rPr>
          <w:rFonts w:ascii="宋体" w:hAnsi="宋体" w:eastAsia="宋体" w:cs="宋体"/>
          <w:color w:val="auto"/>
          <w:highlight w:val="none"/>
        </w:rPr>
      </w:pPr>
      <w:r>
        <w:rPr>
          <w:rFonts w:hint="eastAsia" w:ascii="宋体" w:hAnsi="宋体" w:eastAsia="宋体" w:cs="宋体"/>
          <w:color w:val="auto"/>
          <w:sz w:val="21"/>
          <w:highlight w:val="none"/>
        </w:rPr>
        <w:t xml:space="preserve">8.5.1 投标人或者其他利害关系人认为招标投标活动不符合法律、行政法规规定的，可以自知道或者应当知道之日起 10 日内向有关行政监督部门投诉。投诉应当有明确的请求和必要的证明材料。 </w:t>
      </w:r>
    </w:p>
    <w:p>
      <w:pPr>
        <w:spacing w:after="264" w:line="369" w:lineRule="auto"/>
        <w:ind w:left="-15" w:right="197" w:firstLine="410"/>
        <w:jc w:val="both"/>
        <w:rPr>
          <w:rFonts w:ascii="宋体" w:hAnsi="宋体" w:eastAsia="宋体" w:cs="宋体"/>
          <w:color w:val="auto"/>
          <w:highlight w:val="none"/>
        </w:rPr>
      </w:pPr>
      <w:r>
        <w:rPr>
          <w:rFonts w:hint="eastAsia" w:ascii="宋体" w:hAnsi="宋体" w:eastAsia="宋体" w:cs="宋体"/>
          <w:color w:val="auto"/>
          <w:sz w:val="21"/>
          <w:highlight w:val="none"/>
        </w:rPr>
        <w:t xml:space="preserve">8.5.2 投标人或者其他利害关系人对招标文件、开标和评标结果提出投诉的，应当按照投标人须知第 2.4 款、第 5.3 款和第 7.2 款的规定先向招标人提出异议。异议答复期间不计算在第 8.5.1 项规定的期限内。 </w:t>
      </w:r>
    </w:p>
    <w:p>
      <w:pPr>
        <w:pStyle w:val="4"/>
        <w:spacing w:after="245" w:line="264" w:lineRule="auto"/>
        <w:ind w:left="-5" w:right="0"/>
        <w:rPr>
          <w:rFonts w:ascii="宋体" w:hAnsi="宋体" w:eastAsia="宋体" w:cs="宋体"/>
          <w:color w:val="auto"/>
          <w:highlight w:val="none"/>
        </w:rPr>
      </w:pPr>
      <w:bookmarkStart w:id="176" w:name="_Toc142406628"/>
      <w:bookmarkStart w:id="177" w:name="_Toc508382146"/>
      <w:bookmarkStart w:id="178" w:name="_Toc508788663"/>
      <w:r>
        <w:rPr>
          <w:rFonts w:hint="eastAsia" w:ascii="宋体" w:hAnsi="宋体" w:eastAsia="宋体" w:cs="宋体"/>
          <w:b/>
          <w:color w:val="auto"/>
          <w:sz w:val="32"/>
          <w:highlight w:val="none"/>
        </w:rPr>
        <w:t xml:space="preserve">9. </w:t>
      </w:r>
      <w:r>
        <w:rPr>
          <w:rFonts w:hint="eastAsia" w:ascii="宋体" w:hAnsi="宋体" w:eastAsia="宋体" w:cs="宋体"/>
          <w:color w:val="auto"/>
          <w:sz w:val="32"/>
          <w:highlight w:val="none"/>
        </w:rPr>
        <w:t>是否采用电子招标投标</w:t>
      </w:r>
      <w:bookmarkEnd w:id="176"/>
      <w:bookmarkEnd w:id="177"/>
      <w:bookmarkEnd w:id="178"/>
    </w:p>
    <w:p>
      <w:pPr>
        <w:spacing w:after="385"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本招标项目是否采用电子招标投标方式，见投标人须知前附表。 </w:t>
      </w:r>
    </w:p>
    <w:p>
      <w:pPr>
        <w:pStyle w:val="4"/>
        <w:spacing w:after="244" w:line="264" w:lineRule="auto"/>
        <w:ind w:left="-5" w:right="0"/>
        <w:rPr>
          <w:rFonts w:ascii="宋体" w:hAnsi="宋体" w:eastAsia="宋体" w:cs="宋体"/>
          <w:color w:val="auto"/>
          <w:highlight w:val="none"/>
        </w:rPr>
      </w:pPr>
      <w:bookmarkStart w:id="179" w:name="_Toc508382147"/>
      <w:bookmarkStart w:id="180" w:name="_Toc508788664"/>
      <w:bookmarkStart w:id="181" w:name="_Toc142406629"/>
      <w:r>
        <w:rPr>
          <w:rFonts w:hint="eastAsia" w:ascii="宋体" w:hAnsi="宋体" w:eastAsia="宋体" w:cs="宋体"/>
          <w:b/>
          <w:color w:val="auto"/>
          <w:sz w:val="32"/>
          <w:highlight w:val="none"/>
        </w:rPr>
        <w:t xml:space="preserve">10. </w:t>
      </w:r>
      <w:r>
        <w:rPr>
          <w:rFonts w:hint="eastAsia" w:ascii="宋体" w:hAnsi="宋体" w:eastAsia="宋体" w:cs="宋体"/>
          <w:color w:val="auto"/>
          <w:sz w:val="32"/>
          <w:highlight w:val="none"/>
        </w:rPr>
        <w:t>需要补充的其他内容</w:t>
      </w:r>
      <w:bookmarkEnd w:id="179"/>
      <w:bookmarkEnd w:id="180"/>
      <w:bookmarkEnd w:id="181"/>
    </w:p>
    <w:p>
      <w:pPr>
        <w:spacing w:after="123" w:line="265" w:lineRule="auto"/>
        <w:ind w:left="417" w:right="103" w:hanging="10"/>
        <w:rPr>
          <w:rFonts w:ascii="宋体" w:hAnsi="宋体" w:eastAsia="宋体" w:cs="宋体"/>
          <w:color w:val="auto"/>
          <w:sz w:val="21"/>
          <w:highlight w:val="none"/>
        </w:rPr>
      </w:pPr>
      <w:r>
        <w:rPr>
          <w:rFonts w:hint="eastAsia" w:ascii="宋体" w:hAnsi="宋体" w:eastAsia="宋体" w:cs="宋体"/>
          <w:color w:val="auto"/>
          <w:sz w:val="21"/>
          <w:highlight w:val="none"/>
        </w:rPr>
        <w:t xml:space="preserve">需要补充的其他内容：见投标人须知前附表。 </w:t>
      </w:r>
    </w:p>
    <w:p>
      <w:pPr>
        <w:spacing w:after="123" w:line="265" w:lineRule="auto"/>
        <w:ind w:right="103"/>
        <w:rPr>
          <w:rFonts w:ascii="宋体" w:hAnsi="宋体" w:eastAsia="宋体" w:cs="宋体"/>
          <w:color w:val="auto"/>
          <w:sz w:val="21"/>
          <w:highlight w:val="none"/>
        </w:rPr>
      </w:pPr>
    </w:p>
    <w:p>
      <w:pPr>
        <w:spacing w:after="123" w:line="265" w:lineRule="auto"/>
        <w:ind w:right="103"/>
        <w:rPr>
          <w:rFonts w:ascii="宋体" w:hAnsi="宋体" w:eastAsia="宋体" w:cs="宋体"/>
          <w:color w:val="auto"/>
          <w:sz w:val="21"/>
          <w:highlight w:val="none"/>
        </w:rPr>
      </w:pPr>
    </w:p>
    <w:p>
      <w:pPr>
        <w:spacing w:after="123" w:line="265" w:lineRule="auto"/>
        <w:ind w:right="103"/>
        <w:rPr>
          <w:rFonts w:ascii="宋体" w:hAnsi="宋体" w:eastAsia="宋体" w:cs="宋体"/>
          <w:color w:val="auto"/>
          <w:highlight w:val="none"/>
        </w:rPr>
      </w:pPr>
    </w:p>
    <w:p>
      <w:pPr>
        <w:pStyle w:val="5"/>
        <w:spacing w:after="580"/>
        <w:ind w:left="132" w:right="0"/>
        <w:rPr>
          <w:rFonts w:ascii="宋体" w:hAnsi="宋体" w:eastAsia="宋体" w:cs="宋体"/>
          <w:color w:val="auto"/>
          <w:highlight w:val="none"/>
        </w:rPr>
        <w:sectPr>
          <w:headerReference r:id="rId5" w:type="default"/>
          <w:footerReference r:id="rId6" w:type="default"/>
          <w:pgSz w:w="11906" w:h="16838"/>
          <w:pgMar w:top="1588" w:right="1247" w:bottom="1418" w:left="1644" w:header="851" w:footer="992" w:gutter="0"/>
          <w:cols w:space="720" w:num="1"/>
          <w:docGrid w:type="lines" w:linePitch="312" w:charSpace="0"/>
        </w:sectPr>
      </w:pPr>
      <w:bookmarkStart w:id="182" w:name="_Toc508382148"/>
      <w:bookmarkStart w:id="183" w:name="_Toc508788665"/>
    </w:p>
    <w:p>
      <w:pPr>
        <w:pStyle w:val="5"/>
        <w:spacing w:after="580"/>
        <w:ind w:left="132" w:right="0"/>
        <w:rPr>
          <w:rFonts w:ascii="宋体" w:hAnsi="宋体" w:eastAsia="宋体" w:cs="宋体"/>
          <w:color w:val="auto"/>
          <w:highlight w:val="none"/>
        </w:rPr>
      </w:pPr>
      <w:bookmarkStart w:id="184" w:name="_Toc142406630"/>
      <w:r>
        <w:rPr>
          <w:rFonts w:hint="eastAsia" w:ascii="宋体" w:hAnsi="宋体" w:eastAsia="宋体" w:cs="宋体"/>
          <w:color w:val="auto"/>
          <w:highlight w:val="none"/>
        </w:rPr>
        <w:t xml:space="preserve">附件一：开标记录表 </w:t>
      </w:r>
      <w:bookmarkEnd w:id="182"/>
      <w:bookmarkEnd w:id="183"/>
      <w:r>
        <w:rPr>
          <w:rFonts w:hint="eastAsia" w:ascii="宋体" w:hAnsi="宋体" w:eastAsia="宋体" w:cs="宋体"/>
          <w:color w:val="auto"/>
          <w:highlight w:val="none"/>
        </w:rPr>
        <w:t>（见交易中心系统）</w:t>
      </w:r>
      <w:bookmarkEnd w:id="184"/>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bookmarkStart w:id="185" w:name="_Toc508788666"/>
      <w:bookmarkStart w:id="186" w:name="_Toc508382149"/>
      <w:r>
        <w:rPr>
          <w:rFonts w:hint="eastAsia" w:ascii="宋体" w:hAnsi="宋体" w:eastAsia="宋体" w:cs="宋体"/>
          <w:color w:val="auto"/>
          <w:highlight w:val="none"/>
        </w:rPr>
        <w:t>附件二：问题澄清通知</w:t>
      </w:r>
      <w:bookmarkEnd w:id="185"/>
      <w:bookmarkEnd w:id="186"/>
    </w:p>
    <w:p>
      <w:pPr>
        <w:spacing w:after="183"/>
        <w:ind w:right="161"/>
        <w:jc w:val="center"/>
        <w:rPr>
          <w:rFonts w:ascii="宋体" w:hAnsi="宋体" w:eastAsia="宋体" w:cs="宋体"/>
          <w:color w:val="auto"/>
          <w:highlight w:val="none"/>
        </w:rPr>
      </w:pPr>
    </w:p>
    <w:p>
      <w:pPr>
        <w:pStyle w:val="7"/>
        <w:spacing w:after="84"/>
        <w:ind w:right="212"/>
        <w:jc w:val="center"/>
        <w:rPr>
          <w:rFonts w:ascii="宋体" w:hAnsi="宋体" w:eastAsia="宋体" w:cs="宋体"/>
          <w:color w:val="auto"/>
          <w:highlight w:val="none"/>
        </w:rPr>
      </w:pPr>
      <w:r>
        <w:rPr>
          <w:rFonts w:hint="eastAsia" w:ascii="宋体" w:hAnsi="宋体" w:eastAsia="宋体" w:cs="宋体"/>
          <w:color w:val="auto"/>
          <w:highlight w:val="none"/>
        </w:rPr>
        <w:t xml:space="preserve">问题澄清通知 </w:t>
      </w:r>
    </w:p>
    <w:p>
      <w:pPr>
        <w:spacing w:after="99"/>
        <w:ind w:left="221" w:right="430" w:hanging="10"/>
        <w:jc w:val="center"/>
        <w:rPr>
          <w:rFonts w:ascii="宋体" w:hAnsi="宋体" w:eastAsia="宋体" w:cs="宋体"/>
          <w:color w:val="auto"/>
          <w:highlight w:val="none"/>
        </w:rPr>
      </w:pPr>
      <w:r>
        <w:rPr>
          <w:rFonts w:hint="eastAsia" w:ascii="宋体" w:hAnsi="宋体" w:eastAsia="宋体" w:cs="宋体"/>
          <w:color w:val="auto"/>
          <w:sz w:val="21"/>
          <w:highlight w:val="none"/>
        </w:rPr>
        <w:t xml:space="preserve">（编号：） </w:t>
      </w:r>
    </w:p>
    <w:p>
      <w:pPr>
        <w:spacing w:after="178"/>
        <w:rPr>
          <w:rFonts w:ascii="宋体" w:hAnsi="宋体" w:eastAsia="宋体" w:cs="宋体"/>
          <w:color w:val="auto"/>
          <w:highlight w:val="none"/>
        </w:rPr>
      </w:pPr>
    </w:p>
    <w:p>
      <w:pPr>
        <w:spacing w:after="147" w:line="265" w:lineRule="auto"/>
        <w:ind w:left="10"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（投标人名称）： </w:t>
      </w:r>
    </w:p>
    <w:p>
      <w:pPr>
        <w:spacing w:after="175"/>
        <w:rPr>
          <w:rFonts w:ascii="宋体" w:hAnsi="宋体" w:eastAsia="宋体" w:cs="宋体"/>
          <w:color w:val="auto"/>
          <w:highlight w:val="none"/>
        </w:rPr>
      </w:pPr>
    </w:p>
    <w:p>
      <w:pPr>
        <w:spacing w:after="17" w:line="389" w:lineRule="auto"/>
        <w:ind w:left="10"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    评标委员会对你方的投标文件进行了仔细的审查，现需你方对下列问题以书面形式予以澄清、说明或补正： </w:t>
      </w:r>
    </w:p>
    <w:p>
      <w:pPr>
        <w:spacing w:after="156"/>
        <w:rPr>
          <w:rFonts w:ascii="宋体" w:hAnsi="宋体" w:eastAsia="宋体" w:cs="宋体"/>
          <w:color w:val="auto"/>
          <w:highlight w:val="none"/>
        </w:rPr>
      </w:pPr>
    </w:p>
    <w:p>
      <w:pPr>
        <w:spacing w:after="172" w:line="265" w:lineRule="auto"/>
        <w:ind w:left="10" w:hanging="10"/>
        <w:rPr>
          <w:rFonts w:ascii="宋体" w:hAnsi="宋体" w:eastAsia="宋体" w:cs="宋体"/>
          <w:color w:val="auto"/>
          <w:highlight w:val="none"/>
        </w:rPr>
      </w:pPr>
      <w:r>
        <w:rPr>
          <w:rFonts w:hint="eastAsia" w:ascii="宋体" w:hAnsi="宋体" w:eastAsia="宋体" w:cs="宋体"/>
          <w:color w:val="auto"/>
          <w:sz w:val="21"/>
          <w:highlight w:val="none"/>
        </w:rPr>
        <w:t xml:space="preserve">    1. </w:t>
      </w:r>
    </w:p>
    <w:p>
      <w:pPr>
        <w:spacing w:after="172" w:line="265" w:lineRule="auto"/>
        <w:ind w:left="10" w:hanging="10"/>
        <w:rPr>
          <w:rFonts w:ascii="宋体" w:hAnsi="宋体" w:eastAsia="宋体" w:cs="宋体"/>
          <w:color w:val="auto"/>
          <w:highlight w:val="none"/>
        </w:rPr>
      </w:pPr>
      <w:r>
        <w:rPr>
          <w:rFonts w:hint="eastAsia" w:ascii="宋体" w:hAnsi="宋体" w:eastAsia="宋体" w:cs="宋体"/>
          <w:color w:val="auto"/>
          <w:sz w:val="21"/>
          <w:highlight w:val="none"/>
        </w:rPr>
        <w:t xml:space="preserve">    2. </w:t>
      </w:r>
    </w:p>
    <w:p>
      <w:pPr>
        <w:spacing w:after="172" w:line="265" w:lineRule="auto"/>
        <w:ind w:left="10" w:hanging="10"/>
        <w:rPr>
          <w:rFonts w:ascii="宋体" w:hAnsi="宋体" w:eastAsia="宋体" w:cs="宋体"/>
          <w:color w:val="auto"/>
          <w:highlight w:val="none"/>
        </w:rPr>
      </w:pPr>
      <w:r>
        <w:rPr>
          <w:rFonts w:hint="eastAsia" w:ascii="宋体" w:hAnsi="宋体" w:eastAsia="宋体" w:cs="宋体"/>
          <w:color w:val="auto"/>
          <w:sz w:val="21"/>
          <w:highlight w:val="none"/>
        </w:rPr>
        <w:t xml:space="preserve">     ......    </w:t>
      </w:r>
    </w:p>
    <w:p>
      <w:pPr>
        <w:spacing w:after="0" w:line="398" w:lineRule="auto"/>
        <w:ind w:left="10" w:right="211" w:hanging="10"/>
        <w:rPr>
          <w:rFonts w:ascii="宋体" w:hAnsi="宋体" w:eastAsia="宋体" w:cs="宋体"/>
          <w:color w:val="auto"/>
          <w:highlight w:val="none"/>
        </w:rPr>
      </w:pPr>
      <w:r>
        <w:rPr>
          <w:rFonts w:hint="eastAsia" w:ascii="宋体" w:hAnsi="宋体" w:eastAsia="宋体" w:cs="宋体"/>
          <w:color w:val="auto"/>
          <w:sz w:val="21"/>
          <w:highlight w:val="none"/>
        </w:rPr>
        <w:t xml:space="preserve">    请将上述问题的澄清、说明或补正于年月日时前递交至 （详细地址）或传真至（传真号码）或</w:t>
      </w:r>
    </w:p>
    <w:p>
      <w:pPr>
        <w:spacing w:after="0" w:line="398" w:lineRule="auto"/>
        <w:ind w:left="10" w:right="398" w:hanging="10"/>
        <w:rPr>
          <w:rFonts w:ascii="宋体" w:hAnsi="宋体" w:eastAsia="宋体" w:cs="宋体"/>
          <w:color w:val="auto"/>
          <w:highlight w:val="none"/>
        </w:rPr>
      </w:pPr>
      <w:r>
        <w:rPr>
          <w:rFonts w:hint="eastAsia" w:ascii="宋体" w:hAnsi="宋体" w:eastAsia="宋体" w:cs="宋体"/>
          <w:color w:val="auto"/>
          <w:sz w:val="21"/>
          <w:highlight w:val="none"/>
        </w:rPr>
        <w:t xml:space="preserve">通过下载招标文件的电子招标交易平台上传。采用传真方式的，应在年月 日时前将原件递交至（详细地址）。 </w:t>
      </w:r>
    </w:p>
    <w:p>
      <w:pPr>
        <w:spacing w:after="176"/>
        <w:rPr>
          <w:rFonts w:ascii="宋体" w:hAnsi="宋体" w:eastAsia="宋体" w:cs="宋体"/>
          <w:color w:val="auto"/>
          <w:highlight w:val="none"/>
        </w:rPr>
      </w:pPr>
    </w:p>
    <w:p>
      <w:pPr>
        <w:spacing w:after="235"/>
        <w:rPr>
          <w:rFonts w:ascii="宋体" w:hAnsi="宋体" w:eastAsia="宋体" w:cs="宋体"/>
          <w:color w:val="auto"/>
          <w:highlight w:val="none"/>
        </w:rPr>
      </w:pPr>
    </w:p>
    <w:p>
      <w:pPr>
        <w:spacing w:after="117"/>
        <w:ind w:left="10" w:right="449" w:hanging="10"/>
        <w:jc w:val="right"/>
        <w:rPr>
          <w:rFonts w:ascii="宋体" w:hAnsi="宋体" w:eastAsia="宋体" w:cs="宋体"/>
          <w:color w:val="auto"/>
          <w:highlight w:val="none"/>
        </w:rPr>
      </w:pPr>
      <w:r>
        <w:rPr>
          <w:rFonts w:hint="eastAsia" w:ascii="宋体" w:hAnsi="宋体" w:eastAsia="宋体" w:cs="宋体"/>
          <w:color w:val="auto"/>
          <w:sz w:val="21"/>
          <w:highlight w:val="none"/>
        </w:rPr>
        <w:t xml:space="preserve">评标委员会授权的招标人或招标代理机构：（签字或盖章） </w:t>
      </w:r>
    </w:p>
    <w:p>
      <w:pPr>
        <w:spacing w:after="176"/>
        <w:rPr>
          <w:rFonts w:ascii="宋体" w:hAnsi="宋体" w:eastAsia="宋体" w:cs="宋体"/>
          <w:color w:val="auto"/>
          <w:highlight w:val="none"/>
        </w:rPr>
      </w:pPr>
    </w:p>
    <w:p>
      <w:pPr>
        <w:spacing w:after="112"/>
        <w:ind w:left="10" w:right="1052" w:hanging="10"/>
        <w:jc w:val="right"/>
        <w:rPr>
          <w:rFonts w:ascii="宋体" w:hAnsi="宋体" w:eastAsia="宋体" w:cs="宋体"/>
          <w:color w:val="auto"/>
          <w:highlight w:val="none"/>
        </w:rPr>
      </w:pPr>
      <w:r>
        <w:rPr>
          <w:rFonts w:hint="eastAsia" w:ascii="宋体" w:hAnsi="宋体" w:eastAsia="宋体" w:cs="宋体"/>
          <w:color w:val="auto"/>
          <w:sz w:val="21"/>
          <w:highlight w:val="none"/>
        </w:rPr>
        <w:t xml:space="preserve">年月日 </w:t>
      </w:r>
    </w:p>
    <w:p>
      <w:pPr>
        <w:spacing w:after="137"/>
        <w:rPr>
          <w:rFonts w:ascii="宋体" w:hAnsi="宋体" w:eastAsia="宋体" w:cs="宋体"/>
          <w:color w:val="auto"/>
          <w:sz w:val="21"/>
          <w:highlight w:val="none"/>
        </w:rPr>
      </w:pPr>
    </w:p>
    <w:p>
      <w:pPr>
        <w:spacing w:after="137"/>
        <w:rPr>
          <w:rFonts w:ascii="宋体" w:hAnsi="宋体" w:eastAsia="宋体" w:cs="宋体"/>
          <w:color w:val="auto"/>
          <w:sz w:val="21"/>
          <w:highlight w:val="none"/>
        </w:rPr>
      </w:pPr>
    </w:p>
    <w:p>
      <w:pPr>
        <w:pStyle w:val="5"/>
        <w:spacing w:after="538"/>
        <w:ind w:left="132" w:right="0"/>
        <w:rPr>
          <w:rFonts w:ascii="宋体" w:hAnsi="宋体" w:eastAsia="宋体" w:cs="宋体"/>
          <w:color w:val="auto"/>
          <w:highlight w:val="none"/>
        </w:rPr>
      </w:pPr>
      <w:bookmarkStart w:id="187" w:name="_Toc508788667"/>
      <w:bookmarkStart w:id="188" w:name="_Toc508382150"/>
      <w:r>
        <w:rPr>
          <w:rFonts w:hint="eastAsia" w:ascii="宋体" w:hAnsi="宋体" w:eastAsia="宋体" w:cs="宋体"/>
          <w:color w:val="auto"/>
          <w:highlight w:val="none"/>
        </w:rPr>
        <w:br w:type="page"/>
      </w:r>
      <w:bookmarkStart w:id="189" w:name="_Toc142406631"/>
      <w:r>
        <w:rPr>
          <w:rFonts w:hint="eastAsia" w:ascii="宋体" w:hAnsi="宋体" w:eastAsia="宋体" w:cs="宋体"/>
          <w:color w:val="auto"/>
          <w:highlight w:val="none"/>
        </w:rPr>
        <w:t>附件三：问题的澄清</w:t>
      </w:r>
      <w:bookmarkEnd w:id="187"/>
      <w:bookmarkEnd w:id="188"/>
      <w:bookmarkEnd w:id="189"/>
    </w:p>
    <w:p>
      <w:pPr>
        <w:spacing w:after="58"/>
        <w:ind w:right="144"/>
        <w:jc w:val="center"/>
        <w:rPr>
          <w:rFonts w:ascii="宋体" w:hAnsi="宋体" w:eastAsia="宋体" w:cs="宋体"/>
          <w:color w:val="auto"/>
          <w:highlight w:val="none"/>
        </w:rPr>
      </w:pPr>
    </w:p>
    <w:p>
      <w:pPr>
        <w:pStyle w:val="7"/>
        <w:spacing w:after="46"/>
        <w:ind w:right="214"/>
        <w:jc w:val="center"/>
        <w:rPr>
          <w:rFonts w:ascii="宋体" w:hAnsi="宋体" w:eastAsia="宋体" w:cs="宋体"/>
          <w:color w:val="auto"/>
          <w:highlight w:val="none"/>
        </w:rPr>
      </w:pPr>
      <w:r>
        <w:rPr>
          <w:rFonts w:hint="eastAsia" w:ascii="宋体" w:hAnsi="宋体" w:eastAsia="宋体" w:cs="宋体"/>
          <w:color w:val="auto"/>
          <w:highlight w:val="none"/>
        </w:rPr>
        <w:t xml:space="preserve">问题的澄清 </w:t>
      </w:r>
    </w:p>
    <w:p>
      <w:pPr>
        <w:spacing w:after="62"/>
        <w:ind w:left="680" w:hanging="10"/>
        <w:jc w:val="center"/>
        <w:rPr>
          <w:rFonts w:ascii="宋体" w:hAnsi="宋体" w:eastAsia="宋体" w:cs="宋体"/>
          <w:color w:val="auto"/>
          <w:highlight w:val="none"/>
        </w:rPr>
      </w:pPr>
      <w:r>
        <w:rPr>
          <w:rFonts w:hint="eastAsia" w:ascii="宋体" w:hAnsi="宋体" w:eastAsia="宋体" w:cs="宋体"/>
          <w:color w:val="auto"/>
          <w:sz w:val="21"/>
          <w:highlight w:val="none"/>
        </w:rPr>
        <w:t xml:space="preserve">（编号：） </w:t>
      </w:r>
    </w:p>
    <w:p>
      <w:pPr>
        <w:spacing w:after="177"/>
        <w:rPr>
          <w:rFonts w:ascii="宋体" w:hAnsi="宋体" w:eastAsia="宋体" w:cs="宋体"/>
          <w:color w:val="auto"/>
          <w:highlight w:val="none"/>
        </w:rPr>
      </w:pPr>
      <w:r>
        <w:rPr>
          <w:rFonts w:hint="eastAsia" w:ascii="宋体" w:hAnsi="宋体" w:eastAsia="宋体" w:cs="宋体"/>
          <w:color w:val="auto"/>
          <w:sz w:val="21"/>
          <w:highlight w:val="none"/>
        </w:rPr>
        <w:t xml:space="preserve"> 评标委员会： </w:t>
      </w:r>
    </w:p>
    <w:p>
      <w:pPr>
        <w:spacing w:after="236"/>
        <w:rPr>
          <w:rFonts w:ascii="宋体" w:hAnsi="宋体" w:eastAsia="宋体" w:cs="宋体"/>
          <w:color w:val="auto"/>
          <w:highlight w:val="none"/>
        </w:rPr>
      </w:pPr>
    </w:p>
    <w:p>
      <w:pPr>
        <w:spacing w:after="123" w:line="265" w:lineRule="auto"/>
        <w:ind w:left="10"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  问题澄清通知（编号：）已收悉，现澄清、说明或补正如下： </w:t>
      </w:r>
    </w:p>
    <w:p>
      <w:pPr>
        <w:spacing w:after="140" w:line="265" w:lineRule="auto"/>
        <w:ind w:left="10" w:hanging="10"/>
        <w:rPr>
          <w:rFonts w:ascii="宋体" w:hAnsi="宋体" w:eastAsia="宋体" w:cs="宋体"/>
          <w:color w:val="auto"/>
          <w:highlight w:val="none"/>
        </w:rPr>
      </w:pPr>
      <w:r>
        <w:rPr>
          <w:rFonts w:hint="eastAsia" w:ascii="宋体" w:hAnsi="宋体" w:eastAsia="宋体" w:cs="宋体"/>
          <w:color w:val="auto"/>
          <w:sz w:val="21"/>
          <w:highlight w:val="none"/>
        </w:rPr>
        <w:t xml:space="preserve">      1. </w:t>
      </w:r>
    </w:p>
    <w:p>
      <w:pPr>
        <w:spacing w:after="2" w:line="386" w:lineRule="auto"/>
        <w:ind w:left="634" w:right="7645" w:hanging="634" w:hangingChars="302"/>
        <w:rPr>
          <w:rFonts w:ascii="宋体" w:hAnsi="宋体" w:eastAsia="宋体" w:cs="宋体"/>
          <w:color w:val="auto"/>
          <w:highlight w:val="none"/>
        </w:rPr>
      </w:pPr>
      <w:r>
        <w:rPr>
          <w:rFonts w:hint="eastAsia" w:ascii="宋体" w:hAnsi="宋体" w:eastAsia="宋体" w:cs="宋体"/>
          <w:color w:val="auto"/>
          <w:sz w:val="21"/>
          <w:highlight w:val="none"/>
        </w:rPr>
        <w:t xml:space="preserve">      2.      ..... </w:t>
      </w:r>
    </w:p>
    <w:p>
      <w:pPr>
        <w:spacing w:after="179"/>
        <w:rPr>
          <w:rFonts w:ascii="宋体" w:hAnsi="宋体" w:eastAsia="宋体" w:cs="宋体"/>
          <w:color w:val="auto"/>
          <w:highlight w:val="none"/>
        </w:rPr>
      </w:pPr>
    </w:p>
    <w:p>
      <w:pPr>
        <w:spacing w:after="153"/>
        <w:rPr>
          <w:rFonts w:ascii="宋体" w:hAnsi="宋体" w:eastAsia="宋体" w:cs="宋体"/>
          <w:color w:val="auto"/>
          <w:highlight w:val="none"/>
        </w:rPr>
      </w:pPr>
    </w:p>
    <w:p>
      <w:pPr>
        <w:spacing w:after="177"/>
        <w:rPr>
          <w:rFonts w:ascii="宋体" w:hAnsi="宋体" w:eastAsia="宋体" w:cs="宋体"/>
          <w:color w:val="auto"/>
          <w:highlight w:val="none"/>
        </w:rPr>
      </w:pPr>
    </w:p>
    <w:p>
      <w:pPr>
        <w:spacing w:after="14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上述问题澄清、说明或补正，不改变我方投标文件的实质性内容，构成我方投标文件的组</w:t>
      </w:r>
    </w:p>
    <w:p>
      <w:pPr>
        <w:spacing w:after="152" w:line="265" w:lineRule="auto"/>
        <w:ind w:left="10"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成部分。 </w:t>
      </w:r>
    </w:p>
    <w:p>
      <w:pPr>
        <w:spacing w:after="177"/>
        <w:rPr>
          <w:rFonts w:ascii="宋体" w:hAnsi="宋体" w:eastAsia="宋体" w:cs="宋体"/>
          <w:color w:val="auto"/>
          <w:highlight w:val="none"/>
        </w:rPr>
      </w:pPr>
    </w:p>
    <w:p>
      <w:pPr>
        <w:spacing w:after="74"/>
        <w:rPr>
          <w:rFonts w:ascii="宋体" w:hAnsi="宋体" w:eastAsia="宋体" w:cs="宋体"/>
          <w:color w:val="auto"/>
          <w:highlight w:val="none"/>
        </w:rPr>
      </w:pPr>
    </w:p>
    <w:p>
      <w:pPr>
        <w:spacing w:after="212" w:line="265" w:lineRule="auto"/>
        <w:ind w:left="10"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              投标人：（盖单位章） </w:t>
      </w:r>
    </w:p>
    <w:p>
      <w:pPr>
        <w:spacing w:after="404" w:line="265" w:lineRule="auto"/>
        <w:ind w:left="2845"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 法定代表人或其委托代理人：（签字） </w:t>
      </w:r>
    </w:p>
    <w:p>
      <w:pPr>
        <w:spacing w:after="162"/>
        <w:rPr>
          <w:rFonts w:ascii="宋体" w:hAnsi="宋体" w:eastAsia="宋体" w:cs="宋体"/>
          <w:color w:val="auto"/>
          <w:highlight w:val="none"/>
        </w:rPr>
      </w:pPr>
    </w:p>
    <w:p>
      <w:pPr>
        <w:spacing w:after="121"/>
        <w:ind w:left="10" w:right="198" w:hanging="10"/>
        <w:jc w:val="right"/>
        <w:rPr>
          <w:rFonts w:ascii="宋体" w:hAnsi="宋体" w:eastAsia="宋体" w:cs="宋体"/>
          <w:color w:val="auto"/>
          <w:highlight w:val="none"/>
        </w:rPr>
      </w:pPr>
      <w:r>
        <w:rPr>
          <w:rFonts w:hint="eastAsia" w:ascii="宋体" w:hAnsi="宋体" w:eastAsia="宋体" w:cs="宋体"/>
          <w:color w:val="auto"/>
          <w:sz w:val="21"/>
          <w:highlight w:val="none"/>
        </w:rPr>
        <w:t xml:space="preserve">年月日 </w:t>
      </w:r>
    </w:p>
    <w:p>
      <w:pPr>
        <w:spacing w:after="134"/>
        <w:rPr>
          <w:rFonts w:ascii="宋体" w:hAnsi="宋体" w:eastAsia="宋体" w:cs="宋体"/>
          <w:color w:val="auto"/>
          <w:sz w:val="21"/>
          <w:highlight w:val="none"/>
        </w:rPr>
      </w:pPr>
    </w:p>
    <w:p>
      <w:pPr>
        <w:spacing w:after="134"/>
        <w:rPr>
          <w:rFonts w:ascii="宋体" w:hAnsi="宋体" w:eastAsia="宋体" w:cs="宋体"/>
          <w:color w:val="auto"/>
          <w:highlight w:val="none"/>
        </w:rPr>
      </w:pPr>
      <w:r>
        <w:rPr>
          <w:rFonts w:hint="eastAsia" w:ascii="宋体" w:hAnsi="宋体" w:eastAsia="宋体" w:cs="宋体"/>
          <w:color w:val="auto"/>
          <w:sz w:val="21"/>
          <w:highlight w:val="none"/>
        </w:rPr>
        <w:br w:type="page"/>
      </w:r>
      <w:bookmarkStart w:id="190" w:name="_Toc508788668"/>
      <w:bookmarkStart w:id="191" w:name="_Toc508382151"/>
      <w:r>
        <w:rPr>
          <w:rFonts w:hint="eastAsia" w:ascii="宋体" w:hAnsi="宋体" w:eastAsia="宋体" w:cs="宋体"/>
          <w:color w:val="auto"/>
          <w:highlight w:val="none"/>
        </w:rPr>
        <w:t>附件四：中标通知书</w:t>
      </w:r>
      <w:bookmarkEnd w:id="190"/>
      <w:bookmarkEnd w:id="191"/>
    </w:p>
    <w:p>
      <w:pPr>
        <w:pStyle w:val="7"/>
        <w:spacing w:after="454"/>
        <w:ind w:right="214"/>
        <w:jc w:val="center"/>
        <w:rPr>
          <w:rFonts w:ascii="宋体" w:hAnsi="宋体" w:eastAsia="宋体" w:cs="宋体"/>
          <w:color w:val="auto"/>
          <w:highlight w:val="none"/>
        </w:rPr>
      </w:pPr>
      <w:r>
        <w:rPr>
          <w:rFonts w:hint="eastAsia" w:ascii="宋体" w:hAnsi="宋体" w:eastAsia="宋体" w:cs="宋体"/>
          <w:color w:val="auto"/>
          <w:highlight w:val="none"/>
        </w:rPr>
        <w:t xml:space="preserve">中标通知书 </w:t>
      </w:r>
    </w:p>
    <w:p>
      <w:pPr>
        <w:spacing w:after="151"/>
        <w:ind w:left="10" w:right="1184" w:hanging="10"/>
        <w:jc w:val="center"/>
        <w:rPr>
          <w:rFonts w:ascii="宋体" w:hAnsi="宋体" w:eastAsia="宋体" w:cs="宋体"/>
          <w:color w:val="auto"/>
          <w:highlight w:val="none"/>
        </w:rPr>
      </w:pPr>
      <w:r>
        <w:rPr>
          <w:rFonts w:hint="eastAsia" w:ascii="宋体" w:hAnsi="宋体" w:eastAsia="宋体" w:cs="宋体"/>
          <w:color w:val="auto"/>
          <w:sz w:val="21"/>
          <w:highlight w:val="none"/>
        </w:rPr>
        <w:t>按广州公共资源交易中心格式。</w:t>
      </w:r>
    </w:p>
    <w:p>
      <w:pPr>
        <w:spacing w:after="135"/>
        <w:rPr>
          <w:rFonts w:ascii="宋体" w:hAnsi="宋体" w:eastAsia="宋体" w:cs="宋体"/>
          <w:color w:val="auto"/>
          <w:highlight w:val="none"/>
        </w:rPr>
      </w:pPr>
    </w:p>
    <w:p>
      <w:pPr>
        <w:spacing w:after="0"/>
        <w:rPr>
          <w:rFonts w:ascii="宋体" w:hAnsi="宋体" w:eastAsia="宋体" w:cs="宋体"/>
          <w:color w:val="auto"/>
          <w:sz w:val="21"/>
          <w:highlight w:val="none"/>
        </w:rPr>
      </w:pPr>
      <w:r>
        <w:rPr>
          <w:rFonts w:hint="eastAsia" w:ascii="宋体" w:hAnsi="宋体" w:eastAsia="宋体" w:cs="宋体"/>
          <w:color w:val="auto"/>
          <w:sz w:val="21"/>
          <w:highlight w:val="none"/>
        </w:rPr>
        <w:tab/>
      </w: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sz w:val="21"/>
          <w:highlight w:val="none"/>
        </w:rPr>
      </w:pPr>
    </w:p>
    <w:p>
      <w:pPr>
        <w:spacing w:after="0"/>
        <w:rPr>
          <w:rFonts w:ascii="宋体" w:hAnsi="宋体" w:eastAsia="宋体" w:cs="宋体"/>
          <w:color w:val="auto"/>
          <w:highlight w:val="none"/>
        </w:rPr>
      </w:pPr>
    </w:p>
    <w:p>
      <w:pPr>
        <w:pStyle w:val="3"/>
        <w:spacing w:after="480" w:afterLines="200" w:line="240" w:lineRule="auto"/>
        <w:ind w:left="11" w:right="1429" w:hanging="11"/>
        <w:rPr>
          <w:rFonts w:ascii="宋体" w:hAnsi="宋体" w:eastAsia="宋体" w:cs="宋体"/>
          <w:color w:val="auto"/>
          <w:sz w:val="44"/>
          <w:highlight w:val="none"/>
        </w:rPr>
      </w:pPr>
      <w:bookmarkStart w:id="192" w:name="_Toc508382154"/>
    </w:p>
    <w:p>
      <w:pPr>
        <w:pStyle w:val="3"/>
        <w:spacing w:after="480" w:afterLines="200" w:line="240" w:lineRule="auto"/>
        <w:ind w:left="11" w:right="1429" w:hanging="11"/>
        <w:rPr>
          <w:rFonts w:ascii="宋体" w:hAnsi="宋体" w:eastAsia="宋体" w:cs="宋体"/>
          <w:color w:val="auto"/>
          <w:highlight w:val="none"/>
        </w:rPr>
      </w:pPr>
      <w:r>
        <w:rPr>
          <w:rFonts w:hint="eastAsia" w:ascii="宋体" w:hAnsi="宋体" w:eastAsia="宋体" w:cs="宋体"/>
          <w:color w:val="auto"/>
          <w:sz w:val="44"/>
          <w:highlight w:val="none"/>
        </w:rPr>
        <w:br w:type="page"/>
      </w:r>
      <w:bookmarkStart w:id="193" w:name="_Toc142406632"/>
      <w:r>
        <w:rPr>
          <w:rFonts w:hint="eastAsia" w:ascii="宋体" w:hAnsi="宋体" w:eastAsia="宋体" w:cs="宋体"/>
          <w:color w:val="auto"/>
          <w:sz w:val="44"/>
          <w:highlight w:val="none"/>
        </w:rPr>
        <w:t>第三章评标办法（综合评分法）</w:t>
      </w:r>
      <w:bookmarkEnd w:id="192"/>
      <w:bookmarkEnd w:id="193"/>
    </w:p>
    <w:p>
      <w:pPr>
        <w:pStyle w:val="4"/>
        <w:spacing w:after="240" w:afterLines="100" w:line="264" w:lineRule="auto"/>
        <w:ind w:left="0" w:right="0" w:firstLine="0"/>
        <w:jc w:val="center"/>
        <w:rPr>
          <w:rFonts w:ascii="宋体" w:hAnsi="宋体" w:eastAsia="宋体" w:cs="宋体"/>
          <w:color w:val="auto"/>
          <w:sz w:val="32"/>
          <w:highlight w:val="none"/>
        </w:rPr>
      </w:pPr>
      <w:bookmarkStart w:id="194" w:name="_Toc508382155"/>
      <w:bookmarkStart w:id="195" w:name="_Toc142406633"/>
      <w:bookmarkStart w:id="196" w:name="_Toc508788672"/>
      <w:r>
        <w:rPr>
          <w:rFonts w:hint="eastAsia" w:ascii="宋体" w:hAnsi="宋体" w:eastAsia="宋体" w:cs="宋体"/>
          <w:color w:val="auto"/>
          <w:sz w:val="32"/>
          <w:highlight w:val="none"/>
        </w:rPr>
        <w:t>评标办法前附表</w:t>
      </w:r>
      <w:bookmarkEnd w:id="194"/>
      <w:bookmarkEnd w:id="195"/>
      <w:bookmarkEnd w:id="196"/>
    </w:p>
    <w:tbl>
      <w:tblPr>
        <w:tblStyle w:val="3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38"/>
        <w:gridCol w:w="163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noWrap/>
            <w:vAlign w:val="center"/>
          </w:tcPr>
          <w:p>
            <w:pPr>
              <w:spacing w:after="0" w:line="276" w:lineRule="auto"/>
              <w:ind w:firstLine="361"/>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631" w:type="dxa"/>
            <w:noWrap/>
            <w:vAlign w:val="center"/>
          </w:tcPr>
          <w:p>
            <w:pPr>
              <w:spacing w:after="0" w:line="276" w:lineRule="auto"/>
              <w:ind w:firstLine="361"/>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5387" w:type="dxa"/>
            <w:noWrap/>
            <w:vAlign w:val="center"/>
          </w:tcPr>
          <w:p>
            <w:pPr>
              <w:spacing w:after="0" w:line="276" w:lineRule="auto"/>
              <w:ind w:firstLine="361"/>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noWrap/>
            <w:vAlign w:val="center"/>
          </w:tcPr>
          <w:p>
            <w:pPr>
              <w:spacing w:after="0" w:line="276" w:lineRule="auto"/>
              <w:ind w:firstLine="361"/>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1.评标办法</w:t>
            </w:r>
          </w:p>
        </w:tc>
        <w:tc>
          <w:tcPr>
            <w:tcW w:w="1631" w:type="dxa"/>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w:t>
            </w:r>
          </w:p>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排序方法</w:t>
            </w:r>
          </w:p>
        </w:tc>
        <w:tc>
          <w:tcPr>
            <w:tcW w:w="5387" w:type="dxa"/>
            <w:noWrap/>
            <w:vAlign w:val="center"/>
          </w:tcPr>
          <w:p>
            <w:pPr>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综合评分法，投标人综合评分由高到低排序前3名作为第一、第二、第三中标候选人，综合评分相同时，以投标报价低的优先；投标报价也相同的，以技术服务方案得分高的优先；如仍存在相同情况，则对具有相同情况的投标人，按中标候选人数量规定，由评标委员会采用记名投票方式（不得弃权），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restart"/>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631" w:type="dxa"/>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5387" w:type="dxa"/>
            <w:noWrap/>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与营业执照（事业单位法人证书）、资质证书一致</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投标函及投标函附录签字盖章</w:t>
            </w:r>
          </w:p>
        </w:tc>
        <w:tc>
          <w:tcPr>
            <w:tcW w:w="5387" w:type="dxa"/>
            <w:noWrap/>
            <w:vAlign w:val="center"/>
          </w:tcPr>
          <w:p>
            <w:pPr>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有法定代表人或其委托代理人签字</w:t>
            </w:r>
            <w:r>
              <w:rPr>
                <w:rFonts w:hint="eastAsia" w:ascii="宋体" w:hAnsi="宋体" w:eastAsia="宋体" w:cs="宋体"/>
                <w:color w:val="auto"/>
                <w:sz w:val="21"/>
                <w:szCs w:val="21"/>
                <w:highlight w:val="none"/>
                <w:u w:val="single"/>
              </w:rPr>
              <w:t>（或盖章）</w:t>
            </w:r>
            <w:r>
              <w:rPr>
                <w:rFonts w:hint="eastAsia" w:ascii="宋体" w:hAnsi="宋体" w:eastAsia="宋体" w:cs="宋体"/>
                <w:color w:val="auto"/>
                <w:sz w:val="21"/>
                <w:szCs w:val="21"/>
                <w:highlight w:val="none"/>
              </w:rPr>
              <w:t>及加盖单位章。由法定代表人签字</w:t>
            </w:r>
            <w:r>
              <w:rPr>
                <w:rFonts w:hint="eastAsia" w:ascii="宋体" w:hAnsi="宋体" w:eastAsia="宋体" w:cs="宋体"/>
                <w:color w:val="auto"/>
                <w:sz w:val="21"/>
                <w:szCs w:val="21"/>
                <w:highlight w:val="none"/>
                <w:u w:val="single"/>
              </w:rPr>
              <w:t>（或盖章）</w:t>
            </w:r>
            <w:r>
              <w:rPr>
                <w:rFonts w:hint="eastAsia" w:ascii="宋体" w:hAnsi="宋体" w:eastAsia="宋体" w:cs="宋体"/>
                <w:color w:val="auto"/>
                <w:sz w:val="21"/>
                <w:szCs w:val="21"/>
                <w:highlight w:val="none"/>
              </w:rPr>
              <w:t>的，应附法定代表人身份证明，由代理人签字</w:t>
            </w:r>
            <w:r>
              <w:rPr>
                <w:rFonts w:hint="eastAsia" w:ascii="宋体" w:hAnsi="宋体" w:eastAsia="宋体" w:cs="宋体"/>
                <w:color w:val="auto"/>
                <w:sz w:val="21"/>
                <w:szCs w:val="21"/>
                <w:highlight w:val="none"/>
                <w:u w:val="single"/>
              </w:rPr>
              <w:t>（或盖章）</w:t>
            </w:r>
            <w:r>
              <w:rPr>
                <w:rFonts w:hint="eastAsia" w:ascii="宋体" w:hAnsi="宋体" w:eastAsia="宋体" w:cs="宋体"/>
                <w:color w:val="auto"/>
                <w:sz w:val="21"/>
                <w:szCs w:val="21"/>
                <w:highlight w:val="none"/>
              </w:rPr>
              <w:t>的，应附授权委托书，身份证明或授权委托书应符合第六章“投标文件格式”的规定</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387" w:type="dxa"/>
            <w:noWrap/>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符合第六章“投标文件格式”的规定</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5387" w:type="dxa"/>
            <w:noWrap/>
            <w:vAlign w:val="center"/>
          </w:tcPr>
          <w:p>
            <w:pPr>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不允许</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5387" w:type="dxa"/>
            <w:noWrap/>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不允许</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jc w:val="center"/>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投标人机器码</w:t>
            </w:r>
          </w:p>
        </w:tc>
        <w:tc>
          <w:tcPr>
            <w:tcW w:w="5387" w:type="dxa"/>
            <w:noWrap/>
            <w:vAlign w:val="center"/>
          </w:tcPr>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投标人与其他投标人加密打包投标文件电脑机器特征码一致的(以广州公共资源交易中心评标系统的检索信息为准),其投标将被否决。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restart"/>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2.1.2资格评审标准</w:t>
            </w:r>
          </w:p>
        </w:tc>
        <w:tc>
          <w:tcPr>
            <w:tcW w:w="1631" w:type="dxa"/>
            <w:noWrap/>
            <w:vAlign w:val="center"/>
          </w:tcPr>
          <w:p>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营业执照或事业单位法人证书</w:t>
            </w:r>
          </w:p>
        </w:tc>
        <w:tc>
          <w:tcPr>
            <w:tcW w:w="5387" w:type="dxa"/>
            <w:noWrap/>
            <w:vAlign w:val="center"/>
          </w:tcPr>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持有事业单位登记管理部门核发的事业单位法人证书且在有效期内或工商行政管理部门核发的企业法人营业执照且在有效期内。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5387" w:type="dxa"/>
            <w:noWrap/>
            <w:vAlign w:val="center"/>
          </w:tcPr>
          <w:p>
            <w:pP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spacing w:line="24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CMA计量认证</w:t>
            </w:r>
            <w:r>
              <w:rPr>
                <w:rFonts w:hint="eastAsia" w:ascii="宋体" w:hAnsi="宋体" w:eastAsia="宋体" w:cs="宋体"/>
                <w:color w:val="auto"/>
                <w:sz w:val="21"/>
                <w:szCs w:val="21"/>
                <w:highlight w:val="none"/>
              </w:rPr>
              <w:t>要求</w:t>
            </w:r>
          </w:p>
        </w:tc>
        <w:tc>
          <w:tcPr>
            <w:tcW w:w="5387" w:type="dxa"/>
            <w:noWrap/>
            <w:vAlign w:val="center"/>
          </w:tcPr>
          <w:p>
            <w:pP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5387" w:type="dxa"/>
            <w:noWrap/>
            <w:vAlign w:val="center"/>
          </w:tcPr>
          <w:p>
            <w:pPr>
              <w:rPr>
                <w:rFonts w:ascii="宋体" w:hAnsi="宋体" w:eastAsia="宋体" w:cs="宋体"/>
                <w:color w:val="auto"/>
                <w:sz w:val="21"/>
                <w:szCs w:val="21"/>
                <w:highlight w:val="none"/>
                <w:u w:val="single"/>
              </w:rPr>
            </w:pPr>
            <w:r>
              <w:rPr>
                <w:rFonts w:hint="eastAsia" w:ascii="宋体" w:hAnsi="宋体" w:eastAsia="宋体" w:cs="楷体"/>
                <w:color w:val="auto"/>
                <w:sz w:val="21"/>
                <w:szCs w:val="21"/>
                <w:highlight w:val="none"/>
              </w:rPr>
              <w:t>满足招标公告的要求。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不存在禁止投标的情形</w:t>
            </w:r>
          </w:p>
        </w:tc>
        <w:tc>
          <w:tcPr>
            <w:tcW w:w="5387" w:type="dxa"/>
            <w:noWrap/>
            <w:vAlign w:val="center"/>
          </w:tcPr>
          <w:p>
            <w:pPr>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不存在第二章“投标人须知”第 1.4.3 项规定的任何一种情形</w:t>
            </w:r>
            <w:r>
              <w:rPr>
                <w:rFonts w:hint="eastAsia" w:ascii="宋体" w:hAnsi="宋体" w:eastAsia="宋体" w:cs="宋体"/>
                <w:color w:val="auto"/>
                <w:sz w:val="21"/>
                <w:szCs w:val="21"/>
                <w:highlight w:val="none"/>
                <w:u w:val="single"/>
              </w:rPr>
              <w:t>（以《投标人声明》为准）</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restart"/>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2.1.3响应性评审标准</w:t>
            </w:r>
          </w:p>
        </w:tc>
        <w:tc>
          <w:tcPr>
            <w:tcW w:w="1631" w:type="dxa"/>
            <w:noWrap/>
            <w:vAlign w:val="center"/>
          </w:tcPr>
          <w:p>
            <w:pPr>
              <w:adjustRightInd w:val="0"/>
              <w:snapToGrid w:val="0"/>
              <w:jc w:val="center"/>
              <w:rPr>
                <w:rFonts w:ascii="宋体" w:hAnsi="宋体" w:eastAsia="宋体" w:cs="宋体"/>
                <w:strike/>
                <w:color w:val="auto"/>
                <w:sz w:val="21"/>
                <w:szCs w:val="21"/>
                <w:highlight w:val="none"/>
                <w:u w:val="single"/>
              </w:rPr>
            </w:pPr>
            <w:r>
              <w:rPr>
                <w:rFonts w:hint="eastAsia" w:ascii="宋体" w:hAnsi="宋体" w:eastAsia="宋体" w:cs="宋体"/>
                <w:color w:val="auto"/>
                <w:sz w:val="21"/>
                <w:szCs w:val="21"/>
                <w:highlight w:val="none"/>
              </w:rPr>
              <w:t>投标报价</w:t>
            </w:r>
          </w:p>
        </w:tc>
        <w:tc>
          <w:tcPr>
            <w:tcW w:w="5387" w:type="dxa"/>
            <w:noWrap/>
            <w:vAlign w:val="center"/>
          </w:tcPr>
          <w:p>
            <w:pPr>
              <w:adjustRightInd w:val="0"/>
              <w:snapToGrid w:val="0"/>
              <w:rPr>
                <w:rFonts w:ascii="宋体" w:hAnsi="宋体" w:eastAsia="宋体" w:cs="宋体"/>
                <w:strike/>
                <w:color w:val="auto"/>
                <w:sz w:val="21"/>
                <w:szCs w:val="21"/>
                <w:highlight w:val="none"/>
                <w:u w:val="single"/>
              </w:rPr>
            </w:pPr>
            <w:r>
              <w:rPr>
                <w:rFonts w:hint="eastAsia" w:ascii="宋体" w:hAnsi="宋体" w:eastAsia="宋体" w:cs="宋体"/>
                <w:color w:val="auto"/>
                <w:kern w:val="0"/>
                <w:sz w:val="21"/>
                <w:szCs w:val="21"/>
                <w:highlight w:val="none"/>
              </w:rPr>
              <w:t>符合第二章“投标人须知”第 3.2.3和3.2.4款规定填报投标报价的；对同一招标项目没有出现两个或以上的投标报价，且修正无依据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387" w:type="dxa"/>
            <w:noWrap/>
            <w:vAlign w:val="center"/>
          </w:tcPr>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1.3.1 项规定；投标文件按规定的格式填写，内容齐全或关键字迹清晰、容易辩认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5387" w:type="dxa"/>
            <w:noWrap/>
            <w:vAlign w:val="center"/>
          </w:tcPr>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387" w:type="dxa"/>
            <w:noWrap/>
            <w:vAlign w:val="center"/>
          </w:tcPr>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387" w:type="dxa"/>
            <w:noWrap/>
            <w:vAlign w:val="center"/>
          </w:tcPr>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387" w:type="dxa"/>
            <w:noWrap/>
            <w:vAlign w:val="center"/>
          </w:tcPr>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vMerge w:val="continue"/>
            <w:noWrap/>
            <w:vAlign w:val="center"/>
          </w:tcPr>
          <w:p>
            <w:pPr>
              <w:jc w:val="center"/>
              <w:rPr>
                <w:rFonts w:ascii="宋体" w:hAnsi="宋体" w:eastAsia="宋体" w:cs="宋体"/>
                <w:color w:val="auto"/>
                <w:sz w:val="21"/>
                <w:szCs w:val="21"/>
                <w:highlight w:val="none"/>
              </w:rPr>
            </w:pPr>
          </w:p>
        </w:tc>
        <w:tc>
          <w:tcPr>
            <w:tcW w:w="1631" w:type="dxa"/>
            <w:noWrap/>
            <w:vAlign w:val="center"/>
          </w:tcPr>
          <w:p>
            <w:pPr>
              <w:jc w:val="center"/>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串通投标情形</w:t>
            </w:r>
          </w:p>
        </w:tc>
        <w:tc>
          <w:tcPr>
            <w:tcW w:w="5387" w:type="dxa"/>
            <w:noWrap/>
            <w:vAlign w:val="center"/>
          </w:tcPr>
          <w:p>
            <w:pPr>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投标人之间不存在《广东省实施&lt;中华人民共和国招标投标法&gt;办法》第十六条所禁止的情形的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1879" w:type="dxa"/>
            <w:gridSpan w:val="2"/>
            <w:noWrap/>
            <w:vAlign w:val="center"/>
          </w:tcPr>
          <w:p>
            <w:pPr>
              <w:spacing w:after="0" w:line="276" w:lineRule="auto"/>
              <w:ind w:firstLine="36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631" w:type="dxa"/>
            <w:noWrap/>
            <w:vAlign w:val="center"/>
          </w:tcPr>
          <w:p>
            <w:pPr>
              <w:spacing w:after="0" w:line="276"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pPr>
              <w:spacing w:after="0" w:line="276"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5387" w:type="dxa"/>
            <w:noWrap/>
            <w:vAlign w:val="center"/>
          </w:tcPr>
          <w:p>
            <w:pPr>
              <w:spacing w:line="240" w:lineRule="auto"/>
              <w:rPr>
                <w:rFonts w:ascii="宋体" w:hAnsi="宋体" w:cs="Calibri"/>
                <w:b/>
                <w:color w:val="auto"/>
                <w:szCs w:val="21"/>
                <w:highlight w:val="none"/>
              </w:rPr>
            </w:pPr>
            <w:r>
              <w:rPr>
                <w:rFonts w:hint="eastAsia" w:ascii="宋体" w:hAnsi="宋体" w:cs="Calibri"/>
                <w:b/>
                <w:color w:val="auto"/>
                <w:szCs w:val="21"/>
                <w:highlight w:val="none"/>
              </w:rPr>
              <w:t>1、资信业绩部分：70分</w:t>
            </w:r>
          </w:p>
          <w:p>
            <w:pPr>
              <w:spacing w:line="240" w:lineRule="auto"/>
              <w:rPr>
                <w:rFonts w:ascii="宋体" w:hAnsi="宋体" w:cs="Calibri"/>
                <w:b/>
                <w:color w:val="auto"/>
                <w:szCs w:val="21"/>
                <w:highlight w:val="none"/>
              </w:rPr>
            </w:pPr>
            <w:r>
              <w:rPr>
                <w:rFonts w:hint="eastAsia" w:ascii="宋体" w:hAnsi="宋体" w:cs="Calibri"/>
                <w:b/>
                <w:color w:val="auto"/>
                <w:szCs w:val="21"/>
                <w:highlight w:val="none"/>
              </w:rPr>
              <w:t>2、监测设备和技术方案部分：20</w:t>
            </w:r>
            <w:bookmarkStart w:id="313" w:name="_GoBack"/>
            <w:bookmarkEnd w:id="313"/>
            <w:r>
              <w:rPr>
                <w:rFonts w:hint="eastAsia" w:ascii="宋体" w:hAnsi="宋体" w:cs="Calibri"/>
                <w:b/>
                <w:color w:val="auto"/>
                <w:szCs w:val="21"/>
                <w:highlight w:val="none"/>
              </w:rPr>
              <w:t>分</w:t>
            </w:r>
          </w:p>
          <w:p>
            <w:pPr>
              <w:spacing w:line="240" w:lineRule="auto"/>
              <w:rPr>
                <w:rFonts w:ascii="宋体" w:hAnsi="宋体" w:cs="Calibri"/>
                <w:b/>
                <w:color w:val="auto"/>
                <w:szCs w:val="21"/>
                <w:highlight w:val="none"/>
              </w:rPr>
            </w:pPr>
            <w:r>
              <w:rPr>
                <w:rFonts w:hint="eastAsia" w:ascii="宋体" w:hAnsi="宋体" w:cs="Calibri"/>
                <w:b/>
                <w:color w:val="auto"/>
                <w:szCs w:val="21"/>
                <w:highlight w:val="none"/>
              </w:rPr>
              <w:t>3、投标报价：10分</w:t>
            </w:r>
          </w:p>
          <w:p>
            <w:pPr>
              <w:spacing w:after="0" w:line="240" w:lineRule="auto"/>
              <w:rPr>
                <w:rFonts w:ascii="宋体" w:hAnsi="宋体" w:cs="Calibri"/>
                <w:b/>
                <w:color w:val="auto"/>
                <w:szCs w:val="21"/>
                <w:highlight w:val="none"/>
              </w:rPr>
            </w:pPr>
            <w:r>
              <w:rPr>
                <w:rFonts w:hint="eastAsia" w:ascii="宋体" w:hAnsi="宋体" w:cs="Calibri"/>
                <w:b/>
                <w:color w:val="auto"/>
                <w:szCs w:val="21"/>
                <w:highlight w:val="none"/>
              </w:rPr>
              <w:t>注:投标人总得分=资信业绩得分+监测设备和技术方案得分+投标报价得分。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6" w:hRule="atLeast"/>
        </w:trPr>
        <w:tc>
          <w:tcPr>
            <w:tcW w:w="1879" w:type="dxa"/>
            <w:gridSpan w:val="2"/>
            <w:noWrap/>
            <w:vAlign w:val="center"/>
          </w:tcPr>
          <w:p>
            <w:pPr>
              <w:spacing w:after="0" w:line="276" w:lineRule="auto"/>
              <w:ind w:firstLine="36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631" w:type="dxa"/>
            <w:noWrap/>
            <w:vAlign w:val="center"/>
          </w:tcPr>
          <w:p>
            <w:pPr>
              <w:spacing w:after="0"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5387" w:type="dxa"/>
            <w:noWrap/>
            <w:vAlign w:val="center"/>
          </w:tcPr>
          <w:p>
            <w:pPr>
              <w:rPr>
                <w:rFonts w:ascii="宋体" w:hAnsi="宋体" w:cs="Calibri"/>
                <w:b/>
                <w:color w:val="auto"/>
                <w:szCs w:val="21"/>
                <w:highlight w:val="none"/>
              </w:rPr>
            </w:pPr>
            <w:r>
              <w:rPr>
                <w:rFonts w:hint="eastAsia" w:ascii="宋体" w:hAnsi="宋体" w:cs="Calibri"/>
                <w:b/>
                <w:color w:val="auto"/>
                <w:szCs w:val="21"/>
                <w:highlight w:val="none"/>
              </w:rPr>
              <w:t>参与评标基准价计算范围为[最高投标限价×</w:t>
            </w:r>
            <w:r>
              <w:rPr>
                <w:rFonts w:ascii="宋体" w:hAnsi="宋体" w:eastAsia="宋体" w:cs="Calibri"/>
                <w:b/>
                <w:color w:val="auto"/>
                <w:szCs w:val="21"/>
                <w:highlight w:val="none"/>
              </w:rPr>
              <w:t>8</w:t>
            </w:r>
            <w:r>
              <w:rPr>
                <w:rFonts w:hint="eastAsia" w:ascii="宋体" w:hAnsi="宋体" w:eastAsia="宋体" w:cs="Calibri"/>
                <w:b/>
                <w:color w:val="auto"/>
                <w:szCs w:val="21"/>
                <w:highlight w:val="none"/>
              </w:rPr>
              <w:t>0</w:t>
            </w:r>
            <w:r>
              <w:rPr>
                <w:rFonts w:hint="eastAsia" w:ascii="宋体" w:hAnsi="宋体" w:cs="Calibri"/>
                <w:b/>
                <w:color w:val="auto"/>
                <w:szCs w:val="21"/>
                <w:highlight w:val="none"/>
              </w:rPr>
              <w:t>%，最高投标限价]，超过此范围的报价不参与评标基准价的计算。</w:t>
            </w:r>
          </w:p>
          <w:p>
            <w:pPr>
              <w:rPr>
                <w:rFonts w:ascii="宋体" w:hAnsi="宋体" w:cs="宋体"/>
                <w:color w:val="auto"/>
                <w:szCs w:val="21"/>
                <w:highlight w:val="none"/>
              </w:rPr>
            </w:pPr>
            <w:r>
              <w:rPr>
                <w:rFonts w:hint="eastAsia" w:ascii="宋体" w:hAnsi="宋体" w:cs="宋体"/>
                <w:color w:val="auto"/>
                <w:szCs w:val="21"/>
                <w:highlight w:val="none"/>
              </w:rPr>
              <w:t>1.当投标报价在参与评标基准价计算范围内且通过形式评审、资格评审、响应性评审的有效投标人大于等于5名时，所有入围的有效投标价中去掉一个最高价和一个最低价，取余下有效投标价的算术平均值的作为评标基准价。</w:t>
            </w:r>
          </w:p>
          <w:p>
            <w:pPr>
              <w:rPr>
                <w:rFonts w:ascii="宋体" w:hAnsi="宋体" w:cs="宋体"/>
                <w:color w:val="auto"/>
                <w:szCs w:val="21"/>
                <w:highlight w:val="none"/>
              </w:rPr>
            </w:pPr>
            <w:r>
              <w:rPr>
                <w:rFonts w:hint="eastAsia" w:ascii="宋体" w:hAnsi="宋体" w:cs="宋体"/>
                <w:color w:val="auto"/>
                <w:szCs w:val="21"/>
                <w:highlight w:val="none"/>
              </w:rPr>
              <w:t>2.当投标报价在参与评标基准价计算范围内且通过形式评审、资格评审、响应性评审的有效投标人小于5（不包含0）名时，取所有入围的有效投标价的算术平均值的作为评标基准价。</w:t>
            </w:r>
          </w:p>
          <w:p>
            <w:pPr>
              <w:spacing w:after="0" w:line="276" w:lineRule="auto"/>
              <w:rPr>
                <w:rFonts w:ascii="宋体" w:hAnsi="宋体" w:eastAsia="宋体" w:cs="宋体"/>
                <w:color w:val="auto"/>
                <w:szCs w:val="21"/>
                <w:highlight w:val="none"/>
              </w:rPr>
            </w:pPr>
            <w:r>
              <w:rPr>
                <w:rFonts w:hint="eastAsia" w:ascii="宋体" w:hAnsi="宋体" w:cs="宋体"/>
                <w:color w:val="auto"/>
                <w:szCs w:val="21"/>
                <w:highlight w:val="none"/>
              </w:rPr>
              <w:t>3.若没有投标报价在参与评标基准价计算范围内且通过形式评审、资格评审、响应性评审的有效投标人时，最高投标限价×80%为评标基准价。</w:t>
            </w:r>
          </w:p>
          <w:p>
            <w:pPr>
              <w:spacing w:after="0" w:line="276"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879" w:type="dxa"/>
            <w:gridSpan w:val="2"/>
            <w:noWrap/>
            <w:vAlign w:val="center"/>
          </w:tcPr>
          <w:p>
            <w:pPr>
              <w:spacing w:after="0" w:line="276" w:lineRule="auto"/>
              <w:ind w:firstLine="36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631" w:type="dxa"/>
            <w:noWrap/>
            <w:vAlign w:val="center"/>
          </w:tcPr>
          <w:p>
            <w:pPr>
              <w:spacing w:after="0"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5387" w:type="dxa"/>
            <w:noWrap/>
            <w:vAlign w:val="center"/>
          </w:tcPr>
          <w:p>
            <w:pPr>
              <w:spacing w:after="0" w:line="276"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投标报价的偏差率=|（投标报价-评标基准价）|/评标基准价×100%（偏差率出现小数点时，保留小数点后2位，第三位小数四舍五入）</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1879" w:type="dxa"/>
            <w:gridSpan w:val="2"/>
            <w:tcBorders>
              <w:top w:val="single" w:color="auto" w:sz="4" w:space="0"/>
              <w:left w:val="single" w:color="auto" w:sz="4" w:space="0"/>
              <w:bottom w:val="single" w:color="auto" w:sz="4" w:space="0"/>
              <w:right w:val="single" w:color="auto" w:sz="4" w:space="0"/>
            </w:tcBorders>
            <w:noWrap/>
            <w:vAlign w:val="center"/>
          </w:tcPr>
          <w:p>
            <w:pPr>
              <w:spacing w:after="0" w:line="276" w:lineRule="auto"/>
              <w:ind w:firstLine="36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1631" w:type="dxa"/>
            <w:tcBorders>
              <w:top w:val="single" w:color="auto" w:sz="4" w:space="0"/>
              <w:left w:val="single" w:color="auto" w:sz="4" w:space="0"/>
              <w:bottom w:val="single" w:color="auto" w:sz="4" w:space="0"/>
              <w:right w:val="single" w:color="auto" w:sz="4" w:space="0"/>
            </w:tcBorders>
            <w:noWrap/>
            <w:vAlign w:val="center"/>
          </w:tcPr>
          <w:p>
            <w:pPr>
              <w:spacing w:after="0" w:line="276" w:lineRule="auto"/>
              <w:ind w:firstLine="36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5387" w:type="dxa"/>
            <w:tcBorders>
              <w:top w:val="single" w:color="auto" w:sz="4" w:space="0"/>
              <w:left w:val="single" w:color="auto" w:sz="4" w:space="0"/>
              <w:bottom w:val="single" w:color="auto" w:sz="4" w:space="0"/>
              <w:right w:val="single" w:color="auto" w:sz="4" w:space="0"/>
            </w:tcBorders>
            <w:noWrap/>
            <w:vAlign w:val="center"/>
          </w:tcPr>
          <w:p>
            <w:pPr>
              <w:pStyle w:val="4"/>
              <w:ind w:left="0" w:firstLine="0"/>
              <w:jc w:val="center"/>
              <w:rPr>
                <w:rFonts w:ascii="宋体" w:hAnsi="宋体" w:eastAsia="宋体" w:cs="宋体"/>
                <w:b/>
                <w:bCs/>
                <w:color w:val="auto"/>
                <w:sz w:val="21"/>
                <w:szCs w:val="21"/>
                <w:highlight w:val="none"/>
                <w:u w:val="single"/>
              </w:rPr>
            </w:pPr>
            <w:bookmarkStart w:id="197" w:name="_Toc142406634"/>
            <w:r>
              <w:rPr>
                <w:rFonts w:hint="eastAsia" w:ascii="宋体" w:hAnsi="宋体" w:eastAsia="宋体" w:cs="宋体"/>
                <w:b/>
                <w:bCs/>
                <w:color w:val="auto"/>
                <w:sz w:val="21"/>
                <w:szCs w:val="21"/>
                <w:highlight w:val="none"/>
                <w:u w:val="single"/>
              </w:rPr>
              <w:t>评分标准</w:t>
            </w:r>
            <w:bookmarkEnd w:id="1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41" w:type="dxa"/>
            <w:vMerge w:val="restart"/>
            <w:tcBorders>
              <w:top w:val="single" w:color="auto" w:sz="4" w:space="0"/>
              <w:bottom w:val="single" w:color="auto" w:sz="4" w:space="0"/>
              <w:right w:val="single" w:color="auto" w:sz="4" w:space="0"/>
            </w:tcBorders>
            <w:noWrap/>
            <w:vAlign w:val="center"/>
          </w:tcPr>
          <w:p>
            <w:pPr>
              <w:spacing w:line="276"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pPr>
              <w:spacing w:line="276"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8" w:type="dxa"/>
            <w:vMerge w:val="restart"/>
            <w:tcBorders>
              <w:top w:val="single" w:color="auto" w:sz="4" w:space="0"/>
              <w:left w:val="single" w:color="auto" w:sz="4" w:space="0"/>
              <w:bottom w:val="single" w:color="auto" w:sz="4" w:space="0"/>
              <w:right w:val="single" w:color="auto" w:sz="4" w:space="0"/>
            </w:tcBorders>
            <w:noWrap/>
            <w:vAlign w:val="center"/>
          </w:tcPr>
          <w:p>
            <w:pPr>
              <w:spacing w:line="276"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 评分标准（</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分）</w:t>
            </w:r>
          </w:p>
        </w:tc>
        <w:tc>
          <w:tcPr>
            <w:tcW w:w="1631" w:type="dxa"/>
            <w:tcBorders>
              <w:top w:val="single" w:color="auto" w:sz="4" w:space="0"/>
              <w:left w:val="single" w:color="auto" w:sz="4" w:space="0"/>
              <w:bottom w:val="single" w:color="auto" w:sz="4" w:space="0"/>
              <w:right w:val="single" w:color="auto" w:sz="4" w:space="0"/>
            </w:tcBorders>
            <w:noWrap/>
            <w:vAlign w:val="center"/>
          </w:tcPr>
          <w:p>
            <w:pPr>
              <w:pStyle w:val="20"/>
              <w:spacing w:line="360" w:lineRule="auto"/>
              <w:jc w:val="center"/>
              <w:rPr>
                <w:rFonts w:hAnsi="宋体" w:cs="宋体"/>
                <w:color w:val="auto"/>
                <w:sz w:val="21"/>
                <w:highlight w:val="none"/>
              </w:rPr>
            </w:pPr>
            <w:r>
              <w:rPr>
                <w:rFonts w:hint="eastAsia" w:hAnsi="宋体" w:cs="宋体"/>
                <w:color w:val="auto"/>
                <w:sz w:val="21"/>
                <w:highlight w:val="none"/>
              </w:rPr>
              <w:t>类似业绩</w:t>
            </w:r>
          </w:p>
          <w:p>
            <w:pPr>
              <w:spacing w:line="276" w:lineRule="auto"/>
              <w:ind w:firstLine="36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5387" w:type="dxa"/>
            <w:tcBorders>
              <w:top w:val="single" w:color="auto" w:sz="4" w:space="0"/>
              <w:left w:val="single" w:color="auto" w:sz="4" w:space="0"/>
              <w:bottom w:val="single" w:color="auto" w:sz="4" w:space="0"/>
              <w:right w:val="single" w:color="auto" w:sz="4" w:space="0"/>
            </w:tcBorders>
            <w:noWrap/>
            <w:vAlign w:val="center"/>
          </w:tcPr>
          <w:p>
            <w:pPr>
              <w:spacing w:after="0" w:line="276" w:lineRule="auto"/>
              <w:rPr>
                <w:rFonts w:hint="eastAsia" w:ascii="宋体" w:hAnsi="宋体" w:cs="宋体"/>
                <w:color w:val="auto"/>
                <w:szCs w:val="21"/>
                <w:highlight w:val="none"/>
              </w:rPr>
            </w:pPr>
            <w:r>
              <w:rPr>
                <w:rFonts w:hint="eastAsia" w:ascii="宋体" w:hAnsi="宋体" w:cs="宋体"/>
                <w:color w:val="auto"/>
                <w:szCs w:val="21"/>
                <w:highlight w:val="none"/>
              </w:rPr>
              <w:t>投标人自2018年1月1日至今，承担过合同金额</w:t>
            </w:r>
            <w:r>
              <w:rPr>
                <w:rFonts w:hint="eastAsia" w:ascii="宋体" w:hAnsi="宋体" w:eastAsia="宋体" w:cs="宋体"/>
                <w:color w:val="auto"/>
                <w:szCs w:val="21"/>
                <w:highlight w:val="none"/>
              </w:rPr>
              <w:t>100</w:t>
            </w:r>
            <w:r>
              <w:rPr>
                <w:rFonts w:hint="eastAsia" w:ascii="宋体" w:hAnsi="宋体" w:cs="宋体"/>
                <w:color w:val="auto"/>
                <w:szCs w:val="21"/>
                <w:highlight w:val="none"/>
              </w:rPr>
              <w:t>万元（或以上）类似工程监测项目的，每项得1分，最高得10分。</w:t>
            </w:r>
          </w:p>
          <w:p>
            <w:pPr>
              <w:pStyle w:val="2"/>
              <w:rPr>
                <w:color w:val="auto"/>
                <w:highlight w:val="none"/>
              </w:rPr>
            </w:pPr>
            <w:r>
              <w:rPr>
                <w:rFonts w:hint="eastAsia" w:ascii="宋体" w:hAnsi="宋体" w:cs="宋体"/>
                <w:color w:val="auto"/>
                <w:szCs w:val="21"/>
                <w:highlight w:val="none"/>
              </w:rPr>
              <w:t>注：</w:t>
            </w:r>
            <w:r>
              <w:rPr>
                <w:rFonts w:hint="eastAsia" w:ascii="宋体" w:hAnsi="宋体"/>
                <w:color w:val="auto"/>
                <w:highlight w:val="none"/>
              </w:rPr>
              <w:t>类似工程监测项目指</w:t>
            </w:r>
            <w:r>
              <w:rPr>
                <w:rFonts w:hint="eastAsia" w:ascii="宋体" w:hAnsi="宋体" w:cs="宋体"/>
                <w:color w:val="auto"/>
                <w:kern w:val="0"/>
                <w:highlight w:val="none"/>
              </w:rPr>
              <w:t>包含</w:t>
            </w:r>
            <w:r>
              <w:rPr>
                <w:rFonts w:hint="eastAsia" w:ascii="宋体" w:hAnsi="宋体" w:cs="宋体"/>
                <w:color w:val="auto"/>
                <w:kern w:val="0"/>
                <w:highlight w:val="none"/>
                <w:lang w:val="en-US" w:eastAsia="zh-CN"/>
              </w:rPr>
              <w:t>软基监测、</w:t>
            </w:r>
            <w:r>
              <w:rPr>
                <w:rFonts w:hint="eastAsia" w:ascii="宋体" w:hAnsi="宋体" w:cs="宋体"/>
                <w:color w:val="auto"/>
                <w:kern w:val="0"/>
                <w:highlight w:val="none"/>
              </w:rPr>
              <w:t>基坑监测</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主体</w:t>
            </w:r>
            <w:r>
              <w:rPr>
                <w:rFonts w:hint="eastAsia" w:ascii="宋体" w:hAnsi="宋体" w:cs="宋体"/>
                <w:color w:val="auto"/>
                <w:kern w:val="0"/>
                <w:highlight w:val="none"/>
              </w:rPr>
              <w:t>沉降监测</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Hans"/>
              </w:rPr>
              <w:t>高大模板监测</w:t>
            </w:r>
            <w:r>
              <w:rPr>
                <w:rFonts w:hint="eastAsia" w:ascii="宋体" w:hAnsi="宋体" w:cs="宋体"/>
                <w:color w:val="auto"/>
                <w:kern w:val="0"/>
                <w:highlight w:val="none"/>
                <w:lang w:val="en-US" w:eastAsia="zh-CN"/>
              </w:rPr>
              <w:t>其中一项</w:t>
            </w:r>
            <w:r>
              <w:rPr>
                <w:rFonts w:hint="eastAsia" w:ascii="宋体" w:hAnsi="宋体" w:cs="宋体"/>
                <w:color w:val="auto"/>
                <w:kern w:val="0"/>
                <w:highlight w:val="none"/>
              </w:rPr>
              <w:t>内容</w:t>
            </w:r>
            <w:r>
              <w:rPr>
                <w:rFonts w:hint="eastAsia" w:ascii="宋体" w:hAnsi="宋体" w:cs="宋体"/>
                <w:color w:val="auto"/>
                <w:kern w:val="0"/>
                <w:highlight w:val="none"/>
                <w:lang w:val="en-US" w:eastAsia="zh-CN"/>
              </w:rPr>
              <w:t>或以上</w:t>
            </w:r>
            <w:r>
              <w:rPr>
                <w:rFonts w:hint="eastAsia" w:ascii="宋体" w:hAnsi="宋体" w:cs="宋体"/>
                <w:color w:val="auto"/>
                <w:kern w:val="0"/>
                <w:highlight w:val="none"/>
              </w:rPr>
              <w:t>的监测业绩</w:t>
            </w:r>
            <w:r>
              <w:rPr>
                <w:rFonts w:hint="eastAsia" w:ascii="宋体" w:hAnsi="宋体" w:cs="宋体"/>
                <w:color w:val="auto"/>
                <w:highlight w:val="none"/>
              </w:rPr>
              <w:t>，要求同时提交中标通知书（或免招标的相关证明）、监测合同。时间和金额以合同为准，如合同无法体现时间或金额，则以中标通知书为准。如以上资料不能证明业绩规模或技术指标的，须另提供业主盖章的业绩证明或可证明业绩技术指标的其他资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trPr>
        <w:tc>
          <w:tcPr>
            <w:tcW w:w="741" w:type="dxa"/>
            <w:vMerge w:val="continue"/>
            <w:tcBorders>
              <w:top w:val="single" w:color="auto" w:sz="4" w:space="0"/>
              <w:bottom w:val="single" w:color="auto" w:sz="4" w:space="0"/>
              <w:right w:val="single" w:color="auto" w:sz="4" w:space="0"/>
            </w:tcBorders>
            <w:noWrap/>
            <w:vAlign w:val="center"/>
          </w:tcPr>
          <w:p>
            <w:pPr>
              <w:spacing w:line="276" w:lineRule="auto"/>
              <w:ind w:firstLine="360"/>
              <w:jc w:val="center"/>
              <w:rPr>
                <w:rFonts w:ascii="宋体" w:hAnsi="宋体" w:eastAsia="宋体" w:cs="宋体"/>
                <w:color w:val="auto"/>
                <w:sz w:val="21"/>
                <w:szCs w:val="21"/>
                <w:highlight w:val="none"/>
              </w:rPr>
            </w:pPr>
          </w:p>
        </w:tc>
        <w:tc>
          <w:tcPr>
            <w:tcW w:w="1138" w:type="dxa"/>
            <w:vMerge w:val="continue"/>
            <w:tcBorders>
              <w:top w:val="single" w:color="auto" w:sz="4" w:space="0"/>
              <w:left w:val="single" w:color="auto" w:sz="4" w:space="0"/>
              <w:bottom w:val="single" w:color="auto" w:sz="4" w:space="0"/>
              <w:right w:val="single" w:color="auto" w:sz="4" w:space="0"/>
            </w:tcBorders>
            <w:noWrap/>
            <w:vAlign w:val="center"/>
          </w:tcPr>
          <w:p>
            <w:pPr>
              <w:spacing w:line="276" w:lineRule="auto"/>
              <w:ind w:firstLine="360"/>
              <w:jc w:val="center"/>
              <w:rPr>
                <w:rFonts w:ascii="宋体" w:hAnsi="宋体" w:eastAsia="宋体" w:cs="宋体"/>
                <w:color w:val="auto"/>
                <w:sz w:val="21"/>
                <w:szCs w:val="21"/>
                <w:highlight w:val="none"/>
              </w:rPr>
            </w:pPr>
          </w:p>
        </w:tc>
        <w:tc>
          <w:tcPr>
            <w:tcW w:w="163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企业综合实力评价</w:t>
            </w:r>
          </w:p>
          <w:p>
            <w:pPr>
              <w:jc w:val="center"/>
              <w:rPr>
                <w:rFonts w:ascii="宋体" w:hAnsi="宋体" w:eastAsia="宋体" w:cs="宋体"/>
                <w:color w:val="auto"/>
                <w:sz w:val="21"/>
                <w:szCs w:val="21"/>
                <w:highlight w:val="none"/>
              </w:rPr>
            </w:pPr>
            <w:r>
              <w:rPr>
                <w:rFonts w:hint="eastAsia" w:ascii="宋体" w:hAnsi="宋体" w:cs="宋体"/>
                <w:color w:val="auto"/>
                <w:kern w:val="0"/>
                <w:sz w:val="21"/>
                <w:szCs w:val="21"/>
                <w:highlight w:val="none"/>
              </w:rPr>
              <w:t>（</w:t>
            </w:r>
            <w:r>
              <w:rPr>
                <w:rFonts w:hint="eastAsia" w:ascii="宋体" w:hAnsi="宋体" w:eastAsia="宋体" w:cs="宋体"/>
                <w:color w:val="auto"/>
                <w:kern w:val="0"/>
                <w:sz w:val="21"/>
                <w:szCs w:val="21"/>
                <w:highlight w:val="none"/>
              </w:rPr>
              <w:t>35</w:t>
            </w:r>
            <w:r>
              <w:rPr>
                <w:rFonts w:hint="eastAsia" w:ascii="宋体" w:hAnsi="宋体" w:cs="宋体"/>
                <w:color w:val="auto"/>
                <w:kern w:val="0"/>
                <w:sz w:val="21"/>
                <w:szCs w:val="21"/>
                <w:highlight w:val="none"/>
              </w:rPr>
              <w:t>分）</w:t>
            </w:r>
          </w:p>
        </w:tc>
        <w:tc>
          <w:tcPr>
            <w:tcW w:w="5387" w:type="dxa"/>
            <w:tcBorders>
              <w:top w:val="single" w:color="auto" w:sz="4" w:space="0"/>
              <w:left w:val="single" w:color="auto" w:sz="4" w:space="0"/>
              <w:bottom w:val="single" w:color="auto" w:sz="4" w:space="0"/>
              <w:right w:val="single" w:color="auto" w:sz="4" w:space="0"/>
            </w:tcBorders>
            <w:noWrap/>
            <w:vAlign w:val="center"/>
          </w:tcPr>
          <w:p>
            <w:pPr>
              <w:spacing w:after="0" w:line="276" w:lineRule="auto"/>
              <w:rPr>
                <w:rFonts w:ascii="宋体" w:hAnsi="宋体" w:cs="宋体"/>
                <w:color w:val="auto"/>
                <w:szCs w:val="21"/>
                <w:highlight w:val="none"/>
              </w:rPr>
            </w:pPr>
            <w:r>
              <w:rPr>
                <w:rFonts w:hint="eastAsia" w:ascii="宋体" w:hAnsi="宋体" w:cs="宋体"/>
                <w:color w:val="auto"/>
                <w:szCs w:val="21"/>
                <w:highlight w:val="none"/>
              </w:rPr>
              <w:t>1、投标人同时具有“质量管理体系、环境管理体系、职业健康安全管理体系、信息安全管理体系”四项认证证书的得4分，具有其中二项或三项的得2分，具有其中一项的得1分，没有的不得分。</w:t>
            </w:r>
          </w:p>
          <w:p>
            <w:pPr>
              <w:spacing w:after="0" w:line="276" w:lineRule="auto"/>
              <w:rPr>
                <w:rFonts w:ascii="宋体" w:hAnsi="宋体" w:cs="宋体"/>
                <w:color w:val="auto"/>
                <w:szCs w:val="21"/>
                <w:highlight w:val="none"/>
              </w:rPr>
            </w:pPr>
            <w:bookmarkStart w:id="198" w:name="_Toc142406635"/>
            <w:r>
              <w:rPr>
                <w:rFonts w:hint="eastAsia" w:ascii="宋体" w:hAnsi="宋体" w:cs="宋体"/>
                <w:color w:val="auto"/>
                <w:szCs w:val="21"/>
                <w:highlight w:val="none"/>
              </w:rPr>
              <w:t>注：须提供在有效期内的证书复印件，并加盖公章，否则不得分。</w:t>
            </w:r>
            <w:bookmarkEnd w:id="198"/>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2、投标人连续5年或以上（含</w:t>
            </w:r>
            <w:r>
              <w:rPr>
                <w:rFonts w:ascii="宋体" w:hAnsi="宋体" w:cs="宋体"/>
                <w:color w:val="auto"/>
                <w:szCs w:val="21"/>
                <w:highlight w:val="none"/>
              </w:rPr>
              <w:t>2022</w:t>
            </w:r>
            <w:r>
              <w:rPr>
                <w:rFonts w:hint="eastAsia" w:ascii="宋体" w:hAnsi="宋体" w:cs="宋体"/>
                <w:color w:val="auto"/>
                <w:szCs w:val="21"/>
                <w:highlight w:val="none"/>
              </w:rPr>
              <w:t>年度）获得纳税信用等级A级的得8分；获得过3-4年纳税信用等级A级的得4分；获得过1-2年纳税信用等级A级的得2分；没有不得分。本项最高得8分。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注：以税务部门官网查询结果或颁发的证书为准，纳税人等级只计算投标人自身（不计算投标人的分公司和子公司）。投标人须提供证书扫描件或在税务部门官网网站的查询结果网页打印页，并加盖投标人公章。未提供上述资料或不符合要求的不得分。时间以税务部门官网公布的获奖年度（评价年度）或证书评价年度为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3、投标人具有高新技术企业证书且在有效期内的得3分。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注：“高新技术企业”由相关行政主管部门认定。</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4、2018年1月1日至今投标人承接的监测类项目，获得省级或以上科学技术奖的每个得</w:t>
            </w: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分；获得市级科学技术奖的每个得1分，没有不得分。本小项最高得</w:t>
            </w: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分。</w:t>
            </w:r>
          </w:p>
          <w:p>
            <w:pPr>
              <w:spacing w:after="0" w:line="276" w:lineRule="auto"/>
              <w:rPr>
                <w:rFonts w:hint="eastAsia" w:ascii="宋体" w:hAnsi="宋体" w:cs="宋体"/>
                <w:color w:val="auto"/>
                <w:szCs w:val="21"/>
                <w:highlight w:val="none"/>
              </w:rPr>
            </w:pPr>
            <w:r>
              <w:rPr>
                <w:rFonts w:hint="eastAsia" w:ascii="宋体" w:hAnsi="宋体" w:cs="宋体"/>
                <w:color w:val="auto"/>
                <w:szCs w:val="21"/>
                <w:highlight w:val="none"/>
              </w:rPr>
              <w:t>注：监测类项目指的是与工程建设相关的监测类项目</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同一项目按最高奖项分值计取，不重复计分，时间以获奖证书日期为准，颁发机构以主管行政部门或者专业协会（学会）为准。</w:t>
            </w:r>
            <w:r>
              <w:rPr>
                <w:rFonts w:hint="eastAsia" w:ascii="宋体" w:hAnsi="宋体" w:cs="宋体"/>
                <w:color w:val="auto"/>
                <w:szCs w:val="21"/>
                <w:highlight w:val="none"/>
              </w:rPr>
              <w:br w:type="textWrapping"/>
            </w:r>
            <w:r>
              <w:rPr>
                <w:rFonts w:ascii="宋体" w:hAnsi="宋体" w:cs="宋体"/>
                <w:color w:val="auto"/>
                <w:szCs w:val="21"/>
                <w:highlight w:val="none"/>
              </w:rPr>
              <w:t>5</w:t>
            </w:r>
            <w:r>
              <w:rPr>
                <w:rFonts w:hint="eastAsia" w:ascii="宋体" w:hAnsi="宋体" w:cs="宋体"/>
                <w:color w:val="auto"/>
                <w:szCs w:val="21"/>
                <w:highlight w:val="none"/>
              </w:rPr>
              <w:t>、2018年1月1日至今投标人承接的监测类项目，获得省级或以上工程奖项的每个得</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rPr>
              <w:t>分；获得市级工程奖项的每个得</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rPr>
              <w:t>分，本小项最高得</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rPr>
              <w:br w:type="textWrapping"/>
            </w:r>
            <w:r>
              <w:rPr>
                <w:rFonts w:hint="eastAsia" w:ascii="宋体" w:hAnsi="宋体" w:cs="宋体"/>
                <w:color w:val="auto"/>
                <w:szCs w:val="21"/>
                <w:highlight w:val="none"/>
              </w:rPr>
              <w:t>注：同一项目按最高奖项分值计取，不重复计分，时间以获奖证书日期为准，颁发机构以主管行政部门或者专业协会（学会）为准。</w:t>
            </w:r>
          </w:p>
          <w:p>
            <w:pPr>
              <w:pStyle w:val="2"/>
              <w:rPr>
                <w:rFonts w:hint="default" w:eastAsia="宋体"/>
                <w:color w:val="auto"/>
                <w:highlight w:val="none"/>
                <w:lang w:val="en-US" w:eastAsia="zh-CN"/>
              </w:rPr>
            </w:pPr>
            <w:r>
              <w:rPr>
                <w:rFonts w:hint="eastAsia" w:ascii="宋体" w:hAnsi="宋体" w:cs="宋体"/>
                <w:color w:val="auto"/>
                <w:szCs w:val="21"/>
                <w:highlight w:val="none"/>
                <w:lang w:val="en-US" w:eastAsia="zh-CN"/>
              </w:rPr>
              <w:t>注：监测类项目指的是与工程建设相关的</w:t>
            </w:r>
            <w:r>
              <w:rPr>
                <w:rFonts w:hint="eastAsia" w:ascii="宋体" w:hAnsi="宋体" w:cs="宋体"/>
                <w:color w:val="auto"/>
                <w:kern w:val="0"/>
                <w:highlight w:val="none"/>
              </w:rPr>
              <w:t>监测</w:t>
            </w:r>
            <w:r>
              <w:rPr>
                <w:rFonts w:hint="eastAsia" w:ascii="宋体" w:hAnsi="宋体" w:cs="宋体"/>
                <w:color w:val="auto"/>
                <w:kern w:val="0"/>
                <w:highlight w:val="none"/>
                <w:lang w:val="en-US" w:eastAsia="zh-CN"/>
              </w:rPr>
              <w:t>类项目。</w:t>
            </w:r>
          </w:p>
          <w:p>
            <w:pPr>
              <w:spacing w:after="0" w:line="276" w:lineRule="auto"/>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、投标人2018年1月1日至今参编过国家、地方、协会出版的监测类技术规程得5分；没有不得分。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注：提供</w:t>
            </w:r>
            <w:r>
              <w:rPr>
                <w:rFonts w:hint="eastAsia" w:ascii="宋体" w:hAnsi="宋体" w:eastAsia="宋体" w:cs="宋体"/>
                <w:color w:val="auto"/>
                <w:szCs w:val="21"/>
                <w:highlight w:val="none"/>
                <w:lang w:val="en-US" w:eastAsia="zh-CN"/>
              </w:rPr>
              <w:t>已出版的监测类技术规程的封面、编制单位等有关信息的页面作为相关证明材料</w:t>
            </w:r>
            <w:r>
              <w:rPr>
                <w:rFonts w:hint="eastAsia" w:ascii="宋体" w:hAnsi="宋体" w:cs="宋体"/>
                <w:color w:val="auto"/>
                <w:szCs w:val="21"/>
                <w:highlight w:val="none"/>
              </w:rPr>
              <w:t>。本项最高得5分。</w:t>
            </w:r>
          </w:p>
          <w:p>
            <w:pPr>
              <w:spacing w:after="0" w:line="276" w:lineRule="auto"/>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、投标人具有市级或以上级别“工程技术研究中心”或者“企业研究开发机构”证书的，得6分。没有不得分（证书由市级或以上科技主管行政部门颁发）。</w:t>
            </w:r>
            <w:r>
              <w:rPr>
                <w:rFonts w:hint="eastAsia" w:ascii="宋体" w:hAnsi="宋体" w:cs="宋体"/>
                <w:color w:val="auto"/>
                <w:szCs w:val="21"/>
                <w:highlight w:val="none"/>
              </w:rPr>
              <w:br w:type="textWrapping"/>
            </w:r>
            <w:r>
              <w:rPr>
                <w:rFonts w:hint="eastAsia" w:ascii="宋体" w:hAnsi="宋体" w:cs="宋体"/>
                <w:color w:val="auto"/>
                <w:szCs w:val="21"/>
                <w:highlight w:val="none"/>
              </w:rPr>
              <w:t>注：提供证书扫描件。本项最高得6分。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741" w:type="dxa"/>
            <w:vMerge w:val="continue"/>
            <w:tcBorders>
              <w:top w:val="single" w:color="auto" w:sz="4" w:space="0"/>
              <w:bottom w:val="single" w:color="auto" w:sz="4" w:space="0"/>
              <w:right w:val="single" w:color="auto" w:sz="4" w:space="0"/>
            </w:tcBorders>
            <w:noWrap/>
            <w:vAlign w:val="center"/>
          </w:tcPr>
          <w:p>
            <w:pPr>
              <w:spacing w:after="0" w:line="276" w:lineRule="auto"/>
              <w:ind w:firstLine="360"/>
              <w:rPr>
                <w:rFonts w:ascii="宋体" w:hAnsi="宋体" w:eastAsia="宋体" w:cs="宋体"/>
                <w:bCs/>
                <w:color w:val="auto"/>
                <w:sz w:val="21"/>
                <w:szCs w:val="21"/>
                <w:highlight w:val="none"/>
              </w:rPr>
            </w:pPr>
          </w:p>
        </w:tc>
        <w:tc>
          <w:tcPr>
            <w:tcW w:w="1138" w:type="dxa"/>
            <w:vMerge w:val="continue"/>
            <w:tcBorders>
              <w:top w:val="single" w:color="auto" w:sz="4" w:space="0"/>
              <w:left w:val="single" w:color="auto" w:sz="4" w:space="0"/>
              <w:bottom w:val="single" w:color="auto" w:sz="4" w:space="0"/>
              <w:right w:val="single" w:color="auto" w:sz="4" w:space="0"/>
            </w:tcBorders>
            <w:noWrap/>
            <w:vAlign w:val="center"/>
          </w:tcPr>
          <w:p>
            <w:pPr>
              <w:spacing w:after="0" w:line="276" w:lineRule="auto"/>
              <w:ind w:firstLine="360"/>
              <w:rPr>
                <w:rFonts w:ascii="宋体" w:hAnsi="宋体" w:eastAsia="宋体" w:cs="宋体"/>
                <w:bCs/>
                <w:color w:val="auto"/>
                <w:sz w:val="21"/>
                <w:szCs w:val="21"/>
                <w:highlight w:val="none"/>
              </w:rPr>
            </w:pPr>
          </w:p>
        </w:tc>
        <w:tc>
          <w:tcPr>
            <w:tcW w:w="163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拟投入本项目人员的技术水平</w:t>
            </w:r>
          </w:p>
          <w:p>
            <w:pPr>
              <w:spacing w:after="0" w:line="276" w:lineRule="auto"/>
              <w:ind w:firstLine="360"/>
              <w:rPr>
                <w:rFonts w:ascii="宋体" w:hAnsi="宋体" w:eastAsia="宋体" w:cs="宋体"/>
                <w:bCs/>
                <w:color w:val="auto"/>
                <w:sz w:val="21"/>
                <w:szCs w:val="21"/>
                <w:highlight w:val="none"/>
              </w:rPr>
            </w:pPr>
            <w:r>
              <w:rPr>
                <w:rFonts w:hint="eastAsia" w:ascii="宋体" w:hAnsi="宋体" w:cs="宋体"/>
                <w:color w:val="auto"/>
                <w:kern w:val="0"/>
                <w:sz w:val="21"/>
                <w:szCs w:val="21"/>
                <w:highlight w:val="none"/>
              </w:rPr>
              <w:t>（</w:t>
            </w:r>
            <w:r>
              <w:rPr>
                <w:rFonts w:hint="eastAsia" w:ascii="宋体" w:hAnsi="宋体" w:cs="宋体" w:eastAsiaTheme="minorEastAsia"/>
                <w:color w:val="auto"/>
                <w:kern w:val="0"/>
                <w:sz w:val="21"/>
                <w:szCs w:val="21"/>
                <w:highlight w:val="none"/>
              </w:rPr>
              <w:t>2</w:t>
            </w:r>
            <w:r>
              <w:rPr>
                <w:rFonts w:hint="eastAsia" w:ascii="宋体" w:hAnsi="宋体" w:cs="宋体" w:eastAsiaTheme="minorEastAsia"/>
                <w:color w:val="auto"/>
                <w:kern w:val="0"/>
                <w:sz w:val="21"/>
                <w:szCs w:val="21"/>
                <w:highlight w:val="none"/>
                <w:lang w:val="en-US" w:eastAsia="zh-CN"/>
              </w:rPr>
              <w:t>5</w:t>
            </w:r>
            <w:r>
              <w:rPr>
                <w:rFonts w:hint="eastAsia" w:ascii="宋体" w:hAnsi="宋体" w:cs="宋体"/>
                <w:color w:val="auto"/>
                <w:kern w:val="0"/>
                <w:sz w:val="21"/>
                <w:szCs w:val="21"/>
                <w:highlight w:val="none"/>
              </w:rPr>
              <w:t>分）</w:t>
            </w:r>
          </w:p>
        </w:tc>
        <w:tc>
          <w:tcPr>
            <w:tcW w:w="5387" w:type="dxa"/>
            <w:tcBorders>
              <w:top w:val="single" w:color="auto" w:sz="4" w:space="0"/>
              <w:left w:val="single" w:color="auto" w:sz="4" w:space="0"/>
              <w:bottom w:val="single" w:color="auto" w:sz="4" w:space="0"/>
              <w:right w:val="single" w:color="auto" w:sz="4" w:space="0"/>
            </w:tcBorders>
            <w:noWrap/>
            <w:vAlign w:val="center"/>
          </w:tcPr>
          <w:p>
            <w:pPr>
              <w:spacing w:after="0" w:line="276" w:lineRule="auto"/>
              <w:rPr>
                <w:rFonts w:ascii="宋体" w:hAnsi="宋体" w:cs="宋体"/>
                <w:color w:val="auto"/>
                <w:szCs w:val="21"/>
                <w:highlight w:val="none"/>
              </w:rPr>
            </w:pPr>
            <w:r>
              <w:rPr>
                <w:rFonts w:hint="eastAsia" w:ascii="宋体" w:hAnsi="宋体" w:cs="宋体"/>
                <w:color w:val="auto"/>
                <w:szCs w:val="21"/>
                <w:highlight w:val="none"/>
              </w:rPr>
              <w:t>1、项目负责人（7分）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①、具有测绘或岩土工程高级工程师或以上职称的得5分，具有测绘或岩土工程中级工程师职称的得2分。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②、持有建筑变形测量或基坑监测检测员证的得2分。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注：①提供职称证书或检测员证扫描件，不提供的不得分；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项目负责人、技术负责人应为不同人员，不得互相兼任，否则均不得分。需提供职称证书、检测员证等相关证件及投标登记截止时间近6个月或以上有效的社会保险证明（社保证明需能反映参保人在该投标单位（含分支机构）缴纳社保）扫描件并加盖公章，没有提供或不符合要求的不得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本项最高得7分。</w:t>
            </w:r>
          </w:p>
          <w:p>
            <w:pPr>
              <w:spacing w:after="0" w:line="276" w:lineRule="auto"/>
              <w:rPr>
                <w:rFonts w:hint="default" w:ascii="宋体" w:hAnsi="宋体" w:eastAsia="宋体" w:cs="宋体"/>
                <w:color w:val="auto"/>
                <w:szCs w:val="21"/>
                <w:highlight w:val="none"/>
                <w:lang w:val="en-US" w:eastAsia="zh-CN"/>
              </w:rPr>
            </w:pPr>
            <w:r>
              <w:rPr>
                <w:rFonts w:ascii="宋体" w:hAnsi="宋体" w:cs="宋体"/>
                <w:color w:val="auto"/>
                <w:szCs w:val="21"/>
                <w:highlight w:val="none"/>
              </w:rPr>
              <w:t>2</w:t>
            </w:r>
            <w:r>
              <w:rPr>
                <w:rFonts w:hint="eastAsia" w:ascii="宋体" w:hAnsi="宋体" w:cs="宋体" w:eastAsiaTheme="minorEastAsia"/>
                <w:color w:val="auto"/>
                <w:szCs w:val="21"/>
                <w:highlight w:val="none"/>
              </w:rPr>
              <w:t>、</w:t>
            </w:r>
            <w:r>
              <w:rPr>
                <w:rFonts w:hint="eastAsia" w:ascii="宋体" w:hAnsi="宋体" w:cs="宋体"/>
                <w:color w:val="auto"/>
                <w:szCs w:val="21"/>
                <w:highlight w:val="none"/>
              </w:rPr>
              <w:t>技术负责人（</w:t>
            </w:r>
            <w:r>
              <w:rPr>
                <w:rFonts w:hint="eastAsia" w:ascii="宋体" w:hAnsi="宋体" w:eastAsia="宋体" w:cs="宋体"/>
                <w:color w:val="auto"/>
                <w:szCs w:val="21"/>
                <w:highlight w:val="none"/>
                <w:lang w:val="en-US" w:eastAsia="zh-CN"/>
              </w:rPr>
              <w:t>8</w:t>
            </w:r>
            <w:r>
              <w:rPr>
                <w:rFonts w:hint="eastAsia" w:ascii="宋体" w:hAnsi="宋体" w:cs="宋体"/>
                <w:color w:val="auto"/>
                <w:szCs w:val="21"/>
                <w:highlight w:val="none"/>
              </w:rPr>
              <w:t>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①、具有测绘或岩土工程高级工程师或以上职称的得4分，具有测绘或岩土工程中级工程师职称的得2分。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②、具有国家注册土木工程师（岩土）或注册测绘师执业资格证书得2分。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③、持有建筑变形测量或基坑监测检测员证的得2分。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注：项目负责人、技术负责人应为不同人员，不得互相兼任，否则均不得分。需提供执业资格证书、职称证、检测员证等相关证件及投标登记截止时间近6个月或以上有效的的社会保险证明（社保证明需能反映参保人在该投标单位（含分支机构）缴纳社保）扫描件并加盖公章，没有提供或不符合要求的不得分。</w:t>
            </w:r>
            <w:r>
              <w:rPr>
                <w:rFonts w:hint="eastAsia" w:ascii="宋体" w:hAnsi="宋体" w:cs="宋体"/>
                <w:color w:val="auto"/>
                <w:szCs w:val="21"/>
                <w:highlight w:val="none"/>
              </w:rPr>
              <w:br w:type="textWrapping"/>
            </w:r>
            <w:r>
              <w:rPr>
                <w:rFonts w:hint="eastAsia" w:ascii="宋体" w:hAnsi="宋体" w:cs="宋体"/>
                <w:color w:val="auto"/>
                <w:szCs w:val="21"/>
                <w:highlight w:val="none"/>
              </w:rPr>
              <w:t>本项最高得8分。</w:t>
            </w:r>
          </w:p>
          <w:p>
            <w:pPr>
              <w:spacing w:after="0" w:line="276" w:lineRule="auto"/>
              <w:rPr>
                <w:rFonts w:ascii="宋体" w:hAnsi="宋体" w:cs="宋体"/>
                <w:color w:val="auto"/>
                <w:szCs w:val="21"/>
                <w:highlight w:val="none"/>
              </w:rPr>
            </w:pPr>
            <w:r>
              <w:rPr>
                <w:rFonts w:hint="eastAsia" w:ascii="宋体" w:hAnsi="宋体" w:cs="宋体"/>
                <w:color w:val="auto"/>
                <w:szCs w:val="21"/>
                <w:highlight w:val="none"/>
              </w:rPr>
              <w:t>3、主要检测技术人员（10分）（不含项目负责人及技术负责人）：</w:t>
            </w:r>
          </w:p>
          <w:p>
            <w:pPr>
              <w:spacing w:after="0" w:line="360"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拟配备本项目的主要专业技术人员（不含项目负责人、技术负责人）配置齐全（满足表3：拟投入本项目的监测人员配备要求），具有工程师或以上职称的人数在10人或以上的得10分；6人-9人的得6分；3人-5人的得3分；不足3人的不得</w:t>
            </w:r>
            <w:r>
              <w:rPr>
                <w:rFonts w:hint="eastAsia"/>
                <w:color w:val="auto"/>
                <w:sz w:val="24"/>
                <w:szCs w:val="24"/>
                <w:highlight w:val="none"/>
              </w:rPr>
              <w:t>分。</w:t>
            </w:r>
          </w:p>
          <w:p>
            <w:pPr>
              <w:spacing w:after="0" w:line="276" w:lineRule="auto"/>
              <w:rPr>
                <w:rFonts w:ascii="黑体" w:hAnsi="宋体" w:eastAsia="宋体" w:cs="宋体"/>
                <w:color w:val="auto"/>
                <w:kern w:val="0"/>
                <w:sz w:val="21"/>
                <w:szCs w:val="21"/>
                <w:highlight w:val="none"/>
              </w:rPr>
            </w:pPr>
            <w:r>
              <w:rPr>
                <w:rFonts w:hint="eastAsia" w:ascii="宋体" w:hAnsi="宋体" w:cs="宋体"/>
                <w:color w:val="auto"/>
                <w:szCs w:val="21"/>
                <w:highlight w:val="none"/>
              </w:rPr>
              <w:t>注：需提供职称证等相关证件及投标登记截止时间近6个月或以上有效的的社会保险证明（社保证明需能反映参保人在该投标单位（含分支机构）社保）扫描件并加盖公章，没有提供或不符合要求的不得分。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0" w:hRule="atLeast"/>
        </w:trPr>
        <w:tc>
          <w:tcPr>
            <w:tcW w:w="741" w:type="dxa"/>
            <w:vMerge w:val="restart"/>
            <w:tcBorders>
              <w:top w:val="single" w:color="auto" w:sz="4" w:space="0"/>
              <w:bottom w:val="single" w:color="auto" w:sz="4" w:space="0"/>
              <w:right w:val="single" w:color="auto" w:sz="4" w:space="0"/>
            </w:tcBorders>
            <w:noWrap/>
            <w:vAlign w:val="center"/>
          </w:tcPr>
          <w:p>
            <w:pPr>
              <w:spacing w:line="276"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pPr>
              <w:spacing w:line="276"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3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kern w:val="0"/>
                <w:sz w:val="24"/>
                <w:szCs w:val="24"/>
                <w:highlight w:val="none"/>
              </w:rPr>
            </w:pPr>
          </w:p>
          <w:p>
            <w:pPr>
              <w:spacing w:line="276"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监测设备和监测方案部分评分标准</w:t>
            </w:r>
          </w:p>
          <w:p>
            <w:pPr>
              <w:spacing w:line="276" w:lineRule="auto"/>
              <w:jc w:val="both"/>
              <w:rPr>
                <w:rFonts w:ascii="宋体" w:hAnsi="宋体" w:cs="宋体"/>
                <w:color w:val="auto"/>
                <w:kern w:val="0"/>
                <w:sz w:val="24"/>
                <w:szCs w:val="24"/>
                <w:highlight w:val="none"/>
              </w:rPr>
            </w:pPr>
            <w:r>
              <w:rPr>
                <w:rFonts w:hint="eastAsia" w:ascii="宋体" w:hAnsi="宋体" w:eastAsia="宋体" w:cs="宋体"/>
                <w:color w:val="auto"/>
                <w:sz w:val="21"/>
                <w:szCs w:val="21"/>
                <w:highlight w:val="none"/>
              </w:rPr>
              <w:t>（20分）</w:t>
            </w:r>
          </w:p>
        </w:tc>
        <w:tc>
          <w:tcPr>
            <w:tcW w:w="163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拟投入的</w:t>
            </w:r>
            <w:r>
              <w:rPr>
                <w:rFonts w:hint="eastAsia" w:ascii="宋体" w:hAnsi="宋体" w:eastAsia="宋体" w:cs="宋体"/>
                <w:color w:val="auto"/>
                <w:kern w:val="0"/>
                <w:sz w:val="21"/>
                <w:szCs w:val="21"/>
                <w:highlight w:val="none"/>
              </w:rPr>
              <w:t>监测</w:t>
            </w:r>
            <w:r>
              <w:rPr>
                <w:rFonts w:hint="eastAsia" w:ascii="宋体" w:hAnsi="宋体" w:cs="宋体"/>
                <w:color w:val="auto"/>
                <w:kern w:val="0"/>
                <w:sz w:val="21"/>
                <w:szCs w:val="21"/>
                <w:highlight w:val="none"/>
              </w:rPr>
              <w:t>设备</w:t>
            </w:r>
          </w:p>
          <w:p>
            <w:pPr>
              <w:spacing w:after="0" w:line="276" w:lineRule="auto"/>
              <w:ind w:firstLine="360"/>
              <w:rPr>
                <w:rFonts w:ascii="宋体" w:hAnsi="宋体" w:eastAsia="宋体" w:cs="宋体"/>
                <w:bCs/>
                <w:color w:val="auto"/>
                <w:sz w:val="21"/>
                <w:szCs w:val="21"/>
                <w:highlight w:val="none"/>
              </w:rPr>
            </w:pPr>
            <w:r>
              <w:rPr>
                <w:rFonts w:hint="eastAsia" w:ascii="宋体" w:hAnsi="宋体" w:cs="宋体"/>
                <w:color w:val="auto"/>
                <w:kern w:val="0"/>
                <w:sz w:val="21"/>
                <w:szCs w:val="21"/>
                <w:highlight w:val="none"/>
              </w:rPr>
              <w:t>（5分）</w:t>
            </w:r>
          </w:p>
        </w:tc>
        <w:tc>
          <w:tcPr>
            <w:tcW w:w="5387" w:type="dxa"/>
            <w:tcBorders>
              <w:top w:val="single" w:color="auto" w:sz="4" w:space="0"/>
              <w:left w:val="single" w:color="auto" w:sz="4" w:space="0"/>
              <w:bottom w:val="single" w:color="auto" w:sz="4" w:space="0"/>
              <w:right w:val="single" w:color="auto" w:sz="4" w:space="0"/>
            </w:tcBorders>
            <w:noWrap/>
            <w:vAlign w:val="center"/>
          </w:tcPr>
          <w:p>
            <w:pPr>
              <w:spacing w:after="0" w:line="360" w:lineRule="exact"/>
              <w:ind w:firstLine="440" w:firstLineChars="200"/>
              <w:rPr>
                <w:rFonts w:hint="eastAsia" w:ascii="宋体" w:hAnsi="宋体" w:cs="宋体"/>
                <w:color w:val="auto"/>
                <w:sz w:val="22"/>
                <w:szCs w:val="21"/>
                <w:highlight w:val="none"/>
                <w:lang w:bidi="zh-CN"/>
              </w:rPr>
            </w:pPr>
            <w:r>
              <w:rPr>
                <w:rFonts w:hint="eastAsia" w:ascii="宋体" w:hAnsi="宋体" w:cs="宋体"/>
                <w:color w:val="auto"/>
                <w:sz w:val="22"/>
                <w:szCs w:val="21"/>
                <w:highlight w:val="none"/>
                <w:lang w:bidi="zh-CN"/>
              </w:rPr>
              <w:t>优：设备齐全、先进、现代化，满足本项目招标需求，年检合格，设备全部属于自有，得5分；</w:t>
            </w:r>
          </w:p>
          <w:p>
            <w:pPr>
              <w:spacing w:after="0" w:line="360" w:lineRule="exact"/>
              <w:ind w:firstLine="440" w:firstLineChars="200"/>
              <w:rPr>
                <w:rFonts w:hint="eastAsia" w:ascii="宋体" w:hAnsi="宋体" w:eastAsia="Times New Roman" w:cs="宋体"/>
                <w:color w:val="auto"/>
                <w:sz w:val="22"/>
                <w:szCs w:val="21"/>
                <w:highlight w:val="none"/>
                <w:lang w:bidi="zh-CN"/>
              </w:rPr>
            </w:pPr>
            <w:r>
              <w:rPr>
                <w:rFonts w:hint="eastAsia" w:ascii="宋体" w:hAnsi="宋体" w:cs="宋体"/>
                <w:color w:val="auto"/>
                <w:sz w:val="22"/>
                <w:szCs w:val="21"/>
                <w:highlight w:val="none"/>
                <w:lang w:bidi="zh-CN"/>
              </w:rPr>
              <w:t>良：设备齐全，满足本项目招标需求，年检合格，80%（含）以上设备属于自有，得</w:t>
            </w:r>
            <w:r>
              <w:rPr>
                <w:rFonts w:hint="eastAsia" w:ascii="宋体" w:hAnsi="宋体" w:eastAsia="Times New Roman" w:cs="宋体"/>
                <w:color w:val="auto"/>
                <w:sz w:val="22"/>
                <w:szCs w:val="21"/>
                <w:highlight w:val="none"/>
                <w:lang w:bidi="zh-CN"/>
              </w:rPr>
              <w:t>3-</w:t>
            </w:r>
            <w:r>
              <w:rPr>
                <w:rFonts w:hint="eastAsia" w:ascii="宋体" w:hAnsi="宋体" w:cs="宋体"/>
                <w:color w:val="auto"/>
                <w:sz w:val="22"/>
                <w:szCs w:val="21"/>
                <w:highlight w:val="none"/>
                <w:lang w:bidi="zh-CN"/>
              </w:rPr>
              <w:t>4分；</w:t>
            </w:r>
          </w:p>
          <w:p>
            <w:pPr>
              <w:spacing w:after="0" w:line="360" w:lineRule="exact"/>
              <w:ind w:firstLine="440" w:firstLineChars="200"/>
              <w:rPr>
                <w:rFonts w:hint="eastAsia" w:ascii="宋体" w:hAnsi="宋体" w:cs="宋体"/>
                <w:color w:val="auto"/>
                <w:sz w:val="22"/>
                <w:szCs w:val="21"/>
                <w:highlight w:val="none"/>
                <w:lang w:bidi="zh-CN"/>
              </w:rPr>
            </w:pPr>
            <w:r>
              <w:rPr>
                <w:rFonts w:hint="eastAsia" w:ascii="宋体" w:hAnsi="宋体" w:cs="宋体"/>
                <w:color w:val="auto"/>
                <w:szCs w:val="21"/>
                <w:highlight w:val="none"/>
                <w:lang w:bidi="zh-CN"/>
              </w:rPr>
              <w:t>中：设备基本满足本项目招标需求，50%（不含）以下设备属于自有，得1-2分。</w:t>
            </w:r>
          </w:p>
          <w:p>
            <w:pPr>
              <w:spacing w:after="0" w:line="360" w:lineRule="exact"/>
              <w:ind w:firstLine="440" w:firstLineChars="200"/>
              <w:rPr>
                <w:rFonts w:hint="eastAsia" w:ascii="宋体" w:hAnsi="宋体" w:cs="宋体"/>
                <w:color w:val="auto"/>
                <w:sz w:val="22"/>
                <w:szCs w:val="21"/>
                <w:highlight w:val="none"/>
                <w:lang w:bidi="zh-CN"/>
              </w:rPr>
            </w:pPr>
            <w:r>
              <w:rPr>
                <w:rFonts w:hint="eastAsia" w:ascii="宋体" w:hAnsi="宋体" w:cs="宋体"/>
                <w:color w:val="auto"/>
                <w:sz w:val="22"/>
                <w:szCs w:val="21"/>
                <w:highlight w:val="none"/>
                <w:lang w:bidi="zh-CN"/>
              </w:rPr>
              <w:t>差：设备不能满足本项目招标需求</w:t>
            </w:r>
            <w:r>
              <w:rPr>
                <w:rFonts w:hint="eastAsia" w:ascii="宋体" w:hAnsi="宋体" w:eastAsia="Times New Roman" w:cs="宋体"/>
                <w:color w:val="auto"/>
                <w:sz w:val="22"/>
                <w:szCs w:val="21"/>
                <w:highlight w:val="none"/>
                <w:lang w:bidi="zh-CN"/>
              </w:rPr>
              <w:t>的</w:t>
            </w:r>
            <w:r>
              <w:rPr>
                <w:rFonts w:hint="eastAsia" w:ascii="宋体" w:hAnsi="宋体" w:cs="宋体"/>
                <w:color w:val="auto"/>
                <w:sz w:val="22"/>
                <w:szCs w:val="21"/>
                <w:highlight w:val="none"/>
                <w:lang w:bidi="zh-CN"/>
              </w:rPr>
              <w:t>，</w:t>
            </w:r>
            <w:r>
              <w:rPr>
                <w:rFonts w:hint="eastAsia" w:ascii="宋体" w:hAnsi="宋体" w:eastAsia="Times New Roman" w:cs="宋体"/>
                <w:color w:val="auto"/>
                <w:sz w:val="22"/>
                <w:szCs w:val="21"/>
                <w:highlight w:val="none"/>
                <w:lang w:bidi="zh-CN"/>
              </w:rPr>
              <w:t>不得</w:t>
            </w:r>
            <w:r>
              <w:rPr>
                <w:rFonts w:hint="eastAsia" w:ascii="宋体" w:hAnsi="宋体" w:cs="宋体"/>
                <w:color w:val="auto"/>
                <w:sz w:val="22"/>
                <w:szCs w:val="21"/>
                <w:highlight w:val="none"/>
                <w:lang w:bidi="zh-CN"/>
              </w:rPr>
              <w:t>分。</w:t>
            </w:r>
          </w:p>
          <w:p>
            <w:pPr>
              <w:spacing w:after="0" w:line="360" w:lineRule="exact"/>
              <w:ind w:firstLine="440" w:firstLineChars="200"/>
              <w:rPr>
                <w:color w:val="auto"/>
                <w:sz w:val="21"/>
                <w:szCs w:val="21"/>
                <w:highlight w:val="none"/>
              </w:rPr>
            </w:pPr>
            <w:r>
              <w:rPr>
                <w:rFonts w:hint="eastAsia" w:ascii="宋体" w:hAnsi="宋体" w:eastAsia="Times New Roman" w:cs="宋体"/>
                <w:b w:val="0"/>
                <w:bCs w:val="0"/>
                <w:color w:val="auto"/>
                <w:sz w:val="22"/>
                <w:szCs w:val="21"/>
                <w:highlight w:val="none"/>
              </w:rPr>
              <w:t>注：</w:t>
            </w:r>
            <w:r>
              <w:rPr>
                <w:rFonts w:hint="eastAsia" w:ascii="宋体" w:hAnsi="宋体" w:eastAsia="Times New Roman" w:cs="宋体"/>
                <w:color w:val="auto"/>
                <w:sz w:val="22"/>
                <w:szCs w:val="21"/>
                <w:highlight w:val="none"/>
              </w:rPr>
              <w:t>拟投入的监测设备详见《拟投入的监测设备》表。须提供设备购置发票（或租赁合同）和检定/校准证书的复印件，并加盖公章，否则不得分。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741" w:type="dxa"/>
            <w:vMerge w:val="continue"/>
            <w:tcBorders>
              <w:top w:val="single" w:color="auto" w:sz="4" w:space="0"/>
              <w:bottom w:val="single" w:color="auto" w:sz="4" w:space="0"/>
              <w:right w:val="single" w:color="auto" w:sz="4" w:space="0"/>
            </w:tcBorders>
            <w:noWrap/>
            <w:vAlign w:val="center"/>
          </w:tcPr>
          <w:p>
            <w:pPr>
              <w:spacing w:line="276" w:lineRule="auto"/>
              <w:rPr>
                <w:rFonts w:ascii="宋体" w:hAnsi="宋体" w:eastAsia="宋体" w:cs="宋体"/>
                <w:color w:val="auto"/>
                <w:sz w:val="21"/>
                <w:szCs w:val="21"/>
                <w:highlight w:val="none"/>
              </w:rPr>
            </w:pPr>
          </w:p>
        </w:tc>
        <w:tc>
          <w:tcPr>
            <w:tcW w:w="113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kern w:val="0"/>
                <w:sz w:val="24"/>
                <w:szCs w:val="24"/>
                <w:highlight w:val="none"/>
              </w:rPr>
            </w:pPr>
          </w:p>
        </w:tc>
        <w:tc>
          <w:tcPr>
            <w:tcW w:w="163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监测技术方案</w:t>
            </w:r>
          </w:p>
          <w:p>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eastAsiaTheme="minorEastAsia"/>
                <w:color w:val="auto"/>
                <w:kern w:val="0"/>
                <w:sz w:val="21"/>
                <w:szCs w:val="21"/>
                <w:highlight w:val="none"/>
              </w:rPr>
              <w:t>15</w:t>
            </w:r>
            <w:r>
              <w:rPr>
                <w:rFonts w:hint="eastAsia" w:ascii="宋体" w:hAnsi="宋体" w:cs="宋体"/>
                <w:color w:val="auto"/>
                <w:kern w:val="0"/>
                <w:sz w:val="21"/>
                <w:szCs w:val="21"/>
                <w:highlight w:val="none"/>
              </w:rPr>
              <w:t>分）</w:t>
            </w:r>
          </w:p>
        </w:tc>
        <w:tc>
          <w:tcPr>
            <w:tcW w:w="5387" w:type="dxa"/>
            <w:tcBorders>
              <w:top w:val="single" w:color="auto" w:sz="4" w:space="0"/>
              <w:left w:val="single" w:color="auto" w:sz="4" w:space="0"/>
              <w:bottom w:val="single" w:color="auto" w:sz="4" w:space="0"/>
              <w:right w:val="single" w:color="auto" w:sz="4" w:space="0"/>
            </w:tcBorders>
            <w:noWrap/>
            <w:vAlign w:val="center"/>
          </w:tcPr>
          <w:p>
            <w:pPr>
              <w:ind w:firstLine="317" w:firstLineChars="15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优：监测方案详细、具体，内容齐全，方法合理可行，能满足本工程提出的所有项目，基坑和高支模监测数据能实时上传政府的监管系统</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有合理可行的保证通过相关验收、满足工程进度、质量和安全确保措施，得</w:t>
            </w:r>
            <w:r>
              <w:rPr>
                <w:rFonts w:hint="eastAsia" w:ascii="宋体" w:hAnsi="宋体" w:cs="宋体"/>
                <w:color w:val="auto"/>
                <w:kern w:val="0"/>
                <w:sz w:val="21"/>
                <w:szCs w:val="21"/>
                <w:highlight w:val="none"/>
                <w:lang w:val="en-US" w:eastAsia="zh-CN"/>
              </w:rPr>
              <w:t>14</w:t>
            </w:r>
            <w:r>
              <w:rPr>
                <w:rFonts w:hint="eastAsia" w:ascii="宋体" w:hAnsi="宋体" w:cs="宋体"/>
                <w:color w:val="auto"/>
                <w:kern w:val="0"/>
                <w:sz w:val="21"/>
                <w:szCs w:val="21"/>
                <w:highlight w:val="none"/>
              </w:rPr>
              <w:t>-15分；</w:t>
            </w:r>
          </w:p>
          <w:p>
            <w:pPr>
              <w:ind w:firstLine="317" w:firstLineChars="15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良：监测方案较详细、较具体，内容较齐全，方法较合理可行，有比较可行的保证通过相关验收、满足工程进度、质量和安全确保措施，得</w:t>
            </w:r>
            <w:r>
              <w:rPr>
                <w:rFonts w:hint="eastAsia" w:ascii="宋体" w:hAnsi="宋体" w:cs="宋体"/>
                <w:color w:val="auto"/>
                <w:kern w:val="0"/>
                <w:sz w:val="21"/>
                <w:szCs w:val="21"/>
                <w:highlight w:val="none"/>
                <w:lang w:val="en-US" w:eastAsia="zh-CN"/>
              </w:rPr>
              <w:t>11</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13</w:t>
            </w:r>
            <w:r>
              <w:rPr>
                <w:rFonts w:hint="eastAsia" w:ascii="宋体" w:hAnsi="宋体" w:cs="宋体"/>
                <w:color w:val="auto"/>
                <w:kern w:val="0"/>
                <w:sz w:val="21"/>
                <w:szCs w:val="21"/>
                <w:highlight w:val="none"/>
              </w:rPr>
              <w:t>分；</w:t>
            </w:r>
          </w:p>
          <w:p>
            <w:pPr>
              <w:ind w:firstLine="317" w:firstLineChars="151"/>
              <w:rPr>
                <w:rFonts w:ascii="宋体" w:hAnsi="宋体" w:cs="宋体"/>
                <w:color w:val="auto"/>
                <w:kern w:val="0"/>
                <w:sz w:val="21"/>
                <w:szCs w:val="21"/>
                <w:highlight w:val="none"/>
              </w:rPr>
            </w:pPr>
            <w:r>
              <w:rPr>
                <w:rFonts w:hint="eastAsia" w:ascii="宋体" w:hAnsi="宋体" w:cs="宋体"/>
                <w:color w:val="auto"/>
                <w:kern w:val="0"/>
                <w:sz w:val="21"/>
                <w:szCs w:val="21"/>
                <w:highlight w:val="none"/>
              </w:rPr>
              <w:t>中：监测方案基本内容满足要求，方法符合规范要求，有能通过相关验收、满足工程进度、质量和安全的确保措施，得</w:t>
            </w:r>
            <w:r>
              <w:rPr>
                <w:rFonts w:hint="eastAsia" w:ascii="宋体" w:hAnsi="宋体" w:eastAsia="宋体" w:cs="宋体"/>
                <w:color w:val="auto"/>
                <w:kern w:val="0"/>
                <w:sz w:val="21"/>
                <w:szCs w:val="21"/>
                <w:highlight w:val="none"/>
                <w:lang w:val="en-US" w:eastAsia="zh-CN"/>
              </w:rPr>
              <w:t>9</w:t>
            </w:r>
            <w:r>
              <w:rPr>
                <w:rFonts w:hint="eastAsia" w:ascii="宋体" w:hAnsi="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ind w:firstLine="317" w:firstLineChars="15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差：</w:t>
            </w:r>
            <w:r>
              <w:rPr>
                <w:rFonts w:hint="eastAsia" w:ascii="宋体" w:hAnsi="宋体" w:eastAsia="Times New Roman" w:cs="宋体"/>
                <w:color w:val="auto"/>
                <w:kern w:val="0"/>
                <w:sz w:val="21"/>
                <w:szCs w:val="21"/>
                <w:highlight w:val="none"/>
              </w:rPr>
              <w:t>监测</w:t>
            </w:r>
            <w:r>
              <w:rPr>
                <w:rFonts w:hint="eastAsia" w:ascii="宋体" w:hAnsi="宋体" w:cs="宋体"/>
                <w:color w:val="auto"/>
                <w:kern w:val="0"/>
                <w:sz w:val="21"/>
                <w:szCs w:val="21"/>
                <w:highlight w:val="none"/>
              </w:rPr>
              <w:t>方案基本内容阐述缺项，方法基本能满足检测要求，得</w:t>
            </w: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rPr>
              <w:t>分。</w:t>
            </w:r>
          </w:p>
          <w:p>
            <w:pPr>
              <w:ind w:firstLine="317" w:firstLineChars="15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没有提供方案不得分，本项最高可得15分。</w:t>
            </w:r>
          </w:p>
          <w:p>
            <w:pPr>
              <w:ind w:firstLine="317" w:firstLineChars="151"/>
              <w:rPr>
                <w:color w:val="auto"/>
                <w:highlight w:val="none"/>
              </w:rPr>
            </w:pPr>
            <w:r>
              <w:rPr>
                <w:rFonts w:hint="eastAsia" w:ascii="宋体" w:hAnsi="宋体" w:cs="宋体"/>
                <w:color w:val="auto"/>
                <w:kern w:val="0"/>
                <w:sz w:val="21"/>
                <w:szCs w:val="21"/>
                <w:highlight w:val="none"/>
              </w:rPr>
              <w:t>注：实时上传政府监管系统需提供本单位相关平台截图证明。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trPr>
        <w:tc>
          <w:tcPr>
            <w:tcW w:w="741" w:type="dxa"/>
            <w:tcBorders>
              <w:top w:val="single" w:color="auto" w:sz="4" w:space="0"/>
              <w:right w:val="single" w:color="auto" w:sz="4" w:space="0"/>
            </w:tcBorders>
            <w:noWrap/>
            <w:vAlign w:val="center"/>
          </w:tcPr>
          <w:p>
            <w:pPr>
              <w:spacing w:line="276"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pPr>
              <w:rPr>
                <w:rFonts w:ascii="宋体" w:hAnsi="宋体" w:cs="宋体"/>
                <w:color w:val="auto"/>
                <w:kern w:val="0"/>
                <w:sz w:val="24"/>
                <w:szCs w:val="24"/>
                <w:highlight w:val="none"/>
              </w:rPr>
            </w:pPr>
            <w:r>
              <w:rPr>
                <w:rFonts w:hint="eastAsia" w:ascii="宋体" w:hAnsi="宋体" w:eastAsia="宋体" w:cs="宋体"/>
                <w:color w:val="auto"/>
                <w:sz w:val="21"/>
                <w:szCs w:val="21"/>
                <w:highlight w:val="none"/>
              </w:rPr>
              <w:t>（3）</w:t>
            </w:r>
          </w:p>
        </w:tc>
        <w:tc>
          <w:tcPr>
            <w:tcW w:w="1138" w:type="dxa"/>
            <w:tcBorders>
              <w:top w:val="single" w:color="auto" w:sz="4" w:space="0"/>
              <w:left w:val="single" w:color="auto" w:sz="4" w:space="0"/>
              <w:right w:val="single" w:color="auto" w:sz="4" w:space="0"/>
            </w:tcBorders>
            <w:noWrap/>
            <w:vAlign w:val="center"/>
          </w:tcPr>
          <w:p>
            <w:pPr>
              <w:spacing w:line="276"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投标报价评分标准</w:t>
            </w:r>
          </w:p>
          <w:p>
            <w:pPr>
              <w:spacing w:line="276" w:lineRule="auto"/>
              <w:jc w:val="both"/>
              <w:rPr>
                <w:rFonts w:ascii="宋体" w:hAnsi="宋体" w:eastAsia="宋体" w:cs="宋体"/>
                <w:color w:val="auto"/>
                <w:kern w:val="0"/>
                <w:sz w:val="24"/>
                <w:szCs w:val="24"/>
                <w:highlight w:val="none"/>
              </w:rPr>
            </w:pPr>
            <w:r>
              <w:rPr>
                <w:rFonts w:hint="eastAsia" w:ascii="宋体" w:hAnsi="宋体" w:eastAsia="宋体" w:cs="宋体"/>
                <w:color w:val="auto"/>
                <w:sz w:val="21"/>
                <w:szCs w:val="21"/>
                <w:highlight w:val="none"/>
              </w:rPr>
              <w:t>（10分）</w:t>
            </w:r>
          </w:p>
        </w:tc>
        <w:tc>
          <w:tcPr>
            <w:tcW w:w="1631" w:type="dxa"/>
            <w:tcBorders>
              <w:top w:val="single" w:color="auto" w:sz="4" w:space="0"/>
              <w:left w:val="single" w:color="auto" w:sz="4" w:space="0"/>
              <w:right w:val="single" w:color="auto" w:sz="4" w:space="0"/>
            </w:tcBorders>
            <w:noWrap/>
            <w:vAlign w:val="center"/>
          </w:tcPr>
          <w:p>
            <w:pPr>
              <w:ind w:hanging="3"/>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计算方法</w:t>
            </w:r>
          </w:p>
        </w:tc>
        <w:tc>
          <w:tcPr>
            <w:tcW w:w="5387" w:type="dxa"/>
            <w:tcBorders>
              <w:top w:val="single" w:color="auto" w:sz="4" w:space="0"/>
              <w:left w:val="single" w:color="auto" w:sz="4" w:space="0"/>
              <w:right w:val="single" w:color="auto" w:sz="4" w:space="0"/>
            </w:tcBorders>
            <w:noWrap/>
            <w:vAlign w:val="center"/>
          </w:tcPr>
          <w:p>
            <w:pPr>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投标报价得分以评标基准价作为计算各有效投标报价得分的基础，当有效投标报价等于评标基准价时得</w:t>
            </w:r>
            <w:r>
              <w:rPr>
                <w:rFonts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rPr>
              <w:t>0</w:t>
            </w:r>
            <w:r>
              <w:rPr>
                <w:rFonts w:hint="eastAsia" w:ascii="宋体" w:hAnsi="宋体" w:cs="宋体"/>
                <w:color w:val="auto"/>
                <w:kern w:val="0"/>
                <w:sz w:val="21"/>
                <w:szCs w:val="21"/>
                <w:highlight w:val="none"/>
              </w:rPr>
              <w:t>分；有效投标报价每高出评标基准价1%减</w:t>
            </w:r>
            <w:r>
              <w:rPr>
                <w:rFonts w:ascii="宋体" w:hAnsi="宋体" w:cs="宋体"/>
                <w:color w:val="auto"/>
                <w:kern w:val="0"/>
                <w:sz w:val="21"/>
                <w:szCs w:val="21"/>
                <w:highlight w:val="none"/>
              </w:rPr>
              <w:t>0.3</w:t>
            </w:r>
            <w:r>
              <w:rPr>
                <w:rFonts w:hint="eastAsia" w:ascii="宋体" w:hAnsi="宋体" w:cs="宋体"/>
                <w:color w:val="auto"/>
                <w:kern w:val="0"/>
                <w:sz w:val="21"/>
                <w:szCs w:val="21"/>
                <w:highlight w:val="none"/>
              </w:rPr>
              <w:t>分，每低于评标基准价1%减0.</w:t>
            </w:r>
            <w:r>
              <w:rPr>
                <w:rFonts w:ascii="宋体" w:hAnsi="宋体" w:cs="宋体" w:eastAsiaTheme="minorEastAsia"/>
                <w:color w:val="auto"/>
                <w:kern w:val="0"/>
                <w:sz w:val="21"/>
                <w:szCs w:val="21"/>
                <w:highlight w:val="none"/>
              </w:rPr>
              <w:t>2</w:t>
            </w:r>
            <w:r>
              <w:rPr>
                <w:rFonts w:hint="eastAsia" w:ascii="宋体" w:hAnsi="宋体" w:cs="宋体"/>
                <w:color w:val="auto"/>
                <w:kern w:val="0"/>
                <w:sz w:val="21"/>
                <w:szCs w:val="21"/>
                <w:highlight w:val="none"/>
              </w:rPr>
              <w:t>分，最多减至0分止，计算出报价得分。</w:t>
            </w:r>
          </w:p>
        </w:tc>
      </w:tr>
    </w:tbl>
    <w:p>
      <w:pPr>
        <w:rPr>
          <w:rFonts w:eastAsia="宋体"/>
          <w:color w:val="auto"/>
          <w:highlight w:val="none"/>
        </w:rPr>
      </w:pPr>
      <w:bookmarkStart w:id="199" w:name="_Toc508382156"/>
      <w:bookmarkStart w:id="200" w:name="_Toc508788673"/>
      <w:r>
        <w:rPr>
          <w:rFonts w:hint="eastAsia" w:ascii="宋体" w:hAnsi="宋体" w:eastAsia="宋体"/>
          <w:color w:val="auto"/>
          <w:sz w:val="21"/>
          <w:highlight w:val="none"/>
        </w:rPr>
        <w:t>投标人的得分为各评委评分的算术平均分。评分分数出现小数点时，保留小数点后二位，第三位小数四舍五入。</w:t>
      </w:r>
    </w:p>
    <w:p>
      <w:pPr>
        <w:pStyle w:val="4"/>
        <w:spacing w:after="503" w:line="264" w:lineRule="auto"/>
        <w:ind w:left="-5" w:right="0"/>
        <w:rPr>
          <w:rFonts w:ascii="宋体" w:hAnsi="宋体" w:eastAsia="宋体" w:cs="宋体"/>
          <w:color w:val="auto"/>
          <w:sz w:val="32"/>
          <w:szCs w:val="32"/>
          <w:highlight w:val="none"/>
        </w:rPr>
      </w:pPr>
      <w:bookmarkStart w:id="201" w:name="_Toc142406636"/>
      <w:r>
        <w:rPr>
          <w:rFonts w:hint="eastAsia" w:ascii="宋体" w:hAnsi="宋体" w:eastAsia="宋体" w:cs="宋体"/>
          <w:b/>
          <w:color w:val="auto"/>
          <w:sz w:val="32"/>
          <w:highlight w:val="none"/>
        </w:rPr>
        <w:t>1. 评标方法</w:t>
      </w:r>
      <w:bookmarkEnd w:id="199"/>
      <w:bookmarkEnd w:id="200"/>
      <w:bookmarkEnd w:id="201"/>
    </w:p>
    <w:p>
      <w:pPr>
        <w:pStyle w:val="5"/>
        <w:spacing w:after="281" w:line="360" w:lineRule="auto"/>
        <w:ind w:left="0" w:right="0" w:firstLine="420" w:firstLineChars="200"/>
        <w:rPr>
          <w:rFonts w:ascii="宋体" w:hAnsi="宋体" w:eastAsia="宋体" w:cs="宋体"/>
          <w:color w:val="auto"/>
          <w:kern w:val="2"/>
          <w:sz w:val="21"/>
          <w:szCs w:val="22"/>
          <w:highlight w:val="none"/>
        </w:rPr>
      </w:pPr>
      <w:bookmarkStart w:id="202" w:name="_Toc142406637"/>
      <w:bookmarkStart w:id="203" w:name="_Toc508382157"/>
      <w:bookmarkStart w:id="204" w:name="_Toc508788674"/>
      <w:r>
        <w:rPr>
          <w:rFonts w:hint="eastAsia" w:ascii="宋体" w:hAnsi="宋体" w:eastAsia="宋体" w:cs="宋体"/>
          <w:color w:val="auto"/>
          <w:kern w:val="2"/>
          <w:sz w:val="21"/>
          <w:szCs w:val="22"/>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205" w:name="_Toc247527623"/>
      <w:bookmarkStart w:id="206" w:name="_Toc361508646"/>
      <w:bookmarkStart w:id="207" w:name="_Toc152045598"/>
      <w:bookmarkStart w:id="208" w:name="_Toc300835008"/>
      <w:bookmarkStart w:id="209" w:name="_Toc247514022"/>
      <w:bookmarkStart w:id="210" w:name="_Toc384308272"/>
      <w:bookmarkStart w:id="211" w:name="_Toc144974565"/>
      <w:bookmarkStart w:id="212" w:name="_Toc152042375"/>
      <w:bookmarkStart w:id="213" w:name="_Toc369531577"/>
      <w:bookmarkStart w:id="214" w:name="_Toc4497"/>
      <w:bookmarkStart w:id="215" w:name="_Toc352691533"/>
      <w:r>
        <w:rPr>
          <w:rFonts w:hint="eastAsia" w:ascii="宋体" w:hAnsi="宋体" w:eastAsia="宋体" w:cs="宋体"/>
          <w:color w:val="auto"/>
          <w:kern w:val="2"/>
          <w:sz w:val="21"/>
          <w:szCs w:val="22"/>
          <w:highlight w:val="none"/>
        </w:rPr>
        <w:t>外。综合评分相等</w:t>
      </w:r>
      <w:bookmarkEnd w:id="205"/>
      <w:bookmarkEnd w:id="206"/>
      <w:bookmarkEnd w:id="207"/>
      <w:bookmarkEnd w:id="208"/>
      <w:bookmarkEnd w:id="209"/>
      <w:bookmarkEnd w:id="210"/>
      <w:bookmarkEnd w:id="211"/>
      <w:bookmarkEnd w:id="212"/>
      <w:r>
        <w:rPr>
          <w:rFonts w:hint="eastAsia" w:ascii="宋体" w:hAnsi="宋体" w:eastAsia="宋体" w:cs="宋体"/>
          <w:color w:val="auto"/>
          <w:kern w:val="2"/>
          <w:sz w:val="21"/>
          <w:szCs w:val="22"/>
          <w:highlight w:val="none"/>
        </w:rPr>
        <w:t>时，以投标报价低的</w:t>
      </w:r>
      <w:bookmarkEnd w:id="213"/>
      <w:bookmarkEnd w:id="214"/>
      <w:bookmarkEnd w:id="215"/>
      <w:r>
        <w:rPr>
          <w:rFonts w:hint="eastAsia" w:ascii="宋体" w:hAnsi="宋体" w:eastAsia="宋体" w:cs="宋体"/>
          <w:color w:val="auto"/>
          <w:kern w:val="2"/>
          <w:sz w:val="21"/>
          <w:szCs w:val="22"/>
          <w:highlight w:val="none"/>
        </w:rPr>
        <w:t>优</w:t>
      </w:r>
      <w:bookmarkStart w:id="216" w:name="_Toc247514023"/>
      <w:bookmarkStart w:id="217" w:name="_Toc247527624"/>
      <w:bookmarkStart w:id="218" w:name="_Toc369531578"/>
      <w:bookmarkStart w:id="219" w:name="_Toc152045599"/>
      <w:bookmarkStart w:id="220" w:name="_Toc39"/>
      <w:bookmarkStart w:id="221" w:name="_Toc361508647"/>
      <w:bookmarkStart w:id="222" w:name="_Toc384308273"/>
      <w:bookmarkStart w:id="223" w:name="_Toc300835009"/>
      <w:bookmarkStart w:id="224" w:name="_Toc152042376"/>
      <w:bookmarkStart w:id="225" w:name="_Toc352691534"/>
      <w:bookmarkStart w:id="226" w:name="_Toc144974566"/>
      <w:r>
        <w:rPr>
          <w:rFonts w:hint="eastAsia" w:ascii="宋体" w:hAnsi="宋体" w:eastAsia="宋体" w:cs="宋体"/>
          <w:color w:val="auto"/>
          <w:kern w:val="2"/>
          <w:sz w:val="21"/>
          <w:szCs w:val="22"/>
          <w:highlight w:val="none"/>
        </w:rPr>
        <w:t>先；投标报价也相等</w:t>
      </w:r>
      <w:bookmarkEnd w:id="216"/>
      <w:bookmarkEnd w:id="217"/>
      <w:bookmarkEnd w:id="218"/>
      <w:bookmarkEnd w:id="219"/>
      <w:bookmarkEnd w:id="220"/>
      <w:bookmarkEnd w:id="221"/>
      <w:bookmarkEnd w:id="222"/>
      <w:bookmarkEnd w:id="223"/>
      <w:bookmarkEnd w:id="224"/>
      <w:bookmarkEnd w:id="225"/>
      <w:bookmarkEnd w:id="226"/>
      <w:r>
        <w:rPr>
          <w:rFonts w:hint="eastAsia" w:ascii="宋体" w:hAnsi="宋体" w:eastAsia="宋体" w:cs="宋体"/>
          <w:color w:val="auto"/>
          <w:kern w:val="2"/>
          <w:sz w:val="21"/>
          <w:szCs w:val="22"/>
          <w:highlight w:val="none"/>
        </w:rPr>
        <w:t>的，以监测方案得分高的优先；如果监测方案得分也相等，按照评标办法前附表的规定确定中标候选人顺序。</w:t>
      </w:r>
      <w:bookmarkEnd w:id="202"/>
    </w:p>
    <w:p>
      <w:pPr>
        <w:pStyle w:val="4"/>
        <w:spacing w:after="503" w:line="264" w:lineRule="auto"/>
        <w:ind w:left="-5" w:right="0"/>
        <w:rPr>
          <w:rFonts w:ascii="宋体" w:hAnsi="宋体" w:eastAsia="宋体" w:cs="宋体"/>
          <w:color w:val="auto"/>
          <w:highlight w:val="none"/>
        </w:rPr>
      </w:pPr>
      <w:bookmarkStart w:id="227" w:name="_Toc142406638"/>
      <w:r>
        <w:rPr>
          <w:rFonts w:hint="eastAsia" w:ascii="宋体" w:hAnsi="宋体" w:eastAsia="宋体" w:cs="宋体"/>
          <w:b/>
          <w:color w:val="auto"/>
          <w:sz w:val="32"/>
          <w:highlight w:val="none"/>
        </w:rPr>
        <w:t xml:space="preserve">2. </w:t>
      </w:r>
      <w:r>
        <w:rPr>
          <w:rFonts w:hint="eastAsia" w:ascii="宋体" w:hAnsi="宋体" w:eastAsia="宋体" w:cs="宋体"/>
          <w:color w:val="auto"/>
          <w:sz w:val="32"/>
          <w:highlight w:val="none"/>
        </w:rPr>
        <w:t>评审标准</w:t>
      </w:r>
      <w:bookmarkEnd w:id="203"/>
      <w:bookmarkEnd w:id="204"/>
      <w:bookmarkEnd w:id="227"/>
    </w:p>
    <w:p>
      <w:pPr>
        <w:pStyle w:val="5"/>
        <w:spacing w:after="281"/>
        <w:ind w:left="132" w:right="0"/>
        <w:rPr>
          <w:rFonts w:ascii="宋体" w:hAnsi="宋体" w:eastAsia="宋体" w:cs="宋体"/>
          <w:color w:val="auto"/>
          <w:kern w:val="2"/>
          <w:sz w:val="21"/>
          <w:szCs w:val="22"/>
          <w:highlight w:val="none"/>
        </w:rPr>
      </w:pPr>
      <w:bookmarkStart w:id="228" w:name="_Toc508382158"/>
      <w:bookmarkStart w:id="229" w:name="_Toc508788675"/>
      <w:bookmarkStart w:id="230" w:name="_Toc142406639"/>
      <w:r>
        <w:rPr>
          <w:rFonts w:hint="eastAsia" w:ascii="宋体" w:hAnsi="宋体" w:eastAsia="宋体" w:cs="宋体"/>
          <w:color w:val="auto"/>
          <w:kern w:val="2"/>
          <w:sz w:val="21"/>
          <w:szCs w:val="22"/>
          <w:highlight w:val="none"/>
        </w:rPr>
        <w:t>2.1 初步评审标准</w:t>
      </w:r>
      <w:bookmarkEnd w:id="228"/>
      <w:bookmarkEnd w:id="229"/>
      <w:bookmarkEnd w:id="230"/>
    </w:p>
    <w:p>
      <w:pPr>
        <w:spacing w:after="115" w:line="265" w:lineRule="auto"/>
        <w:ind w:left="415" w:hanging="10"/>
        <w:rPr>
          <w:rFonts w:ascii="宋体" w:hAnsi="宋体" w:eastAsia="宋体" w:cs="宋体"/>
          <w:color w:val="auto"/>
          <w:sz w:val="21"/>
          <w:highlight w:val="none"/>
        </w:rPr>
      </w:pPr>
      <w:r>
        <w:rPr>
          <w:rFonts w:hint="eastAsia" w:ascii="宋体" w:hAnsi="宋体" w:eastAsia="宋体" w:cs="宋体"/>
          <w:color w:val="auto"/>
          <w:sz w:val="21"/>
          <w:highlight w:val="none"/>
        </w:rPr>
        <w:t xml:space="preserve">2.1.1 形式评审标准：见评标办法前附表。 </w:t>
      </w:r>
    </w:p>
    <w:p>
      <w:pPr>
        <w:spacing w:after="115" w:line="265" w:lineRule="auto"/>
        <w:ind w:left="415" w:hanging="10"/>
        <w:rPr>
          <w:rFonts w:ascii="宋体" w:hAnsi="宋体" w:eastAsia="宋体" w:cs="宋体"/>
          <w:color w:val="auto"/>
          <w:sz w:val="21"/>
          <w:highlight w:val="none"/>
        </w:rPr>
      </w:pPr>
      <w:r>
        <w:rPr>
          <w:rFonts w:hint="eastAsia" w:ascii="宋体" w:hAnsi="宋体" w:eastAsia="宋体" w:cs="宋体"/>
          <w:color w:val="auto"/>
          <w:sz w:val="21"/>
          <w:highlight w:val="none"/>
        </w:rPr>
        <w:t xml:space="preserve">2.1.2 资格评审标准：见评标办法前附表。 </w:t>
      </w:r>
    </w:p>
    <w:p>
      <w:pPr>
        <w:spacing w:after="115" w:line="265" w:lineRule="auto"/>
        <w:ind w:left="415" w:hanging="10"/>
        <w:rPr>
          <w:rFonts w:ascii="宋体" w:hAnsi="宋体" w:eastAsia="宋体" w:cs="宋体"/>
          <w:color w:val="auto"/>
          <w:sz w:val="21"/>
          <w:highlight w:val="none"/>
        </w:rPr>
      </w:pPr>
      <w:r>
        <w:rPr>
          <w:rFonts w:hint="eastAsia" w:ascii="宋体" w:hAnsi="宋体" w:eastAsia="宋体" w:cs="宋体"/>
          <w:color w:val="auto"/>
          <w:sz w:val="21"/>
          <w:highlight w:val="none"/>
        </w:rPr>
        <w:t xml:space="preserve">2.1.3 响应性评审标准：见评标办法前附表。 </w:t>
      </w:r>
    </w:p>
    <w:p>
      <w:pPr>
        <w:pStyle w:val="5"/>
        <w:spacing w:after="281"/>
        <w:ind w:left="132" w:right="0"/>
        <w:rPr>
          <w:rFonts w:ascii="宋体" w:hAnsi="宋体" w:eastAsia="宋体" w:cs="宋体"/>
          <w:color w:val="auto"/>
          <w:kern w:val="2"/>
          <w:sz w:val="21"/>
          <w:szCs w:val="22"/>
          <w:highlight w:val="none"/>
        </w:rPr>
      </w:pPr>
      <w:bookmarkStart w:id="231" w:name="_Toc508382159"/>
      <w:bookmarkStart w:id="232" w:name="_Toc142406640"/>
      <w:bookmarkStart w:id="233" w:name="_Toc508788676"/>
      <w:r>
        <w:rPr>
          <w:rFonts w:hint="eastAsia" w:ascii="宋体" w:hAnsi="宋体" w:eastAsia="宋体" w:cs="宋体"/>
          <w:color w:val="auto"/>
          <w:kern w:val="2"/>
          <w:sz w:val="21"/>
          <w:szCs w:val="22"/>
          <w:highlight w:val="none"/>
        </w:rPr>
        <w:t>2.2 分值构成与评分标准</w:t>
      </w:r>
      <w:bookmarkEnd w:id="231"/>
      <w:bookmarkEnd w:id="232"/>
      <w:bookmarkEnd w:id="233"/>
    </w:p>
    <w:p>
      <w:pPr>
        <w:spacing w:after="115" w:line="265" w:lineRule="auto"/>
        <w:ind w:left="415" w:hanging="10"/>
        <w:rPr>
          <w:rFonts w:ascii="宋体" w:hAnsi="宋体" w:eastAsia="宋体" w:cs="宋体"/>
          <w:color w:val="auto"/>
          <w:sz w:val="21"/>
          <w:highlight w:val="none"/>
        </w:rPr>
      </w:pPr>
      <w:r>
        <w:rPr>
          <w:rFonts w:hint="eastAsia" w:ascii="宋体" w:hAnsi="宋体" w:eastAsia="宋体" w:cs="宋体"/>
          <w:color w:val="auto"/>
          <w:sz w:val="21"/>
          <w:highlight w:val="none"/>
        </w:rPr>
        <w:t xml:space="preserve">2.2.1 分值构成 </w:t>
      </w:r>
    </w:p>
    <w:p>
      <w:pPr>
        <w:spacing w:after="115" w:line="265" w:lineRule="auto"/>
        <w:ind w:left="415" w:hanging="10"/>
        <w:rPr>
          <w:rFonts w:ascii="宋体" w:hAnsi="宋体" w:eastAsia="宋体" w:cs="宋体"/>
          <w:color w:val="auto"/>
          <w:sz w:val="21"/>
          <w:highlight w:val="none"/>
        </w:rPr>
      </w:pPr>
      <w:r>
        <w:rPr>
          <w:rFonts w:hint="eastAsia" w:ascii="宋体" w:hAnsi="宋体" w:eastAsia="宋体" w:cs="宋体"/>
          <w:color w:val="auto"/>
          <w:sz w:val="21"/>
          <w:highlight w:val="none"/>
        </w:rPr>
        <w:t>（1）资信业绩部分：见评标办法前附表；</w:t>
      </w:r>
    </w:p>
    <w:p>
      <w:pPr>
        <w:spacing w:after="115" w:line="265" w:lineRule="auto"/>
        <w:ind w:left="415" w:hanging="10"/>
        <w:rPr>
          <w:rFonts w:ascii="宋体" w:hAnsi="宋体" w:eastAsia="宋体" w:cs="宋体"/>
          <w:color w:val="auto"/>
          <w:sz w:val="21"/>
          <w:highlight w:val="none"/>
        </w:rPr>
      </w:pPr>
      <w:r>
        <w:rPr>
          <w:rFonts w:hint="eastAsia" w:ascii="宋体" w:hAnsi="宋体" w:eastAsia="宋体" w:cs="宋体"/>
          <w:color w:val="auto"/>
          <w:sz w:val="21"/>
          <w:highlight w:val="none"/>
        </w:rPr>
        <w:t xml:space="preserve">（2）监测方案部分：见评标办法前附表； </w:t>
      </w:r>
    </w:p>
    <w:p>
      <w:pPr>
        <w:spacing w:after="115" w:line="265" w:lineRule="auto"/>
        <w:ind w:left="415" w:hanging="10"/>
        <w:rPr>
          <w:rFonts w:ascii="宋体" w:hAnsi="宋体" w:eastAsia="宋体" w:cs="宋体"/>
          <w:color w:val="auto"/>
          <w:sz w:val="21"/>
          <w:highlight w:val="none"/>
        </w:rPr>
      </w:pPr>
      <w:r>
        <w:rPr>
          <w:rFonts w:hint="eastAsia" w:ascii="宋体" w:hAnsi="宋体" w:eastAsia="宋体" w:cs="宋体"/>
          <w:color w:val="auto"/>
          <w:sz w:val="21"/>
          <w:highlight w:val="none"/>
        </w:rPr>
        <w:t xml:space="preserve">（3）投标报价：见评标办法前附表； </w:t>
      </w:r>
    </w:p>
    <w:p>
      <w:pPr>
        <w:spacing w:after="115" w:line="265" w:lineRule="auto"/>
        <w:ind w:left="415" w:hanging="10"/>
        <w:rPr>
          <w:rFonts w:ascii="宋体" w:hAnsi="宋体" w:eastAsia="宋体" w:cs="宋体"/>
          <w:strike/>
          <w:color w:val="auto"/>
          <w:sz w:val="21"/>
          <w:highlight w:val="none"/>
        </w:rPr>
      </w:pPr>
      <w:r>
        <w:rPr>
          <w:rFonts w:hint="eastAsia" w:ascii="宋体" w:hAnsi="宋体" w:eastAsia="宋体" w:cs="宋体"/>
          <w:strike/>
          <w:color w:val="auto"/>
          <w:sz w:val="21"/>
          <w:highlight w:val="none"/>
        </w:rPr>
        <w:t xml:space="preserve">（4）其他评分因素：见评标办法前附表。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2.2.2 评标基准价计算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评标基准价计算方法：见评标办法前附表。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2.2.3 投标报价的偏差率计算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投标报价的偏差率计算公式：见评标办法前附表。 </w:t>
      </w:r>
    </w:p>
    <w:p>
      <w:pPr>
        <w:spacing w:after="115" w:line="265" w:lineRule="auto"/>
        <w:ind w:left="415" w:hanging="10"/>
        <w:rPr>
          <w:rFonts w:ascii="宋体" w:hAnsi="宋体" w:eastAsia="宋体" w:cs="宋体"/>
          <w:color w:val="auto"/>
          <w:highlight w:val="none"/>
        </w:rPr>
      </w:pPr>
      <w:r>
        <w:rPr>
          <w:rFonts w:hint="eastAsia" w:ascii="宋体" w:hAnsi="宋体" w:eastAsia="宋体" w:cs="宋体"/>
          <w:color w:val="auto"/>
          <w:sz w:val="21"/>
          <w:highlight w:val="none"/>
        </w:rPr>
        <w:t xml:space="preserve">2.2.4 评分标准 </w:t>
      </w:r>
    </w:p>
    <w:p>
      <w:pPr>
        <w:spacing w:after="0" w:line="369" w:lineRule="auto"/>
        <w:ind w:left="417" w:right="103" w:hanging="10"/>
        <w:rPr>
          <w:rFonts w:ascii="宋体" w:hAnsi="宋体" w:eastAsia="宋体" w:cs="宋体"/>
          <w:color w:val="auto"/>
          <w:sz w:val="21"/>
          <w:highlight w:val="none"/>
        </w:rPr>
      </w:pPr>
      <w:r>
        <w:rPr>
          <w:rFonts w:hint="eastAsia" w:ascii="宋体" w:hAnsi="宋体" w:eastAsia="宋体" w:cs="宋体"/>
          <w:color w:val="auto"/>
          <w:sz w:val="21"/>
          <w:highlight w:val="none"/>
        </w:rPr>
        <w:t>（1）资信业绩评分标准：见评标办法前附表；</w:t>
      </w:r>
    </w:p>
    <w:p>
      <w:pPr>
        <w:spacing w:after="0" w:line="369"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（2）监测方案评分标准：见评标办法前附表； </w:t>
      </w:r>
    </w:p>
    <w:p>
      <w:pPr>
        <w:numPr>
          <w:ilvl w:val="0"/>
          <w:numId w:val="6"/>
        </w:numPr>
        <w:spacing w:after="123" w:line="265" w:lineRule="auto"/>
        <w:ind w:right="103" w:hanging="526"/>
        <w:rPr>
          <w:rFonts w:ascii="宋体" w:hAnsi="宋体" w:eastAsia="宋体" w:cs="宋体"/>
          <w:color w:val="auto"/>
          <w:highlight w:val="none"/>
        </w:rPr>
      </w:pPr>
      <w:r>
        <w:rPr>
          <w:rFonts w:hint="eastAsia" w:ascii="宋体" w:hAnsi="宋体" w:eastAsia="宋体" w:cs="宋体"/>
          <w:color w:val="auto"/>
          <w:sz w:val="21"/>
          <w:highlight w:val="none"/>
        </w:rPr>
        <w:t xml:space="preserve">投标报价评分标准：见评标办法前附表； </w:t>
      </w:r>
    </w:p>
    <w:p>
      <w:pPr>
        <w:numPr>
          <w:ilvl w:val="0"/>
          <w:numId w:val="6"/>
        </w:numPr>
        <w:spacing w:after="123" w:line="265" w:lineRule="auto"/>
        <w:ind w:right="103" w:hanging="526"/>
        <w:rPr>
          <w:rFonts w:ascii="宋体" w:hAnsi="宋体" w:eastAsia="宋体" w:cs="宋体"/>
          <w:strike/>
          <w:color w:val="auto"/>
          <w:highlight w:val="none"/>
        </w:rPr>
      </w:pPr>
      <w:r>
        <w:rPr>
          <w:rFonts w:hint="eastAsia" w:ascii="宋体" w:hAnsi="宋体" w:eastAsia="宋体" w:cs="宋体"/>
          <w:strike/>
          <w:color w:val="auto"/>
          <w:sz w:val="21"/>
          <w:highlight w:val="none"/>
        </w:rPr>
        <w:t xml:space="preserve">其他因素评分标准：见评标办法前附表。 </w:t>
      </w:r>
    </w:p>
    <w:p>
      <w:pPr>
        <w:pStyle w:val="4"/>
        <w:spacing w:after="503" w:line="264" w:lineRule="auto"/>
        <w:ind w:left="-5" w:right="0"/>
        <w:rPr>
          <w:rFonts w:ascii="宋体" w:hAnsi="宋体" w:eastAsia="宋体" w:cs="宋体"/>
          <w:color w:val="auto"/>
          <w:highlight w:val="none"/>
        </w:rPr>
      </w:pPr>
      <w:bookmarkStart w:id="234" w:name="_Toc142406641"/>
      <w:bookmarkStart w:id="235" w:name="_Toc508788677"/>
      <w:bookmarkStart w:id="236" w:name="_Toc508382160"/>
      <w:r>
        <w:rPr>
          <w:rFonts w:hint="eastAsia" w:ascii="宋体" w:hAnsi="宋体" w:eastAsia="宋体" w:cs="宋体"/>
          <w:b/>
          <w:color w:val="auto"/>
          <w:sz w:val="32"/>
          <w:highlight w:val="none"/>
        </w:rPr>
        <w:t xml:space="preserve">3. </w:t>
      </w:r>
      <w:r>
        <w:rPr>
          <w:rFonts w:hint="eastAsia" w:ascii="宋体" w:hAnsi="宋体" w:eastAsia="宋体" w:cs="宋体"/>
          <w:color w:val="auto"/>
          <w:sz w:val="32"/>
          <w:highlight w:val="none"/>
        </w:rPr>
        <w:t>评标程序</w:t>
      </w:r>
      <w:bookmarkEnd w:id="234"/>
      <w:bookmarkEnd w:id="235"/>
      <w:bookmarkEnd w:id="236"/>
    </w:p>
    <w:p>
      <w:pPr>
        <w:pStyle w:val="5"/>
        <w:spacing w:after="283"/>
        <w:ind w:left="132" w:right="0"/>
        <w:rPr>
          <w:rFonts w:ascii="宋体" w:hAnsi="宋体" w:eastAsia="宋体" w:cs="宋体"/>
          <w:color w:val="auto"/>
          <w:highlight w:val="none"/>
        </w:rPr>
      </w:pPr>
      <w:bookmarkStart w:id="237" w:name="_Toc142406642"/>
      <w:bookmarkStart w:id="238" w:name="_Toc508788678"/>
      <w:bookmarkStart w:id="239" w:name="_Toc508382161"/>
      <w:r>
        <w:rPr>
          <w:rFonts w:hint="eastAsia" w:ascii="宋体" w:hAnsi="宋体" w:eastAsia="宋体" w:cs="宋体"/>
          <w:color w:val="auto"/>
          <w:highlight w:val="none"/>
        </w:rPr>
        <w:t>3.1 初步评审</w:t>
      </w:r>
      <w:bookmarkEnd w:id="237"/>
      <w:bookmarkEnd w:id="238"/>
      <w:bookmarkEnd w:id="239"/>
    </w:p>
    <w:p>
      <w:pPr>
        <w:spacing w:after="123" w:line="265" w:lineRule="auto"/>
        <w:ind w:right="103" w:firstLine="407"/>
        <w:rPr>
          <w:rFonts w:ascii="宋体" w:hAnsi="宋体" w:eastAsia="宋体" w:cs="宋体"/>
          <w:color w:val="auto"/>
          <w:highlight w:val="none"/>
        </w:rPr>
      </w:pPr>
      <w:r>
        <w:rPr>
          <w:rFonts w:hint="eastAsia" w:ascii="宋体" w:hAnsi="宋体" w:eastAsia="宋体" w:cs="宋体"/>
          <w:color w:val="auto"/>
          <w:sz w:val="21"/>
          <w:highlight w:val="none"/>
        </w:rPr>
        <w:t xml:space="preserve">3.1.1 评标委员会可以要求投标人提交第二章“投标人须知”规定的有关证明和证件的原件，以便核验。评标委员会依据本章第 2.1 款规定的标准对投标文件进行初步评审。有一项不符合评审标准的，评标委员会应当否决其投标。 </w:t>
      </w:r>
    </w:p>
    <w:p>
      <w:pPr>
        <w:spacing w:after="12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3.1.2 投标人有以下情形之一的，评标委员会应当否决其投标： </w:t>
      </w:r>
    </w:p>
    <w:p>
      <w:pPr>
        <w:numPr>
          <w:ilvl w:val="0"/>
          <w:numId w:val="7"/>
        </w:numPr>
        <w:spacing w:after="0" w:line="36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投标文件没有对招标文件的实质性要求和条件作出响应，或者对招标文件的偏差超出招标文件规定的偏差范围或最高项数； </w:t>
      </w:r>
    </w:p>
    <w:p>
      <w:pPr>
        <w:numPr>
          <w:ilvl w:val="0"/>
          <w:numId w:val="7"/>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有串通投标、弄虚作假、行贿等违法行为。 </w:t>
      </w:r>
    </w:p>
    <w:p>
      <w:pPr>
        <w:spacing w:after="123" w:line="265" w:lineRule="auto"/>
        <w:ind w:right="103" w:firstLine="407"/>
        <w:rPr>
          <w:rFonts w:ascii="宋体" w:hAnsi="宋体" w:eastAsia="宋体" w:cs="宋体"/>
          <w:color w:val="auto"/>
          <w:highlight w:val="none"/>
          <w:u w:val="single"/>
        </w:rPr>
      </w:pPr>
      <w:r>
        <w:rPr>
          <w:rFonts w:hint="eastAsia" w:ascii="宋体" w:hAnsi="宋体" w:eastAsia="宋体" w:cs="宋体"/>
          <w:color w:val="auto"/>
          <w:sz w:val="21"/>
          <w:highlight w:val="none"/>
        </w:rPr>
        <w:t xml:space="preserve">3.1.3 投标报价有算术错误及其他错误的，评标委员会按以下原则要求投标人对投标报价进行修正，并要求投标人书面澄清确认。投标人拒不澄清确认的，评标委员会应当否决其投标： </w:t>
      </w:r>
    </w:p>
    <w:p>
      <w:pPr>
        <w:numPr>
          <w:ilvl w:val="0"/>
          <w:numId w:val="8"/>
        </w:numPr>
        <w:spacing w:after="123" w:line="265"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投标文件中的大写金额与小写金额不一致的，以大写金额为准； </w:t>
      </w:r>
    </w:p>
    <w:p>
      <w:pPr>
        <w:numPr>
          <w:ilvl w:val="0"/>
          <w:numId w:val="8"/>
        </w:numPr>
        <w:spacing w:after="219" w:line="36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总价金额与单价金额不一致的，以单价金额为准，但单价金额小数点有明显错误的除外。 </w:t>
      </w:r>
    </w:p>
    <w:p>
      <w:pPr>
        <w:pStyle w:val="5"/>
        <w:spacing w:after="282"/>
        <w:ind w:left="132" w:right="0"/>
        <w:rPr>
          <w:rFonts w:ascii="宋体" w:hAnsi="宋体" w:eastAsia="宋体" w:cs="宋体"/>
          <w:color w:val="auto"/>
          <w:highlight w:val="none"/>
        </w:rPr>
      </w:pPr>
      <w:bookmarkStart w:id="240" w:name="_Toc508382162"/>
      <w:bookmarkStart w:id="241" w:name="_Toc508788679"/>
      <w:bookmarkStart w:id="242" w:name="_Toc142406643"/>
      <w:r>
        <w:rPr>
          <w:rFonts w:hint="eastAsia" w:ascii="宋体" w:hAnsi="宋体" w:eastAsia="宋体" w:cs="宋体"/>
          <w:color w:val="auto"/>
          <w:highlight w:val="none"/>
        </w:rPr>
        <w:t>3.2 详细评审</w:t>
      </w:r>
      <w:bookmarkEnd w:id="240"/>
      <w:bookmarkEnd w:id="241"/>
      <w:bookmarkEnd w:id="242"/>
    </w:p>
    <w:p>
      <w:pPr>
        <w:spacing w:after="231" w:line="359" w:lineRule="auto"/>
        <w:ind w:right="103"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3.2.1评标委员会按本章第2.2款规定的量化因素和分值进行打分，并计算出综合评估得分。</w:t>
      </w:r>
    </w:p>
    <w:p>
      <w:pPr>
        <w:spacing w:after="231" w:line="359" w:lineRule="auto"/>
        <w:ind w:right="103"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（1）按本章第2.2.4（1）目规定的评审因素和分值对资信业绩部分计算出得分A；</w:t>
      </w:r>
    </w:p>
    <w:p>
      <w:pPr>
        <w:spacing w:after="231" w:line="359" w:lineRule="auto"/>
        <w:ind w:right="103"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（2）按本章第2.2.4（2）目规定的评审因素和分值对监测方案部分计算出得分B；</w:t>
      </w:r>
    </w:p>
    <w:p>
      <w:pPr>
        <w:spacing w:after="231" w:line="359" w:lineRule="auto"/>
        <w:ind w:right="103"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（3）按本章第2.2.4（3）目规定的评审因素和</w:t>
      </w:r>
      <w:bookmarkStart w:id="243" w:name="_Toc384308278"/>
      <w:bookmarkStart w:id="244" w:name="_Toc247514028"/>
      <w:bookmarkStart w:id="245" w:name="_Toc152045604"/>
      <w:bookmarkStart w:id="246" w:name="_Toc144974571"/>
      <w:bookmarkStart w:id="247" w:name="_Toc361508652"/>
      <w:bookmarkStart w:id="248" w:name="_Toc300835014"/>
      <w:bookmarkStart w:id="249" w:name="_Toc152042381"/>
      <w:bookmarkStart w:id="250" w:name="_Toc24330"/>
      <w:bookmarkStart w:id="251" w:name="_Toc369531583"/>
      <w:bookmarkStart w:id="252" w:name="_Toc247527629"/>
      <w:bookmarkStart w:id="253" w:name="_Toc352691539"/>
      <w:r>
        <w:rPr>
          <w:rFonts w:hint="eastAsia" w:ascii="宋体" w:hAnsi="宋体" w:eastAsia="宋体" w:cs="宋体"/>
          <w:color w:val="auto"/>
          <w:sz w:val="21"/>
          <w:highlight w:val="none"/>
          <w:u w:val="single"/>
        </w:rPr>
        <w:t>分值对投标报价</w:t>
      </w:r>
      <w:bookmarkEnd w:id="243"/>
      <w:bookmarkEnd w:id="244"/>
      <w:bookmarkEnd w:id="245"/>
      <w:bookmarkEnd w:id="246"/>
      <w:bookmarkEnd w:id="247"/>
      <w:bookmarkEnd w:id="248"/>
      <w:bookmarkEnd w:id="249"/>
      <w:bookmarkEnd w:id="250"/>
      <w:bookmarkEnd w:id="251"/>
      <w:bookmarkEnd w:id="252"/>
      <w:bookmarkEnd w:id="253"/>
      <w:r>
        <w:rPr>
          <w:rFonts w:hint="eastAsia" w:ascii="宋体" w:hAnsi="宋体" w:eastAsia="宋体" w:cs="宋体"/>
          <w:color w:val="auto"/>
          <w:sz w:val="21"/>
          <w:highlight w:val="none"/>
          <w:u w:val="single"/>
        </w:rPr>
        <w:t>计</w:t>
      </w:r>
      <w:bookmarkStart w:id="254" w:name="_Toc361508653"/>
      <w:bookmarkStart w:id="255" w:name="_Toc352691540"/>
      <w:bookmarkStart w:id="256" w:name="_Toc384308279"/>
      <w:bookmarkStart w:id="257" w:name="_Toc300835015"/>
      <w:bookmarkStart w:id="258" w:name="_Toc144974572"/>
      <w:bookmarkStart w:id="259" w:name="_Toc152042382"/>
      <w:bookmarkStart w:id="260" w:name="_Toc152045605"/>
      <w:bookmarkStart w:id="261" w:name="_Toc369531584"/>
      <w:bookmarkStart w:id="262" w:name="_Toc18141"/>
      <w:bookmarkStart w:id="263" w:name="_Toc247514029"/>
      <w:bookmarkStart w:id="264" w:name="_Toc247527630"/>
      <w:r>
        <w:rPr>
          <w:rFonts w:hint="eastAsia" w:ascii="宋体" w:hAnsi="宋体" w:eastAsia="宋体" w:cs="宋体"/>
          <w:color w:val="auto"/>
          <w:sz w:val="21"/>
          <w:highlight w:val="none"/>
          <w:u w:val="single"/>
        </w:rPr>
        <w:t>算出得分C；</w:t>
      </w:r>
    </w:p>
    <w:bookmarkEnd w:id="254"/>
    <w:bookmarkEnd w:id="255"/>
    <w:bookmarkEnd w:id="256"/>
    <w:bookmarkEnd w:id="257"/>
    <w:bookmarkEnd w:id="258"/>
    <w:bookmarkEnd w:id="259"/>
    <w:bookmarkEnd w:id="260"/>
    <w:bookmarkEnd w:id="261"/>
    <w:bookmarkEnd w:id="262"/>
    <w:bookmarkEnd w:id="263"/>
    <w:bookmarkEnd w:id="264"/>
    <w:p>
      <w:pPr>
        <w:spacing w:after="231" w:line="359" w:lineRule="auto"/>
        <w:ind w:right="103"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3.2.2评分分值计算保留小数点后两位，小数点后第三位“四舍五入”。</w:t>
      </w:r>
    </w:p>
    <w:p>
      <w:pPr>
        <w:spacing w:after="231" w:line="359" w:lineRule="auto"/>
        <w:ind w:right="103"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3.2.3投标人得分=A+B+C。</w:t>
      </w:r>
    </w:p>
    <w:p>
      <w:pPr>
        <w:spacing w:after="231" w:line="359" w:lineRule="auto"/>
        <w:ind w:right="103"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spacing w:after="284"/>
        <w:ind w:right="0"/>
        <w:rPr>
          <w:rFonts w:ascii="宋体" w:hAnsi="宋体" w:eastAsia="宋体" w:cs="宋体"/>
          <w:color w:val="auto"/>
          <w:highlight w:val="none"/>
        </w:rPr>
      </w:pPr>
      <w:bookmarkStart w:id="265" w:name="_Toc142406644"/>
      <w:bookmarkStart w:id="266" w:name="_Toc508382163"/>
      <w:bookmarkStart w:id="267" w:name="_Toc508788680"/>
      <w:r>
        <w:rPr>
          <w:rFonts w:hint="eastAsia" w:ascii="宋体" w:hAnsi="宋体" w:eastAsia="宋体" w:cs="宋体"/>
          <w:color w:val="auto"/>
          <w:highlight w:val="none"/>
        </w:rPr>
        <w:t>3.3 投标文件的澄清</w:t>
      </w:r>
      <w:bookmarkEnd w:id="265"/>
      <w:bookmarkEnd w:id="266"/>
      <w:bookmarkEnd w:id="267"/>
    </w:p>
    <w:p>
      <w:pPr>
        <w:spacing w:after="13" w:line="356" w:lineRule="auto"/>
        <w:ind w:right="103" w:firstLine="407"/>
        <w:rPr>
          <w:rFonts w:ascii="宋体" w:hAnsi="宋体" w:eastAsia="宋体" w:cs="宋体"/>
          <w:color w:val="auto"/>
          <w:highlight w:val="none"/>
        </w:rPr>
      </w:pPr>
      <w:r>
        <w:rPr>
          <w:rFonts w:hint="eastAsia" w:ascii="宋体" w:hAnsi="宋体" w:eastAsia="宋体" w:cs="宋体"/>
          <w:color w:val="auto"/>
          <w:sz w:val="21"/>
          <w:highlight w:val="none"/>
        </w:rPr>
        <w:t xml:space="preserve">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 </w:t>
      </w:r>
    </w:p>
    <w:p>
      <w:pPr>
        <w:spacing w:after="0" w:line="36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3.3.2 澄清、说明或补正不得超出投标文件的范围且不得改变投标文件的实质性内容，并构成投标文件的组成部分。 </w:t>
      </w:r>
    </w:p>
    <w:p>
      <w:pPr>
        <w:spacing w:after="223" w:line="367"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3.3.3 评标委员会对投标人提交的澄清、说明或补正有疑问的，可以要求投标人进一步澄清、说明或补正，直至满足评标委员会的要求。 </w:t>
      </w:r>
    </w:p>
    <w:p>
      <w:pPr>
        <w:pStyle w:val="5"/>
        <w:spacing w:after="283"/>
        <w:ind w:left="132" w:right="0"/>
        <w:rPr>
          <w:rFonts w:ascii="宋体" w:hAnsi="宋体" w:eastAsia="宋体" w:cs="宋体"/>
          <w:color w:val="auto"/>
          <w:highlight w:val="none"/>
        </w:rPr>
      </w:pPr>
      <w:bookmarkStart w:id="268" w:name="_Toc508382164"/>
      <w:bookmarkStart w:id="269" w:name="_Toc142406645"/>
      <w:bookmarkStart w:id="270" w:name="_Toc508788681"/>
      <w:r>
        <w:rPr>
          <w:rFonts w:hint="eastAsia" w:ascii="宋体" w:hAnsi="宋体" w:eastAsia="宋体" w:cs="宋体"/>
          <w:color w:val="auto"/>
          <w:highlight w:val="none"/>
        </w:rPr>
        <w:t>3.4 评标结果</w:t>
      </w:r>
      <w:bookmarkEnd w:id="268"/>
      <w:bookmarkEnd w:id="269"/>
      <w:bookmarkEnd w:id="270"/>
    </w:p>
    <w:p>
      <w:pPr>
        <w:spacing w:after="0" w:line="369" w:lineRule="auto"/>
        <w:ind w:right="103" w:firstLine="420"/>
        <w:rPr>
          <w:rFonts w:ascii="宋体" w:hAnsi="宋体" w:eastAsia="宋体" w:cs="宋体"/>
          <w:color w:val="auto"/>
          <w:highlight w:val="none"/>
        </w:rPr>
      </w:pPr>
      <w:r>
        <w:rPr>
          <w:rFonts w:hint="eastAsia" w:ascii="宋体" w:hAnsi="宋体" w:eastAsia="宋体" w:cs="宋体"/>
          <w:color w:val="auto"/>
          <w:sz w:val="21"/>
          <w:highlight w:val="none"/>
        </w:rPr>
        <w:t xml:space="preserve">3.4.1 除第二章“投标人须知”前附表授权直接确定中标人外，评标委员会按照得分由高到低的顺序推荐中标候选人，并标明排序。 </w:t>
      </w:r>
    </w:p>
    <w:p>
      <w:pPr>
        <w:spacing w:after="202"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3.4.2 评标委员会完成评标后，应当向招标人提交书面评标报告和中标候选人名单。 </w:t>
      </w:r>
    </w:p>
    <w:p>
      <w:pPr>
        <w:spacing w:after="0"/>
        <w:ind w:left="4321"/>
        <w:rPr>
          <w:rFonts w:ascii="宋体" w:hAnsi="宋体" w:eastAsia="宋体" w:cs="宋体"/>
          <w:color w:val="auto"/>
          <w:highlight w:val="none"/>
        </w:rPr>
      </w:pPr>
      <w:r>
        <w:rPr>
          <w:rFonts w:hint="eastAsia" w:ascii="宋体" w:hAnsi="宋体" w:eastAsia="宋体" w:cs="宋体"/>
          <w:b/>
          <w:color w:val="auto"/>
          <w:sz w:val="44"/>
          <w:highlight w:val="none"/>
        </w:rPr>
        <w:tab/>
      </w:r>
      <w:r>
        <w:rPr>
          <w:rFonts w:hint="eastAsia" w:ascii="宋体" w:hAnsi="宋体" w:eastAsia="宋体" w:cs="宋体"/>
          <w:color w:val="auto"/>
          <w:highlight w:val="none"/>
        </w:rPr>
        <w:br w:type="page"/>
      </w:r>
    </w:p>
    <w:p>
      <w:pPr>
        <w:pStyle w:val="3"/>
        <w:spacing w:after="1017" w:line="259" w:lineRule="auto"/>
        <w:ind w:left="0" w:right="217" w:firstLine="0"/>
        <w:rPr>
          <w:rFonts w:ascii="宋体" w:hAnsi="宋体" w:eastAsia="宋体" w:cs="宋体"/>
          <w:b/>
          <w:color w:val="auto"/>
          <w:sz w:val="44"/>
          <w:highlight w:val="none"/>
        </w:rPr>
      </w:pPr>
      <w:bookmarkStart w:id="271" w:name="_Toc142406646"/>
      <w:bookmarkStart w:id="272" w:name="_Toc508382165"/>
      <w:r>
        <w:rPr>
          <w:rFonts w:hint="eastAsia" w:ascii="宋体" w:hAnsi="宋体" w:eastAsia="宋体" w:cs="宋体"/>
          <w:color w:val="auto"/>
          <w:sz w:val="44"/>
          <w:highlight w:val="none"/>
        </w:rPr>
        <w:t>第四章合同条款及格式</w:t>
      </w:r>
      <w:bookmarkEnd w:id="271"/>
      <w:bookmarkEnd w:id="272"/>
    </w:p>
    <w:p>
      <w:pPr>
        <w:pStyle w:val="3"/>
        <w:spacing w:after="1017" w:line="259" w:lineRule="auto"/>
        <w:ind w:left="0" w:right="217" w:firstLine="0"/>
        <w:rPr>
          <w:rFonts w:ascii="宋体" w:hAnsi="宋体" w:eastAsia="宋体" w:cs="宋体"/>
          <w:color w:val="auto"/>
          <w:highlight w:val="none"/>
        </w:rPr>
      </w:pPr>
      <w:bookmarkStart w:id="273" w:name="_Toc142406647"/>
      <w:r>
        <w:rPr>
          <w:rFonts w:hint="eastAsia" w:ascii="宋体" w:hAnsi="宋体" w:eastAsia="宋体" w:cs="宋体"/>
          <w:b/>
          <w:color w:val="auto"/>
          <w:sz w:val="28"/>
          <w:szCs w:val="28"/>
          <w:highlight w:val="none"/>
        </w:rPr>
        <w:t>（另册）</w:t>
      </w:r>
      <w:bookmarkEnd w:id="273"/>
    </w:p>
    <w:p>
      <w:pPr>
        <w:spacing w:line="400" w:lineRule="exact"/>
        <w:jc w:val="center"/>
        <w:rPr>
          <w:rFonts w:ascii="宋体" w:hAnsi="宋体" w:eastAsia="宋体" w:cs="宋体"/>
          <w:b/>
          <w:color w:val="auto"/>
          <w:sz w:val="52"/>
          <w:szCs w:val="52"/>
          <w:highlight w:val="none"/>
        </w:rPr>
      </w:pPr>
    </w:p>
    <w:p>
      <w:pPr>
        <w:spacing w:line="400" w:lineRule="exact"/>
        <w:jc w:val="center"/>
        <w:rPr>
          <w:rFonts w:ascii="宋体" w:hAnsi="宋体" w:eastAsia="宋体" w:cs="宋体"/>
          <w:b/>
          <w:color w:val="auto"/>
          <w:sz w:val="52"/>
          <w:szCs w:val="52"/>
          <w:highlight w:val="none"/>
        </w:rPr>
      </w:pPr>
    </w:p>
    <w:p>
      <w:pPr>
        <w:spacing w:line="400" w:lineRule="exact"/>
        <w:jc w:val="center"/>
        <w:rPr>
          <w:rFonts w:ascii="宋体" w:hAnsi="宋体" w:eastAsia="宋体" w:cs="宋体"/>
          <w:b/>
          <w:color w:val="auto"/>
          <w:sz w:val="52"/>
          <w:szCs w:val="52"/>
          <w:highlight w:val="none"/>
        </w:rPr>
      </w:pPr>
    </w:p>
    <w:p>
      <w:pPr>
        <w:spacing w:line="400" w:lineRule="exact"/>
        <w:jc w:val="center"/>
        <w:rPr>
          <w:rFonts w:ascii="宋体" w:hAnsi="宋体" w:eastAsia="宋体" w:cs="宋体"/>
          <w:b/>
          <w:color w:val="auto"/>
          <w:sz w:val="52"/>
          <w:szCs w:val="52"/>
          <w:highlight w:val="none"/>
        </w:rPr>
      </w:pPr>
    </w:p>
    <w:p>
      <w:pPr>
        <w:spacing w:line="360" w:lineRule="auto"/>
        <w:jc w:val="center"/>
        <w:rPr>
          <w:rFonts w:ascii="宋体" w:hAnsi="宋体" w:eastAsia="宋体" w:cs="宋体"/>
          <w:snapToGrid w:val="0"/>
          <w:color w:val="auto"/>
          <w:sz w:val="20"/>
          <w:highlight w:val="none"/>
          <w:lang w:val="zh-CN"/>
        </w:rPr>
      </w:pPr>
      <w:r>
        <w:rPr>
          <w:rFonts w:hint="eastAsia" w:ascii="宋体" w:hAnsi="宋体" w:eastAsia="宋体" w:cs="宋体"/>
          <w:color w:val="auto"/>
          <w:sz w:val="48"/>
          <w:highlight w:val="none"/>
        </w:rPr>
        <w:br w:type="page"/>
      </w:r>
    </w:p>
    <w:p>
      <w:pPr>
        <w:pStyle w:val="3"/>
        <w:spacing w:after="914"/>
        <w:ind w:right="0"/>
        <w:rPr>
          <w:rFonts w:ascii="宋体" w:hAnsi="宋体" w:eastAsia="宋体" w:cs="宋体"/>
          <w:color w:val="auto"/>
          <w:highlight w:val="none"/>
        </w:rPr>
      </w:pPr>
      <w:bookmarkStart w:id="274" w:name="_Toc142406648"/>
      <w:r>
        <w:rPr>
          <w:rFonts w:hint="eastAsia" w:ascii="宋体" w:hAnsi="宋体" w:eastAsia="宋体" w:cs="宋体"/>
          <w:color w:val="auto"/>
          <w:sz w:val="44"/>
          <w:highlight w:val="none"/>
        </w:rPr>
        <w:t>第二卷</w:t>
      </w:r>
      <w:bookmarkEnd w:id="274"/>
    </w:p>
    <w:p>
      <w:pPr>
        <w:spacing w:after="0"/>
        <w:ind w:right="1604"/>
        <w:jc w:val="right"/>
        <w:rPr>
          <w:rFonts w:ascii="宋体" w:hAnsi="宋体" w:eastAsia="宋体" w:cs="宋体"/>
          <w:color w:val="auto"/>
          <w:highlight w:val="none"/>
        </w:rPr>
      </w:pPr>
      <w:r>
        <w:rPr>
          <w:rFonts w:hint="eastAsia" w:ascii="宋体" w:hAnsi="宋体" w:eastAsia="宋体" w:cs="宋体"/>
          <w:b/>
          <w:color w:val="auto"/>
          <w:sz w:val="44"/>
          <w:highlight w:val="none"/>
        </w:rPr>
        <w:tab/>
      </w: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spacing w:after="0"/>
        <w:ind w:right="1604"/>
        <w:jc w:val="right"/>
        <w:rPr>
          <w:rFonts w:ascii="宋体" w:hAnsi="宋体" w:eastAsia="宋体" w:cs="宋体"/>
          <w:color w:val="auto"/>
          <w:highlight w:val="none"/>
        </w:rPr>
      </w:pPr>
    </w:p>
    <w:p>
      <w:pPr>
        <w:pStyle w:val="3"/>
        <w:spacing w:after="1017"/>
        <w:ind w:left="2564" w:right="0"/>
        <w:jc w:val="left"/>
        <w:rPr>
          <w:rFonts w:ascii="宋体" w:hAnsi="宋体" w:eastAsia="宋体" w:cs="宋体"/>
          <w:color w:val="auto"/>
          <w:highlight w:val="none"/>
        </w:rPr>
      </w:pPr>
      <w:bookmarkStart w:id="275" w:name="_Toc142406649"/>
      <w:r>
        <w:rPr>
          <w:rFonts w:hint="eastAsia" w:ascii="宋体" w:hAnsi="宋体" w:eastAsia="宋体" w:cs="宋体"/>
          <w:color w:val="auto"/>
          <w:sz w:val="44"/>
          <w:highlight w:val="none"/>
        </w:rPr>
        <w:t>第五章委托人要求</w:t>
      </w:r>
      <w:bookmarkEnd w:id="275"/>
    </w:p>
    <w:p>
      <w:pPr>
        <w:spacing w:after="142"/>
        <w:ind w:firstLine="3150" w:firstLineChars="1500"/>
        <w:rPr>
          <w:rFonts w:ascii="宋体" w:hAnsi="宋体" w:eastAsia="宋体" w:cs="宋体"/>
          <w:color w:val="auto"/>
          <w:highlight w:val="none"/>
        </w:rPr>
      </w:pPr>
      <w:r>
        <w:rPr>
          <w:rFonts w:hint="eastAsia" w:ascii="宋体" w:hAnsi="宋体" w:eastAsia="宋体" w:cs="宋体"/>
          <w:color w:val="auto"/>
          <w:sz w:val="21"/>
          <w:highlight w:val="none"/>
        </w:rPr>
        <w:t>按现行国家相关要求</w:t>
      </w:r>
    </w:p>
    <w:p>
      <w:pPr>
        <w:spacing w:after="0" w:line="480" w:lineRule="auto"/>
        <w:ind w:left="-15" w:right="103" w:firstLine="420"/>
        <w:jc w:val="center"/>
        <w:rPr>
          <w:rFonts w:ascii="宋体" w:hAnsi="宋体" w:eastAsia="宋体" w:cs="宋体"/>
          <w:b/>
          <w:color w:val="auto"/>
          <w:sz w:val="44"/>
          <w:highlight w:val="none"/>
        </w:rPr>
      </w:pPr>
      <w:r>
        <w:rPr>
          <w:rFonts w:hint="eastAsia" w:ascii="宋体" w:hAnsi="宋体" w:eastAsia="宋体" w:cs="宋体"/>
          <w:color w:val="auto"/>
          <w:spacing w:val="1"/>
          <w:kern w:val="0"/>
          <w:sz w:val="21"/>
          <w:szCs w:val="21"/>
          <w:highlight w:val="none"/>
        </w:rPr>
        <w:br w:type="page"/>
      </w:r>
    </w:p>
    <w:p>
      <w:pPr>
        <w:spacing w:after="1050"/>
        <w:ind w:left="4321"/>
        <w:rPr>
          <w:rFonts w:ascii="宋体" w:hAnsi="宋体" w:eastAsia="宋体" w:cs="宋体"/>
          <w:b/>
          <w:color w:val="auto"/>
          <w:sz w:val="44"/>
          <w:highlight w:val="none"/>
        </w:rPr>
      </w:pPr>
    </w:p>
    <w:p>
      <w:pPr>
        <w:spacing w:after="1050"/>
        <w:ind w:left="4321"/>
        <w:rPr>
          <w:rFonts w:ascii="宋体" w:hAnsi="宋体" w:eastAsia="宋体" w:cs="宋体"/>
          <w:b/>
          <w:color w:val="auto"/>
          <w:sz w:val="44"/>
          <w:highlight w:val="none"/>
        </w:rPr>
      </w:pPr>
    </w:p>
    <w:p>
      <w:pPr>
        <w:spacing w:after="1050"/>
        <w:ind w:left="4321"/>
        <w:rPr>
          <w:rFonts w:ascii="宋体" w:hAnsi="宋体" w:eastAsia="宋体" w:cs="宋体"/>
          <w:color w:val="auto"/>
          <w:highlight w:val="none"/>
        </w:rPr>
      </w:pPr>
    </w:p>
    <w:p>
      <w:pPr>
        <w:pStyle w:val="3"/>
        <w:spacing w:after="982"/>
        <w:ind w:left="3653" w:right="0"/>
        <w:jc w:val="left"/>
        <w:rPr>
          <w:rFonts w:ascii="宋体" w:hAnsi="宋体" w:eastAsia="宋体" w:cs="宋体"/>
          <w:color w:val="auto"/>
          <w:highlight w:val="none"/>
        </w:rPr>
      </w:pPr>
      <w:bookmarkStart w:id="276" w:name="_Toc142406650"/>
      <w:r>
        <w:rPr>
          <w:rFonts w:hint="eastAsia" w:ascii="宋体" w:hAnsi="宋体" w:eastAsia="宋体" w:cs="宋体"/>
          <w:color w:val="auto"/>
          <w:sz w:val="44"/>
          <w:highlight w:val="none"/>
        </w:rPr>
        <w:t>第三卷</w:t>
      </w:r>
      <w:bookmarkEnd w:id="276"/>
    </w:p>
    <w:p>
      <w:pPr>
        <w:spacing w:after="0"/>
        <w:ind w:right="1601"/>
        <w:jc w:val="right"/>
        <w:rPr>
          <w:rFonts w:ascii="宋体" w:hAnsi="宋体" w:eastAsia="宋体" w:cs="宋体"/>
          <w:color w:val="auto"/>
          <w:highlight w:val="none"/>
        </w:rPr>
      </w:pPr>
      <w:r>
        <w:rPr>
          <w:rFonts w:hint="eastAsia" w:ascii="宋体" w:hAnsi="宋体" w:eastAsia="宋体" w:cs="宋体"/>
          <w:color w:val="auto"/>
          <w:sz w:val="21"/>
          <w:highlight w:val="none"/>
        </w:rPr>
        <w:tab/>
      </w:r>
      <w:r>
        <w:rPr>
          <w:rFonts w:hint="eastAsia" w:ascii="宋体" w:hAnsi="宋体" w:eastAsia="宋体" w:cs="宋体"/>
          <w:color w:val="auto"/>
          <w:highlight w:val="none"/>
        </w:rPr>
        <w:br w:type="page"/>
      </w:r>
    </w:p>
    <w:p>
      <w:pPr>
        <w:pStyle w:val="3"/>
        <w:spacing w:after="850" w:line="345" w:lineRule="auto"/>
        <w:ind w:right="2550"/>
        <w:jc w:val="right"/>
        <w:rPr>
          <w:rFonts w:ascii="宋体" w:hAnsi="宋体" w:eastAsia="宋体" w:cs="宋体"/>
          <w:color w:val="auto"/>
          <w:highlight w:val="none"/>
        </w:rPr>
      </w:pPr>
      <w:bookmarkStart w:id="277" w:name="_Toc142406651"/>
      <w:r>
        <w:rPr>
          <w:rFonts w:hint="eastAsia" w:ascii="宋体" w:hAnsi="宋体" w:eastAsia="宋体" w:cs="宋体"/>
          <w:color w:val="auto"/>
          <w:sz w:val="44"/>
          <w:highlight w:val="none"/>
        </w:rPr>
        <w:t>第六章投标文件格式</w:t>
      </w:r>
      <w:bookmarkEnd w:id="277"/>
    </w:p>
    <w:p>
      <w:pPr>
        <w:spacing w:after="137"/>
        <w:rPr>
          <w:rFonts w:ascii="宋体" w:hAnsi="宋体" w:eastAsia="宋体" w:cs="宋体"/>
          <w:color w:val="auto"/>
          <w:highlight w:val="none"/>
        </w:rPr>
      </w:pPr>
    </w:p>
    <w:p>
      <w:pPr>
        <w:spacing w:after="0"/>
        <w:rPr>
          <w:rFonts w:ascii="宋体" w:hAnsi="宋体" w:eastAsia="宋体" w:cs="宋体"/>
          <w:color w:val="auto"/>
          <w:highlight w:val="none"/>
        </w:rPr>
      </w:pPr>
      <w:r>
        <w:rPr>
          <w:rFonts w:hint="eastAsia" w:ascii="宋体" w:hAnsi="宋体" w:eastAsia="宋体" w:cs="宋体"/>
          <w:color w:val="auto"/>
          <w:sz w:val="21"/>
          <w:highlight w:val="none"/>
        </w:rPr>
        <w:tab/>
      </w:r>
      <w:r>
        <w:rPr>
          <w:rFonts w:hint="eastAsia" w:ascii="宋体" w:hAnsi="宋体" w:eastAsia="宋体" w:cs="宋体"/>
          <w:color w:val="auto"/>
          <w:highlight w:val="none"/>
        </w:rPr>
        <w:br w:type="page"/>
      </w:r>
    </w:p>
    <w:p>
      <w:pPr>
        <w:spacing w:after="0"/>
        <w:rPr>
          <w:rFonts w:ascii="宋体" w:hAnsi="宋体" w:eastAsia="宋体" w:cs="宋体"/>
          <w:color w:val="auto"/>
          <w:highlight w:val="none"/>
        </w:rPr>
      </w:pPr>
    </w:p>
    <w:p>
      <w:pPr>
        <w:spacing w:after="0" w:line="265" w:lineRule="auto"/>
        <w:ind w:left="10" w:right="212" w:hanging="10"/>
        <w:jc w:val="center"/>
        <w:rPr>
          <w:rFonts w:ascii="宋体" w:hAnsi="宋体" w:eastAsia="宋体" w:cs="宋体"/>
          <w:color w:val="auto"/>
          <w:highlight w:val="none"/>
        </w:rPr>
      </w:pPr>
      <w:r>
        <w:rPr>
          <w:rFonts w:hint="eastAsia" w:ascii="宋体" w:hAnsi="宋体" w:eastAsia="宋体" w:cs="宋体"/>
          <w:color w:val="auto"/>
          <w:sz w:val="28"/>
          <w:highlight w:val="none"/>
        </w:rPr>
        <w:t>（项目名称）</w:t>
      </w:r>
    </w:p>
    <w:p>
      <w:pPr>
        <w:spacing w:after="0"/>
        <w:rPr>
          <w:rFonts w:ascii="宋体" w:hAnsi="宋体" w:eastAsia="宋体" w:cs="宋体"/>
          <w:color w:val="auto"/>
          <w:highlight w:val="none"/>
        </w:rPr>
      </w:pPr>
    </w:p>
    <w:p>
      <w:pPr>
        <w:spacing w:after="254"/>
        <w:rPr>
          <w:rFonts w:ascii="宋体" w:hAnsi="宋体" w:eastAsia="宋体" w:cs="宋体"/>
          <w:color w:val="auto"/>
          <w:highlight w:val="none"/>
        </w:rPr>
      </w:pPr>
    </w:p>
    <w:p>
      <w:pPr>
        <w:spacing w:after="0"/>
        <w:ind w:right="213"/>
        <w:jc w:val="center"/>
        <w:rPr>
          <w:rFonts w:ascii="宋体" w:hAnsi="宋体" w:eastAsia="宋体" w:cs="宋体"/>
          <w:color w:val="auto"/>
          <w:highlight w:val="none"/>
        </w:rPr>
      </w:pPr>
      <w:r>
        <w:rPr>
          <w:rFonts w:hint="eastAsia" w:ascii="宋体" w:hAnsi="宋体" w:eastAsia="宋体" w:cs="宋体"/>
          <w:color w:val="auto"/>
          <w:sz w:val="44"/>
          <w:highlight w:val="none"/>
        </w:rPr>
        <w:t xml:space="preserve">投 标 文 件 </w:t>
      </w:r>
    </w:p>
    <w:p>
      <w:pPr>
        <w:spacing w:after="0"/>
        <w:ind w:right="104"/>
        <w:jc w:val="center"/>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0"/>
        <w:rPr>
          <w:rFonts w:ascii="宋体" w:hAnsi="宋体" w:eastAsia="宋体" w:cs="宋体"/>
          <w:color w:val="auto"/>
          <w:highlight w:val="none"/>
        </w:rPr>
      </w:pPr>
    </w:p>
    <w:p>
      <w:pPr>
        <w:spacing w:after="196"/>
        <w:rPr>
          <w:rFonts w:ascii="宋体" w:hAnsi="宋体" w:eastAsia="宋体" w:cs="宋体"/>
          <w:color w:val="auto"/>
          <w:highlight w:val="none"/>
        </w:rPr>
      </w:pPr>
    </w:p>
    <w:p>
      <w:pPr>
        <w:spacing w:after="0" w:line="379" w:lineRule="auto"/>
        <w:ind w:left="1131" w:hanging="10"/>
        <w:rPr>
          <w:rFonts w:ascii="宋体" w:hAnsi="宋体" w:eastAsia="宋体" w:cs="宋体"/>
          <w:color w:val="auto"/>
          <w:sz w:val="28"/>
          <w:highlight w:val="none"/>
        </w:rPr>
      </w:pPr>
      <w:r>
        <w:rPr>
          <w:rFonts w:hint="eastAsia" w:ascii="宋体" w:hAnsi="宋体" w:eastAsia="宋体" w:cs="宋体"/>
          <w:color w:val="auto"/>
          <w:sz w:val="28"/>
          <w:highlight w:val="none"/>
        </w:rPr>
        <w:t>投标人：（盖单位章）</w:t>
      </w:r>
    </w:p>
    <w:p>
      <w:pPr>
        <w:spacing w:after="0" w:line="379" w:lineRule="auto"/>
        <w:ind w:left="1131" w:hanging="10"/>
        <w:rPr>
          <w:rFonts w:ascii="宋体" w:hAnsi="宋体" w:eastAsia="宋体" w:cs="宋体"/>
          <w:color w:val="auto"/>
          <w:highlight w:val="none"/>
        </w:rPr>
      </w:pPr>
      <w:r>
        <w:rPr>
          <w:rFonts w:hint="eastAsia" w:ascii="宋体" w:hAnsi="宋体" w:eastAsia="宋体" w:cs="宋体"/>
          <w:color w:val="auto"/>
          <w:sz w:val="28"/>
          <w:highlight w:val="none"/>
        </w:rPr>
        <w:t xml:space="preserve">法定代表人或其委托代理人：（签字或盖章） </w:t>
      </w:r>
    </w:p>
    <w:p>
      <w:pPr>
        <w:spacing w:after="73"/>
        <w:ind w:right="144"/>
        <w:jc w:val="center"/>
        <w:rPr>
          <w:rFonts w:ascii="宋体" w:hAnsi="宋体" w:eastAsia="宋体" w:cs="宋体"/>
          <w:color w:val="auto"/>
          <w:highlight w:val="none"/>
        </w:rPr>
      </w:pPr>
    </w:p>
    <w:p>
      <w:pPr>
        <w:tabs>
          <w:tab w:val="center" w:pos="4320"/>
          <w:tab w:val="center" w:pos="8723"/>
        </w:tabs>
        <w:spacing w:after="127"/>
        <w:rPr>
          <w:rFonts w:ascii="宋体" w:hAnsi="宋体" w:eastAsia="宋体" w:cs="宋体"/>
          <w:color w:val="auto"/>
          <w:sz w:val="21"/>
          <w:highlight w:val="none"/>
        </w:rPr>
      </w:pPr>
      <w:r>
        <w:rPr>
          <w:rFonts w:hint="eastAsia" w:ascii="宋体" w:hAnsi="宋体" w:eastAsia="宋体" w:cs="宋体"/>
          <w:color w:val="auto"/>
          <w:highlight w:val="none"/>
        </w:rPr>
        <w:tab/>
      </w:r>
      <w:r>
        <w:rPr>
          <w:rFonts w:hint="eastAsia" w:ascii="宋体" w:hAnsi="宋体" w:eastAsia="宋体" w:cs="宋体"/>
          <w:color w:val="auto"/>
          <w:sz w:val="28"/>
          <w:highlight w:val="none"/>
        </w:rPr>
        <w:t>年月日</w:t>
      </w:r>
    </w:p>
    <w:p>
      <w:pPr>
        <w:tabs>
          <w:tab w:val="center" w:pos="4320"/>
          <w:tab w:val="center" w:pos="8723"/>
        </w:tabs>
        <w:spacing w:after="127"/>
        <w:rPr>
          <w:rFonts w:ascii="宋体" w:hAnsi="宋体" w:eastAsia="宋体" w:cs="宋体"/>
          <w:color w:val="auto"/>
          <w:highlight w:val="none"/>
        </w:rPr>
      </w:pPr>
      <w:r>
        <w:rPr>
          <w:rFonts w:hint="eastAsia" w:ascii="宋体" w:hAnsi="宋体" w:eastAsia="宋体" w:cs="宋体"/>
          <w:color w:val="auto"/>
          <w:sz w:val="21"/>
          <w:highlight w:val="none"/>
        </w:rPr>
        <w:br w:type="page"/>
      </w:r>
      <w:r>
        <w:rPr>
          <w:rFonts w:hint="eastAsia" w:ascii="宋体" w:hAnsi="宋体" w:eastAsia="宋体" w:cs="宋体"/>
          <w:color w:val="auto"/>
          <w:sz w:val="21"/>
          <w:highlight w:val="none"/>
        </w:rPr>
        <w:tab/>
      </w:r>
    </w:p>
    <w:p>
      <w:pPr>
        <w:pStyle w:val="4"/>
        <w:spacing w:after="645" w:line="267" w:lineRule="auto"/>
        <w:ind w:right="4215"/>
        <w:jc w:val="right"/>
        <w:rPr>
          <w:rFonts w:ascii="宋体" w:hAnsi="宋体" w:eastAsia="宋体" w:cs="宋体"/>
          <w:color w:val="auto"/>
          <w:highlight w:val="none"/>
        </w:rPr>
      </w:pPr>
      <w:bookmarkStart w:id="278" w:name="_Toc508788697"/>
      <w:bookmarkStart w:id="279" w:name="_Toc142406652"/>
      <w:r>
        <w:rPr>
          <w:rFonts w:hint="eastAsia" w:ascii="宋体" w:hAnsi="宋体" w:eastAsia="宋体" w:cs="宋体"/>
          <w:color w:val="auto"/>
          <w:sz w:val="32"/>
          <w:highlight w:val="none"/>
        </w:rPr>
        <w:t>目录</w:t>
      </w:r>
      <w:bookmarkEnd w:id="278"/>
      <w:bookmarkEnd w:id="279"/>
    </w:p>
    <w:p>
      <w:pPr>
        <w:spacing w:after="282"/>
        <w:rPr>
          <w:rFonts w:ascii="宋体" w:hAnsi="宋体" w:eastAsia="宋体" w:cs="宋体"/>
          <w:color w:val="auto"/>
          <w:highlight w:val="none"/>
        </w:rPr>
      </w:pPr>
      <w:r>
        <w:rPr>
          <w:rFonts w:hint="eastAsia" w:ascii="宋体" w:hAnsi="宋体" w:eastAsia="宋体" w:cs="宋体"/>
          <w:color w:val="auto"/>
          <w:sz w:val="21"/>
          <w:highlight w:val="none"/>
        </w:rPr>
        <w:t>注：除本章“格式一”必须按招标文件规定的格式进行编制外，其余格式仅供参考。</w:t>
      </w:r>
    </w:p>
    <w:p>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一、投标函及投标函附录</w:t>
      </w:r>
    </w:p>
    <w:p>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二、法定代表人身份证明（适用于无委托代理人的情况）</w:t>
      </w:r>
    </w:p>
    <w:p>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三、授权委托书（适用于有委托代理人的情况）</w:t>
      </w:r>
    </w:p>
    <w:p>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四、资格审查资料</w:t>
      </w:r>
    </w:p>
    <w:p>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五、资信业绩资料</w:t>
      </w:r>
    </w:p>
    <w:p>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六、监测方案</w:t>
      </w:r>
    </w:p>
    <w:p>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七、其他资料</w:t>
      </w:r>
    </w:p>
    <w:p>
      <w:pPr>
        <w:spacing w:after="0"/>
        <w:rPr>
          <w:rFonts w:ascii="宋体" w:hAnsi="宋体" w:eastAsia="宋体" w:cs="宋体"/>
          <w:color w:val="auto"/>
          <w:sz w:val="20"/>
          <w:highlight w:val="none"/>
        </w:rPr>
      </w:pPr>
      <w:r>
        <w:rPr>
          <w:rFonts w:hint="eastAsia" w:ascii="宋体" w:hAnsi="宋体" w:eastAsia="宋体" w:cs="宋体"/>
          <w:color w:val="auto"/>
          <w:sz w:val="21"/>
          <w:highlight w:val="none"/>
        </w:rPr>
        <w:tab/>
      </w:r>
    </w:p>
    <w:p>
      <w:pPr>
        <w:pStyle w:val="4"/>
        <w:spacing w:line="600" w:lineRule="auto"/>
        <w:jc w:val="center"/>
        <w:rPr>
          <w:rFonts w:ascii="宋体" w:hAnsi="宋体" w:eastAsia="宋体"/>
          <w:color w:val="auto"/>
          <w:sz w:val="30"/>
          <w:szCs w:val="30"/>
          <w:highlight w:val="none"/>
        </w:rPr>
      </w:pPr>
      <w:bookmarkStart w:id="280" w:name="_Toc508788698"/>
      <w:r>
        <w:rPr>
          <w:rFonts w:hint="eastAsia" w:ascii="宋体" w:hAnsi="宋体" w:eastAsia="宋体" w:cs="宋体"/>
          <w:color w:val="auto"/>
          <w:sz w:val="32"/>
          <w:highlight w:val="none"/>
        </w:rPr>
        <w:br w:type="page"/>
      </w:r>
      <w:bookmarkStart w:id="281" w:name="_Toc142406653"/>
      <w:r>
        <w:rPr>
          <w:rFonts w:hint="eastAsia" w:ascii="宋体" w:hAnsi="宋体" w:eastAsia="宋体" w:cs="宋体"/>
          <w:b/>
          <w:bCs/>
          <w:color w:val="auto"/>
          <w:sz w:val="32"/>
          <w:highlight w:val="none"/>
        </w:rPr>
        <w:t>格式一、投标函及投标函附录</w:t>
      </w:r>
      <w:bookmarkEnd w:id="280"/>
      <w:bookmarkEnd w:id="281"/>
      <w:bookmarkStart w:id="282" w:name="_Toc352691656"/>
      <w:bookmarkStart w:id="283" w:name="_Toc369531692"/>
      <w:bookmarkStart w:id="284" w:name="_Toc6931"/>
    </w:p>
    <w:bookmarkEnd w:id="282"/>
    <w:bookmarkEnd w:id="283"/>
    <w:bookmarkEnd w:id="284"/>
    <w:p>
      <w:pPr>
        <w:pStyle w:val="5"/>
        <w:spacing w:line="240" w:lineRule="auto"/>
        <w:jc w:val="center"/>
        <w:rPr>
          <w:rFonts w:ascii="宋体" w:hAnsi="宋体" w:eastAsia="宋体"/>
          <w:color w:val="auto"/>
          <w:sz w:val="28"/>
          <w:szCs w:val="28"/>
          <w:highlight w:val="none"/>
        </w:rPr>
      </w:pPr>
      <w:bookmarkStart w:id="285" w:name="_Toc8858"/>
      <w:bookmarkStart w:id="286" w:name="_Toc530470643"/>
      <w:bookmarkStart w:id="287" w:name="_Toc529196601"/>
      <w:bookmarkStart w:id="288" w:name="_Toc535938752"/>
      <w:bookmarkStart w:id="289" w:name="_Toc142406654"/>
      <w:r>
        <w:rPr>
          <w:rFonts w:ascii="宋体" w:hAnsi="宋体" w:eastAsia="宋体"/>
          <w:color w:val="auto"/>
          <w:sz w:val="28"/>
          <w:szCs w:val="28"/>
          <w:highlight w:val="none"/>
        </w:rPr>
        <w:t>（一）投标函</w:t>
      </w:r>
      <w:bookmarkEnd w:id="285"/>
      <w:bookmarkEnd w:id="286"/>
      <w:bookmarkEnd w:id="287"/>
      <w:bookmarkEnd w:id="288"/>
      <w:bookmarkEnd w:id="289"/>
    </w:p>
    <w:p>
      <w:pPr>
        <w:spacing w:line="360" w:lineRule="auto"/>
        <w:rPr>
          <w:rFonts w:ascii="宋体" w:hAnsi="宋体"/>
          <w:color w:val="auto"/>
          <w:sz w:val="24"/>
          <w:szCs w:val="24"/>
          <w:highlight w:val="none"/>
        </w:rPr>
      </w:pPr>
      <w:bookmarkStart w:id="290" w:name="_Toc385943066"/>
      <w:bookmarkStart w:id="291" w:name="_Toc482188652"/>
      <w:bookmarkStart w:id="292" w:name="_Toc391394112"/>
      <w:bookmarkStart w:id="293" w:name="_Toc359594236"/>
      <w:bookmarkStart w:id="294" w:name="_Toc370676427"/>
      <w:r>
        <w:rPr>
          <w:rFonts w:hint="eastAsia" w:ascii="宋体" w:hAnsi="宋体"/>
          <w:color w:val="auto"/>
          <w:sz w:val="24"/>
          <w:szCs w:val="24"/>
          <w:highlight w:val="none"/>
        </w:rPr>
        <w:t xml:space="preserve">致：  </w:t>
      </w:r>
      <w:r>
        <w:rPr>
          <w:rFonts w:hint="eastAsia" w:ascii="宋体" w:hAnsi="宋体"/>
          <w:color w:val="auto"/>
          <w:sz w:val="24"/>
          <w:szCs w:val="24"/>
          <w:highlight w:val="none"/>
          <w:u w:val="single"/>
        </w:rPr>
        <w:t xml:space="preserve">（招标人）          </w:t>
      </w:r>
    </w:p>
    <w:p>
      <w:pPr>
        <w:pStyle w:val="1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 在仔细分析研究了贵单位提供的</w:t>
      </w:r>
      <w:r>
        <w:rPr>
          <w:rFonts w:hint="eastAsia" w:ascii="宋体" w:hAnsi="宋体"/>
          <w:color w:val="auto"/>
          <w:sz w:val="24"/>
          <w:highlight w:val="none"/>
          <w:u w:val="single"/>
        </w:rPr>
        <w:t xml:space="preserve">        （项目名称）      </w:t>
      </w:r>
      <w:r>
        <w:rPr>
          <w:rFonts w:hint="eastAsia" w:ascii="宋体" w:hAnsi="宋体"/>
          <w:color w:val="auto"/>
          <w:sz w:val="24"/>
          <w:highlight w:val="none"/>
        </w:rPr>
        <w:t>招标文件后，我方愿意以招标控制价下浮</w:t>
      </w:r>
      <w:r>
        <w:rPr>
          <w:rFonts w:hint="eastAsia" w:ascii="宋体" w:hAnsi="宋体"/>
          <w:color w:val="auto"/>
          <w:sz w:val="24"/>
          <w:highlight w:val="none"/>
          <w:u w:val="single"/>
        </w:rPr>
        <w:t xml:space="preserve">    %</w:t>
      </w:r>
      <w:r>
        <w:rPr>
          <w:rFonts w:hint="eastAsia" w:ascii="宋体" w:hAnsi="宋体"/>
          <w:color w:val="auto"/>
          <w:sz w:val="24"/>
          <w:highlight w:val="none"/>
        </w:rPr>
        <w:t>，即人民币（大写）（小写：</w:t>
      </w:r>
      <w:r>
        <w:rPr>
          <w:rFonts w:hint="eastAsia" w:ascii="宋体" w:hAnsi="宋体"/>
          <w:color w:val="auto"/>
          <w:sz w:val="24"/>
          <w:highlight w:val="none"/>
          <w:u w:val="single"/>
        </w:rPr>
        <w:t>　　　　　元</w:t>
      </w:r>
      <w:r>
        <w:rPr>
          <w:rFonts w:hint="eastAsia" w:ascii="宋体" w:hAnsi="宋体"/>
          <w:color w:val="auto"/>
          <w:sz w:val="24"/>
          <w:highlight w:val="none"/>
        </w:rPr>
        <w:t>）作为本项目的投标总价，并按招标文件的有关规定要求，承担全部服务任务工作。</w:t>
      </w:r>
    </w:p>
    <w:p>
      <w:pPr>
        <w:pStyle w:val="15"/>
        <w:numPr>
          <w:ilvl w:val="0"/>
          <w:numId w:val="9"/>
        </w:numPr>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我方完全愿意接受本项目招标文件中的合同条款，如我方中标，我们将在招标人要求的时间内签订技术服务合同。</w:t>
      </w:r>
    </w:p>
    <w:p>
      <w:pPr>
        <w:pStyle w:val="15"/>
        <w:numPr>
          <w:ilvl w:val="0"/>
          <w:numId w:val="9"/>
        </w:numPr>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单位承诺，如果我单位中标，我单位保证在接到委托人开工指令后，按承诺工期完成并交付合同规定的全部工作内容；若委托人在工程实施过程中根据项目实际需要提出增加监测工作（包括增加监测项目等）的指令，我单位将无条件按委托人要求开展相关工作。</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4.我单位承诺，如果我单位中标，我单位将按本投标文件的承诺为上述工作投入足够的设备、仪器、软件以及项目管理人员和技术人员等，并按要求驻场服务。</w:t>
      </w:r>
    </w:p>
    <w:p>
      <w:pPr>
        <w:numPr>
          <w:ilvl w:val="255"/>
          <w:numId w:val="0"/>
        </w:numPr>
        <w:spacing w:after="0" w:line="360" w:lineRule="auto"/>
        <w:ind w:firstLine="440" w:firstLineChars="200"/>
        <w:rPr>
          <w:rFonts w:ascii="宋体" w:hAnsi="宋体"/>
          <w:color w:val="auto"/>
          <w:sz w:val="24"/>
          <w:szCs w:val="24"/>
          <w:highlight w:val="none"/>
        </w:rPr>
      </w:pPr>
      <w:r>
        <w:rPr>
          <w:rFonts w:hint="eastAsia" w:eastAsia="宋体"/>
          <w:color w:val="auto"/>
          <w:highlight w:val="none"/>
        </w:rPr>
        <w:t>5</w:t>
      </w:r>
      <w:r>
        <w:rPr>
          <w:rFonts w:hint="eastAsia" w:ascii="宋体" w:hAnsi="宋体"/>
          <w:color w:val="auto"/>
          <w:sz w:val="24"/>
          <w:szCs w:val="24"/>
          <w:highlight w:val="none"/>
        </w:rPr>
        <w:t>.我方同意在规定的投标有效期内严格遵守本投标书，本投标书对我单位始终有约束力，且随时接受中标。</w:t>
      </w:r>
    </w:p>
    <w:p>
      <w:pPr>
        <w:spacing w:line="360" w:lineRule="auto"/>
        <w:ind w:firstLine="480" w:firstLineChars="200"/>
        <w:rPr>
          <w:rFonts w:ascii="宋体" w:hAnsi="宋体"/>
          <w:color w:val="auto"/>
          <w:sz w:val="24"/>
          <w:szCs w:val="24"/>
          <w:highlight w:val="none"/>
        </w:rPr>
      </w:pPr>
      <w:r>
        <w:rPr>
          <w:rFonts w:hint="eastAsia" w:ascii="宋体" w:hAnsi="宋体" w:eastAsia="宋体"/>
          <w:color w:val="auto"/>
          <w:sz w:val="24"/>
          <w:szCs w:val="24"/>
          <w:highlight w:val="none"/>
        </w:rPr>
        <w:t>6</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pPr>
        <w:spacing w:line="360" w:lineRule="auto"/>
        <w:ind w:firstLine="480" w:firstLineChars="200"/>
        <w:rPr>
          <w:rFonts w:ascii="宋体" w:hAnsi="宋体"/>
          <w:color w:val="auto"/>
          <w:sz w:val="24"/>
          <w:szCs w:val="24"/>
          <w:highlight w:val="none"/>
        </w:rPr>
      </w:pPr>
      <w:r>
        <w:rPr>
          <w:rFonts w:hint="eastAsia" w:ascii="宋体" w:hAnsi="宋体" w:eastAsia="宋体"/>
          <w:color w:val="auto"/>
          <w:sz w:val="24"/>
          <w:szCs w:val="24"/>
          <w:highlight w:val="none"/>
        </w:rPr>
        <w:t>7</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8.我方承诺不存在《广东省实施&lt;中华人民共和国招标投标法&gt;办法》第十六条所禁止的情形的。</w:t>
      </w:r>
    </w:p>
    <w:p>
      <w:pPr>
        <w:spacing w:line="360" w:lineRule="auto"/>
        <w:ind w:firstLine="3120" w:firstLineChars="1300"/>
        <w:rPr>
          <w:rFonts w:ascii="宋体" w:hAnsi="宋体"/>
          <w:color w:val="auto"/>
          <w:sz w:val="24"/>
          <w:highlight w:val="none"/>
        </w:rPr>
      </w:pPr>
      <w:bookmarkStart w:id="295" w:name="_Toc529196602"/>
      <w:bookmarkStart w:id="296" w:name="_Toc535938753"/>
      <w:bookmarkStart w:id="297" w:name="_Toc530470645"/>
      <w:bookmarkStart w:id="298" w:name="_Toc7291"/>
      <w:r>
        <w:rPr>
          <w:rFonts w:ascii="宋体" w:hAnsi="宋体"/>
          <w:color w:val="auto"/>
          <w:sz w:val="24"/>
          <w:highlight w:val="none"/>
        </w:rPr>
        <w:t>投标人</w:t>
      </w:r>
      <w:r>
        <w:rPr>
          <w:rFonts w:hint="eastAsia" w:ascii="宋体" w:hAnsi="宋体"/>
          <w:color w:val="auto"/>
          <w:sz w:val="24"/>
          <w:highlight w:val="none"/>
        </w:rPr>
        <w:t>名称</w:t>
      </w:r>
      <w:r>
        <w:rPr>
          <w:rFonts w:ascii="宋体" w:hAnsi="宋体"/>
          <w:color w:val="auto"/>
          <w:sz w:val="24"/>
          <w:highlight w:val="none"/>
        </w:rPr>
        <w:t>：</w:t>
      </w:r>
      <w:r>
        <w:rPr>
          <w:rFonts w:ascii="宋体" w:hAnsi="宋体"/>
          <w:color w:val="auto"/>
          <w:sz w:val="24"/>
          <w:highlight w:val="none"/>
          <w:u w:val="single"/>
        </w:rPr>
        <w:tab/>
      </w:r>
      <w:r>
        <w:rPr>
          <w:rFonts w:ascii="宋体" w:hAnsi="宋体"/>
          <w:color w:val="auto"/>
          <w:sz w:val="24"/>
          <w:highlight w:val="none"/>
        </w:rPr>
        <w:t>（盖单位章）</w:t>
      </w:r>
    </w:p>
    <w:p>
      <w:pPr>
        <w:spacing w:line="360" w:lineRule="auto"/>
        <w:ind w:firstLine="3120" w:firstLineChars="1300"/>
        <w:rPr>
          <w:rFonts w:ascii="宋体" w:hAnsi="宋体"/>
          <w:color w:val="auto"/>
          <w:sz w:val="24"/>
          <w:highlight w:val="none"/>
        </w:rPr>
      </w:pPr>
      <w:r>
        <w:rPr>
          <w:rFonts w:ascii="宋体" w:hAnsi="宋体"/>
          <w:color w:val="auto"/>
          <w:sz w:val="24"/>
          <w:highlight w:val="none"/>
        </w:rPr>
        <w:t>法定代表人或其委托代理人：（签字</w:t>
      </w:r>
      <w:r>
        <w:rPr>
          <w:rFonts w:hint="eastAsia" w:ascii="宋体" w:hAnsi="宋体"/>
          <w:color w:val="auto"/>
          <w:sz w:val="24"/>
          <w:highlight w:val="none"/>
        </w:rPr>
        <w:t>或盖章</w:t>
      </w:r>
      <w:r>
        <w:rPr>
          <w:rFonts w:ascii="宋体" w:hAnsi="宋体"/>
          <w:color w:val="auto"/>
          <w:sz w:val="24"/>
          <w:highlight w:val="none"/>
        </w:rPr>
        <w:t>）</w:t>
      </w:r>
    </w:p>
    <w:p>
      <w:pPr>
        <w:pStyle w:val="11"/>
        <w:ind w:firstLine="5400"/>
        <w:rPr>
          <w:rFonts w:ascii="宋体" w:hAnsi="宋体"/>
          <w:color w:val="auto"/>
          <w:sz w:val="24"/>
          <w:szCs w:val="24"/>
          <w:highlight w:val="none"/>
        </w:rPr>
      </w:pPr>
      <w:r>
        <w:rPr>
          <w:rFonts w:ascii="宋体" w:hAnsi="宋体"/>
          <w:color w:val="auto"/>
          <w:sz w:val="24"/>
          <w:highlight w:val="none"/>
        </w:rPr>
        <w:t>年</w:t>
      </w:r>
      <w:r>
        <w:rPr>
          <w:rFonts w:hint="eastAsia" w:ascii="宋体" w:hAnsi="宋体" w:eastAsia="宋体"/>
          <w:color w:val="auto"/>
          <w:sz w:val="24"/>
          <w:highlight w:val="none"/>
        </w:rPr>
        <w:t xml:space="preserve">    </w:t>
      </w:r>
      <w:r>
        <w:rPr>
          <w:rFonts w:ascii="宋体" w:hAnsi="宋体"/>
          <w:color w:val="auto"/>
          <w:sz w:val="24"/>
          <w:highlight w:val="none"/>
        </w:rPr>
        <w:t>月</w:t>
      </w:r>
      <w:r>
        <w:rPr>
          <w:rFonts w:hint="eastAsia" w:ascii="宋体" w:hAnsi="宋体" w:eastAsia="宋体"/>
          <w:color w:val="auto"/>
          <w:sz w:val="24"/>
          <w:highlight w:val="none"/>
        </w:rPr>
        <w:t xml:space="preserve">    </w:t>
      </w:r>
      <w:r>
        <w:rPr>
          <w:rFonts w:ascii="宋体" w:hAnsi="宋体"/>
          <w:color w:val="auto"/>
          <w:sz w:val="24"/>
          <w:highlight w:val="none"/>
        </w:rPr>
        <w:t>日</w:t>
      </w:r>
    </w:p>
    <w:p>
      <w:pPr>
        <w:spacing w:line="360" w:lineRule="auto"/>
        <w:ind w:firstLine="4950" w:firstLineChars="2250"/>
        <w:rPr>
          <w:rFonts w:ascii="宋体" w:hAnsi="宋体"/>
          <w:color w:val="auto"/>
          <w:szCs w:val="21"/>
          <w:highlight w:val="none"/>
        </w:rPr>
      </w:pPr>
      <w:r>
        <w:rPr>
          <w:rFonts w:ascii="宋体" w:hAnsi="宋体"/>
          <w:color w:val="auto"/>
          <w:szCs w:val="21"/>
          <w:highlight w:val="none"/>
        </w:rPr>
        <w:br w:type="page"/>
      </w:r>
    </w:p>
    <w:p>
      <w:pPr>
        <w:pStyle w:val="5"/>
        <w:spacing w:line="240" w:lineRule="auto"/>
        <w:jc w:val="center"/>
        <w:rPr>
          <w:rFonts w:ascii="宋体" w:hAnsi="宋体" w:eastAsia="宋体"/>
          <w:color w:val="auto"/>
          <w:sz w:val="28"/>
          <w:szCs w:val="28"/>
          <w:highlight w:val="none"/>
        </w:rPr>
      </w:pPr>
      <w:bookmarkStart w:id="299" w:name="_Toc142406655"/>
      <w:r>
        <w:rPr>
          <w:rFonts w:ascii="宋体" w:hAnsi="宋体" w:eastAsia="宋体"/>
          <w:color w:val="auto"/>
          <w:sz w:val="28"/>
          <w:szCs w:val="28"/>
          <w:highlight w:val="none"/>
        </w:rPr>
        <w:t>（二）投标函附录</w:t>
      </w:r>
      <w:bookmarkEnd w:id="290"/>
      <w:bookmarkEnd w:id="291"/>
      <w:bookmarkEnd w:id="292"/>
      <w:bookmarkEnd w:id="293"/>
      <w:bookmarkEnd w:id="294"/>
      <w:bookmarkEnd w:id="295"/>
      <w:bookmarkEnd w:id="296"/>
      <w:bookmarkEnd w:id="297"/>
      <w:bookmarkEnd w:id="298"/>
      <w:bookmarkEnd w:id="299"/>
    </w:p>
    <w:tbl>
      <w:tblPr>
        <w:tblStyle w:val="38"/>
        <w:tblW w:w="87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2618"/>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2666" w:type="dxa"/>
            <w:noWrap/>
            <w:vAlign w:val="center"/>
          </w:tcPr>
          <w:p>
            <w:pPr>
              <w:jc w:val="center"/>
              <w:rPr>
                <w:rFonts w:ascii="宋体" w:hAnsi="宋体" w:cs="宋体"/>
                <w:bCs/>
                <w:color w:val="auto"/>
                <w:highlight w:val="none"/>
              </w:rPr>
            </w:pPr>
            <w:r>
              <w:rPr>
                <w:rFonts w:hint="eastAsia" w:ascii="宋体" w:hAnsi="宋体" w:cs="宋体"/>
                <w:bCs/>
                <w:color w:val="auto"/>
                <w:highlight w:val="none"/>
              </w:rPr>
              <w:t>工程名称</w:t>
            </w:r>
          </w:p>
        </w:tc>
        <w:tc>
          <w:tcPr>
            <w:tcW w:w="6105" w:type="dxa"/>
            <w:gridSpan w:val="2"/>
            <w:noWrap/>
            <w:vAlign w:val="center"/>
          </w:tcPr>
          <w:p>
            <w:pPr>
              <w:wordWrap w:val="0"/>
              <w:spacing w:line="360" w:lineRule="auto"/>
              <w:jc w:val="center"/>
              <w:rPr>
                <w:rFonts w:ascii="宋体" w:hAnsi="宋体" w:cs="宋体"/>
                <w:bCs/>
                <w:color w:val="auto"/>
                <w:highlight w:val="none"/>
              </w:rPr>
            </w:pPr>
          </w:p>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花都区中轴线学校建设项目第三方监测服务</w:t>
            </w:r>
          </w:p>
          <w:p>
            <w:pPr>
              <w:jc w:val="center"/>
              <w:rPr>
                <w:rFonts w:ascii="宋体" w:hAnsi="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2666" w:type="dxa"/>
            <w:noWrap/>
            <w:vAlign w:val="center"/>
          </w:tcPr>
          <w:p>
            <w:pPr>
              <w:jc w:val="center"/>
              <w:rPr>
                <w:rFonts w:ascii="宋体" w:hAnsi="宋体" w:cs="宋体"/>
                <w:bCs/>
                <w:color w:val="auto"/>
                <w:highlight w:val="none"/>
              </w:rPr>
            </w:pPr>
            <w:r>
              <w:rPr>
                <w:rFonts w:hint="eastAsia" w:ascii="宋体" w:hAnsi="宋体" w:cs="宋体"/>
                <w:bCs/>
                <w:color w:val="auto"/>
                <w:highlight w:val="none"/>
              </w:rPr>
              <w:t>投标总报价</w:t>
            </w:r>
          </w:p>
        </w:tc>
        <w:tc>
          <w:tcPr>
            <w:tcW w:w="6105" w:type="dxa"/>
            <w:gridSpan w:val="2"/>
            <w:noWrap/>
            <w:vAlign w:val="center"/>
          </w:tcPr>
          <w:p>
            <w:pPr>
              <w:jc w:val="center"/>
              <w:rPr>
                <w:rFonts w:ascii="宋体" w:hAnsi="宋体" w:cs="宋体"/>
                <w:bCs/>
                <w:color w:val="auto"/>
                <w:highlight w:val="none"/>
              </w:rPr>
            </w:pPr>
            <w:r>
              <w:rPr>
                <w:rFonts w:hint="eastAsia" w:ascii="宋体" w:hAnsi="宋体" w:cs="宋体"/>
                <w:bCs/>
                <w:color w:val="auto"/>
                <w:highlight w:val="none"/>
              </w:rPr>
              <w:t>元(大写：)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2666" w:type="dxa"/>
            <w:noWrap/>
            <w:vAlign w:val="center"/>
          </w:tcPr>
          <w:p>
            <w:pPr>
              <w:jc w:val="center"/>
              <w:rPr>
                <w:rFonts w:ascii="宋体" w:hAnsi="宋体" w:cs="宋体"/>
                <w:bCs/>
                <w:color w:val="auto"/>
                <w:highlight w:val="none"/>
              </w:rPr>
            </w:pPr>
            <w:r>
              <w:rPr>
                <w:rFonts w:hint="eastAsia" w:ascii="宋体" w:hAnsi="宋体" w:cs="宋体"/>
                <w:bCs/>
                <w:color w:val="auto"/>
                <w:highlight w:val="none"/>
              </w:rPr>
              <w:t>下浮率</w:t>
            </w:r>
          </w:p>
        </w:tc>
        <w:tc>
          <w:tcPr>
            <w:tcW w:w="6105" w:type="dxa"/>
            <w:gridSpan w:val="2"/>
            <w:noWrap/>
            <w:vAlign w:val="center"/>
          </w:tcPr>
          <w:p>
            <w:pPr>
              <w:ind w:firstLine="2200" w:firstLineChars="1000"/>
              <w:rPr>
                <w:rFonts w:ascii="宋体" w:hAnsi="宋体" w:cs="宋体"/>
                <w:bCs/>
                <w:color w:val="auto"/>
                <w:highlight w:val="none"/>
              </w:rPr>
            </w:pPr>
            <w:r>
              <w:rPr>
                <w:rFonts w:hint="eastAsia" w:ascii="宋体" w:hAnsi="宋体" w:cs="宋体"/>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2666" w:type="dxa"/>
            <w:noWrap/>
            <w:vAlign w:val="center"/>
          </w:tcPr>
          <w:p>
            <w:pPr>
              <w:jc w:val="center"/>
              <w:rPr>
                <w:rFonts w:ascii="宋体" w:hAnsi="宋体" w:cs="宋体"/>
                <w:bCs/>
                <w:color w:val="auto"/>
                <w:highlight w:val="none"/>
              </w:rPr>
            </w:pPr>
            <w:r>
              <w:rPr>
                <w:rFonts w:hint="eastAsia" w:ascii="宋体" w:hAnsi="宋体" w:cs="宋体"/>
                <w:bCs/>
                <w:color w:val="auto"/>
                <w:highlight w:val="none"/>
              </w:rPr>
              <w:t>服务期</w:t>
            </w:r>
          </w:p>
        </w:tc>
        <w:tc>
          <w:tcPr>
            <w:tcW w:w="6105" w:type="dxa"/>
            <w:gridSpan w:val="2"/>
            <w:noWrap/>
            <w:vAlign w:val="center"/>
          </w:tcPr>
          <w:p>
            <w:pPr>
              <w:jc w:val="center"/>
              <w:rPr>
                <w:rFonts w:ascii="宋体" w:hAnsi="宋体" w:cs="宋体"/>
                <w:bCs/>
                <w:color w:val="auto"/>
                <w:highlight w:val="none"/>
              </w:rPr>
            </w:pPr>
            <w:r>
              <w:rPr>
                <w:rFonts w:ascii="宋体" w:hAnsi="宋体" w:cs="宋体"/>
                <w:bCs/>
                <w:color w:val="auto"/>
                <w:highlight w:val="non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2666" w:type="dxa"/>
            <w:noWrap/>
            <w:vAlign w:val="center"/>
          </w:tcPr>
          <w:p>
            <w:pPr>
              <w:jc w:val="center"/>
              <w:rPr>
                <w:rFonts w:ascii="宋体" w:hAnsi="宋体" w:cs="宋体"/>
                <w:bCs/>
                <w:color w:val="auto"/>
                <w:highlight w:val="none"/>
              </w:rPr>
            </w:pPr>
            <w:r>
              <w:rPr>
                <w:rFonts w:hint="eastAsia" w:ascii="宋体" w:hAnsi="宋体" w:cs="宋体"/>
                <w:bCs/>
                <w:color w:val="auto"/>
                <w:highlight w:val="none"/>
              </w:rPr>
              <w:t>质量标准</w:t>
            </w:r>
          </w:p>
        </w:tc>
        <w:tc>
          <w:tcPr>
            <w:tcW w:w="6105" w:type="dxa"/>
            <w:gridSpan w:val="2"/>
            <w:noWrap/>
            <w:vAlign w:val="center"/>
          </w:tcPr>
          <w:p>
            <w:pPr>
              <w:jc w:val="center"/>
              <w:rPr>
                <w:rFonts w:ascii="宋体" w:hAnsi="宋体" w:cs="宋体"/>
                <w:bCs/>
                <w:color w:val="auto"/>
                <w:highlight w:val="none"/>
              </w:rPr>
            </w:pPr>
            <w:r>
              <w:rPr>
                <w:rFonts w:ascii="宋体" w:hAnsi="宋体" w:cs="宋体"/>
                <w:bCs/>
                <w:color w:val="auto"/>
                <w:highlight w:val="non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2666" w:type="dxa"/>
            <w:noWrap/>
            <w:vAlign w:val="center"/>
          </w:tcPr>
          <w:p>
            <w:pPr>
              <w:jc w:val="center"/>
              <w:rPr>
                <w:rFonts w:ascii="宋体" w:hAnsi="宋体" w:cs="宋体"/>
                <w:bCs/>
                <w:color w:val="auto"/>
                <w:highlight w:val="none"/>
              </w:rPr>
            </w:pPr>
            <w:r>
              <w:rPr>
                <w:rFonts w:hint="eastAsia" w:ascii="宋体" w:hAnsi="宋体" w:cs="宋体"/>
                <w:bCs/>
                <w:color w:val="auto"/>
                <w:highlight w:val="none"/>
              </w:rPr>
              <w:t>投标有效期</w:t>
            </w:r>
          </w:p>
        </w:tc>
        <w:tc>
          <w:tcPr>
            <w:tcW w:w="6105" w:type="dxa"/>
            <w:gridSpan w:val="2"/>
            <w:noWrap/>
            <w:vAlign w:val="center"/>
          </w:tcPr>
          <w:p>
            <w:pPr>
              <w:jc w:val="center"/>
              <w:rPr>
                <w:rFonts w:ascii="宋体" w:hAnsi="宋体" w:cs="宋体" w:eastAsiaTheme="minorEastAsia"/>
                <w:bCs/>
                <w:color w:val="auto"/>
                <w:highlight w:val="none"/>
              </w:rPr>
            </w:pPr>
            <w:r>
              <w:rPr>
                <w:rFonts w:hint="eastAsia" w:ascii="宋体" w:hAnsi="宋体" w:cs="宋体" w:eastAsiaTheme="minorEastAsia"/>
                <w:bCs/>
                <w:color w:val="auto"/>
                <w:highlight w:val="non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center"/>
        </w:trPr>
        <w:tc>
          <w:tcPr>
            <w:tcW w:w="2666" w:type="dxa"/>
            <w:vMerge w:val="restart"/>
            <w:noWrap/>
            <w:vAlign w:val="center"/>
          </w:tcPr>
          <w:p>
            <w:pPr>
              <w:jc w:val="center"/>
              <w:rPr>
                <w:rFonts w:ascii="宋体" w:hAnsi="宋体" w:cs="宋体"/>
                <w:bCs/>
                <w:color w:val="auto"/>
                <w:highlight w:val="none"/>
              </w:rPr>
            </w:pPr>
            <w:r>
              <w:rPr>
                <w:rFonts w:hint="eastAsia" w:ascii="宋体" w:hAnsi="宋体" w:cs="宋体"/>
                <w:bCs/>
                <w:color w:val="auto"/>
                <w:highlight w:val="none"/>
              </w:rPr>
              <w:t>委派的项目负责人</w:t>
            </w:r>
          </w:p>
        </w:tc>
        <w:tc>
          <w:tcPr>
            <w:tcW w:w="2618" w:type="dxa"/>
            <w:noWrap/>
            <w:vAlign w:val="center"/>
          </w:tcPr>
          <w:p>
            <w:pPr>
              <w:jc w:val="center"/>
              <w:rPr>
                <w:rFonts w:ascii="宋体" w:hAnsi="宋体" w:cs="宋体"/>
                <w:bCs/>
                <w:color w:val="auto"/>
                <w:highlight w:val="none"/>
              </w:rPr>
            </w:pPr>
            <w:r>
              <w:rPr>
                <w:rFonts w:hint="eastAsia" w:ascii="宋体" w:hAnsi="宋体" w:cs="宋体"/>
                <w:bCs/>
                <w:color w:val="auto"/>
                <w:highlight w:val="none"/>
              </w:rPr>
              <w:t>姓名</w:t>
            </w:r>
          </w:p>
        </w:tc>
        <w:tc>
          <w:tcPr>
            <w:tcW w:w="3487" w:type="dxa"/>
            <w:noWrap/>
            <w:vAlign w:val="center"/>
          </w:tcPr>
          <w:p>
            <w:pPr>
              <w:jc w:val="center"/>
              <w:rPr>
                <w:rFonts w:ascii="宋体" w:hAnsi="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2666" w:type="dxa"/>
            <w:vMerge w:val="continue"/>
            <w:noWrap/>
            <w:vAlign w:val="center"/>
          </w:tcPr>
          <w:p>
            <w:pPr>
              <w:jc w:val="center"/>
              <w:rPr>
                <w:rFonts w:ascii="宋体" w:hAnsi="宋体" w:cs="宋体"/>
                <w:bCs/>
                <w:color w:val="auto"/>
                <w:highlight w:val="none"/>
              </w:rPr>
            </w:pPr>
          </w:p>
        </w:tc>
        <w:tc>
          <w:tcPr>
            <w:tcW w:w="2618" w:type="dxa"/>
            <w:noWrap/>
            <w:vAlign w:val="center"/>
          </w:tcPr>
          <w:p>
            <w:pPr>
              <w:rPr>
                <w:rFonts w:ascii="宋体" w:hAnsi="宋体" w:cs="宋体"/>
                <w:bCs/>
                <w:color w:val="auto"/>
                <w:highlight w:val="none"/>
              </w:rPr>
            </w:pPr>
            <w:r>
              <w:rPr>
                <w:rFonts w:hint="eastAsia" w:ascii="宋体" w:hAnsi="宋体" w:cs="宋体"/>
                <w:bCs/>
                <w:color w:val="auto"/>
                <w:highlight w:val="none"/>
              </w:rPr>
              <w:t>技术职称、技术证书编号</w:t>
            </w:r>
          </w:p>
        </w:tc>
        <w:tc>
          <w:tcPr>
            <w:tcW w:w="3487" w:type="dxa"/>
            <w:noWrap/>
            <w:vAlign w:val="center"/>
          </w:tcPr>
          <w:p>
            <w:pPr>
              <w:jc w:val="center"/>
              <w:rPr>
                <w:rFonts w:ascii="宋体" w:hAnsi="宋体" w:cs="宋体"/>
                <w:bCs/>
                <w:color w:val="auto"/>
                <w:highlight w:val="none"/>
              </w:rPr>
            </w:pPr>
          </w:p>
        </w:tc>
      </w:tr>
    </w:tbl>
    <w:p>
      <w:pPr>
        <w:spacing w:line="440" w:lineRule="exact"/>
        <w:ind w:firstLine="440" w:firstLineChars="200"/>
        <w:rPr>
          <w:rFonts w:ascii="宋体" w:hAnsi="宋体"/>
          <w:color w:val="auto"/>
          <w:sz w:val="24"/>
          <w:highlight w:val="none"/>
        </w:rPr>
      </w:pPr>
      <w:r>
        <w:rPr>
          <w:rFonts w:hint="eastAsia" w:ascii="宋体" w:hAnsi="宋体" w:cs="宋体"/>
          <w:color w:val="auto"/>
          <w:highlight w:val="none"/>
        </w:rPr>
        <w:t>本项目投标报价采用的币种为人民币，以元为单位，投标总报价、报价下浮率保留小数点后两位小数,第三位小数四舍五入。</w:t>
      </w:r>
    </w:p>
    <w:p>
      <w:pPr>
        <w:pStyle w:val="80"/>
        <w:rPr>
          <w:color w:val="auto"/>
          <w:highlight w:val="none"/>
        </w:rPr>
      </w:pPr>
    </w:p>
    <w:p>
      <w:pPr>
        <w:spacing w:line="360" w:lineRule="auto"/>
        <w:ind w:firstLine="2880" w:firstLineChars="1200"/>
        <w:rPr>
          <w:rFonts w:ascii="宋体" w:hAnsi="宋体"/>
          <w:color w:val="auto"/>
          <w:sz w:val="24"/>
          <w:highlight w:val="none"/>
        </w:rPr>
      </w:pPr>
      <w:r>
        <w:rPr>
          <w:rFonts w:ascii="宋体" w:hAnsi="宋体"/>
          <w:color w:val="auto"/>
          <w:sz w:val="24"/>
          <w:highlight w:val="none"/>
        </w:rPr>
        <w:t>投标人</w:t>
      </w:r>
      <w:r>
        <w:rPr>
          <w:rFonts w:hint="eastAsia" w:ascii="宋体" w:hAnsi="宋体"/>
          <w:color w:val="auto"/>
          <w:sz w:val="24"/>
          <w:highlight w:val="none"/>
        </w:rPr>
        <w:t>名称</w:t>
      </w:r>
      <w:r>
        <w:rPr>
          <w:rFonts w:ascii="宋体" w:hAnsi="宋体"/>
          <w:color w:val="auto"/>
          <w:sz w:val="24"/>
          <w:highlight w:val="none"/>
        </w:rPr>
        <w:t>：</w:t>
      </w:r>
      <w:r>
        <w:rPr>
          <w:rFonts w:ascii="宋体" w:hAnsi="宋体"/>
          <w:color w:val="auto"/>
          <w:sz w:val="24"/>
          <w:highlight w:val="none"/>
          <w:u w:val="single"/>
        </w:rPr>
        <w:tab/>
      </w:r>
      <w:r>
        <w:rPr>
          <w:rFonts w:ascii="宋体" w:hAnsi="宋体"/>
          <w:color w:val="auto"/>
          <w:sz w:val="24"/>
          <w:highlight w:val="none"/>
        </w:rPr>
        <w:t>（盖单位章）</w:t>
      </w:r>
    </w:p>
    <w:p>
      <w:pPr>
        <w:spacing w:line="360" w:lineRule="auto"/>
        <w:ind w:firstLine="3120" w:firstLineChars="1300"/>
        <w:rPr>
          <w:rFonts w:ascii="宋体" w:hAnsi="宋体"/>
          <w:color w:val="auto"/>
          <w:sz w:val="24"/>
          <w:highlight w:val="none"/>
        </w:rPr>
      </w:pPr>
      <w:r>
        <w:rPr>
          <w:rFonts w:ascii="宋体" w:hAnsi="宋体"/>
          <w:color w:val="auto"/>
          <w:sz w:val="24"/>
          <w:highlight w:val="none"/>
        </w:rPr>
        <w:t>法定代表人或其委托代理人：（签字</w:t>
      </w:r>
      <w:r>
        <w:rPr>
          <w:rFonts w:hint="eastAsia" w:ascii="宋体" w:hAnsi="宋体"/>
          <w:color w:val="auto"/>
          <w:sz w:val="24"/>
          <w:highlight w:val="none"/>
        </w:rPr>
        <w:t>或盖章</w:t>
      </w:r>
      <w:r>
        <w:rPr>
          <w:rFonts w:ascii="宋体" w:hAnsi="宋体"/>
          <w:color w:val="auto"/>
          <w:sz w:val="24"/>
          <w:highlight w:val="none"/>
        </w:rPr>
        <w:t>）</w:t>
      </w:r>
    </w:p>
    <w:p>
      <w:pPr>
        <w:pStyle w:val="11"/>
        <w:ind w:firstLine="5400"/>
        <w:rPr>
          <w:rFonts w:eastAsiaTheme="minorEastAsia"/>
          <w:color w:val="auto"/>
          <w:highlight w:val="none"/>
        </w:rPr>
      </w:pPr>
      <w:bookmarkStart w:id="300" w:name="_Toc508788700"/>
      <w:r>
        <w:rPr>
          <w:rFonts w:ascii="宋体" w:hAnsi="宋体"/>
          <w:color w:val="auto"/>
          <w:sz w:val="24"/>
          <w:highlight w:val="none"/>
        </w:rPr>
        <w:t>年月日</w:t>
      </w:r>
    </w:p>
    <w:p>
      <w:pPr>
        <w:rPr>
          <w:rFonts w:eastAsiaTheme="minorEastAsia"/>
          <w:color w:val="auto"/>
          <w:highlight w:val="none"/>
        </w:rPr>
      </w:pPr>
    </w:p>
    <w:p>
      <w:pPr>
        <w:pStyle w:val="11"/>
        <w:rPr>
          <w:rFonts w:eastAsiaTheme="minorEastAsia"/>
          <w:color w:val="auto"/>
          <w:highlight w:val="none"/>
        </w:rPr>
      </w:pPr>
    </w:p>
    <w:p>
      <w:pPr>
        <w:rPr>
          <w:rFonts w:eastAsiaTheme="minorEastAsia"/>
          <w:color w:val="auto"/>
          <w:highlight w:val="none"/>
        </w:rPr>
      </w:pPr>
    </w:p>
    <w:p>
      <w:pPr>
        <w:pStyle w:val="11"/>
        <w:rPr>
          <w:rFonts w:eastAsiaTheme="minorEastAsia"/>
          <w:color w:val="auto"/>
          <w:highlight w:val="none"/>
        </w:rPr>
      </w:pPr>
    </w:p>
    <w:p>
      <w:pPr>
        <w:rPr>
          <w:rFonts w:eastAsiaTheme="minorEastAsia"/>
          <w:color w:val="auto"/>
          <w:highlight w:val="none"/>
        </w:rPr>
      </w:pPr>
    </w:p>
    <w:p>
      <w:pPr>
        <w:pStyle w:val="11"/>
        <w:rPr>
          <w:rFonts w:eastAsiaTheme="minorEastAsia"/>
          <w:color w:val="auto"/>
          <w:highlight w:val="none"/>
        </w:rPr>
      </w:pPr>
    </w:p>
    <w:p>
      <w:pPr>
        <w:ind w:firstLine="4950"/>
        <w:rPr>
          <w:rFonts w:eastAsiaTheme="minorEastAsia"/>
          <w:color w:val="auto"/>
          <w:highlight w:val="none"/>
        </w:rPr>
      </w:pPr>
    </w:p>
    <w:bookmarkEnd w:id="300"/>
    <w:p>
      <w:pPr>
        <w:pStyle w:val="4"/>
        <w:spacing w:after="573"/>
        <w:ind w:right="215"/>
        <w:jc w:val="center"/>
        <w:rPr>
          <w:rFonts w:ascii="宋体" w:hAnsi="宋体" w:eastAsia="宋体" w:cs="宋体"/>
          <w:b/>
          <w:bCs/>
          <w:color w:val="auto"/>
          <w:highlight w:val="none"/>
        </w:rPr>
      </w:pPr>
      <w:bookmarkStart w:id="301" w:name="_Toc508788701"/>
      <w:bookmarkStart w:id="302" w:name="_Toc142406656"/>
      <w:r>
        <w:rPr>
          <w:rFonts w:hint="eastAsia" w:ascii="宋体" w:hAnsi="宋体" w:eastAsia="宋体" w:cs="宋体"/>
          <w:b/>
          <w:bCs/>
          <w:color w:val="auto"/>
          <w:sz w:val="32"/>
          <w:highlight w:val="none"/>
        </w:rPr>
        <w:t>格式二、法定代表人身份证明</w:t>
      </w:r>
      <w:bookmarkEnd w:id="301"/>
      <w:r>
        <w:rPr>
          <w:rFonts w:hint="eastAsia" w:ascii="宋体" w:hAnsi="宋体" w:eastAsia="宋体" w:cs="宋体"/>
          <w:b/>
          <w:bCs/>
          <w:color w:val="auto"/>
          <w:sz w:val="32"/>
          <w:highlight w:val="none"/>
        </w:rPr>
        <w:t xml:space="preserve"> （格式可自定）</w:t>
      </w:r>
      <w:bookmarkEnd w:id="302"/>
    </w:p>
    <w:p>
      <w:pPr>
        <w:spacing w:after="0" w:line="433" w:lineRule="auto"/>
        <w:ind w:right="8802"/>
        <w:rPr>
          <w:rFonts w:ascii="宋体" w:hAnsi="宋体" w:eastAsia="宋体" w:cs="宋体"/>
          <w:color w:val="auto"/>
          <w:highlight w:val="none"/>
        </w:rPr>
      </w:pPr>
    </w:p>
    <w:p>
      <w:pPr>
        <w:spacing w:after="145" w:line="265" w:lineRule="auto"/>
        <w:ind w:left="10"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投标人名称：                     </w:t>
      </w:r>
    </w:p>
    <w:p>
      <w:pPr>
        <w:spacing w:after="2" w:line="395" w:lineRule="auto"/>
        <w:ind w:left="218" w:right="1870" w:hanging="218" w:hangingChars="104"/>
        <w:rPr>
          <w:rFonts w:ascii="宋体" w:hAnsi="宋体" w:eastAsia="宋体" w:cs="宋体"/>
          <w:color w:val="auto"/>
          <w:highlight w:val="none"/>
        </w:rPr>
      </w:pPr>
      <w:r>
        <w:rPr>
          <w:rFonts w:hint="eastAsia" w:ascii="宋体" w:hAnsi="宋体" w:eastAsia="宋体" w:cs="宋体"/>
          <w:color w:val="auto"/>
          <w:sz w:val="21"/>
          <w:highlight w:val="none"/>
        </w:rPr>
        <w:t xml:space="preserve">姓名：         性别：      年龄：     职务：            系           （投标人名称）的法定代表人。 </w:t>
      </w:r>
    </w:p>
    <w:p>
      <w:pPr>
        <w:spacing w:after="152"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特此证明。 </w:t>
      </w:r>
    </w:p>
    <w:p>
      <w:pPr>
        <w:spacing w:after="184"/>
        <w:rPr>
          <w:rFonts w:ascii="宋体" w:hAnsi="宋体" w:eastAsia="宋体" w:cs="宋体"/>
          <w:color w:val="auto"/>
          <w:highlight w:val="none"/>
        </w:rPr>
      </w:pPr>
    </w:p>
    <w:p>
      <w:pPr>
        <w:spacing w:after="153" w:line="265" w:lineRule="auto"/>
        <w:ind w:left="10"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附：法定代表人身份证复印件。 </w:t>
      </w:r>
    </w:p>
    <w:p>
      <w:pPr>
        <w:spacing w:after="182"/>
        <w:rPr>
          <w:rFonts w:ascii="宋体" w:hAnsi="宋体" w:eastAsia="宋体" w:cs="宋体"/>
          <w:color w:val="auto"/>
          <w:highlight w:val="none"/>
        </w:rPr>
      </w:pPr>
    </w:p>
    <w:p>
      <w:pPr>
        <w:spacing w:after="155" w:line="265" w:lineRule="auto"/>
        <w:ind w:left="10"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注：本身份证明需由投标人加盖单位公章。 </w:t>
      </w:r>
    </w:p>
    <w:p>
      <w:pPr>
        <w:spacing w:after="175"/>
        <w:rPr>
          <w:rFonts w:ascii="宋体" w:hAnsi="宋体" w:eastAsia="宋体" w:cs="宋体"/>
          <w:color w:val="auto"/>
          <w:highlight w:val="none"/>
        </w:rPr>
      </w:pPr>
    </w:p>
    <w:p>
      <w:pPr>
        <w:spacing w:after="177"/>
        <w:rPr>
          <w:rFonts w:ascii="宋体" w:hAnsi="宋体" w:eastAsia="宋体" w:cs="宋体"/>
          <w:color w:val="auto"/>
          <w:highlight w:val="none"/>
        </w:rPr>
      </w:pPr>
    </w:p>
    <w:p>
      <w:pPr>
        <w:tabs>
          <w:tab w:val="center" w:pos="2956"/>
          <w:tab w:val="center" w:pos="7052"/>
        </w:tabs>
        <w:spacing w:after="151"/>
        <w:rPr>
          <w:rFonts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sz w:val="21"/>
          <w:highlight w:val="none"/>
        </w:rPr>
        <w:t xml:space="preserve">                              投标人：</w:t>
      </w:r>
      <w:r>
        <w:rPr>
          <w:rFonts w:hint="eastAsia" w:ascii="宋体" w:hAnsi="宋体" w:eastAsia="宋体" w:cs="宋体"/>
          <w:color w:val="auto"/>
          <w:sz w:val="21"/>
          <w:highlight w:val="none"/>
          <w:u w:val="single" w:color="000000"/>
        </w:rPr>
        <w:tab/>
      </w:r>
      <w:r>
        <w:rPr>
          <w:rFonts w:hint="eastAsia" w:ascii="宋体" w:hAnsi="宋体" w:eastAsia="宋体" w:cs="宋体"/>
          <w:color w:val="auto"/>
          <w:sz w:val="21"/>
          <w:highlight w:val="none"/>
        </w:rPr>
        <w:t xml:space="preserve">（盖单位章） </w:t>
      </w:r>
    </w:p>
    <w:p>
      <w:pPr>
        <w:spacing w:after="177"/>
        <w:rPr>
          <w:rFonts w:ascii="宋体" w:hAnsi="宋体" w:eastAsia="宋体" w:cs="宋体"/>
          <w:color w:val="auto"/>
          <w:highlight w:val="none"/>
        </w:rPr>
      </w:pPr>
    </w:p>
    <w:p>
      <w:pPr>
        <w:spacing w:after="151"/>
        <w:ind w:left="10" w:right="1712" w:hanging="10"/>
        <w:jc w:val="right"/>
        <w:rPr>
          <w:rFonts w:ascii="宋体" w:hAnsi="宋体" w:eastAsia="宋体" w:cs="宋体"/>
          <w:color w:val="auto"/>
          <w:highlight w:val="none"/>
        </w:rPr>
      </w:pPr>
      <w:r>
        <w:rPr>
          <w:rFonts w:hint="eastAsia" w:ascii="宋体" w:hAnsi="宋体" w:eastAsia="宋体" w:cs="宋体"/>
          <w:color w:val="auto"/>
          <w:sz w:val="21"/>
          <w:highlight w:val="none"/>
        </w:rPr>
        <w:t xml:space="preserve">年月日 </w:t>
      </w:r>
    </w:p>
    <w:p>
      <w:pPr>
        <w:spacing w:after="192"/>
        <w:rPr>
          <w:rFonts w:ascii="宋体" w:hAnsi="宋体" w:eastAsia="宋体" w:cs="宋体"/>
          <w:color w:val="auto"/>
          <w:sz w:val="20"/>
          <w:highlight w:val="none"/>
        </w:rPr>
      </w:pPr>
    </w:p>
    <w:p>
      <w:pPr>
        <w:spacing w:after="192"/>
        <w:rPr>
          <w:rFonts w:ascii="宋体" w:hAnsi="宋体" w:eastAsia="宋体" w:cs="宋体"/>
          <w:color w:val="auto"/>
          <w:sz w:val="20"/>
          <w:highlight w:val="none"/>
        </w:rPr>
      </w:pPr>
    </w:p>
    <w:p>
      <w:pPr>
        <w:spacing w:after="192"/>
        <w:rPr>
          <w:rFonts w:ascii="宋体" w:hAnsi="宋体" w:eastAsia="宋体" w:cs="宋体"/>
          <w:color w:val="auto"/>
          <w:highlight w:val="none"/>
        </w:rPr>
      </w:pPr>
      <w:r>
        <w:rPr>
          <w:rFonts w:hint="eastAsia" w:ascii="宋体" w:hAnsi="宋体"/>
          <w:color w:val="auto"/>
          <w:highlight w:val="none"/>
        </w:rPr>
        <w:t>注：联合体投标的，法定代表人身份证明书由联合体主办方出具，“投标人名称”一栏可只填写联合体主办方名称即可。</w:t>
      </w:r>
      <w:r>
        <w:rPr>
          <w:rFonts w:hint="eastAsia" w:ascii="宋体" w:hAnsi="宋体" w:eastAsia="宋体" w:cs="宋体"/>
          <w:color w:val="auto"/>
          <w:sz w:val="20"/>
          <w:highlight w:val="none"/>
        </w:rPr>
        <w:br w:type="page"/>
      </w:r>
    </w:p>
    <w:p>
      <w:pPr>
        <w:spacing w:after="0"/>
        <w:ind w:right="1604"/>
        <w:jc w:val="right"/>
        <w:rPr>
          <w:rFonts w:ascii="宋体" w:hAnsi="宋体" w:eastAsia="宋体" w:cs="宋体"/>
          <w:color w:val="auto"/>
          <w:highlight w:val="none"/>
        </w:rPr>
      </w:pPr>
      <w:r>
        <w:rPr>
          <w:rFonts w:hint="eastAsia" w:ascii="宋体" w:hAnsi="宋体" w:eastAsia="宋体" w:cs="宋体"/>
          <w:color w:val="auto"/>
          <w:sz w:val="20"/>
          <w:highlight w:val="none"/>
        </w:rPr>
        <w:tab/>
      </w:r>
    </w:p>
    <w:p>
      <w:pPr>
        <w:pStyle w:val="4"/>
        <w:spacing w:after="573"/>
        <w:ind w:right="216"/>
        <w:jc w:val="center"/>
        <w:rPr>
          <w:rFonts w:ascii="宋体" w:hAnsi="宋体" w:eastAsia="宋体" w:cs="宋体"/>
          <w:b/>
          <w:bCs/>
          <w:color w:val="auto"/>
          <w:highlight w:val="none"/>
        </w:rPr>
      </w:pPr>
      <w:bookmarkStart w:id="303" w:name="_Toc508788702"/>
      <w:bookmarkStart w:id="304" w:name="_Toc142406657"/>
      <w:r>
        <w:rPr>
          <w:rFonts w:hint="eastAsia" w:ascii="宋体" w:hAnsi="宋体" w:eastAsia="宋体" w:cs="宋体"/>
          <w:b/>
          <w:bCs/>
          <w:color w:val="auto"/>
          <w:sz w:val="32"/>
          <w:highlight w:val="none"/>
        </w:rPr>
        <w:t>格式三、授权委托书</w:t>
      </w:r>
      <w:bookmarkEnd w:id="303"/>
      <w:r>
        <w:rPr>
          <w:rFonts w:hint="eastAsia" w:ascii="宋体" w:hAnsi="宋体" w:eastAsia="宋体" w:cs="宋体"/>
          <w:b/>
          <w:bCs/>
          <w:color w:val="auto"/>
          <w:sz w:val="32"/>
          <w:highlight w:val="none"/>
        </w:rPr>
        <w:t xml:space="preserve"> （格式可自定）</w:t>
      </w:r>
      <w:bookmarkEnd w:id="304"/>
    </w:p>
    <w:p>
      <w:pPr>
        <w:spacing w:after="181"/>
        <w:rPr>
          <w:rFonts w:ascii="宋体" w:hAnsi="宋体" w:eastAsia="宋体" w:cs="宋体"/>
          <w:color w:val="auto"/>
          <w:highlight w:val="none"/>
        </w:rPr>
      </w:pPr>
    </w:p>
    <w:p>
      <w:pPr>
        <w:spacing w:after="30" w:line="369" w:lineRule="auto"/>
        <w:ind w:left="-15" w:right="197" w:firstLine="410"/>
        <w:jc w:val="both"/>
        <w:rPr>
          <w:rFonts w:ascii="宋体" w:hAnsi="宋体" w:eastAsia="宋体" w:cs="宋体"/>
          <w:color w:val="auto"/>
          <w:highlight w:val="none"/>
        </w:rPr>
      </w:pPr>
      <w:r>
        <w:rPr>
          <w:rFonts w:hint="eastAsia" w:ascii="宋体" w:hAnsi="宋体" w:eastAsia="宋体" w:cs="宋体"/>
          <w:color w:val="auto"/>
          <w:sz w:val="21"/>
          <w:highlight w:val="none"/>
        </w:rPr>
        <w:t xml:space="preserve">本人         （姓名）系             （投标人名称）的法定代表人，现委托        （姓名）为我方代理人。代理人根据授权，以我方名义签署、澄清确认、递交、撤回、修改             招标项目投标文件、签订合同和处理有关事宜，其法律后果由我方承担。 </w:t>
      </w:r>
    </w:p>
    <w:p>
      <w:pPr>
        <w:spacing w:after="149" w:line="265" w:lineRule="auto"/>
        <w:ind w:left="10"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委托期限：                     。 </w:t>
      </w:r>
    </w:p>
    <w:p>
      <w:pPr>
        <w:spacing w:after="153" w:line="265" w:lineRule="auto"/>
        <w:ind w:left="417"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代理人无转委托权。 </w:t>
      </w:r>
    </w:p>
    <w:p>
      <w:pPr>
        <w:spacing w:after="184"/>
        <w:ind w:left="420"/>
        <w:rPr>
          <w:rFonts w:ascii="宋体" w:hAnsi="宋体" w:eastAsia="宋体" w:cs="宋体"/>
          <w:color w:val="auto"/>
          <w:highlight w:val="none"/>
        </w:rPr>
      </w:pPr>
    </w:p>
    <w:p>
      <w:pPr>
        <w:spacing w:after="153" w:line="265" w:lineRule="auto"/>
        <w:ind w:left="10" w:right="103" w:hanging="10"/>
        <w:rPr>
          <w:rFonts w:ascii="宋体" w:hAnsi="宋体" w:eastAsia="宋体" w:cs="宋体"/>
          <w:color w:val="auto"/>
          <w:highlight w:val="none"/>
        </w:rPr>
      </w:pPr>
      <w:r>
        <w:rPr>
          <w:rFonts w:hint="eastAsia" w:ascii="宋体" w:hAnsi="宋体" w:eastAsia="宋体" w:cs="宋体"/>
          <w:color w:val="auto"/>
          <w:sz w:val="21"/>
          <w:highlight w:val="none"/>
        </w:rPr>
        <w:t xml:space="preserve">附：法定代表人身份证复印件及委托代理人身份证复印件 </w:t>
      </w:r>
    </w:p>
    <w:p>
      <w:pPr>
        <w:spacing w:after="182"/>
        <w:rPr>
          <w:rFonts w:ascii="宋体" w:hAnsi="宋体" w:eastAsia="宋体" w:cs="宋体"/>
          <w:color w:val="auto"/>
          <w:highlight w:val="none"/>
        </w:rPr>
      </w:pPr>
    </w:p>
    <w:p>
      <w:pPr>
        <w:spacing w:after="0" w:line="265" w:lineRule="auto"/>
        <w:ind w:left="10" w:right="103" w:hanging="10"/>
        <w:rPr>
          <w:rFonts w:ascii="宋体" w:hAnsi="宋体" w:eastAsia="宋体" w:cs="宋体"/>
          <w:color w:val="auto"/>
          <w:sz w:val="21"/>
          <w:highlight w:val="none"/>
        </w:rPr>
      </w:pPr>
      <w:r>
        <w:rPr>
          <w:rFonts w:hint="eastAsia" w:ascii="宋体" w:hAnsi="宋体" w:eastAsia="宋体" w:cs="宋体"/>
          <w:color w:val="auto"/>
          <w:sz w:val="21"/>
          <w:highlight w:val="none"/>
        </w:rPr>
        <w:t xml:space="preserve">注：本授权委托书需由投标人加盖单位公章并由其法定代表人和委托代理人签字。 </w:t>
      </w:r>
    </w:p>
    <w:p>
      <w:pPr>
        <w:spacing w:after="0" w:line="265" w:lineRule="auto"/>
        <w:ind w:left="10" w:right="103" w:hanging="10"/>
        <w:rPr>
          <w:rFonts w:ascii="宋体" w:hAnsi="宋体" w:eastAsia="宋体" w:cs="宋体"/>
          <w:color w:val="auto"/>
          <w:sz w:val="21"/>
          <w:highlight w:val="none"/>
        </w:rPr>
      </w:pPr>
    </w:p>
    <w:p>
      <w:pPr>
        <w:spacing w:after="0" w:line="265" w:lineRule="auto"/>
        <w:ind w:left="10" w:right="103" w:hanging="10"/>
        <w:rPr>
          <w:rFonts w:ascii="宋体" w:hAnsi="宋体" w:eastAsia="宋体" w:cs="宋体"/>
          <w:color w:val="auto"/>
          <w:sz w:val="21"/>
          <w:highlight w:val="none"/>
        </w:rPr>
      </w:pPr>
    </w:p>
    <w:p>
      <w:pPr>
        <w:spacing w:line="440" w:lineRule="exact"/>
        <w:ind w:right="840" w:firstLine="2100" w:firstLineChars="100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（盖单位章）</w:t>
      </w:r>
    </w:p>
    <w:p>
      <w:pPr>
        <w:spacing w:line="440" w:lineRule="exact"/>
        <w:ind w:right="420" w:firstLine="2100" w:firstLineChars="100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w:t>
      </w:r>
    </w:p>
    <w:p>
      <w:pPr>
        <w:spacing w:line="440" w:lineRule="exact"/>
        <w:ind w:right="840" w:firstLine="3990" w:firstLineChars="19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pPr>
        <w:spacing w:line="440" w:lineRule="exact"/>
        <w:ind w:right="840" w:firstLine="2100" w:firstLineChars="100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w:t>
      </w:r>
    </w:p>
    <w:p>
      <w:pPr>
        <w:spacing w:after="0" w:line="265" w:lineRule="auto"/>
        <w:ind w:left="10" w:right="1153" w:firstLine="1995" w:firstLineChars="95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身份证号码：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pPr>
        <w:spacing w:after="0" w:line="265" w:lineRule="auto"/>
        <w:ind w:left="10" w:right="103" w:hanging="10"/>
        <w:rPr>
          <w:rFonts w:ascii="宋体" w:hAnsi="宋体" w:eastAsia="宋体" w:cs="宋体"/>
          <w:color w:val="auto"/>
          <w:sz w:val="21"/>
          <w:szCs w:val="21"/>
          <w:highlight w:val="none"/>
        </w:rPr>
      </w:pPr>
    </w:p>
    <w:p>
      <w:pPr>
        <w:spacing w:after="0" w:line="265" w:lineRule="auto"/>
        <w:ind w:left="10" w:right="103" w:hanging="10"/>
        <w:rPr>
          <w:rFonts w:ascii="宋体" w:hAnsi="宋体" w:eastAsia="宋体" w:cs="宋体"/>
          <w:color w:val="auto"/>
          <w:sz w:val="21"/>
          <w:szCs w:val="21"/>
          <w:highlight w:val="none"/>
        </w:rPr>
      </w:pPr>
    </w:p>
    <w:p>
      <w:pPr>
        <w:spacing w:after="0" w:line="265" w:lineRule="auto"/>
        <w:ind w:left="10" w:right="103" w:hanging="10"/>
        <w:rPr>
          <w:rFonts w:ascii="宋体" w:hAnsi="宋体" w:eastAsia="宋体" w:cs="宋体"/>
          <w:color w:val="auto"/>
          <w:sz w:val="21"/>
          <w:szCs w:val="21"/>
          <w:highlight w:val="none"/>
        </w:rPr>
      </w:pPr>
    </w:p>
    <w:p>
      <w:pPr>
        <w:spacing w:after="0" w:line="265" w:lineRule="auto"/>
        <w:ind w:left="10" w:right="103" w:hanging="10"/>
        <w:rPr>
          <w:rFonts w:ascii="宋体" w:hAnsi="宋体" w:eastAsia="宋体" w:cs="宋体"/>
          <w:color w:val="auto"/>
          <w:sz w:val="21"/>
          <w:szCs w:val="21"/>
          <w:highlight w:val="none"/>
        </w:rPr>
      </w:pPr>
    </w:p>
    <w:p>
      <w:pPr>
        <w:wordWrap w:val="0"/>
        <w:spacing w:after="151"/>
        <w:ind w:left="10" w:right="198" w:hanging="10"/>
        <w:jc w:val="right"/>
        <w:rPr>
          <w:rFonts w:ascii="宋体" w:hAnsi="宋体" w:eastAsia="宋体" w:cs="宋体"/>
          <w:color w:val="auto"/>
          <w:highlight w:val="none"/>
        </w:rPr>
      </w:pPr>
      <w:r>
        <w:rPr>
          <w:rFonts w:hint="eastAsia" w:ascii="宋体" w:hAnsi="宋体" w:eastAsia="宋体" w:cs="宋体"/>
          <w:color w:val="auto"/>
          <w:sz w:val="21"/>
          <w:szCs w:val="21"/>
          <w:highlight w:val="none"/>
        </w:rPr>
        <w:t>年   月   日</w:t>
      </w:r>
    </w:p>
    <w:p>
      <w:pPr>
        <w:spacing w:after="0"/>
        <w:ind w:right="161"/>
        <w:jc w:val="right"/>
        <w:rPr>
          <w:rFonts w:ascii="宋体" w:hAnsi="宋体" w:eastAsia="宋体" w:cs="宋体"/>
          <w:color w:val="auto"/>
          <w:sz w:val="21"/>
          <w:highlight w:val="none"/>
        </w:rPr>
      </w:pPr>
    </w:p>
    <w:p>
      <w:pPr>
        <w:spacing w:after="0"/>
        <w:ind w:right="161"/>
        <w:jc w:val="right"/>
        <w:rPr>
          <w:rFonts w:ascii="宋体" w:hAnsi="宋体" w:eastAsia="宋体" w:cs="宋体"/>
          <w:color w:val="auto"/>
          <w:sz w:val="21"/>
          <w:highlight w:val="none"/>
        </w:rPr>
      </w:pPr>
    </w:p>
    <w:p>
      <w:pPr>
        <w:pStyle w:val="36"/>
        <w:ind w:firstLine="400" w:firstLineChars="200"/>
        <w:rPr>
          <w:rFonts w:ascii="宋体" w:hAnsi="宋体"/>
          <w:color w:val="auto"/>
          <w:highlight w:val="none"/>
        </w:rPr>
      </w:pPr>
      <w:r>
        <w:rPr>
          <w:rFonts w:hint="eastAsia" w:ascii="宋体" w:hAnsi="宋体"/>
          <w:color w:val="auto"/>
          <w:highlight w:val="none"/>
        </w:rPr>
        <w:t>注：联合体投标的，授权委托书由联合体主办方出具，“投标人名称”一栏可只填写联合体主办方名称即可。</w:t>
      </w:r>
    </w:p>
    <w:p>
      <w:pPr>
        <w:spacing w:after="0"/>
        <w:ind w:right="161"/>
        <w:jc w:val="right"/>
        <w:rPr>
          <w:rFonts w:ascii="宋体" w:hAnsi="宋体" w:eastAsia="宋体" w:cs="宋体"/>
          <w:b/>
          <w:bCs/>
          <w:color w:val="auto"/>
          <w:highlight w:val="none"/>
        </w:rPr>
      </w:pPr>
      <w:r>
        <w:rPr>
          <w:rFonts w:hint="eastAsia" w:ascii="宋体" w:hAnsi="宋体" w:eastAsia="宋体" w:cs="宋体"/>
          <w:color w:val="auto"/>
          <w:sz w:val="21"/>
          <w:highlight w:val="none"/>
        </w:rPr>
        <w:br w:type="page"/>
      </w:r>
    </w:p>
    <w:p>
      <w:pPr>
        <w:spacing w:after="175"/>
        <w:ind w:right="161"/>
        <w:jc w:val="right"/>
        <w:rPr>
          <w:rFonts w:ascii="宋体" w:hAnsi="宋体" w:eastAsia="宋体" w:cs="宋体"/>
          <w:color w:val="auto"/>
          <w:highlight w:val="none"/>
        </w:rPr>
      </w:pPr>
    </w:p>
    <w:p>
      <w:pPr>
        <w:spacing w:after="7"/>
        <w:ind w:left="420"/>
        <w:rPr>
          <w:rFonts w:hint="eastAsia" w:ascii="宋体" w:hAnsi="宋体" w:eastAsia="宋体" w:cs="宋体"/>
          <w:b/>
          <w:bCs/>
          <w:color w:val="auto"/>
          <w:kern w:val="0"/>
          <w:sz w:val="32"/>
          <w:szCs w:val="20"/>
          <w:highlight w:val="none"/>
        </w:rPr>
      </w:pPr>
      <w:bookmarkStart w:id="305" w:name="_Toc508788706"/>
      <w:r>
        <w:rPr>
          <w:rFonts w:hint="eastAsia" w:ascii="宋体" w:hAnsi="宋体" w:eastAsia="宋体" w:cs="宋体"/>
          <w:b/>
          <w:bCs/>
          <w:color w:val="auto"/>
          <w:kern w:val="0"/>
          <w:sz w:val="32"/>
          <w:szCs w:val="20"/>
          <w:highlight w:val="none"/>
        </w:rPr>
        <w:t>格式四、资格审查资料（格式自定）</w:t>
      </w:r>
    </w:p>
    <w:p>
      <w:pPr>
        <w:pStyle w:val="2"/>
        <w:rPr>
          <w:rFonts w:hint="eastAsia" w:ascii="宋体" w:hAnsi="宋体" w:eastAsia="宋体" w:cs="宋体"/>
          <w:b/>
          <w:bCs/>
          <w:color w:val="auto"/>
          <w:kern w:val="0"/>
          <w:sz w:val="32"/>
          <w:szCs w:val="20"/>
          <w:highlight w:val="none"/>
        </w:rPr>
      </w:pPr>
    </w:p>
    <w:p>
      <w:pPr>
        <w:pStyle w:val="2"/>
        <w:rPr>
          <w:rFonts w:hint="eastAsia" w:ascii="宋体" w:hAnsi="宋体" w:eastAsia="宋体" w:cs="宋体"/>
          <w:b/>
          <w:bCs/>
          <w:color w:val="auto"/>
          <w:kern w:val="0"/>
          <w:sz w:val="32"/>
          <w:szCs w:val="20"/>
          <w:highlight w:val="none"/>
        </w:rPr>
      </w:pPr>
    </w:p>
    <w:p>
      <w:pPr>
        <w:rPr>
          <w:rFonts w:ascii="宋体" w:hAnsi="宋体" w:cs="宋体"/>
          <w:color w:val="auto"/>
          <w:sz w:val="32"/>
          <w:highlight w:val="none"/>
        </w:rPr>
      </w:pPr>
      <w:r>
        <w:rPr>
          <w:rFonts w:ascii="宋体" w:hAnsi="宋体" w:cs="宋体"/>
          <w:color w:val="auto"/>
          <w:sz w:val="32"/>
          <w:highlight w:val="none"/>
        </w:rPr>
        <w:br w:type="page"/>
      </w:r>
    </w:p>
    <w:p>
      <w:pPr>
        <w:pStyle w:val="4"/>
        <w:spacing w:after="269"/>
        <w:ind w:right="220"/>
        <w:jc w:val="center"/>
        <w:rPr>
          <w:rFonts w:ascii="宋体" w:hAnsi="宋体" w:eastAsia="宋体" w:cs="宋体"/>
          <w:b/>
          <w:bCs/>
          <w:color w:val="auto"/>
          <w:highlight w:val="none"/>
        </w:rPr>
      </w:pPr>
      <w:bookmarkStart w:id="306" w:name="_Toc142406660"/>
      <w:r>
        <w:rPr>
          <w:rFonts w:hint="eastAsia" w:ascii="宋体" w:hAnsi="宋体" w:eastAsia="宋体" w:cs="宋体"/>
          <w:b/>
          <w:bCs/>
          <w:color w:val="auto"/>
          <w:sz w:val="32"/>
          <w:highlight w:val="none"/>
        </w:rPr>
        <w:t>格式</w:t>
      </w:r>
      <w:r>
        <w:rPr>
          <w:rFonts w:hint="eastAsia" w:ascii="宋体" w:hAnsi="宋体" w:eastAsia="宋体" w:cs="宋体"/>
          <w:b/>
          <w:bCs/>
          <w:color w:val="auto"/>
          <w:sz w:val="32"/>
          <w:highlight w:val="none"/>
          <w:lang w:val="en-US" w:eastAsia="zh-CN"/>
        </w:rPr>
        <w:t>五</w:t>
      </w:r>
      <w:r>
        <w:rPr>
          <w:rFonts w:hint="eastAsia" w:ascii="宋体" w:hAnsi="宋体" w:eastAsia="宋体" w:cs="宋体"/>
          <w:b/>
          <w:bCs/>
          <w:color w:val="auto"/>
          <w:sz w:val="32"/>
          <w:highlight w:val="none"/>
        </w:rPr>
        <w:t>、资信业绩资料</w:t>
      </w:r>
      <w:bookmarkEnd w:id="305"/>
      <w:bookmarkEnd w:id="306"/>
    </w:p>
    <w:p>
      <w:pPr>
        <w:pStyle w:val="4"/>
        <w:jc w:val="center"/>
        <w:rPr>
          <w:rFonts w:hint="eastAsia" w:ascii="宋体" w:hAnsi="宋体" w:eastAsia="宋体" w:cs="宋体"/>
          <w:color w:val="auto"/>
          <w:highlight w:val="none"/>
        </w:rPr>
      </w:pPr>
      <w:bookmarkStart w:id="307" w:name="_Toc508788707"/>
      <w:bookmarkStart w:id="308" w:name="_Toc142406661"/>
      <w:r>
        <w:rPr>
          <w:rFonts w:hint="eastAsia" w:ascii="宋体" w:hAnsi="宋体" w:eastAsia="宋体" w:cs="宋体"/>
          <w:color w:val="auto"/>
          <w:highlight w:val="none"/>
        </w:rPr>
        <w:t>投标单位情况介绍</w:t>
      </w:r>
    </w:p>
    <w:p>
      <w:pPr>
        <w:pStyle w:val="20"/>
        <w:spacing w:line="360" w:lineRule="auto"/>
        <w:jc w:val="center"/>
        <w:rPr>
          <w:rFonts w:hint="eastAsia" w:hAnsi="宋体" w:cs="宋体"/>
          <w:b/>
          <w:color w:val="auto"/>
          <w:sz w:val="24"/>
          <w:highlight w:val="none"/>
        </w:rPr>
      </w:pPr>
      <w:r>
        <w:rPr>
          <w:rFonts w:hint="eastAsia" w:hAnsi="宋体" w:cs="宋体"/>
          <w:b/>
          <w:color w:val="auto"/>
          <w:sz w:val="24"/>
          <w:highlight w:val="none"/>
          <w:lang w:val="en-US" w:eastAsia="zh-CN"/>
        </w:rPr>
        <w:t>表1：</w:t>
      </w:r>
      <w:r>
        <w:rPr>
          <w:rFonts w:hint="eastAsia" w:hAnsi="宋体" w:cs="宋体"/>
          <w:b/>
          <w:color w:val="auto"/>
          <w:sz w:val="24"/>
          <w:highlight w:val="none"/>
        </w:rPr>
        <w:t>一般情况表</w:t>
      </w:r>
    </w:p>
    <w:tbl>
      <w:tblPr>
        <w:tblStyle w:val="38"/>
        <w:tblW w:w="928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802"/>
        <w:gridCol w:w="618"/>
        <w:gridCol w:w="1244"/>
        <w:gridCol w:w="478"/>
        <w:gridCol w:w="766"/>
        <w:gridCol w:w="352"/>
        <w:gridCol w:w="1402"/>
        <w:gridCol w:w="226"/>
        <w:gridCol w:w="540"/>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9288" w:type="dxa"/>
            <w:gridSpan w:val="11"/>
            <w:noWrap w:val="0"/>
            <w:vAlign w:val="center"/>
          </w:tcPr>
          <w:p>
            <w:pPr>
              <w:ind w:firstLine="4244" w:firstLineChars="1928"/>
              <w:rPr>
                <w:rFonts w:hint="eastAsia" w:ascii="宋体" w:hAnsi="宋体" w:cs="宋体"/>
                <w:b/>
                <w:color w:val="auto"/>
                <w:highlight w:val="none"/>
              </w:rPr>
            </w:pPr>
            <w:r>
              <w:rPr>
                <w:rFonts w:hint="eastAsia" w:ascii="宋体" w:hAnsi="宋体" w:cs="宋体"/>
                <w:b/>
                <w:color w:val="auto"/>
                <w:highlight w:val="none"/>
              </w:rPr>
              <w:t>1、简   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jc w:val="center"/>
        </w:trPr>
        <w:tc>
          <w:tcPr>
            <w:tcW w:w="142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单位名称</w:t>
            </w:r>
          </w:p>
        </w:tc>
        <w:tc>
          <w:tcPr>
            <w:tcW w:w="7868" w:type="dxa"/>
            <w:gridSpan w:val="10"/>
            <w:noWrap w:val="0"/>
            <w:vAlign w:val="center"/>
          </w:tcPr>
          <w:p>
            <w:pPr>
              <w:ind w:firstLine="420"/>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jc w:val="center"/>
        </w:trPr>
        <w:tc>
          <w:tcPr>
            <w:tcW w:w="142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具备资质</w:t>
            </w:r>
          </w:p>
        </w:tc>
        <w:tc>
          <w:tcPr>
            <w:tcW w:w="4260" w:type="dxa"/>
            <w:gridSpan w:val="6"/>
            <w:noWrap w:val="0"/>
            <w:vAlign w:val="center"/>
          </w:tcPr>
          <w:p>
            <w:pPr>
              <w:jc w:val="center"/>
              <w:rPr>
                <w:rFonts w:hint="eastAsia" w:ascii="宋体" w:hAnsi="宋体" w:cs="宋体"/>
                <w:color w:val="auto"/>
                <w:highlight w:val="none"/>
              </w:rPr>
            </w:pPr>
          </w:p>
        </w:tc>
        <w:tc>
          <w:tcPr>
            <w:tcW w:w="2168" w:type="dxa"/>
            <w:gridSpan w:val="3"/>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证书编号</w:t>
            </w:r>
          </w:p>
        </w:tc>
        <w:tc>
          <w:tcPr>
            <w:tcW w:w="1440" w:type="dxa"/>
            <w:noWrap w:val="0"/>
            <w:vAlign w:val="center"/>
          </w:tcPr>
          <w:p>
            <w:pPr>
              <w:ind w:firstLine="420"/>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9288" w:type="dxa"/>
            <w:gridSpan w:val="11"/>
            <w:noWrap w:val="0"/>
            <w:vAlign w:val="center"/>
          </w:tcPr>
          <w:p>
            <w:pPr>
              <w:jc w:val="center"/>
              <w:rPr>
                <w:rFonts w:hint="eastAsia" w:ascii="宋体" w:hAnsi="宋体" w:cs="宋体"/>
                <w:b/>
                <w:color w:val="auto"/>
                <w:highlight w:val="none"/>
              </w:rPr>
            </w:pPr>
            <w:r>
              <w:rPr>
                <w:rFonts w:hint="eastAsia" w:ascii="宋体" w:hAnsi="宋体" w:cs="宋体"/>
                <w:b/>
                <w:color w:val="auto"/>
                <w:highlight w:val="none"/>
              </w:rPr>
              <w:t>2、人员架构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142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职工总数</w:t>
            </w:r>
          </w:p>
        </w:tc>
        <w:tc>
          <w:tcPr>
            <w:tcW w:w="1420" w:type="dxa"/>
            <w:gridSpan w:val="2"/>
            <w:noWrap w:val="0"/>
            <w:vAlign w:val="center"/>
          </w:tcPr>
          <w:p>
            <w:pPr>
              <w:jc w:val="center"/>
              <w:rPr>
                <w:rFonts w:hint="eastAsia" w:ascii="宋体" w:hAnsi="宋体" w:cs="宋体"/>
                <w:color w:val="auto"/>
                <w:highlight w:val="none"/>
              </w:rPr>
            </w:pPr>
          </w:p>
        </w:tc>
        <w:tc>
          <w:tcPr>
            <w:tcW w:w="1244"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专业人数</w:t>
            </w:r>
          </w:p>
        </w:tc>
        <w:tc>
          <w:tcPr>
            <w:tcW w:w="1244" w:type="dxa"/>
            <w:gridSpan w:val="2"/>
            <w:noWrap w:val="0"/>
            <w:vAlign w:val="center"/>
          </w:tcPr>
          <w:p>
            <w:pPr>
              <w:jc w:val="center"/>
              <w:rPr>
                <w:rFonts w:hint="eastAsia" w:ascii="宋体" w:hAnsi="宋体" w:cs="宋体"/>
                <w:color w:val="auto"/>
                <w:highlight w:val="none"/>
              </w:rPr>
            </w:pPr>
          </w:p>
        </w:tc>
        <w:tc>
          <w:tcPr>
            <w:tcW w:w="1980" w:type="dxa"/>
            <w:gridSpan w:val="3"/>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中级以上职称人数</w:t>
            </w:r>
          </w:p>
        </w:tc>
        <w:tc>
          <w:tcPr>
            <w:tcW w:w="1980" w:type="dxa"/>
            <w:gridSpan w:val="2"/>
            <w:noWrap w:val="0"/>
            <w:vAlign w:val="center"/>
          </w:tcPr>
          <w:p>
            <w:pPr>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8" w:hRule="atLeast"/>
          <w:jc w:val="center"/>
        </w:trPr>
        <w:tc>
          <w:tcPr>
            <w:tcW w:w="2840" w:type="dxa"/>
            <w:gridSpan w:val="3"/>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从事监测工作</w:t>
            </w:r>
          </w:p>
          <w:p>
            <w:pPr>
              <w:jc w:val="center"/>
              <w:rPr>
                <w:rFonts w:hint="eastAsia" w:ascii="宋体" w:hAnsi="宋体" w:cs="宋体"/>
                <w:color w:val="auto"/>
                <w:highlight w:val="none"/>
              </w:rPr>
            </w:pPr>
            <w:r>
              <w:rPr>
                <w:rFonts w:hint="eastAsia" w:ascii="宋体" w:hAnsi="宋体" w:cs="宋体"/>
                <w:color w:val="auto"/>
                <w:highlight w:val="none"/>
              </w:rPr>
              <w:t>10年以上人数</w:t>
            </w:r>
          </w:p>
        </w:tc>
        <w:tc>
          <w:tcPr>
            <w:tcW w:w="2488" w:type="dxa"/>
            <w:gridSpan w:val="3"/>
            <w:noWrap w:val="0"/>
            <w:vAlign w:val="center"/>
          </w:tcPr>
          <w:p>
            <w:pPr>
              <w:jc w:val="center"/>
              <w:rPr>
                <w:rFonts w:hint="eastAsia" w:ascii="宋体" w:hAnsi="宋体" w:cs="宋体"/>
                <w:color w:val="auto"/>
                <w:highlight w:val="none"/>
              </w:rPr>
            </w:pPr>
          </w:p>
        </w:tc>
        <w:tc>
          <w:tcPr>
            <w:tcW w:w="1980" w:type="dxa"/>
            <w:gridSpan w:val="3"/>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从事监测工作3-10年人数</w:t>
            </w:r>
          </w:p>
        </w:tc>
        <w:tc>
          <w:tcPr>
            <w:tcW w:w="1980" w:type="dxa"/>
            <w:gridSpan w:val="2"/>
            <w:noWrap w:val="0"/>
            <w:vAlign w:val="center"/>
          </w:tcPr>
          <w:p>
            <w:pPr>
              <w:ind w:firstLine="480"/>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29" w:hRule="atLeast"/>
          <w:jc w:val="center"/>
        </w:trPr>
        <w:tc>
          <w:tcPr>
            <w:tcW w:w="9288" w:type="dxa"/>
            <w:gridSpan w:val="11"/>
            <w:noWrap w:val="0"/>
            <w:vAlign w:val="center"/>
          </w:tcPr>
          <w:p>
            <w:pPr>
              <w:jc w:val="center"/>
              <w:rPr>
                <w:rFonts w:hint="eastAsia" w:ascii="宋体" w:hAnsi="宋体" w:cs="宋体"/>
                <w:b/>
                <w:color w:val="auto"/>
                <w:highlight w:val="none"/>
              </w:rPr>
            </w:pPr>
            <w:r>
              <w:rPr>
                <w:rFonts w:hint="eastAsia" w:ascii="宋体" w:hAnsi="宋体" w:cs="宋体"/>
                <w:b/>
                <w:color w:val="auto"/>
                <w:highlight w:val="none"/>
              </w:rPr>
              <w:t>3、领导人名单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88" w:hRule="atLeast"/>
          <w:jc w:val="center"/>
        </w:trPr>
        <w:tc>
          <w:tcPr>
            <w:tcW w:w="2222"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职务</w:t>
            </w:r>
          </w:p>
        </w:tc>
        <w:tc>
          <w:tcPr>
            <w:tcW w:w="2340" w:type="dxa"/>
            <w:gridSpan w:val="3"/>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姓名</w:t>
            </w:r>
          </w:p>
        </w:tc>
        <w:tc>
          <w:tcPr>
            <w:tcW w:w="2520" w:type="dxa"/>
            <w:gridSpan w:val="3"/>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职称</w:t>
            </w:r>
          </w:p>
        </w:tc>
        <w:tc>
          <w:tcPr>
            <w:tcW w:w="2206" w:type="dxa"/>
            <w:gridSpan w:val="3"/>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从事岗位业务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222" w:type="dxa"/>
            <w:gridSpan w:val="2"/>
            <w:noWrap w:val="0"/>
            <w:vAlign w:val="top"/>
          </w:tcPr>
          <w:p>
            <w:pPr>
              <w:ind w:firstLine="480"/>
              <w:rPr>
                <w:rFonts w:hint="eastAsia" w:ascii="宋体" w:hAnsi="宋体" w:cs="宋体"/>
                <w:color w:val="auto"/>
                <w:highlight w:val="none"/>
              </w:rPr>
            </w:pPr>
          </w:p>
        </w:tc>
        <w:tc>
          <w:tcPr>
            <w:tcW w:w="2340" w:type="dxa"/>
            <w:gridSpan w:val="3"/>
            <w:noWrap w:val="0"/>
            <w:vAlign w:val="top"/>
          </w:tcPr>
          <w:p>
            <w:pPr>
              <w:ind w:firstLine="480"/>
              <w:rPr>
                <w:rFonts w:hint="eastAsia" w:ascii="宋体" w:hAnsi="宋体" w:cs="宋体"/>
                <w:color w:val="auto"/>
                <w:highlight w:val="none"/>
              </w:rPr>
            </w:pPr>
          </w:p>
        </w:tc>
        <w:tc>
          <w:tcPr>
            <w:tcW w:w="2520" w:type="dxa"/>
            <w:gridSpan w:val="3"/>
            <w:noWrap w:val="0"/>
            <w:vAlign w:val="top"/>
          </w:tcPr>
          <w:p>
            <w:pPr>
              <w:ind w:firstLine="480"/>
              <w:rPr>
                <w:rFonts w:hint="eastAsia" w:ascii="宋体" w:hAnsi="宋体" w:cs="宋体"/>
                <w:color w:val="auto"/>
                <w:highlight w:val="none"/>
              </w:rPr>
            </w:pPr>
          </w:p>
        </w:tc>
        <w:tc>
          <w:tcPr>
            <w:tcW w:w="2206" w:type="dxa"/>
            <w:gridSpan w:val="3"/>
            <w:noWrap w:val="0"/>
            <w:vAlign w:val="top"/>
          </w:tcPr>
          <w:p>
            <w:pPr>
              <w:ind w:firstLine="480"/>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2222" w:type="dxa"/>
            <w:gridSpan w:val="2"/>
            <w:noWrap w:val="0"/>
            <w:vAlign w:val="top"/>
          </w:tcPr>
          <w:p>
            <w:pPr>
              <w:ind w:firstLine="480"/>
              <w:rPr>
                <w:rFonts w:hint="eastAsia" w:ascii="宋体" w:hAnsi="宋体" w:cs="宋体"/>
                <w:color w:val="auto"/>
                <w:highlight w:val="none"/>
              </w:rPr>
            </w:pPr>
          </w:p>
        </w:tc>
        <w:tc>
          <w:tcPr>
            <w:tcW w:w="2340" w:type="dxa"/>
            <w:gridSpan w:val="3"/>
            <w:noWrap w:val="0"/>
            <w:vAlign w:val="top"/>
          </w:tcPr>
          <w:p>
            <w:pPr>
              <w:ind w:firstLine="480"/>
              <w:rPr>
                <w:rFonts w:hint="eastAsia" w:ascii="宋体" w:hAnsi="宋体" w:cs="宋体"/>
                <w:color w:val="auto"/>
                <w:highlight w:val="none"/>
              </w:rPr>
            </w:pPr>
          </w:p>
        </w:tc>
        <w:tc>
          <w:tcPr>
            <w:tcW w:w="2520" w:type="dxa"/>
            <w:gridSpan w:val="3"/>
            <w:noWrap w:val="0"/>
            <w:vAlign w:val="top"/>
          </w:tcPr>
          <w:p>
            <w:pPr>
              <w:ind w:firstLine="480"/>
              <w:rPr>
                <w:rFonts w:hint="eastAsia" w:ascii="宋体" w:hAnsi="宋体" w:cs="宋体"/>
                <w:color w:val="auto"/>
                <w:highlight w:val="none"/>
              </w:rPr>
            </w:pPr>
          </w:p>
        </w:tc>
        <w:tc>
          <w:tcPr>
            <w:tcW w:w="2206" w:type="dxa"/>
            <w:gridSpan w:val="3"/>
            <w:noWrap w:val="0"/>
            <w:vAlign w:val="top"/>
          </w:tcPr>
          <w:p>
            <w:pPr>
              <w:ind w:firstLine="480"/>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9288" w:type="dxa"/>
            <w:gridSpan w:val="11"/>
            <w:noWrap w:val="0"/>
            <w:vAlign w:val="center"/>
          </w:tcPr>
          <w:p>
            <w:pPr>
              <w:ind w:firstLine="4191" w:firstLineChars="1904"/>
              <w:rPr>
                <w:rFonts w:hint="eastAsia" w:ascii="宋体" w:hAnsi="宋体" w:cs="宋体"/>
                <w:b/>
                <w:color w:val="auto"/>
                <w:highlight w:val="none"/>
              </w:rPr>
            </w:pPr>
            <w:r>
              <w:rPr>
                <w:rFonts w:hint="eastAsia" w:ascii="宋体" w:hAnsi="宋体" w:cs="宋体"/>
                <w:b/>
                <w:color w:val="auto"/>
                <w:highlight w:val="none"/>
              </w:rPr>
              <w:t>4、联系方式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2222" w:type="dxa"/>
            <w:gridSpan w:val="2"/>
            <w:noWrap w:val="0"/>
            <w:vAlign w:val="center"/>
          </w:tcPr>
          <w:p>
            <w:pPr>
              <w:ind w:firstLine="480"/>
              <w:jc w:val="center"/>
              <w:rPr>
                <w:rFonts w:hint="eastAsia" w:ascii="宋体" w:hAnsi="宋体" w:cs="宋体"/>
                <w:color w:val="auto"/>
                <w:highlight w:val="none"/>
              </w:rPr>
            </w:pPr>
            <w:r>
              <w:rPr>
                <w:rFonts w:hint="eastAsia" w:ascii="宋体" w:hAnsi="宋体" w:cs="宋体"/>
                <w:color w:val="auto"/>
                <w:highlight w:val="none"/>
              </w:rPr>
              <w:t>联系人</w:t>
            </w:r>
          </w:p>
        </w:tc>
        <w:tc>
          <w:tcPr>
            <w:tcW w:w="2340" w:type="dxa"/>
            <w:gridSpan w:val="3"/>
            <w:noWrap w:val="0"/>
            <w:vAlign w:val="center"/>
          </w:tcPr>
          <w:p>
            <w:pPr>
              <w:ind w:firstLine="480"/>
              <w:jc w:val="center"/>
              <w:rPr>
                <w:rFonts w:hint="eastAsia" w:ascii="宋体" w:hAnsi="宋体" w:cs="宋体"/>
                <w:color w:val="auto"/>
                <w:highlight w:val="none"/>
              </w:rPr>
            </w:pPr>
            <w:r>
              <w:rPr>
                <w:rFonts w:hint="eastAsia" w:ascii="宋体" w:hAnsi="宋体" w:cs="宋体"/>
                <w:color w:val="auto"/>
                <w:highlight w:val="none"/>
              </w:rPr>
              <w:t>电话</w:t>
            </w:r>
          </w:p>
        </w:tc>
        <w:tc>
          <w:tcPr>
            <w:tcW w:w="2520" w:type="dxa"/>
            <w:gridSpan w:val="3"/>
            <w:noWrap w:val="0"/>
            <w:vAlign w:val="center"/>
          </w:tcPr>
          <w:p>
            <w:pPr>
              <w:ind w:firstLine="480"/>
              <w:jc w:val="center"/>
              <w:rPr>
                <w:rFonts w:hint="eastAsia" w:ascii="宋体" w:hAnsi="宋体" w:cs="宋体"/>
                <w:color w:val="auto"/>
                <w:highlight w:val="none"/>
              </w:rPr>
            </w:pPr>
            <w:r>
              <w:rPr>
                <w:rFonts w:hint="eastAsia" w:ascii="宋体" w:hAnsi="宋体" w:cs="宋体"/>
                <w:color w:val="auto"/>
                <w:highlight w:val="none"/>
              </w:rPr>
              <w:t>手机</w:t>
            </w:r>
          </w:p>
        </w:tc>
        <w:tc>
          <w:tcPr>
            <w:tcW w:w="2206" w:type="dxa"/>
            <w:gridSpan w:val="3"/>
            <w:noWrap w:val="0"/>
            <w:vAlign w:val="center"/>
          </w:tcPr>
          <w:p>
            <w:pPr>
              <w:ind w:firstLine="480"/>
              <w:jc w:val="center"/>
              <w:rPr>
                <w:rFonts w:hint="eastAsia" w:ascii="宋体" w:hAnsi="宋体" w:cs="宋体"/>
                <w:color w:val="auto"/>
                <w:highlight w:val="none"/>
              </w:rPr>
            </w:pPr>
            <w:r>
              <w:rPr>
                <w:rFonts w:hint="eastAsia" w:ascii="宋体" w:hAnsi="宋体" w:cs="宋体"/>
                <w:color w:val="auto"/>
                <w:highlight w:val="none"/>
              </w:rPr>
              <w:t>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2222" w:type="dxa"/>
            <w:gridSpan w:val="2"/>
            <w:noWrap w:val="0"/>
            <w:vAlign w:val="top"/>
          </w:tcPr>
          <w:p>
            <w:pPr>
              <w:ind w:firstLine="480"/>
              <w:rPr>
                <w:rFonts w:hint="eastAsia" w:ascii="宋体" w:hAnsi="宋体" w:cs="宋体"/>
                <w:color w:val="auto"/>
                <w:highlight w:val="none"/>
              </w:rPr>
            </w:pPr>
          </w:p>
        </w:tc>
        <w:tc>
          <w:tcPr>
            <w:tcW w:w="2340" w:type="dxa"/>
            <w:gridSpan w:val="3"/>
            <w:noWrap w:val="0"/>
            <w:vAlign w:val="top"/>
          </w:tcPr>
          <w:p>
            <w:pPr>
              <w:ind w:firstLine="480"/>
              <w:rPr>
                <w:rFonts w:hint="eastAsia" w:ascii="宋体" w:hAnsi="宋体" w:cs="宋体"/>
                <w:color w:val="auto"/>
                <w:highlight w:val="none"/>
              </w:rPr>
            </w:pPr>
          </w:p>
        </w:tc>
        <w:tc>
          <w:tcPr>
            <w:tcW w:w="2520" w:type="dxa"/>
            <w:gridSpan w:val="3"/>
            <w:noWrap w:val="0"/>
            <w:vAlign w:val="top"/>
          </w:tcPr>
          <w:p>
            <w:pPr>
              <w:ind w:firstLine="480"/>
              <w:rPr>
                <w:rFonts w:hint="eastAsia" w:ascii="宋体" w:hAnsi="宋体" w:cs="宋体"/>
                <w:color w:val="auto"/>
                <w:highlight w:val="none"/>
              </w:rPr>
            </w:pPr>
          </w:p>
        </w:tc>
        <w:tc>
          <w:tcPr>
            <w:tcW w:w="2206" w:type="dxa"/>
            <w:gridSpan w:val="3"/>
            <w:noWrap w:val="0"/>
            <w:vAlign w:val="top"/>
          </w:tcPr>
          <w:p>
            <w:pPr>
              <w:ind w:firstLine="480"/>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2222" w:type="dxa"/>
            <w:gridSpan w:val="2"/>
            <w:noWrap w:val="0"/>
            <w:vAlign w:val="top"/>
          </w:tcPr>
          <w:p>
            <w:pPr>
              <w:ind w:firstLine="480"/>
              <w:rPr>
                <w:rFonts w:hint="eastAsia" w:ascii="宋体" w:hAnsi="宋体" w:cs="宋体"/>
                <w:color w:val="auto"/>
                <w:highlight w:val="none"/>
              </w:rPr>
            </w:pPr>
          </w:p>
        </w:tc>
        <w:tc>
          <w:tcPr>
            <w:tcW w:w="2340" w:type="dxa"/>
            <w:gridSpan w:val="3"/>
            <w:noWrap w:val="0"/>
            <w:vAlign w:val="top"/>
          </w:tcPr>
          <w:p>
            <w:pPr>
              <w:ind w:firstLine="480"/>
              <w:rPr>
                <w:rFonts w:hint="eastAsia" w:ascii="宋体" w:hAnsi="宋体" w:cs="宋体"/>
                <w:color w:val="auto"/>
                <w:highlight w:val="none"/>
              </w:rPr>
            </w:pPr>
          </w:p>
        </w:tc>
        <w:tc>
          <w:tcPr>
            <w:tcW w:w="2520" w:type="dxa"/>
            <w:gridSpan w:val="3"/>
            <w:noWrap w:val="0"/>
            <w:vAlign w:val="top"/>
          </w:tcPr>
          <w:p>
            <w:pPr>
              <w:ind w:firstLine="480"/>
              <w:rPr>
                <w:rFonts w:hint="eastAsia" w:ascii="宋体" w:hAnsi="宋体" w:cs="宋体"/>
                <w:color w:val="auto"/>
                <w:highlight w:val="none"/>
              </w:rPr>
            </w:pPr>
          </w:p>
        </w:tc>
        <w:tc>
          <w:tcPr>
            <w:tcW w:w="2206" w:type="dxa"/>
            <w:gridSpan w:val="3"/>
            <w:noWrap w:val="0"/>
            <w:vAlign w:val="top"/>
          </w:tcPr>
          <w:p>
            <w:pPr>
              <w:ind w:firstLine="480"/>
              <w:rPr>
                <w:rFonts w:hint="eastAsia" w:ascii="宋体" w:hAnsi="宋体" w:cs="宋体"/>
                <w:color w:val="auto"/>
                <w:highlight w:val="none"/>
              </w:rPr>
            </w:pPr>
          </w:p>
        </w:tc>
      </w:tr>
    </w:tbl>
    <w:p>
      <w:pPr>
        <w:spacing w:line="360" w:lineRule="auto"/>
        <w:ind w:firstLine="440" w:firstLineChars="200"/>
        <w:rPr>
          <w:rFonts w:hint="eastAsia" w:ascii="宋体" w:hAnsi="宋体" w:cs="宋体"/>
          <w:b/>
          <w:color w:val="auto"/>
          <w:highlight w:val="none"/>
          <w:u w:val="single"/>
        </w:rPr>
      </w:pPr>
      <w:r>
        <w:rPr>
          <w:rFonts w:hint="eastAsia" w:ascii="宋体" w:hAnsi="宋体" w:cs="宋体"/>
          <w:b/>
          <w:color w:val="auto"/>
          <w:highlight w:val="none"/>
          <w:u w:val="single"/>
        </w:rPr>
        <w:t>注：1、联系人栏应填写两个人的联系方式以便联系。</w:t>
      </w:r>
    </w:p>
    <w:p>
      <w:pPr>
        <w:pStyle w:val="20"/>
        <w:adjustRightInd w:val="0"/>
        <w:snapToGrid w:val="0"/>
        <w:spacing w:line="360" w:lineRule="auto"/>
        <w:jc w:val="center"/>
        <w:rPr>
          <w:rFonts w:hint="eastAsia" w:hAnsi="宋体" w:cs="宋体"/>
          <w:b/>
          <w:color w:val="auto"/>
          <w:sz w:val="24"/>
          <w:highlight w:val="none"/>
        </w:rPr>
      </w:pPr>
      <w:r>
        <w:rPr>
          <w:rFonts w:hint="eastAsia" w:hAnsi="宋体" w:cs="宋体"/>
          <w:b/>
          <w:color w:val="auto"/>
          <w:sz w:val="24"/>
          <w:highlight w:val="none"/>
        </w:rPr>
        <w:br w:type="page"/>
      </w:r>
      <w:r>
        <w:rPr>
          <w:rFonts w:hint="eastAsia" w:hAnsi="宋体" w:cs="宋体"/>
          <w:b/>
          <w:color w:val="auto"/>
          <w:sz w:val="24"/>
          <w:highlight w:val="none"/>
          <w:lang w:val="en-US" w:eastAsia="zh-CN"/>
        </w:rPr>
        <w:t>表2：</w:t>
      </w:r>
      <w:r>
        <w:rPr>
          <w:rFonts w:hint="eastAsia" w:hAnsi="宋体" w:cs="宋体"/>
          <w:b/>
          <w:color w:val="auto"/>
          <w:sz w:val="24"/>
          <w:highlight w:val="none"/>
        </w:rPr>
        <w:t>投标单位简历表</w:t>
      </w:r>
    </w:p>
    <w:tbl>
      <w:tblPr>
        <w:tblStyle w:val="38"/>
        <w:tblW w:w="91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6" w:hRule="atLeast"/>
          <w:jc w:val="center"/>
        </w:trPr>
        <w:tc>
          <w:tcPr>
            <w:tcW w:w="9135" w:type="dxa"/>
            <w:tcBorders>
              <w:bottom w:val="single" w:color="auto" w:sz="4" w:space="0"/>
            </w:tcBorders>
            <w:noWrap w:val="0"/>
            <w:vAlign w:val="top"/>
          </w:tcPr>
          <w:p>
            <w:pPr>
              <w:rPr>
                <w:rFonts w:hint="eastAsia" w:ascii="宋体" w:hAnsi="宋体" w:cs="宋体"/>
                <w:b/>
                <w:color w:val="auto"/>
                <w:highlight w:val="none"/>
              </w:rPr>
            </w:pPr>
          </w:p>
          <w:p>
            <w:pPr>
              <w:rPr>
                <w:rFonts w:hint="eastAsia" w:ascii="宋体" w:hAnsi="宋体" w:cs="宋体"/>
                <w:b/>
                <w:color w:val="auto"/>
                <w:highlight w:val="none"/>
              </w:rPr>
            </w:pPr>
          </w:p>
          <w:p>
            <w:pPr>
              <w:rPr>
                <w:rFonts w:hint="eastAsia" w:ascii="宋体" w:hAnsi="宋体" w:cs="宋体"/>
                <w:b/>
                <w:color w:val="auto"/>
                <w:highlight w:val="none"/>
              </w:rPr>
            </w:pPr>
          </w:p>
          <w:p>
            <w:pPr>
              <w:rPr>
                <w:rFonts w:hint="eastAsia" w:ascii="宋体" w:hAnsi="宋体" w:cs="宋体"/>
                <w:b/>
                <w:color w:val="auto"/>
                <w:sz w:val="24"/>
                <w:highlight w:val="none"/>
              </w:rPr>
            </w:pPr>
          </w:p>
        </w:tc>
      </w:tr>
    </w:tbl>
    <w:p>
      <w:pPr>
        <w:pStyle w:val="20"/>
        <w:spacing w:line="360" w:lineRule="auto"/>
        <w:rPr>
          <w:rFonts w:hint="eastAsia" w:hAnsi="宋体" w:cs="宋体"/>
          <w:b/>
          <w:color w:val="auto"/>
          <w:highlight w:val="none"/>
          <w:u w:val="single"/>
        </w:rPr>
      </w:pPr>
      <w:r>
        <w:rPr>
          <w:rFonts w:hint="eastAsia" w:hAnsi="宋体" w:cs="宋体"/>
          <w:b/>
          <w:color w:val="auto"/>
          <w:highlight w:val="none"/>
          <w:u w:val="single"/>
        </w:rPr>
        <w:t>注：本表中应简述监测投标单位成立时间、单位主要人员结构、单位业绩、监测业务能力、与本监测项目类似的监测业绩。</w:t>
      </w:r>
    </w:p>
    <w:p>
      <w:pPr>
        <w:rPr>
          <w:rFonts w:hint="eastAsia" w:ascii="宋体" w:hAnsi="宋体" w:cs="宋体"/>
          <w:color w:val="auto"/>
          <w:highlight w:val="none"/>
        </w:rPr>
      </w:pPr>
      <w:r>
        <w:rPr>
          <w:rFonts w:hint="eastAsia" w:ascii="宋体" w:hAnsi="宋体" w:cs="宋体"/>
          <w:color w:val="auto"/>
          <w:highlight w:val="none"/>
        </w:rPr>
        <w:br w:type="page"/>
      </w:r>
    </w:p>
    <w:p>
      <w:pPr>
        <w:pStyle w:val="2"/>
        <w:rPr>
          <w:rFonts w:hint="eastAsia"/>
          <w:color w:val="auto"/>
          <w:highlight w:val="none"/>
        </w:rPr>
      </w:pPr>
    </w:p>
    <w:p>
      <w:pPr>
        <w:spacing w:after="0"/>
        <w:jc w:val="both"/>
        <w:rPr>
          <w:rFonts w:hint="eastAsia" w:ascii="宋体" w:hAnsi="宋体" w:eastAsia="宋体" w:cs="宋体"/>
          <w:b/>
          <w:color w:val="auto"/>
          <w:kern w:val="0"/>
          <w:sz w:val="24"/>
          <w:szCs w:val="21"/>
          <w:highlight w:val="none"/>
        </w:rPr>
      </w:pPr>
      <w:r>
        <w:rPr>
          <w:rFonts w:hint="eastAsia" w:ascii="宋体" w:hAnsi="宋体" w:eastAsia="宋体" w:cs="宋体"/>
          <w:b/>
          <w:color w:val="auto"/>
          <w:kern w:val="0"/>
          <w:sz w:val="24"/>
          <w:szCs w:val="21"/>
          <w:highlight w:val="none"/>
        </w:rPr>
        <w:t>表3</w:t>
      </w:r>
      <w:r>
        <w:rPr>
          <w:rFonts w:hint="eastAsia" w:ascii="宋体" w:hAnsi="宋体" w:eastAsia="宋体" w:cs="宋体"/>
          <w:b/>
          <w:color w:val="auto"/>
          <w:kern w:val="0"/>
          <w:sz w:val="24"/>
          <w:szCs w:val="21"/>
          <w:highlight w:val="none"/>
          <w:lang w:eastAsia="zh-CN"/>
        </w:rPr>
        <w:t>：</w:t>
      </w:r>
      <w:r>
        <w:rPr>
          <w:rFonts w:hint="eastAsia" w:ascii="宋体" w:hAnsi="宋体" w:eastAsia="宋体" w:cs="宋体"/>
          <w:b/>
          <w:color w:val="auto"/>
          <w:kern w:val="0"/>
          <w:sz w:val="24"/>
          <w:szCs w:val="21"/>
          <w:highlight w:val="none"/>
        </w:rPr>
        <w:t>拟投入本项目的监测人员配备要求</w:t>
      </w:r>
    </w:p>
    <w:tbl>
      <w:tblPr>
        <w:tblStyle w:val="38"/>
        <w:tblW w:w="784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557"/>
        <w:gridCol w:w="2652"/>
        <w:gridCol w:w="732"/>
        <w:gridCol w:w="9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6" w:type="dxa"/>
            <w:tcBorders>
              <w:bottom w:val="single" w:color="auto" w:sz="12" w:space="0"/>
            </w:tcBorders>
            <w:noWrap/>
            <w:vAlign w:val="center"/>
          </w:tcPr>
          <w:p>
            <w:pPr>
              <w:jc w:val="center"/>
              <w:rPr>
                <w:rFonts w:ascii="宋体" w:hAnsi="宋体" w:eastAsia="宋体" w:cs="宋体"/>
                <w:color w:val="auto"/>
                <w:position w:val="-30"/>
                <w:highlight w:val="none"/>
              </w:rPr>
            </w:pPr>
            <w:r>
              <w:rPr>
                <w:rFonts w:hint="eastAsia" w:ascii="宋体" w:hAnsi="宋体" w:eastAsia="宋体" w:cs="宋体"/>
                <w:color w:val="auto"/>
                <w:position w:val="-30"/>
                <w:highlight w:val="none"/>
              </w:rPr>
              <w:t>序号</w:t>
            </w:r>
          </w:p>
        </w:tc>
        <w:tc>
          <w:tcPr>
            <w:tcW w:w="2557" w:type="dxa"/>
            <w:tcBorders>
              <w:bottom w:val="single" w:color="auto" w:sz="12" w:space="0"/>
            </w:tcBorders>
            <w:noWrap/>
            <w:vAlign w:val="center"/>
          </w:tcPr>
          <w:p>
            <w:pPr>
              <w:jc w:val="center"/>
              <w:rPr>
                <w:rFonts w:ascii="宋体" w:hAnsi="宋体" w:eastAsia="宋体" w:cs="宋体"/>
                <w:color w:val="auto"/>
                <w:position w:val="-30"/>
                <w:highlight w:val="none"/>
              </w:rPr>
            </w:pPr>
            <w:r>
              <w:rPr>
                <w:rFonts w:hint="eastAsia" w:ascii="宋体" w:hAnsi="宋体" w:eastAsia="宋体" w:cs="宋体"/>
                <w:color w:val="auto"/>
                <w:position w:val="-30"/>
                <w:highlight w:val="none"/>
              </w:rPr>
              <w:t>岗位</w:t>
            </w:r>
          </w:p>
        </w:tc>
        <w:tc>
          <w:tcPr>
            <w:tcW w:w="2652" w:type="dxa"/>
            <w:tcBorders>
              <w:bottom w:val="single" w:color="auto" w:sz="12" w:space="0"/>
            </w:tcBorders>
            <w:noWrap/>
            <w:vAlign w:val="center"/>
          </w:tcPr>
          <w:p>
            <w:pPr>
              <w:jc w:val="center"/>
              <w:rPr>
                <w:rFonts w:ascii="宋体" w:hAnsi="宋体" w:eastAsia="宋体" w:cs="宋体"/>
                <w:color w:val="auto"/>
                <w:position w:val="-30"/>
                <w:highlight w:val="none"/>
              </w:rPr>
            </w:pPr>
            <w:r>
              <w:rPr>
                <w:rFonts w:hint="eastAsia" w:ascii="宋体" w:hAnsi="宋体" w:eastAsia="宋体" w:cs="宋体"/>
                <w:color w:val="auto"/>
                <w:position w:val="-30"/>
                <w:highlight w:val="none"/>
              </w:rPr>
              <w:t>具体要求</w:t>
            </w:r>
          </w:p>
        </w:tc>
        <w:tc>
          <w:tcPr>
            <w:tcW w:w="732" w:type="dxa"/>
            <w:tcBorders>
              <w:bottom w:val="single" w:color="auto" w:sz="12" w:space="0"/>
            </w:tcBorders>
            <w:noWrap/>
            <w:vAlign w:val="center"/>
          </w:tcPr>
          <w:p>
            <w:pPr>
              <w:jc w:val="center"/>
              <w:rPr>
                <w:rFonts w:ascii="宋体" w:hAnsi="宋体" w:eastAsia="宋体" w:cs="宋体"/>
                <w:color w:val="auto"/>
                <w:position w:val="-30"/>
                <w:highlight w:val="none"/>
              </w:rPr>
            </w:pPr>
            <w:r>
              <w:rPr>
                <w:rFonts w:hint="eastAsia" w:ascii="宋体" w:hAnsi="宋体" w:eastAsia="宋体" w:cs="宋体"/>
                <w:color w:val="auto"/>
                <w:position w:val="-30"/>
                <w:highlight w:val="none"/>
              </w:rPr>
              <w:t>数量</w:t>
            </w:r>
          </w:p>
        </w:tc>
        <w:tc>
          <w:tcPr>
            <w:tcW w:w="990" w:type="dxa"/>
            <w:tcBorders>
              <w:bottom w:val="single" w:color="auto" w:sz="12" w:space="0"/>
            </w:tcBorders>
            <w:noWrap/>
            <w:vAlign w:val="center"/>
          </w:tcPr>
          <w:p>
            <w:pPr>
              <w:jc w:val="center"/>
              <w:rPr>
                <w:rFonts w:ascii="宋体" w:hAnsi="宋体" w:eastAsia="宋体" w:cs="宋体"/>
                <w:color w:val="auto"/>
                <w:position w:val="-30"/>
                <w:highlight w:val="none"/>
              </w:rPr>
            </w:pPr>
            <w:r>
              <w:rPr>
                <w:rFonts w:hint="eastAsia" w:ascii="宋体" w:hAnsi="宋体" w:eastAsia="宋体" w:cs="宋体"/>
                <w:color w:val="auto"/>
                <w:position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9" w:hRule="exact"/>
          <w:jc w:val="center"/>
        </w:trPr>
        <w:tc>
          <w:tcPr>
            <w:tcW w:w="916" w:type="dxa"/>
            <w:tcBorders>
              <w:top w:val="single" w:color="auto" w:sz="12" w:space="0"/>
            </w:tcBorders>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557" w:type="dxa"/>
            <w:tcBorders>
              <w:top w:val="single" w:color="auto" w:sz="12" w:space="0"/>
            </w:tcBorders>
            <w:noWrap/>
            <w:vAlign w:val="center"/>
          </w:tcPr>
          <w:p>
            <w:pPr>
              <w:jc w:val="center"/>
              <w:rPr>
                <w:rFonts w:ascii="宋体" w:hAnsi="宋体" w:eastAsia="宋体" w:cs="宋体"/>
                <w:color w:val="auto"/>
                <w:highlight w:val="none"/>
              </w:rPr>
            </w:pPr>
            <w:r>
              <w:rPr>
                <w:rFonts w:hint="eastAsia" w:ascii="宋体" w:hAnsi="宋体"/>
                <w:color w:val="auto"/>
                <w:sz w:val="21"/>
                <w:szCs w:val="21"/>
                <w:highlight w:val="none"/>
              </w:rPr>
              <w:t>项目负责人</w:t>
            </w:r>
          </w:p>
        </w:tc>
        <w:tc>
          <w:tcPr>
            <w:tcW w:w="2652" w:type="dxa"/>
            <w:tcBorders>
              <w:top w:val="single" w:color="auto" w:sz="12" w:space="0"/>
            </w:tcBorders>
            <w:noWrap/>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投标人根据评标办法前附表中项目负责人的评分项自行配备。</w:t>
            </w:r>
          </w:p>
        </w:tc>
        <w:tc>
          <w:tcPr>
            <w:tcW w:w="732" w:type="dxa"/>
            <w:tcBorders>
              <w:top w:val="single" w:color="auto" w:sz="12" w:space="0"/>
            </w:tcBorders>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990" w:type="dxa"/>
            <w:tcBorders>
              <w:top w:val="single" w:color="auto" w:sz="12" w:space="0"/>
            </w:tcBorders>
            <w:noWrap/>
            <w:vAlign w:val="center"/>
          </w:tcPr>
          <w:p>
            <w:pPr>
              <w:jc w:val="center"/>
              <w:rPr>
                <w:rFonts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63" w:hRule="exact"/>
          <w:jc w:val="center"/>
        </w:trPr>
        <w:tc>
          <w:tcPr>
            <w:tcW w:w="916" w:type="dxa"/>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2557" w:type="dxa"/>
            <w:noWrap/>
            <w:vAlign w:val="center"/>
          </w:tcPr>
          <w:p>
            <w:pPr>
              <w:jc w:val="center"/>
              <w:rPr>
                <w:rFonts w:ascii="宋体" w:hAnsi="宋体" w:eastAsia="宋体" w:cs="宋体"/>
                <w:color w:val="auto"/>
                <w:highlight w:val="none"/>
              </w:rPr>
            </w:pPr>
            <w:r>
              <w:rPr>
                <w:rFonts w:hint="eastAsia" w:ascii="宋体" w:hAnsi="宋体"/>
                <w:color w:val="auto"/>
                <w:sz w:val="21"/>
                <w:szCs w:val="21"/>
                <w:highlight w:val="none"/>
              </w:rPr>
              <w:t>技术负责人</w:t>
            </w:r>
          </w:p>
        </w:tc>
        <w:tc>
          <w:tcPr>
            <w:tcW w:w="2652" w:type="dxa"/>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投标人根据评标办法前附表中技术负责人的评分项自行配备。</w:t>
            </w:r>
          </w:p>
        </w:tc>
        <w:tc>
          <w:tcPr>
            <w:tcW w:w="732" w:type="dxa"/>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990" w:type="dxa"/>
            <w:noWrap/>
            <w:vAlign w:val="center"/>
          </w:tcPr>
          <w:p>
            <w:pPr>
              <w:jc w:val="center"/>
              <w:rPr>
                <w:rFonts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exact"/>
          <w:jc w:val="center"/>
        </w:trPr>
        <w:tc>
          <w:tcPr>
            <w:tcW w:w="916" w:type="dxa"/>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2557" w:type="dxa"/>
            <w:noWrap/>
            <w:vAlign w:val="center"/>
          </w:tcPr>
          <w:p>
            <w:pPr>
              <w:jc w:val="center"/>
              <w:rPr>
                <w:rFonts w:ascii="宋体" w:hAnsi="宋体" w:eastAsia="宋体" w:cs="宋体"/>
                <w:color w:val="auto"/>
                <w:highlight w:val="none"/>
              </w:rPr>
            </w:pPr>
            <w:r>
              <w:rPr>
                <w:rFonts w:hint="eastAsia" w:ascii="宋体" w:hAnsi="宋体" w:eastAsia="宋体"/>
                <w:color w:val="auto"/>
                <w:sz w:val="21"/>
                <w:szCs w:val="21"/>
                <w:highlight w:val="none"/>
              </w:rPr>
              <w:t>基坑监测人员</w:t>
            </w:r>
          </w:p>
        </w:tc>
        <w:tc>
          <w:tcPr>
            <w:tcW w:w="2652" w:type="dxa"/>
            <w:noWrap/>
            <w:vAlign w:val="center"/>
          </w:tcPr>
          <w:p>
            <w:pPr>
              <w:jc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highlight w:val="none"/>
              </w:rPr>
              <w:t>监测</w:t>
            </w:r>
            <w:r>
              <w:rPr>
                <w:rFonts w:hint="eastAsia" w:ascii="宋体" w:hAnsi="宋体" w:eastAsia="宋体" w:cs="宋体"/>
                <w:color w:val="auto"/>
                <w:highlight w:val="none"/>
                <w:lang w:val="en-US" w:eastAsia="zh-CN"/>
              </w:rPr>
              <w:t>与测量专业培训合格</w:t>
            </w:r>
            <w:r>
              <w:rPr>
                <w:rFonts w:hint="eastAsia" w:ascii="宋体" w:hAnsi="宋体" w:eastAsia="宋体" w:cs="宋体"/>
                <w:color w:val="auto"/>
                <w:highlight w:val="none"/>
              </w:rPr>
              <w:t>证</w:t>
            </w:r>
          </w:p>
        </w:tc>
        <w:tc>
          <w:tcPr>
            <w:tcW w:w="732" w:type="dxa"/>
            <w:noWrap/>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p>
        </w:tc>
        <w:tc>
          <w:tcPr>
            <w:tcW w:w="990" w:type="dxa"/>
            <w:noWrap/>
            <w:vAlign w:val="center"/>
          </w:tcPr>
          <w:p>
            <w:pPr>
              <w:jc w:val="center"/>
              <w:rPr>
                <w:rFonts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916" w:type="dxa"/>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4</w:t>
            </w:r>
          </w:p>
        </w:tc>
        <w:tc>
          <w:tcPr>
            <w:tcW w:w="2557" w:type="dxa"/>
            <w:noWrap/>
            <w:vAlign w:val="center"/>
          </w:tcPr>
          <w:p>
            <w:pPr>
              <w:jc w:val="center"/>
              <w:rPr>
                <w:rFonts w:ascii="宋体" w:hAnsi="宋体" w:eastAsia="宋体" w:cs="宋体"/>
                <w:color w:val="auto"/>
                <w:highlight w:val="none"/>
              </w:rPr>
            </w:pPr>
            <w:r>
              <w:rPr>
                <w:rFonts w:hint="eastAsia" w:ascii="宋体" w:hAnsi="宋体" w:eastAsia="宋体"/>
                <w:color w:val="auto"/>
                <w:sz w:val="21"/>
                <w:szCs w:val="21"/>
                <w:highlight w:val="none"/>
              </w:rPr>
              <w:t>主体沉降监测人员</w:t>
            </w:r>
          </w:p>
        </w:tc>
        <w:tc>
          <w:tcPr>
            <w:tcW w:w="2652" w:type="dxa"/>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监测</w:t>
            </w:r>
            <w:r>
              <w:rPr>
                <w:rFonts w:hint="eastAsia" w:ascii="宋体" w:hAnsi="宋体" w:eastAsia="宋体" w:cs="宋体"/>
                <w:color w:val="auto"/>
                <w:highlight w:val="none"/>
                <w:lang w:val="en-US" w:eastAsia="zh-CN"/>
              </w:rPr>
              <w:t>与测量专业培训合格</w:t>
            </w:r>
            <w:r>
              <w:rPr>
                <w:rFonts w:hint="eastAsia" w:ascii="宋体" w:hAnsi="宋体" w:eastAsia="宋体" w:cs="宋体"/>
                <w:color w:val="auto"/>
                <w:highlight w:val="none"/>
              </w:rPr>
              <w:t>证</w:t>
            </w:r>
          </w:p>
        </w:tc>
        <w:tc>
          <w:tcPr>
            <w:tcW w:w="732" w:type="dxa"/>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4</w:t>
            </w:r>
          </w:p>
        </w:tc>
        <w:tc>
          <w:tcPr>
            <w:tcW w:w="990" w:type="dxa"/>
            <w:noWrap/>
            <w:vAlign w:val="center"/>
          </w:tcPr>
          <w:p>
            <w:pPr>
              <w:jc w:val="center"/>
              <w:rPr>
                <w:rFonts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exact"/>
          <w:jc w:val="center"/>
        </w:trPr>
        <w:tc>
          <w:tcPr>
            <w:tcW w:w="916" w:type="dxa"/>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5</w:t>
            </w:r>
          </w:p>
        </w:tc>
        <w:tc>
          <w:tcPr>
            <w:tcW w:w="2557" w:type="dxa"/>
            <w:noWrap/>
            <w:vAlign w:val="center"/>
          </w:tcPr>
          <w:p>
            <w:pPr>
              <w:jc w:val="center"/>
              <w:rPr>
                <w:rFonts w:ascii="宋体" w:hAnsi="宋体" w:eastAsia="宋体" w:cs="宋体"/>
                <w:color w:val="auto"/>
                <w:highlight w:val="none"/>
              </w:rPr>
            </w:pPr>
            <w:r>
              <w:rPr>
                <w:rFonts w:hint="eastAsia" w:ascii="宋体" w:hAnsi="宋体" w:eastAsia="宋体"/>
                <w:color w:val="auto"/>
                <w:sz w:val="21"/>
                <w:szCs w:val="21"/>
                <w:highlight w:val="none"/>
              </w:rPr>
              <w:t>高支模监测人员</w:t>
            </w:r>
          </w:p>
        </w:tc>
        <w:tc>
          <w:tcPr>
            <w:tcW w:w="2652" w:type="dxa"/>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监测</w:t>
            </w:r>
            <w:r>
              <w:rPr>
                <w:rFonts w:hint="eastAsia" w:ascii="宋体" w:hAnsi="宋体" w:eastAsia="宋体" w:cs="宋体"/>
                <w:color w:val="auto"/>
                <w:highlight w:val="none"/>
                <w:lang w:val="en-US" w:eastAsia="zh-CN"/>
              </w:rPr>
              <w:t>与测量专业培训合格</w:t>
            </w:r>
            <w:r>
              <w:rPr>
                <w:rFonts w:hint="eastAsia" w:ascii="宋体" w:hAnsi="宋体" w:eastAsia="宋体" w:cs="宋体"/>
                <w:color w:val="auto"/>
                <w:highlight w:val="none"/>
              </w:rPr>
              <w:t>证</w:t>
            </w:r>
          </w:p>
        </w:tc>
        <w:tc>
          <w:tcPr>
            <w:tcW w:w="732" w:type="dxa"/>
            <w:noWrap/>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p>
        </w:tc>
        <w:tc>
          <w:tcPr>
            <w:tcW w:w="990" w:type="dxa"/>
            <w:noWrap/>
            <w:vAlign w:val="center"/>
          </w:tcPr>
          <w:p>
            <w:pPr>
              <w:jc w:val="center"/>
              <w:rPr>
                <w:rFonts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exact"/>
          <w:jc w:val="center"/>
        </w:trPr>
        <w:tc>
          <w:tcPr>
            <w:tcW w:w="916" w:type="dxa"/>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6</w:t>
            </w:r>
          </w:p>
        </w:tc>
        <w:tc>
          <w:tcPr>
            <w:tcW w:w="2557" w:type="dxa"/>
            <w:noWrap/>
            <w:vAlign w:val="center"/>
          </w:tcPr>
          <w:p>
            <w:pPr>
              <w:jc w:val="center"/>
              <w:rPr>
                <w:rFonts w:ascii="宋体" w:hAnsi="宋体" w:eastAsia="宋体" w:cs="宋体"/>
                <w:color w:val="auto"/>
                <w:highlight w:val="none"/>
              </w:rPr>
            </w:pPr>
            <w:r>
              <w:rPr>
                <w:rFonts w:hint="eastAsia" w:ascii="宋体" w:hAnsi="宋体" w:eastAsia="宋体"/>
                <w:color w:val="auto"/>
                <w:sz w:val="21"/>
                <w:szCs w:val="21"/>
                <w:highlight w:val="none"/>
              </w:rPr>
              <w:t>其他监测人员</w:t>
            </w:r>
          </w:p>
        </w:tc>
        <w:tc>
          <w:tcPr>
            <w:tcW w:w="2652" w:type="dxa"/>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投标人自行配备</w:t>
            </w:r>
          </w:p>
        </w:tc>
        <w:tc>
          <w:tcPr>
            <w:tcW w:w="732" w:type="dxa"/>
            <w:noWrap/>
            <w:vAlign w:val="center"/>
          </w:tcPr>
          <w:p>
            <w:pPr>
              <w:jc w:val="center"/>
              <w:rPr>
                <w:rFonts w:ascii="宋体" w:hAnsi="宋体" w:eastAsia="宋体" w:cs="宋体"/>
                <w:color w:val="auto"/>
                <w:highlight w:val="none"/>
              </w:rPr>
            </w:pPr>
          </w:p>
        </w:tc>
        <w:tc>
          <w:tcPr>
            <w:tcW w:w="990" w:type="dxa"/>
            <w:noWrap/>
            <w:vAlign w:val="center"/>
          </w:tcPr>
          <w:p>
            <w:pPr>
              <w:jc w:val="center"/>
              <w:rPr>
                <w:rFonts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916" w:type="dxa"/>
            <w:noWrap/>
            <w:vAlign w:val="center"/>
          </w:tcPr>
          <w:p>
            <w:pPr>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7</w:t>
            </w:r>
          </w:p>
        </w:tc>
        <w:tc>
          <w:tcPr>
            <w:tcW w:w="2557" w:type="dxa"/>
            <w:noWrap/>
            <w:vAlign w:val="center"/>
          </w:tcPr>
          <w:p>
            <w:pPr>
              <w:jc w:val="center"/>
              <w:rPr>
                <w:rFonts w:ascii="宋体" w:hAnsi="宋体" w:eastAsia="宋体" w:cs="宋体"/>
                <w:color w:val="auto"/>
                <w:highlight w:val="none"/>
              </w:rPr>
            </w:pPr>
            <w:r>
              <w:rPr>
                <w:rFonts w:hint="eastAsia" w:ascii="宋体" w:hAnsi="宋体" w:eastAsia="宋体"/>
                <w:color w:val="auto"/>
                <w:sz w:val="21"/>
                <w:szCs w:val="21"/>
                <w:highlight w:val="none"/>
              </w:rPr>
              <w:t>...</w:t>
            </w:r>
          </w:p>
        </w:tc>
        <w:tc>
          <w:tcPr>
            <w:tcW w:w="2652" w:type="dxa"/>
            <w:noWrap/>
            <w:vAlign w:val="center"/>
          </w:tcPr>
          <w:p>
            <w:pPr>
              <w:jc w:val="center"/>
              <w:rPr>
                <w:rFonts w:ascii="宋体" w:hAnsi="宋体" w:eastAsia="宋体" w:cs="宋体"/>
                <w:color w:val="auto"/>
                <w:highlight w:val="none"/>
              </w:rPr>
            </w:pPr>
          </w:p>
        </w:tc>
        <w:tc>
          <w:tcPr>
            <w:tcW w:w="732" w:type="dxa"/>
            <w:noWrap/>
            <w:vAlign w:val="center"/>
          </w:tcPr>
          <w:p>
            <w:pPr>
              <w:jc w:val="center"/>
              <w:rPr>
                <w:rFonts w:ascii="宋体" w:hAnsi="宋体" w:eastAsia="宋体" w:cs="宋体"/>
                <w:color w:val="auto"/>
                <w:highlight w:val="none"/>
              </w:rPr>
            </w:pPr>
          </w:p>
        </w:tc>
        <w:tc>
          <w:tcPr>
            <w:tcW w:w="990" w:type="dxa"/>
            <w:noWrap/>
            <w:vAlign w:val="center"/>
          </w:tcPr>
          <w:p>
            <w:pPr>
              <w:jc w:val="center"/>
              <w:rPr>
                <w:rFonts w:ascii="宋体" w:hAnsi="宋体" w:eastAsia="宋体" w:cs="宋体"/>
                <w:color w:val="auto"/>
                <w:highlight w:val="none"/>
              </w:rPr>
            </w:pPr>
          </w:p>
        </w:tc>
      </w:tr>
    </w:tbl>
    <w:p>
      <w:pPr>
        <w:pStyle w:val="2"/>
        <w:rPr>
          <w:rFonts w:hint="eastAsia" w:ascii="宋体" w:hAnsi="宋体" w:cs="宋体"/>
          <w:color w:val="auto"/>
          <w:highlight w:val="none"/>
        </w:rPr>
      </w:pPr>
    </w:p>
    <w:p>
      <w:pPr>
        <w:pStyle w:val="2"/>
        <w:rPr>
          <w:rFonts w:hint="eastAsia" w:ascii="宋体" w:hAnsi="宋体" w:cs="宋体"/>
          <w:color w:val="auto"/>
          <w:highlight w:val="none"/>
        </w:rPr>
      </w:pPr>
    </w:p>
    <w:p>
      <w:pPr>
        <w:rPr>
          <w:rFonts w:hint="eastAsia" w:ascii="宋体" w:hAnsi="宋体" w:cs="宋体"/>
          <w:color w:val="auto"/>
          <w:highlight w:val="none"/>
        </w:rPr>
      </w:pPr>
    </w:p>
    <w:p>
      <w:pPr>
        <w:pStyle w:val="20"/>
        <w:adjustRightInd w:val="0"/>
        <w:snapToGrid w:val="0"/>
        <w:spacing w:line="360" w:lineRule="auto"/>
        <w:jc w:val="left"/>
        <w:rPr>
          <w:rFonts w:hint="eastAsia" w:hAnsi="宋体" w:cs="宋体"/>
          <w:b/>
          <w:color w:val="auto"/>
          <w:sz w:val="24"/>
          <w:highlight w:val="none"/>
        </w:rPr>
      </w:pPr>
      <w:r>
        <w:rPr>
          <w:rFonts w:hint="eastAsia" w:hAnsi="宋体" w:cs="宋体"/>
          <w:color w:val="auto"/>
          <w:highlight w:val="none"/>
        </w:rPr>
        <w:br w:type="page"/>
      </w:r>
      <w:r>
        <w:rPr>
          <w:rFonts w:hint="eastAsia" w:hAnsi="宋体" w:cs="宋体"/>
          <w:b/>
          <w:color w:val="auto"/>
          <w:sz w:val="24"/>
          <w:highlight w:val="none"/>
          <w:lang w:val="en-US" w:eastAsia="zh-CN"/>
        </w:rPr>
        <w:t>表4：</w:t>
      </w:r>
      <w:r>
        <w:rPr>
          <w:rFonts w:hint="eastAsia" w:hAnsi="宋体" w:cs="宋体"/>
          <w:b/>
          <w:color w:val="auto"/>
          <w:sz w:val="24"/>
          <w:highlight w:val="none"/>
        </w:rPr>
        <w:t>拟委派的项目负责人、技术负责人及投入本项目的主要技术人员简历表</w:t>
      </w:r>
    </w:p>
    <w:tbl>
      <w:tblPr>
        <w:tblStyle w:val="38"/>
        <w:tblW w:w="928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208"/>
        <w:gridCol w:w="212"/>
        <w:gridCol w:w="1588"/>
        <w:gridCol w:w="900"/>
        <w:gridCol w:w="352"/>
        <w:gridCol w:w="1628"/>
        <w:gridCol w:w="540"/>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9288" w:type="dxa"/>
            <w:gridSpan w:val="9"/>
            <w:noWrap w:val="0"/>
            <w:vAlign w:val="center"/>
          </w:tcPr>
          <w:p>
            <w:pPr>
              <w:ind w:firstLine="480"/>
              <w:jc w:val="center"/>
              <w:rPr>
                <w:rFonts w:hint="eastAsia" w:ascii="宋体" w:hAnsi="宋体" w:cs="宋体"/>
                <w:b/>
                <w:color w:val="auto"/>
                <w:highlight w:val="none"/>
              </w:rPr>
            </w:pPr>
            <w:r>
              <w:rPr>
                <w:rFonts w:hint="eastAsia" w:ascii="宋体" w:hAnsi="宋体" w:cs="宋体"/>
                <w:b/>
                <w:color w:val="auto"/>
                <w:highlight w:val="none"/>
              </w:rPr>
              <w:t>1.一般情况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42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姓 名</w:t>
            </w:r>
          </w:p>
        </w:tc>
        <w:tc>
          <w:tcPr>
            <w:tcW w:w="1208" w:type="dxa"/>
            <w:noWrap w:val="0"/>
            <w:vAlign w:val="center"/>
          </w:tcPr>
          <w:p>
            <w:pPr>
              <w:ind w:firstLine="480"/>
              <w:rPr>
                <w:rFonts w:hint="eastAsia" w:ascii="宋体" w:hAnsi="宋体" w:cs="宋体"/>
                <w:color w:val="auto"/>
                <w:highlight w:val="none"/>
              </w:rPr>
            </w:pPr>
          </w:p>
        </w:tc>
        <w:tc>
          <w:tcPr>
            <w:tcW w:w="1800"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性 别</w:t>
            </w:r>
          </w:p>
        </w:tc>
        <w:tc>
          <w:tcPr>
            <w:tcW w:w="1252" w:type="dxa"/>
            <w:gridSpan w:val="2"/>
            <w:noWrap w:val="0"/>
            <w:vAlign w:val="center"/>
          </w:tcPr>
          <w:p>
            <w:pPr>
              <w:jc w:val="center"/>
              <w:rPr>
                <w:rFonts w:hint="eastAsia" w:ascii="宋体" w:hAnsi="宋体" w:cs="宋体"/>
                <w:color w:val="auto"/>
                <w:highlight w:val="none"/>
              </w:rPr>
            </w:pPr>
          </w:p>
        </w:tc>
        <w:tc>
          <w:tcPr>
            <w:tcW w:w="2168"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年 龄</w:t>
            </w:r>
          </w:p>
        </w:tc>
        <w:tc>
          <w:tcPr>
            <w:tcW w:w="1440" w:type="dxa"/>
            <w:noWrap w:val="0"/>
            <w:vAlign w:val="center"/>
          </w:tcPr>
          <w:p>
            <w:pPr>
              <w:ind w:firstLine="420"/>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42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专 业</w:t>
            </w:r>
          </w:p>
        </w:tc>
        <w:tc>
          <w:tcPr>
            <w:tcW w:w="1208" w:type="dxa"/>
            <w:noWrap w:val="0"/>
            <w:vAlign w:val="center"/>
          </w:tcPr>
          <w:p>
            <w:pPr>
              <w:ind w:firstLine="480"/>
              <w:rPr>
                <w:rFonts w:hint="eastAsia" w:ascii="宋体" w:hAnsi="宋体" w:cs="宋体"/>
                <w:color w:val="auto"/>
                <w:highlight w:val="none"/>
              </w:rPr>
            </w:pPr>
          </w:p>
        </w:tc>
        <w:tc>
          <w:tcPr>
            <w:tcW w:w="1800"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最高学历</w:t>
            </w:r>
          </w:p>
        </w:tc>
        <w:tc>
          <w:tcPr>
            <w:tcW w:w="1252" w:type="dxa"/>
            <w:gridSpan w:val="2"/>
            <w:noWrap w:val="0"/>
            <w:vAlign w:val="center"/>
          </w:tcPr>
          <w:p>
            <w:pPr>
              <w:jc w:val="center"/>
              <w:rPr>
                <w:rFonts w:hint="eastAsia" w:ascii="宋体" w:hAnsi="宋体" w:cs="宋体"/>
                <w:color w:val="auto"/>
                <w:highlight w:val="none"/>
              </w:rPr>
            </w:pPr>
          </w:p>
        </w:tc>
        <w:tc>
          <w:tcPr>
            <w:tcW w:w="2168"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从事监测</w:t>
            </w:r>
          </w:p>
          <w:p>
            <w:pPr>
              <w:jc w:val="center"/>
              <w:rPr>
                <w:rFonts w:hint="eastAsia" w:ascii="宋体" w:hAnsi="宋体" w:cs="宋体"/>
                <w:color w:val="auto"/>
                <w:highlight w:val="none"/>
              </w:rPr>
            </w:pPr>
            <w:r>
              <w:rPr>
                <w:rFonts w:hint="eastAsia" w:ascii="宋体" w:hAnsi="宋体" w:cs="宋体"/>
                <w:color w:val="auto"/>
                <w:highlight w:val="none"/>
              </w:rPr>
              <w:t>工作时间</w:t>
            </w:r>
          </w:p>
        </w:tc>
        <w:tc>
          <w:tcPr>
            <w:tcW w:w="1440" w:type="dxa"/>
            <w:noWrap w:val="0"/>
            <w:vAlign w:val="center"/>
          </w:tcPr>
          <w:p>
            <w:pPr>
              <w:ind w:firstLine="420"/>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42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技术职称</w:t>
            </w:r>
          </w:p>
        </w:tc>
        <w:tc>
          <w:tcPr>
            <w:tcW w:w="1208" w:type="dxa"/>
            <w:noWrap w:val="0"/>
            <w:vAlign w:val="center"/>
          </w:tcPr>
          <w:p>
            <w:pPr>
              <w:ind w:firstLine="480"/>
              <w:rPr>
                <w:rFonts w:hint="eastAsia" w:ascii="宋体" w:hAnsi="宋体" w:cs="宋体"/>
                <w:color w:val="auto"/>
                <w:highlight w:val="none"/>
              </w:rPr>
            </w:pPr>
          </w:p>
        </w:tc>
        <w:tc>
          <w:tcPr>
            <w:tcW w:w="1800"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现任职务</w:t>
            </w:r>
          </w:p>
        </w:tc>
        <w:tc>
          <w:tcPr>
            <w:tcW w:w="1252" w:type="dxa"/>
            <w:gridSpan w:val="2"/>
            <w:noWrap w:val="0"/>
            <w:vAlign w:val="center"/>
          </w:tcPr>
          <w:p>
            <w:pPr>
              <w:jc w:val="center"/>
              <w:rPr>
                <w:rFonts w:hint="eastAsia" w:ascii="宋体" w:hAnsi="宋体" w:cs="宋体"/>
                <w:color w:val="auto"/>
                <w:highlight w:val="none"/>
              </w:rPr>
            </w:pPr>
          </w:p>
        </w:tc>
        <w:tc>
          <w:tcPr>
            <w:tcW w:w="2168"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拟在本项目任职</w:t>
            </w:r>
          </w:p>
        </w:tc>
        <w:tc>
          <w:tcPr>
            <w:tcW w:w="1440" w:type="dxa"/>
            <w:noWrap w:val="0"/>
            <w:vAlign w:val="center"/>
          </w:tcPr>
          <w:p>
            <w:pPr>
              <w:ind w:firstLine="420"/>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142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毕业院校</w:t>
            </w:r>
          </w:p>
        </w:tc>
        <w:tc>
          <w:tcPr>
            <w:tcW w:w="7868" w:type="dxa"/>
            <w:gridSpan w:val="8"/>
            <w:noWrap w:val="0"/>
            <w:vAlign w:val="center"/>
          </w:tcPr>
          <w:p>
            <w:pPr>
              <w:ind w:firstLine="420"/>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9288" w:type="dxa"/>
            <w:gridSpan w:val="9"/>
            <w:noWrap w:val="0"/>
            <w:vAlign w:val="center"/>
          </w:tcPr>
          <w:p>
            <w:pPr>
              <w:ind w:firstLine="480"/>
              <w:jc w:val="center"/>
              <w:rPr>
                <w:rFonts w:hint="eastAsia" w:ascii="宋体" w:hAnsi="宋体" w:cs="宋体"/>
                <w:b/>
                <w:color w:val="auto"/>
                <w:highlight w:val="none"/>
              </w:rPr>
            </w:pPr>
            <w:r>
              <w:rPr>
                <w:rFonts w:hint="eastAsia" w:ascii="宋体" w:hAnsi="宋体" w:cs="宋体"/>
                <w:b/>
                <w:color w:val="auto"/>
                <w:highlight w:val="none"/>
              </w:rPr>
              <w:t>2.个人工作经历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142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时 间</w:t>
            </w:r>
          </w:p>
        </w:tc>
        <w:tc>
          <w:tcPr>
            <w:tcW w:w="1420"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工作单位</w:t>
            </w:r>
          </w:p>
        </w:tc>
        <w:tc>
          <w:tcPr>
            <w:tcW w:w="2488"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在该项目任职</w:t>
            </w:r>
          </w:p>
        </w:tc>
        <w:tc>
          <w:tcPr>
            <w:tcW w:w="1980"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负责过的</w:t>
            </w:r>
          </w:p>
          <w:p>
            <w:pPr>
              <w:jc w:val="center"/>
              <w:rPr>
                <w:rFonts w:hint="eastAsia" w:ascii="宋体" w:hAnsi="宋体" w:cs="宋体"/>
                <w:color w:val="auto"/>
                <w:highlight w:val="none"/>
              </w:rPr>
            </w:pPr>
            <w:r>
              <w:rPr>
                <w:rFonts w:hint="eastAsia" w:ascii="宋体" w:hAnsi="宋体" w:cs="宋体"/>
                <w:color w:val="auto"/>
                <w:highlight w:val="none"/>
              </w:rPr>
              <w:t>主要项目</w:t>
            </w:r>
          </w:p>
        </w:tc>
        <w:tc>
          <w:tcPr>
            <w:tcW w:w="1980"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jc w:val="center"/>
        </w:trPr>
        <w:tc>
          <w:tcPr>
            <w:tcW w:w="1420" w:type="dxa"/>
            <w:noWrap w:val="0"/>
            <w:vAlign w:val="center"/>
          </w:tcPr>
          <w:p>
            <w:pPr>
              <w:ind w:firstLine="480"/>
              <w:jc w:val="center"/>
              <w:rPr>
                <w:rFonts w:hint="eastAsia" w:ascii="宋体" w:hAnsi="宋体" w:cs="宋体"/>
                <w:color w:val="auto"/>
                <w:highlight w:val="none"/>
              </w:rPr>
            </w:pPr>
          </w:p>
        </w:tc>
        <w:tc>
          <w:tcPr>
            <w:tcW w:w="1420" w:type="dxa"/>
            <w:gridSpan w:val="2"/>
            <w:noWrap w:val="0"/>
            <w:vAlign w:val="center"/>
          </w:tcPr>
          <w:p>
            <w:pPr>
              <w:ind w:firstLine="480"/>
              <w:jc w:val="center"/>
              <w:rPr>
                <w:rFonts w:hint="eastAsia" w:ascii="宋体" w:hAnsi="宋体" w:cs="宋体"/>
                <w:color w:val="auto"/>
                <w:highlight w:val="none"/>
              </w:rPr>
            </w:pPr>
          </w:p>
        </w:tc>
        <w:tc>
          <w:tcPr>
            <w:tcW w:w="2488" w:type="dxa"/>
            <w:gridSpan w:val="2"/>
            <w:noWrap w:val="0"/>
            <w:vAlign w:val="center"/>
          </w:tcPr>
          <w:p>
            <w:pPr>
              <w:ind w:firstLine="480"/>
              <w:jc w:val="center"/>
              <w:rPr>
                <w:rFonts w:hint="eastAsia" w:ascii="宋体" w:hAnsi="宋体" w:cs="宋体"/>
                <w:color w:val="auto"/>
                <w:highlight w:val="none"/>
              </w:rPr>
            </w:pPr>
          </w:p>
        </w:tc>
        <w:tc>
          <w:tcPr>
            <w:tcW w:w="1980" w:type="dxa"/>
            <w:gridSpan w:val="2"/>
            <w:noWrap w:val="0"/>
            <w:vAlign w:val="center"/>
          </w:tcPr>
          <w:p>
            <w:pPr>
              <w:ind w:firstLine="480"/>
              <w:jc w:val="center"/>
              <w:rPr>
                <w:rFonts w:hint="eastAsia" w:ascii="宋体" w:hAnsi="宋体" w:cs="宋体"/>
                <w:color w:val="auto"/>
                <w:highlight w:val="none"/>
              </w:rPr>
            </w:pPr>
          </w:p>
        </w:tc>
        <w:tc>
          <w:tcPr>
            <w:tcW w:w="1980" w:type="dxa"/>
            <w:gridSpan w:val="2"/>
            <w:noWrap w:val="0"/>
            <w:vAlign w:val="center"/>
          </w:tcPr>
          <w:p>
            <w:pPr>
              <w:ind w:firstLine="480"/>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18" w:hRule="atLeast"/>
          <w:jc w:val="center"/>
        </w:trPr>
        <w:tc>
          <w:tcPr>
            <w:tcW w:w="1420" w:type="dxa"/>
            <w:noWrap w:val="0"/>
            <w:vAlign w:val="center"/>
          </w:tcPr>
          <w:p>
            <w:pPr>
              <w:ind w:firstLine="480"/>
              <w:jc w:val="center"/>
              <w:rPr>
                <w:rFonts w:hint="eastAsia" w:ascii="宋体" w:hAnsi="宋体" w:cs="宋体"/>
                <w:color w:val="auto"/>
                <w:highlight w:val="none"/>
              </w:rPr>
            </w:pPr>
          </w:p>
        </w:tc>
        <w:tc>
          <w:tcPr>
            <w:tcW w:w="1420" w:type="dxa"/>
            <w:gridSpan w:val="2"/>
            <w:noWrap w:val="0"/>
            <w:vAlign w:val="center"/>
          </w:tcPr>
          <w:p>
            <w:pPr>
              <w:ind w:firstLine="480"/>
              <w:jc w:val="center"/>
              <w:rPr>
                <w:rFonts w:hint="eastAsia" w:ascii="宋体" w:hAnsi="宋体" w:cs="宋体"/>
                <w:color w:val="auto"/>
                <w:highlight w:val="none"/>
              </w:rPr>
            </w:pPr>
          </w:p>
        </w:tc>
        <w:tc>
          <w:tcPr>
            <w:tcW w:w="2488" w:type="dxa"/>
            <w:gridSpan w:val="2"/>
            <w:noWrap w:val="0"/>
            <w:vAlign w:val="center"/>
          </w:tcPr>
          <w:p>
            <w:pPr>
              <w:ind w:firstLine="480"/>
              <w:jc w:val="center"/>
              <w:rPr>
                <w:rFonts w:hint="eastAsia" w:ascii="宋体" w:hAnsi="宋体" w:cs="宋体"/>
                <w:color w:val="auto"/>
                <w:highlight w:val="none"/>
              </w:rPr>
            </w:pPr>
          </w:p>
        </w:tc>
        <w:tc>
          <w:tcPr>
            <w:tcW w:w="1980" w:type="dxa"/>
            <w:gridSpan w:val="2"/>
            <w:noWrap w:val="0"/>
            <w:vAlign w:val="center"/>
          </w:tcPr>
          <w:p>
            <w:pPr>
              <w:ind w:firstLine="480"/>
              <w:jc w:val="center"/>
              <w:rPr>
                <w:rFonts w:hint="eastAsia" w:ascii="宋体" w:hAnsi="宋体" w:cs="宋体"/>
                <w:color w:val="auto"/>
                <w:highlight w:val="none"/>
              </w:rPr>
            </w:pPr>
          </w:p>
        </w:tc>
        <w:tc>
          <w:tcPr>
            <w:tcW w:w="1980" w:type="dxa"/>
            <w:gridSpan w:val="2"/>
            <w:noWrap w:val="0"/>
            <w:vAlign w:val="center"/>
          </w:tcPr>
          <w:p>
            <w:pPr>
              <w:ind w:firstLine="480"/>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jc w:val="center"/>
        </w:trPr>
        <w:tc>
          <w:tcPr>
            <w:tcW w:w="1420" w:type="dxa"/>
            <w:noWrap w:val="0"/>
            <w:vAlign w:val="center"/>
          </w:tcPr>
          <w:p>
            <w:pPr>
              <w:ind w:firstLine="480"/>
              <w:jc w:val="center"/>
              <w:rPr>
                <w:rFonts w:hint="eastAsia" w:ascii="宋体" w:hAnsi="宋体" w:cs="宋体"/>
                <w:color w:val="auto"/>
                <w:highlight w:val="none"/>
              </w:rPr>
            </w:pPr>
          </w:p>
        </w:tc>
        <w:tc>
          <w:tcPr>
            <w:tcW w:w="1420" w:type="dxa"/>
            <w:gridSpan w:val="2"/>
            <w:noWrap w:val="0"/>
            <w:vAlign w:val="center"/>
          </w:tcPr>
          <w:p>
            <w:pPr>
              <w:ind w:firstLine="480"/>
              <w:jc w:val="center"/>
              <w:rPr>
                <w:rFonts w:hint="eastAsia" w:ascii="宋体" w:hAnsi="宋体" w:cs="宋体"/>
                <w:color w:val="auto"/>
                <w:highlight w:val="none"/>
              </w:rPr>
            </w:pPr>
          </w:p>
        </w:tc>
        <w:tc>
          <w:tcPr>
            <w:tcW w:w="2488" w:type="dxa"/>
            <w:gridSpan w:val="2"/>
            <w:noWrap w:val="0"/>
            <w:vAlign w:val="center"/>
          </w:tcPr>
          <w:p>
            <w:pPr>
              <w:ind w:firstLine="480"/>
              <w:jc w:val="center"/>
              <w:rPr>
                <w:rFonts w:hint="eastAsia" w:ascii="宋体" w:hAnsi="宋体" w:cs="宋体"/>
                <w:color w:val="auto"/>
                <w:highlight w:val="none"/>
              </w:rPr>
            </w:pPr>
          </w:p>
        </w:tc>
        <w:tc>
          <w:tcPr>
            <w:tcW w:w="1980" w:type="dxa"/>
            <w:gridSpan w:val="2"/>
            <w:noWrap w:val="0"/>
            <w:vAlign w:val="center"/>
          </w:tcPr>
          <w:p>
            <w:pPr>
              <w:ind w:firstLine="480"/>
              <w:jc w:val="center"/>
              <w:rPr>
                <w:rFonts w:hint="eastAsia" w:ascii="宋体" w:hAnsi="宋体" w:cs="宋体"/>
                <w:color w:val="auto"/>
                <w:highlight w:val="none"/>
              </w:rPr>
            </w:pPr>
          </w:p>
        </w:tc>
        <w:tc>
          <w:tcPr>
            <w:tcW w:w="1980" w:type="dxa"/>
            <w:gridSpan w:val="2"/>
            <w:noWrap w:val="0"/>
            <w:vAlign w:val="center"/>
          </w:tcPr>
          <w:p>
            <w:pPr>
              <w:ind w:firstLine="480"/>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9" w:hRule="atLeast"/>
          <w:jc w:val="center"/>
        </w:trPr>
        <w:tc>
          <w:tcPr>
            <w:tcW w:w="9288" w:type="dxa"/>
            <w:gridSpan w:val="9"/>
            <w:noWrap w:val="0"/>
            <w:vAlign w:val="top"/>
          </w:tcPr>
          <w:p>
            <w:pPr>
              <w:ind w:firstLine="480"/>
              <w:rPr>
                <w:rFonts w:hint="eastAsia" w:ascii="宋体" w:hAnsi="宋体" w:cs="宋体"/>
                <w:color w:val="auto"/>
                <w:highlight w:val="none"/>
              </w:rPr>
            </w:pPr>
            <w:r>
              <w:rPr>
                <w:rFonts w:hint="eastAsia" w:ascii="宋体" w:hAnsi="宋体" w:cs="宋体"/>
                <w:color w:val="auto"/>
                <w:highlight w:val="none"/>
              </w:rPr>
              <w:t>个人能力综述：</w:t>
            </w:r>
          </w:p>
        </w:tc>
      </w:tr>
    </w:tbl>
    <w:p>
      <w:pPr>
        <w:ind w:left="840" w:right="-13" w:hanging="880" w:hangingChars="400"/>
        <w:rPr>
          <w:rFonts w:hint="eastAsia" w:ascii="宋体" w:hAnsi="宋体" w:cs="宋体"/>
          <w:color w:val="auto"/>
          <w:highlight w:val="none"/>
        </w:rPr>
      </w:pPr>
      <w:r>
        <w:rPr>
          <w:rFonts w:hint="eastAsia" w:ascii="宋体" w:hAnsi="宋体" w:cs="宋体"/>
          <w:color w:val="auto"/>
          <w:highlight w:val="none"/>
        </w:rPr>
        <w:t>注：1、按招标文件附上相关人员职称证、注册证等证明材料原件扫描件并盖公章。</w:t>
      </w:r>
    </w:p>
    <w:p>
      <w:pPr>
        <w:ind w:left="840" w:right="-13" w:hanging="880" w:hangingChars="400"/>
        <w:rPr>
          <w:rFonts w:hint="eastAsia" w:ascii="宋体" w:hAnsi="宋体" w:cs="宋体"/>
          <w:color w:val="auto"/>
          <w:highlight w:val="none"/>
        </w:rPr>
      </w:pPr>
      <w:r>
        <w:rPr>
          <w:rFonts w:hint="eastAsia" w:ascii="宋体" w:hAnsi="宋体" w:cs="宋体"/>
          <w:color w:val="auto"/>
          <w:highlight w:val="none"/>
        </w:rPr>
        <w:t xml:space="preserve">    2、拟投入人员简历不够填写，可另编页增写。</w:t>
      </w:r>
    </w:p>
    <w:p>
      <w:pPr>
        <w:pStyle w:val="20"/>
        <w:adjustRightInd w:val="0"/>
        <w:snapToGrid w:val="0"/>
        <w:spacing w:line="360" w:lineRule="auto"/>
        <w:jc w:val="left"/>
        <w:rPr>
          <w:rFonts w:hint="eastAsia" w:hAnsi="宋体" w:cs="宋体"/>
          <w:b/>
          <w:color w:val="auto"/>
          <w:sz w:val="24"/>
          <w:highlight w:val="none"/>
        </w:rPr>
      </w:pPr>
      <w:r>
        <w:rPr>
          <w:rFonts w:hint="eastAsia" w:hAnsi="宋体" w:cs="宋体"/>
          <w:color w:val="auto"/>
          <w:highlight w:val="none"/>
        </w:rPr>
        <w:br w:type="page"/>
      </w:r>
      <w:r>
        <w:rPr>
          <w:rFonts w:hint="eastAsia" w:hAnsi="宋体" w:cs="宋体"/>
          <w:b/>
          <w:color w:val="auto"/>
          <w:sz w:val="24"/>
          <w:highlight w:val="none"/>
          <w:lang w:val="en-US" w:eastAsia="zh-CN"/>
        </w:rPr>
        <w:t>表5：</w:t>
      </w:r>
      <w:r>
        <w:rPr>
          <w:rFonts w:hint="eastAsia" w:hAnsi="宋体" w:cs="宋体"/>
          <w:b/>
          <w:color w:val="auto"/>
          <w:sz w:val="24"/>
          <w:highlight w:val="none"/>
        </w:rPr>
        <w:t>拟投入本项目的主要试验监测</w:t>
      </w:r>
      <w:r>
        <w:rPr>
          <w:rFonts w:hint="eastAsia" w:hAnsi="宋体" w:cs="宋体"/>
          <w:b/>
          <w:color w:val="auto"/>
          <w:sz w:val="24"/>
          <w:szCs w:val="21"/>
          <w:highlight w:val="none"/>
        </w:rPr>
        <w:t>设</w:t>
      </w:r>
      <w:r>
        <w:rPr>
          <w:rFonts w:hint="eastAsia" w:hAnsi="宋体" w:cs="宋体"/>
          <w:b/>
          <w:color w:val="auto"/>
          <w:sz w:val="24"/>
          <w:highlight w:val="none"/>
        </w:rPr>
        <w:t>备一览表</w:t>
      </w:r>
    </w:p>
    <w:tbl>
      <w:tblPr>
        <w:tblStyle w:val="38"/>
        <w:tblW w:w="90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4102"/>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spacing w:before="156" w:beforeLines="50" w:after="156" w:afterLines="50" w:line="360" w:lineRule="auto"/>
              <w:jc w:val="center"/>
              <w:rPr>
                <w:rFonts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序号</w:t>
            </w:r>
          </w:p>
        </w:tc>
        <w:tc>
          <w:tcPr>
            <w:tcW w:w="4102" w:type="dxa"/>
            <w:vAlign w:val="center"/>
          </w:tcPr>
          <w:p>
            <w:pPr>
              <w:spacing w:before="156" w:beforeLines="50" w:after="156" w:afterLines="50" w:line="360" w:lineRule="auto"/>
              <w:jc w:val="center"/>
              <w:rPr>
                <w:rFonts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设备名称</w:t>
            </w:r>
          </w:p>
        </w:tc>
        <w:tc>
          <w:tcPr>
            <w:tcW w:w="3675" w:type="dxa"/>
            <w:vAlign w:val="center"/>
          </w:tcPr>
          <w:p>
            <w:pPr>
              <w:spacing w:before="156" w:beforeLines="50" w:after="156" w:afterLines="50" w:line="360" w:lineRule="auto"/>
              <w:jc w:val="center"/>
              <w:rPr>
                <w:rFonts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20"/>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w:t>
            </w:r>
          </w:p>
        </w:tc>
        <w:tc>
          <w:tcPr>
            <w:tcW w:w="4102" w:type="dxa"/>
            <w:vAlign w:val="center"/>
          </w:tcPr>
          <w:p>
            <w:pPr>
              <w:ind w:firstLine="1201" w:firstLineChars="500"/>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基坑监测设备</w:t>
            </w:r>
          </w:p>
        </w:tc>
        <w:tc>
          <w:tcPr>
            <w:tcW w:w="3675" w:type="dxa"/>
            <w:vAlign w:val="center"/>
          </w:tcPr>
          <w:p>
            <w:pPr>
              <w:pStyle w:val="30"/>
              <w:spacing w:after="0"/>
              <w:ind w:left="0" w:left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水准仪</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全站仪</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测斜仪</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水位计</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频率读数仪</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电脑</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打印机</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rPr>
            </w:pP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9</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rPr>
            </w:pP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20"/>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w:t>
            </w:r>
          </w:p>
        </w:tc>
        <w:tc>
          <w:tcPr>
            <w:tcW w:w="4102" w:type="dxa"/>
            <w:vAlign w:val="center"/>
          </w:tcPr>
          <w:p>
            <w:pPr>
              <w:pStyle w:val="30"/>
              <w:spacing w:after="0"/>
              <w:ind w:left="0" w:leftChars="0"/>
              <w:jc w:val="center"/>
              <w:rPr>
                <w:rFonts w:ascii="宋体" w:hAnsi="宋体" w:cs="宋体"/>
                <w:b/>
                <w:color w:val="auto"/>
                <w:sz w:val="24"/>
                <w:szCs w:val="24"/>
                <w:highlight w:val="none"/>
              </w:rPr>
            </w:pPr>
            <w:r>
              <w:rPr>
                <w:rFonts w:hint="eastAsia" w:ascii="宋体" w:hAnsi="宋体" w:cs="宋体"/>
                <w:b/>
                <w:color w:val="auto"/>
                <w:sz w:val="24"/>
                <w:szCs w:val="24"/>
                <w:highlight w:val="none"/>
              </w:rPr>
              <w:t>主体沉降监测设备</w:t>
            </w:r>
          </w:p>
        </w:tc>
        <w:tc>
          <w:tcPr>
            <w:tcW w:w="3675" w:type="dxa"/>
            <w:vAlign w:val="center"/>
          </w:tcPr>
          <w:p>
            <w:pPr>
              <w:pStyle w:val="30"/>
              <w:spacing w:after="0"/>
              <w:ind w:left="0" w:left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水准仪</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全站仪</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电脑</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打印机</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rPr>
            </w:pP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20"/>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三</w:t>
            </w:r>
          </w:p>
        </w:tc>
        <w:tc>
          <w:tcPr>
            <w:tcW w:w="4102" w:type="dxa"/>
            <w:vAlign w:val="center"/>
          </w:tcPr>
          <w:p>
            <w:pPr>
              <w:pStyle w:val="30"/>
              <w:spacing w:after="0"/>
              <w:ind w:left="0" w:leftChars="0"/>
              <w:jc w:val="center"/>
              <w:rPr>
                <w:rFonts w:ascii="宋体" w:hAnsi="宋体" w:cs="宋体"/>
                <w:color w:val="auto"/>
                <w:sz w:val="24"/>
                <w:szCs w:val="24"/>
                <w:highlight w:val="none"/>
              </w:rPr>
            </w:pPr>
            <w:r>
              <w:rPr>
                <w:rFonts w:hint="eastAsia" w:ascii="宋体" w:hAnsi="宋体" w:cs="宋体"/>
                <w:b/>
                <w:color w:val="auto"/>
                <w:sz w:val="24"/>
                <w:szCs w:val="24"/>
                <w:highlight w:val="none"/>
              </w:rPr>
              <w:t>高支模监测设备</w:t>
            </w:r>
          </w:p>
        </w:tc>
        <w:tc>
          <w:tcPr>
            <w:tcW w:w="3675" w:type="dxa"/>
            <w:vAlign w:val="center"/>
          </w:tcPr>
          <w:p>
            <w:pPr>
              <w:pStyle w:val="30"/>
              <w:spacing w:after="0"/>
              <w:ind w:left="0" w:left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水准仪</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全站仪</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p>
        </w:tc>
        <w:tc>
          <w:tcPr>
            <w:tcW w:w="4102" w:type="dxa"/>
            <w:vAlign w:val="center"/>
          </w:tcPr>
          <w:p>
            <w:pPr>
              <w:ind w:firstLine="480" w:firstLineChars="20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智能无线数据采集系统</w:t>
            </w:r>
          </w:p>
        </w:tc>
        <w:tc>
          <w:tcPr>
            <w:tcW w:w="3675" w:type="dxa"/>
            <w:vAlign w:val="center"/>
          </w:tcPr>
          <w:p>
            <w:pPr>
              <w:ind w:firstLine="480" w:firstLineChars="20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电脑</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274" w:type="dxa"/>
            <w:vAlign w:val="center"/>
          </w:tcPr>
          <w:p>
            <w:pPr>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w:t>
            </w:r>
          </w:p>
        </w:tc>
        <w:tc>
          <w:tcPr>
            <w:tcW w:w="4102" w:type="dxa"/>
            <w:vAlign w:val="center"/>
          </w:tcPr>
          <w:p>
            <w:pPr>
              <w:ind w:firstLine="480" w:firstLineChars="20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打印机</w:t>
            </w:r>
          </w:p>
        </w:tc>
        <w:tc>
          <w:tcPr>
            <w:tcW w:w="3675" w:type="dxa"/>
            <w:vAlign w:val="center"/>
          </w:tcPr>
          <w:p>
            <w:pPr>
              <w:ind w:firstLine="480" w:firstLineChars="20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台</w:t>
            </w:r>
          </w:p>
        </w:tc>
      </w:tr>
    </w:tbl>
    <w:p>
      <w:pPr>
        <w:spacing w:line="360" w:lineRule="auto"/>
        <w:rPr>
          <w:color w:val="auto"/>
          <w:highlight w:val="none"/>
        </w:rPr>
      </w:pPr>
      <w:r>
        <w:rPr>
          <w:rFonts w:hint="eastAsia" w:ascii="宋体" w:hAnsi="宋体" w:cs="宋体"/>
          <w:color w:val="auto"/>
          <w:highlight w:val="none"/>
        </w:rPr>
        <w:t>注：以上三类工作内容所需设备存在相同项的，按其中工作内容要求配备数量最多的（基坑监测设备）配备即可。本表只作为详细评审的内容，不作为否决性审查的依据。</w:t>
      </w:r>
    </w:p>
    <w:p>
      <w:pPr>
        <w:pStyle w:val="20"/>
        <w:adjustRightInd w:val="0"/>
        <w:snapToGrid w:val="0"/>
        <w:spacing w:line="360" w:lineRule="auto"/>
        <w:rPr>
          <w:rFonts w:hint="eastAsia" w:hAnsi="宋体" w:cs="宋体"/>
          <w:b/>
          <w:color w:val="auto"/>
          <w:sz w:val="24"/>
          <w:highlight w:val="none"/>
        </w:rPr>
      </w:pPr>
    </w:p>
    <w:p>
      <w:pPr>
        <w:pStyle w:val="20"/>
        <w:adjustRightInd w:val="0"/>
        <w:snapToGrid w:val="0"/>
        <w:spacing w:line="360" w:lineRule="auto"/>
        <w:rPr>
          <w:rFonts w:hint="eastAsia" w:hAnsi="宋体" w:cs="宋体"/>
          <w:b/>
          <w:color w:val="auto"/>
          <w:sz w:val="24"/>
          <w:highlight w:val="none"/>
        </w:rPr>
      </w:pPr>
    </w:p>
    <w:p>
      <w:pPr>
        <w:pStyle w:val="20"/>
        <w:adjustRightInd w:val="0"/>
        <w:snapToGrid w:val="0"/>
        <w:spacing w:line="360" w:lineRule="auto"/>
        <w:jc w:val="left"/>
        <w:rPr>
          <w:rFonts w:hint="eastAsia" w:hAnsi="宋体" w:cs="宋体"/>
          <w:b/>
          <w:color w:val="auto"/>
          <w:sz w:val="24"/>
          <w:highlight w:val="none"/>
        </w:rPr>
      </w:pPr>
    </w:p>
    <w:p>
      <w:pPr>
        <w:pStyle w:val="20"/>
        <w:adjustRightInd w:val="0"/>
        <w:snapToGrid w:val="0"/>
        <w:spacing w:line="360" w:lineRule="auto"/>
        <w:jc w:val="left"/>
        <w:rPr>
          <w:rFonts w:hint="eastAsia" w:hAnsi="宋体" w:cs="宋体"/>
          <w:b/>
          <w:color w:val="auto"/>
          <w:sz w:val="24"/>
          <w:highlight w:val="none"/>
        </w:rPr>
      </w:pPr>
      <w:r>
        <w:rPr>
          <w:rFonts w:hint="eastAsia" w:hAnsi="宋体" w:cs="宋体"/>
          <w:b/>
          <w:color w:val="auto"/>
          <w:sz w:val="24"/>
          <w:highlight w:val="none"/>
          <w:lang w:val="en-US" w:eastAsia="zh-CN"/>
        </w:rPr>
        <w:t>表6：</w:t>
      </w:r>
      <w:r>
        <w:rPr>
          <w:rFonts w:hint="eastAsia" w:hAnsi="宋体" w:cs="宋体"/>
          <w:b/>
          <w:color w:val="auto"/>
          <w:sz w:val="24"/>
          <w:highlight w:val="none"/>
        </w:rPr>
        <w:t>投标单位（2018年1月1日至今）监测业绩</w:t>
      </w:r>
    </w:p>
    <w:p>
      <w:pPr>
        <w:pStyle w:val="20"/>
        <w:adjustRightInd w:val="0"/>
        <w:snapToGrid w:val="0"/>
        <w:spacing w:line="240" w:lineRule="exact"/>
        <w:jc w:val="center"/>
        <w:rPr>
          <w:rFonts w:hint="eastAsia" w:hAnsi="宋体" w:cs="宋体"/>
          <w:b/>
          <w:color w:val="auto"/>
          <w:sz w:val="30"/>
          <w:highlight w:val="none"/>
        </w:rPr>
      </w:pPr>
    </w:p>
    <w:tbl>
      <w:tblPr>
        <w:tblStyle w:val="38"/>
        <w:tblW w:w="946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80"/>
        <w:gridCol w:w="1980"/>
        <w:gridCol w:w="3240"/>
        <w:gridCol w:w="15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noWrap w:val="0"/>
            <w:vAlign w:val="center"/>
          </w:tcPr>
          <w:p>
            <w:pPr>
              <w:jc w:val="center"/>
              <w:rPr>
                <w:rFonts w:hint="eastAsia" w:ascii="宋体" w:hAnsi="宋体" w:cs="宋体"/>
                <w:b/>
                <w:color w:val="auto"/>
                <w:highlight w:val="none"/>
              </w:rPr>
            </w:pPr>
            <w:r>
              <w:rPr>
                <w:rFonts w:hint="eastAsia" w:ascii="宋体" w:hAnsi="宋体" w:cs="宋体"/>
                <w:b/>
                <w:color w:val="auto"/>
                <w:highlight w:val="none"/>
              </w:rPr>
              <w:t>序号</w:t>
            </w:r>
          </w:p>
        </w:tc>
        <w:tc>
          <w:tcPr>
            <w:tcW w:w="1980" w:type="dxa"/>
            <w:noWrap w:val="0"/>
            <w:vAlign w:val="center"/>
          </w:tcPr>
          <w:p>
            <w:pPr>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1980" w:type="dxa"/>
            <w:noWrap w:val="0"/>
            <w:vAlign w:val="center"/>
          </w:tcPr>
          <w:p>
            <w:pPr>
              <w:ind w:left="149" w:hanging="149"/>
              <w:jc w:val="center"/>
              <w:rPr>
                <w:rFonts w:hint="eastAsia" w:ascii="宋体" w:hAnsi="宋体" w:cs="宋体"/>
                <w:b/>
                <w:color w:val="auto"/>
                <w:highlight w:val="none"/>
              </w:rPr>
            </w:pPr>
            <w:r>
              <w:rPr>
                <w:rFonts w:hint="eastAsia" w:ascii="宋体" w:hAnsi="宋体" w:cs="宋体"/>
                <w:b/>
                <w:color w:val="auto"/>
                <w:highlight w:val="none"/>
              </w:rPr>
              <w:t>工程概况</w:t>
            </w:r>
          </w:p>
        </w:tc>
        <w:tc>
          <w:tcPr>
            <w:tcW w:w="3240" w:type="dxa"/>
            <w:noWrap w:val="0"/>
            <w:vAlign w:val="center"/>
          </w:tcPr>
          <w:p>
            <w:pPr>
              <w:jc w:val="center"/>
              <w:rPr>
                <w:rFonts w:hint="eastAsia" w:ascii="宋体" w:hAnsi="宋体" w:cs="宋体"/>
                <w:b/>
                <w:color w:val="auto"/>
                <w:highlight w:val="none"/>
              </w:rPr>
            </w:pPr>
            <w:r>
              <w:rPr>
                <w:rFonts w:hint="eastAsia" w:ascii="宋体" w:hAnsi="宋体" w:cs="宋体"/>
                <w:b/>
                <w:color w:val="auto"/>
                <w:highlight w:val="none"/>
              </w:rPr>
              <w:t>试验监测项目内容</w:t>
            </w:r>
          </w:p>
        </w:tc>
        <w:tc>
          <w:tcPr>
            <w:tcW w:w="1507" w:type="dxa"/>
            <w:noWrap w:val="0"/>
            <w:vAlign w:val="center"/>
          </w:tcPr>
          <w:p>
            <w:pPr>
              <w:jc w:val="center"/>
              <w:rPr>
                <w:rFonts w:hint="eastAsia" w:ascii="宋体" w:hAnsi="宋体" w:cs="宋体"/>
                <w:b/>
                <w:color w:val="auto"/>
                <w:highlight w:val="none"/>
              </w:rPr>
            </w:pPr>
            <w:r>
              <w:rPr>
                <w:rFonts w:hint="eastAsia" w:ascii="宋体" w:hAnsi="宋体" w:cs="宋体"/>
                <w:b/>
                <w:color w:val="auto"/>
                <w:highlight w:val="none"/>
              </w:rPr>
              <w:t>业主名称、</w:t>
            </w:r>
          </w:p>
          <w:p>
            <w:pPr>
              <w:jc w:val="center"/>
              <w:rPr>
                <w:rFonts w:hint="eastAsia" w:ascii="宋体" w:hAnsi="宋体" w:cs="宋体"/>
                <w:b/>
                <w:color w:val="auto"/>
                <w:highlight w:val="none"/>
              </w:rPr>
            </w:pPr>
            <w:r>
              <w:rPr>
                <w:rFonts w:hint="eastAsia" w:ascii="宋体" w:hAnsi="宋体" w:cs="宋体"/>
                <w:b/>
                <w:color w:val="auto"/>
                <w:highlight w:val="none"/>
              </w:rPr>
              <w:t>地址、电话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761" w:type="dxa"/>
            <w:noWrap w:val="0"/>
            <w:vAlign w:val="top"/>
          </w:tcPr>
          <w:p>
            <w:pPr>
              <w:rPr>
                <w:rFonts w:hint="eastAsia" w:ascii="宋体" w:hAnsi="宋体" w:cs="宋体"/>
                <w:color w:val="auto"/>
                <w:highlight w:val="none"/>
              </w:rPr>
            </w:pPr>
          </w:p>
        </w:tc>
        <w:tc>
          <w:tcPr>
            <w:tcW w:w="1980" w:type="dxa"/>
            <w:noWrap w:val="0"/>
            <w:vAlign w:val="center"/>
          </w:tcPr>
          <w:p>
            <w:pPr>
              <w:rPr>
                <w:rFonts w:hint="eastAsia" w:ascii="宋体" w:hAnsi="宋体" w:cs="宋体"/>
                <w:color w:val="auto"/>
                <w:highlight w:val="none"/>
              </w:rPr>
            </w:pPr>
          </w:p>
        </w:tc>
        <w:tc>
          <w:tcPr>
            <w:tcW w:w="1980" w:type="dxa"/>
            <w:noWrap w:val="0"/>
            <w:vAlign w:val="center"/>
          </w:tcPr>
          <w:p>
            <w:pPr>
              <w:jc w:val="center"/>
              <w:rPr>
                <w:rFonts w:hint="eastAsia" w:ascii="宋体" w:hAnsi="宋体" w:cs="宋体"/>
                <w:color w:val="auto"/>
                <w:highlight w:val="none"/>
              </w:rPr>
            </w:pPr>
          </w:p>
        </w:tc>
        <w:tc>
          <w:tcPr>
            <w:tcW w:w="3240" w:type="dxa"/>
            <w:noWrap w:val="0"/>
            <w:vAlign w:val="center"/>
          </w:tcPr>
          <w:p>
            <w:pPr>
              <w:jc w:val="center"/>
              <w:rPr>
                <w:rFonts w:hint="eastAsia" w:ascii="宋体" w:hAnsi="宋体" w:cs="宋体"/>
                <w:color w:val="auto"/>
                <w:highlight w:val="none"/>
              </w:rPr>
            </w:pPr>
          </w:p>
        </w:tc>
        <w:tc>
          <w:tcPr>
            <w:tcW w:w="1507" w:type="dxa"/>
            <w:noWrap w:val="0"/>
            <w:vAlign w:val="center"/>
          </w:tcPr>
          <w:p>
            <w:pPr>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61" w:type="dxa"/>
            <w:noWrap w:val="0"/>
            <w:vAlign w:val="top"/>
          </w:tcPr>
          <w:p>
            <w:pPr>
              <w:rPr>
                <w:rFonts w:hint="eastAsia" w:ascii="宋体" w:hAnsi="宋体" w:cs="宋体"/>
                <w:color w:val="auto"/>
                <w:highlight w:val="none"/>
              </w:rPr>
            </w:pPr>
          </w:p>
        </w:tc>
        <w:tc>
          <w:tcPr>
            <w:tcW w:w="1980" w:type="dxa"/>
            <w:noWrap w:val="0"/>
            <w:vAlign w:val="center"/>
          </w:tcPr>
          <w:p>
            <w:pPr>
              <w:rPr>
                <w:rFonts w:hint="eastAsia" w:ascii="宋体" w:hAnsi="宋体" w:cs="宋体"/>
                <w:color w:val="auto"/>
                <w:highlight w:val="none"/>
              </w:rPr>
            </w:pPr>
          </w:p>
        </w:tc>
        <w:tc>
          <w:tcPr>
            <w:tcW w:w="1980" w:type="dxa"/>
            <w:noWrap w:val="0"/>
            <w:vAlign w:val="center"/>
          </w:tcPr>
          <w:p>
            <w:pPr>
              <w:jc w:val="center"/>
              <w:rPr>
                <w:rFonts w:hint="eastAsia" w:ascii="宋体" w:hAnsi="宋体" w:cs="宋体"/>
                <w:color w:val="auto"/>
                <w:highlight w:val="none"/>
              </w:rPr>
            </w:pPr>
          </w:p>
        </w:tc>
        <w:tc>
          <w:tcPr>
            <w:tcW w:w="3240" w:type="dxa"/>
            <w:noWrap w:val="0"/>
            <w:vAlign w:val="center"/>
          </w:tcPr>
          <w:p>
            <w:pPr>
              <w:jc w:val="center"/>
              <w:rPr>
                <w:rFonts w:hint="eastAsia" w:ascii="宋体" w:hAnsi="宋体" w:cs="宋体"/>
                <w:color w:val="auto"/>
                <w:highlight w:val="none"/>
              </w:rPr>
            </w:pPr>
          </w:p>
        </w:tc>
        <w:tc>
          <w:tcPr>
            <w:tcW w:w="1507" w:type="dxa"/>
            <w:noWrap w:val="0"/>
            <w:vAlign w:val="center"/>
          </w:tcPr>
          <w:p>
            <w:pPr>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761" w:type="dxa"/>
            <w:noWrap w:val="0"/>
            <w:vAlign w:val="top"/>
          </w:tcPr>
          <w:p>
            <w:pPr>
              <w:rPr>
                <w:rFonts w:hint="eastAsia" w:ascii="宋体" w:hAnsi="宋体" w:cs="宋体"/>
                <w:color w:val="auto"/>
                <w:highlight w:val="none"/>
              </w:rPr>
            </w:pPr>
          </w:p>
        </w:tc>
        <w:tc>
          <w:tcPr>
            <w:tcW w:w="1980" w:type="dxa"/>
            <w:noWrap w:val="0"/>
            <w:vAlign w:val="center"/>
          </w:tcPr>
          <w:p>
            <w:pPr>
              <w:rPr>
                <w:rFonts w:hint="eastAsia" w:ascii="宋体" w:hAnsi="宋体" w:cs="宋体"/>
                <w:color w:val="auto"/>
                <w:highlight w:val="none"/>
              </w:rPr>
            </w:pPr>
          </w:p>
        </w:tc>
        <w:tc>
          <w:tcPr>
            <w:tcW w:w="1980" w:type="dxa"/>
            <w:noWrap w:val="0"/>
            <w:vAlign w:val="center"/>
          </w:tcPr>
          <w:p>
            <w:pPr>
              <w:jc w:val="center"/>
              <w:rPr>
                <w:rFonts w:hint="eastAsia" w:ascii="宋体" w:hAnsi="宋体" w:cs="宋体"/>
                <w:color w:val="auto"/>
                <w:highlight w:val="none"/>
              </w:rPr>
            </w:pPr>
          </w:p>
        </w:tc>
        <w:tc>
          <w:tcPr>
            <w:tcW w:w="3240" w:type="dxa"/>
            <w:noWrap w:val="0"/>
            <w:vAlign w:val="center"/>
          </w:tcPr>
          <w:p>
            <w:pPr>
              <w:jc w:val="center"/>
              <w:rPr>
                <w:rFonts w:hint="eastAsia" w:ascii="宋体" w:hAnsi="宋体" w:cs="宋体"/>
                <w:color w:val="auto"/>
                <w:highlight w:val="none"/>
              </w:rPr>
            </w:pPr>
          </w:p>
        </w:tc>
        <w:tc>
          <w:tcPr>
            <w:tcW w:w="1507" w:type="dxa"/>
            <w:noWrap w:val="0"/>
            <w:vAlign w:val="center"/>
          </w:tcPr>
          <w:p>
            <w:pPr>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761" w:type="dxa"/>
            <w:noWrap w:val="0"/>
            <w:vAlign w:val="top"/>
          </w:tcPr>
          <w:p>
            <w:pPr>
              <w:rPr>
                <w:rFonts w:hint="eastAsia" w:ascii="宋体" w:hAnsi="宋体" w:cs="宋体"/>
                <w:color w:val="auto"/>
                <w:highlight w:val="none"/>
              </w:rPr>
            </w:pPr>
          </w:p>
        </w:tc>
        <w:tc>
          <w:tcPr>
            <w:tcW w:w="1980" w:type="dxa"/>
            <w:noWrap w:val="0"/>
            <w:vAlign w:val="center"/>
          </w:tcPr>
          <w:p>
            <w:pPr>
              <w:rPr>
                <w:rFonts w:hint="eastAsia" w:ascii="宋体" w:hAnsi="宋体" w:cs="宋体"/>
                <w:color w:val="auto"/>
                <w:highlight w:val="none"/>
              </w:rPr>
            </w:pPr>
          </w:p>
        </w:tc>
        <w:tc>
          <w:tcPr>
            <w:tcW w:w="1980" w:type="dxa"/>
            <w:noWrap w:val="0"/>
            <w:vAlign w:val="center"/>
          </w:tcPr>
          <w:p>
            <w:pPr>
              <w:jc w:val="center"/>
              <w:rPr>
                <w:rFonts w:hint="eastAsia" w:ascii="宋体" w:hAnsi="宋体" w:cs="宋体"/>
                <w:color w:val="auto"/>
                <w:highlight w:val="none"/>
              </w:rPr>
            </w:pPr>
          </w:p>
        </w:tc>
        <w:tc>
          <w:tcPr>
            <w:tcW w:w="3240" w:type="dxa"/>
            <w:noWrap w:val="0"/>
            <w:vAlign w:val="center"/>
          </w:tcPr>
          <w:p>
            <w:pPr>
              <w:jc w:val="center"/>
              <w:rPr>
                <w:rFonts w:hint="eastAsia" w:ascii="宋体" w:hAnsi="宋体" w:cs="宋体"/>
                <w:color w:val="auto"/>
                <w:highlight w:val="none"/>
              </w:rPr>
            </w:pPr>
          </w:p>
        </w:tc>
        <w:tc>
          <w:tcPr>
            <w:tcW w:w="1507" w:type="dxa"/>
            <w:noWrap w:val="0"/>
            <w:vAlign w:val="center"/>
          </w:tcPr>
          <w:p>
            <w:pPr>
              <w:jc w:val="center"/>
              <w:rPr>
                <w:rFonts w:hint="eastAsia" w:ascii="宋体" w:hAnsi="宋体" w:cs="宋体"/>
                <w:color w:val="auto"/>
                <w:highlight w:val="none"/>
              </w:rPr>
            </w:pPr>
          </w:p>
        </w:tc>
      </w:tr>
    </w:tbl>
    <w:p>
      <w:pPr>
        <w:rPr>
          <w:rFonts w:hint="eastAsia" w:ascii="宋体" w:hAnsi="宋体" w:cs="宋体"/>
          <w:color w:val="auto"/>
          <w:highlight w:val="none"/>
        </w:rPr>
      </w:pPr>
      <w:r>
        <w:rPr>
          <w:rFonts w:hint="eastAsia" w:ascii="宋体" w:hAnsi="宋体" w:cs="宋体"/>
          <w:color w:val="auto"/>
          <w:highlight w:val="none"/>
        </w:rPr>
        <w:t>注： 1、业绩须按招标公告、招标文件要求附其有效证明。</w:t>
      </w:r>
    </w:p>
    <w:p>
      <w:pPr>
        <w:spacing w:line="360" w:lineRule="auto"/>
        <w:rPr>
          <w:rFonts w:ascii="宋体" w:hAnsi="宋体" w:cs="宋体"/>
          <w:color w:val="auto"/>
          <w:highlight w:val="none"/>
        </w:rPr>
      </w:pPr>
      <w:r>
        <w:rPr>
          <w:rFonts w:hint="eastAsia" w:ascii="宋体" w:hAnsi="宋体" w:eastAsia="宋体" w:cs="宋体"/>
          <w:color w:val="auto"/>
          <w:highlight w:val="none"/>
        </w:rPr>
        <w:br w:type="page"/>
      </w:r>
      <w:bookmarkEnd w:id="307"/>
      <w:bookmarkEnd w:id="308"/>
    </w:p>
    <w:p>
      <w:pPr>
        <w:pStyle w:val="4"/>
        <w:spacing w:after="269"/>
        <w:ind w:left="0" w:right="220" w:firstLine="0"/>
        <w:jc w:val="center"/>
        <w:rPr>
          <w:rFonts w:ascii="宋体" w:hAnsi="宋体" w:eastAsia="宋体" w:cs="宋体"/>
          <w:b/>
          <w:bCs/>
          <w:color w:val="auto"/>
          <w:sz w:val="32"/>
          <w:highlight w:val="none"/>
        </w:rPr>
      </w:pPr>
      <w:bookmarkStart w:id="309" w:name="_Toc508788715"/>
      <w:bookmarkStart w:id="310" w:name="_Toc142406665"/>
      <w:r>
        <w:rPr>
          <w:rFonts w:hint="eastAsia" w:ascii="宋体" w:hAnsi="宋体" w:eastAsia="宋体" w:cs="宋体"/>
          <w:b/>
          <w:bCs/>
          <w:color w:val="auto"/>
          <w:sz w:val="32"/>
          <w:highlight w:val="none"/>
        </w:rPr>
        <w:t>格式</w:t>
      </w:r>
      <w:r>
        <w:rPr>
          <w:rFonts w:hint="eastAsia" w:ascii="宋体" w:hAnsi="宋体" w:eastAsia="宋体" w:cs="宋体"/>
          <w:b/>
          <w:bCs/>
          <w:color w:val="auto"/>
          <w:sz w:val="32"/>
          <w:highlight w:val="none"/>
          <w:lang w:val="en-US" w:eastAsia="zh-CN"/>
        </w:rPr>
        <w:t>六</w:t>
      </w:r>
      <w:r>
        <w:rPr>
          <w:rFonts w:hint="eastAsia" w:ascii="宋体" w:hAnsi="宋体" w:eastAsia="宋体" w:cs="宋体"/>
          <w:b/>
          <w:bCs/>
          <w:color w:val="auto"/>
          <w:sz w:val="32"/>
          <w:highlight w:val="none"/>
        </w:rPr>
        <w:t>、</w:t>
      </w:r>
      <w:bookmarkEnd w:id="309"/>
      <w:r>
        <w:rPr>
          <w:rFonts w:hint="eastAsia" w:ascii="宋体" w:hAnsi="宋体" w:eastAsia="宋体" w:cs="宋体"/>
          <w:b/>
          <w:bCs/>
          <w:color w:val="auto"/>
          <w:sz w:val="32"/>
          <w:highlight w:val="none"/>
        </w:rPr>
        <w:t>监测方案</w:t>
      </w:r>
      <w:r>
        <w:rPr>
          <w:rFonts w:hint="eastAsia" w:ascii="宋体" w:hAnsi="宋体" w:eastAsia="宋体" w:cs="宋体"/>
          <w:b/>
          <w:bCs/>
          <w:color w:val="auto"/>
          <w:sz w:val="28"/>
          <w:szCs w:val="28"/>
          <w:highlight w:val="none"/>
        </w:rPr>
        <w:t>（格式可自定）</w:t>
      </w:r>
      <w:bookmarkEnd w:id="310"/>
    </w:p>
    <w:p>
      <w:pPr>
        <w:snapToGrid w:val="0"/>
        <w:ind w:firstLine="440" w:firstLineChars="200"/>
        <w:rPr>
          <w:rFonts w:ascii="宋体" w:hAnsi="宋体" w:eastAsia="宋体" w:cs="宋体"/>
          <w:bCs/>
          <w:color w:val="auto"/>
          <w:szCs w:val="21"/>
          <w:highlight w:val="none"/>
        </w:rPr>
      </w:pPr>
    </w:p>
    <w:p>
      <w:pPr>
        <w:pStyle w:val="36"/>
        <w:ind w:firstLine="0"/>
        <w:jc w:val="center"/>
        <w:rPr>
          <w:rFonts w:ascii="宋体" w:hAnsi="宋体" w:cs="宋体"/>
          <w:color w:val="auto"/>
          <w:szCs w:val="21"/>
          <w:highlight w:val="none"/>
        </w:rPr>
      </w:pPr>
      <w:r>
        <w:rPr>
          <w:rFonts w:hint="eastAsia" w:ascii="宋体" w:hAnsi="宋体" w:cs="宋体"/>
          <w:b/>
          <w:color w:val="auto"/>
          <w:szCs w:val="21"/>
          <w:highlight w:val="none"/>
        </w:rPr>
        <w:t>（由投标单位根据招标文件要求结合本工程的特点和实际情况自行编写）</w:t>
      </w:r>
    </w:p>
    <w:p>
      <w:pPr>
        <w:pStyle w:val="3"/>
        <w:spacing w:after="176"/>
        <w:ind w:right="216"/>
        <w:rPr>
          <w:rFonts w:ascii="宋体" w:hAnsi="宋体" w:eastAsia="宋体" w:cs="宋体"/>
          <w:b/>
          <w:bCs/>
          <w:color w:val="auto"/>
          <w:sz w:val="32"/>
          <w:highlight w:val="none"/>
        </w:rPr>
      </w:pPr>
      <w:r>
        <w:rPr>
          <w:rFonts w:hint="eastAsia" w:ascii="宋体" w:hAnsi="宋体" w:eastAsia="宋体" w:cs="宋体"/>
          <w:color w:val="auto"/>
          <w:sz w:val="21"/>
          <w:highlight w:val="none"/>
        </w:rPr>
        <w:br w:type="page"/>
      </w:r>
      <w:bookmarkStart w:id="311" w:name="_Toc508788716"/>
      <w:bookmarkStart w:id="312" w:name="_Toc142406666"/>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highlight w:val="none"/>
        </w:rPr>
        <w:t>、其他资料</w:t>
      </w:r>
      <w:bookmarkEnd w:id="311"/>
      <w:bookmarkEnd w:id="312"/>
    </w:p>
    <w:p>
      <w:pPr>
        <w:rPr>
          <w:rFonts w:ascii="宋体" w:hAnsi="宋体" w:eastAsia="宋体" w:cs="宋体"/>
          <w:color w:val="auto"/>
          <w:highlight w:val="none"/>
        </w:rPr>
      </w:pPr>
    </w:p>
    <w:sectPr>
      <w:headerReference r:id="rId7" w:type="default"/>
      <w:footerReference r:id="rId8" w:type="default"/>
      <w:pgSz w:w="11907" w:h="16840"/>
      <w:pgMar w:top="1446" w:right="1134" w:bottom="1469"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方正书宋简体">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2</w:t>
    </w:r>
    <w:r>
      <w:rPr>
        <w:lang w:val="zh-CN"/>
      </w:rP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7</w:t>
    </w:r>
    <w:r>
      <w:fldChar w:fldCharType="end"/>
    </w:r>
  </w:p>
  <w:p>
    <w:pPr>
      <w:spacing w:after="0"/>
      <w:ind w:right="8233"/>
      <w:jc w:val="right"/>
    </w:pPr>
  </w:p>
  <w:p>
    <w:pPr>
      <w:spacing w:after="0"/>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410" w:firstLineChars="2450"/>
    </w:pPr>
    <w:r>
      <w:fldChar w:fldCharType="begin"/>
    </w:r>
    <w:r>
      <w:rPr>
        <w:rStyle w:val="40"/>
      </w:rPr>
      <w:instrText xml:space="preserve"> PAGE </w:instrText>
    </w:r>
    <w:r>
      <w:fldChar w:fldCharType="separate"/>
    </w:r>
    <w:r>
      <w:rPr>
        <w:rStyle w:val="40"/>
      </w:rPr>
      <w:t>20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410" w:firstLineChars="2450"/>
    </w:pPr>
    <w:r>
      <w:fldChar w:fldCharType="begin"/>
    </w:r>
    <w:r>
      <w:rPr>
        <w:rStyle w:val="40"/>
      </w:rPr>
      <w:instrText xml:space="preserve"> PAGE </w:instrText>
    </w:r>
    <w:r>
      <w:fldChar w:fldCharType="separate"/>
    </w:r>
    <w:r>
      <w:rPr>
        <w:rStyle w:val="40"/>
      </w:rPr>
      <w:t>55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114D"/>
    <w:multiLevelType w:val="multilevel"/>
    <w:tmpl w:val="0C7C114D"/>
    <w:lvl w:ilvl="0" w:tentative="0">
      <w:start w:val="1"/>
      <w:numFmt w:val="decimal"/>
      <w:lvlText w:val="（%1）"/>
      <w:lvlJc w:val="left"/>
      <w:pPr>
        <w:ind w:left="20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1">
    <w:nsid w:val="119B2B79"/>
    <w:multiLevelType w:val="multilevel"/>
    <w:tmpl w:val="119B2B79"/>
    <w:lvl w:ilvl="0" w:tentative="0">
      <w:start w:val="3"/>
      <w:numFmt w:val="decimal"/>
      <w:lvlText w:val="（%1）"/>
      <w:lvlJc w:val="left"/>
      <w:pPr>
        <w:ind w:left="933"/>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2">
    <w:nsid w:val="16416FCA"/>
    <w:multiLevelType w:val="multilevel"/>
    <w:tmpl w:val="16416FCA"/>
    <w:lvl w:ilvl="0" w:tentative="0">
      <w:start w:val="1"/>
      <w:numFmt w:val="decimal"/>
      <w:lvlText w:val="（%1）"/>
      <w:lvlJc w:val="left"/>
      <w:pPr>
        <w:ind w:left="20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3">
    <w:nsid w:val="58C01329"/>
    <w:multiLevelType w:val="multilevel"/>
    <w:tmpl w:val="58C01329"/>
    <w:lvl w:ilvl="0" w:tentative="0">
      <w:start w:val="1"/>
      <w:numFmt w:val="decimal"/>
      <w:lvlText w:val="（%1）"/>
      <w:lvlJc w:val="left"/>
      <w:pPr>
        <w:ind w:left="718"/>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798"/>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518"/>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3238"/>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958"/>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678"/>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398"/>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6118"/>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838"/>
      </w:pPr>
      <w:rPr>
        <w:rFonts w:ascii="宋体" w:hAnsi="宋体" w:eastAsia="宋体" w:cs="宋体"/>
        <w:b w:val="0"/>
        <w:i w:val="0"/>
        <w:strike w:val="0"/>
        <w:dstrike w:val="0"/>
        <w:color w:val="000000"/>
        <w:sz w:val="21"/>
        <w:szCs w:val="21"/>
        <w:u w:val="none" w:color="000000"/>
        <w:vertAlign w:val="baseline"/>
      </w:rPr>
    </w:lvl>
  </w:abstractNum>
  <w:abstractNum w:abstractNumId="4">
    <w:nsid w:val="5E3156E4"/>
    <w:multiLevelType w:val="multilevel"/>
    <w:tmpl w:val="5E3156E4"/>
    <w:lvl w:ilvl="0" w:tentative="0">
      <w:start w:val="1"/>
      <w:numFmt w:val="decimal"/>
      <w:lvlText w:val="（%1）"/>
      <w:lvlJc w:val="left"/>
      <w:pPr>
        <w:ind w:left="407"/>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5">
    <w:nsid w:val="66226E52"/>
    <w:multiLevelType w:val="multilevel"/>
    <w:tmpl w:val="66226E52"/>
    <w:lvl w:ilvl="0" w:tentative="0">
      <w:start w:val="1"/>
      <w:numFmt w:val="decimal"/>
      <w:lvlText w:val="（%1）"/>
      <w:lvlJc w:val="left"/>
      <w:pPr>
        <w:ind w:left="31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vertAlign w:val="baseline"/>
      </w:rPr>
    </w:lvl>
  </w:abstractNum>
  <w:abstractNum w:abstractNumId="6">
    <w:nsid w:val="67DED61F"/>
    <w:multiLevelType w:val="singleLevel"/>
    <w:tmpl w:val="67DED61F"/>
    <w:lvl w:ilvl="0" w:tentative="0">
      <w:start w:val="2"/>
      <w:numFmt w:val="decimal"/>
      <w:lvlText w:val="%1."/>
      <w:lvlJc w:val="left"/>
      <w:pPr>
        <w:tabs>
          <w:tab w:val="left" w:pos="312"/>
        </w:tabs>
      </w:pPr>
    </w:lvl>
  </w:abstractNum>
  <w:abstractNum w:abstractNumId="7">
    <w:nsid w:val="69455A11"/>
    <w:multiLevelType w:val="multilevel"/>
    <w:tmpl w:val="69455A11"/>
    <w:lvl w:ilvl="0" w:tentative="0">
      <w:start w:val="1"/>
      <w:numFmt w:val="decimal"/>
      <w:lvlText w:val="（%1）"/>
      <w:lvlJc w:val="left"/>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vertAlign w:val="baseline"/>
      </w:rPr>
    </w:lvl>
  </w:abstractNum>
  <w:abstractNum w:abstractNumId="8">
    <w:nsid w:val="783B3B81"/>
    <w:multiLevelType w:val="multilevel"/>
    <w:tmpl w:val="783B3B81"/>
    <w:lvl w:ilvl="0" w:tentative="0">
      <w:start w:val="1"/>
      <w:numFmt w:val="decimal"/>
      <w:lvlText w:val="（%1）"/>
      <w:lvlJc w:val="left"/>
      <w:pPr>
        <w:ind w:left="933"/>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vertAlign w:val="baseline"/>
      </w:rPr>
    </w:lvl>
  </w:abstractNum>
  <w:num w:numId="1">
    <w:abstractNumId w:val="5"/>
  </w:num>
  <w:num w:numId="2">
    <w:abstractNumId w:val="7"/>
  </w:num>
  <w:num w:numId="3">
    <w:abstractNumId w:val="4"/>
  </w:num>
  <w:num w:numId="4">
    <w:abstractNumId w:val="8"/>
  </w:num>
  <w:num w:numId="5">
    <w:abstractNumId w:val="3"/>
  </w:num>
  <w:num w:numId="6">
    <w:abstractNumId w:val="1"/>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trackRevisions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FD6C24"/>
    <w:rsid w:val="00000982"/>
    <w:rsid w:val="00017180"/>
    <w:rsid w:val="00026EAB"/>
    <w:rsid w:val="00036397"/>
    <w:rsid w:val="0004059A"/>
    <w:rsid w:val="00040C3A"/>
    <w:rsid w:val="00041D3C"/>
    <w:rsid w:val="00042369"/>
    <w:rsid w:val="0005051F"/>
    <w:rsid w:val="0005363F"/>
    <w:rsid w:val="000678FD"/>
    <w:rsid w:val="000707FF"/>
    <w:rsid w:val="00072900"/>
    <w:rsid w:val="00084C0A"/>
    <w:rsid w:val="00086242"/>
    <w:rsid w:val="00087260"/>
    <w:rsid w:val="000A0165"/>
    <w:rsid w:val="000A2FB8"/>
    <w:rsid w:val="000A3457"/>
    <w:rsid w:val="000B3CF7"/>
    <w:rsid w:val="000B4236"/>
    <w:rsid w:val="000B43E2"/>
    <w:rsid w:val="000C477D"/>
    <w:rsid w:val="000C4BB5"/>
    <w:rsid w:val="000C5062"/>
    <w:rsid w:val="000C61C6"/>
    <w:rsid w:val="000C7C55"/>
    <w:rsid w:val="000E4C78"/>
    <w:rsid w:val="000E535F"/>
    <w:rsid w:val="000E5F2B"/>
    <w:rsid w:val="000F1161"/>
    <w:rsid w:val="001166E7"/>
    <w:rsid w:val="00157AAF"/>
    <w:rsid w:val="00162651"/>
    <w:rsid w:val="0016607C"/>
    <w:rsid w:val="00171518"/>
    <w:rsid w:val="00186EBA"/>
    <w:rsid w:val="001908E5"/>
    <w:rsid w:val="00195A79"/>
    <w:rsid w:val="001A7CEA"/>
    <w:rsid w:val="001A7FA2"/>
    <w:rsid w:val="001B2375"/>
    <w:rsid w:val="001B4421"/>
    <w:rsid w:val="001B7234"/>
    <w:rsid w:val="001B7B1C"/>
    <w:rsid w:val="001C32C0"/>
    <w:rsid w:val="001C77C2"/>
    <w:rsid w:val="001D4B50"/>
    <w:rsid w:val="001D75AF"/>
    <w:rsid w:val="001E1012"/>
    <w:rsid w:val="001E3AA1"/>
    <w:rsid w:val="001E451B"/>
    <w:rsid w:val="001E5EE1"/>
    <w:rsid w:val="002000F3"/>
    <w:rsid w:val="00201081"/>
    <w:rsid w:val="002064B6"/>
    <w:rsid w:val="00207F47"/>
    <w:rsid w:val="00211FB6"/>
    <w:rsid w:val="00211FB9"/>
    <w:rsid w:val="00215BC4"/>
    <w:rsid w:val="0022356E"/>
    <w:rsid w:val="0022693C"/>
    <w:rsid w:val="0022747D"/>
    <w:rsid w:val="00231E63"/>
    <w:rsid w:val="00234EFC"/>
    <w:rsid w:val="002451FA"/>
    <w:rsid w:val="00246207"/>
    <w:rsid w:val="0025512C"/>
    <w:rsid w:val="00255BA7"/>
    <w:rsid w:val="00260084"/>
    <w:rsid w:val="0026130B"/>
    <w:rsid w:val="0027088C"/>
    <w:rsid w:val="0028138C"/>
    <w:rsid w:val="002824A2"/>
    <w:rsid w:val="00284E3C"/>
    <w:rsid w:val="00290AC3"/>
    <w:rsid w:val="0029267A"/>
    <w:rsid w:val="002964BE"/>
    <w:rsid w:val="002A5A60"/>
    <w:rsid w:val="002B3364"/>
    <w:rsid w:val="002B34F4"/>
    <w:rsid w:val="002C1195"/>
    <w:rsid w:val="002C3F84"/>
    <w:rsid w:val="002D07E6"/>
    <w:rsid w:val="002D1315"/>
    <w:rsid w:val="002D33AB"/>
    <w:rsid w:val="002F5538"/>
    <w:rsid w:val="002F59B7"/>
    <w:rsid w:val="002F7B9A"/>
    <w:rsid w:val="00313649"/>
    <w:rsid w:val="003204E8"/>
    <w:rsid w:val="003209F6"/>
    <w:rsid w:val="0032528D"/>
    <w:rsid w:val="003311E4"/>
    <w:rsid w:val="00345284"/>
    <w:rsid w:val="00350478"/>
    <w:rsid w:val="003550AF"/>
    <w:rsid w:val="00355317"/>
    <w:rsid w:val="003634B3"/>
    <w:rsid w:val="00363D02"/>
    <w:rsid w:val="00376A83"/>
    <w:rsid w:val="003907C3"/>
    <w:rsid w:val="003A2B67"/>
    <w:rsid w:val="003B01F9"/>
    <w:rsid w:val="003C39E3"/>
    <w:rsid w:val="003C64BC"/>
    <w:rsid w:val="003D041F"/>
    <w:rsid w:val="003D3C99"/>
    <w:rsid w:val="003D48BA"/>
    <w:rsid w:val="003E6888"/>
    <w:rsid w:val="003F5689"/>
    <w:rsid w:val="00403649"/>
    <w:rsid w:val="00406DBC"/>
    <w:rsid w:val="00413EE8"/>
    <w:rsid w:val="00427462"/>
    <w:rsid w:val="0043373E"/>
    <w:rsid w:val="00437933"/>
    <w:rsid w:val="004429D1"/>
    <w:rsid w:val="00445BB4"/>
    <w:rsid w:val="004479A7"/>
    <w:rsid w:val="00453300"/>
    <w:rsid w:val="00455942"/>
    <w:rsid w:val="00460D1F"/>
    <w:rsid w:val="00464C0D"/>
    <w:rsid w:val="00472B36"/>
    <w:rsid w:val="00477296"/>
    <w:rsid w:val="00480EA5"/>
    <w:rsid w:val="00483049"/>
    <w:rsid w:val="004842DA"/>
    <w:rsid w:val="00485685"/>
    <w:rsid w:val="00490A97"/>
    <w:rsid w:val="00495DFB"/>
    <w:rsid w:val="004960B2"/>
    <w:rsid w:val="00497A1A"/>
    <w:rsid w:val="004A0FBB"/>
    <w:rsid w:val="004A2B07"/>
    <w:rsid w:val="004B14F3"/>
    <w:rsid w:val="004C5966"/>
    <w:rsid w:val="004D1A83"/>
    <w:rsid w:val="004E1A03"/>
    <w:rsid w:val="004E2CF2"/>
    <w:rsid w:val="004E4F3B"/>
    <w:rsid w:val="004F7A7B"/>
    <w:rsid w:val="00500C1D"/>
    <w:rsid w:val="00502585"/>
    <w:rsid w:val="00507C55"/>
    <w:rsid w:val="00516D74"/>
    <w:rsid w:val="00527803"/>
    <w:rsid w:val="00542605"/>
    <w:rsid w:val="00542ABF"/>
    <w:rsid w:val="00542F83"/>
    <w:rsid w:val="0055411D"/>
    <w:rsid w:val="005621D0"/>
    <w:rsid w:val="005645A4"/>
    <w:rsid w:val="00564A88"/>
    <w:rsid w:val="00567A9A"/>
    <w:rsid w:val="005713FC"/>
    <w:rsid w:val="005734DC"/>
    <w:rsid w:val="00585C6E"/>
    <w:rsid w:val="00586AD7"/>
    <w:rsid w:val="00587D55"/>
    <w:rsid w:val="00591D50"/>
    <w:rsid w:val="00594479"/>
    <w:rsid w:val="005A5A37"/>
    <w:rsid w:val="005B01F4"/>
    <w:rsid w:val="005B2241"/>
    <w:rsid w:val="005C18BD"/>
    <w:rsid w:val="005D3CC4"/>
    <w:rsid w:val="005D61D8"/>
    <w:rsid w:val="005E2C8F"/>
    <w:rsid w:val="005E7A94"/>
    <w:rsid w:val="005F255F"/>
    <w:rsid w:val="005F7678"/>
    <w:rsid w:val="00600F1C"/>
    <w:rsid w:val="00612DB6"/>
    <w:rsid w:val="006150E8"/>
    <w:rsid w:val="00615955"/>
    <w:rsid w:val="006165F6"/>
    <w:rsid w:val="00621301"/>
    <w:rsid w:val="0062435B"/>
    <w:rsid w:val="0063660E"/>
    <w:rsid w:val="00644E9B"/>
    <w:rsid w:val="00651EE0"/>
    <w:rsid w:val="0067647F"/>
    <w:rsid w:val="00691D55"/>
    <w:rsid w:val="00692CE7"/>
    <w:rsid w:val="00695089"/>
    <w:rsid w:val="006A0764"/>
    <w:rsid w:val="006A3006"/>
    <w:rsid w:val="006A449B"/>
    <w:rsid w:val="006D6271"/>
    <w:rsid w:val="0070206F"/>
    <w:rsid w:val="00704A05"/>
    <w:rsid w:val="0071782F"/>
    <w:rsid w:val="00727724"/>
    <w:rsid w:val="00734C32"/>
    <w:rsid w:val="007446AD"/>
    <w:rsid w:val="007514CF"/>
    <w:rsid w:val="00760996"/>
    <w:rsid w:val="00773904"/>
    <w:rsid w:val="00777418"/>
    <w:rsid w:val="00782FC3"/>
    <w:rsid w:val="00785B8A"/>
    <w:rsid w:val="007925E3"/>
    <w:rsid w:val="007A7998"/>
    <w:rsid w:val="007B7C7F"/>
    <w:rsid w:val="007C1183"/>
    <w:rsid w:val="007C4957"/>
    <w:rsid w:val="007D6101"/>
    <w:rsid w:val="007E124E"/>
    <w:rsid w:val="007E610F"/>
    <w:rsid w:val="007F3344"/>
    <w:rsid w:val="00814455"/>
    <w:rsid w:val="00817580"/>
    <w:rsid w:val="00824691"/>
    <w:rsid w:val="00824B3B"/>
    <w:rsid w:val="00827FAF"/>
    <w:rsid w:val="00850945"/>
    <w:rsid w:val="00851B2A"/>
    <w:rsid w:val="00862C26"/>
    <w:rsid w:val="008730AD"/>
    <w:rsid w:val="00873A1A"/>
    <w:rsid w:val="00891E2D"/>
    <w:rsid w:val="00892232"/>
    <w:rsid w:val="008936C3"/>
    <w:rsid w:val="00896D1C"/>
    <w:rsid w:val="008973C6"/>
    <w:rsid w:val="00897782"/>
    <w:rsid w:val="008A1BE2"/>
    <w:rsid w:val="008A4790"/>
    <w:rsid w:val="008A4811"/>
    <w:rsid w:val="008B057D"/>
    <w:rsid w:val="008B2F79"/>
    <w:rsid w:val="008D45FD"/>
    <w:rsid w:val="008D53C0"/>
    <w:rsid w:val="008E06F6"/>
    <w:rsid w:val="008E493E"/>
    <w:rsid w:val="00906673"/>
    <w:rsid w:val="0091121A"/>
    <w:rsid w:val="009151D1"/>
    <w:rsid w:val="00916718"/>
    <w:rsid w:val="00917822"/>
    <w:rsid w:val="0092237F"/>
    <w:rsid w:val="00923B73"/>
    <w:rsid w:val="0092669E"/>
    <w:rsid w:val="00935F52"/>
    <w:rsid w:val="00942615"/>
    <w:rsid w:val="009508A3"/>
    <w:rsid w:val="00952B70"/>
    <w:rsid w:val="00953475"/>
    <w:rsid w:val="009638D3"/>
    <w:rsid w:val="00963AAE"/>
    <w:rsid w:val="00970DF8"/>
    <w:rsid w:val="009765C0"/>
    <w:rsid w:val="00981061"/>
    <w:rsid w:val="00983BF5"/>
    <w:rsid w:val="009875EC"/>
    <w:rsid w:val="009B09D9"/>
    <w:rsid w:val="009B4380"/>
    <w:rsid w:val="009B6176"/>
    <w:rsid w:val="009E40D6"/>
    <w:rsid w:val="009E7EE5"/>
    <w:rsid w:val="009F2228"/>
    <w:rsid w:val="009F2679"/>
    <w:rsid w:val="00A01356"/>
    <w:rsid w:val="00A20A75"/>
    <w:rsid w:val="00A23771"/>
    <w:rsid w:val="00A327F1"/>
    <w:rsid w:val="00A37AA2"/>
    <w:rsid w:val="00A401A3"/>
    <w:rsid w:val="00A44F84"/>
    <w:rsid w:val="00A53822"/>
    <w:rsid w:val="00A63631"/>
    <w:rsid w:val="00A707C0"/>
    <w:rsid w:val="00A71CEA"/>
    <w:rsid w:val="00A72279"/>
    <w:rsid w:val="00A75E42"/>
    <w:rsid w:val="00A90F5C"/>
    <w:rsid w:val="00A91F54"/>
    <w:rsid w:val="00A92E9C"/>
    <w:rsid w:val="00A95A79"/>
    <w:rsid w:val="00AA6817"/>
    <w:rsid w:val="00AC7DAF"/>
    <w:rsid w:val="00AD531B"/>
    <w:rsid w:val="00AD5E60"/>
    <w:rsid w:val="00AD6F28"/>
    <w:rsid w:val="00AE23CB"/>
    <w:rsid w:val="00AE620E"/>
    <w:rsid w:val="00AE7C48"/>
    <w:rsid w:val="00B00635"/>
    <w:rsid w:val="00B0290A"/>
    <w:rsid w:val="00B05CE8"/>
    <w:rsid w:val="00B079D6"/>
    <w:rsid w:val="00B21DF8"/>
    <w:rsid w:val="00B40C75"/>
    <w:rsid w:val="00B5189E"/>
    <w:rsid w:val="00B61ACE"/>
    <w:rsid w:val="00B70176"/>
    <w:rsid w:val="00B81439"/>
    <w:rsid w:val="00B839B1"/>
    <w:rsid w:val="00B8729F"/>
    <w:rsid w:val="00BA5082"/>
    <w:rsid w:val="00BB1558"/>
    <w:rsid w:val="00BB161B"/>
    <w:rsid w:val="00BB54C5"/>
    <w:rsid w:val="00BC3071"/>
    <w:rsid w:val="00BD38F2"/>
    <w:rsid w:val="00BD4CCF"/>
    <w:rsid w:val="00C1332C"/>
    <w:rsid w:val="00C215EF"/>
    <w:rsid w:val="00C24789"/>
    <w:rsid w:val="00C2755C"/>
    <w:rsid w:val="00C37839"/>
    <w:rsid w:val="00C41AAC"/>
    <w:rsid w:val="00C41E3C"/>
    <w:rsid w:val="00C42BE2"/>
    <w:rsid w:val="00C4628C"/>
    <w:rsid w:val="00C46734"/>
    <w:rsid w:val="00C54292"/>
    <w:rsid w:val="00C5480A"/>
    <w:rsid w:val="00C54C4A"/>
    <w:rsid w:val="00C63063"/>
    <w:rsid w:val="00C80BDB"/>
    <w:rsid w:val="00C85997"/>
    <w:rsid w:val="00C87917"/>
    <w:rsid w:val="00C93432"/>
    <w:rsid w:val="00CA425A"/>
    <w:rsid w:val="00CB1901"/>
    <w:rsid w:val="00CB364B"/>
    <w:rsid w:val="00CC2424"/>
    <w:rsid w:val="00CC2E74"/>
    <w:rsid w:val="00CC31EE"/>
    <w:rsid w:val="00CC38E5"/>
    <w:rsid w:val="00CE0271"/>
    <w:rsid w:val="00CF0EFC"/>
    <w:rsid w:val="00CF2FAB"/>
    <w:rsid w:val="00CF4DAF"/>
    <w:rsid w:val="00CF51D6"/>
    <w:rsid w:val="00CF6276"/>
    <w:rsid w:val="00CF7D01"/>
    <w:rsid w:val="00D12342"/>
    <w:rsid w:val="00D457B9"/>
    <w:rsid w:val="00D56CAC"/>
    <w:rsid w:val="00D63BCE"/>
    <w:rsid w:val="00D70055"/>
    <w:rsid w:val="00D71D80"/>
    <w:rsid w:val="00D83227"/>
    <w:rsid w:val="00D83B58"/>
    <w:rsid w:val="00D83E9E"/>
    <w:rsid w:val="00D8722D"/>
    <w:rsid w:val="00D912F9"/>
    <w:rsid w:val="00DA0B44"/>
    <w:rsid w:val="00DA4C9C"/>
    <w:rsid w:val="00DB2E56"/>
    <w:rsid w:val="00DB5135"/>
    <w:rsid w:val="00DC12DA"/>
    <w:rsid w:val="00DC513D"/>
    <w:rsid w:val="00DC7B20"/>
    <w:rsid w:val="00DD0651"/>
    <w:rsid w:val="00DE0886"/>
    <w:rsid w:val="00DE5F35"/>
    <w:rsid w:val="00DE667F"/>
    <w:rsid w:val="00DE76C7"/>
    <w:rsid w:val="00DF68BF"/>
    <w:rsid w:val="00E04708"/>
    <w:rsid w:val="00E07F09"/>
    <w:rsid w:val="00E136B5"/>
    <w:rsid w:val="00E13B09"/>
    <w:rsid w:val="00E209F0"/>
    <w:rsid w:val="00E26588"/>
    <w:rsid w:val="00E30AA1"/>
    <w:rsid w:val="00E364F3"/>
    <w:rsid w:val="00E36963"/>
    <w:rsid w:val="00E41B97"/>
    <w:rsid w:val="00E44BC8"/>
    <w:rsid w:val="00E5472E"/>
    <w:rsid w:val="00E6261D"/>
    <w:rsid w:val="00E759C8"/>
    <w:rsid w:val="00E80A2C"/>
    <w:rsid w:val="00E82683"/>
    <w:rsid w:val="00E8477E"/>
    <w:rsid w:val="00E877B5"/>
    <w:rsid w:val="00EA68BA"/>
    <w:rsid w:val="00EB4F0E"/>
    <w:rsid w:val="00EC3C1F"/>
    <w:rsid w:val="00EC6363"/>
    <w:rsid w:val="00ED0B3C"/>
    <w:rsid w:val="00ED3CBB"/>
    <w:rsid w:val="00EE3E4D"/>
    <w:rsid w:val="00EE4173"/>
    <w:rsid w:val="00EE6E62"/>
    <w:rsid w:val="00EF1EEB"/>
    <w:rsid w:val="00EF4C89"/>
    <w:rsid w:val="00EF68AC"/>
    <w:rsid w:val="00F05DF2"/>
    <w:rsid w:val="00F160A8"/>
    <w:rsid w:val="00F16249"/>
    <w:rsid w:val="00F37986"/>
    <w:rsid w:val="00F70F86"/>
    <w:rsid w:val="00F72E6B"/>
    <w:rsid w:val="00F83DFB"/>
    <w:rsid w:val="00F90FAB"/>
    <w:rsid w:val="00FB17A7"/>
    <w:rsid w:val="00FB47E4"/>
    <w:rsid w:val="00FC0622"/>
    <w:rsid w:val="00FC37B7"/>
    <w:rsid w:val="00FD2405"/>
    <w:rsid w:val="00FD31CD"/>
    <w:rsid w:val="00FD6C24"/>
    <w:rsid w:val="00FD7EBC"/>
    <w:rsid w:val="00FE768E"/>
    <w:rsid w:val="01306557"/>
    <w:rsid w:val="017E42CE"/>
    <w:rsid w:val="01C67ECA"/>
    <w:rsid w:val="01CC6457"/>
    <w:rsid w:val="01D44259"/>
    <w:rsid w:val="027435A8"/>
    <w:rsid w:val="03F60FF6"/>
    <w:rsid w:val="05D3248E"/>
    <w:rsid w:val="05EE31C8"/>
    <w:rsid w:val="065D640E"/>
    <w:rsid w:val="06782196"/>
    <w:rsid w:val="067C06E7"/>
    <w:rsid w:val="06B371AA"/>
    <w:rsid w:val="07487DBA"/>
    <w:rsid w:val="07A82607"/>
    <w:rsid w:val="085F798A"/>
    <w:rsid w:val="08A52FEB"/>
    <w:rsid w:val="095D3592"/>
    <w:rsid w:val="0963642C"/>
    <w:rsid w:val="09B94F7E"/>
    <w:rsid w:val="09E15CD7"/>
    <w:rsid w:val="0A270279"/>
    <w:rsid w:val="0A312D88"/>
    <w:rsid w:val="0A4F76B2"/>
    <w:rsid w:val="0A870BFA"/>
    <w:rsid w:val="0AE918B4"/>
    <w:rsid w:val="0B1F7084"/>
    <w:rsid w:val="0BFA364D"/>
    <w:rsid w:val="0C8E4B49"/>
    <w:rsid w:val="0CBD0903"/>
    <w:rsid w:val="0CEA438E"/>
    <w:rsid w:val="0D1F511A"/>
    <w:rsid w:val="0DF76096"/>
    <w:rsid w:val="0E8B5169"/>
    <w:rsid w:val="0EB02260"/>
    <w:rsid w:val="0EE95213"/>
    <w:rsid w:val="0F9D4A1B"/>
    <w:rsid w:val="10305890"/>
    <w:rsid w:val="114A0BD3"/>
    <w:rsid w:val="114B6417"/>
    <w:rsid w:val="11B30526"/>
    <w:rsid w:val="121B3FD8"/>
    <w:rsid w:val="12333415"/>
    <w:rsid w:val="12525F91"/>
    <w:rsid w:val="125B5A76"/>
    <w:rsid w:val="141A663B"/>
    <w:rsid w:val="143406DB"/>
    <w:rsid w:val="154020D1"/>
    <w:rsid w:val="155362A8"/>
    <w:rsid w:val="1642631D"/>
    <w:rsid w:val="1792373B"/>
    <w:rsid w:val="18214EF6"/>
    <w:rsid w:val="182B69DC"/>
    <w:rsid w:val="18DF0751"/>
    <w:rsid w:val="19957787"/>
    <w:rsid w:val="19B25567"/>
    <w:rsid w:val="1A6B4094"/>
    <w:rsid w:val="1AA5488D"/>
    <w:rsid w:val="1AAB329B"/>
    <w:rsid w:val="1ABA2925"/>
    <w:rsid w:val="1AD210BA"/>
    <w:rsid w:val="1AEF0791"/>
    <w:rsid w:val="1C5F5CD0"/>
    <w:rsid w:val="1C9378D2"/>
    <w:rsid w:val="1E0F2F88"/>
    <w:rsid w:val="1F022AED"/>
    <w:rsid w:val="1FFA4A26"/>
    <w:rsid w:val="205D41BE"/>
    <w:rsid w:val="20A57BD4"/>
    <w:rsid w:val="21574859"/>
    <w:rsid w:val="217C6B87"/>
    <w:rsid w:val="228E4DC3"/>
    <w:rsid w:val="2378337E"/>
    <w:rsid w:val="241F44DB"/>
    <w:rsid w:val="24945F95"/>
    <w:rsid w:val="25C82F40"/>
    <w:rsid w:val="26025181"/>
    <w:rsid w:val="275463C0"/>
    <w:rsid w:val="2756664D"/>
    <w:rsid w:val="28DF7E06"/>
    <w:rsid w:val="2A1D28B2"/>
    <w:rsid w:val="2A224043"/>
    <w:rsid w:val="2A461AE0"/>
    <w:rsid w:val="2A7A0E2E"/>
    <w:rsid w:val="2ABF42B1"/>
    <w:rsid w:val="2AC86999"/>
    <w:rsid w:val="2B05199B"/>
    <w:rsid w:val="2D435AE3"/>
    <w:rsid w:val="2E5D389C"/>
    <w:rsid w:val="2EE422DA"/>
    <w:rsid w:val="2EE43DBF"/>
    <w:rsid w:val="2F332198"/>
    <w:rsid w:val="2F3960B7"/>
    <w:rsid w:val="2FD61478"/>
    <w:rsid w:val="303D5733"/>
    <w:rsid w:val="30C40ADE"/>
    <w:rsid w:val="30F926E7"/>
    <w:rsid w:val="3101174C"/>
    <w:rsid w:val="313703D4"/>
    <w:rsid w:val="313E1763"/>
    <w:rsid w:val="31415630"/>
    <w:rsid w:val="31AD0D66"/>
    <w:rsid w:val="31B47BA4"/>
    <w:rsid w:val="31C83722"/>
    <w:rsid w:val="329D695D"/>
    <w:rsid w:val="332D7CE1"/>
    <w:rsid w:val="34216365"/>
    <w:rsid w:val="34621C0C"/>
    <w:rsid w:val="34A7338E"/>
    <w:rsid w:val="34E262D3"/>
    <w:rsid w:val="353C245D"/>
    <w:rsid w:val="358D2CB9"/>
    <w:rsid w:val="36940077"/>
    <w:rsid w:val="36981915"/>
    <w:rsid w:val="36D93CDC"/>
    <w:rsid w:val="382316B2"/>
    <w:rsid w:val="38CA7D80"/>
    <w:rsid w:val="39974106"/>
    <w:rsid w:val="39C66799"/>
    <w:rsid w:val="39F76793"/>
    <w:rsid w:val="3A1514CF"/>
    <w:rsid w:val="3A8E22FE"/>
    <w:rsid w:val="3A97714E"/>
    <w:rsid w:val="3A993EAE"/>
    <w:rsid w:val="3D581DFE"/>
    <w:rsid w:val="3D712EC0"/>
    <w:rsid w:val="3E4660FB"/>
    <w:rsid w:val="3FBA3CF3"/>
    <w:rsid w:val="3FC6FCF5"/>
    <w:rsid w:val="4043339B"/>
    <w:rsid w:val="40AD44B9"/>
    <w:rsid w:val="40FD0339"/>
    <w:rsid w:val="41911D83"/>
    <w:rsid w:val="4199089A"/>
    <w:rsid w:val="41B03EA4"/>
    <w:rsid w:val="41E2438C"/>
    <w:rsid w:val="427047FA"/>
    <w:rsid w:val="438BEB1F"/>
    <w:rsid w:val="43F32881"/>
    <w:rsid w:val="44F74669"/>
    <w:rsid w:val="45A8769B"/>
    <w:rsid w:val="46162856"/>
    <w:rsid w:val="47046B53"/>
    <w:rsid w:val="47156903"/>
    <w:rsid w:val="47544C5C"/>
    <w:rsid w:val="47CD23E4"/>
    <w:rsid w:val="47F96A4A"/>
    <w:rsid w:val="48474F49"/>
    <w:rsid w:val="48547666"/>
    <w:rsid w:val="498126DD"/>
    <w:rsid w:val="49AA39E1"/>
    <w:rsid w:val="4AAE7501"/>
    <w:rsid w:val="4B83098E"/>
    <w:rsid w:val="4BEB1608"/>
    <w:rsid w:val="4BF137DA"/>
    <w:rsid w:val="4C07336D"/>
    <w:rsid w:val="4C20442F"/>
    <w:rsid w:val="4CCA6402"/>
    <w:rsid w:val="4D44278D"/>
    <w:rsid w:val="4D6C5FCC"/>
    <w:rsid w:val="4D92310A"/>
    <w:rsid w:val="4E022332"/>
    <w:rsid w:val="4E0B4C6B"/>
    <w:rsid w:val="4F0E67C1"/>
    <w:rsid w:val="4F5A1A06"/>
    <w:rsid w:val="4FA669F9"/>
    <w:rsid w:val="507C3BFE"/>
    <w:rsid w:val="50850D04"/>
    <w:rsid w:val="51004B7A"/>
    <w:rsid w:val="51663589"/>
    <w:rsid w:val="537A31DB"/>
    <w:rsid w:val="53D72DCC"/>
    <w:rsid w:val="54BB2F47"/>
    <w:rsid w:val="54C65448"/>
    <w:rsid w:val="558A0B6B"/>
    <w:rsid w:val="55D1678C"/>
    <w:rsid w:val="55FA7755"/>
    <w:rsid w:val="56861332"/>
    <w:rsid w:val="56932502"/>
    <w:rsid w:val="5698194C"/>
    <w:rsid w:val="56AFCC85"/>
    <w:rsid w:val="56C1236A"/>
    <w:rsid w:val="56D55E16"/>
    <w:rsid w:val="56D63A0A"/>
    <w:rsid w:val="578C2978"/>
    <w:rsid w:val="57EA58F1"/>
    <w:rsid w:val="57F329F7"/>
    <w:rsid w:val="589F0489"/>
    <w:rsid w:val="58DA2DFB"/>
    <w:rsid w:val="593908DE"/>
    <w:rsid w:val="59574C63"/>
    <w:rsid w:val="599C0E6D"/>
    <w:rsid w:val="59EC3BA2"/>
    <w:rsid w:val="5ADE2F5B"/>
    <w:rsid w:val="5B025ACC"/>
    <w:rsid w:val="5BF80665"/>
    <w:rsid w:val="5C877BB2"/>
    <w:rsid w:val="5D001F09"/>
    <w:rsid w:val="5D398D42"/>
    <w:rsid w:val="5DD45079"/>
    <w:rsid w:val="5DDB01B6"/>
    <w:rsid w:val="5E336DE1"/>
    <w:rsid w:val="5E99201D"/>
    <w:rsid w:val="5EA93AE4"/>
    <w:rsid w:val="5F84662B"/>
    <w:rsid w:val="60C03FD1"/>
    <w:rsid w:val="60E455D3"/>
    <w:rsid w:val="61181721"/>
    <w:rsid w:val="612A4F72"/>
    <w:rsid w:val="61FE26C5"/>
    <w:rsid w:val="625A7457"/>
    <w:rsid w:val="629E1E32"/>
    <w:rsid w:val="62BE1AB7"/>
    <w:rsid w:val="630B2950"/>
    <w:rsid w:val="63770981"/>
    <w:rsid w:val="63F91396"/>
    <w:rsid w:val="64B51918"/>
    <w:rsid w:val="64C25C2B"/>
    <w:rsid w:val="667016B7"/>
    <w:rsid w:val="66B41493"/>
    <w:rsid w:val="66F127F8"/>
    <w:rsid w:val="67191ACC"/>
    <w:rsid w:val="677E2744"/>
    <w:rsid w:val="67FA24BB"/>
    <w:rsid w:val="67FD51CC"/>
    <w:rsid w:val="6873723D"/>
    <w:rsid w:val="6897117D"/>
    <w:rsid w:val="68F71BAD"/>
    <w:rsid w:val="69272501"/>
    <w:rsid w:val="698F62F8"/>
    <w:rsid w:val="69D46D93"/>
    <w:rsid w:val="6A6033BF"/>
    <w:rsid w:val="6AB4611B"/>
    <w:rsid w:val="6CAB3449"/>
    <w:rsid w:val="6D5F355D"/>
    <w:rsid w:val="6DE74D83"/>
    <w:rsid w:val="6E38785B"/>
    <w:rsid w:val="6E58315D"/>
    <w:rsid w:val="70016EE0"/>
    <w:rsid w:val="700417EE"/>
    <w:rsid w:val="70D9609A"/>
    <w:rsid w:val="71381023"/>
    <w:rsid w:val="72A913EA"/>
    <w:rsid w:val="731D042C"/>
    <w:rsid w:val="7378602E"/>
    <w:rsid w:val="73D414D7"/>
    <w:rsid w:val="74644BC7"/>
    <w:rsid w:val="753510E3"/>
    <w:rsid w:val="75D161E1"/>
    <w:rsid w:val="767E397C"/>
    <w:rsid w:val="76856AB9"/>
    <w:rsid w:val="76E47C83"/>
    <w:rsid w:val="77416E84"/>
    <w:rsid w:val="774A43CE"/>
    <w:rsid w:val="77CA7735"/>
    <w:rsid w:val="77FECDC1"/>
    <w:rsid w:val="782D70C9"/>
    <w:rsid w:val="783B7D77"/>
    <w:rsid w:val="79856DD0"/>
    <w:rsid w:val="79C142AC"/>
    <w:rsid w:val="79FC3D51"/>
    <w:rsid w:val="7AC8166A"/>
    <w:rsid w:val="7AD85D51"/>
    <w:rsid w:val="7B3665D4"/>
    <w:rsid w:val="7C005D79"/>
    <w:rsid w:val="7C9B5288"/>
    <w:rsid w:val="7CF42621"/>
    <w:rsid w:val="7D752AF5"/>
    <w:rsid w:val="7D80622C"/>
    <w:rsid w:val="7E094473"/>
    <w:rsid w:val="7E6624B1"/>
    <w:rsid w:val="7EE66563"/>
    <w:rsid w:val="7F141322"/>
    <w:rsid w:val="7F682A90"/>
    <w:rsid w:val="7F7F6BB9"/>
    <w:rsid w:val="7FFF5BDD"/>
    <w:rsid w:val="F7BECEE6"/>
    <w:rsid w:val="F7E1B293"/>
    <w:rsid w:val="FDBFD9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imes New Roman" w:hAnsi="Times New Roman" w:eastAsia="Times New Roman" w:cs="Times New Roman"/>
      <w:color w:val="000000"/>
      <w:kern w:val="2"/>
      <w:sz w:val="22"/>
      <w:szCs w:val="22"/>
      <w:lang w:val="en-US" w:eastAsia="zh-CN" w:bidi="ar-SA"/>
    </w:rPr>
  </w:style>
  <w:style w:type="paragraph" w:styleId="3">
    <w:name w:val="heading 1"/>
    <w:basedOn w:val="1"/>
    <w:next w:val="1"/>
    <w:link w:val="46"/>
    <w:qFormat/>
    <w:uiPriority w:val="0"/>
    <w:pPr>
      <w:keepNext/>
      <w:keepLines/>
      <w:spacing w:after="573" w:line="265" w:lineRule="auto"/>
      <w:ind w:left="10" w:right="122" w:hanging="10"/>
      <w:jc w:val="center"/>
      <w:outlineLvl w:val="0"/>
    </w:pPr>
    <w:rPr>
      <w:rFonts w:ascii="黑体" w:hAnsi="黑体" w:eastAsia="黑体"/>
      <w:kern w:val="0"/>
      <w:szCs w:val="20"/>
    </w:rPr>
  </w:style>
  <w:style w:type="paragraph" w:styleId="4">
    <w:name w:val="heading 2"/>
    <w:basedOn w:val="1"/>
    <w:next w:val="1"/>
    <w:link w:val="45"/>
    <w:qFormat/>
    <w:uiPriority w:val="0"/>
    <w:pPr>
      <w:keepNext/>
      <w:keepLines/>
      <w:spacing w:after="172" w:line="265" w:lineRule="auto"/>
      <w:ind w:left="10" w:right="116" w:hanging="10"/>
      <w:outlineLvl w:val="1"/>
    </w:pPr>
    <w:rPr>
      <w:rFonts w:ascii="黑体" w:hAnsi="黑体" w:eastAsia="黑体"/>
      <w:kern w:val="0"/>
      <w:szCs w:val="20"/>
    </w:rPr>
  </w:style>
  <w:style w:type="paragraph" w:styleId="5">
    <w:name w:val="heading 3"/>
    <w:basedOn w:val="1"/>
    <w:next w:val="1"/>
    <w:link w:val="47"/>
    <w:qFormat/>
    <w:uiPriority w:val="0"/>
    <w:pPr>
      <w:keepNext/>
      <w:keepLines/>
      <w:spacing w:after="172" w:line="265" w:lineRule="auto"/>
      <w:ind w:left="10" w:right="116" w:hanging="10"/>
      <w:outlineLvl w:val="2"/>
    </w:pPr>
    <w:rPr>
      <w:rFonts w:ascii="黑体" w:hAnsi="黑体" w:eastAsia="黑体"/>
      <w:kern w:val="0"/>
      <w:szCs w:val="20"/>
    </w:rPr>
  </w:style>
  <w:style w:type="paragraph" w:styleId="6">
    <w:name w:val="heading 4"/>
    <w:basedOn w:val="1"/>
    <w:next w:val="1"/>
    <w:link w:val="48"/>
    <w:qFormat/>
    <w:uiPriority w:val="0"/>
    <w:pPr>
      <w:keepNext/>
      <w:keepLines/>
      <w:spacing w:after="172" w:line="265" w:lineRule="auto"/>
      <w:ind w:left="10" w:right="116" w:hanging="10"/>
      <w:outlineLvl w:val="3"/>
    </w:pPr>
    <w:rPr>
      <w:rFonts w:ascii="黑体" w:hAnsi="黑体" w:eastAsia="黑体"/>
      <w:kern w:val="0"/>
      <w:szCs w:val="20"/>
    </w:rPr>
  </w:style>
  <w:style w:type="paragraph" w:styleId="7">
    <w:name w:val="heading 5"/>
    <w:basedOn w:val="1"/>
    <w:next w:val="1"/>
    <w:link w:val="49"/>
    <w:qFormat/>
    <w:uiPriority w:val="0"/>
    <w:pPr>
      <w:keepNext/>
      <w:keepLines/>
      <w:spacing w:after="172" w:line="265" w:lineRule="auto"/>
      <w:ind w:left="10" w:right="116" w:hanging="10"/>
      <w:outlineLvl w:val="4"/>
    </w:pPr>
    <w:rPr>
      <w:rFonts w:ascii="黑体" w:hAnsi="黑体" w:eastAsia="黑体"/>
      <w:kern w:val="0"/>
      <w:szCs w:val="20"/>
    </w:rPr>
  </w:style>
  <w:style w:type="paragraph" w:styleId="8">
    <w:name w:val="heading 6"/>
    <w:basedOn w:val="1"/>
    <w:next w:val="1"/>
    <w:link w:val="50"/>
    <w:qFormat/>
    <w:uiPriority w:val="0"/>
    <w:pPr>
      <w:keepNext/>
      <w:keepLines/>
      <w:spacing w:after="172" w:line="265" w:lineRule="auto"/>
      <w:ind w:left="10" w:right="116" w:hanging="10"/>
      <w:outlineLvl w:val="5"/>
    </w:pPr>
    <w:rPr>
      <w:rFonts w:ascii="黑体" w:hAnsi="黑体" w:eastAsia="黑体"/>
      <w:kern w:val="0"/>
      <w:szCs w:val="20"/>
    </w:rPr>
  </w:style>
  <w:style w:type="paragraph" w:styleId="9">
    <w:name w:val="heading 7"/>
    <w:basedOn w:val="1"/>
    <w:next w:val="1"/>
    <w:link w:val="51"/>
    <w:qFormat/>
    <w:uiPriority w:val="0"/>
    <w:pPr>
      <w:keepNext/>
      <w:keepLines/>
      <w:spacing w:after="172" w:line="265" w:lineRule="auto"/>
      <w:ind w:left="10" w:right="116" w:hanging="10"/>
      <w:outlineLvl w:val="6"/>
    </w:pPr>
    <w:rPr>
      <w:rFonts w:ascii="黑体" w:hAnsi="黑体" w:eastAsia="黑体"/>
      <w:kern w:val="0"/>
      <w:szCs w:val="20"/>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0">
    <w:name w:val="toc 7"/>
    <w:basedOn w:val="1"/>
    <w:next w:val="1"/>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1">
    <w:name w:val="Normal Indent"/>
    <w:basedOn w:val="1"/>
    <w:next w:val="1"/>
    <w:qFormat/>
    <w:uiPriority w:val="0"/>
    <w:pPr>
      <w:ind w:firstLine="420"/>
    </w:pPr>
  </w:style>
  <w:style w:type="paragraph" w:styleId="12">
    <w:name w:val="Document Map"/>
    <w:basedOn w:val="1"/>
    <w:link w:val="52"/>
    <w:semiHidden/>
    <w:qFormat/>
    <w:uiPriority w:val="0"/>
    <w:pPr>
      <w:widowControl w:val="0"/>
      <w:shd w:val="clear" w:color="auto" w:fill="000080"/>
      <w:spacing w:after="0" w:line="240" w:lineRule="auto"/>
      <w:jc w:val="both"/>
    </w:pPr>
    <w:rPr>
      <w:rFonts w:eastAsia="宋体"/>
      <w:color w:val="auto"/>
      <w:kern w:val="0"/>
      <w:sz w:val="20"/>
      <w:szCs w:val="20"/>
      <w:shd w:val="clear" w:color="auto" w:fill="000080"/>
    </w:rPr>
  </w:style>
  <w:style w:type="paragraph" w:styleId="13">
    <w:name w:val="annotation text"/>
    <w:basedOn w:val="1"/>
    <w:link w:val="53"/>
    <w:qFormat/>
    <w:uiPriority w:val="99"/>
    <w:rPr>
      <w:rFonts w:eastAsia="宋体"/>
    </w:rPr>
  </w:style>
  <w:style w:type="paragraph" w:styleId="14">
    <w:name w:val="Body Text 3"/>
    <w:basedOn w:val="1"/>
    <w:link w:val="54"/>
    <w:qFormat/>
    <w:uiPriority w:val="0"/>
    <w:pPr>
      <w:spacing w:after="120"/>
    </w:pPr>
    <w:rPr>
      <w:rFonts w:ascii="Calibri" w:hAnsi="Calibri" w:eastAsia="宋体"/>
      <w:kern w:val="0"/>
      <w:sz w:val="16"/>
      <w:szCs w:val="16"/>
    </w:rPr>
  </w:style>
  <w:style w:type="paragraph" w:styleId="15">
    <w:name w:val="Body Text"/>
    <w:basedOn w:val="1"/>
    <w:link w:val="55"/>
    <w:qFormat/>
    <w:uiPriority w:val="0"/>
    <w:pPr>
      <w:spacing w:after="120"/>
    </w:pPr>
    <w:rPr>
      <w:rFonts w:eastAsia="宋体"/>
    </w:rPr>
  </w:style>
  <w:style w:type="paragraph" w:styleId="16">
    <w:name w:val="Body Text Indent"/>
    <w:basedOn w:val="1"/>
    <w:next w:val="17"/>
    <w:link w:val="56"/>
    <w:qFormat/>
    <w:uiPriority w:val="0"/>
    <w:pPr>
      <w:widowControl w:val="0"/>
      <w:spacing w:after="120" w:line="240" w:lineRule="auto"/>
      <w:ind w:left="420" w:leftChars="200"/>
      <w:jc w:val="both"/>
    </w:pPr>
    <w:rPr>
      <w:rFonts w:eastAsia="宋体"/>
      <w:color w:val="auto"/>
      <w:kern w:val="0"/>
      <w:sz w:val="20"/>
      <w:szCs w:val="20"/>
    </w:rPr>
  </w:style>
  <w:style w:type="paragraph" w:styleId="17">
    <w:name w:val="envelope return"/>
    <w:basedOn w:val="1"/>
    <w:qFormat/>
    <w:uiPriority w:val="0"/>
    <w:pPr>
      <w:snapToGrid w:val="0"/>
    </w:pPr>
    <w:rPr>
      <w:rFonts w:ascii="Arial" w:hAnsi="Arial" w:eastAsia="宋体"/>
      <w:szCs w:val="24"/>
    </w:rPr>
  </w:style>
  <w:style w:type="paragraph" w:styleId="18">
    <w:name w:val="toc 5"/>
    <w:basedOn w:val="1"/>
    <w:next w:val="1"/>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9">
    <w:name w:val="toc 3"/>
    <w:basedOn w:val="1"/>
    <w:next w:val="1"/>
    <w:qFormat/>
    <w:uiPriority w:val="39"/>
    <w:pPr>
      <w:spacing w:after="6" w:line="257" w:lineRule="auto"/>
      <w:ind w:left="847" w:right="129" w:hanging="10"/>
      <w:jc w:val="both"/>
    </w:pPr>
    <w:rPr>
      <w:sz w:val="21"/>
    </w:rPr>
  </w:style>
  <w:style w:type="paragraph" w:styleId="20">
    <w:name w:val="Plain Text"/>
    <w:basedOn w:val="1"/>
    <w:link w:val="57"/>
    <w:qFormat/>
    <w:uiPriority w:val="0"/>
    <w:pPr>
      <w:widowControl w:val="0"/>
      <w:spacing w:after="0" w:line="240" w:lineRule="auto"/>
      <w:jc w:val="both"/>
    </w:pPr>
    <w:rPr>
      <w:rFonts w:ascii="宋体" w:hAnsi="Courier New" w:eastAsia="宋体"/>
      <w:color w:val="auto"/>
      <w:kern w:val="0"/>
      <w:sz w:val="20"/>
      <w:szCs w:val="21"/>
    </w:rPr>
  </w:style>
  <w:style w:type="paragraph" w:styleId="21">
    <w:name w:val="toc 8"/>
    <w:basedOn w:val="1"/>
    <w:next w:val="1"/>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22">
    <w:name w:val="Body Text Indent 2"/>
    <w:basedOn w:val="1"/>
    <w:link w:val="58"/>
    <w:qFormat/>
    <w:uiPriority w:val="0"/>
    <w:pPr>
      <w:widowControl w:val="0"/>
      <w:spacing w:after="120" w:line="480" w:lineRule="auto"/>
      <w:ind w:left="420" w:leftChars="200"/>
      <w:jc w:val="both"/>
    </w:pPr>
    <w:rPr>
      <w:rFonts w:eastAsia="宋体"/>
      <w:color w:val="auto"/>
      <w:sz w:val="21"/>
      <w:szCs w:val="24"/>
    </w:rPr>
  </w:style>
  <w:style w:type="paragraph" w:styleId="23">
    <w:name w:val="Balloon Text"/>
    <w:basedOn w:val="1"/>
    <w:link w:val="59"/>
    <w:semiHidden/>
    <w:qFormat/>
    <w:uiPriority w:val="0"/>
    <w:pPr>
      <w:widowControl w:val="0"/>
      <w:spacing w:after="0" w:line="240" w:lineRule="auto"/>
      <w:jc w:val="both"/>
    </w:pPr>
    <w:rPr>
      <w:rFonts w:eastAsia="宋体"/>
      <w:color w:val="auto"/>
      <w:kern w:val="0"/>
      <w:sz w:val="18"/>
      <w:szCs w:val="18"/>
    </w:rPr>
  </w:style>
  <w:style w:type="paragraph" w:styleId="24">
    <w:name w:val="footer"/>
    <w:basedOn w:val="1"/>
    <w:link w:val="60"/>
    <w:qFormat/>
    <w:uiPriority w:val="99"/>
    <w:pPr>
      <w:widowControl w:val="0"/>
      <w:tabs>
        <w:tab w:val="center" w:pos="4153"/>
        <w:tab w:val="right" w:pos="8306"/>
      </w:tabs>
      <w:snapToGrid w:val="0"/>
      <w:spacing w:after="0" w:line="240" w:lineRule="auto"/>
    </w:pPr>
    <w:rPr>
      <w:rFonts w:eastAsia="宋体"/>
      <w:color w:val="auto"/>
      <w:kern w:val="0"/>
      <w:sz w:val="18"/>
      <w:szCs w:val="20"/>
    </w:rPr>
  </w:style>
  <w:style w:type="paragraph" w:styleId="25">
    <w:name w:val="header"/>
    <w:basedOn w:val="1"/>
    <w:link w:val="6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after="0" w:line="240" w:lineRule="auto"/>
      <w:jc w:val="both"/>
    </w:pPr>
    <w:rPr>
      <w:rFonts w:eastAsia="宋体"/>
      <w:color w:val="auto"/>
      <w:kern w:val="0"/>
      <w:sz w:val="18"/>
      <w:szCs w:val="20"/>
    </w:rPr>
  </w:style>
  <w:style w:type="paragraph" w:styleId="26">
    <w:name w:val="toc 1"/>
    <w:basedOn w:val="1"/>
    <w:next w:val="1"/>
    <w:qFormat/>
    <w:uiPriority w:val="39"/>
    <w:pPr>
      <w:spacing w:after="3" w:line="261" w:lineRule="auto"/>
      <w:ind w:left="25" w:right="134" w:hanging="10"/>
      <w:jc w:val="right"/>
    </w:pPr>
    <w:rPr>
      <w:sz w:val="21"/>
    </w:rPr>
  </w:style>
  <w:style w:type="paragraph" w:styleId="27">
    <w:name w:val="toc 4"/>
    <w:basedOn w:val="1"/>
    <w:next w:val="1"/>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8">
    <w:name w:val="Subtitle"/>
    <w:basedOn w:val="1"/>
    <w:next w:val="1"/>
    <w:link w:val="79"/>
    <w:qFormat/>
    <w:uiPriority w:val="0"/>
    <w:pPr>
      <w:spacing w:before="240" w:after="60" w:line="312" w:lineRule="auto"/>
      <w:jc w:val="center"/>
      <w:outlineLvl w:val="1"/>
    </w:pPr>
    <w:rPr>
      <w:rFonts w:ascii="Cambria" w:hAnsi="Cambria" w:eastAsia="宋体"/>
      <w:b/>
      <w:bCs/>
      <w:kern w:val="28"/>
      <w:sz w:val="32"/>
      <w:szCs w:val="32"/>
    </w:rPr>
  </w:style>
  <w:style w:type="paragraph" w:styleId="29">
    <w:name w:val="toc 6"/>
    <w:basedOn w:val="1"/>
    <w:next w:val="1"/>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30">
    <w:name w:val="Body Text Indent 3"/>
    <w:basedOn w:val="1"/>
    <w:link w:val="84"/>
    <w:qFormat/>
    <w:uiPriority w:val="0"/>
    <w:pPr>
      <w:spacing w:after="120"/>
      <w:ind w:left="200" w:leftChars="200"/>
    </w:pPr>
    <w:rPr>
      <w:kern w:val="0"/>
      <w:sz w:val="16"/>
      <w:szCs w:val="16"/>
    </w:rPr>
  </w:style>
  <w:style w:type="paragraph" w:styleId="31">
    <w:name w:val="toc 2"/>
    <w:basedOn w:val="1"/>
    <w:next w:val="1"/>
    <w:qFormat/>
    <w:uiPriority w:val="39"/>
    <w:pPr>
      <w:spacing w:after="6" w:line="257" w:lineRule="auto"/>
      <w:ind w:left="430" w:right="127" w:hanging="10"/>
      <w:jc w:val="both"/>
    </w:pPr>
    <w:rPr>
      <w:sz w:val="21"/>
    </w:rPr>
  </w:style>
  <w:style w:type="paragraph" w:styleId="32">
    <w:name w:val="toc 9"/>
    <w:basedOn w:val="1"/>
    <w:next w:val="1"/>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33">
    <w:name w:val="Body Text 2"/>
    <w:basedOn w:val="1"/>
    <w:link w:val="62"/>
    <w:qFormat/>
    <w:uiPriority w:val="0"/>
    <w:pPr>
      <w:widowControl w:val="0"/>
      <w:spacing w:after="120" w:line="480" w:lineRule="auto"/>
      <w:jc w:val="both"/>
    </w:pPr>
    <w:rPr>
      <w:rFonts w:ascii="Calibri" w:hAnsi="Calibri" w:eastAsia="宋体"/>
      <w:kern w:val="0"/>
      <w:szCs w:val="20"/>
    </w:rPr>
  </w:style>
  <w:style w:type="paragraph" w:styleId="34">
    <w:name w:val="Normal (Web)"/>
    <w:basedOn w:val="1"/>
    <w:semiHidden/>
    <w:unhideWhenUsed/>
    <w:qFormat/>
    <w:uiPriority w:val="0"/>
    <w:rPr>
      <w:sz w:val="24"/>
    </w:rPr>
  </w:style>
  <w:style w:type="paragraph" w:styleId="35">
    <w:name w:val="annotation subject"/>
    <w:basedOn w:val="13"/>
    <w:next w:val="13"/>
    <w:link w:val="63"/>
    <w:semiHidden/>
    <w:qFormat/>
    <w:uiPriority w:val="0"/>
    <w:rPr>
      <w:rFonts w:ascii="Calibri" w:hAnsi="Calibri"/>
      <w:b/>
      <w:bCs/>
      <w:kern w:val="0"/>
      <w:szCs w:val="20"/>
    </w:rPr>
  </w:style>
  <w:style w:type="paragraph" w:styleId="36">
    <w:name w:val="Body Text First Indent"/>
    <w:basedOn w:val="1"/>
    <w:link w:val="64"/>
    <w:qFormat/>
    <w:uiPriority w:val="0"/>
    <w:pPr>
      <w:widowControl w:val="0"/>
      <w:spacing w:line="240" w:lineRule="auto"/>
      <w:ind w:firstLine="420"/>
      <w:jc w:val="both"/>
    </w:pPr>
    <w:rPr>
      <w:rFonts w:eastAsia="宋体"/>
      <w:color w:val="auto"/>
      <w:kern w:val="0"/>
      <w:sz w:val="20"/>
      <w:szCs w:val="20"/>
    </w:rPr>
  </w:style>
  <w:style w:type="paragraph" w:styleId="37">
    <w:name w:val="Body Text First Indent 2"/>
    <w:basedOn w:val="16"/>
    <w:link w:val="83"/>
    <w:qFormat/>
    <w:uiPriority w:val="0"/>
    <w:pPr>
      <w:ind w:left="200" w:firstLine="200" w:firstLineChars="200"/>
    </w:pPr>
    <w:rPr>
      <w:color w:val="0D0D0D"/>
      <w:szCs w:val="24"/>
      <w:lang w:eastAsia="en-US"/>
    </w:rPr>
  </w:style>
  <w:style w:type="character" w:styleId="40">
    <w:name w:val="page number"/>
    <w:basedOn w:val="39"/>
    <w:qFormat/>
    <w:uiPriority w:val="0"/>
  </w:style>
  <w:style w:type="character" w:styleId="41">
    <w:name w:val="FollowedHyperlink"/>
    <w:qFormat/>
    <w:uiPriority w:val="0"/>
    <w:rPr>
      <w:color w:val="000000"/>
      <w:u w:val="none"/>
    </w:rPr>
  </w:style>
  <w:style w:type="character" w:styleId="42">
    <w:name w:val="Emphasis"/>
    <w:basedOn w:val="39"/>
    <w:qFormat/>
    <w:uiPriority w:val="20"/>
    <w:rPr>
      <w:i/>
      <w:iCs/>
    </w:rPr>
  </w:style>
  <w:style w:type="character" w:styleId="43">
    <w:name w:val="Hyperlink"/>
    <w:qFormat/>
    <w:uiPriority w:val="99"/>
    <w:rPr>
      <w:rFonts w:cs="Times New Roman"/>
      <w:color w:val="0563C1"/>
      <w:u w:val="single"/>
    </w:rPr>
  </w:style>
  <w:style w:type="character" w:styleId="44">
    <w:name w:val="annotation reference"/>
    <w:unhideWhenUsed/>
    <w:qFormat/>
    <w:uiPriority w:val="0"/>
    <w:rPr>
      <w:sz w:val="21"/>
      <w:szCs w:val="21"/>
    </w:rPr>
  </w:style>
  <w:style w:type="character" w:customStyle="1" w:styleId="45">
    <w:name w:val="标题 2 字符"/>
    <w:link w:val="4"/>
    <w:qFormat/>
    <w:uiPriority w:val="0"/>
    <w:rPr>
      <w:rFonts w:ascii="黑体" w:hAnsi="黑体" w:eastAsia="黑体"/>
      <w:color w:val="000000"/>
      <w:sz w:val="22"/>
      <w:lang w:bidi="ar-SA"/>
    </w:rPr>
  </w:style>
  <w:style w:type="character" w:customStyle="1" w:styleId="46">
    <w:name w:val="标题 1 字符"/>
    <w:link w:val="3"/>
    <w:qFormat/>
    <w:uiPriority w:val="0"/>
    <w:rPr>
      <w:rFonts w:ascii="黑体" w:hAnsi="黑体" w:eastAsia="黑体"/>
      <w:color w:val="000000"/>
      <w:sz w:val="22"/>
      <w:lang w:bidi="ar-SA"/>
    </w:rPr>
  </w:style>
  <w:style w:type="character" w:customStyle="1" w:styleId="47">
    <w:name w:val="标题 3 字符"/>
    <w:link w:val="5"/>
    <w:qFormat/>
    <w:uiPriority w:val="0"/>
    <w:rPr>
      <w:rFonts w:ascii="黑体" w:hAnsi="黑体" w:eastAsia="黑体"/>
      <w:color w:val="000000"/>
      <w:sz w:val="22"/>
      <w:lang w:bidi="ar-SA"/>
    </w:rPr>
  </w:style>
  <w:style w:type="character" w:customStyle="1" w:styleId="48">
    <w:name w:val="标题 4 字符"/>
    <w:link w:val="6"/>
    <w:qFormat/>
    <w:uiPriority w:val="0"/>
    <w:rPr>
      <w:rFonts w:ascii="黑体" w:hAnsi="黑体" w:eastAsia="黑体"/>
      <w:color w:val="000000"/>
      <w:sz w:val="22"/>
      <w:lang w:bidi="ar-SA"/>
    </w:rPr>
  </w:style>
  <w:style w:type="character" w:customStyle="1" w:styleId="49">
    <w:name w:val="标题 5 字符"/>
    <w:link w:val="7"/>
    <w:qFormat/>
    <w:uiPriority w:val="0"/>
    <w:rPr>
      <w:rFonts w:ascii="黑体" w:hAnsi="黑体" w:eastAsia="黑体"/>
      <w:color w:val="000000"/>
      <w:sz w:val="22"/>
      <w:lang w:bidi="ar-SA"/>
    </w:rPr>
  </w:style>
  <w:style w:type="character" w:customStyle="1" w:styleId="50">
    <w:name w:val="标题 6 字符"/>
    <w:link w:val="8"/>
    <w:qFormat/>
    <w:uiPriority w:val="0"/>
    <w:rPr>
      <w:rFonts w:ascii="黑体" w:hAnsi="黑体" w:eastAsia="黑体"/>
      <w:color w:val="000000"/>
      <w:sz w:val="22"/>
      <w:lang w:bidi="ar-SA"/>
    </w:rPr>
  </w:style>
  <w:style w:type="character" w:customStyle="1" w:styleId="51">
    <w:name w:val="标题 7 字符"/>
    <w:link w:val="9"/>
    <w:qFormat/>
    <w:uiPriority w:val="0"/>
    <w:rPr>
      <w:rFonts w:ascii="黑体" w:hAnsi="黑体" w:eastAsia="黑体"/>
      <w:color w:val="000000"/>
      <w:sz w:val="22"/>
      <w:lang w:bidi="ar-SA"/>
    </w:rPr>
  </w:style>
  <w:style w:type="character" w:customStyle="1" w:styleId="52">
    <w:name w:val="文档结构图 字符"/>
    <w:link w:val="12"/>
    <w:semiHidden/>
    <w:qFormat/>
    <w:uiPriority w:val="0"/>
    <w:rPr>
      <w:rFonts w:eastAsia="宋体"/>
      <w:shd w:val="clear" w:color="auto" w:fill="000080"/>
      <w:lang w:bidi="ar-SA"/>
    </w:rPr>
  </w:style>
  <w:style w:type="character" w:customStyle="1" w:styleId="53">
    <w:name w:val="批注文字 字符"/>
    <w:link w:val="13"/>
    <w:semiHidden/>
    <w:qFormat/>
    <w:uiPriority w:val="99"/>
    <w:rPr>
      <w:color w:val="000000"/>
      <w:kern w:val="2"/>
      <w:sz w:val="22"/>
      <w:szCs w:val="22"/>
      <w:lang w:val="en-US" w:eastAsia="zh-CN" w:bidi="ar-SA"/>
    </w:rPr>
  </w:style>
  <w:style w:type="character" w:customStyle="1" w:styleId="54">
    <w:name w:val="正文文本 3 字符"/>
    <w:link w:val="14"/>
    <w:qFormat/>
    <w:uiPriority w:val="0"/>
    <w:rPr>
      <w:rFonts w:ascii="Calibri" w:hAnsi="Calibri"/>
      <w:color w:val="000000"/>
      <w:sz w:val="16"/>
      <w:szCs w:val="16"/>
      <w:lang w:bidi="ar-SA"/>
    </w:rPr>
  </w:style>
  <w:style w:type="character" w:customStyle="1" w:styleId="55">
    <w:name w:val="正文文本 字符"/>
    <w:link w:val="15"/>
    <w:semiHidden/>
    <w:qFormat/>
    <w:uiPriority w:val="0"/>
    <w:rPr>
      <w:color w:val="000000"/>
      <w:kern w:val="2"/>
      <w:sz w:val="22"/>
      <w:szCs w:val="22"/>
      <w:lang w:val="en-US" w:eastAsia="zh-CN" w:bidi="ar-SA"/>
    </w:rPr>
  </w:style>
  <w:style w:type="character" w:customStyle="1" w:styleId="56">
    <w:name w:val="正文文本缩进 字符"/>
    <w:link w:val="16"/>
    <w:qFormat/>
    <w:uiPriority w:val="0"/>
    <w:rPr>
      <w:rFonts w:eastAsia="宋体"/>
      <w:lang w:bidi="ar-SA"/>
    </w:rPr>
  </w:style>
  <w:style w:type="character" w:customStyle="1" w:styleId="57">
    <w:name w:val="纯文本 字符"/>
    <w:link w:val="20"/>
    <w:qFormat/>
    <w:uiPriority w:val="99"/>
    <w:rPr>
      <w:rFonts w:ascii="宋体" w:hAnsi="Courier New"/>
      <w:szCs w:val="21"/>
      <w:lang w:bidi="ar-SA"/>
    </w:rPr>
  </w:style>
  <w:style w:type="character" w:customStyle="1" w:styleId="58">
    <w:name w:val="正文文本缩进 2 字符"/>
    <w:link w:val="22"/>
    <w:qFormat/>
    <w:uiPriority w:val="0"/>
    <w:rPr>
      <w:kern w:val="2"/>
      <w:sz w:val="21"/>
      <w:szCs w:val="24"/>
      <w:lang w:bidi="ar-SA"/>
    </w:rPr>
  </w:style>
  <w:style w:type="character" w:customStyle="1" w:styleId="59">
    <w:name w:val="批注框文本 字符"/>
    <w:link w:val="23"/>
    <w:semiHidden/>
    <w:qFormat/>
    <w:uiPriority w:val="0"/>
    <w:rPr>
      <w:rFonts w:eastAsia="宋体"/>
      <w:sz w:val="18"/>
      <w:szCs w:val="18"/>
      <w:lang w:bidi="ar-SA"/>
    </w:rPr>
  </w:style>
  <w:style w:type="character" w:customStyle="1" w:styleId="60">
    <w:name w:val="页脚 字符"/>
    <w:link w:val="24"/>
    <w:qFormat/>
    <w:uiPriority w:val="99"/>
    <w:rPr>
      <w:sz w:val="18"/>
      <w:lang w:bidi="ar-SA"/>
    </w:rPr>
  </w:style>
  <w:style w:type="character" w:customStyle="1" w:styleId="61">
    <w:name w:val="页眉 字符"/>
    <w:link w:val="25"/>
    <w:qFormat/>
    <w:uiPriority w:val="0"/>
    <w:rPr>
      <w:rFonts w:eastAsia="宋体"/>
      <w:sz w:val="18"/>
      <w:lang w:bidi="ar-SA"/>
    </w:rPr>
  </w:style>
  <w:style w:type="character" w:customStyle="1" w:styleId="62">
    <w:name w:val="正文文本 2 字符"/>
    <w:link w:val="33"/>
    <w:qFormat/>
    <w:uiPriority w:val="0"/>
    <w:rPr>
      <w:rFonts w:ascii="Calibri" w:hAnsi="Calibri"/>
      <w:color w:val="000000"/>
      <w:sz w:val="22"/>
      <w:lang w:bidi="ar-SA"/>
    </w:rPr>
  </w:style>
  <w:style w:type="character" w:customStyle="1" w:styleId="63">
    <w:name w:val="批注主题 字符"/>
    <w:link w:val="35"/>
    <w:semiHidden/>
    <w:qFormat/>
    <w:uiPriority w:val="0"/>
    <w:rPr>
      <w:rFonts w:ascii="Calibri" w:hAnsi="Calibri"/>
      <w:b/>
      <w:bCs/>
      <w:color w:val="000000"/>
      <w:sz w:val="22"/>
      <w:lang w:bidi="ar-SA"/>
    </w:rPr>
  </w:style>
  <w:style w:type="character" w:customStyle="1" w:styleId="64">
    <w:name w:val="正文首行缩进 字符"/>
    <w:link w:val="36"/>
    <w:qFormat/>
    <w:uiPriority w:val="0"/>
    <w:rPr>
      <w:rFonts w:eastAsia="宋体"/>
      <w:lang w:bidi="ar-SA"/>
    </w:rPr>
  </w:style>
  <w:style w:type="character" w:customStyle="1" w:styleId="65">
    <w:name w:val="纯文本 Char1"/>
    <w:qFormat/>
    <w:uiPriority w:val="99"/>
    <w:rPr>
      <w:rFonts w:ascii="宋体" w:hAnsi="Courier New" w:cs="Courier New"/>
      <w:color w:val="000000"/>
      <w:kern w:val="2"/>
      <w:sz w:val="21"/>
      <w:szCs w:val="21"/>
    </w:rPr>
  </w:style>
  <w:style w:type="character" w:customStyle="1" w:styleId="66">
    <w:name w:val="正文文本 2 Char1"/>
    <w:qFormat/>
    <w:uiPriority w:val="0"/>
    <w:rPr>
      <w:rFonts w:ascii="Calibri" w:hAnsi="Calibri" w:eastAsia="Times New Roman" w:cs="Calibri"/>
      <w:color w:val="000000"/>
      <w:kern w:val="2"/>
      <w:sz w:val="22"/>
      <w:szCs w:val="22"/>
    </w:rPr>
  </w:style>
  <w:style w:type="character" w:customStyle="1" w:styleId="67">
    <w:name w:val="hover37"/>
    <w:basedOn w:val="39"/>
    <w:qFormat/>
    <w:uiPriority w:val="0"/>
  </w:style>
  <w:style w:type="character" w:customStyle="1" w:styleId="68">
    <w:name w:val="times1"/>
    <w:qFormat/>
    <w:uiPriority w:val="0"/>
    <w:rPr>
      <w:color w:val="3399FF"/>
      <w:bdr w:val="single" w:color="D1EDF8" w:sz="6" w:space="0"/>
      <w:shd w:val="clear" w:color="auto" w:fill="EAF9FF"/>
    </w:rPr>
  </w:style>
  <w:style w:type="character" w:customStyle="1" w:styleId="69">
    <w:name w:val="times"/>
    <w:qFormat/>
    <w:uiPriority w:val="0"/>
    <w:rPr>
      <w:color w:val="CDCDCD"/>
      <w:bdr w:val="single" w:color="CDCDCD" w:sz="6" w:space="0"/>
      <w:shd w:val="clear" w:color="auto" w:fill="EFEFEF"/>
    </w:rPr>
  </w:style>
  <w:style w:type="paragraph" w:customStyle="1" w:styleId="7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标题 31"/>
    <w:basedOn w:val="1"/>
    <w:unhideWhenUsed/>
    <w:qFormat/>
    <w:uiPriority w:val="0"/>
    <w:pPr>
      <w:widowControl w:val="0"/>
      <w:autoSpaceDE w:val="0"/>
      <w:autoSpaceDN w:val="0"/>
      <w:spacing w:after="0" w:line="240" w:lineRule="auto"/>
      <w:ind w:left="237"/>
      <w:outlineLvl w:val="2"/>
    </w:pPr>
    <w:rPr>
      <w:rFonts w:hint="eastAsia" w:ascii="宋体" w:hAnsi="宋体" w:eastAsia="宋体"/>
      <w:color w:val="auto"/>
      <w:kern w:val="0"/>
      <w:sz w:val="28"/>
      <w:szCs w:val="20"/>
    </w:rPr>
  </w:style>
  <w:style w:type="paragraph" w:customStyle="1" w:styleId="7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3">
    <w:name w:val="_Style 59"/>
    <w:unhideWhenUsed/>
    <w:qFormat/>
    <w:uiPriority w:val="99"/>
    <w:rPr>
      <w:rFonts w:ascii="Times New Roman" w:hAnsi="Times New Roman" w:eastAsia="Times New Roman" w:cs="Times New Roman"/>
      <w:color w:val="000000"/>
      <w:kern w:val="2"/>
      <w:sz w:val="22"/>
      <w:szCs w:val="22"/>
      <w:lang w:val="en-US" w:eastAsia="zh-CN" w:bidi="ar-SA"/>
    </w:rPr>
  </w:style>
  <w:style w:type="paragraph" w:customStyle="1" w:styleId="7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5">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Table Paragraph"/>
    <w:basedOn w:val="1"/>
    <w:unhideWhenUsed/>
    <w:qFormat/>
    <w:uiPriority w:val="1"/>
  </w:style>
  <w:style w:type="paragraph" w:styleId="77">
    <w:name w:val="List Paragraph"/>
    <w:basedOn w:val="1"/>
    <w:qFormat/>
    <w:uiPriority w:val="0"/>
    <w:pPr>
      <w:widowControl w:val="0"/>
      <w:spacing w:after="0" w:line="240" w:lineRule="auto"/>
      <w:ind w:firstLine="420" w:firstLineChars="200"/>
      <w:jc w:val="both"/>
    </w:pPr>
    <w:rPr>
      <w:rFonts w:ascii="Calibri" w:hAnsi="Calibri" w:eastAsia="宋体" w:cs="Calibri"/>
      <w:color w:val="auto"/>
      <w:sz w:val="21"/>
      <w:szCs w:val="21"/>
    </w:rPr>
  </w:style>
  <w:style w:type="character" w:customStyle="1" w:styleId="78">
    <w:name w:val="正文文本首行缩进 字符"/>
    <w:qFormat/>
    <w:uiPriority w:val="0"/>
    <w:rPr>
      <w:kern w:val="2"/>
      <w:sz w:val="21"/>
      <w:szCs w:val="24"/>
    </w:rPr>
  </w:style>
  <w:style w:type="character" w:customStyle="1" w:styleId="79">
    <w:name w:val="副标题 字符"/>
    <w:link w:val="28"/>
    <w:qFormat/>
    <w:uiPriority w:val="0"/>
    <w:rPr>
      <w:rFonts w:ascii="Cambria" w:hAnsi="Cambria" w:cs="Times New Roman"/>
      <w:b/>
      <w:bCs/>
      <w:color w:val="000000"/>
      <w:kern w:val="28"/>
      <w:sz w:val="32"/>
      <w:szCs w:val="32"/>
    </w:rPr>
  </w:style>
  <w:style w:type="paragraph" w:customStyle="1" w:styleId="80">
    <w:name w:val="首行缩进"/>
    <w:basedOn w:val="1"/>
    <w:qFormat/>
    <w:uiPriority w:val="0"/>
    <w:pPr>
      <w:widowControl w:val="0"/>
      <w:spacing w:after="0" w:line="300" w:lineRule="auto"/>
      <w:ind w:firstLine="420" w:firstLineChars="200"/>
      <w:jc w:val="both"/>
    </w:pPr>
    <w:rPr>
      <w:rFonts w:ascii="Calibri" w:hAnsi="Calibri" w:eastAsia="方正书宋简体"/>
      <w:color w:val="auto"/>
      <w:sz w:val="21"/>
      <w:szCs w:val="20"/>
    </w:rPr>
  </w:style>
  <w:style w:type="paragraph" w:customStyle="1" w:styleId="81">
    <w:name w:val="修订1"/>
    <w:hidden/>
    <w:unhideWhenUsed/>
    <w:qFormat/>
    <w:uiPriority w:val="99"/>
    <w:rPr>
      <w:rFonts w:ascii="Times New Roman" w:hAnsi="Times New Roman" w:eastAsia="Times New Roman" w:cs="Times New Roman"/>
      <w:color w:val="000000"/>
      <w:kern w:val="2"/>
      <w:sz w:val="22"/>
      <w:szCs w:val="22"/>
      <w:lang w:val="en-US" w:eastAsia="zh-CN" w:bidi="ar-SA"/>
    </w:rPr>
  </w:style>
  <w:style w:type="paragraph" w:customStyle="1" w:styleId="82">
    <w:name w:val="修订2"/>
    <w:hidden/>
    <w:unhideWhenUsed/>
    <w:qFormat/>
    <w:uiPriority w:val="99"/>
    <w:rPr>
      <w:rFonts w:ascii="Times New Roman" w:hAnsi="Times New Roman" w:eastAsia="Times New Roman" w:cs="Times New Roman"/>
      <w:color w:val="000000"/>
      <w:kern w:val="2"/>
      <w:sz w:val="22"/>
      <w:szCs w:val="22"/>
      <w:lang w:val="en-US" w:eastAsia="zh-CN" w:bidi="ar-SA"/>
    </w:rPr>
  </w:style>
  <w:style w:type="character" w:customStyle="1" w:styleId="83">
    <w:name w:val="正文首行缩进 2 字符"/>
    <w:link w:val="37"/>
    <w:qFormat/>
    <w:uiPriority w:val="0"/>
    <w:rPr>
      <w:kern w:val="2"/>
      <w:sz w:val="21"/>
      <w:szCs w:val="24"/>
    </w:rPr>
  </w:style>
  <w:style w:type="character" w:customStyle="1" w:styleId="84">
    <w:name w:val="正文文本缩进 3 字符"/>
    <w:basedOn w:val="39"/>
    <w:link w:val="30"/>
    <w:qFormat/>
    <w:uiPriority w:val="0"/>
    <w:rPr>
      <w:rFonts w:hint="default" w:ascii="Times New Roman" w:hAnsi="Times New Roman" w:eastAsia="Times New Roman" w:cs="Times New Roman"/>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4026</Words>
  <Characters>22949</Characters>
  <Lines>191</Lines>
  <Paragraphs>53</Paragraphs>
  <TotalTime>15</TotalTime>
  <ScaleCrop>false</ScaleCrop>
  <LinksUpToDate>false</LinksUpToDate>
  <CharactersWithSpaces>26922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2020-07-05T03:34:00Z</dcterms:created>
  <dc:creator>jieling</dc:creator>
  <cp:lastModifiedBy>NTKO</cp:lastModifiedBy>
  <cp:lastPrinted>2023-07-31T01:57:00Z</cp:lastPrinted>
  <dcterms:modified xsi:type="dcterms:W3CDTF">2023-09-26T08:24:46Z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E3BDA852073118DBA4FB106544E70A82_43</vt:lpwstr>
  </property>
</Properties>
</file>