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color w:val="auto"/>
          <w:kern w:val="0"/>
          <w:sz w:val="44"/>
          <w:szCs w:val="44"/>
          <w:highlight w:val="none"/>
        </w:rPr>
      </w:pPr>
    </w:p>
    <w:p>
      <w:pPr>
        <w:spacing w:line="480" w:lineRule="auto"/>
        <w:jc w:val="center"/>
        <w:rPr>
          <w:rFonts w:hint="eastAsia" w:ascii="宋体" w:hAnsi="宋体" w:eastAsia="宋体" w:cs="宋体"/>
          <w:b/>
          <w:color w:val="auto"/>
          <w:kern w:val="0"/>
          <w:sz w:val="44"/>
          <w:szCs w:val="44"/>
          <w:highlight w:val="none"/>
          <w:lang w:eastAsia="zh-CN"/>
        </w:rPr>
      </w:pPr>
      <w:r>
        <w:rPr>
          <w:rFonts w:hint="eastAsia" w:ascii="宋体" w:hAnsi="宋体" w:cs="宋体"/>
          <w:b/>
          <w:color w:val="auto"/>
          <w:kern w:val="0"/>
          <w:sz w:val="44"/>
          <w:szCs w:val="44"/>
          <w:highlight w:val="none"/>
          <w:lang w:eastAsia="zh-CN"/>
        </w:rPr>
        <w:t>三支香水道-沥滘水道流域（大石系统）村居雨污分流改造工程——西三村、桔树村和三支香水道-沥滘水道流域（大石系统）村居雨污分流改造工程——西三村、桔树村（清淤修复部分）第三方检测</w:t>
      </w:r>
    </w:p>
    <w:p>
      <w:pPr>
        <w:spacing w:line="480" w:lineRule="auto"/>
        <w:jc w:val="center"/>
        <w:rPr>
          <w:rFonts w:ascii="宋体" w:hAnsi="宋体" w:cs="宋体"/>
          <w:b/>
          <w:color w:val="auto"/>
          <w:kern w:val="0"/>
          <w:sz w:val="44"/>
          <w:szCs w:val="44"/>
          <w:highlight w:val="none"/>
        </w:rPr>
      </w:pPr>
    </w:p>
    <w:p>
      <w:pPr>
        <w:rPr>
          <w:rFonts w:ascii="宋体" w:hAnsi="宋体" w:cs="宋体"/>
          <w:color w:val="auto"/>
          <w:sz w:val="28"/>
          <w:szCs w:val="28"/>
          <w:highlight w:val="none"/>
        </w:rPr>
      </w:pPr>
    </w:p>
    <w:p>
      <w:pPr>
        <w:pStyle w:val="2"/>
        <w:ind w:firstLine="422"/>
        <w:rPr>
          <w:color w:val="auto"/>
          <w:highlight w:val="none"/>
        </w:rPr>
      </w:pPr>
    </w:p>
    <w:p>
      <w:pPr>
        <w:pStyle w:val="2"/>
        <w:ind w:firstLine="422"/>
        <w:rPr>
          <w:color w:val="auto"/>
          <w:highlight w:val="none"/>
        </w:rPr>
      </w:pPr>
    </w:p>
    <w:p>
      <w:pPr>
        <w:jc w:val="center"/>
        <w:rPr>
          <w:rFonts w:ascii="宋体" w:hAnsi="宋体" w:cs="宋体"/>
          <w:b/>
          <w:color w:val="auto"/>
          <w:sz w:val="84"/>
          <w:szCs w:val="84"/>
          <w:highlight w:val="none"/>
        </w:rPr>
      </w:pPr>
      <w:r>
        <w:rPr>
          <w:rFonts w:hint="eastAsia" w:ascii="宋体" w:hAnsi="宋体" w:cs="宋体"/>
          <w:b/>
          <w:color w:val="auto"/>
          <w:sz w:val="84"/>
          <w:szCs w:val="84"/>
          <w:highlight w:val="none"/>
        </w:rPr>
        <w:t>招标文件</w:t>
      </w:r>
    </w:p>
    <w:p>
      <w:pPr>
        <w:rPr>
          <w:rFonts w:ascii="宋体" w:hAnsi="宋体" w:cs="宋体"/>
          <w:color w:val="auto"/>
          <w:sz w:val="28"/>
          <w:szCs w:val="28"/>
          <w:highlight w:val="none"/>
        </w:rPr>
      </w:pPr>
    </w:p>
    <w:p>
      <w:pPr>
        <w:pStyle w:val="2"/>
        <w:ind w:firstLine="422"/>
        <w:rPr>
          <w:color w:val="auto"/>
          <w:highlight w:val="none"/>
        </w:rPr>
      </w:pPr>
    </w:p>
    <w:p>
      <w:pPr>
        <w:rPr>
          <w:color w:val="auto"/>
          <w:highlight w:val="none"/>
        </w:rPr>
      </w:pPr>
    </w:p>
    <w:p>
      <w:pPr>
        <w:pStyle w:val="2"/>
        <w:ind w:firstLine="422"/>
        <w:rPr>
          <w:color w:val="auto"/>
          <w:highlight w:val="none"/>
        </w:rPr>
      </w:pPr>
    </w:p>
    <w:p>
      <w:pPr>
        <w:pStyle w:val="2"/>
        <w:ind w:left="0" w:leftChars="0" w:firstLine="0" w:firstLineChars="0"/>
        <w:rPr>
          <w:rFonts w:cs="宋体"/>
          <w:color w:val="auto"/>
          <w:sz w:val="28"/>
          <w:szCs w:val="28"/>
          <w:highlight w:val="none"/>
        </w:rPr>
      </w:pPr>
    </w:p>
    <w:p>
      <w:pPr>
        <w:rPr>
          <w:color w:val="auto"/>
          <w:highlight w:val="none"/>
        </w:rPr>
      </w:pPr>
    </w:p>
    <w:p>
      <w:pPr>
        <w:ind w:left="2112" w:leftChars="399" w:hanging="1274" w:hangingChars="423"/>
        <w:rPr>
          <w:rFonts w:ascii="宋体" w:hAnsi="宋体" w:cs="宋体"/>
          <w:b/>
          <w:color w:val="auto"/>
          <w:sz w:val="30"/>
          <w:szCs w:val="30"/>
          <w:highlight w:val="none"/>
        </w:rPr>
      </w:pPr>
    </w:p>
    <w:p>
      <w:pPr>
        <w:pStyle w:val="2"/>
        <w:rPr>
          <w:rFonts w:ascii="宋体" w:hAnsi="宋体" w:cs="宋体"/>
          <w:b/>
          <w:color w:val="auto"/>
          <w:sz w:val="30"/>
          <w:szCs w:val="30"/>
          <w:highlight w:val="none"/>
        </w:rPr>
      </w:pPr>
    </w:p>
    <w:p>
      <w:pPr>
        <w:rPr>
          <w:rFonts w:ascii="宋体" w:hAnsi="宋体" w:cs="宋体"/>
          <w:b/>
          <w:color w:val="auto"/>
          <w:sz w:val="30"/>
          <w:szCs w:val="30"/>
          <w:highlight w:val="none"/>
        </w:rPr>
      </w:pPr>
    </w:p>
    <w:p>
      <w:pPr>
        <w:pStyle w:val="2"/>
      </w:pPr>
      <w:bookmarkStart w:id="381" w:name="_GoBack"/>
      <w:bookmarkEnd w:id="381"/>
    </w:p>
    <w:p>
      <w:pPr>
        <w:ind w:left="2112" w:leftChars="399" w:hanging="1274" w:hangingChars="423"/>
        <w:rPr>
          <w:rFonts w:ascii="宋体" w:hAnsi="宋体" w:cs="宋体"/>
          <w:b/>
          <w:color w:val="auto"/>
          <w:sz w:val="30"/>
          <w:szCs w:val="30"/>
          <w:highlight w:val="none"/>
        </w:rPr>
      </w:pPr>
      <w:r>
        <w:rPr>
          <w:rFonts w:hint="eastAsia" w:ascii="宋体" w:hAnsi="宋体" w:cs="宋体"/>
          <w:b/>
          <w:color w:val="auto"/>
          <w:sz w:val="30"/>
          <w:szCs w:val="30"/>
          <w:highlight w:val="none"/>
        </w:rPr>
        <w:t>招 标 人：广州市番禺区水务工程建管中心（广州市番禺</w:t>
      </w:r>
    </w:p>
    <w:p>
      <w:pPr>
        <w:ind w:left="2234" w:leftChars="1064" w:firstLine="229" w:firstLineChars="76"/>
        <w:rPr>
          <w:rFonts w:ascii="宋体" w:hAnsi="宋体" w:cs="宋体"/>
          <w:b/>
          <w:color w:val="auto"/>
          <w:sz w:val="30"/>
          <w:szCs w:val="30"/>
          <w:highlight w:val="none"/>
        </w:rPr>
      </w:pPr>
      <w:r>
        <w:rPr>
          <w:rFonts w:hint="eastAsia" w:ascii="宋体" w:hAnsi="宋体" w:cs="宋体"/>
          <w:b/>
          <w:color w:val="auto"/>
          <w:sz w:val="30"/>
          <w:szCs w:val="30"/>
          <w:highlight w:val="none"/>
        </w:rPr>
        <w:t>区水旱灾害防御中心）</w:t>
      </w:r>
    </w:p>
    <w:p>
      <w:pPr>
        <w:ind w:firstLine="840" w:firstLineChars="279"/>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招标代理机构：</w:t>
      </w:r>
      <w:r>
        <w:rPr>
          <w:rFonts w:hint="eastAsia" w:ascii="宋体" w:hAnsi="宋体" w:cs="宋体"/>
          <w:b/>
          <w:color w:val="auto"/>
          <w:sz w:val="30"/>
          <w:szCs w:val="30"/>
          <w:highlight w:val="none"/>
          <w:lang w:eastAsia="zh-CN"/>
        </w:rPr>
        <w:t>广州益扬工程管理有限公司</w:t>
      </w:r>
    </w:p>
    <w:p>
      <w:pPr>
        <w:ind w:firstLine="840" w:firstLineChars="279"/>
        <w:rPr>
          <w:rFonts w:ascii="宋体" w:hAnsi="宋体" w:cs="宋体"/>
          <w:b/>
          <w:color w:val="auto"/>
          <w:sz w:val="28"/>
          <w:szCs w:val="28"/>
          <w:highlight w:val="none"/>
        </w:rPr>
      </w:pPr>
      <w:r>
        <w:rPr>
          <w:rFonts w:hint="eastAsia" w:ascii="宋体" w:hAnsi="宋体" w:cs="宋体"/>
          <w:b/>
          <w:color w:val="auto"/>
          <w:sz w:val="30"/>
          <w:szCs w:val="30"/>
          <w:highlight w:val="none"/>
        </w:rPr>
        <w:t>日        期：2023年</w:t>
      </w:r>
      <w:r>
        <w:rPr>
          <w:rFonts w:hint="eastAsia" w:ascii="宋体" w:hAnsi="宋体" w:cs="宋体"/>
          <w:b/>
          <w:color w:val="auto"/>
          <w:sz w:val="30"/>
          <w:szCs w:val="30"/>
          <w:highlight w:val="none"/>
          <w:lang w:val="en-US" w:eastAsia="zh-CN"/>
        </w:rPr>
        <w:t>9</w:t>
      </w:r>
      <w:r>
        <w:rPr>
          <w:rFonts w:hint="eastAsia" w:ascii="宋体" w:hAnsi="宋体" w:cs="宋体"/>
          <w:b/>
          <w:color w:val="auto"/>
          <w:sz w:val="30"/>
          <w:szCs w:val="30"/>
          <w:highlight w:val="none"/>
        </w:rPr>
        <w:t>月</w:t>
      </w:r>
    </w:p>
    <w:p>
      <w:pPr>
        <w:jc w:val="center"/>
        <w:rPr>
          <w:rFonts w:ascii="宋体" w:hAnsi="宋体" w:cs="宋体"/>
          <w:b/>
          <w:color w:val="auto"/>
          <w:sz w:val="44"/>
          <w:szCs w:val="44"/>
          <w:highlight w:val="none"/>
        </w:rPr>
      </w:pPr>
      <w:r>
        <w:rPr>
          <w:rFonts w:hint="eastAsia" w:ascii="宋体" w:hAnsi="宋体" w:cs="宋体"/>
          <w:color w:val="auto"/>
          <w:highlight w:val="none"/>
        </w:rPr>
        <w:br w:type="page"/>
      </w:r>
      <w:r>
        <w:rPr>
          <w:rFonts w:hint="eastAsia" w:ascii="宋体" w:hAnsi="宋体" w:cs="宋体"/>
          <w:b/>
          <w:color w:val="auto"/>
          <w:sz w:val="44"/>
          <w:szCs w:val="44"/>
          <w:highlight w:val="none"/>
        </w:rPr>
        <w:t>目  录</w:t>
      </w:r>
    </w:p>
    <w:p>
      <w:pPr>
        <w:pStyle w:val="21"/>
        <w:tabs>
          <w:tab w:val="right" w:leader="dot" w:pos="8306"/>
        </w:tabs>
        <w:spacing w:line="720" w:lineRule="auto"/>
        <w:rPr>
          <w:rFonts w:hint="eastAsia" w:ascii="宋体" w:hAnsi="宋体" w:eastAsia="宋体" w:cs="宋体"/>
          <w:color w:val="auto"/>
          <w:sz w:val="24"/>
          <w:szCs w:val="24"/>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"1-4" \h \z \u </w:instrText>
      </w:r>
      <w:r>
        <w:rPr>
          <w:rFonts w:hint="eastAsia" w:ascii="宋体" w:hAnsi="宋体" w:cs="宋体"/>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第一卷</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p>
    <w:p>
      <w:pPr>
        <w:pStyle w:val="21"/>
        <w:tabs>
          <w:tab w:val="right" w:leader="dot" w:pos="8306"/>
        </w:tabs>
        <w:spacing w:line="7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招标公告（适用于公开招标）</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p>
    <w:p>
      <w:pPr>
        <w:pStyle w:val="21"/>
        <w:tabs>
          <w:tab w:val="right" w:leader="dot" w:pos="8306"/>
        </w:tabs>
        <w:spacing w:line="7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p>
    <w:p>
      <w:pPr>
        <w:pStyle w:val="21"/>
        <w:tabs>
          <w:tab w:val="right" w:leader="dot" w:pos="8306"/>
        </w:tabs>
        <w:spacing w:line="72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评标办法（综合评估法）</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pPr>
        <w:pStyle w:val="21"/>
        <w:tabs>
          <w:tab w:val="right" w:leader="dot" w:pos="8306"/>
        </w:tabs>
        <w:spacing w:line="72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_Toc13217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tabs>
          <w:tab w:val="right" w:leader="dot" w:pos="8306"/>
        </w:tabs>
        <w:spacing w:line="72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_Toc6074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_Toc6074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color w:val="auto"/>
          <w:sz w:val="28"/>
          <w:szCs w:val="36"/>
          <w:highlight w:val="none"/>
        </w:rPr>
      </w:pPr>
    </w:p>
    <w:p>
      <w:pPr>
        <w:rPr>
          <w:rFonts w:ascii="宋体" w:hAnsi="宋体" w:cs="宋体"/>
          <w:color w:val="auto"/>
          <w:highlight w:val="none"/>
        </w:rPr>
      </w:pPr>
      <w:r>
        <w:rPr>
          <w:rFonts w:hint="eastAsia" w:ascii="宋体" w:hAnsi="宋体" w:cs="宋体"/>
          <w:color w:val="auto"/>
          <w:highlight w:val="none"/>
        </w:rPr>
        <w:fldChar w:fldCharType="end"/>
      </w:r>
    </w:p>
    <w:p>
      <w:pPr>
        <w:pStyle w:val="3"/>
        <w:spacing w:beforeLines="20" w:afterLines="20" w:line="360" w:lineRule="auto"/>
        <w:jc w:val="center"/>
        <w:rPr>
          <w:rFonts w:ascii="宋体" w:hAnsi="宋体" w:cs="宋体"/>
          <w:color w:val="auto"/>
          <w:highlight w:val="none"/>
        </w:rPr>
      </w:pPr>
      <w:bookmarkStart w:id="0" w:name="_Toc24104524"/>
      <w:bookmarkStart w:id="1" w:name="_Toc20642"/>
      <w:bookmarkStart w:id="2" w:name="_Toc11440"/>
      <w:bookmarkStart w:id="3" w:name="_Toc6664"/>
      <w:r>
        <w:rPr>
          <w:rFonts w:hint="eastAsia" w:ascii="宋体" w:hAnsi="宋体" w:cs="宋体"/>
          <w:color w:val="auto"/>
          <w:highlight w:val="none"/>
        </w:rPr>
        <w:t>第一卷</w:t>
      </w:r>
      <w:bookmarkEnd w:id="0"/>
      <w:bookmarkEnd w:id="1"/>
      <w:bookmarkEnd w:id="2"/>
      <w:bookmarkEnd w:id="3"/>
    </w:p>
    <w:p>
      <w:pPr>
        <w:pStyle w:val="3"/>
        <w:spacing w:beforeLines="20" w:afterLines="20" w:line="360" w:lineRule="auto"/>
        <w:jc w:val="center"/>
        <w:rPr>
          <w:rFonts w:ascii="宋体" w:hAnsi="宋体" w:cs="宋体"/>
          <w:color w:val="auto"/>
          <w:highlight w:val="none"/>
        </w:rPr>
      </w:pPr>
      <w:r>
        <w:rPr>
          <w:rFonts w:hint="eastAsia" w:ascii="宋体" w:hAnsi="宋体" w:cs="宋体"/>
          <w:color w:val="auto"/>
          <w:highlight w:val="none"/>
        </w:rPr>
        <w:br w:type="page"/>
      </w:r>
      <w:bookmarkStart w:id="4" w:name="_Toc3402"/>
      <w:bookmarkStart w:id="5" w:name="_Toc24104525"/>
      <w:bookmarkStart w:id="6" w:name="_Toc25513"/>
      <w:bookmarkStart w:id="7" w:name="_Toc22999"/>
      <w:r>
        <w:rPr>
          <w:rFonts w:hint="eastAsia" w:ascii="宋体" w:hAnsi="宋体" w:cs="宋体"/>
          <w:color w:val="auto"/>
          <w:highlight w:val="none"/>
        </w:rPr>
        <w:t>第一章 招标公告（适用于公开招标）</w:t>
      </w:r>
      <w:bookmarkEnd w:id="4"/>
      <w:bookmarkEnd w:id="5"/>
      <w:bookmarkEnd w:id="6"/>
      <w:bookmarkEnd w:id="7"/>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（另册）</w:t>
      </w:r>
    </w:p>
    <w:p>
      <w:pPr>
        <w:pStyle w:val="3"/>
        <w:spacing w:beforeLines="20" w:afterLines="20" w:line="360" w:lineRule="auto"/>
        <w:jc w:val="center"/>
        <w:rPr>
          <w:rFonts w:ascii="宋体" w:hAnsi="宋体" w:cs="宋体"/>
          <w:color w:val="auto"/>
          <w:highlight w:val="none"/>
        </w:rPr>
      </w:pPr>
      <w:r>
        <w:rPr>
          <w:rFonts w:hint="eastAsia" w:ascii="宋体" w:hAnsi="宋体" w:cs="宋体"/>
          <w:color w:val="auto"/>
          <w:highlight w:val="none"/>
        </w:rPr>
        <w:br w:type="page"/>
      </w:r>
      <w:bookmarkStart w:id="8" w:name="_Toc5732"/>
      <w:bookmarkStart w:id="9" w:name="_Toc28403"/>
      <w:bookmarkStart w:id="10" w:name="_Toc32540"/>
      <w:bookmarkStart w:id="11" w:name="_Toc24104526"/>
      <w:r>
        <w:rPr>
          <w:rFonts w:hint="eastAsia" w:ascii="宋体" w:hAnsi="宋体" w:cs="宋体"/>
          <w:color w:val="auto"/>
          <w:highlight w:val="none"/>
        </w:rPr>
        <w:t>第二章 投标人须知</w:t>
      </w:r>
      <w:bookmarkEnd w:id="8"/>
      <w:bookmarkEnd w:id="9"/>
      <w:bookmarkEnd w:id="10"/>
      <w:bookmarkEnd w:id="11"/>
    </w:p>
    <w:p>
      <w:pPr>
        <w:pStyle w:val="4"/>
        <w:rPr>
          <w:rFonts w:ascii="宋体" w:hAnsi="宋体" w:eastAsia="宋体" w:cs="宋体"/>
          <w:color w:val="auto"/>
          <w:highlight w:val="none"/>
        </w:rPr>
      </w:pPr>
      <w:bookmarkStart w:id="12" w:name="_Toc24104527"/>
      <w:bookmarkStart w:id="13" w:name="_Toc32275"/>
      <w:bookmarkStart w:id="14" w:name="_Toc30499"/>
      <w:bookmarkStart w:id="15" w:name="_Toc15337"/>
      <w:r>
        <w:rPr>
          <w:rFonts w:hint="eastAsia" w:ascii="宋体" w:hAnsi="宋体" w:eastAsia="宋体" w:cs="宋体"/>
          <w:color w:val="auto"/>
          <w:highlight w:val="none"/>
        </w:rPr>
        <w:t>投标人须知前附表</w:t>
      </w:r>
      <w:bookmarkEnd w:id="12"/>
      <w:bookmarkEnd w:id="13"/>
      <w:bookmarkEnd w:id="14"/>
      <w:bookmarkEnd w:id="15"/>
    </w:p>
    <w:tbl>
      <w:tblPr>
        <w:tblStyle w:val="3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55"/>
        <w:gridCol w:w="5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455"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5963"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5963"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val="zh-CN"/>
              </w:rPr>
              <w:t>广州市番禺区水务工程建管中心（广州市番禺区水旱灾害防御中心）</w:t>
            </w:r>
          </w:p>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广州市番禺区市桥街环城东路20号首二层</w:t>
            </w:r>
          </w:p>
          <w:p>
            <w:pPr>
              <w:adjustRightInd w:val="0"/>
              <w:snapToGrid w:val="0"/>
              <w:spacing w:line="360" w:lineRule="auto"/>
              <w:rPr>
                <w:rFonts w:ascii="宋体" w:hAnsi="宋体" w:cs="宋体"/>
                <w:color w:val="auto"/>
                <w:szCs w:val="21"/>
                <w:highlight w:val="none"/>
                <w:u w:val="single"/>
                <w:lang w:val="zh-CN"/>
              </w:rPr>
            </w:pPr>
            <w:r>
              <w:rPr>
                <w:rFonts w:hint="eastAsia" w:ascii="宋体" w:hAnsi="宋体" w:cs="宋体"/>
                <w:color w:val="auto"/>
                <w:szCs w:val="21"/>
                <w:highlight w:val="none"/>
                <w:lang w:val="zh-CN"/>
              </w:rPr>
              <w:t>联系人：</w:t>
            </w:r>
            <w:r>
              <w:rPr>
                <w:rFonts w:hint="eastAsia" w:ascii="宋体" w:hAnsi="宋体" w:cs="宋体"/>
                <w:color w:val="auto"/>
                <w:szCs w:val="21"/>
                <w:highlight w:val="none"/>
                <w:u w:val="single"/>
                <w:lang w:val="zh-CN"/>
              </w:rPr>
              <w:t>何工</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val="zh-CN"/>
              </w:rPr>
              <w:t>电话：</w:t>
            </w:r>
            <w:r>
              <w:rPr>
                <w:rFonts w:hint="eastAsia" w:ascii="宋体" w:hAnsi="宋体" w:cs="宋体"/>
                <w:color w:val="auto"/>
                <w:szCs w:val="21"/>
                <w:highlight w:val="none"/>
                <w:u w:val="single"/>
              </w:rPr>
              <w:t>020-37754152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5963" w:type="dxa"/>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广州益扬工程管理有限公司</w:t>
            </w:r>
          </w:p>
          <w:p>
            <w:pPr>
              <w:spacing w:line="360" w:lineRule="auto"/>
              <w:rPr>
                <w:rFonts w:hint="eastAsia" w:ascii="宋体" w:hAnsi="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广州市番禺区东环街东沙东约下街24号102房</w:t>
            </w:r>
          </w:p>
          <w:p>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胡</w:t>
            </w:r>
            <w:r>
              <w:rPr>
                <w:rFonts w:hint="eastAsia" w:ascii="宋体" w:hAnsi="宋体" w:cs="宋体"/>
                <w:color w:val="auto"/>
                <w:szCs w:val="21"/>
                <w:highlight w:val="none"/>
                <w:u w:val="single"/>
              </w:rPr>
              <w:t>工</w:t>
            </w:r>
          </w:p>
          <w:p>
            <w:pPr>
              <w:topLinePunct/>
              <w:spacing w:line="36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 w:val="24"/>
                <w:szCs w:val="24"/>
                <w:highlight w:val="none"/>
              </w:rPr>
              <w:t>电话：</w:t>
            </w:r>
            <w:r>
              <w:rPr>
                <w:rFonts w:hint="eastAsia" w:ascii="宋体" w:hAnsi="宋体" w:cs="宋体"/>
                <w:color w:val="auto"/>
                <w:szCs w:val="21"/>
                <w:highlight w:val="none"/>
                <w:u w:val="single"/>
              </w:rPr>
              <w:t>020-84504647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5963" w:type="dxa"/>
            <w:vAlign w:val="center"/>
          </w:tcPr>
          <w:p>
            <w:pPr>
              <w:spacing w:line="360"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三支香水道-沥滘水道流域（大石系统）村居雨污分流改造工程——西三村、桔树村和三支香水道-沥滘水道流域（大石系统）村居雨污分流改造工程——西三村、桔树村（清淤修复部分）第三方检测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项目建设地点</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1.1.6</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项目建设规模</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1.1.7</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工程项目预计开工日期和建设周期</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5963" w:type="dxa"/>
            <w:vAlign w:val="center"/>
          </w:tcPr>
          <w:p>
            <w:pPr>
              <w:spacing w:line="360" w:lineRule="auto"/>
              <w:rPr>
                <w:color w:val="auto"/>
                <w:szCs w:val="21"/>
                <w:highlight w:val="none"/>
              </w:rPr>
            </w:pPr>
            <w:r>
              <w:rPr>
                <w:rFonts w:hint="eastAsia" w:ascii="宋体" w:hAnsi="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符合国家及省、市有关检测、监测标准。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投标人资质条件、能力、信誉</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（1）资质要求：</w:t>
            </w:r>
            <w:r>
              <w:rPr>
                <w:rFonts w:hint="eastAsia" w:ascii="宋体" w:hAnsi="宋体" w:cs="宋体"/>
                <w:color w:val="auto"/>
                <w:szCs w:val="21"/>
                <w:highlight w:val="none"/>
                <w:u w:val="single"/>
              </w:rPr>
              <w:t>见招标公告投标人资格要求。</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（2）财务要求：</w:t>
            </w:r>
            <w:r>
              <w:rPr>
                <w:rFonts w:hint="eastAsia" w:ascii="宋体" w:hAnsi="宋体" w:cs="宋体"/>
                <w:color w:val="auto"/>
                <w:szCs w:val="21"/>
                <w:highlight w:val="none"/>
                <w:u w:val="single"/>
              </w:rPr>
              <w:t xml:space="preserve">           /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（3）业绩要求：</w:t>
            </w:r>
            <w:r>
              <w:rPr>
                <w:rFonts w:hint="eastAsia" w:ascii="宋体" w:hAnsi="宋体" w:cs="宋体"/>
                <w:color w:val="auto"/>
                <w:szCs w:val="21"/>
                <w:highlight w:val="none"/>
                <w:u w:val="single"/>
              </w:rPr>
              <w:t xml:space="preserve">           /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（4）信誉要求：</w:t>
            </w:r>
            <w:r>
              <w:rPr>
                <w:rFonts w:hint="eastAsia" w:ascii="宋体" w:hAnsi="宋体" w:cs="宋体"/>
                <w:color w:val="auto"/>
                <w:szCs w:val="21"/>
                <w:highlight w:val="none"/>
                <w:u w:val="single"/>
              </w:rPr>
              <w:t xml:space="preserve">           /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（5）项目负责人的资格要求：</w:t>
            </w:r>
            <w:r>
              <w:rPr>
                <w:rFonts w:hint="eastAsia" w:ascii="宋体" w:hAnsi="宋体" w:cs="宋体"/>
                <w:color w:val="auto"/>
                <w:szCs w:val="21"/>
                <w:highlight w:val="none"/>
                <w:u w:val="single"/>
              </w:rPr>
              <w:t>见招标公告投标人资格要求。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（6）其他主要人员要求：</w:t>
            </w:r>
            <w:r>
              <w:rPr>
                <w:rFonts w:hint="eastAsia" w:ascii="宋体" w:hAnsi="宋体" w:cs="宋体"/>
                <w:color w:val="auto"/>
                <w:szCs w:val="21"/>
                <w:highlight w:val="none"/>
                <w:u w:val="single"/>
              </w:rPr>
              <w:t xml:space="preserve">        /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（7）试验检测监测仪器设备要求：</w:t>
            </w:r>
            <w:r>
              <w:rPr>
                <w:rFonts w:hint="eastAsia" w:ascii="宋体" w:hAnsi="宋体" w:cs="宋体"/>
                <w:color w:val="auto"/>
                <w:szCs w:val="21"/>
                <w:highlight w:val="none"/>
                <w:u w:val="single"/>
              </w:rPr>
              <w:t xml:space="preserve">      /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（8）其他要求：</w:t>
            </w:r>
            <w:r>
              <w:rPr>
                <w:rFonts w:hint="eastAsia" w:ascii="宋体" w:hAnsi="宋体" w:cs="宋体"/>
                <w:color w:val="auto"/>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不接受</w:t>
            </w:r>
          </w:p>
          <w:p>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接受，应满足下列要求：</w:t>
            </w:r>
            <w:r>
              <w:rPr>
                <w:rFonts w:hint="eastAsia" w:ascii="宋体" w:hAnsi="宋体" w:cs="宋体"/>
                <w:color w:val="auto"/>
                <w:szCs w:val="21"/>
                <w:highlight w:val="none"/>
                <w:u w:val="single"/>
              </w:rPr>
              <w:t xml:space="preserve">见招标公告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1.4.3</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投标人不得存在的其他情形</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（一）为招标人不具有独立法人资格的附属机构（单位）；</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（二）为本标段前期准备提供设计或咨询服务或者与本项目设计人或提供咨询服务的机构存在附属关系的；</w:t>
            </w:r>
          </w:p>
          <w:p>
            <w:pPr>
              <w:pStyle w:val="2"/>
              <w:spacing w:line="360" w:lineRule="auto"/>
              <w:ind w:firstLine="0" w:firstLineChars="0"/>
              <w:rPr>
                <w:b w:val="0"/>
                <w:bCs/>
                <w:color w:val="auto"/>
                <w:highlight w:val="none"/>
              </w:rPr>
            </w:pPr>
            <w:r>
              <w:rPr>
                <w:rFonts w:hint="eastAsia" w:cs="宋体"/>
                <w:b w:val="0"/>
                <w:bCs/>
                <w:color w:val="auto"/>
                <w:szCs w:val="21"/>
                <w:highlight w:val="none"/>
                <w:u w:val="single"/>
              </w:rPr>
              <w:t>（三）为本标段监理人或者与本标段监理人存在隶属关系或者其他利害关系。</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（四）为本标段的代建人；</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（五）为本标段提供招标代理服务的；</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（六）与本标段的设计人、监理人或代建人或招标代理机构同为一个法定代表人的；</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（七）与本标段的设计人、监理人或代建人或招标代理机构互相控股或参股的；</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（八）与本标段的设计人、监理人或代建人或招标代理机构相互任职或工作的；</w:t>
            </w:r>
          </w:p>
          <w:p>
            <w:pPr>
              <w:spacing w:line="360" w:lineRule="auto"/>
              <w:jc w:val="left"/>
              <w:rPr>
                <w:rFonts w:hint="eastAsia" w:ascii="宋体" w:hAnsi="宋体" w:cs="宋体"/>
                <w:color w:val="auto"/>
                <w:sz w:val="21"/>
                <w:szCs w:val="21"/>
                <w:highlight w:val="none"/>
                <w:u w:val="single"/>
              </w:rPr>
            </w:pPr>
            <w:r>
              <w:rPr>
                <w:rFonts w:hint="eastAsia" w:ascii="宋体" w:hAnsi="宋体" w:cs="宋体"/>
                <w:color w:val="auto"/>
                <w:szCs w:val="21"/>
                <w:highlight w:val="none"/>
                <w:u w:val="single"/>
              </w:rPr>
              <w:t>（九）</w:t>
            </w:r>
            <w:r>
              <w:rPr>
                <w:rFonts w:hint="eastAsia" w:ascii="宋体" w:hAnsi="宋体" w:cs="宋体"/>
                <w:color w:val="auto"/>
                <w:sz w:val="21"/>
                <w:szCs w:val="21"/>
                <w:highlight w:val="none"/>
                <w:u w:val="single"/>
              </w:rPr>
              <w:t>与本招标项目的施工承包人以及建筑材料、建筑构配件和设备供应商有隶属关系或者其他利害关系；</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（十）与招标人存在利害关系且可能影响招标公正性；</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（十二）被责令停产停业、暂扣或者吊销许可证、暂扣或者吊销执照的（本项事实应当以根据《中华人民共和国行政处罚法》依法作出并已经生效的行政处罚决定为认定依据。）；</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（十三）进入清算程序，或被宣布破产，或其他丧失履约能力的情形；</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十四）在最近三年内有严重违约或发生重大检测监测质量问题（“严重违约”事实应当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（十五）法律法规规定的其他情形。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不组织</w:t>
            </w:r>
            <w:r>
              <w:rPr>
                <w:rFonts w:hint="eastAsia" w:ascii="宋体" w:hAnsi="宋体" w:cs="宋体"/>
                <w:color w:val="auto"/>
                <w:szCs w:val="21"/>
                <w:highlight w:val="none"/>
                <w:u w:val="single"/>
              </w:rPr>
              <w:t>，由投标人自行现场勘察。</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□组织，踏勘时间：</w:t>
            </w:r>
          </w:p>
          <w:p>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不召开</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□召开，召开时间：</w:t>
            </w:r>
          </w:p>
          <w:p>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455"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color w:val="auto"/>
                <w:szCs w:val="21"/>
                <w:highlight w:val="none"/>
              </w:rPr>
            </w:pPr>
          </w:p>
        </w:tc>
        <w:tc>
          <w:tcPr>
            <w:tcW w:w="2455" w:type="dxa"/>
            <w:vMerge w:val="continue"/>
            <w:vAlign w:val="center"/>
          </w:tcPr>
          <w:p>
            <w:pPr>
              <w:spacing w:line="360" w:lineRule="auto"/>
              <w:jc w:val="center"/>
              <w:rPr>
                <w:rFonts w:ascii="宋体" w:hAnsi="宋体" w:cs="宋体"/>
                <w:color w:val="auto"/>
                <w:szCs w:val="21"/>
                <w:highlight w:val="none"/>
              </w:rPr>
            </w:pP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1.10.3</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1.12.1</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实质性要求和条件</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1.12.3</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偏差</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不允许</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□允许，偏差范围：</w:t>
            </w:r>
          </w:p>
          <w:p>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投标人要求澄清招标文件</w:t>
            </w:r>
          </w:p>
        </w:tc>
        <w:tc>
          <w:tcPr>
            <w:tcW w:w="5963" w:type="dxa"/>
            <w:vAlign w:val="center"/>
          </w:tcPr>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w:t>
            </w:r>
            <w:r>
              <w:rPr>
                <w:rFonts w:hint="eastAsia" w:ascii="宋体" w:hAnsi="宋体"/>
                <w:color w:val="auto"/>
                <w:szCs w:val="21"/>
                <w:highlight w:val="none"/>
              </w:rPr>
              <w:t>8天前提出；</w:t>
            </w:r>
          </w:p>
          <w:p>
            <w:pPr>
              <w:spacing w:line="360" w:lineRule="auto"/>
              <w:jc w:val="left"/>
              <w:rPr>
                <w:rFonts w:ascii="宋体" w:hAnsi="宋体"/>
                <w:color w:val="auto"/>
                <w:szCs w:val="21"/>
                <w:highlight w:val="none"/>
              </w:rPr>
            </w:pPr>
            <w:r>
              <w:rPr>
                <w:rFonts w:hint="eastAsia" w:ascii="宋体" w:hAnsi="宋体"/>
                <w:color w:val="auto"/>
                <w:szCs w:val="21"/>
                <w:highlight w:val="none"/>
              </w:rPr>
              <w:t>形式：</w:t>
            </w:r>
          </w:p>
          <w:p>
            <w:pPr>
              <w:spacing w:line="360" w:lineRule="auto"/>
              <w:jc w:val="left"/>
              <w:rPr>
                <w:rFonts w:ascii="宋体" w:hAnsi="宋体"/>
                <w:color w:val="auto"/>
                <w:szCs w:val="21"/>
                <w:highlight w:val="none"/>
                <w:u w:val="single"/>
              </w:rPr>
            </w:pPr>
            <w:r>
              <w:rPr>
                <w:rFonts w:hint="eastAsia" w:ascii="宋体" w:hAnsi="宋体"/>
                <w:color w:val="auto"/>
                <w:szCs w:val="21"/>
                <w:highlight w:val="none"/>
                <w:u w:val="single"/>
              </w:rPr>
              <w:t>1、招标答疑采用网上答疑方式进行。投标人若对招标文件[包括招标图纸、清单、招标控制价（即最高投标限价）]有疑问的，可在规定的时间内通过广州公共资源交易中心网站进入提问区域将问题提交给招标人或招标代理人，提交问题时一律不得署名。</w:t>
            </w:r>
          </w:p>
          <w:p>
            <w:pPr>
              <w:spacing w:line="360" w:lineRule="auto"/>
              <w:jc w:val="left"/>
              <w:rPr>
                <w:rFonts w:ascii="宋体" w:hAnsi="宋体"/>
                <w:color w:val="auto"/>
                <w:szCs w:val="21"/>
                <w:highlight w:val="none"/>
                <w:u w:val="single"/>
              </w:rPr>
            </w:pPr>
            <w:r>
              <w:rPr>
                <w:rFonts w:hint="eastAsia" w:ascii="宋体" w:hAnsi="宋体"/>
                <w:color w:val="auto"/>
                <w:szCs w:val="21"/>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spacing w:line="360" w:lineRule="auto"/>
              <w:jc w:val="left"/>
              <w:rPr>
                <w:rFonts w:ascii="宋体" w:hAnsi="宋体"/>
                <w:color w:val="auto"/>
                <w:szCs w:val="21"/>
                <w:highlight w:val="none"/>
                <w:u w:val="single"/>
              </w:rPr>
            </w:pPr>
            <w:r>
              <w:rPr>
                <w:rFonts w:hint="eastAsia" w:ascii="宋体" w:hAnsi="宋体"/>
                <w:color w:val="auto"/>
                <w:szCs w:val="21"/>
                <w:highlight w:val="none"/>
                <w:u w:val="single"/>
              </w:rPr>
              <w:t>2、投标人应在投标截止时间18日前停止质疑。招标人应在投标截止时间15日前解答投标人对招标文件提出的疑问，形成答疑纪要，方可在广州公共资源交易中心网站“项目查询(日程安排、答疑纪要)”专区发布。</w:t>
            </w:r>
          </w:p>
          <w:p>
            <w:pPr>
              <w:spacing w:line="360" w:lineRule="auto"/>
              <w:rPr>
                <w:rFonts w:ascii="宋体" w:hAnsi="宋体"/>
                <w:color w:val="auto"/>
                <w:szCs w:val="21"/>
                <w:highlight w:val="none"/>
                <w:u w:val="single"/>
              </w:rPr>
            </w:pPr>
            <w:r>
              <w:rPr>
                <w:rFonts w:hint="eastAsia" w:ascii="宋体" w:hAnsi="宋体"/>
                <w:color w:val="auto"/>
                <w:szCs w:val="21"/>
                <w:highlight w:val="none"/>
                <w:u w:val="single"/>
              </w:rPr>
              <w:t>3、招标答疑纪要一经在广州公共资源交易中心网站发布，视作已发放给所有投标人。</w:t>
            </w:r>
          </w:p>
          <w:p>
            <w:pPr>
              <w:spacing w:line="360" w:lineRule="auto"/>
              <w:rPr>
                <w:rFonts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u w:val="single"/>
              </w:rPr>
              <w:t>4、招标答疑纪要为招标文件的一部分。投标人可在广州公资源交易中心网站浏览、下载招标答疑纪要。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olor w:val="auto"/>
                <w:szCs w:val="21"/>
                <w:highlight w:val="none"/>
              </w:rPr>
              <w:t>在递交投标文件截止时间15天前；在广州公共资源交易中心网站“项目查询(日程安排、答疑纪要)”专区公开发布。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455"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投标人确认收到招标文件澄清</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color w:val="auto"/>
                <w:szCs w:val="21"/>
                <w:highlight w:val="none"/>
              </w:rPr>
            </w:pPr>
          </w:p>
        </w:tc>
        <w:tc>
          <w:tcPr>
            <w:tcW w:w="2455" w:type="dxa"/>
            <w:vMerge w:val="continue"/>
            <w:vAlign w:val="center"/>
          </w:tcPr>
          <w:p>
            <w:pPr>
              <w:spacing w:line="360" w:lineRule="auto"/>
              <w:jc w:val="center"/>
              <w:rPr>
                <w:rFonts w:ascii="宋体" w:hAnsi="宋体" w:cs="宋体"/>
                <w:color w:val="auto"/>
                <w:szCs w:val="21"/>
                <w:highlight w:val="none"/>
              </w:rPr>
            </w:pPr>
          </w:p>
        </w:tc>
        <w:tc>
          <w:tcPr>
            <w:tcW w:w="5963" w:type="dxa"/>
            <w:vAlign w:val="center"/>
          </w:tcPr>
          <w:p>
            <w:pPr>
              <w:spacing w:line="360" w:lineRule="auto"/>
              <w:rPr>
                <w:rFonts w:ascii="宋体" w:hAnsi="宋体" w:cs="宋体"/>
                <w:color w:val="auto"/>
                <w:szCs w:val="21"/>
                <w:highlight w:val="none"/>
              </w:rPr>
            </w:pPr>
            <w:r>
              <w:rPr>
                <w:rFonts w:hint="eastAsia" w:ascii="宋体" w:hAnsi="宋体"/>
                <w:color w:val="auto"/>
                <w:szCs w:val="21"/>
                <w:highlight w:val="none"/>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2.3.1</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olor w:val="auto"/>
                <w:szCs w:val="21"/>
                <w:highlight w:val="non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455"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投标人确认收到招标文件修改</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color w:val="auto"/>
                <w:szCs w:val="21"/>
                <w:highlight w:val="none"/>
              </w:rPr>
            </w:pPr>
          </w:p>
        </w:tc>
        <w:tc>
          <w:tcPr>
            <w:tcW w:w="2455" w:type="dxa"/>
            <w:vMerge w:val="continue"/>
            <w:vAlign w:val="center"/>
          </w:tcPr>
          <w:p>
            <w:pPr>
              <w:spacing w:line="360" w:lineRule="auto"/>
              <w:jc w:val="center"/>
              <w:rPr>
                <w:rFonts w:ascii="宋体" w:hAnsi="宋体" w:cs="宋体"/>
                <w:color w:val="auto"/>
                <w:szCs w:val="21"/>
                <w:highlight w:val="none"/>
              </w:rPr>
            </w:pPr>
          </w:p>
        </w:tc>
        <w:tc>
          <w:tcPr>
            <w:tcW w:w="5963" w:type="dxa"/>
            <w:vAlign w:val="center"/>
          </w:tcPr>
          <w:p>
            <w:pPr>
              <w:spacing w:line="360" w:lineRule="auto"/>
              <w:rPr>
                <w:rFonts w:ascii="宋体" w:hAnsi="宋体" w:cs="宋体"/>
                <w:color w:val="auto"/>
                <w:szCs w:val="21"/>
                <w:highlight w:val="none"/>
              </w:rPr>
            </w:pPr>
            <w:r>
              <w:rPr>
                <w:rFonts w:hint="eastAsia" w:ascii="宋体" w:hAnsi="宋体"/>
                <w:color w:val="auto"/>
                <w:szCs w:val="21"/>
                <w:highlight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增值税税金的计算方法</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一般计税方法。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报价方式</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采用固定下浮率报价方式报价，并依据所报投标下浮率（投标下浮率必须为固定数值，并保留小数点后2位，如：X.XX%，不得存在区间值，如X.XX%～Y.YY%）列明投标报价（以元为单位，精确到小数点后2位，第3位四舍五入），工程量按实结算。投标报价包括但不限于人工费、材料费、设备使用费、设备进出场费、检验监测费和损坏修复费（并且包括在建筑物全过程中检测频率不得少于设计文件和规范要求所规定的频率）、检测试验费、检测和监测过程中的安全措施费、机械使用费、报告编写费、各项管理费、中标人所有因工程质量检测应交纳的政府规费、利润、税金、风险费用等，不论实际费用有无发生，亦不论各项费用有无涨落，均不再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3.2.4</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963" w:type="dxa"/>
            <w:vAlign w:val="center"/>
          </w:tcPr>
          <w:p>
            <w:pPr>
              <w:pStyle w:val="44"/>
              <w:ind w:firstLine="174" w:firstLineChars="83"/>
              <w:rPr>
                <w:rFonts w:ascii="宋体" w:hAnsi="宋体" w:cs="宋体"/>
                <w:color w:val="auto"/>
                <w:sz w:val="21"/>
                <w:szCs w:val="21"/>
                <w:highlight w:val="none"/>
              </w:rPr>
            </w:pPr>
            <w:r>
              <w:rPr>
                <w:rFonts w:hint="eastAsia" w:ascii="宋体" w:hAnsi="宋体" w:cs="宋体"/>
                <w:color w:val="auto"/>
                <w:sz w:val="21"/>
                <w:szCs w:val="21"/>
                <w:highlight w:val="none"/>
              </w:rPr>
              <w:t>□无</w:t>
            </w:r>
          </w:p>
          <w:p>
            <w:pPr>
              <w:spacing w:line="240" w:lineRule="auto"/>
              <w:jc w:val="left"/>
              <w:rPr>
                <w:rFonts w:hint="eastAsia" w:ascii="宋体" w:hAnsi="宋体" w:cs="宋体"/>
                <w:color w:val="auto"/>
                <w:szCs w:val="21"/>
                <w:highlight w:val="none"/>
                <w:u w:val="singl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eq \o\ac(□,√)</w:instrTex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有，</w:t>
            </w:r>
            <w:r>
              <w:rPr>
                <w:rFonts w:hint="eastAsia" w:ascii="宋体" w:hAnsi="宋体" w:cs="宋体"/>
                <w:color w:val="auto"/>
                <w:szCs w:val="21"/>
                <w:highlight w:val="none"/>
                <w:u w:val="single"/>
              </w:rPr>
              <w:t>最高投标限价为：</w:t>
            </w:r>
            <w:r>
              <w:rPr>
                <w:rFonts w:hint="eastAsia" w:ascii="宋体" w:hAnsi="宋体" w:cs="宋体"/>
                <w:color w:val="auto"/>
                <w:szCs w:val="21"/>
                <w:highlight w:val="none"/>
                <w:u w:val="single"/>
                <w:lang w:eastAsia="zh-CN"/>
              </w:rPr>
              <w:t>人民币</w:t>
            </w:r>
            <w:r>
              <w:rPr>
                <w:rFonts w:hint="eastAsia" w:ascii="宋体" w:hAnsi="宋体" w:cs="宋体"/>
                <w:color w:val="auto"/>
                <w:szCs w:val="21"/>
                <w:highlight w:val="none"/>
                <w:u w:val="single"/>
                <w:lang w:val="en-US" w:eastAsia="zh-CN"/>
              </w:rPr>
              <w:t>1659129.00</w:t>
            </w:r>
            <w:r>
              <w:rPr>
                <w:rFonts w:hint="eastAsia" w:ascii="宋体" w:hAnsi="宋体" w:cs="宋体"/>
                <w:color w:val="auto"/>
                <w:szCs w:val="21"/>
                <w:highlight w:val="none"/>
                <w:u w:val="single"/>
              </w:rPr>
              <w:t>元，其中：</w:t>
            </w:r>
          </w:p>
          <w:p>
            <w:pPr>
              <w:spacing w:line="24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建设工程部分</w:t>
            </w:r>
            <w:r>
              <w:rPr>
                <w:rFonts w:hint="eastAsia" w:ascii="宋体" w:hAnsi="宋体" w:cs="宋体"/>
                <w:color w:val="auto"/>
                <w:szCs w:val="21"/>
                <w:highlight w:val="none"/>
                <w:u w:val="single"/>
                <w:lang w:eastAsia="zh-CN"/>
              </w:rPr>
              <w:t>第</w:t>
            </w:r>
            <w:r>
              <w:rPr>
                <w:rFonts w:hint="eastAsia" w:ascii="宋体" w:hAnsi="宋体" w:cs="宋体"/>
                <w:color w:val="auto"/>
                <w:szCs w:val="21"/>
                <w:highlight w:val="none"/>
                <w:u w:val="single"/>
                <w:lang w:val="en-US" w:eastAsia="zh-CN"/>
              </w:rPr>
              <w:t>三方检测</w:t>
            </w:r>
            <w:r>
              <w:rPr>
                <w:rFonts w:hint="eastAsia" w:ascii="宋体" w:hAnsi="宋体" w:cs="宋体"/>
                <w:color w:val="auto"/>
                <w:szCs w:val="21"/>
                <w:highlight w:val="none"/>
                <w:u w:val="single"/>
              </w:rPr>
              <w:t>费最高投标限价：人民币</w:t>
            </w:r>
            <w:r>
              <w:rPr>
                <w:rFonts w:hint="eastAsia" w:ascii="宋体" w:hAnsi="宋体" w:cs="宋体"/>
                <w:color w:val="auto"/>
                <w:szCs w:val="21"/>
                <w:highlight w:val="none"/>
                <w:u w:val="single"/>
                <w:lang w:val="en-US" w:eastAsia="zh-CN"/>
              </w:rPr>
              <w:t>1610042.44</w:t>
            </w:r>
            <w:r>
              <w:rPr>
                <w:rFonts w:hint="eastAsia" w:ascii="宋体" w:hAnsi="宋体" w:cs="宋体"/>
                <w:color w:val="auto"/>
                <w:szCs w:val="21"/>
                <w:highlight w:val="none"/>
                <w:u w:val="single"/>
              </w:rPr>
              <w:t>元；</w:t>
            </w:r>
          </w:p>
          <w:p>
            <w:pPr>
              <w:spacing w:line="240" w:lineRule="auto"/>
              <w:jc w:val="left"/>
              <w:rPr>
                <w:rFonts w:ascii="宋体" w:hAnsi="宋体" w:cs="宋体"/>
                <w:strike/>
                <w:color w:val="auto"/>
                <w:sz w:val="24"/>
                <w:highlight w:val="none"/>
              </w:rPr>
            </w:pPr>
            <w:r>
              <w:rPr>
                <w:rFonts w:hint="eastAsia" w:ascii="宋体" w:hAnsi="宋体" w:cs="宋体"/>
                <w:color w:val="auto"/>
                <w:szCs w:val="21"/>
                <w:highlight w:val="none"/>
                <w:u w:val="single"/>
              </w:rPr>
              <w:t>清淤修复部分</w:t>
            </w:r>
            <w:r>
              <w:rPr>
                <w:rFonts w:hint="eastAsia" w:ascii="宋体" w:hAnsi="宋体" w:cs="宋体"/>
                <w:color w:val="auto"/>
                <w:szCs w:val="21"/>
                <w:highlight w:val="none"/>
                <w:u w:val="single"/>
                <w:lang w:eastAsia="zh-CN"/>
              </w:rPr>
              <w:t>第</w:t>
            </w:r>
            <w:r>
              <w:rPr>
                <w:rFonts w:hint="eastAsia" w:ascii="宋体" w:hAnsi="宋体" w:cs="宋体"/>
                <w:color w:val="auto"/>
                <w:szCs w:val="21"/>
                <w:highlight w:val="none"/>
                <w:u w:val="single"/>
                <w:lang w:val="en-US" w:eastAsia="zh-CN"/>
              </w:rPr>
              <w:t>三方检测</w:t>
            </w:r>
            <w:r>
              <w:rPr>
                <w:rFonts w:hint="eastAsia" w:ascii="宋体" w:hAnsi="宋体" w:cs="宋体"/>
                <w:color w:val="auto"/>
                <w:szCs w:val="21"/>
                <w:highlight w:val="none"/>
                <w:u w:val="single"/>
              </w:rPr>
              <w:t>费最高投标限价：人民币</w:t>
            </w:r>
            <w:r>
              <w:rPr>
                <w:rFonts w:hint="eastAsia" w:ascii="宋体" w:hAnsi="宋体" w:cs="宋体"/>
                <w:color w:val="auto"/>
                <w:szCs w:val="21"/>
                <w:highlight w:val="none"/>
                <w:u w:val="single"/>
                <w:lang w:val="en-US" w:eastAsia="zh-CN"/>
              </w:rPr>
              <w:t>49086.56</w:t>
            </w:r>
            <w:r>
              <w:rPr>
                <w:rFonts w:hint="eastAsia" w:ascii="宋体" w:hAnsi="宋体" w:cs="宋体"/>
                <w:color w:val="auto"/>
                <w:szCs w:val="21"/>
                <w:highlight w:val="none"/>
                <w:u w:val="single"/>
              </w:rPr>
              <w:t>元</w:t>
            </w:r>
            <w:r>
              <w:rPr>
                <w:rFonts w:hint="eastAsia"/>
                <w:color w:val="auto"/>
                <w:highlight w:val="none"/>
                <w:lang w:eastAsia="zh-CN"/>
              </w:rPr>
              <w:t>。</w:t>
            </w:r>
          </w:p>
          <w:p>
            <w:pPr>
              <w:pStyle w:val="44"/>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注：投标总报价超过投标总报价最高投标限价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90日历天（从提交投标截止之日起计算）。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963" w:type="dxa"/>
            <w:vAlign w:val="center"/>
          </w:tcPr>
          <w:p>
            <w:pPr>
              <w:spacing w:line="320" w:lineRule="atLeast"/>
              <w:rPr>
                <w:rFonts w:ascii="宋体" w:hAnsi="宋体" w:cs="宋体"/>
                <w:color w:val="auto"/>
                <w:szCs w:val="21"/>
                <w:highlight w:val="none"/>
              </w:rPr>
            </w:pPr>
            <w:r>
              <w:rPr>
                <w:rFonts w:hint="eastAsia" w:ascii="宋体" w:hAnsi="宋体" w:cs="宋体"/>
                <w:color w:val="auto"/>
                <w:szCs w:val="21"/>
                <w:highlight w:val="none"/>
              </w:rPr>
              <w:t>是否要求投标人递交投标保证金：</w:t>
            </w:r>
          </w:p>
          <w:p>
            <w:pPr>
              <w:spacing w:line="320" w:lineRule="atLeast"/>
              <w:rPr>
                <w:rFonts w:hint="default" w:ascii="宋体" w:hAnsi="宋体" w:cs="宋体"/>
                <w:strike w:val="0"/>
                <w:dstrike w:val="0"/>
                <w:color w:val="auto"/>
                <w:szCs w:val="21"/>
                <w:highlight w:val="none"/>
              </w:rPr>
            </w:pPr>
            <w:r>
              <w:rPr>
                <w:rFonts w:hint="eastAsia" w:ascii="宋体" w:hAnsi="宋体" w:cs="宋体"/>
                <w:strike w:val="0"/>
                <w:dstrike w:val="0"/>
                <w:color w:val="auto"/>
                <w:szCs w:val="21"/>
                <w:highlight w:val="none"/>
              </w:rPr>
              <w:fldChar w:fldCharType="begin"/>
            </w:r>
            <w:r>
              <w:rPr>
                <w:rFonts w:hint="eastAsia" w:ascii="宋体" w:hAnsi="宋体" w:cs="宋体"/>
                <w:strike w:val="0"/>
                <w:dstrike w:val="0"/>
                <w:color w:val="auto"/>
                <w:szCs w:val="21"/>
                <w:highlight w:val="none"/>
              </w:rPr>
              <w:instrText xml:space="preserve"> eq \o\ac(□)</w:instrText>
            </w:r>
            <w:r>
              <w:rPr>
                <w:rFonts w:hint="eastAsia" w:ascii="宋体" w:hAnsi="宋体" w:cs="宋体"/>
                <w:strike w:val="0"/>
                <w:dstrike w:val="0"/>
                <w:color w:val="auto"/>
                <w:szCs w:val="21"/>
                <w:highlight w:val="none"/>
              </w:rPr>
              <w:fldChar w:fldCharType="end"/>
            </w:r>
            <w:r>
              <w:rPr>
                <w:rFonts w:hint="eastAsia" w:ascii="宋体" w:hAnsi="宋体" w:cs="宋体"/>
                <w:strike w:val="0"/>
                <w:dstrike w:val="0"/>
                <w:color w:val="auto"/>
                <w:szCs w:val="21"/>
                <w:highlight w:val="none"/>
              </w:rPr>
              <w:t>要求，投标保证金的形式：</w:t>
            </w:r>
            <w:r>
              <w:rPr>
                <w:rFonts w:hint="eastAsia" w:ascii="宋体" w:hAnsi="宋体" w:cs="宋体"/>
                <w:strike w:val="0"/>
                <w:dstrike w:val="0"/>
                <w:color w:val="auto"/>
                <w:szCs w:val="21"/>
                <w:highlight w:val="none"/>
                <w:u w:val="single"/>
                <w:lang w:val="en-US" w:eastAsia="zh-CN"/>
              </w:rPr>
              <w:t xml:space="preserve">    /   </w:t>
            </w:r>
            <w:r>
              <w:rPr>
                <w:rFonts w:hint="eastAsia" w:ascii="宋体" w:hAnsi="宋体" w:cs="宋体"/>
                <w:strike w:val="0"/>
                <w:dstrike w:val="0"/>
                <w:color w:val="auto"/>
                <w:szCs w:val="21"/>
                <w:highlight w:val="none"/>
                <w:lang w:val="en-US" w:eastAsia="zh-CN"/>
              </w:rPr>
              <w:t xml:space="preserve"> </w:t>
            </w:r>
          </w:p>
          <w:p>
            <w:pPr>
              <w:spacing w:line="320" w:lineRule="atLeast"/>
              <w:rPr>
                <w:rFonts w:hint="default" w:eastAsia="宋体"/>
                <w:strike/>
                <w:dstrike w:val="0"/>
                <w:color w:val="auto"/>
                <w:highlight w:val="none"/>
                <w:lang w:val="en-US" w:eastAsia="zh-CN"/>
              </w:rPr>
            </w:pPr>
            <w:r>
              <w:rPr>
                <w:rFonts w:hint="eastAsia" w:ascii="宋体" w:hAnsi="宋体" w:cs="宋体"/>
                <w:strike w:val="0"/>
                <w:dstrike w:val="0"/>
                <w:color w:val="auto"/>
                <w:szCs w:val="21"/>
                <w:highlight w:val="none"/>
              </w:rPr>
              <w:t>投标保证金的金额：</w:t>
            </w:r>
            <w:r>
              <w:rPr>
                <w:rFonts w:hint="eastAsia" w:ascii="宋体" w:hAnsi="宋体" w:cs="宋体"/>
                <w:strike w:val="0"/>
                <w:dstrike w:val="0"/>
                <w:color w:val="auto"/>
                <w:szCs w:val="21"/>
                <w:highlight w:val="none"/>
                <w:u w:val="single"/>
                <w:lang w:val="en-US" w:eastAsia="zh-CN"/>
              </w:rPr>
              <w:t xml:space="preserve">   /  </w:t>
            </w:r>
          </w:p>
          <w:p>
            <w:pPr>
              <w:spacing w:line="320" w:lineRule="atLeast"/>
              <w:rPr>
                <w:rFonts w:ascii="宋体" w:hAnsi="宋体" w:cs="宋体"/>
                <w:color w:val="auto"/>
                <w:szCs w:val="21"/>
                <w:highlight w:val="none"/>
                <w:u w:val="single"/>
              </w:rPr>
            </w:pPr>
            <w:r>
              <w:rPr>
                <w:rFonts w:hint="eastAsia" w:hAnsi="宋体" w:cs="宋体"/>
                <w:color w:val="auto"/>
                <w:szCs w:val="21"/>
                <w:highlight w:val="none"/>
              </w:rPr>
              <w:sym w:font="Wingdings 2" w:char="0052"/>
            </w:r>
            <w:r>
              <w:rPr>
                <w:rFonts w:hint="eastAsia" w:hAnsi="宋体" w:cs="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3.4.4</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其他可以不予退还投标保证金的情形</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w:t>
            </w:r>
          </w:p>
        </w:tc>
        <w:tc>
          <w:tcPr>
            <w:tcW w:w="24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无</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不允许</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3.7.3A（2）</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投标文件副本份数及其他要求</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3.7.3A（3）</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投标文件是否需分册装订</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3.7.3（B）</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投标文件所附证书证件要求</w:t>
            </w:r>
          </w:p>
        </w:tc>
        <w:tc>
          <w:tcPr>
            <w:tcW w:w="5963" w:type="dxa"/>
            <w:vAlign w:val="center"/>
          </w:tcPr>
          <w:p>
            <w:pPr>
              <w:spacing w:line="360" w:lineRule="auto"/>
              <w:rPr>
                <w:rFonts w:ascii="宋体" w:hAnsi="宋体" w:cs="宋体"/>
                <w:color w:val="auto"/>
                <w:szCs w:val="21"/>
                <w:highlight w:val="none"/>
              </w:rPr>
            </w:pPr>
            <w:r>
              <w:rPr>
                <w:rFonts w:hint="eastAsia"/>
                <w:color w:val="auto"/>
                <w:szCs w:val="21"/>
                <w:highlight w:val="none"/>
                <w:u w:val="single"/>
              </w:rPr>
              <w:t>证书证件需为原件清晰扫描件，并采用单位数字证书，按照招标文件要求在相应位置加盖电子印章。暂不实施关于采用个人数字证书和加盖个人电子印章的要求。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3.7.3（B）</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5963" w:type="dxa"/>
            <w:vAlign w:val="center"/>
          </w:tcPr>
          <w:p>
            <w:pPr>
              <w:spacing w:line="360" w:lineRule="auto"/>
              <w:rPr>
                <w:color w:val="auto"/>
                <w:highlight w:val="none"/>
              </w:rPr>
            </w:pPr>
            <w:r>
              <w:rPr>
                <w:rFonts w:hint="eastAsia"/>
                <w:color w:val="auto"/>
                <w:highlight w:val="none"/>
              </w:rPr>
              <w:t>（1）投标文件全部采用电子文档，投标文件所附证书证件均为原件清晰扫描件，并采用单位数字证书，按招标文件要求在相应位置加盖电子印章。投标文件中需个人签字或盖章的，应在线下完成后扫描上传。具体操作详见广州公共资源交易中心网站发布的《</w:t>
            </w:r>
            <w:r>
              <w:rPr>
                <w:rFonts w:hint="eastAsia"/>
                <w:color w:val="auto"/>
                <w:highlight w:val="none"/>
                <w:lang w:eastAsia="zh-CN"/>
              </w:rPr>
              <w:t>房屋建筑和市政基础设施工程全流程电子化项目专章》等相关文件</w:t>
            </w:r>
            <w:r>
              <w:rPr>
                <w:rFonts w:hint="eastAsia"/>
                <w:color w:val="auto"/>
                <w:highlight w:val="none"/>
              </w:rPr>
              <w:t>。</w:t>
            </w:r>
          </w:p>
          <w:p>
            <w:pPr>
              <w:pStyle w:val="43"/>
              <w:spacing w:line="360" w:lineRule="auto"/>
              <w:rPr>
                <w:color w:val="auto"/>
                <w:highlight w:val="none"/>
              </w:rPr>
            </w:pPr>
            <w:r>
              <w:rPr>
                <w:rFonts w:hint="eastAsia"/>
                <w:b/>
                <w:bCs/>
                <w:color w:val="auto"/>
                <w:szCs w:val="24"/>
                <w:highlight w:val="none"/>
              </w:rPr>
              <w:t>（2）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联合体牵头人进行签章即可。（格式示例中“（主）”即为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4.1.1（B）</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投标文件加密要求</w:t>
            </w:r>
          </w:p>
        </w:tc>
        <w:tc>
          <w:tcPr>
            <w:tcW w:w="5963" w:type="dxa"/>
            <w:vAlign w:val="center"/>
          </w:tcPr>
          <w:p>
            <w:pPr>
              <w:spacing w:line="360" w:lineRule="auto"/>
              <w:rPr>
                <w:rFonts w:ascii="宋体" w:hAnsi="宋体" w:cs="宋体"/>
                <w:color w:val="auto"/>
                <w:szCs w:val="21"/>
                <w:highlight w:val="none"/>
                <w:u w:val="single"/>
              </w:rPr>
            </w:pPr>
            <w:r>
              <w:rPr>
                <w:rFonts w:hint="eastAsia" w:hAnsi="宋体"/>
                <w:color w:val="auto"/>
                <w:szCs w:val="21"/>
                <w:highlight w:val="none"/>
              </w:rPr>
              <w:t>网上递交的电子投标文件须进行加密。具体操作详见广州公共资源交易中心网站发布的</w:t>
            </w:r>
            <w:r>
              <w:rPr>
                <w:rFonts w:hint="eastAsia" w:hAnsi="宋体"/>
                <w:color w:val="auto"/>
                <w:szCs w:val="21"/>
                <w:highlight w:val="none"/>
                <w:lang w:eastAsia="zh-CN"/>
              </w:rPr>
              <w:t>《房屋建筑和市政基础设施工程全流程电子化项目专章》等相关文件</w:t>
            </w:r>
            <w:r>
              <w:rPr>
                <w:rFonts w:hint="eastAsia"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5963" w:type="dxa"/>
            <w:vAlign w:val="center"/>
          </w:tcPr>
          <w:p>
            <w:pPr>
              <w:spacing w:line="360" w:lineRule="auto"/>
              <w:rPr>
                <w:rFonts w:ascii="宋体" w:hAnsi="宋体" w:cs="宋体"/>
                <w:b/>
                <w:color w:val="auto"/>
                <w:szCs w:val="21"/>
                <w:highlight w:val="none"/>
                <w:u w:val="single"/>
              </w:rPr>
            </w:pPr>
            <w:r>
              <w:rPr>
                <w:rFonts w:hint="eastAsia" w:ascii="宋体" w:hAnsi="宋体" w:cs="宋体"/>
                <w:b/>
                <w:color w:val="auto"/>
                <w:szCs w:val="21"/>
                <w:highlight w:val="none"/>
                <w:u w:val="single"/>
              </w:rPr>
              <w:t>如有提交投标文件光盘备用，封套上应注明如下信息：</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招标人名称：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招标人地址：</w:t>
            </w:r>
          </w:p>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招标项目投标文件备用光盘</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招标项目编号：</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投标人名称：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投标人地址：</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在年月日时前不得开启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4.2.1</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投标截止时间：年月日时分（北京时间）</w:t>
            </w:r>
          </w:p>
          <w:p>
            <w:pPr>
              <w:pStyle w:val="44"/>
              <w:ind w:firstLine="199" w:firstLineChars="95"/>
              <w:rPr>
                <w:rFonts w:ascii="宋体" w:hAnsi="宋体" w:cs="宋体"/>
                <w:color w:val="auto"/>
                <w:sz w:val="21"/>
                <w:szCs w:val="21"/>
                <w:highlight w:val="none"/>
              </w:rPr>
            </w:pPr>
            <w:r>
              <w:rPr>
                <w:rFonts w:hint="eastAsia" w:ascii="宋体" w:hAnsi="宋体" w:cs="宋体"/>
                <w:color w:val="auto"/>
                <w:sz w:val="21"/>
                <w:szCs w:val="21"/>
                <w:highlight w:val="non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4.2.2（A）</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highlight w:val="none"/>
                <w:u w:val="single"/>
              </w:rPr>
              <w:t>4.2.2 （B）</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u w:val="single"/>
              </w:rPr>
              <w:t>递交投标文件地点</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1.递交方式：网上递交投标文件。</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2.递交投标文件的起始时间：2023年  月  日  时  分</w:t>
            </w:r>
          </w:p>
          <w:p>
            <w:pPr>
              <w:pStyle w:val="2"/>
              <w:spacing w:line="360" w:lineRule="auto"/>
              <w:ind w:firstLine="1680" w:firstLineChars="800"/>
              <w:rPr>
                <w:color w:val="auto"/>
                <w:highlight w:val="none"/>
              </w:rPr>
            </w:pPr>
            <w:r>
              <w:rPr>
                <w:rFonts w:hint="eastAsia" w:cs="宋体"/>
                <w:b w:val="0"/>
                <w:color w:val="auto"/>
                <w:szCs w:val="21"/>
                <w:highlight w:val="none"/>
                <w:u w:val="single"/>
              </w:rPr>
              <w:t>截止时间：2023年  月  日  时  分</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3.地点：广州公共资源交易中心网站。</w:t>
            </w:r>
          </w:p>
          <w:p>
            <w:pPr>
              <w:spacing w:line="360" w:lineRule="auto"/>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u w:val="single"/>
              </w:rPr>
              <w:t>注：上述时间及地点是否有改变，请密切留意招标答疑纪要或补充公告（如有）的相关信息，具体时间及场地安排请各投标人密切留意广州公共资源交易中心公布本项目的日程安排，投标人可登录广州公共资源交易中心网站首页，点击“交易业务-建设工程”专栏中的“项目查询（日程安排、答疑纪要）”，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rPr>
              <w:t>4.2.3</w:t>
            </w:r>
          </w:p>
        </w:tc>
        <w:tc>
          <w:tcPr>
            <w:tcW w:w="2455"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rPr>
              <w:t>投标文件是否退还</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5.1（A）</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5963" w:type="dxa"/>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u w:val="single"/>
              </w:rPr>
              <w:t>5.1（B）</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u w:val="single"/>
              </w:rPr>
              <w:t>开标时间和地点</w:t>
            </w:r>
          </w:p>
        </w:tc>
        <w:tc>
          <w:tcPr>
            <w:tcW w:w="5963"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5.2</w:t>
            </w:r>
          </w:p>
        </w:tc>
        <w:tc>
          <w:tcPr>
            <w:tcW w:w="2455"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开标程序</w:t>
            </w:r>
          </w:p>
        </w:tc>
        <w:tc>
          <w:tcPr>
            <w:tcW w:w="5963" w:type="dxa"/>
            <w:vAlign w:val="center"/>
          </w:tcPr>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u w:val="single"/>
              </w:rPr>
              <w:t>电子招投标项目开标按下列程序进行：</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u w:val="single"/>
              </w:rPr>
              <w:t>5.2.1．主持人按下列程序进行开标</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u w:val="single"/>
              </w:rPr>
              <w:t>（1）宣布开标纪律；</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u w:val="single"/>
              </w:rPr>
              <w:t>（2）公布在投标截止时间前递交投标文件的投标人名称；</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u w:val="single"/>
              </w:rPr>
              <w:t>（3）宣布开标人、唱标人、记录人、监标人等有关人员姓名；</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u w:val="single"/>
              </w:rPr>
              <w:t>（4）投标人通过电子招标投标交易平台对已递交的电子投标文件进行解密，公布招标项目名称、投标人名称、</w:t>
            </w:r>
            <w:r>
              <w:rPr>
                <w:rFonts w:hint="eastAsia" w:ascii="宋体" w:hAnsi="宋体"/>
                <w:strike/>
                <w:dstrike w:val="0"/>
                <w:color w:val="auto"/>
                <w:szCs w:val="21"/>
                <w:highlight w:val="none"/>
                <w:u w:val="single"/>
              </w:rPr>
              <w:t>投标保证金的递交情况</w:t>
            </w:r>
            <w:r>
              <w:rPr>
                <w:rFonts w:hint="eastAsia" w:ascii="宋体" w:hAnsi="宋体"/>
                <w:color w:val="auto"/>
                <w:szCs w:val="21"/>
                <w:highlight w:val="none"/>
                <w:u w:val="single"/>
              </w:rPr>
              <w:t>、投标下浮率、投标</w:t>
            </w:r>
            <w:r>
              <w:rPr>
                <w:rFonts w:hint="eastAsia" w:ascii="宋体" w:hAnsi="宋体"/>
                <w:color w:val="auto"/>
                <w:szCs w:val="21"/>
                <w:highlight w:val="none"/>
                <w:u w:val="single"/>
                <w:lang w:val="en-US" w:eastAsia="zh-CN"/>
              </w:rPr>
              <w:t>总</w:t>
            </w:r>
            <w:r>
              <w:rPr>
                <w:rFonts w:hint="eastAsia" w:ascii="宋体" w:hAnsi="宋体"/>
                <w:color w:val="auto"/>
                <w:szCs w:val="21"/>
                <w:highlight w:val="none"/>
                <w:u w:val="single"/>
              </w:rPr>
              <w:t>报价、服务期限及其他内容，并记录在案；</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u w:val="single"/>
              </w:rPr>
              <w:t>（5）投标人代表、招标人代表、监标人、记录人等有关人员在开标记录上签字确认；若有关人员不签字的，不影响开标程序；</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u w:val="single"/>
              </w:rPr>
              <w:t>（6）开标结束。</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u w:val="single"/>
              </w:rPr>
              <w:t>5.2.2．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pPr>
              <w:spacing w:line="360" w:lineRule="auto"/>
              <w:rPr>
                <w:rFonts w:ascii="宋体" w:hAnsi="宋体" w:cs="宋体"/>
                <w:color w:val="auto"/>
                <w:szCs w:val="21"/>
                <w:highlight w:val="none"/>
                <w:u w:val="single"/>
              </w:rPr>
            </w:pPr>
            <w:r>
              <w:rPr>
                <w:rFonts w:hint="eastAsia" w:ascii="宋体" w:hAnsi="宋体"/>
                <w:color w:val="auto"/>
                <w:szCs w:val="21"/>
                <w:highlight w:val="none"/>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5.3</w:t>
            </w:r>
          </w:p>
        </w:tc>
        <w:tc>
          <w:tcPr>
            <w:tcW w:w="2455"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开标异议</w:t>
            </w:r>
          </w:p>
        </w:tc>
        <w:tc>
          <w:tcPr>
            <w:tcW w:w="5963" w:type="dxa"/>
            <w:vAlign w:val="center"/>
          </w:tcPr>
          <w:p>
            <w:pPr>
              <w:spacing w:line="360" w:lineRule="auto"/>
              <w:rPr>
                <w:rFonts w:hint="eastAsia" w:ascii="宋体" w:hAnsi="宋体" w:cs="宋体"/>
                <w:color w:val="auto"/>
                <w:highlight w:val="none"/>
                <w:u w:val="single"/>
              </w:rPr>
            </w:pPr>
            <w:r>
              <w:rPr>
                <w:rFonts w:hint="eastAsia" w:ascii="宋体" w:hAnsi="宋体" w:cs="宋体"/>
                <w:color w:val="auto"/>
                <w:highlight w:val="none"/>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rPr>
                <w:rFonts w:hint="eastAsia" w:ascii="宋体" w:hAnsi="宋体" w:cs="宋体"/>
                <w:color w:val="auto"/>
                <w:highlight w:val="none"/>
                <w:u w:val="single"/>
              </w:rPr>
            </w:pPr>
            <w:r>
              <w:rPr>
                <w:rFonts w:hint="eastAsia" w:ascii="宋体" w:hAnsi="宋体" w:cs="宋体"/>
                <w:color w:val="auto"/>
                <w:highlight w:val="none"/>
                <w:u w:val="single"/>
              </w:rPr>
              <w:t>5.3.2参加现场开标的投标人对开标结果有异议的，应当在开标现场提出，该投标人代表须同时出示本人身份证原件，招标人当场作出答复，并制作记录。</w:t>
            </w:r>
          </w:p>
          <w:p>
            <w:pPr>
              <w:spacing w:line="360" w:lineRule="auto"/>
              <w:rPr>
                <w:rFonts w:hint="eastAsia" w:ascii="宋体" w:hAnsi="宋体" w:cs="宋体"/>
                <w:color w:val="auto"/>
                <w:highlight w:val="none"/>
                <w:u w:val="single"/>
              </w:rPr>
            </w:pPr>
            <w:r>
              <w:rPr>
                <w:rFonts w:hint="eastAsia" w:ascii="宋体" w:hAnsi="宋体" w:cs="宋体"/>
                <w:color w:val="auto"/>
                <w:highlight w:val="none"/>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pPr>
              <w:spacing w:line="360" w:lineRule="auto"/>
              <w:rPr>
                <w:rFonts w:ascii="宋体" w:hAnsi="宋体"/>
                <w:color w:val="auto"/>
                <w:szCs w:val="21"/>
                <w:highlight w:val="none"/>
                <w:u w:val="single"/>
              </w:rPr>
            </w:pPr>
            <w:r>
              <w:rPr>
                <w:rFonts w:hint="eastAsia" w:ascii="宋体" w:hAnsi="宋体" w:cs="宋体"/>
                <w:color w:val="auto"/>
                <w:highlight w:val="none"/>
                <w:u w:val="single"/>
              </w:rPr>
              <w:t>5.3.4投标人未参加开标或在规定的时间内未提出异议的，视为对开标无异议。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rPr>
              <w:t>6.1.1</w:t>
            </w:r>
          </w:p>
        </w:tc>
        <w:tc>
          <w:tcPr>
            <w:tcW w:w="2455"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rPr>
              <w:t>评标委员会的组建</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评标委员会构成：5人。</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其中招标人代表0人，专家5人；</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评标专家确定方式：在广东省综合评标评审专家库中随机抽取。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6.3.2</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5963" w:type="dxa"/>
            <w:vAlign w:val="center"/>
          </w:tcPr>
          <w:p>
            <w:pPr>
              <w:spacing w:line="360" w:lineRule="auto"/>
              <w:rPr>
                <w:rFonts w:ascii="宋体" w:hAnsi="宋体" w:cs="宋体"/>
                <w:color w:val="auto"/>
                <w:szCs w:val="21"/>
                <w:highlight w:val="none"/>
              </w:rPr>
            </w:pPr>
            <w:r>
              <w:rPr>
                <w:rFonts w:hint="eastAsia" w:ascii="宋体" w:hAnsi="宋体"/>
                <w:color w:val="auto"/>
                <w:szCs w:val="21"/>
                <w:highlight w:val="none"/>
              </w:rPr>
              <w:t>推荐中标候选人</w:t>
            </w:r>
            <w:r>
              <w:rPr>
                <w:rFonts w:hint="eastAsia" w:ascii="宋体" w:hAnsi="宋体"/>
                <w:color w:val="auto"/>
                <w:szCs w:val="21"/>
                <w:highlight w:val="none"/>
                <w:u w:val="singl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中国招标投标公共服务平台、广东省招标投标监管网、广州公共资源交易中心网站。</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3</w:t>
            </w:r>
            <w:r>
              <w:rPr>
                <w:rFonts w:hint="eastAsia" w:ascii="宋体" w:hAnsi="宋体" w:cs="宋体"/>
                <w:color w:val="auto"/>
                <w:szCs w:val="21"/>
                <w:highlight w:val="none"/>
              </w:rPr>
              <w:t>日，公示期限最后一天为工作日。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7.4</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963" w:type="dxa"/>
            <w:vAlign w:val="center"/>
          </w:tcPr>
          <w:p>
            <w:pPr>
              <w:pStyle w:val="38"/>
              <w:spacing w:line="360" w:lineRule="auto"/>
              <w:jc w:val="left"/>
              <w:rPr>
                <w:rFonts w:ascii="宋体" w:hAnsi="宋体" w:cs="宋体"/>
                <w:color w:val="auto"/>
                <w:szCs w:val="21"/>
                <w:highlight w:val="none"/>
              </w:rPr>
            </w:pPr>
            <w:r>
              <w:rPr>
                <w:rFonts w:hint="eastAsia" w:ascii="宋体" w:hAnsi="宋体" w:cs="宋体"/>
                <w:color w:val="auto"/>
                <w:szCs w:val="21"/>
                <w:highlight w:val="none"/>
              </w:rPr>
              <w:t>□是</w:t>
            </w:r>
          </w:p>
          <w:p>
            <w:pPr>
              <w:pStyle w:val="38"/>
              <w:spacing w:line="360" w:lineRule="auto"/>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w:t>
            </w:r>
            <w:r>
              <w:rPr>
                <w:rFonts w:hint="eastAsia" w:ascii="宋体" w:hAnsi="宋体" w:cs="宋体"/>
                <w:b w:val="0"/>
                <w:color w:val="auto"/>
                <w:szCs w:val="21"/>
                <w:highlight w:val="none"/>
              </w:rPr>
              <w:t>，</w:t>
            </w:r>
            <w:r>
              <w:rPr>
                <w:rFonts w:hint="eastAsia" w:ascii="宋体" w:hAnsi="宋体" w:cs="宋体"/>
                <w:b w:val="0"/>
                <w:color w:val="auto"/>
                <w:szCs w:val="21"/>
                <w:highlight w:val="none"/>
                <w:u w:val="single"/>
              </w:rPr>
              <w:t>由招标人确定评标委员会推荐的排名第一的中标候选人为中标人。如排名第一的中标候选人放弃中标、或因不可抗力提出不能履行合同或者存在违法行为被有关部门依法查处等情形，且其违法行为影响中标结果的，则确定排名第二的中标候选人递上为中标人；如排名第二的中标候选人也发生上述情形的，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7.6.1</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5963"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是否要求中标人提交履约保证金：</w:t>
            </w:r>
          </w:p>
          <w:p>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要求，履约担保额度：合同价款的10%。</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履约保证金的形式：可选择以下任一方式提交履约担保：</w:t>
            </w:r>
          </w:p>
          <w:p>
            <w:pPr>
              <w:numPr>
                <w:ilvl w:val="0"/>
                <w:numId w:val="1"/>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通过银行转账方式提交；</w:t>
            </w:r>
          </w:p>
          <w:p>
            <w:pPr>
              <w:numPr>
                <w:ilvl w:val="0"/>
                <w:numId w:val="1"/>
              </w:num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通过保函方式提交的，具体以技术合同对应条款为准。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245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是否采用电子招标投标</w:t>
            </w:r>
          </w:p>
        </w:tc>
        <w:tc>
          <w:tcPr>
            <w:tcW w:w="5963" w:type="dxa"/>
            <w:vAlign w:val="center"/>
          </w:tcPr>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□否</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EQ \o\ac(□,√)</w:instrText>
            </w:r>
            <w:r>
              <w:rPr>
                <w:rFonts w:hint="eastAsia" w:ascii="宋体" w:hAnsi="宋体"/>
                <w:color w:val="auto"/>
                <w:szCs w:val="21"/>
                <w:highlight w:val="none"/>
              </w:rPr>
              <w:fldChar w:fldCharType="end"/>
            </w:r>
            <w:r>
              <w:rPr>
                <w:rFonts w:hint="eastAsia" w:ascii="宋体" w:hAnsi="宋体"/>
                <w:color w:val="auto"/>
                <w:szCs w:val="21"/>
                <w:highlight w:val="none"/>
              </w:rPr>
              <w:t>是，具体要求：</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1、具体操作详见广州公共资源交易中心网站最新发布的</w:t>
            </w:r>
            <w:r>
              <w:rPr>
                <w:rFonts w:hint="eastAsia" w:ascii="宋体" w:hAnsi="宋体"/>
                <w:color w:val="auto"/>
                <w:szCs w:val="21"/>
                <w:highlight w:val="none"/>
                <w:lang w:eastAsia="zh-CN"/>
              </w:rPr>
              <w:t>《房屋建筑和市政基础设施工程全流程电子化项目专章》等相关文件</w:t>
            </w:r>
            <w:r>
              <w:rPr>
                <w:rFonts w:hint="eastAsia" w:ascii="宋体" w:hAnsi="宋体"/>
                <w:color w:val="auto"/>
                <w:szCs w:val="21"/>
                <w:highlight w:val="none"/>
              </w:rPr>
              <w:t>。</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2、提交投标文件光盘备用</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投标人将按</w:t>
            </w:r>
            <w:r>
              <w:rPr>
                <w:rFonts w:hint="eastAsia" w:ascii="宋体" w:hAnsi="宋体"/>
                <w:color w:val="auto"/>
                <w:szCs w:val="21"/>
                <w:highlight w:val="none"/>
                <w:lang w:eastAsia="zh-CN"/>
              </w:rPr>
              <w:t>《房屋建筑和市政基础设施工程全流程电子化项目专章》等相关文件</w:t>
            </w:r>
            <w:r>
              <w:rPr>
                <w:rFonts w:hint="eastAsia" w:ascii="宋体" w:hAnsi="宋体"/>
                <w:color w:val="auto"/>
                <w:szCs w:val="21"/>
                <w:highlight w:val="none"/>
              </w:rPr>
              <w:t>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投标文件光盘无法读取或导入的，则视为未提交备用投标文件光盘。如果投标人没有按规定通过交易平台网上递交电子投标文件的，不再接受现场提交的光盘。投标人也可不提交投标文件光盘(备用)。</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3、补救方案</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（1）投标文件解密失败的补救方案：</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（2）评标时突发情况的补救方案</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若遇不可抗力发生（如：网络瘫痪、服务器损坏、交易系统故障短期无法恢复等因素），由评标委员会开启现场递交的全部投标文件光盘，并按光盘内容进行评审。</w:t>
            </w:r>
          </w:p>
          <w:p>
            <w:pPr>
              <w:spacing w:line="360" w:lineRule="auto"/>
              <w:rPr>
                <w:rFonts w:ascii="宋体" w:hAnsi="宋体" w:cs="宋体"/>
                <w:color w:val="auto"/>
                <w:szCs w:val="21"/>
                <w:highlight w:val="none"/>
              </w:rPr>
            </w:pPr>
            <w:r>
              <w:rPr>
                <w:rFonts w:hint="eastAsia" w:ascii="宋体" w:hAnsi="宋体"/>
                <w:color w:val="auto"/>
                <w:szCs w:val="21"/>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8418" w:type="dxa"/>
            <w:gridSpan w:val="2"/>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10.1</w:t>
            </w:r>
          </w:p>
        </w:tc>
        <w:tc>
          <w:tcPr>
            <w:tcW w:w="2455" w:type="dxa"/>
            <w:vAlign w:val="center"/>
          </w:tcPr>
          <w:p>
            <w:pPr>
              <w:spacing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u w:val="single"/>
              </w:rPr>
              <w:t>招标失败的情形</w:t>
            </w:r>
          </w:p>
        </w:tc>
        <w:tc>
          <w:tcPr>
            <w:tcW w:w="5963" w:type="dxa"/>
            <w:vAlign w:val="center"/>
          </w:tcPr>
          <w:p>
            <w:pPr>
              <w:wordWrap w:val="0"/>
              <w:adjustRightInd w:val="0"/>
              <w:snapToGrid w:val="0"/>
              <w:spacing w:line="360" w:lineRule="auto"/>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u w:val="single"/>
              </w:rPr>
              <w:t>本项目采用资格后审方式，满足资格审查合格条件或通过初步评审的投标申请人不足3名时为招标失败。招标人分析招标失败原因，修正招标方案，重新组织招标。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188"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10.2</w:t>
            </w:r>
          </w:p>
        </w:tc>
        <w:tc>
          <w:tcPr>
            <w:tcW w:w="2455" w:type="dxa"/>
            <w:vAlign w:val="center"/>
          </w:tcPr>
          <w:p>
            <w:pPr>
              <w:spacing w:line="360" w:lineRule="auto"/>
              <w:jc w:val="center"/>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交易服务费</w:t>
            </w:r>
          </w:p>
        </w:tc>
        <w:tc>
          <w:tcPr>
            <w:tcW w:w="5963" w:type="dxa"/>
            <w:vAlign w:val="center"/>
          </w:tcPr>
          <w:p>
            <w:pPr>
              <w:spacing w:line="360" w:lineRule="auto"/>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中标人缴交广州公共资源交易中心交易服务费，其费用包含在中标人报价中，由广州公共资源交易中心向中标人开具增值税发票。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88"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10.3</w:t>
            </w:r>
          </w:p>
        </w:tc>
        <w:tc>
          <w:tcPr>
            <w:tcW w:w="2455" w:type="dxa"/>
            <w:vAlign w:val="center"/>
          </w:tcPr>
          <w:p>
            <w:pPr>
              <w:spacing w:line="360" w:lineRule="auto"/>
              <w:jc w:val="center"/>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中标候选人及中标结果公示</w:t>
            </w:r>
          </w:p>
        </w:tc>
        <w:tc>
          <w:tcPr>
            <w:tcW w:w="5963" w:type="dxa"/>
            <w:vAlign w:val="center"/>
          </w:tcPr>
          <w:p>
            <w:pPr>
              <w:numPr>
                <w:ilvl w:val="0"/>
                <w:numId w:val="2"/>
              </w:num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在产生中标候选人后，招标人将中标候选人的投标文件商务部分的电子版（报价清单、方案等涉及商业秘密的内容除外）在广州公共资源交易中心网站、广东省招标投标监管网等公开。</w:t>
            </w:r>
          </w:p>
          <w:p>
            <w:pPr>
              <w:spacing w:line="360" w:lineRule="auto"/>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2、确定中标人后，招标人在广州公共资源交易中心网和广东省招标投标监管网公开中标结果。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10.4</w:t>
            </w:r>
          </w:p>
        </w:tc>
        <w:tc>
          <w:tcPr>
            <w:tcW w:w="2455" w:type="dxa"/>
            <w:vAlign w:val="center"/>
          </w:tcPr>
          <w:p>
            <w:pPr>
              <w:spacing w:line="360" w:lineRule="auto"/>
              <w:jc w:val="center"/>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投标文件公开</w:t>
            </w:r>
          </w:p>
        </w:tc>
        <w:tc>
          <w:tcPr>
            <w:tcW w:w="5963" w:type="dxa"/>
            <w:vAlign w:val="center"/>
          </w:tcPr>
          <w:p>
            <w:pPr>
              <w:spacing w:line="360" w:lineRule="auto"/>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在产生中标候选人后，招标人将中标候选人的投标文件商务部分的电子版（方案等涉及商业秘密的内容除外）在广州公共资源交易中心网站公开。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10.5</w:t>
            </w:r>
          </w:p>
        </w:tc>
        <w:tc>
          <w:tcPr>
            <w:tcW w:w="2455" w:type="dxa"/>
            <w:vAlign w:val="center"/>
          </w:tcPr>
          <w:p>
            <w:pPr>
              <w:spacing w:line="360" w:lineRule="auto"/>
              <w:jc w:val="center"/>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补交纸质投标文件</w:t>
            </w:r>
          </w:p>
        </w:tc>
        <w:tc>
          <w:tcPr>
            <w:tcW w:w="5963" w:type="dxa"/>
            <w:vAlign w:val="center"/>
          </w:tcPr>
          <w:p>
            <w:pPr>
              <w:spacing w:line="360" w:lineRule="auto"/>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中标单位领取中标通知书时，补送</w:t>
            </w:r>
            <w:r>
              <w:rPr>
                <w:rFonts w:hint="eastAsia" w:ascii="宋体" w:hAnsi="宋体" w:cs="宋体"/>
                <w:b/>
                <w:color w:val="auto"/>
                <w:szCs w:val="21"/>
                <w:highlight w:val="none"/>
                <w:u w:val="single"/>
              </w:rPr>
              <w:t>一正两副</w:t>
            </w:r>
            <w:r>
              <w:rPr>
                <w:rFonts w:hint="eastAsia" w:ascii="宋体" w:hAnsi="宋体" w:cs="宋体"/>
                <w:color w:val="auto"/>
                <w:szCs w:val="21"/>
                <w:highlight w:val="none"/>
                <w:u w:val="single"/>
              </w:rPr>
              <w:t>与交易平台网上递交的电子投标文件一致的</w:t>
            </w:r>
            <w:r>
              <w:rPr>
                <w:rFonts w:hint="eastAsia" w:ascii="宋体" w:hAnsi="宋体" w:cs="宋体"/>
                <w:b/>
                <w:color w:val="auto"/>
                <w:szCs w:val="21"/>
                <w:highlight w:val="none"/>
                <w:u w:val="single"/>
              </w:rPr>
              <w:t>书面投标文件（加盖公章）</w:t>
            </w:r>
            <w:r>
              <w:rPr>
                <w:rFonts w:hint="eastAsia" w:ascii="宋体" w:hAnsi="宋体" w:cs="宋体"/>
                <w:color w:val="auto"/>
                <w:szCs w:val="21"/>
                <w:highlight w:val="none"/>
                <w:u w:val="single"/>
              </w:rPr>
              <w:t>及一份与书面投标文件一致的用“Microsoft Word ”或“PDF”格式制作的电子文件（光盘）给招标人，相关费用由中标人支付。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10.6</w:t>
            </w:r>
          </w:p>
        </w:tc>
        <w:tc>
          <w:tcPr>
            <w:tcW w:w="2455" w:type="dxa"/>
            <w:vAlign w:val="center"/>
          </w:tcPr>
          <w:p>
            <w:pPr>
              <w:spacing w:line="360" w:lineRule="auto"/>
              <w:jc w:val="center"/>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否决投标条款</w:t>
            </w:r>
          </w:p>
        </w:tc>
        <w:tc>
          <w:tcPr>
            <w:tcW w:w="5963"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否决投标条款：</w:t>
            </w:r>
          </w:p>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1、未成功提交投标文件或因投标人原因造成投标文件未解密的。</w:t>
            </w:r>
          </w:p>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2、投标人未按投标文件要求提供附件或未按要求加盖电子印章及签名的，经评标委员会认定后，其投标文件将被否决。</w:t>
            </w:r>
          </w:p>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3、投标文件中投标报价高于投标最高限价的，其投标文件将被否决。</w:t>
            </w:r>
          </w:p>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4、按投标报价的算术校核原则及方法调整或修正投标文件的投标报价，调整后的投标报价对投标人起约束作用。如果投标人不接受修正后的报价，则取消其中标资格。</w:t>
            </w:r>
          </w:p>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5、资审合格后，投标人的资格发生变化而不满足投标人合格条件，在发出中标通知书前，资格问题仍未解决的，招标人将取消其中标资格。</w:t>
            </w:r>
          </w:p>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6、投标人如在本项目中存在串通投标、弄虚作假、行贿情形的，中标无效，该投标人将被招标人列入黑名单并限制其投标。行政监督部门将对其违法行为进行政处罚并通报。</w:t>
            </w:r>
          </w:p>
          <w:p>
            <w:pPr>
              <w:spacing w:line="360" w:lineRule="auto"/>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bl>
    <w:p>
      <w:pPr>
        <w:spacing w:line="360" w:lineRule="auto"/>
        <w:rPr>
          <w:rFonts w:ascii="宋体" w:hAnsi="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w:br w:type="page"/>
      </w:r>
      <w:bookmarkStart w:id="16" w:name="_Toc5302"/>
      <w:bookmarkStart w:id="17" w:name="_Toc11266"/>
      <w:bookmarkStart w:id="18" w:name="_Toc24104528"/>
      <w:bookmarkStart w:id="19" w:name="_Toc12980"/>
      <w:r>
        <w:rPr>
          <w:rFonts w:hint="eastAsia" w:ascii="宋体" w:hAnsi="宋体" w:eastAsia="宋体" w:cs="宋体"/>
          <w:color w:val="auto"/>
          <w:highlight w:val="none"/>
        </w:rPr>
        <w:t>1. 总则</w:t>
      </w:r>
      <w:bookmarkEnd w:id="16"/>
      <w:bookmarkEnd w:id="17"/>
      <w:bookmarkEnd w:id="18"/>
      <w:bookmarkEnd w:id="19"/>
    </w:p>
    <w:p>
      <w:pPr>
        <w:pStyle w:val="5"/>
        <w:spacing w:beforeLines="20" w:afterLines="20" w:line="360" w:lineRule="auto"/>
        <w:rPr>
          <w:rFonts w:ascii="宋体" w:hAnsi="宋体" w:cs="宋体"/>
          <w:color w:val="auto"/>
          <w:highlight w:val="none"/>
        </w:rPr>
      </w:pPr>
      <w:bookmarkStart w:id="20" w:name="_Toc12490"/>
      <w:bookmarkStart w:id="21" w:name="_Toc15159"/>
      <w:bookmarkStart w:id="22" w:name="_Toc26288"/>
      <w:bookmarkStart w:id="23" w:name="_Toc24104529"/>
      <w:r>
        <w:rPr>
          <w:rFonts w:hint="eastAsia" w:ascii="宋体" w:hAnsi="宋体" w:cs="宋体"/>
          <w:color w:val="auto"/>
          <w:highlight w:val="none"/>
        </w:rPr>
        <w:t>1.1 招标项目概况</w:t>
      </w:r>
      <w:bookmarkEnd w:id="20"/>
      <w:bookmarkEnd w:id="21"/>
      <w:bookmarkEnd w:id="22"/>
      <w:bookmarkEnd w:id="2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 根据《中华人民共和国招标投标法》、《中华人民共和国招标投标法实施条例》等有关法律、法规和规章的规定，本招标项目已具备招标条件，现对</w:t>
      </w:r>
      <w:r>
        <w:rPr>
          <w:rFonts w:hint="eastAsia" w:ascii="宋体" w:hAnsi="宋体" w:cs="宋体"/>
          <w:color w:val="auto"/>
          <w:highlight w:val="none"/>
          <w:u w:val="single"/>
        </w:rPr>
        <w:t>该项目第三方检测</w:t>
      </w:r>
      <w:r>
        <w:rPr>
          <w:rFonts w:hint="eastAsia" w:ascii="宋体" w:hAnsi="宋体" w:cs="宋体"/>
          <w:color w:val="auto"/>
          <w:highlight w:val="none"/>
        </w:rPr>
        <w:t>进行招标。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招标人：见投标人须知前附表。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招标代理机构：见投标人须知前附表。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1.1.4 招标项目名称：见投标人须知前附表。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1.1.5 项目建设地点：见投标人须知前附表。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1.1.6 项目建设规模：见投标人须知前附表。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1.1.7 工程项目</w:t>
      </w:r>
      <w:r>
        <w:rPr>
          <w:rFonts w:hint="eastAsia" w:ascii="宋体" w:hAnsi="宋体" w:cs="宋体"/>
          <w:strike/>
          <w:color w:val="auto"/>
          <w:szCs w:val="21"/>
          <w:highlight w:val="none"/>
        </w:rPr>
        <w:t>施工</w:t>
      </w:r>
      <w:r>
        <w:rPr>
          <w:rFonts w:hint="eastAsia" w:ascii="宋体" w:hAnsi="宋体" w:cs="宋体"/>
          <w:color w:val="auto"/>
          <w:highlight w:val="none"/>
        </w:rPr>
        <w:t>预计开工日期和建设周期：见投标人须知前附表。</w:t>
      </w:r>
    </w:p>
    <w:p>
      <w:pPr>
        <w:pStyle w:val="5"/>
        <w:spacing w:beforeLines="20" w:afterLines="20" w:line="360" w:lineRule="auto"/>
        <w:rPr>
          <w:rFonts w:ascii="宋体" w:hAnsi="宋体" w:cs="宋体"/>
          <w:color w:val="auto"/>
          <w:highlight w:val="none"/>
        </w:rPr>
      </w:pPr>
      <w:bookmarkStart w:id="24" w:name="_Toc1434"/>
      <w:bookmarkStart w:id="25" w:name="_Toc6699"/>
      <w:bookmarkStart w:id="26" w:name="_Toc24104530"/>
      <w:bookmarkStart w:id="27" w:name="_Toc18770"/>
      <w:r>
        <w:rPr>
          <w:rFonts w:hint="eastAsia" w:ascii="宋体" w:hAnsi="宋体" w:cs="宋体"/>
          <w:color w:val="auto"/>
          <w:highlight w:val="none"/>
        </w:rPr>
        <w:t>1.2 招标项目的资金来源和落实情况</w:t>
      </w:r>
      <w:bookmarkEnd w:id="24"/>
      <w:bookmarkEnd w:id="25"/>
      <w:bookmarkEnd w:id="26"/>
      <w:bookmarkEnd w:id="2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1.2.1 资金来源及比例：见投标人须知前附表。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1.2.2 资金落实情况：见投标人须知前附表。</w:t>
      </w:r>
    </w:p>
    <w:p>
      <w:pPr>
        <w:pStyle w:val="5"/>
        <w:spacing w:beforeLines="20" w:afterLines="20" w:line="360" w:lineRule="auto"/>
        <w:rPr>
          <w:rFonts w:ascii="宋体" w:hAnsi="宋体" w:cs="宋体"/>
          <w:color w:val="auto"/>
          <w:highlight w:val="none"/>
        </w:rPr>
      </w:pPr>
      <w:bookmarkStart w:id="28" w:name="_Toc3755"/>
      <w:bookmarkStart w:id="29" w:name="_Toc13729"/>
      <w:bookmarkStart w:id="30" w:name="_Toc24104531"/>
      <w:bookmarkStart w:id="31" w:name="_Toc6086"/>
      <w:r>
        <w:rPr>
          <w:rFonts w:hint="eastAsia" w:ascii="宋体" w:hAnsi="宋体" w:cs="宋体"/>
          <w:color w:val="auto"/>
          <w:highlight w:val="none"/>
        </w:rPr>
        <w:t>1.3 招标范围、服务期限和质量标准</w:t>
      </w:r>
      <w:bookmarkEnd w:id="28"/>
      <w:bookmarkEnd w:id="29"/>
      <w:bookmarkEnd w:id="30"/>
      <w:bookmarkEnd w:id="3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1.3.1 招标范围：见投标人须知前附表。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1.3.2 服务期限：见投标人须知前附表。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1.3.3 质量标准：见投标人须知前附表。</w:t>
      </w:r>
    </w:p>
    <w:p>
      <w:pPr>
        <w:pStyle w:val="5"/>
        <w:spacing w:beforeLines="20" w:afterLines="20" w:line="360" w:lineRule="auto"/>
        <w:rPr>
          <w:rFonts w:ascii="宋体" w:hAnsi="宋体" w:cs="宋体"/>
          <w:color w:val="auto"/>
          <w:highlight w:val="none"/>
        </w:rPr>
      </w:pPr>
      <w:bookmarkStart w:id="32" w:name="_Toc1816"/>
      <w:bookmarkStart w:id="33" w:name="_Toc24104532"/>
      <w:bookmarkStart w:id="34" w:name="_Toc20218"/>
      <w:bookmarkStart w:id="35" w:name="_Toc21016"/>
      <w:r>
        <w:rPr>
          <w:rFonts w:hint="eastAsia" w:ascii="宋体" w:hAnsi="宋体" w:cs="宋体"/>
          <w:color w:val="auto"/>
          <w:highlight w:val="none"/>
        </w:rPr>
        <w:t>1.4 投标人资格要求</w:t>
      </w:r>
      <w:bookmarkEnd w:id="32"/>
      <w:bookmarkEnd w:id="33"/>
      <w:bookmarkEnd w:id="34"/>
      <w:bookmarkEnd w:id="3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1.4.1 投标人应具备承担本招标项目资质条件、能力和信誉：</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（1）资质要求：见投标人须知前附表；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（2）财务要求：见投标人须知前附表；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（3）业绩要求：见投标人须知前附表；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（4）信誉要求：见投标人须知前附表；</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（5）</w:t>
      </w:r>
      <w:r>
        <w:rPr>
          <w:rFonts w:hint="eastAsia" w:ascii="宋体" w:hAnsi="宋体" w:cs="宋体"/>
          <w:color w:val="auto"/>
          <w:szCs w:val="21"/>
          <w:highlight w:val="none"/>
          <w:u w:val="single"/>
        </w:rPr>
        <w:t>项目负责人</w:t>
      </w:r>
      <w:r>
        <w:rPr>
          <w:rFonts w:hint="eastAsia" w:ascii="宋体" w:hAnsi="宋体" w:cs="宋体"/>
          <w:color w:val="auto"/>
          <w:highlight w:val="none"/>
        </w:rPr>
        <w:t>的资格要求：</w:t>
      </w:r>
      <w:r>
        <w:rPr>
          <w:rFonts w:hint="eastAsia" w:ascii="宋体" w:hAnsi="宋体" w:cs="宋体"/>
          <w:color w:val="auto"/>
          <w:highlight w:val="none"/>
          <w:u w:val="single"/>
        </w:rPr>
        <w:t>具体要求见投标人须知前附表；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（6）其他主要人员要求：见投标人须知前附表。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（7）试验检测监测仪器设备要求：见投标人须知前附表。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（8）其他要求：见投标人须知前附表。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需要提交的相关证明材料见本章第 3.5 款的规定。</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1.4.2 投标人须知前附表规定接受联合体投标的，联合体除应符合本章第 1.4.1 项和投标人须知前附表的要求外，还应遵守以下规定：</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（1）联合体各方应按招标文件提供的格式签订</w:t>
      </w:r>
      <w:r>
        <w:rPr>
          <w:rFonts w:hint="eastAsia" w:ascii="宋体" w:hAnsi="宋体" w:cs="宋体"/>
          <w:color w:val="auto"/>
          <w:highlight w:val="none"/>
          <w:lang w:eastAsia="zh-CN"/>
        </w:rPr>
        <w:t>联合体协议书</w:t>
      </w:r>
      <w:r>
        <w:rPr>
          <w:rFonts w:hint="eastAsia" w:ascii="宋体" w:hAnsi="宋体" w:cs="宋体"/>
          <w:color w:val="auto"/>
          <w:highlight w:val="none"/>
        </w:rPr>
        <w:t>，明确联合体</w:t>
      </w:r>
      <w:r>
        <w:rPr>
          <w:rFonts w:hint="eastAsia" w:ascii="宋体" w:hAnsi="宋体" w:cs="宋体"/>
          <w:color w:val="auto"/>
          <w:highlight w:val="none"/>
          <w:lang w:eastAsia="zh-CN"/>
        </w:rPr>
        <w:t>牵头人</w:t>
      </w:r>
      <w:r>
        <w:rPr>
          <w:rFonts w:hint="eastAsia" w:ascii="宋体" w:hAnsi="宋体" w:cs="宋体"/>
          <w:color w:val="auto"/>
          <w:highlight w:val="none"/>
        </w:rPr>
        <w:t>和各方权利义务，并承诺就中标项目向招标人承担连带责任；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（3）联合体各方不得再以自己名义单独或参加其他联合体在本招标项目中投标，否则各相关投标均无效。</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1.4.3 投标人不得存在下列情形之一：</w:t>
      </w:r>
    </w:p>
    <w:p>
      <w:pPr>
        <w:spacing w:line="360" w:lineRule="auto"/>
        <w:ind w:firstLine="420" w:firstLineChars="200"/>
        <w:rPr>
          <w:rFonts w:ascii="宋体" w:hAnsi="宋体" w:cs="宋体"/>
          <w:color w:val="auto"/>
          <w:highlight w:val="none"/>
          <w:u w:val="single"/>
        </w:rPr>
      </w:pPr>
      <w:bookmarkStart w:id="36" w:name="_Toc31703"/>
      <w:bookmarkStart w:id="37" w:name="_Toc24104533"/>
      <w:bookmarkStart w:id="38" w:name="_Toc26428"/>
      <w:r>
        <w:rPr>
          <w:rFonts w:hint="eastAsia" w:ascii="宋体" w:hAnsi="宋体" w:cs="宋体"/>
          <w:color w:val="auto"/>
          <w:highlight w:val="none"/>
          <w:u w:val="single"/>
        </w:rPr>
        <w:t>（1）</w:t>
      </w:r>
      <w:r>
        <w:rPr>
          <w:rFonts w:hint="eastAsia" w:ascii="宋体" w:hAnsi="宋体" w:cs="宋体"/>
          <w:color w:val="auto"/>
          <w:szCs w:val="21"/>
          <w:highlight w:val="none"/>
          <w:u w:val="single"/>
        </w:rPr>
        <w:t>为招标人不具有独立法人资格的附属机构（单位）</w:t>
      </w:r>
      <w:r>
        <w:rPr>
          <w:rFonts w:hint="eastAsia" w:ascii="宋体" w:hAnsi="宋体" w:cs="宋体"/>
          <w:color w:val="auto"/>
          <w:highlight w:val="none"/>
          <w:u w:val="single"/>
        </w:rPr>
        <w:t>；</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（2）</w:t>
      </w:r>
      <w:r>
        <w:rPr>
          <w:rFonts w:hint="eastAsia" w:ascii="宋体" w:hAnsi="宋体" w:cs="宋体"/>
          <w:color w:val="auto"/>
          <w:szCs w:val="21"/>
          <w:highlight w:val="none"/>
          <w:u w:val="single"/>
        </w:rPr>
        <w:t>为本标段前期准备提供设计或咨询服务或者与本项目设计人或提供咨询服务的机构存在附属关系的</w:t>
      </w:r>
      <w:r>
        <w:rPr>
          <w:rFonts w:hint="eastAsia" w:ascii="宋体" w:hAnsi="宋体" w:cs="宋体"/>
          <w:color w:val="auto"/>
          <w:highlight w:val="none"/>
          <w:u w:val="single"/>
        </w:rPr>
        <w:t>；</w:t>
      </w:r>
    </w:p>
    <w:p>
      <w:pPr>
        <w:spacing w:line="360" w:lineRule="auto"/>
        <w:ind w:firstLine="420" w:firstLineChars="200"/>
        <w:rPr>
          <w:rFonts w:cs="宋体"/>
          <w:bCs/>
          <w:color w:val="auto"/>
          <w:szCs w:val="21"/>
          <w:highlight w:val="none"/>
          <w:u w:val="single"/>
        </w:rPr>
      </w:pPr>
      <w:r>
        <w:rPr>
          <w:rFonts w:hint="eastAsia" w:ascii="宋体" w:hAnsi="宋体" w:cs="宋体"/>
          <w:color w:val="auto"/>
          <w:highlight w:val="none"/>
          <w:u w:val="single"/>
        </w:rPr>
        <w:t>（3）</w:t>
      </w:r>
      <w:r>
        <w:rPr>
          <w:rFonts w:hint="eastAsia" w:cs="宋体"/>
          <w:bCs/>
          <w:color w:val="auto"/>
          <w:szCs w:val="21"/>
          <w:highlight w:val="none"/>
          <w:u w:val="single"/>
        </w:rPr>
        <w:t>为本标段监理人或者与本标段监理人存在隶属关系或者其他利害关系。</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（4）</w:t>
      </w:r>
      <w:r>
        <w:rPr>
          <w:rFonts w:hint="eastAsia" w:ascii="宋体" w:hAnsi="宋体" w:cs="宋体"/>
          <w:color w:val="auto"/>
          <w:szCs w:val="21"/>
          <w:highlight w:val="none"/>
          <w:u w:val="single"/>
        </w:rPr>
        <w:t>为本标段的代建人</w:t>
      </w:r>
      <w:r>
        <w:rPr>
          <w:rFonts w:hint="eastAsia" w:ascii="宋体" w:hAnsi="宋体" w:cs="宋体"/>
          <w:color w:val="auto"/>
          <w:highlight w:val="none"/>
          <w:u w:val="single"/>
        </w:rPr>
        <w:t>；</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（5）</w:t>
      </w:r>
      <w:r>
        <w:rPr>
          <w:rFonts w:hint="eastAsia" w:ascii="宋体" w:hAnsi="宋体" w:cs="宋体"/>
          <w:color w:val="auto"/>
          <w:szCs w:val="21"/>
          <w:highlight w:val="none"/>
          <w:u w:val="single"/>
        </w:rPr>
        <w:t>为本标段提供招标代理服务的</w:t>
      </w:r>
      <w:r>
        <w:rPr>
          <w:rFonts w:hint="eastAsia" w:ascii="宋体" w:hAnsi="宋体" w:cs="宋体"/>
          <w:color w:val="auto"/>
          <w:highlight w:val="none"/>
          <w:u w:val="single"/>
        </w:rPr>
        <w:t>；</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（6）</w:t>
      </w:r>
      <w:r>
        <w:rPr>
          <w:rFonts w:hint="eastAsia" w:ascii="宋体" w:hAnsi="宋体" w:cs="宋体"/>
          <w:color w:val="auto"/>
          <w:szCs w:val="21"/>
          <w:highlight w:val="none"/>
          <w:u w:val="single"/>
        </w:rPr>
        <w:t>与本标段的设计人、监理人或代建人或招标代理机构同为一个法定代表人的</w:t>
      </w:r>
      <w:r>
        <w:rPr>
          <w:rFonts w:hint="eastAsia" w:ascii="宋体" w:hAnsi="宋体" w:cs="宋体"/>
          <w:color w:val="auto"/>
          <w:highlight w:val="none"/>
          <w:u w:val="single"/>
        </w:rPr>
        <w:t>；</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（7）</w:t>
      </w:r>
      <w:r>
        <w:rPr>
          <w:rFonts w:hint="eastAsia" w:ascii="宋体" w:hAnsi="宋体" w:cs="宋体"/>
          <w:color w:val="auto"/>
          <w:szCs w:val="21"/>
          <w:highlight w:val="none"/>
          <w:u w:val="single"/>
        </w:rPr>
        <w:t>与本标段的设计人、监理人或代建人或招标代理机构互相控股或参股的</w:t>
      </w:r>
      <w:r>
        <w:rPr>
          <w:rFonts w:hint="eastAsia" w:ascii="宋体" w:hAnsi="宋体" w:cs="宋体"/>
          <w:color w:val="auto"/>
          <w:highlight w:val="none"/>
          <w:u w:val="single"/>
        </w:rPr>
        <w:t>；</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highlight w:val="none"/>
          <w:u w:val="single"/>
        </w:rPr>
        <w:t>（8）</w:t>
      </w:r>
      <w:r>
        <w:rPr>
          <w:rFonts w:hint="eastAsia" w:ascii="宋体" w:hAnsi="宋体" w:cs="宋体"/>
          <w:color w:val="auto"/>
          <w:szCs w:val="21"/>
          <w:highlight w:val="none"/>
          <w:u w:val="single"/>
        </w:rPr>
        <w:t>与本标段的设计人、监理人或代建人或招标代理机构相互任职或工作的；</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（9）</w:t>
      </w:r>
      <w:r>
        <w:rPr>
          <w:rFonts w:hint="eastAsia" w:ascii="宋体" w:hAnsi="宋体" w:cs="宋体"/>
          <w:color w:val="auto"/>
          <w:sz w:val="21"/>
          <w:szCs w:val="21"/>
          <w:highlight w:val="none"/>
          <w:u w:val="single"/>
        </w:rPr>
        <w:t>与本招标项目的施工承包人以及建筑材料、建筑构配件和设备供应商有隶属关系或者其他利害关系；</w:t>
      </w:r>
    </w:p>
    <w:p>
      <w:pPr>
        <w:spacing w:line="360" w:lineRule="auto"/>
        <w:ind w:firstLine="420" w:firstLineChars="200"/>
        <w:rPr>
          <w:rFonts w:ascii="宋体" w:hAnsi="宋体" w:cs="宋体"/>
          <w:color w:val="auto"/>
          <w:highlight w:val="none"/>
          <w:u w:val="single"/>
        </w:rPr>
      </w:pPr>
      <w:r>
        <w:rPr>
          <w:rFonts w:hint="eastAsia" w:ascii="宋体" w:hAnsi="宋体" w:cs="宋体"/>
          <w:color w:val="auto"/>
          <w:szCs w:val="21"/>
          <w:highlight w:val="none"/>
          <w:u w:val="single"/>
        </w:rPr>
        <w:t>（10）与招标人存在利害关系且可能影响招标公正性</w:t>
      </w:r>
      <w:r>
        <w:rPr>
          <w:rFonts w:hint="eastAsia" w:ascii="宋体" w:hAnsi="宋体" w:cs="宋体"/>
          <w:color w:val="auto"/>
          <w:highlight w:val="none"/>
          <w:u w:val="single"/>
        </w:rPr>
        <w:t>；</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（11）</w:t>
      </w:r>
      <w:r>
        <w:rPr>
          <w:rFonts w:hint="eastAsia" w:ascii="宋体" w:hAnsi="宋体" w:cs="宋体"/>
          <w:color w:val="auto"/>
          <w:szCs w:val="21"/>
          <w:highlight w:val="none"/>
          <w:u w:val="single"/>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highlight w:val="none"/>
          <w:u w:val="single"/>
        </w:rPr>
        <w:t>；</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（12）</w:t>
      </w:r>
      <w:r>
        <w:rPr>
          <w:rFonts w:hint="eastAsia" w:ascii="宋体" w:hAnsi="宋体" w:cs="宋体"/>
          <w:color w:val="auto"/>
          <w:szCs w:val="21"/>
          <w:highlight w:val="none"/>
          <w:u w:val="single"/>
        </w:rPr>
        <w:t>被责令停产停业、暂扣或者吊销许可证、暂扣或者吊销执照的（本项事实应当以根据《中华人民共和国行政处罚法》依法作出并已经生效的行政处罚决定为认定依据。）</w:t>
      </w:r>
      <w:r>
        <w:rPr>
          <w:rFonts w:hint="eastAsia" w:ascii="宋体" w:hAnsi="宋体" w:cs="宋体"/>
          <w:color w:val="auto"/>
          <w:highlight w:val="none"/>
          <w:u w:val="single"/>
        </w:rPr>
        <w:t>；</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（13）</w:t>
      </w:r>
      <w:r>
        <w:rPr>
          <w:rFonts w:hint="eastAsia" w:ascii="宋体" w:hAnsi="宋体" w:cs="宋体"/>
          <w:color w:val="auto"/>
          <w:szCs w:val="21"/>
          <w:highlight w:val="none"/>
          <w:u w:val="single"/>
        </w:rPr>
        <w:t>进入清算程序，或被宣布破产，或其他丧失履约能力的情形</w:t>
      </w:r>
      <w:r>
        <w:rPr>
          <w:rFonts w:hint="eastAsia" w:ascii="宋体" w:hAnsi="宋体" w:cs="宋体"/>
          <w:color w:val="auto"/>
          <w:highlight w:val="none"/>
          <w:u w:val="single"/>
        </w:rPr>
        <w:t>；</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（14）</w:t>
      </w:r>
      <w:r>
        <w:rPr>
          <w:rFonts w:hint="eastAsia" w:ascii="宋体" w:hAnsi="宋体" w:cs="宋体"/>
          <w:color w:val="auto"/>
          <w:szCs w:val="21"/>
          <w:highlight w:val="none"/>
          <w:u w:val="single"/>
        </w:rPr>
        <w:t>在最近三年内有严重违约或发生重大检测监测质量问题（“严重违约”事实应当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（15）</w:t>
      </w:r>
      <w:r>
        <w:rPr>
          <w:rFonts w:hint="eastAsia" w:ascii="宋体" w:hAnsi="宋体" w:cs="宋体"/>
          <w:color w:val="auto"/>
          <w:szCs w:val="21"/>
          <w:highlight w:val="none"/>
          <w:u w:val="single"/>
        </w:rPr>
        <w:t>法律法规规定的其他情形</w:t>
      </w:r>
      <w:r>
        <w:rPr>
          <w:rFonts w:hint="eastAsia" w:ascii="宋体" w:hAnsi="宋体" w:cs="宋体"/>
          <w:color w:val="auto"/>
          <w:highlight w:val="none"/>
          <w:u w:val="single"/>
        </w:rPr>
        <w:t>。</w:t>
      </w:r>
    </w:p>
    <w:p>
      <w:pPr>
        <w:pStyle w:val="5"/>
        <w:spacing w:beforeLines="20" w:afterLines="20" w:line="360" w:lineRule="auto"/>
        <w:rPr>
          <w:rFonts w:ascii="宋体" w:hAnsi="宋体" w:cs="宋体"/>
          <w:color w:val="auto"/>
          <w:highlight w:val="none"/>
        </w:rPr>
      </w:pPr>
      <w:bookmarkStart w:id="39" w:name="_Toc23297"/>
      <w:r>
        <w:rPr>
          <w:rFonts w:hint="eastAsia" w:ascii="宋体" w:hAnsi="宋体" w:cs="宋体"/>
          <w:color w:val="auto"/>
          <w:highlight w:val="none"/>
        </w:rPr>
        <w:t>1.5 费用承担</w:t>
      </w:r>
      <w:bookmarkEnd w:id="36"/>
      <w:bookmarkEnd w:id="37"/>
      <w:bookmarkEnd w:id="38"/>
      <w:bookmarkEnd w:id="3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投标人准备和参加投标活动发生的费用自理。</w:t>
      </w:r>
    </w:p>
    <w:p>
      <w:pPr>
        <w:pStyle w:val="5"/>
        <w:spacing w:beforeLines="20" w:afterLines="20" w:line="360" w:lineRule="auto"/>
        <w:rPr>
          <w:rFonts w:ascii="宋体" w:hAnsi="宋体" w:cs="宋体"/>
          <w:color w:val="auto"/>
          <w:highlight w:val="none"/>
        </w:rPr>
      </w:pPr>
      <w:bookmarkStart w:id="40" w:name="_Toc7586"/>
      <w:bookmarkStart w:id="41" w:name="_Toc7414"/>
      <w:bookmarkStart w:id="42" w:name="_Toc24104534"/>
      <w:bookmarkStart w:id="43" w:name="_Toc22328"/>
      <w:r>
        <w:rPr>
          <w:rFonts w:hint="eastAsia" w:ascii="宋体" w:hAnsi="宋体" w:cs="宋体"/>
          <w:color w:val="auto"/>
          <w:highlight w:val="none"/>
        </w:rPr>
        <w:t>1.6 保密</w:t>
      </w:r>
      <w:bookmarkEnd w:id="40"/>
      <w:bookmarkEnd w:id="41"/>
      <w:bookmarkEnd w:id="42"/>
      <w:bookmarkEnd w:id="4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参与招标投标活动的各方应对招标文件和投标文件中的商业和技术等秘密保密，否则应承担相应的法律责任。</w:t>
      </w:r>
    </w:p>
    <w:p>
      <w:pPr>
        <w:pStyle w:val="5"/>
        <w:spacing w:beforeLines="20" w:afterLines="20" w:line="360" w:lineRule="auto"/>
        <w:rPr>
          <w:rFonts w:ascii="宋体" w:hAnsi="宋体" w:cs="宋体"/>
          <w:color w:val="auto"/>
          <w:highlight w:val="none"/>
        </w:rPr>
      </w:pPr>
      <w:bookmarkStart w:id="44" w:name="_Toc23847"/>
      <w:bookmarkStart w:id="45" w:name="_Toc29737"/>
      <w:bookmarkStart w:id="46" w:name="_Toc24104535"/>
      <w:bookmarkStart w:id="47" w:name="_Toc14510"/>
      <w:r>
        <w:rPr>
          <w:rFonts w:hint="eastAsia" w:ascii="宋体" w:hAnsi="宋体" w:cs="宋体"/>
          <w:color w:val="auto"/>
          <w:highlight w:val="none"/>
        </w:rPr>
        <w:t>1.7 语言文字</w:t>
      </w:r>
      <w:bookmarkEnd w:id="44"/>
      <w:bookmarkEnd w:id="45"/>
      <w:bookmarkEnd w:id="46"/>
      <w:bookmarkEnd w:id="4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pPr>
        <w:pStyle w:val="5"/>
        <w:spacing w:beforeLines="20" w:afterLines="20" w:line="360" w:lineRule="auto"/>
        <w:rPr>
          <w:rFonts w:ascii="宋体" w:hAnsi="宋体" w:cs="宋体"/>
          <w:color w:val="auto"/>
          <w:highlight w:val="none"/>
        </w:rPr>
      </w:pPr>
      <w:bookmarkStart w:id="48" w:name="_Toc24104536"/>
      <w:bookmarkStart w:id="49" w:name="_Toc27083"/>
      <w:bookmarkStart w:id="50" w:name="_Toc23894"/>
      <w:bookmarkStart w:id="51" w:name="_Toc9409"/>
      <w:r>
        <w:rPr>
          <w:rFonts w:hint="eastAsia" w:ascii="宋体" w:hAnsi="宋体" w:cs="宋体"/>
          <w:color w:val="auto"/>
          <w:highlight w:val="none"/>
        </w:rPr>
        <w:t>1.8 计量单位</w:t>
      </w:r>
      <w:bookmarkEnd w:id="48"/>
      <w:bookmarkEnd w:id="49"/>
      <w:bookmarkEnd w:id="50"/>
      <w:bookmarkEnd w:id="5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pPr>
        <w:pStyle w:val="5"/>
        <w:spacing w:beforeLines="20" w:afterLines="20" w:line="360" w:lineRule="auto"/>
        <w:rPr>
          <w:rFonts w:ascii="宋体" w:hAnsi="宋体" w:cs="宋体"/>
          <w:color w:val="auto"/>
          <w:highlight w:val="none"/>
        </w:rPr>
      </w:pPr>
      <w:bookmarkStart w:id="52" w:name="_Toc272"/>
      <w:bookmarkStart w:id="53" w:name="_Toc24104537"/>
      <w:bookmarkStart w:id="54" w:name="_Toc24550"/>
      <w:bookmarkStart w:id="55" w:name="_Toc22594"/>
      <w:r>
        <w:rPr>
          <w:rFonts w:hint="eastAsia" w:ascii="宋体" w:hAnsi="宋体" w:cs="宋体"/>
          <w:color w:val="auto"/>
          <w:highlight w:val="none"/>
        </w:rPr>
        <w:t>1.9 踏勘现场</w:t>
      </w:r>
      <w:bookmarkEnd w:id="52"/>
      <w:bookmarkEnd w:id="53"/>
      <w:bookmarkEnd w:id="54"/>
      <w:bookmarkEnd w:id="5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1.9.2 投标人踏勘现场发生的费用自理。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1.9.3 除招标人的原因外，投标人自行负责在踏勘现场中所发生的人员伤亡和财产损失。</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1.9.4 招标人在踏勘现场中介绍的工程场地和相关的周边环境情况，供投标人在编制投标文件时参考，招标人不对投标人据此作出的判断和决策负责。</w:t>
      </w:r>
    </w:p>
    <w:p>
      <w:pPr>
        <w:pStyle w:val="5"/>
        <w:spacing w:beforeLines="20" w:afterLines="20" w:line="360" w:lineRule="auto"/>
        <w:rPr>
          <w:rFonts w:ascii="宋体" w:hAnsi="宋体" w:cs="宋体"/>
          <w:strike/>
          <w:color w:val="auto"/>
          <w:highlight w:val="none"/>
        </w:rPr>
      </w:pPr>
      <w:bookmarkStart w:id="56" w:name="_Toc16895"/>
      <w:bookmarkStart w:id="57" w:name="_Toc8391"/>
      <w:bookmarkStart w:id="58" w:name="_Toc24104538"/>
      <w:bookmarkStart w:id="59" w:name="_Toc24195"/>
      <w:r>
        <w:rPr>
          <w:rFonts w:hint="eastAsia" w:ascii="宋体" w:hAnsi="宋体" w:cs="宋体"/>
          <w:strike/>
          <w:color w:val="auto"/>
          <w:highlight w:val="none"/>
        </w:rPr>
        <w:t>1.10 投标预备会</w:t>
      </w:r>
      <w:bookmarkEnd w:id="56"/>
      <w:bookmarkEnd w:id="57"/>
      <w:bookmarkEnd w:id="58"/>
      <w:bookmarkEnd w:id="59"/>
    </w:p>
    <w:p>
      <w:pPr>
        <w:spacing w:line="360" w:lineRule="auto"/>
        <w:ind w:firstLine="420" w:firstLineChars="200"/>
        <w:rPr>
          <w:rFonts w:ascii="宋体" w:hAnsi="宋体" w:cs="宋体"/>
          <w:strike/>
          <w:color w:val="auto"/>
          <w:highlight w:val="none"/>
        </w:rPr>
      </w:pPr>
      <w:r>
        <w:rPr>
          <w:rFonts w:hint="eastAsia" w:ascii="宋体" w:hAnsi="宋体" w:cs="宋体"/>
          <w:strike/>
          <w:color w:val="auto"/>
          <w:highlight w:val="none"/>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宋体" w:hAnsi="宋体" w:cs="宋体"/>
          <w:strike/>
          <w:color w:val="auto"/>
          <w:highlight w:val="none"/>
        </w:rPr>
      </w:pPr>
      <w:r>
        <w:rPr>
          <w:rFonts w:hint="eastAsia" w:ascii="宋体" w:hAnsi="宋体" w:cs="宋体"/>
          <w:strike/>
          <w:color w:val="auto"/>
          <w:highlight w:val="none"/>
        </w:rPr>
        <w:t>1.10.2  投标人应按投标人须知前附表规定的时间和形式将提出的问题送达招标人，以便招标人在会议期间澄清。</w:t>
      </w:r>
    </w:p>
    <w:p>
      <w:pPr>
        <w:spacing w:line="360" w:lineRule="auto"/>
        <w:ind w:firstLine="420" w:firstLineChars="200"/>
        <w:rPr>
          <w:rFonts w:ascii="宋体" w:hAnsi="宋体" w:cs="宋体"/>
          <w:strike/>
          <w:color w:val="auto"/>
          <w:highlight w:val="none"/>
        </w:rPr>
      </w:pPr>
      <w:r>
        <w:rPr>
          <w:rFonts w:hint="eastAsia" w:ascii="宋体" w:hAnsi="宋体" w:cs="宋体"/>
          <w:strike/>
          <w:color w:val="auto"/>
          <w:highlight w:val="none"/>
        </w:rPr>
        <w:t>1.10.3  投标预备会后，招标人将对投标人所提问题的澄清，以投标人须知前附表规定的形式通知所有购买招标文件的投标人。该澄清内容为招标文件的组成部分。</w:t>
      </w:r>
    </w:p>
    <w:p>
      <w:pPr>
        <w:pStyle w:val="5"/>
        <w:spacing w:beforeLines="20" w:afterLines="20" w:line="360" w:lineRule="auto"/>
        <w:rPr>
          <w:rFonts w:ascii="宋体" w:hAnsi="宋体" w:cs="宋体"/>
          <w:color w:val="auto"/>
          <w:highlight w:val="none"/>
        </w:rPr>
      </w:pPr>
      <w:bookmarkStart w:id="60" w:name="_Toc22601"/>
      <w:bookmarkStart w:id="61" w:name="_Toc5969"/>
      <w:bookmarkStart w:id="62" w:name="_Toc19986"/>
      <w:bookmarkStart w:id="63" w:name="_Toc24104539"/>
      <w:r>
        <w:rPr>
          <w:rFonts w:hint="eastAsia" w:ascii="宋体" w:hAnsi="宋体" w:cs="宋体"/>
          <w:color w:val="auto"/>
          <w:highlight w:val="none"/>
        </w:rPr>
        <w:t>1.11 分包</w:t>
      </w:r>
      <w:bookmarkEnd w:id="60"/>
      <w:bookmarkEnd w:id="61"/>
      <w:bookmarkEnd w:id="62"/>
      <w:bookmarkEnd w:id="6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本项目严禁违法分包，分包需经招标人同意。</w:t>
      </w:r>
    </w:p>
    <w:p>
      <w:pPr>
        <w:pStyle w:val="5"/>
        <w:spacing w:beforeLines="20" w:afterLines="20" w:line="360" w:lineRule="auto"/>
        <w:rPr>
          <w:rFonts w:ascii="宋体" w:hAnsi="宋体" w:cs="宋体"/>
          <w:color w:val="auto"/>
          <w:highlight w:val="none"/>
        </w:rPr>
      </w:pPr>
      <w:bookmarkStart w:id="64" w:name="_Toc21152"/>
      <w:bookmarkStart w:id="65" w:name="_Toc24104540"/>
      <w:bookmarkStart w:id="66" w:name="_Toc1987"/>
      <w:bookmarkStart w:id="67" w:name="_Toc16874"/>
      <w:r>
        <w:rPr>
          <w:rFonts w:hint="eastAsia" w:ascii="宋体" w:hAnsi="宋体" w:cs="宋体"/>
          <w:color w:val="auto"/>
          <w:highlight w:val="none"/>
        </w:rPr>
        <w:t>1.12 响应和偏差</w:t>
      </w:r>
      <w:bookmarkEnd w:id="64"/>
      <w:bookmarkEnd w:id="65"/>
      <w:bookmarkEnd w:id="66"/>
      <w:bookmarkEnd w:id="6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1.12.1 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1.12.2 投标人应根据招标文件的要求提供投标</w:t>
      </w:r>
      <w:r>
        <w:rPr>
          <w:rFonts w:hint="eastAsia" w:ascii="宋体" w:hAnsi="宋体"/>
          <w:color w:val="auto"/>
          <w:szCs w:val="21"/>
          <w:highlight w:val="none"/>
          <w:u w:val="single"/>
        </w:rPr>
        <w:t>文件</w:t>
      </w:r>
      <w:r>
        <w:rPr>
          <w:rFonts w:hint="eastAsia" w:ascii="宋体" w:hAnsi="宋体" w:cs="宋体"/>
          <w:color w:val="auto"/>
          <w:highlight w:val="none"/>
        </w:rPr>
        <w:t>等内容以对招标文件作出响应。</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1.12.3 投标人须知前附表允许投标文件偏离招标文件某些要求的，偏差应当符合招标文件规定的偏差范围和幅度。</w:t>
      </w:r>
    </w:p>
    <w:p>
      <w:pPr>
        <w:pStyle w:val="4"/>
        <w:rPr>
          <w:rFonts w:ascii="宋体" w:hAnsi="宋体" w:eastAsia="宋体" w:cs="宋体"/>
          <w:color w:val="auto"/>
          <w:highlight w:val="none"/>
        </w:rPr>
      </w:pPr>
      <w:bookmarkStart w:id="68" w:name="_Toc24104541"/>
      <w:bookmarkStart w:id="69" w:name="_Toc19186"/>
      <w:bookmarkStart w:id="70" w:name="_Toc7113"/>
      <w:bookmarkStart w:id="71" w:name="_Toc10656"/>
      <w:r>
        <w:rPr>
          <w:rFonts w:hint="eastAsia" w:ascii="宋体" w:hAnsi="宋体" w:eastAsia="宋体" w:cs="宋体"/>
          <w:color w:val="auto"/>
          <w:highlight w:val="none"/>
        </w:rPr>
        <w:t>2. 招标文件</w:t>
      </w:r>
      <w:bookmarkEnd w:id="68"/>
      <w:bookmarkEnd w:id="69"/>
      <w:bookmarkEnd w:id="70"/>
      <w:bookmarkEnd w:id="71"/>
    </w:p>
    <w:p>
      <w:pPr>
        <w:pStyle w:val="5"/>
        <w:spacing w:beforeLines="20" w:afterLines="20" w:line="360" w:lineRule="auto"/>
        <w:rPr>
          <w:rFonts w:ascii="宋体" w:hAnsi="宋体" w:cs="宋体"/>
          <w:color w:val="auto"/>
          <w:highlight w:val="none"/>
        </w:rPr>
      </w:pPr>
      <w:bookmarkStart w:id="72" w:name="_Toc19209"/>
      <w:bookmarkStart w:id="73" w:name="_Toc24104542"/>
      <w:bookmarkStart w:id="74" w:name="_Toc4346"/>
      <w:bookmarkStart w:id="75" w:name="_Toc18031"/>
      <w:r>
        <w:rPr>
          <w:rFonts w:hint="eastAsia" w:ascii="宋体" w:hAnsi="宋体" w:cs="宋体"/>
          <w:color w:val="auto"/>
          <w:highlight w:val="none"/>
        </w:rPr>
        <w:t>2.1 招标文件的组成</w:t>
      </w:r>
      <w:bookmarkEnd w:id="72"/>
      <w:bookmarkEnd w:id="73"/>
      <w:bookmarkEnd w:id="74"/>
      <w:bookmarkEnd w:id="7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本招标文件包括：</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（1）招标公告；</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（2）投标人须知；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（3）评标办法；</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（4）合同条款及格式（另册）；</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（5）投标文件格式；</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（6）投标人须知前附表规定的其他资料。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 1.10 款、第 2.2 款和第 2.3 款对招标文件所做的澄清、修改，构成招标文件的组成部分。</w:t>
      </w:r>
    </w:p>
    <w:p>
      <w:pPr>
        <w:pStyle w:val="5"/>
        <w:spacing w:beforeLines="20" w:afterLines="20" w:line="360" w:lineRule="auto"/>
        <w:rPr>
          <w:rFonts w:ascii="宋体" w:hAnsi="宋体" w:cs="宋体"/>
          <w:color w:val="auto"/>
          <w:highlight w:val="none"/>
        </w:rPr>
      </w:pPr>
      <w:bookmarkStart w:id="76" w:name="_Toc5343"/>
      <w:bookmarkStart w:id="77" w:name="_Toc12056"/>
      <w:bookmarkStart w:id="78" w:name="_Toc17221"/>
      <w:bookmarkStart w:id="79" w:name="_Toc24104543"/>
      <w:r>
        <w:rPr>
          <w:rFonts w:hint="eastAsia" w:ascii="宋体" w:hAnsi="宋体" w:cs="宋体"/>
          <w:color w:val="auto"/>
          <w:highlight w:val="none"/>
        </w:rPr>
        <w:t>2.2 招标文件的澄清</w:t>
      </w:r>
      <w:bookmarkEnd w:id="76"/>
      <w:bookmarkEnd w:id="77"/>
      <w:bookmarkEnd w:id="78"/>
      <w:bookmarkEnd w:id="7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2.2.2 招标文件的澄清以投标人须知前附表规定的形式发给所有</w:t>
      </w:r>
      <w:r>
        <w:rPr>
          <w:rFonts w:hint="eastAsia" w:ascii="宋体" w:hAnsi="宋体" w:cs="宋体"/>
          <w:strike/>
          <w:color w:val="auto"/>
          <w:highlight w:val="none"/>
        </w:rPr>
        <w:t>购买招标文件的</w:t>
      </w:r>
      <w:r>
        <w:rPr>
          <w:rFonts w:hint="eastAsia" w:ascii="宋体" w:hAnsi="宋体" w:cs="宋体"/>
          <w:color w:val="auto"/>
          <w:highlight w:val="none"/>
        </w:rPr>
        <w:t>投标人，但不指明澄清问题的来源。澄清发出的时间距本章第 4.2.1 项规定的投标截止时间不足 15 日的，并且澄清内容可能影响投标文件编制的，将相应延长投标截止时间。</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2.2.3 投标人在收到澄清后，应按投标人须知前附表规定的时间和形式通知招标人，确认已收到该澄清。</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2.2.4 除非招标人认为确有必要答复，否则，招标人有权拒绝回复投标人在本章第 2.2.1 项规定的时间后的任何澄清要求。</w:t>
      </w:r>
    </w:p>
    <w:p>
      <w:pPr>
        <w:pStyle w:val="5"/>
        <w:spacing w:beforeLines="20" w:afterLines="20" w:line="360" w:lineRule="auto"/>
        <w:rPr>
          <w:rFonts w:ascii="宋体" w:hAnsi="宋体" w:cs="宋体"/>
          <w:color w:val="auto"/>
          <w:highlight w:val="none"/>
        </w:rPr>
      </w:pPr>
      <w:bookmarkStart w:id="80" w:name="_Toc24104544"/>
      <w:bookmarkStart w:id="81" w:name="_Toc6373"/>
      <w:bookmarkStart w:id="82" w:name="_Toc19593"/>
      <w:bookmarkStart w:id="83" w:name="_Toc27898"/>
      <w:r>
        <w:rPr>
          <w:rFonts w:hint="eastAsia" w:ascii="宋体" w:hAnsi="宋体" w:cs="宋体"/>
          <w:color w:val="auto"/>
          <w:highlight w:val="none"/>
        </w:rPr>
        <w:t>2.3 招标文件的修改</w:t>
      </w:r>
      <w:bookmarkEnd w:id="80"/>
      <w:bookmarkEnd w:id="81"/>
      <w:bookmarkEnd w:id="82"/>
      <w:bookmarkEnd w:id="8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2.3.1 招标人以投标人须知前附表规定的形式修改招标文件，并通知所有</w:t>
      </w:r>
      <w:r>
        <w:rPr>
          <w:rFonts w:hint="eastAsia" w:ascii="宋体" w:hAnsi="宋体" w:cs="宋体"/>
          <w:strike/>
          <w:color w:val="auto"/>
          <w:highlight w:val="none"/>
        </w:rPr>
        <w:t>已购买招标文件的</w:t>
      </w:r>
      <w:r>
        <w:rPr>
          <w:rFonts w:hint="eastAsia" w:ascii="宋体" w:hAnsi="宋体" w:cs="宋体"/>
          <w:color w:val="auto"/>
          <w:highlight w:val="none"/>
        </w:rPr>
        <w:t>投标人。修改招标文件的时间距本章第 4.2.1 项规定的投标截止时间不足 15 日的，并且修改内容可能影响投标文件编制的，将相应延长投标截止时间。</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2.3.2 </w:t>
      </w:r>
      <w:r>
        <w:rPr>
          <w:rFonts w:hint="eastAsia" w:ascii="宋体" w:hAnsi="宋体" w:cs="宋体"/>
          <w:color w:val="auto"/>
          <w:highlight w:val="none"/>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p>
      <w:pPr>
        <w:pStyle w:val="5"/>
        <w:spacing w:beforeLines="20" w:afterLines="20" w:line="360" w:lineRule="auto"/>
        <w:rPr>
          <w:rFonts w:ascii="宋体" w:hAnsi="宋体" w:cs="宋体"/>
          <w:color w:val="auto"/>
          <w:highlight w:val="none"/>
        </w:rPr>
      </w:pPr>
      <w:bookmarkStart w:id="84" w:name="_Toc21470"/>
      <w:bookmarkStart w:id="85" w:name="_Toc29577"/>
      <w:bookmarkStart w:id="86" w:name="_Toc25863"/>
      <w:bookmarkStart w:id="87" w:name="_Toc24104545"/>
      <w:r>
        <w:rPr>
          <w:rFonts w:hint="eastAsia" w:ascii="宋体" w:hAnsi="宋体" w:cs="宋体"/>
          <w:color w:val="auto"/>
          <w:highlight w:val="none"/>
        </w:rPr>
        <w:t>2.4 招标文件的异议</w:t>
      </w:r>
      <w:bookmarkEnd w:id="84"/>
      <w:bookmarkEnd w:id="85"/>
      <w:bookmarkEnd w:id="86"/>
      <w:bookmarkEnd w:id="8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或者其他利害关系人对招标文件有异议的，应当在投标截止时间10日前向招标人提出，可以通过线下或线上的形式提出异议。线上提出异议的，应通过交易平台进行提交，招标人授权招标代理机构工作人员使用招标代理机构数字证书登录交易平台答复异议，异议答复是招标人真实意思表示。具体按照交易平台相关指南进行操作。招标人将在收到异议之日起3日内作出答复；作出答复前，将暂停招标投标活动。</w:t>
      </w:r>
    </w:p>
    <w:p>
      <w:pPr>
        <w:pStyle w:val="4"/>
        <w:rPr>
          <w:rFonts w:ascii="宋体" w:hAnsi="宋体" w:eastAsia="宋体" w:cs="宋体"/>
          <w:color w:val="auto"/>
          <w:highlight w:val="none"/>
        </w:rPr>
      </w:pPr>
      <w:bookmarkStart w:id="88" w:name="_Toc24104546"/>
      <w:bookmarkStart w:id="89" w:name="_Toc17777"/>
      <w:bookmarkStart w:id="90" w:name="_Toc4038"/>
      <w:bookmarkStart w:id="91" w:name="_Toc3203"/>
      <w:r>
        <w:rPr>
          <w:rFonts w:hint="eastAsia" w:ascii="宋体" w:hAnsi="宋体" w:eastAsia="宋体" w:cs="宋体"/>
          <w:color w:val="auto"/>
          <w:highlight w:val="none"/>
        </w:rPr>
        <w:t>3. 投标文件</w:t>
      </w:r>
      <w:bookmarkEnd w:id="88"/>
      <w:bookmarkEnd w:id="89"/>
      <w:bookmarkEnd w:id="90"/>
      <w:bookmarkEnd w:id="91"/>
    </w:p>
    <w:p>
      <w:pPr>
        <w:pStyle w:val="5"/>
        <w:spacing w:beforeLines="20" w:afterLines="20" w:line="360" w:lineRule="auto"/>
        <w:rPr>
          <w:rFonts w:ascii="宋体" w:hAnsi="宋体" w:cs="宋体"/>
          <w:color w:val="auto"/>
          <w:highlight w:val="none"/>
        </w:rPr>
      </w:pPr>
      <w:bookmarkStart w:id="92" w:name="_Toc11630"/>
      <w:bookmarkStart w:id="93" w:name="_Toc24104547"/>
      <w:bookmarkStart w:id="94" w:name="_Toc13272"/>
      <w:bookmarkStart w:id="95" w:name="_Toc387"/>
      <w:r>
        <w:rPr>
          <w:rFonts w:hint="eastAsia" w:ascii="宋体" w:hAnsi="宋体" w:cs="宋体"/>
          <w:color w:val="auto"/>
          <w:highlight w:val="none"/>
        </w:rPr>
        <w:t>3.1 投标文件的组成</w:t>
      </w:r>
      <w:bookmarkEnd w:id="92"/>
      <w:bookmarkEnd w:id="93"/>
      <w:bookmarkEnd w:id="94"/>
      <w:bookmarkEnd w:id="9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 投标文件应包括下列内容：</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（1）投标函及投标函附录；</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（2）法定代表人身份证明或授权委托书；</w:t>
      </w:r>
    </w:p>
    <w:p>
      <w:pPr>
        <w:spacing w:line="360" w:lineRule="auto"/>
        <w:ind w:firstLine="420" w:firstLineChars="200"/>
        <w:rPr>
          <w:rFonts w:hint="eastAsia" w:ascii="宋体" w:hAnsi="宋体" w:cs="宋体"/>
          <w:strike/>
          <w:dstrike w:val="0"/>
          <w:color w:val="auto"/>
          <w:highlight w:val="none"/>
        </w:rPr>
      </w:pPr>
      <w:r>
        <w:rPr>
          <w:rFonts w:hint="eastAsia" w:ascii="宋体" w:hAnsi="宋体" w:cs="宋体"/>
          <w:strike/>
          <w:dstrike w:val="0"/>
          <w:color w:val="auto"/>
          <w:highlight w:val="none"/>
        </w:rPr>
        <w:t>（3）投标保证金；</w:t>
      </w:r>
    </w:p>
    <w:p>
      <w:pPr>
        <w:pStyle w:val="28"/>
        <w:rPr>
          <w:rFonts w:hint="default" w:eastAsia="宋体"/>
          <w:strike w:val="0"/>
          <w:color w:val="auto"/>
          <w:highlight w:val="none"/>
          <w:lang w:val="en-US" w:eastAsia="zh-CN"/>
        </w:rPr>
      </w:pPr>
      <w:r>
        <w:rPr>
          <w:rFonts w:hint="eastAsia" w:ascii="宋体" w:hAnsi="宋体" w:cs="宋体"/>
          <w:strike w:val="0"/>
          <w:dstrike w:val="0"/>
          <w:color w:val="auto"/>
          <w:highlight w:val="none"/>
          <w:lang w:eastAsia="zh-CN"/>
        </w:rPr>
        <w:t>（</w:t>
      </w:r>
      <w:r>
        <w:rPr>
          <w:rFonts w:hint="eastAsia" w:ascii="宋体" w:hAnsi="宋体" w:cs="宋体"/>
          <w:strike w:val="0"/>
          <w:dstrike w:val="0"/>
          <w:color w:val="auto"/>
          <w:highlight w:val="none"/>
          <w:lang w:val="en-US" w:eastAsia="zh-CN"/>
        </w:rPr>
        <w:t>3</w:t>
      </w:r>
      <w:r>
        <w:rPr>
          <w:rFonts w:hint="eastAsia" w:ascii="宋体" w:hAnsi="宋体" w:cs="宋体"/>
          <w:strike w:val="0"/>
          <w:dstrike w:val="0"/>
          <w:color w:val="auto"/>
          <w:highlight w:val="none"/>
          <w:lang w:eastAsia="zh-CN"/>
        </w:rPr>
        <w:t>）</w:t>
      </w:r>
      <w:r>
        <w:rPr>
          <w:rFonts w:hint="eastAsia" w:ascii="宋体" w:hAnsi="宋体" w:cs="宋体"/>
          <w:strike w:val="0"/>
          <w:dstrike w:val="0"/>
          <w:color w:val="auto"/>
          <w:highlight w:val="none"/>
          <w:lang w:val="en-US" w:eastAsia="zh-CN"/>
        </w:rPr>
        <w:t>联合体协议书（如有）；</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（4）资格审查资料；</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（5）</w:t>
      </w:r>
      <w:r>
        <w:rPr>
          <w:rFonts w:hint="eastAsia" w:ascii="宋体" w:hAnsi="宋体" w:cs="宋体"/>
          <w:color w:val="auto"/>
          <w:highlight w:val="none"/>
          <w:u w:val="single"/>
        </w:rPr>
        <w:t>项目</w:t>
      </w:r>
      <w:r>
        <w:rPr>
          <w:rFonts w:hint="eastAsia" w:ascii="宋体" w:hAnsi="宋体"/>
          <w:color w:val="auto"/>
          <w:szCs w:val="21"/>
          <w:highlight w:val="none"/>
          <w:u w:val="single"/>
        </w:rPr>
        <w:t>检测</w:t>
      </w:r>
      <w:r>
        <w:rPr>
          <w:rFonts w:hint="eastAsia" w:ascii="宋体" w:hAnsi="宋体" w:cs="宋体"/>
          <w:color w:val="auto"/>
          <w:highlight w:val="none"/>
          <w:u w:val="single"/>
        </w:rPr>
        <w:t>方案；</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检测能力；</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w:t>
      </w:r>
      <w:r>
        <w:rPr>
          <w:rFonts w:hint="eastAsia" w:ascii="宋体" w:hAnsi="宋体" w:cs="宋体"/>
          <w:color w:val="auto"/>
          <w:highlight w:val="none"/>
          <w:u w:val="single"/>
        </w:rPr>
        <w:t>投标单位情况介绍：</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① 一般情况表；</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② 拟委派的项目负责人、技术负责人及投入本项目的主要技术人员一览表；</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③ 拟委派的项目负责人、技术负责人及投入本项目的主要技术人员简历表；</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④ 投标人2018年1月1日至今承担的类似检测业绩；</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⑤ 其他证明企业资信实力、获奖证明资料等扫描件。</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（8）其他资料。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投标人在评标过程中作出的符合法律法规和招标文件规定的澄清确认，构成投标文件的组成部分。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 投标人须知前附表规定不接受联合体投标的，或投标人没有组成联合体的，投标文件不包括</w:t>
      </w:r>
      <w:r>
        <w:rPr>
          <w:rFonts w:hint="eastAsia" w:ascii="宋体" w:hAnsi="宋体" w:cs="宋体"/>
          <w:color w:val="auto"/>
          <w:highlight w:val="none"/>
          <w:lang w:eastAsia="zh-CN"/>
        </w:rPr>
        <w:t>联合体协议书</w:t>
      </w:r>
      <w:r>
        <w:rPr>
          <w:rFonts w:hint="eastAsia" w:ascii="宋体" w:hAnsi="宋体" w:cs="宋体"/>
          <w:color w:val="auto"/>
          <w:highlight w:val="none"/>
        </w:rPr>
        <w:t>。</w:t>
      </w:r>
    </w:p>
    <w:p>
      <w:pPr>
        <w:spacing w:line="360" w:lineRule="auto"/>
        <w:ind w:firstLine="420" w:firstLineChars="200"/>
        <w:rPr>
          <w:rFonts w:ascii="宋体" w:hAnsi="宋体" w:cs="宋体"/>
          <w:strike/>
          <w:dstrike w:val="0"/>
          <w:color w:val="auto"/>
          <w:highlight w:val="none"/>
        </w:rPr>
      </w:pPr>
      <w:r>
        <w:rPr>
          <w:rFonts w:hint="eastAsia" w:ascii="宋体" w:hAnsi="宋体" w:cs="宋体"/>
          <w:strike/>
          <w:dstrike w:val="0"/>
          <w:color w:val="auto"/>
          <w:highlight w:val="none"/>
        </w:rPr>
        <w:t>3.1.3 投标人须知前附表未要求提交投标保证金的，投标文件不包括本章第 3.1.1（3）目所指的投标保证金。</w:t>
      </w:r>
    </w:p>
    <w:p>
      <w:pPr>
        <w:pStyle w:val="5"/>
        <w:spacing w:beforeLines="20" w:afterLines="20" w:line="360" w:lineRule="auto"/>
        <w:rPr>
          <w:rFonts w:ascii="宋体" w:hAnsi="宋体" w:cs="宋体"/>
          <w:color w:val="auto"/>
          <w:highlight w:val="none"/>
        </w:rPr>
      </w:pPr>
      <w:bookmarkStart w:id="96" w:name="_Toc4796"/>
      <w:bookmarkStart w:id="97" w:name="_Toc21115"/>
      <w:bookmarkStart w:id="98" w:name="_Toc24104548"/>
      <w:bookmarkStart w:id="99" w:name="_Toc5729"/>
      <w:r>
        <w:rPr>
          <w:rFonts w:hint="eastAsia" w:ascii="宋体" w:hAnsi="宋体" w:cs="宋体"/>
          <w:color w:val="auto"/>
          <w:highlight w:val="none"/>
        </w:rPr>
        <w:t>3.2 投标报价</w:t>
      </w:r>
      <w:bookmarkEnd w:id="96"/>
      <w:bookmarkEnd w:id="97"/>
      <w:bookmarkEnd w:id="98"/>
      <w:bookmarkEnd w:id="99"/>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3.2.1 投标报价应包括国家规定的增值税税金，除投标人须知前附表另有规定外，增值税税金按一般计税方法计算。投标人应按第五章“投标文件格式”的要求在投标函中进行报价并</w:t>
      </w:r>
      <w:r>
        <w:rPr>
          <w:rFonts w:hint="eastAsia" w:ascii="宋体" w:hAnsi="宋体" w:cs="宋体"/>
          <w:color w:val="auto"/>
          <w:highlight w:val="none"/>
          <w:u w:val="single"/>
        </w:rPr>
        <w:t>填报下浮率。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3.2.2 投标人应充分了解该项目的总体情况以及影响投标报价的其他要素。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3.2.3 本项目的报价方式见投标人须知前附表。投标人在投标截止时间填报投标函中的投标总报价，应同时投标函中的相应</w:t>
      </w:r>
      <w:r>
        <w:rPr>
          <w:rFonts w:hint="eastAsia" w:ascii="宋体" w:hAnsi="宋体" w:cs="宋体"/>
          <w:color w:val="auto"/>
          <w:highlight w:val="none"/>
          <w:u w:val="single"/>
          <w:lang w:val="en-US" w:eastAsia="zh-CN"/>
        </w:rPr>
        <w:t>投标</w:t>
      </w:r>
      <w:r>
        <w:rPr>
          <w:rFonts w:hint="eastAsia" w:ascii="宋体" w:hAnsi="宋体" w:cs="宋体"/>
          <w:color w:val="auto"/>
          <w:highlight w:val="none"/>
          <w:u w:val="single"/>
        </w:rPr>
        <w:t>下浮率</w:t>
      </w:r>
      <w:r>
        <w:rPr>
          <w:rFonts w:hint="eastAsia" w:ascii="宋体" w:hAnsi="宋体" w:cs="宋体"/>
          <w:color w:val="auto"/>
          <w:highlight w:val="none"/>
        </w:rPr>
        <w:t>。此修改须符合本章第 4.3 款的有关要求。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招标人设有最高投标限价的，投标人的投标报价不得超过最高投标限价，最高投标限价在投标人须知前附表中载明。</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3.2.5 投标报价的其他要求见投标人须知前附表。</w:t>
      </w:r>
    </w:p>
    <w:p>
      <w:pPr>
        <w:pStyle w:val="5"/>
        <w:spacing w:beforeLines="20" w:afterLines="20" w:line="360" w:lineRule="auto"/>
        <w:rPr>
          <w:rFonts w:ascii="宋体" w:hAnsi="宋体" w:cs="宋体"/>
          <w:color w:val="auto"/>
          <w:highlight w:val="none"/>
        </w:rPr>
      </w:pPr>
      <w:bookmarkStart w:id="100" w:name="_Toc19001"/>
      <w:bookmarkStart w:id="101" w:name="_Toc13912"/>
      <w:bookmarkStart w:id="102" w:name="_Toc8247"/>
      <w:bookmarkStart w:id="103" w:name="_Toc24104549"/>
      <w:r>
        <w:rPr>
          <w:rFonts w:hint="eastAsia" w:ascii="宋体" w:hAnsi="宋体" w:cs="宋体"/>
          <w:color w:val="auto"/>
          <w:highlight w:val="none"/>
        </w:rPr>
        <w:t>3.3 投标有效期</w:t>
      </w:r>
      <w:bookmarkEnd w:id="100"/>
      <w:bookmarkEnd w:id="101"/>
      <w:bookmarkEnd w:id="102"/>
      <w:bookmarkEnd w:id="10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 除投标人须知前附表另有规定外，投标有效期为 90 天。</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3.3.2 在投标有效期内，投标人撤销投标文件的，应承担招标文件和法律规定的责任。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3.3.3 出现特殊情况需要延长投标有效期的，招标人以书面形式通知所有投标人延长投标有效期。投标人应予以书面答复，同意延长的</w:t>
      </w:r>
      <w:r>
        <w:rPr>
          <w:rFonts w:hint="eastAsia" w:ascii="宋体" w:hAnsi="宋体" w:cs="宋体"/>
          <w:strike/>
          <w:dstrike w:val="0"/>
          <w:color w:val="auto"/>
          <w:highlight w:val="none"/>
        </w:rPr>
        <w:t>，应相应延长其投标保证金的有效期</w:t>
      </w:r>
      <w:r>
        <w:rPr>
          <w:rFonts w:hint="eastAsia" w:ascii="宋体" w:hAnsi="宋体" w:cs="宋体"/>
          <w:color w:val="auto"/>
          <w:highlight w:val="none"/>
        </w:rPr>
        <w:t>，但不得要求或被允许修改其投标文件；投标人拒绝延长的，其投标失效，</w:t>
      </w:r>
      <w:r>
        <w:rPr>
          <w:rFonts w:hint="eastAsia" w:ascii="宋体" w:hAnsi="宋体" w:cs="宋体"/>
          <w:strike/>
          <w:dstrike w:val="0"/>
          <w:color w:val="auto"/>
          <w:highlight w:val="none"/>
        </w:rPr>
        <w:t>但投标人有权收回其投标保证金及以现金或者支票形式递交的投标保证金的银行同期存款利息</w:t>
      </w:r>
      <w:r>
        <w:rPr>
          <w:rFonts w:hint="eastAsia" w:ascii="宋体" w:hAnsi="宋体" w:cs="宋体"/>
          <w:color w:val="auto"/>
          <w:highlight w:val="none"/>
        </w:rPr>
        <w:t>。</w:t>
      </w:r>
    </w:p>
    <w:p>
      <w:pPr>
        <w:pStyle w:val="5"/>
        <w:spacing w:beforeLines="20" w:afterLines="20" w:line="360" w:lineRule="auto"/>
        <w:rPr>
          <w:rFonts w:ascii="宋体" w:hAnsi="宋体" w:cs="宋体"/>
          <w:strike/>
          <w:dstrike w:val="0"/>
          <w:color w:val="auto"/>
          <w:highlight w:val="none"/>
        </w:rPr>
      </w:pPr>
      <w:bookmarkStart w:id="104" w:name="_Toc4707"/>
      <w:bookmarkStart w:id="105" w:name="_Toc24104550"/>
      <w:bookmarkStart w:id="106" w:name="_Toc16389"/>
      <w:bookmarkStart w:id="107" w:name="_Toc1352"/>
      <w:r>
        <w:rPr>
          <w:rFonts w:hint="eastAsia" w:ascii="宋体" w:hAnsi="宋体" w:cs="宋体"/>
          <w:strike/>
          <w:dstrike w:val="0"/>
          <w:color w:val="auto"/>
          <w:highlight w:val="none"/>
        </w:rPr>
        <w:t>3.4 投标保证金</w:t>
      </w:r>
      <w:bookmarkEnd w:id="104"/>
      <w:bookmarkEnd w:id="105"/>
      <w:bookmarkEnd w:id="106"/>
      <w:bookmarkEnd w:id="107"/>
    </w:p>
    <w:p>
      <w:pPr>
        <w:spacing w:line="360" w:lineRule="auto"/>
        <w:ind w:firstLine="420" w:firstLineChars="200"/>
        <w:rPr>
          <w:rFonts w:ascii="宋体" w:hAnsi="宋体" w:cs="宋体"/>
          <w:strike/>
          <w:dstrike w:val="0"/>
          <w:color w:val="auto"/>
          <w:highlight w:val="none"/>
        </w:rPr>
      </w:pPr>
      <w:r>
        <w:rPr>
          <w:rFonts w:hint="eastAsia" w:ascii="宋体" w:hAnsi="宋体" w:cs="宋体"/>
          <w:strike/>
          <w:dstrike w:val="0"/>
          <w:color w:val="auto"/>
          <w:highlight w:val="none"/>
        </w:rPr>
        <w:t>3.4.1 投标人在递交投标文件的同时，应按投标人须知前附表规定的金额、形式和第五章“投标文件格式”规定的投标保证金格式递交投标保证金，并作为其投标文件的组成部分。境内投标人以现金或者支票形式提交的投标保证金，应当从其基本账户转出并在投标文件中附上基本账户开户证明。</w:t>
      </w:r>
    </w:p>
    <w:p>
      <w:pPr>
        <w:spacing w:line="360" w:lineRule="auto"/>
        <w:ind w:firstLine="420" w:firstLineChars="200"/>
        <w:rPr>
          <w:rFonts w:ascii="宋体" w:hAnsi="宋体" w:cs="宋体"/>
          <w:strike/>
          <w:dstrike w:val="0"/>
          <w:color w:val="auto"/>
          <w:highlight w:val="none"/>
        </w:rPr>
      </w:pPr>
      <w:r>
        <w:rPr>
          <w:rFonts w:hint="eastAsia" w:ascii="宋体" w:hAnsi="宋体" w:cs="宋体"/>
          <w:strike/>
          <w:dstrike w:val="0"/>
          <w:color w:val="auto"/>
          <w:highlight w:val="none"/>
        </w:rPr>
        <w:t>3.4.2 投标人不按本章第 3.4.1 项要求提交投标保证金的，评标委员会将否决其投标。</w:t>
      </w:r>
    </w:p>
    <w:p>
      <w:pPr>
        <w:spacing w:line="360" w:lineRule="auto"/>
        <w:ind w:firstLine="420" w:firstLineChars="200"/>
        <w:rPr>
          <w:rFonts w:ascii="宋体" w:hAnsi="宋体" w:cs="宋体"/>
          <w:strike/>
          <w:dstrike w:val="0"/>
          <w:color w:val="auto"/>
          <w:highlight w:val="none"/>
          <w:u w:val="single"/>
        </w:rPr>
      </w:pPr>
      <w:r>
        <w:rPr>
          <w:rFonts w:hint="eastAsia" w:ascii="宋体" w:hAnsi="宋体" w:cs="宋体"/>
          <w:strike/>
          <w:dstrike w:val="0"/>
          <w:color w:val="auto"/>
          <w:highlight w:val="none"/>
        </w:rPr>
        <w:t xml:space="preserve">3.4.3 </w:t>
      </w:r>
      <w:r>
        <w:rPr>
          <w:rFonts w:hint="eastAsia" w:ascii="宋体" w:hAnsi="宋体"/>
          <w:strike/>
          <w:dstrike w:val="0"/>
          <w:color w:val="auto"/>
          <w:highlight w:val="none"/>
          <w:u w:val="single"/>
        </w:rPr>
        <w:t>中标候选人以外的投标人的投标保证金在中标通知书发出之日起五日内退还。中标人和其他中标候选人的投标保证金在书面合同订立之日起五日内退还</w:t>
      </w:r>
      <w:r>
        <w:rPr>
          <w:rFonts w:hint="eastAsia" w:ascii="宋体" w:hAnsi="宋体" w:cs="宋体"/>
          <w:strike/>
          <w:dstrike w:val="0"/>
          <w:color w:val="auto"/>
          <w:highlight w:val="none"/>
        </w:rPr>
        <w:t>。</w:t>
      </w:r>
    </w:p>
    <w:p>
      <w:pPr>
        <w:spacing w:line="360" w:lineRule="auto"/>
        <w:ind w:firstLine="420" w:firstLineChars="200"/>
        <w:rPr>
          <w:rFonts w:ascii="宋体" w:hAnsi="宋体" w:cs="宋体"/>
          <w:strike/>
          <w:dstrike w:val="0"/>
          <w:color w:val="auto"/>
          <w:highlight w:val="none"/>
        </w:rPr>
      </w:pPr>
      <w:r>
        <w:rPr>
          <w:rFonts w:hint="eastAsia" w:ascii="宋体" w:hAnsi="宋体" w:cs="宋体"/>
          <w:strike/>
          <w:dstrike w:val="0"/>
          <w:color w:val="auto"/>
          <w:highlight w:val="none"/>
        </w:rPr>
        <w:t>3.4.4 有下列情形之一的，投标保证金将不予退还：</w:t>
      </w:r>
    </w:p>
    <w:p>
      <w:pPr>
        <w:spacing w:line="360" w:lineRule="auto"/>
        <w:ind w:firstLine="420" w:firstLineChars="200"/>
        <w:rPr>
          <w:rFonts w:ascii="宋体" w:hAnsi="宋体" w:cs="宋体"/>
          <w:strike/>
          <w:dstrike w:val="0"/>
          <w:color w:val="auto"/>
          <w:highlight w:val="none"/>
        </w:rPr>
      </w:pPr>
      <w:r>
        <w:rPr>
          <w:rFonts w:hint="eastAsia" w:ascii="宋体" w:hAnsi="宋体" w:cs="宋体"/>
          <w:strike/>
          <w:dstrike w:val="0"/>
          <w:color w:val="auto"/>
          <w:highlight w:val="none"/>
        </w:rPr>
        <w:t>（1）投标人在投标有效期内撤销投标文件；</w:t>
      </w:r>
    </w:p>
    <w:p>
      <w:pPr>
        <w:spacing w:line="360" w:lineRule="auto"/>
        <w:ind w:firstLine="420" w:firstLineChars="200"/>
        <w:rPr>
          <w:rFonts w:ascii="宋体" w:hAnsi="宋体" w:cs="宋体"/>
          <w:strike/>
          <w:dstrike w:val="0"/>
          <w:color w:val="auto"/>
          <w:highlight w:val="none"/>
        </w:rPr>
      </w:pPr>
      <w:r>
        <w:rPr>
          <w:rFonts w:hint="eastAsia" w:ascii="宋体" w:hAnsi="宋体" w:cs="宋体"/>
          <w:strike/>
          <w:dstrike w:val="0"/>
          <w:color w:val="auto"/>
          <w:highlight w:val="none"/>
        </w:rPr>
        <w:t>（2）中标人在收到中标通知书后，无正当理由不与招标人订立合同，在签订合同时向招标人提出附加条件，或者不按照招标文件要求提交履约保证金；</w:t>
      </w:r>
    </w:p>
    <w:p>
      <w:pPr>
        <w:spacing w:line="360" w:lineRule="auto"/>
        <w:ind w:firstLine="420" w:firstLineChars="200"/>
        <w:rPr>
          <w:rFonts w:ascii="宋体" w:hAnsi="宋体" w:cs="宋体"/>
          <w:strike/>
          <w:dstrike w:val="0"/>
          <w:color w:val="auto"/>
          <w:highlight w:val="none"/>
        </w:rPr>
      </w:pPr>
      <w:r>
        <w:rPr>
          <w:rFonts w:hint="eastAsia" w:ascii="宋体" w:hAnsi="宋体" w:cs="宋体"/>
          <w:strike/>
          <w:dstrike w:val="0"/>
          <w:color w:val="auto"/>
          <w:highlight w:val="none"/>
        </w:rPr>
        <w:t>（3）发生投标人须知前附表规定的其他可以不予退还投标保证金的情形。</w:t>
      </w:r>
    </w:p>
    <w:p>
      <w:pPr>
        <w:pStyle w:val="5"/>
        <w:spacing w:beforeLines="20" w:afterLines="20" w:line="360" w:lineRule="auto"/>
        <w:rPr>
          <w:rFonts w:ascii="宋体" w:hAnsi="宋体" w:cs="宋体"/>
          <w:strike/>
          <w:color w:val="auto"/>
          <w:highlight w:val="none"/>
        </w:rPr>
      </w:pPr>
      <w:bookmarkStart w:id="108" w:name="_Toc110594335"/>
      <w:bookmarkStart w:id="109" w:name="_Toc21133"/>
      <w:bookmarkStart w:id="110" w:name="_Toc18059"/>
      <w:bookmarkStart w:id="111" w:name="_Toc24104551"/>
      <w:bookmarkStart w:id="112" w:name="_Toc110522878"/>
      <w:bookmarkStart w:id="113" w:name="_Toc1668"/>
      <w:r>
        <w:rPr>
          <w:rFonts w:hint="eastAsia" w:ascii="宋体" w:hAnsi="宋体" w:cs="宋体"/>
          <w:strike/>
          <w:color w:val="auto"/>
          <w:highlight w:val="none"/>
        </w:rPr>
        <w:t>3.5 资格审查资料（适用于已进行资格预审的）</w:t>
      </w:r>
      <w:bookmarkEnd w:id="108"/>
      <w:bookmarkEnd w:id="109"/>
      <w:bookmarkEnd w:id="110"/>
      <w:bookmarkEnd w:id="111"/>
      <w:bookmarkEnd w:id="112"/>
      <w:bookmarkEnd w:id="113"/>
    </w:p>
    <w:p>
      <w:pPr>
        <w:spacing w:line="360" w:lineRule="auto"/>
        <w:ind w:firstLine="420" w:firstLineChars="200"/>
        <w:rPr>
          <w:rFonts w:ascii="宋体" w:hAnsi="宋体" w:cs="宋体"/>
          <w:strike/>
          <w:color w:val="auto"/>
          <w:highlight w:val="none"/>
        </w:rPr>
      </w:pPr>
      <w:r>
        <w:rPr>
          <w:rFonts w:hint="eastAsia" w:ascii="宋体" w:hAnsi="宋体" w:cs="宋体"/>
          <w:strike/>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pPr>
        <w:pStyle w:val="5"/>
        <w:spacing w:beforeLines="20" w:afterLines="20" w:line="360" w:lineRule="auto"/>
        <w:rPr>
          <w:rFonts w:ascii="宋体" w:hAnsi="宋体" w:cs="宋体"/>
          <w:color w:val="auto"/>
          <w:highlight w:val="none"/>
        </w:rPr>
      </w:pPr>
      <w:bookmarkStart w:id="114" w:name="_Toc24104552"/>
      <w:bookmarkStart w:id="115" w:name="_Toc2311"/>
      <w:bookmarkStart w:id="116" w:name="_Toc1303"/>
      <w:bookmarkStart w:id="117" w:name="_Toc5017"/>
      <w:r>
        <w:rPr>
          <w:rFonts w:hint="eastAsia" w:ascii="宋体" w:hAnsi="宋体" w:cs="宋体"/>
          <w:color w:val="auto"/>
          <w:highlight w:val="none"/>
        </w:rPr>
        <w:t>3.5 资格审查资料（适用于未进行资格预审的）</w:t>
      </w:r>
      <w:bookmarkEnd w:id="114"/>
      <w:bookmarkEnd w:id="115"/>
      <w:bookmarkEnd w:id="116"/>
      <w:bookmarkEnd w:id="11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除投标人须知前附表另有规定外，投标人应按下列规定提供资格审查资料，以证明其满足本章第 1.4 款规定的资质、财务、业绩、信誉等要求。</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3.5.1</w:t>
      </w:r>
      <w:r>
        <w:rPr>
          <w:rFonts w:hint="eastAsia" w:ascii="宋体" w:hAnsi="宋体" w:cs="宋体"/>
          <w:color w:val="auto"/>
          <w:szCs w:val="21"/>
          <w:highlight w:val="none"/>
          <w:u w:val="single"/>
        </w:rPr>
        <w:t>投标人参加投标的意思表达清楚，投标人代表被授权有效；按招标文件第五章所附格式内容要求签署盖章的《投标申请公函》（如为联合体，</w:t>
      </w:r>
      <w:r>
        <w:rPr>
          <w:rFonts w:hint="eastAsia" w:ascii="宋体" w:hAnsi="宋体" w:cs="宋体"/>
          <w:color w:val="auto"/>
          <w:szCs w:val="21"/>
          <w:highlight w:val="none"/>
          <w:u w:val="single"/>
          <w:lang w:val="en-US" w:eastAsia="zh-CN"/>
        </w:rPr>
        <w:t>指</w:t>
      </w:r>
      <w:r>
        <w:rPr>
          <w:rFonts w:hint="eastAsia" w:ascii="宋体" w:hAnsi="宋体" w:cs="宋体"/>
          <w:color w:val="auto"/>
          <w:szCs w:val="21"/>
          <w:highlight w:val="none"/>
          <w:u w:val="single"/>
        </w:rPr>
        <w:t>联合体牵头人出具即视作符合要求）；</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3.5.2投标人（如为联合体，指联合体各方）</w:t>
      </w:r>
      <w:r>
        <w:rPr>
          <w:rFonts w:hint="eastAsia" w:ascii="宋体" w:hAnsi="宋体"/>
          <w:color w:val="auto"/>
          <w:szCs w:val="21"/>
          <w:highlight w:val="none"/>
          <w:u w:val="single"/>
        </w:rPr>
        <w:t>企业营业执照或事业单位登记机构核发的事业单位法人证书；</w:t>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3.5.3投标人（如为联合体，指联合体各方）</w:t>
      </w:r>
      <w:r>
        <w:rPr>
          <w:rFonts w:hint="eastAsia" w:ascii="宋体" w:hAnsi="宋体"/>
          <w:color w:val="auto"/>
          <w:szCs w:val="21"/>
          <w:highlight w:val="none"/>
          <w:u w:val="single"/>
        </w:rPr>
        <w:t>质量技术监督部门颁发的CMA计量认证合格证书</w:t>
      </w:r>
      <w:r>
        <w:rPr>
          <w:rFonts w:hint="eastAsia" w:ascii="宋体" w:hAnsi="宋体" w:eastAsia="宋体" w:cs="Times New Roman"/>
          <w:color w:val="auto"/>
          <w:sz w:val="21"/>
          <w:szCs w:val="21"/>
          <w:highlight w:val="none"/>
          <w:u w:val="single"/>
        </w:rPr>
        <w:t>（或CMA检验检测机构资质认定证书）</w:t>
      </w:r>
      <w:r>
        <w:rPr>
          <w:rFonts w:hint="eastAsia" w:ascii="宋体" w:hAnsi="宋体"/>
          <w:color w:val="auto"/>
          <w:szCs w:val="21"/>
          <w:highlight w:val="none"/>
          <w:u w:val="singl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3.5.4投标人（如为联合体，指联合体各方）建设行政主管部门颁发的建设工程质量检测机构资质证书</w:t>
      </w:r>
      <w:r>
        <w:rPr>
          <w:rFonts w:hint="eastAsia" w:ascii="宋体" w:hAnsi="宋体" w:eastAsia="宋体" w:cs="Times New Roman"/>
          <w:color w:val="auto"/>
          <w:sz w:val="21"/>
          <w:szCs w:val="21"/>
          <w:highlight w:val="none"/>
          <w:u w:val="single"/>
        </w:rPr>
        <w:t>（检测范围</w:t>
      </w:r>
      <w:r>
        <w:rPr>
          <w:rFonts w:hint="eastAsia" w:ascii="宋体" w:hAnsi="宋体" w:eastAsia="宋体" w:cs="Times New Roman"/>
          <w:color w:val="auto"/>
          <w:sz w:val="21"/>
          <w:szCs w:val="21"/>
          <w:highlight w:val="none"/>
          <w:u w:val="single"/>
          <w:lang w:eastAsia="zh-CN"/>
        </w:rPr>
        <w:t>需</w:t>
      </w:r>
      <w:r>
        <w:rPr>
          <w:rFonts w:hint="eastAsia" w:ascii="宋体" w:hAnsi="宋体" w:cs="Times New Roman"/>
          <w:color w:val="auto"/>
          <w:sz w:val="21"/>
          <w:szCs w:val="21"/>
          <w:highlight w:val="none"/>
          <w:u w:val="single"/>
          <w:lang w:val="en-US" w:eastAsia="zh-CN"/>
        </w:rPr>
        <w:t>涵</w:t>
      </w:r>
      <w:r>
        <w:rPr>
          <w:rFonts w:hint="eastAsia" w:ascii="宋体" w:hAnsi="宋体" w:eastAsia="宋体" w:cs="Times New Roman"/>
          <w:color w:val="auto"/>
          <w:sz w:val="21"/>
          <w:szCs w:val="21"/>
          <w:highlight w:val="none"/>
          <w:u w:val="single"/>
        </w:rPr>
        <w:t>盖本</w:t>
      </w:r>
      <w:r>
        <w:rPr>
          <w:rFonts w:hint="eastAsia" w:ascii="宋体" w:hAnsi="宋体" w:eastAsia="宋体" w:cs="Times New Roman"/>
          <w:color w:val="auto"/>
          <w:sz w:val="21"/>
          <w:szCs w:val="21"/>
          <w:highlight w:val="none"/>
          <w:u w:val="single"/>
          <w:lang w:eastAsia="zh-CN"/>
        </w:rPr>
        <w:t>次</w:t>
      </w:r>
      <w:r>
        <w:rPr>
          <w:rFonts w:hint="eastAsia" w:ascii="宋体" w:hAnsi="宋体" w:eastAsia="宋体" w:cs="Times New Roman"/>
          <w:color w:val="auto"/>
          <w:sz w:val="21"/>
          <w:szCs w:val="21"/>
          <w:highlight w:val="none"/>
          <w:u w:val="single"/>
        </w:rPr>
        <w:t>招标</w:t>
      </w:r>
      <w:r>
        <w:rPr>
          <w:rFonts w:hint="eastAsia" w:ascii="宋体" w:hAnsi="宋体" w:eastAsia="宋体" w:cs="Times New Roman"/>
          <w:color w:val="auto"/>
          <w:sz w:val="21"/>
          <w:szCs w:val="21"/>
          <w:highlight w:val="none"/>
          <w:u w:val="single"/>
          <w:lang w:eastAsia="zh-CN"/>
        </w:rPr>
        <w:t>的主要</w:t>
      </w:r>
      <w:r>
        <w:rPr>
          <w:rFonts w:hint="eastAsia" w:ascii="宋体" w:hAnsi="宋体" w:eastAsia="宋体" w:cs="Times New Roman"/>
          <w:color w:val="auto"/>
          <w:sz w:val="21"/>
          <w:szCs w:val="21"/>
          <w:highlight w:val="none"/>
          <w:u w:val="single"/>
        </w:rPr>
        <w:t>内容</w:t>
      </w:r>
      <w:r>
        <w:rPr>
          <w:rFonts w:hint="eastAsia" w:ascii="宋体" w:hAnsi="宋体" w:cs="Times New Roman"/>
          <w:color w:val="auto"/>
          <w:sz w:val="21"/>
          <w:szCs w:val="21"/>
          <w:highlight w:val="none"/>
          <w:u w:val="single"/>
          <w:lang w:val="en-US" w:eastAsia="zh-CN"/>
        </w:rPr>
        <w:t>:</w:t>
      </w:r>
      <w:r>
        <w:rPr>
          <w:rFonts w:hint="eastAsia" w:ascii="宋体" w:hAnsi="宋体" w:eastAsia="宋体" w:cs="Times New Roman"/>
          <w:color w:val="auto"/>
          <w:sz w:val="21"/>
          <w:szCs w:val="21"/>
          <w:highlight w:val="none"/>
          <w:u w:val="single"/>
        </w:rPr>
        <w:t>地基基础工程检测、主体结构工程现场检测</w:t>
      </w:r>
      <w:r>
        <w:rPr>
          <w:rFonts w:hint="eastAsia" w:ascii="宋体" w:hAnsi="宋体" w:eastAsia="宋体" w:cs="Times New Roman"/>
          <w:color w:val="auto"/>
          <w:sz w:val="21"/>
          <w:szCs w:val="21"/>
          <w:highlight w:val="none"/>
          <w:u w:val="single"/>
          <w:lang w:eastAsia="zh-CN"/>
        </w:rPr>
        <w:t>、见证取样检测</w:t>
      </w:r>
      <w:r>
        <w:rPr>
          <w:rFonts w:hint="eastAsia" w:ascii="宋体" w:hAnsi="宋体" w:eastAsia="宋体" w:cs="Times New Roman"/>
          <w:color w:val="auto"/>
          <w:sz w:val="21"/>
          <w:szCs w:val="21"/>
          <w:highlight w:val="none"/>
          <w:u w:val="single"/>
        </w:rPr>
        <w:t>)</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3.5.5 拟派项目负责人资料，填报项目负责人“拟委派的项目负责人、技术负责人及投入本项目的主要技术人员简历表”并附职称证和近一个月（2023年</w:t>
      </w:r>
      <w:r>
        <w:rPr>
          <w:rFonts w:hint="eastAsia" w:ascii="宋体" w:hAnsi="宋体"/>
          <w:color w:val="auto"/>
          <w:szCs w:val="21"/>
          <w:highlight w:val="none"/>
          <w:lang w:val="en-US" w:eastAsia="zh-CN"/>
        </w:rPr>
        <w:t>9</w:t>
      </w:r>
      <w:r>
        <w:rPr>
          <w:rFonts w:hint="eastAsia" w:ascii="宋体" w:hAnsi="宋体"/>
          <w:color w:val="auto"/>
          <w:szCs w:val="21"/>
          <w:highlight w:val="none"/>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p>
      <w:pPr>
        <w:spacing w:line="360" w:lineRule="auto"/>
        <w:ind w:firstLine="420" w:firstLineChars="200"/>
        <w:rPr>
          <w:rFonts w:hint="eastAsia" w:ascii="宋体" w:hAnsi="宋体" w:cs="宋体"/>
          <w:b w:val="0"/>
          <w:bCs/>
          <w:color w:val="auto"/>
          <w:szCs w:val="21"/>
          <w:highlight w:val="none"/>
          <w:u w:val="single"/>
        </w:rPr>
      </w:pPr>
      <w:r>
        <w:rPr>
          <w:rFonts w:hint="eastAsia" w:ascii="宋体" w:hAnsi="宋体" w:eastAsia="宋体" w:cs="宋体"/>
          <w:b w:val="0"/>
          <w:bCs/>
          <w:color w:val="auto"/>
          <w:kern w:val="2"/>
          <w:sz w:val="21"/>
          <w:szCs w:val="21"/>
          <w:highlight w:val="none"/>
          <w:u w:val="single"/>
          <w:lang w:val="en-US" w:eastAsia="zh-CN" w:bidi="ar-SA"/>
        </w:rPr>
        <w:t>3.5.</w:t>
      </w:r>
      <w:r>
        <w:rPr>
          <w:rFonts w:hint="eastAsia" w:ascii="宋体" w:hAnsi="宋体" w:cs="宋体"/>
          <w:b w:val="0"/>
          <w:bCs/>
          <w:color w:val="auto"/>
          <w:kern w:val="2"/>
          <w:sz w:val="21"/>
          <w:szCs w:val="21"/>
          <w:highlight w:val="none"/>
          <w:u w:val="single"/>
          <w:lang w:val="en-US" w:eastAsia="zh-CN" w:bidi="ar-SA"/>
        </w:rPr>
        <w:t>6</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rPr>
        <w:t>投标人声明</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rPr>
        <w:t>（格式见招标公告附件一）；</w:t>
      </w:r>
    </w:p>
    <w:p>
      <w:pPr>
        <w:spacing w:line="360" w:lineRule="auto"/>
        <w:ind w:firstLine="420" w:firstLineChars="0"/>
        <w:rPr>
          <w:rFonts w:hint="eastAsia" w:ascii="宋体" w:hAnsi="宋体" w:cs="宋体"/>
          <w:color w:val="auto"/>
          <w:szCs w:val="21"/>
          <w:highlight w:val="none"/>
          <w:u w:val="single"/>
        </w:rPr>
      </w:pPr>
      <w:bookmarkStart w:id="118" w:name="_Toc1862"/>
      <w:bookmarkStart w:id="119" w:name="_Toc22156"/>
      <w:bookmarkStart w:id="120" w:name="_Toc24104553"/>
      <w:r>
        <w:rPr>
          <w:rFonts w:hint="eastAsia" w:ascii="宋体" w:hAnsi="宋体" w:cs="宋体"/>
          <w:color w:val="auto"/>
          <w:szCs w:val="21"/>
          <w:highlight w:val="none"/>
          <w:u w:val="single"/>
        </w:rPr>
        <w:t>3.5.</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w:t>
      </w:r>
      <w:r>
        <w:rPr>
          <w:rFonts w:hint="eastAsia" w:cs="宋体"/>
          <w:color w:val="auto"/>
          <w:szCs w:val="21"/>
          <w:highlight w:val="none"/>
          <w:u w:val="single"/>
        </w:rPr>
        <w:t>联合体协议书》</w:t>
      </w:r>
      <w:r>
        <w:rPr>
          <w:rFonts w:hint="eastAsia" w:ascii="宋体" w:hAnsi="宋体" w:cs="宋体"/>
          <w:color w:val="auto"/>
          <w:szCs w:val="21"/>
          <w:highlight w:val="none"/>
          <w:u w:val="single"/>
        </w:rPr>
        <w:t>（格式见招标公告附件</w:t>
      </w:r>
      <w:r>
        <w:rPr>
          <w:rFonts w:hint="eastAsia" w:cs="宋体"/>
          <w:color w:val="auto"/>
          <w:szCs w:val="21"/>
          <w:highlight w:val="none"/>
          <w:u w:val="single"/>
        </w:rPr>
        <w:t>二</w:t>
      </w:r>
      <w:r>
        <w:rPr>
          <w:rFonts w:hint="eastAsia" w:ascii="宋体" w:hAnsi="宋体" w:cs="宋体"/>
          <w:color w:val="auto"/>
          <w:szCs w:val="21"/>
          <w:highlight w:val="none"/>
          <w:u w:val="single"/>
        </w:rPr>
        <w:t>）；</w:t>
      </w:r>
    </w:p>
    <w:p>
      <w:pPr>
        <w:spacing w:line="360" w:lineRule="auto"/>
        <w:ind w:firstLine="420" w:firstLineChars="0"/>
        <w:rPr>
          <w:rFonts w:ascii="宋体" w:hAnsi="宋体" w:cs="宋体"/>
          <w:color w:val="auto"/>
          <w:highlight w:val="none"/>
          <w:u w:val="single"/>
        </w:rPr>
      </w:pPr>
      <w:r>
        <w:rPr>
          <w:rFonts w:hint="eastAsia" w:ascii="宋体" w:hAnsi="宋体" w:cs="宋体"/>
          <w:color w:val="auto"/>
          <w:szCs w:val="21"/>
          <w:highlight w:val="none"/>
          <w:u w:val="single"/>
        </w:rPr>
        <w:t>3.5.</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其他满足投标人资格要求的证明材料（如有）。</w:t>
      </w:r>
    </w:p>
    <w:p>
      <w:pPr>
        <w:pStyle w:val="5"/>
        <w:spacing w:beforeLines="20" w:afterLines="20" w:line="360" w:lineRule="auto"/>
        <w:rPr>
          <w:rFonts w:ascii="宋体" w:hAnsi="宋体" w:cs="宋体"/>
          <w:color w:val="auto"/>
          <w:highlight w:val="none"/>
        </w:rPr>
      </w:pPr>
      <w:bookmarkStart w:id="121" w:name="_Toc4235"/>
      <w:r>
        <w:rPr>
          <w:rFonts w:hint="eastAsia" w:ascii="宋体" w:hAnsi="宋体" w:cs="宋体"/>
          <w:color w:val="auto"/>
          <w:highlight w:val="none"/>
        </w:rPr>
        <w:t>3.6 备选投标方案</w:t>
      </w:r>
      <w:bookmarkEnd w:id="118"/>
      <w:bookmarkEnd w:id="119"/>
      <w:bookmarkEnd w:id="120"/>
      <w:bookmarkEnd w:id="12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3.6.1 除投标人须知前附表规定允许外，投标人不得递交备选投标方案，否则其投标将被否决。</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3.6.3 投标人提供两个或两个以上投标报价，或者在投标文件中提供一个报价，但同时提供两个或两个以上</w:t>
      </w:r>
      <w:r>
        <w:rPr>
          <w:rFonts w:hint="eastAsia" w:ascii="宋体" w:hAnsi="宋体" w:cs="宋体"/>
          <w:color w:val="auto"/>
          <w:highlight w:val="none"/>
          <w:u w:val="single"/>
        </w:rPr>
        <w:t>投标</w:t>
      </w:r>
      <w:r>
        <w:rPr>
          <w:rFonts w:hint="eastAsia" w:ascii="宋体" w:hAnsi="宋体" w:cs="宋体"/>
          <w:color w:val="auto"/>
          <w:highlight w:val="none"/>
        </w:rPr>
        <w:t>方案的，视为提供备选方案。</w:t>
      </w:r>
    </w:p>
    <w:p>
      <w:pPr>
        <w:pStyle w:val="5"/>
        <w:spacing w:beforeLines="20" w:afterLines="20" w:line="360" w:lineRule="auto"/>
        <w:rPr>
          <w:rFonts w:ascii="宋体" w:hAnsi="宋体" w:cs="宋体"/>
          <w:color w:val="auto"/>
          <w:highlight w:val="none"/>
        </w:rPr>
      </w:pPr>
      <w:bookmarkStart w:id="122" w:name="_Toc24104554"/>
      <w:bookmarkStart w:id="123" w:name="_Toc19304"/>
      <w:bookmarkStart w:id="124" w:name="_Toc30658"/>
      <w:bookmarkStart w:id="125" w:name="_Toc27315"/>
      <w:r>
        <w:rPr>
          <w:rFonts w:hint="eastAsia" w:ascii="宋体" w:hAnsi="宋体" w:cs="宋体"/>
          <w:color w:val="auto"/>
          <w:highlight w:val="none"/>
        </w:rPr>
        <w:t>3.7 投标文件的编制</w:t>
      </w:r>
      <w:bookmarkEnd w:id="122"/>
      <w:bookmarkEnd w:id="123"/>
      <w:bookmarkEnd w:id="124"/>
      <w:bookmarkEnd w:id="12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3.7.1 投标文件应按第五章“投标文件格式”进行编写，如有必要，可以增加附页，作为投标文件的组成部分。其中，投标函附录在满足招标文件实质性要求的基础上，可以提出比招标文件要求更有利于招标人的承诺。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3.7.2 投标文件应当对招标文件有关服务期限、投标有效期、</w:t>
      </w:r>
      <w:r>
        <w:rPr>
          <w:rFonts w:hint="eastAsia" w:ascii="宋体" w:hAnsi="宋体" w:cs="宋体"/>
          <w:strike/>
          <w:color w:val="auto"/>
          <w:szCs w:val="21"/>
          <w:highlight w:val="none"/>
        </w:rPr>
        <w:t>委托人要求、</w:t>
      </w:r>
      <w:r>
        <w:rPr>
          <w:rFonts w:hint="eastAsia" w:ascii="宋体" w:hAnsi="宋体" w:cs="宋体"/>
          <w:color w:val="auto"/>
          <w:highlight w:val="none"/>
        </w:rPr>
        <w:t>招标范围等实质性内容作出响应。</w:t>
      </w:r>
    </w:p>
    <w:p>
      <w:pPr>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（3）投标文件的正本与副本应分别装订，并编制目录，投标文件需分册装订的，具体分册装订要求见投标人须知前附表规定。</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4"/>
        <w:rPr>
          <w:rFonts w:ascii="宋体" w:hAnsi="宋体" w:eastAsia="宋体" w:cs="宋体"/>
          <w:color w:val="auto"/>
          <w:highlight w:val="none"/>
        </w:rPr>
      </w:pPr>
      <w:bookmarkStart w:id="126" w:name="_Toc24104555"/>
      <w:bookmarkStart w:id="127" w:name="_Toc7162"/>
      <w:bookmarkStart w:id="128" w:name="_Toc28642"/>
      <w:bookmarkStart w:id="129" w:name="_Toc22576"/>
      <w:r>
        <w:rPr>
          <w:rFonts w:hint="eastAsia" w:ascii="宋体" w:hAnsi="宋体" w:eastAsia="宋体" w:cs="宋体"/>
          <w:color w:val="auto"/>
          <w:highlight w:val="none"/>
        </w:rPr>
        <w:t>4. 投标</w:t>
      </w:r>
      <w:bookmarkEnd w:id="126"/>
      <w:bookmarkEnd w:id="127"/>
      <w:bookmarkEnd w:id="128"/>
      <w:bookmarkEnd w:id="129"/>
    </w:p>
    <w:p>
      <w:pPr>
        <w:pStyle w:val="5"/>
        <w:spacing w:beforeLines="20" w:afterLines="20" w:line="360" w:lineRule="auto"/>
        <w:rPr>
          <w:rFonts w:ascii="宋体" w:hAnsi="宋体" w:cs="宋体"/>
          <w:color w:val="auto"/>
          <w:highlight w:val="none"/>
        </w:rPr>
      </w:pPr>
      <w:bookmarkStart w:id="130" w:name="_Toc26680"/>
      <w:bookmarkStart w:id="131" w:name="_Toc1888"/>
      <w:bookmarkStart w:id="132" w:name="_Toc24104556"/>
      <w:bookmarkStart w:id="133" w:name="_Toc1201"/>
      <w:r>
        <w:rPr>
          <w:rFonts w:hint="eastAsia" w:ascii="宋体" w:hAnsi="宋体" w:cs="宋体"/>
          <w:color w:val="auto"/>
          <w:highlight w:val="none"/>
        </w:rPr>
        <w:t>4.1 投标文件的密封和标记</w:t>
      </w:r>
      <w:bookmarkEnd w:id="130"/>
      <w:bookmarkEnd w:id="131"/>
      <w:bookmarkEnd w:id="132"/>
      <w:bookmarkEnd w:id="133"/>
    </w:p>
    <w:p>
      <w:pPr>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4.1.1 （A）投标文件应密封包装，并在封套的封口处加盖投标人单位章或由投标人的法定代表人或其授权的代理人签字。</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4.1.1 （B）投标人应当按照招标文件和电子招标投标交易平台的要求加密投标文件，具体要求见投标人须知前附表。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4.1.2 投标文件</w:t>
      </w:r>
      <w:r>
        <w:rPr>
          <w:rFonts w:hint="eastAsia" w:ascii="宋体" w:hAnsi="宋体" w:cs="宋体"/>
          <w:color w:val="auto"/>
          <w:highlight w:val="none"/>
          <w:u w:val="single"/>
        </w:rPr>
        <w:t>光盘备用</w:t>
      </w:r>
      <w:r>
        <w:rPr>
          <w:rFonts w:hint="eastAsia" w:ascii="宋体" w:hAnsi="宋体" w:cs="宋体"/>
          <w:color w:val="auto"/>
          <w:highlight w:val="none"/>
        </w:rPr>
        <w:t>封套上应写明的内容见投标人须知前附表。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4.1.3 未按本章第 4.1.1 项要求密封的投标文件，招标人将予以拒收。</w:t>
      </w:r>
    </w:p>
    <w:p>
      <w:pPr>
        <w:pStyle w:val="5"/>
        <w:spacing w:beforeLines="20" w:afterLines="20" w:line="360" w:lineRule="auto"/>
        <w:rPr>
          <w:rFonts w:ascii="宋体" w:hAnsi="宋体" w:cs="宋体"/>
          <w:color w:val="auto"/>
          <w:highlight w:val="none"/>
        </w:rPr>
      </w:pPr>
      <w:bookmarkStart w:id="134" w:name="_Toc24104557"/>
      <w:bookmarkStart w:id="135" w:name="_Toc10113"/>
      <w:bookmarkStart w:id="136" w:name="_Toc31552"/>
      <w:bookmarkStart w:id="137" w:name="_Toc5641"/>
      <w:r>
        <w:rPr>
          <w:rFonts w:hint="eastAsia" w:ascii="宋体" w:hAnsi="宋体" w:cs="宋体"/>
          <w:color w:val="auto"/>
          <w:highlight w:val="none"/>
        </w:rPr>
        <w:t>4.2 投标文件的递交</w:t>
      </w:r>
      <w:bookmarkEnd w:id="134"/>
      <w:bookmarkEnd w:id="135"/>
      <w:bookmarkEnd w:id="136"/>
      <w:bookmarkEnd w:id="13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4.2.1 投标人应在投标人须知前附表规定的投标截止时间前递交投标文件。</w:t>
      </w:r>
    </w:p>
    <w:p>
      <w:pPr>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4.2.2 （A）投标人递交投标文件的地点：见投标人须知前附表。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4.2.2 （B）投标人通过下载招标文件的电子招标投标交易平台递交电子投标文件。</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pPr>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4.2.4 （A）招标人收到投标文件后，向投标人出具签收凭证。</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4.2.4 （B）投标人完成电子投标文件上传后，电子招标投标交易平台即时向投标人发出递交回执通知。递交时间以递交回执通知载明的传输完成时间为准。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宋体" w:hAnsi="宋体" w:cs="宋体"/>
          <w:color w:val="auto"/>
          <w:highlight w:val="none"/>
        </w:rPr>
      </w:pPr>
      <w:r>
        <w:rPr>
          <w:rFonts w:hint="eastAsia" w:ascii="宋体" w:hAnsi="宋体" w:cs="宋体"/>
          <w:strike/>
          <w:color w:val="auto"/>
          <w:szCs w:val="21"/>
          <w:highlight w:val="none"/>
        </w:rPr>
        <w:t>4.2.5 （A）逾期送达的投标文件，招标人将予以拒收。</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4.2.5 （B）逾期送达的投标文件，电子招标投标交易平台将予以拒收。</w:t>
      </w:r>
    </w:p>
    <w:p>
      <w:pPr>
        <w:pStyle w:val="5"/>
        <w:spacing w:beforeLines="20" w:afterLines="20" w:line="360" w:lineRule="auto"/>
        <w:rPr>
          <w:rFonts w:ascii="宋体" w:hAnsi="宋体" w:cs="宋体"/>
          <w:color w:val="auto"/>
          <w:highlight w:val="none"/>
        </w:rPr>
      </w:pPr>
      <w:bookmarkStart w:id="138" w:name="_Toc1416"/>
      <w:bookmarkStart w:id="139" w:name="_Toc24104558"/>
      <w:bookmarkStart w:id="140" w:name="_Toc19406"/>
      <w:bookmarkStart w:id="141" w:name="_Toc20873"/>
      <w:r>
        <w:rPr>
          <w:rFonts w:hint="eastAsia" w:ascii="宋体" w:hAnsi="宋体" w:cs="宋体"/>
          <w:color w:val="auto"/>
          <w:highlight w:val="none"/>
        </w:rPr>
        <w:t>4.3 投标文件的修改与撤回</w:t>
      </w:r>
      <w:bookmarkEnd w:id="138"/>
      <w:bookmarkEnd w:id="139"/>
      <w:bookmarkEnd w:id="140"/>
      <w:bookmarkEnd w:id="14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4.3.1 在本章第 4.2.1 项规定的投标截止时间前，投标人可以修改或撤回已递交的投标文件，但应以书面形式通知招标人。</w:t>
      </w:r>
    </w:p>
    <w:p>
      <w:pPr>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4.3.2 （A）投标人修改或撤回已递交投标文件的书面通知应按照本章第 3.7.3（A）项的要求签字或盖章。招标人收到书面通知后，向投标人出具签收凭证。</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4.3.2 （B）投标人修改或撤回已递交投标文件的通知，应按照本章第 3.7.3（B）项的要求加盖电子印章。电子招标投标交易平台收到通知后，及时向投标人发出确认回执通知。</w:t>
      </w:r>
    </w:p>
    <w:p>
      <w:pPr>
        <w:spacing w:line="360" w:lineRule="auto"/>
        <w:ind w:firstLine="420" w:firstLineChars="200"/>
        <w:rPr>
          <w:rFonts w:ascii="宋体" w:hAnsi="宋体" w:cs="宋体"/>
          <w:strike/>
          <w:dstrike w:val="0"/>
          <w:color w:val="auto"/>
          <w:highlight w:val="none"/>
        </w:rPr>
      </w:pPr>
      <w:r>
        <w:rPr>
          <w:rFonts w:hint="eastAsia" w:ascii="宋体" w:hAnsi="宋体" w:cs="宋体"/>
          <w:strike/>
          <w:dstrike w:val="0"/>
          <w:color w:val="auto"/>
          <w:highlight w:val="none"/>
        </w:rPr>
        <w:t>4.3.3 投标人撤回投标文件的，招标人自收到投标人书面撤回通知之日起 5 日内退还已收取的投标保证金。</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4.3.</w:t>
      </w:r>
      <w:r>
        <w:rPr>
          <w:rFonts w:hint="eastAsia" w:ascii="宋体" w:hAnsi="宋体" w:cs="宋体"/>
          <w:color w:val="auto"/>
          <w:highlight w:val="none"/>
          <w:lang w:val="en-US" w:eastAsia="zh-CN"/>
        </w:rPr>
        <w:t>4</w:t>
      </w:r>
      <w:r>
        <w:rPr>
          <w:rFonts w:hint="eastAsia" w:ascii="宋体" w:hAnsi="宋体" w:cs="宋体"/>
          <w:color w:val="auto"/>
          <w:highlight w:val="none"/>
        </w:rPr>
        <w:t xml:space="preserve"> 修改的内容为投标文件的组成部分。修改的投标文件应按照本章第 3 条、第 4 条的规定进行编制、密封、标记和递交，并标明“修改”字样。</w:t>
      </w:r>
    </w:p>
    <w:p>
      <w:pPr>
        <w:pStyle w:val="4"/>
        <w:rPr>
          <w:rFonts w:ascii="宋体" w:hAnsi="宋体" w:eastAsia="宋体" w:cs="宋体"/>
          <w:color w:val="auto"/>
          <w:highlight w:val="none"/>
        </w:rPr>
      </w:pPr>
      <w:bookmarkStart w:id="142" w:name="_Toc13828"/>
      <w:bookmarkStart w:id="143" w:name="_Toc24568"/>
      <w:bookmarkStart w:id="144" w:name="_Toc24104559"/>
      <w:bookmarkStart w:id="145" w:name="_Toc8688"/>
      <w:r>
        <w:rPr>
          <w:rFonts w:hint="eastAsia" w:ascii="宋体" w:hAnsi="宋体" w:eastAsia="宋体" w:cs="宋体"/>
          <w:color w:val="auto"/>
          <w:highlight w:val="none"/>
        </w:rPr>
        <w:t>5. 开标</w:t>
      </w:r>
      <w:bookmarkEnd w:id="142"/>
      <w:bookmarkEnd w:id="143"/>
      <w:bookmarkEnd w:id="144"/>
      <w:bookmarkEnd w:id="145"/>
    </w:p>
    <w:p>
      <w:pPr>
        <w:pStyle w:val="5"/>
        <w:spacing w:beforeLines="20" w:afterLines="20" w:line="360" w:lineRule="auto"/>
        <w:rPr>
          <w:rFonts w:ascii="宋体" w:hAnsi="宋体" w:cs="宋体"/>
          <w:strike/>
          <w:color w:val="auto"/>
          <w:highlight w:val="none"/>
        </w:rPr>
      </w:pPr>
      <w:bookmarkStart w:id="146" w:name="_Toc24104560"/>
      <w:bookmarkStart w:id="147" w:name="_Toc110522887"/>
      <w:bookmarkStart w:id="148" w:name="_Toc11018"/>
      <w:bookmarkStart w:id="149" w:name="_Toc8998"/>
      <w:bookmarkStart w:id="150" w:name="_Toc649"/>
      <w:bookmarkStart w:id="151" w:name="_Toc110594344"/>
      <w:r>
        <w:rPr>
          <w:rFonts w:hint="eastAsia" w:ascii="宋体" w:hAnsi="宋体" w:cs="宋体"/>
          <w:strike/>
          <w:color w:val="auto"/>
          <w:highlight w:val="none"/>
        </w:rPr>
        <w:t>5.1 开标时间和地点（A）</w:t>
      </w:r>
      <w:bookmarkEnd w:id="146"/>
      <w:bookmarkEnd w:id="147"/>
      <w:bookmarkEnd w:id="148"/>
      <w:bookmarkEnd w:id="149"/>
      <w:bookmarkEnd w:id="150"/>
      <w:bookmarkEnd w:id="151"/>
    </w:p>
    <w:p>
      <w:pPr>
        <w:spacing w:line="360" w:lineRule="auto"/>
        <w:ind w:firstLine="420" w:firstLineChars="200"/>
        <w:rPr>
          <w:rFonts w:ascii="宋体" w:hAnsi="宋体" w:cs="宋体"/>
          <w:strike/>
          <w:color w:val="auto"/>
          <w:highlight w:val="none"/>
        </w:rPr>
      </w:pPr>
      <w:r>
        <w:rPr>
          <w:rFonts w:hint="eastAsia" w:ascii="宋体" w:hAnsi="宋体" w:cs="宋体"/>
          <w:strike/>
          <w:color w:val="auto"/>
          <w:highlight w:val="none"/>
        </w:rPr>
        <w:t>招标人在本章第 4.2.1 项规定的投标截止时间（开标时间）和投标人须知前附表规定的地点公开开标，并邀请所有投标人的法定代表人或其委托代理人准时参加。</w:t>
      </w:r>
    </w:p>
    <w:p>
      <w:pPr>
        <w:pStyle w:val="5"/>
        <w:spacing w:beforeLines="20" w:afterLines="20" w:line="360" w:lineRule="auto"/>
        <w:rPr>
          <w:rFonts w:ascii="宋体" w:hAnsi="宋体" w:cs="宋体"/>
          <w:color w:val="auto"/>
          <w:highlight w:val="none"/>
        </w:rPr>
      </w:pPr>
      <w:bookmarkStart w:id="152" w:name="_Toc5860"/>
      <w:bookmarkStart w:id="153" w:name="_Toc5867"/>
      <w:bookmarkStart w:id="154" w:name="_Toc6972"/>
      <w:bookmarkStart w:id="155" w:name="_Toc24104561"/>
      <w:r>
        <w:rPr>
          <w:rFonts w:hint="eastAsia" w:ascii="宋体" w:hAnsi="宋体" w:cs="宋体"/>
          <w:color w:val="auto"/>
          <w:highlight w:val="none"/>
        </w:rPr>
        <w:t>5.1 开标时间和地点（B）</w:t>
      </w:r>
      <w:bookmarkEnd w:id="152"/>
      <w:bookmarkEnd w:id="153"/>
      <w:bookmarkEnd w:id="154"/>
      <w:bookmarkEnd w:id="155"/>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u w:val="single"/>
        </w:rPr>
        <w:t>开标时，投标人代表有权出席开标会，也可以自主决定不参加开标会，若投标人代表对开标过程提出异议，该投标人代表须同时出示本人身份证原件。</w:t>
      </w:r>
    </w:p>
    <w:p>
      <w:pPr>
        <w:pStyle w:val="5"/>
        <w:spacing w:beforeLines="20" w:afterLines="20" w:line="360" w:lineRule="auto"/>
        <w:rPr>
          <w:rFonts w:ascii="宋体" w:hAnsi="宋体" w:cs="宋体"/>
          <w:color w:val="auto"/>
          <w:highlight w:val="none"/>
        </w:rPr>
      </w:pPr>
      <w:bookmarkStart w:id="156" w:name="_Toc29809"/>
      <w:bookmarkStart w:id="157" w:name="_Toc24104562"/>
      <w:bookmarkStart w:id="158" w:name="_Toc3834"/>
      <w:bookmarkStart w:id="159" w:name="_Toc29893"/>
      <w:r>
        <w:rPr>
          <w:rFonts w:hint="eastAsia" w:ascii="宋体" w:hAnsi="宋体" w:cs="宋体"/>
          <w:color w:val="auto"/>
          <w:highlight w:val="none"/>
        </w:rPr>
        <w:t>5.2 开标程序</w:t>
      </w:r>
      <w:bookmarkEnd w:id="156"/>
      <w:bookmarkEnd w:id="157"/>
      <w:bookmarkEnd w:id="158"/>
      <w:bookmarkEnd w:id="15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5.2.1主持人按下列程序进行开标：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（1）宣布开标纪律；</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（2）公布在投标截止时间前递交投标文件的投标人名称；</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（3）宣布开标人、唱标人、记录人、监标人等有关人员姓名；</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（4）（B）投标人通过电子招标投标交易平台对已递交的电子投标文件进行解密，公布招标项目名称、投标人名称、</w:t>
      </w:r>
      <w:r>
        <w:rPr>
          <w:rFonts w:hint="eastAsia" w:ascii="宋体" w:hAnsi="宋体" w:cs="宋体"/>
          <w:strike/>
          <w:dstrike w:val="0"/>
          <w:color w:val="auto"/>
          <w:highlight w:val="none"/>
        </w:rPr>
        <w:t>投标保证金的递交情况</w:t>
      </w:r>
      <w:r>
        <w:rPr>
          <w:rFonts w:hint="eastAsia" w:ascii="宋体" w:hAnsi="宋体" w:cs="宋体"/>
          <w:color w:val="auto"/>
          <w:highlight w:val="none"/>
        </w:rPr>
        <w:t>、</w:t>
      </w:r>
      <w:r>
        <w:rPr>
          <w:rFonts w:hint="eastAsia" w:ascii="宋体" w:hAnsi="宋体" w:cs="宋体"/>
          <w:color w:val="auto"/>
          <w:highlight w:val="none"/>
          <w:u w:val="single"/>
        </w:rPr>
        <w:t>投标下浮率</w:t>
      </w:r>
      <w:r>
        <w:rPr>
          <w:rFonts w:hint="eastAsia" w:ascii="宋体" w:hAnsi="宋体" w:cs="宋体"/>
          <w:color w:val="auto"/>
          <w:highlight w:val="none"/>
        </w:rPr>
        <w:t>、投标</w:t>
      </w:r>
      <w:r>
        <w:rPr>
          <w:rFonts w:hint="eastAsia" w:ascii="宋体" w:hAnsi="宋体" w:cs="宋体"/>
          <w:color w:val="auto"/>
          <w:highlight w:val="none"/>
          <w:lang w:val="en-US" w:eastAsia="zh-CN"/>
        </w:rPr>
        <w:t>总</w:t>
      </w:r>
      <w:r>
        <w:rPr>
          <w:rFonts w:hint="eastAsia" w:ascii="宋体" w:hAnsi="宋体" w:cs="宋体"/>
          <w:color w:val="auto"/>
          <w:highlight w:val="none"/>
        </w:rPr>
        <w:t>报价、服务期限及其他内容，并记录在案；</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（5）（B）投标人代表、招标人代表、监标人、记录人等有关人员在开标记录上签字确认；若有关人员不签字的，不影响开标程序；</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（6）开标结束。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5.2.2</w:t>
      </w:r>
      <w:r>
        <w:rPr>
          <w:rFonts w:hint="eastAsia" w:ascii="宋体" w:hAnsi="宋体"/>
          <w:color w:val="auto"/>
          <w:szCs w:val="21"/>
          <w:highlight w:val="none"/>
          <w:u w:val="single"/>
        </w:rPr>
        <w:t>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5.2.3开标时，两个（含两个）以上的投标人加密打包投标文件电脑机器特征码一致的，不参与下一程序，并由评标委员会否决其投标。</w:t>
      </w:r>
    </w:p>
    <w:p>
      <w:pPr>
        <w:pStyle w:val="5"/>
        <w:spacing w:beforeLines="20" w:afterLines="20" w:line="360" w:lineRule="auto"/>
        <w:rPr>
          <w:rFonts w:ascii="宋体" w:hAnsi="宋体" w:cs="宋体"/>
          <w:color w:val="auto"/>
          <w:highlight w:val="none"/>
        </w:rPr>
      </w:pPr>
      <w:bookmarkStart w:id="160" w:name="_Toc7950"/>
      <w:bookmarkStart w:id="161" w:name="_Toc25082"/>
      <w:bookmarkStart w:id="162" w:name="_Toc24104563"/>
      <w:bookmarkStart w:id="163" w:name="_Toc16501"/>
      <w:r>
        <w:rPr>
          <w:rFonts w:hint="eastAsia" w:ascii="宋体" w:hAnsi="宋体" w:cs="宋体"/>
          <w:color w:val="auto"/>
          <w:highlight w:val="none"/>
        </w:rPr>
        <w:t>5.3 开标异议</w:t>
      </w:r>
      <w:bookmarkEnd w:id="160"/>
      <w:bookmarkEnd w:id="161"/>
      <w:bookmarkEnd w:id="162"/>
      <w:bookmarkEnd w:id="163"/>
    </w:p>
    <w:p>
      <w:pPr>
        <w:spacing w:line="360" w:lineRule="auto"/>
        <w:ind w:firstLine="420" w:firstLineChars="200"/>
        <w:rPr>
          <w:rFonts w:ascii="宋体" w:hAnsi="宋体"/>
          <w:color w:val="auto"/>
          <w:sz w:val="21"/>
          <w:szCs w:val="21"/>
          <w:highlight w:val="none"/>
          <w:u w:val="single"/>
        </w:rPr>
      </w:pPr>
      <w:r>
        <w:rPr>
          <w:rFonts w:ascii="宋体" w:hAnsi="宋体"/>
          <w:color w:val="auto"/>
          <w:sz w:val="21"/>
          <w:szCs w:val="21"/>
          <w:highlight w:val="none"/>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ind w:firstLine="420" w:firstLineChars="200"/>
        <w:rPr>
          <w:rFonts w:ascii="宋体" w:hAnsi="宋体"/>
          <w:color w:val="auto"/>
          <w:sz w:val="21"/>
          <w:szCs w:val="21"/>
          <w:highlight w:val="none"/>
          <w:u w:val="single"/>
        </w:rPr>
      </w:pPr>
      <w:r>
        <w:rPr>
          <w:rFonts w:ascii="宋体" w:hAnsi="宋体"/>
          <w:color w:val="auto"/>
          <w:sz w:val="21"/>
          <w:szCs w:val="21"/>
          <w:highlight w:val="none"/>
          <w:u w:val="single"/>
        </w:rPr>
        <w:t>5.3.2参加现场开标的投标人对开标结果有异议的，应当在开标现场提出，该投标人代表须同时出示本人身份证原件，招标人当场作出答复，并制作记录。</w:t>
      </w:r>
    </w:p>
    <w:p>
      <w:pPr>
        <w:spacing w:line="360" w:lineRule="auto"/>
        <w:ind w:firstLine="420" w:firstLineChars="200"/>
        <w:rPr>
          <w:rFonts w:ascii="宋体" w:hAnsi="宋体"/>
          <w:color w:val="auto"/>
          <w:sz w:val="21"/>
          <w:szCs w:val="21"/>
          <w:highlight w:val="none"/>
          <w:u w:val="single"/>
        </w:rPr>
      </w:pPr>
      <w:r>
        <w:rPr>
          <w:rFonts w:ascii="宋体" w:hAnsi="宋体"/>
          <w:color w:val="auto"/>
          <w:sz w:val="21"/>
          <w:szCs w:val="21"/>
          <w:highlight w:val="none"/>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pPr>
        <w:spacing w:line="360" w:lineRule="auto"/>
        <w:ind w:firstLine="420" w:firstLineChars="200"/>
        <w:rPr>
          <w:rFonts w:ascii="宋体" w:hAnsi="宋体"/>
          <w:color w:val="auto"/>
          <w:sz w:val="21"/>
          <w:szCs w:val="21"/>
          <w:highlight w:val="none"/>
          <w:u w:val="single"/>
        </w:rPr>
      </w:pPr>
      <w:r>
        <w:rPr>
          <w:rFonts w:ascii="宋体" w:hAnsi="宋体"/>
          <w:color w:val="auto"/>
          <w:sz w:val="21"/>
          <w:szCs w:val="21"/>
          <w:highlight w:val="none"/>
          <w:u w:val="single"/>
        </w:rPr>
        <w:t>5.3.4投标人未参加开标或在规定的时间内未提出异议的，视为对开标无异议。</w:t>
      </w:r>
    </w:p>
    <w:p>
      <w:pPr>
        <w:pStyle w:val="4"/>
        <w:rPr>
          <w:rFonts w:ascii="宋体" w:hAnsi="宋体" w:eastAsia="宋体" w:cs="宋体"/>
          <w:color w:val="auto"/>
          <w:highlight w:val="none"/>
        </w:rPr>
      </w:pPr>
      <w:bookmarkStart w:id="164" w:name="_Toc25535"/>
      <w:bookmarkStart w:id="165" w:name="_Toc24104564"/>
      <w:bookmarkStart w:id="166" w:name="_Toc1117"/>
      <w:bookmarkStart w:id="167" w:name="_Toc23578"/>
      <w:r>
        <w:rPr>
          <w:rFonts w:hint="eastAsia" w:ascii="宋体" w:hAnsi="宋体" w:eastAsia="宋体" w:cs="宋体"/>
          <w:color w:val="auto"/>
          <w:highlight w:val="none"/>
        </w:rPr>
        <w:t>6. 评标</w:t>
      </w:r>
      <w:bookmarkEnd w:id="164"/>
      <w:bookmarkEnd w:id="165"/>
      <w:bookmarkEnd w:id="166"/>
      <w:bookmarkEnd w:id="167"/>
    </w:p>
    <w:p>
      <w:pPr>
        <w:pStyle w:val="5"/>
        <w:spacing w:beforeLines="20" w:afterLines="20" w:line="360" w:lineRule="auto"/>
        <w:rPr>
          <w:rFonts w:ascii="宋体" w:hAnsi="宋体" w:cs="宋体"/>
          <w:color w:val="auto"/>
          <w:highlight w:val="none"/>
        </w:rPr>
      </w:pPr>
      <w:bookmarkStart w:id="168" w:name="_Toc6365"/>
      <w:bookmarkStart w:id="169" w:name="_Toc24104565"/>
      <w:bookmarkStart w:id="170" w:name="_Toc6908"/>
      <w:bookmarkStart w:id="171" w:name="_Toc992"/>
      <w:r>
        <w:rPr>
          <w:rFonts w:hint="eastAsia" w:ascii="宋体" w:hAnsi="宋体" w:cs="宋体"/>
          <w:color w:val="auto"/>
          <w:highlight w:val="none"/>
        </w:rPr>
        <w:t>6.1 评标委员会</w:t>
      </w:r>
      <w:bookmarkEnd w:id="168"/>
      <w:bookmarkEnd w:id="169"/>
      <w:bookmarkEnd w:id="170"/>
      <w:bookmarkEnd w:id="17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6.1.1 评标由招标人依法组建的评标委员会负责。全部由广东省综合评标评审专家库中随机抽取。评标委员会成员人数见投标人须知前附表。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6.1.2 评标委员会成员有下列情形之一的，应当回避：</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（1）投标人或投标人主要负责人的近亲属；</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（2）项目主管部门或者行政监督部门的人员；</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（3）与投标人有经济利益关系，可能影响对投标公正评审的；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（4）曾因在招标、评标以及其他与招标投标有关活动中从事违法行为而受过行政处罚 或刑事处罚的；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（5）与投标人有其他利害关系。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pacing w:beforeLines="20" w:afterLines="20" w:line="360" w:lineRule="auto"/>
        <w:rPr>
          <w:rFonts w:ascii="宋体" w:hAnsi="宋体" w:cs="宋体"/>
          <w:color w:val="auto"/>
          <w:highlight w:val="none"/>
        </w:rPr>
      </w:pPr>
      <w:bookmarkStart w:id="172" w:name="_Toc31572"/>
      <w:bookmarkStart w:id="173" w:name="_Toc24104566"/>
      <w:bookmarkStart w:id="174" w:name="_Toc13877"/>
      <w:bookmarkStart w:id="175" w:name="_Toc12780"/>
      <w:r>
        <w:rPr>
          <w:rFonts w:hint="eastAsia" w:ascii="宋体" w:hAnsi="宋体" w:cs="宋体"/>
          <w:color w:val="auto"/>
          <w:highlight w:val="none"/>
        </w:rPr>
        <w:t>6.2 评标原则</w:t>
      </w:r>
      <w:bookmarkEnd w:id="172"/>
      <w:bookmarkEnd w:id="173"/>
      <w:bookmarkEnd w:id="174"/>
      <w:bookmarkEnd w:id="17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pPr>
        <w:pStyle w:val="5"/>
        <w:spacing w:beforeLines="20" w:afterLines="20" w:line="360" w:lineRule="auto"/>
        <w:rPr>
          <w:rFonts w:ascii="宋体" w:hAnsi="宋体" w:cs="宋体"/>
          <w:color w:val="auto"/>
          <w:highlight w:val="none"/>
        </w:rPr>
      </w:pPr>
      <w:bookmarkStart w:id="176" w:name="_Toc28446"/>
      <w:bookmarkStart w:id="177" w:name="_Toc24104567"/>
      <w:bookmarkStart w:id="178" w:name="_Toc14124"/>
      <w:bookmarkStart w:id="179" w:name="_Toc31545"/>
      <w:r>
        <w:rPr>
          <w:rFonts w:hint="eastAsia" w:ascii="宋体" w:hAnsi="宋体" w:cs="宋体"/>
          <w:color w:val="auto"/>
          <w:highlight w:val="none"/>
        </w:rPr>
        <w:t>6.3 评标</w:t>
      </w:r>
      <w:bookmarkEnd w:id="176"/>
      <w:bookmarkEnd w:id="177"/>
      <w:bookmarkEnd w:id="178"/>
      <w:bookmarkEnd w:id="17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6.3.1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6.3.2 评标完成后，评标委员会应当向招标人提交书面评标报告和中标候选人名单。评标委员会推荐中标候选人的人数见投标人须知前附表。</w:t>
      </w:r>
    </w:p>
    <w:p>
      <w:pPr>
        <w:pStyle w:val="4"/>
        <w:rPr>
          <w:rFonts w:ascii="宋体" w:hAnsi="宋体" w:eastAsia="宋体" w:cs="宋体"/>
          <w:color w:val="auto"/>
          <w:highlight w:val="none"/>
        </w:rPr>
      </w:pPr>
      <w:bookmarkStart w:id="180" w:name="_Toc11801"/>
      <w:bookmarkStart w:id="181" w:name="_Toc24104568"/>
      <w:bookmarkStart w:id="182" w:name="_Toc2354"/>
      <w:bookmarkStart w:id="183" w:name="_Toc12321"/>
      <w:r>
        <w:rPr>
          <w:rFonts w:hint="eastAsia" w:ascii="宋体" w:hAnsi="宋体" w:eastAsia="宋体" w:cs="宋体"/>
          <w:color w:val="auto"/>
          <w:highlight w:val="none"/>
        </w:rPr>
        <w:t>7. 合同授予</w:t>
      </w:r>
      <w:bookmarkEnd w:id="180"/>
      <w:bookmarkEnd w:id="181"/>
      <w:bookmarkEnd w:id="182"/>
      <w:bookmarkEnd w:id="183"/>
    </w:p>
    <w:p>
      <w:pPr>
        <w:pStyle w:val="5"/>
        <w:spacing w:beforeLines="20" w:afterLines="20" w:line="360" w:lineRule="auto"/>
        <w:rPr>
          <w:rFonts w:ascii="宋体" w:hAnsi="宋体" w:cs="宋体"/>
          <w:color w:val="auto"/>
          <w:highlight w:val="none"/>
        </w:rPr>
      </w:pPr>
      <w:bookmarkStart w:id="184" w:name="_Toc24104569"/>
      <w:bookmarkStart w:id="185" w:name="_Toc13392"/>
      <w:bookmarkStart w:id="186" w:name="_Toc32254"/>
      <w:bookmarkStart w:id="187" w:name="_Toc22456"/>
      <w:r>
        <w:rPr>
          <w:rFonts w:hint="eastAsia" w:ascii="宋体" w:hAnsi="宋体" w:cs="宋体"/>
          <w:color w:val="auto"/>
          <w:highlight w:val="none"/>
        </w:rPr>
        <w:t>7.1 中标候选人公示</w:t>
      </w:r>
      <w:bookmarkEnd w:id="184"/>
      <w:bookmarkEnd w:id="185"/>
      <w:bookmarkEnd w:id="186"/>
      <w:bookmarkEnd w:id="187"/>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7.1.1招标人在收到评标报告之日起3日内，按照投标人须知前附表规定的公示媒介和期限公示中标候选人，公示期不得少于 3 天，公示期限最后一天为工作日。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7.1.2在产生中标候选人后，招标人将中标候选人的投标文件商务部分文件的所有内容（包括人员、业绩、奖项等资料）在广州公共资源交易中心网和广东省招标投标监管网公开。</w:t>
      </w:r>
    </w:p>
    <w:p>
      <w:pPr>
        <w:pStyle w:val="5"/>
        <w:spacing w:beforeLines="20" w:afterLines="20" w:line="360" w:lineRule="auto"/>
        <w:rPr>
          <w:rFonts w:ascii="宋体" w:hAnsi="宋体" w:cs="宋体"/>
          <w:color w:val="auto"/>
          <w:highlight w:val="none"/>
        </w:rPr>
      </w:pPr>
      <w:bookmarkStart w:id="188" w:name="_Toc31769"/>
      <w:bookmarkStart w:id="189" w:name="_Toc24104570"/>
      <w:bookmarkStart w:id="190" w:name="_Toc28273"/>
      <w:bookmarkStart w:id="191" w:name="_Toc15613"/>
      <w:r>
        <w:rPr>
          <w:rFonts w:hint="eastAsia" w:ascii="宋体" w:hAnsi="宋体" w:cs="宋体"/>
          <w:color w:val="auto"/>
          <w:highlight w:val="none"/>
        </w:rPr>
        <w:t>7.2</w:t>
      </w:r>
      <w:r>
        <w:rPr>
          <w:rFonts w:hint="eastAsia" w:ascii="宋体" w:hAnsi="宋体" w:cs="宋体"/>
          <w:color w:val="auto"/>
          <w:highlight w:val="none"/>
          <w:lang w:val="en-US" w:eastAsia="zh-CN"/>
        </w:rPr>
        <w:t xml:space="preserve"> 中标</w:t>
      </w:r>
      <w:r>
        <w:rPr>
          <w:rFonts w:hint="eastAsia" w:ascii="宋体" w:hAnsi="宋体" w:cs="宋体"/>
          <w:color w:val="auto"/>
          <w:highlight w:val="none"/>
        </w:rPr>
        <w:t>结果异议</w:t>
      </w:r>
      <w:bookmarkEnd w:id="188"/>
      <w:bookmarkEnd w:id="189"/>
      <w:bookmarkEnd w:id="190"/>
      <w:bookmarkEnd w:id="19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投标人或者其他利害关系人对评标结果有异议的，应当在中标候选人公示期间提出，可以通过线下或线上的形式提出异议。</w:t>
      </w:r>
      <w:r>
        <w:rPr>
          <w:rFonts w:hint="eastAsia" w:ascii="宋体" w:hAnsi="宋体" w:cs="宋体"/>
          <w:color w:val="auto"/>
          <w:highlight w:val="none"/>
          <w:u w:val="single"/>
        </w:rPr>
        <w:t>线上提出异议的，应通过交易平台进行提交</w:t>
      </w:r>
      <w:r>
        <w:rPr>
          <w:rFonts w:hint="eastAsia" w:ascii="宋体" w:hAnsi="宋体" w:cs="宋体"/>
          <w:color w:val="auto"/>
          <w:highlight w:val="none"/>
        </w:rPr>
        <w:t>，招标人授权招标代理机构工作人员使用招标代理机构数字证书登录交易平台答复异议，异议答复是招标人真实意思表示。具体按照交易平台相关指南进行操作。招标人将在收到异议之日起3日内作出答复；作出答复前，将暂停招标投标活动。</w:t>
      </w:r>
    </w:p>
    <w:p>
      <w:pPr>
        <w:pStyle w:val="5"/>
        <w:spacing w:beforeLines="20" w:afterLines="20" w:line="360" w:lineRule="auto"/>
        <w:rPr>
          <w:rFonts w:ascii="宋体" w:hAnsi="宋体" w:cs="宋体"/>
          <w:color w:val="auto"/>
          <w:highlight w:val="none"/>
        </w:rPr>
      </w:pPr>
      <w:bookmarkStart w:id="192" w:name="_Toc10611"/>
      <w:bookmarkStart w:id="193" w:name="_Toc27755"/>
      <w:bookmarkStart w:id="194" w:name="_Toc16959"/>
      <w:bookmarkStart w:id="195" w:name="_Toc24104571"/>
      <w:r>
        <w:rPr>
          <w:rFonts w:hint="eastAsia" w:ascii="宋体" w:hAnsi="宋体" w:cs="宋体"/>
          <w:color w:val="auto"/>
          <w:highlight w:val="none"/>
        </w:rPr>
        <w:t>7.3 中标候选人履约能力审查</w:t>
      </w:r>
      <w:bookmarkEnd w:id="192"/>
      <w:bookmarkEnd w:id="193"/>
      <w:bookmarkEnd w:id="194"/>
      <w:bookmarkEnd w:id="19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中标候选人的经营、财务状况发生较大变化或存在违法行为，招标人认为可能影响其履约 能力的，将在发出中标通知书前提请原评标委员会按照招标文件规定的标准和方法进行审查确认。</w:t>
      </w:r>
    </w:p>
    <w:p>
      <w:pPr>
        <w:pStyle w:val="5"/>
        <w:spacing w:beforeLines="20" w:afterLines="20" w:line="360" w:lineRule="auto"/>
        <w:rPr>
          <w:rFonts w:ascii="宋体" w:hAnsi="宋体" w:cs="宋体"/>
          <w:color w:val="auto"/>
          <w:highlight w:val="none"/>
        </w:rPr>
      </w:pPr>
      <w:bookmarkStart w:id="196" w:name="_Toc25172"/>
      <w:bookmarkStart w:id="197" w:name="_Toc32647"/>
      <w:bookmarkStart w:id="198" w:name="_Toc24104572"/>
      <w:bookmarkStart w:id="199" w:name="_Toc15883"/>
      <w:r>
        <w:rPr>
          <w:rFonts w:hint="eastAsia" w:ascii="宋体" w:hAnsi="宋体" w:cs="宋体"/>
          <w:color w:val="auto"/>
          <w:highlight w:val="none"/>
        </w:rPr>
        <w:t>7.4 定标</w:t>
      </w:r>
      <w:bookmarkEnd w:id="196"/>
      <w:bookmarkEnd w:id="197"/>
      <w:bookmarkEnd w:id="198"/>
      <w:bookmarkEnd w:id="19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按照投标人须知前附表的规定，招标人或招标人授权的评标委员会依法确定中标人。</w:t>
      </w:r>
    </w:p>
    <w:p>
      <w:pPr>
        <w:pStyle w:val="5"/>
        <w:spacing w:beforeLines="20" w:afterLines="20" w:line="360" w:lineRule="auto"/>
        <w:rPr>
          <w:rFonts w:ascii="宋体" w:hAnsi="宋体" w:cs="宋体"/>
          <w:color w:val="auto"/>
          <w:highlight w:val="none"/>
        </w:rPr>
      </w:pPr>
      <w:bookmarkStart w:id="200" w:name="_Toc20172"/>
      <w:bookmarkStart w:id="201" w:name="_Toc24104573"/>
      <w:bookmarkStart w:id="202" w:name="_Toc25769"/>
      <w:bookmarkStart w:id="203" w:name="_Toc27140"/>
      <w:r>
        <w:rPr>
          <w:rFonts w:hint="eastAsia" w:ascii="宋体" w:hAnsi="宋体" w:cs="宋体"/>
          <w:color w:val="auto"/>
          <w:highlight w:val="none"/>
        </w:rPr>
        <w:t>7.5 中标通知</w:t>
      </w:r>
      <w:bookmarkEnd w:id="200"/>
      <w:bookmarkEnd w:id="201"/>
      <w:bookmarkEnd w:id="202"/>
      <w:bookmarkEnd w:id="20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在本章第 3.3 款规定的投标有效期内，招标人以书面形式向中标人发出中标通知书，同时将中标结果通知未中标的投标人。</w:t>
      </w:r>
    </w:p>
    <w:p>
      <w:pPr>
        <w:pStyle w:val="5"/>
        <w:spacing w:beforeLines="20" w:afterLines="20" w:line="360" w:lineRule="auto"/>
        <w:rPr>
          <w:rFonts w:ascii="宋体" w:hAnsi="宋体" w:cs="宋体"/>
          <w:color w:val="auto"/>
          <w:highlight w:val="none"/>
        </w:rPr>
      </w:pPr>
      <w:bookmarkStart w:id="204" w:name="_Toc14797"/>
      <w:bookmarkStart w:id="205" w:name="_Toc1458"/>
      <w:bookmarkStart w:id="206" w:name="_Toc24104574"/>
      <w:bookmarkStart w:id="207" w:name="_Toc453"/>
      <w:r>
        <w:rPr>
          <w:rFonts w:hint="eastAsia" w:ascii="宋体" w:hAnsi="宋体" w:cs="宋体"/>
          <w:color w:val="auto"/>
          <w:highlight w:val="none"/>
        </w:rPr>
        <w:t>7.6 履约保证金</w:t>
      </w:r>
      <w:bookmarkEnd w:id="204"/>
      <w:bookmarkEnd w:id="205"/>
      <w:bookmarkEnd w:id="206"/>
      <w:bookmarkEnd w:id="20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ascii="宋体" w:hAnsi="宋体" w:cs="宋体"/>
          <w:color w:val="auto"/>
          <w:highlight w:val="none"/>
          <w:lang w:eastAsia="zh-CN"/>
        </w:rPr>
        <w:t>牵头人</w:t>
      </w:r>
      <w:r>
        <w:rPr>
          <w:rFonts w:hint="eastAsia" w:ascii="宋体" w:hAnsi="宋体" w:cs="宋体"/>
          <w:color w:val="auto"/>
          <w:highlight w:val="none"/>
        </w:rPr>
        <w:t>的名义提交。</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7.6.2 中标人不能按本章第 7.6.1 项要求提交履约保证金的，视为放弃中标，其</w:t>
      </w:r>
      <w:r>
        <w:rPr>
          <w:rFonts w:hint="eastAsia" w:ascii="宋体" w:hAnsi="宋体" w:cs="宋体"/>
          <w:strike/>
          <w:dstrike w:val="0"/>
          <w:color w:val="auto"/>
          <w:highlight w:val="none"/>
        </w:rPr>
        <w:t>投标保证金</w:t>
      </w:r>
      <w:r>
        <w:rPr>
          <w:rFonts w:hint="eastAsia" w:ascii="宋体" w:hAnsi="宋体" w:cs="宋体"/>
          <w:color w:val="auto"/>
          <w:highlight w:val="none"/>
        </w:rPr>
        <w:t>不予退还，给招标人造成的损失超过</w:t>
      </w:r>
      <w:r>
        <w:rPr>
          <w:rFonts w:hint="eastAsia" w:ascii="宋体" w:hAnsi="宋体" w:cs="宋体"/>
          <w:strike/>
          <w:dstrike w:val="0"/>
          <w:color w:val="auto"/>
          <w:highlight w:val="none"/>
        </w:rPr>
        <w:t>投标保证金</w:t>
      </w:r>
      <w:r>
        <w:rPr>
          <w:rFonts w:hint="eastAsia" w:ascii="宋体" w:hAnsi="宋体" w:cs="宋体"/>
          <w:color w:val="auto"/>
          <w:highlight w:val="none"/>
        </w:rPr>
        <w:t>数额的，中标人还应当对超过部分予以赔偿。</w:t>
      </w:r>
    </w:p>
    <w:p>
      <w:pPr>
        <w:pStyle w:val="5"/>
        <w:spacing w:beforeLines="20" w:afterLines="20" w:line="360" w:lineRule="auto"/>
        <w:rPr>
          <w:rFonts w:ascii="宋体" w:hAnsi="宋体" w:cs="宋体"/>
          <w:color w:val="auto"/>
          <w:highlight w:val="none"/>
        </w:rPr>
      </w:pPr>
      <w:bookmarkStart w:id="208" w:name="_Toc24104575"/>
      <w:bookmarkStart w:id="209" w:name="_Toc7345"/>
      <w:bookmarkStart w:id="210" w:name="_Toc1220"/>
      <w:bookmarkStart w:id="211" w:name="_Toc19699"/>
      <w:r>
        <w:rPr>
          <w:rFonts w:hint="eastAsia" w:ascii="宋体" w:hAnsi="宋体" w:cs="宋体"/>
          <w:color w:val="auto"/>
          <w:highlight w:val="none"/>
        </w:rPr>
        <w:t>7.7 签订合同</w:t>
      </w:r>
      <w:bookmarkEnd w:id="208"/>
      <w:bookmarkEnd w:id="209"/>
      <w:bookmarkEnd w:id="210"/>
      <w:bookmarkEnd w:id="211"/>
    </w:p>
    <w:p>
      <w:pPr>
        <w:spacing w:line="360" w:lineRule="auto"/>
        <w:ind w:firstLine="420" w:firstLineChars="200"/>
        <w:rPr>
          <w:rFonts w:ascii="宋体" w:hAnsi="宋体" w:cs="宋体"/>
          <w:strike w:val="0"/>
          <w:dstrike w:val="0"/>
          <w:color w:val="auto"/>
          <w:highlight w:val="none"/>
        </w:rPr>
      </w:pPr>
      <w:r>
        <w:rPr>
          <w:rFonts w:hint="eastAsia" w:ascii="宋体" w:hAnsi="宋体" w:cs="宋体"/>
          <w:color w:val="auto"/>
          <w:highlight w:val="none"/>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w:t>
      </w:r>
      <w:r>
        <w:rPr>
          <w:rFonts w:hint="eastAsia" w:ascii="宋体" w:hAnsi="宋体" w:cs="宋体"/>
          <w:strike/>
          <w:dstrike w:val="0"/>
          <w:color w:val="auto"/>
          <w:highlight w:val="none"/>
        </w:rPr>
        <w:t>投标保证金</w:t>
      </w:r>
      <w:r>
        <w:rPr>
          <w:rFonts w:hint="eastAsia" w:ascii="宋体" w:hAnsi="宋体" w:cs="宋体"/>
          <w:color w:val="auto"/>
          <w:highlight w:val="none"/>
        </w:rPr>
        <w:t>不予退还；给招标人造成的损失超过</w:t>
      </w:r>
      <w:r>
        <w:rPr>
          <w:rFonts w:hint="eastAsia" w:ascii="宋体" w:hAnsi="宋体" w:cs="宋体"/>
          <w:strike/>
          <w:dstrike w:val="0"/>
          <w:color w:val="auto"/>
          <w:highlight w:val="none"/>
        </w:rPr>
        <w:t>投标保证金数额的</w:t>
      </w:r>
      <w:r>
        <w:rPr>
          <w:rFonts w:hint="eastAsia" w:ascii="宋体" w:hAnsi="宋体" w:cs="宋体"/>
          <w:color w:val="auto"/>
          <w:highlight w:val="none"/>
        </w:rPr>
        <w:t>，中标人还应当</w:t>
      </w:r>
      <w:r>
        <w:rPr>
          <w:rFonts w:hint="eastAsia" w:ascii="宋体" w:hAnsi="宋体" w:cs="宋体"/>
          <w:strike/>
          <w:dstrike w:val="0"/>
          <w:color w:val="auto"/>
          <w:highlight w:val="none"/>
        </w:rPr>
        <w:t>对超过部分</w:t>
      </w:r>
      <w:r>
        <w:rPr>
          <w:rFonts w:hint="eastAsia" w:ascii="宋体" w:hAnsi="宋体" w:cs="宋体"/>
          <w:strike w:val="0"/>
          <w:dstrike w:val="0"/>
          <w:color w:val="auto"/>
          <w:highlight w:val="none"/>
        </w:rPr>
        <w:t>予以赔偿。</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7.7.2 发出中标通知书后，招标人无正当理由拒签合同，或者在签订合同时向中标人提出附加条件的，</w:t>
      </w:r>
      <w:r>
        <w:rPr>
          <w:rFonts w:hint="eastAsia" w:ascii="宋体" w:hAnsi="宋体" w:cs="宋体"/>
          <w:strike/>
          <w:dstrike w:val="0"/>
          <w:color w:val="auto"/>
          <w:highlight w:val="none"/>
        </w:rPr>
        <w:t>招标人向中标人退还投标保证金</w:t>
      </w:r>
      <w:r>
        <w:rPr>
          <w:rFonts w:hint="eastAsia" w:ascii="宋体" w:hAnsi="宋体" w:cs="宋体"/>
          <w:color w:val="auto"/>
          <w:highlight w:val="none"/>
        </w:rPr>
        <w:t>；给中标人造成损失的，还应当赔偿损失。</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7.7.3 联合体中标的，联合体各方应当共同与招标人签订合同，就中标项目向招标人承担连带责任。</w:t>
      </w:r>
    </w:p>
    <w:p>
      <w:pPr>
        <w:pStyle w:val="4"/>
        <w:rPr>
          <w:rFonts w:ascii="宋体" w:hAnsi="宋体" w:eastAsia="宋体" w:cs="宋体"/>
          <w:color w:val="auto"/>
          <w:highlight w:val="none"/>
        </w:rPr>
      </w:pPr>
      <w:bookmarkStart w:id="212" w:name="_Toc17878"/>
      <w:bookmarkStart w:id="213" w:name="_Toc24104576"/>
      <w:bookmarkStart w:id="214" w:name="_Toc4656"/>
      <w:bookmarkStart w:id="215" w:name="_Toc15167"/>
      <w:r>
        <w:rPr>
          <w:rFonts w:hint="eastAsia" w:ascii="宋体" w:hAnsi="宋体" w:eastAsia="宋体" w:cs="宋体"/>
          <w:color w:val="auto"/>
          <w:highlight w:val="none"/>
        </w:rPr>
        <w:t>8. 纪律和监督</w:t>
      </w:r>
      <w:bookmarkEnd w:id="212"/>
      <w:bookmarkEnd w:id="213"/>
      <w:bookmarkEnd w:id="214"/>
      <w:bookmarkEnd w:id="215"/>
    </w:p>
    <w:p>
      <w:pPr>
        <w:pStyle w:val="5"/>
        <w:spacing w:beforeLines="20" w:afterLines="20" w:line="360" w:lineRule="auto"/>
        <w:rPr>
          <w:rFonts w:ascii="宋体" w:hAnsi="宋体" w:cs="宋体"/>
          <w:color w:val="auto"/>
          <w:highlight w:val="none"/>
        </w:rPr>
      </w:pPr>
      <w:bookmarkStart w:id="216" w:name="_Toc6869"/>
      <w:bookmarkStart w:id="217" w:name="_Toc10293"/>
      <w:bookmarkStart w:id="218" w:name="_Toc15199"/>
      <w:bookmarkStart w:id="219" w:name="_Toc24104577"/>
      <w:r>
        <w:rPr>
          <w:rFonts w:hint="eastAsia" w:ascii="宋体" w:hAnsi="宋体" w:cs="宋体"/>
          <w:color w:val="auto"/>
          <w:highlight w:val="none"/>
        </w:rPr>
        <w:t>8.1 对招标人的纪律要求</w:t>
      </w:r>
      <w:bookmarkEnd w:id="216"/>
      <w:bookmarkEnd w:id="217"/>
      <w:bookmarkEnd w:id="218"/>
      <w:bookmarkEnd w:id="21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招标人不得泄露招标投标活动中应当保密的情况和资料，不得与投标人串通损害国家利益、社会公共利益或者他人合法权益。</w:t>
      </w:r>
    </w:p>
    <w:p>
      <w:pPr>
        <w:pStyle w:val="5"/>
        <w:spacing w:beforeLines="20" w:afterLines="20" w:line="360" w:lineRule="auto"/>
        <w:rPr>
          <w:rFonts w:ascii="宋体" w:hAnsi="宋体" w:cs="宋体"/>
          <w:color w:val="auto"/>
          <w:highlight w:val="none"/>
        </w:rPr>
      </w:pPr>
      <w:bookmarkStart w:id="220" w:name="_Toc24104578"/>
      <w:bookmarkStart w:id="221" w:name="_Toc20662"/>
      <w:bookmarkStart w:id="222" w:name="_Toc11211"/>
      <w:bookmarkStart w:id="223" w:name="_Toc22421"/>
      <w:r>
        <w:rPr>
          <w:rFonts w:hint="eastAsia" w:ascii="宋体" w:hAnsi="宋体" w:cs="宋体"/>
          <w:color w:val="auto"/>
          <w:highlight w:val="none"/>
        </w:rPr>
        <w:t>8.2 对投标人的纪律要求</w:t>
      </w:r>
      <w:bookmarkEnd w:id="220"/>
      <w:bookmarkEnd w:id="221"/>
      <w:bookmarkEnd w:id="222"/>
      <w:bookmarkEnd w:id="22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beforeLines="20" w:afterLines="20" w:line="360" w:lineRule="auto"/>
        <w:rPr>
          <w:rFonts w:ascii="宋体" w:hAnsi="宋体" w:cs="宋体"/>
          <w:color w:val="auto"/>
          <w:highlight w:val="none"/>
        </w:rPr>
      </w:pPr>
      <w:bookmarkStart w:id="224" w:name="_Toc15265"/>
      <w:bookmarkStart w:id="225" w:name="_Toc15871"/>
      <w:bookmarkStart w:id="226" w:name="_Toc24104579"/>
      <w:bookmarkStart w:id="227" w:name="_Toc26420"/>
      <w:r>
        <w:rPr>
          <w:rFonts w:hint="eastAsia" w:ascii="宋体" w:hAnsi="宋体" w:cs="宋体"/>
          <w:color w:val="auto"/>
          <w:highlight w:val="none"/>
        </w:rPr>
        <w:t>8.3 对评标委员会成员的纪律要求</w:t>
      </w:r>
      <w:bookmarkEnd w:id="224"/>
      <w:bookmarkEnd w:id="225"/>
      <w:bookmarkEnd w:id="226"/>
      <w:bookmarkEnd w:id="22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pacing w:beforeLines="20" w:afterLines="20" w:line="360" w:lineRule="auto"/>
        <w:rPr>
          <w:rFonts w:ascii="宋体" w:hAnsi="宋体" w:cs="宋体"/>
          <w:color w:val="auto"/>
          <w:highlight w:val="none"/>
        </w:rPr>
      </w:pPr>
      <w:bookmarkStart w:id="228" w:name="_Toc11328"/>
      <w:bookmarkStart w:id="229" w:name="_Toc32493"/>
      <w:bookmarkStart w:id="230" w:name="_Toc24104580"/>
      <w:bookmarkStart w:id="231" w:name="_Toc17580"/>
      <w:r>
        <w:rPr>
          <w:rFonts w:hint="eastAsia" w:ascii="宋体" w:hAnsi="宋体" w:cs="宋体"/>
          <w:color w:val="auto"/>
          <w:highlight w:val="none"/>
        </w:rPr>
        <w:t>8.4 对与评标活动有关的工作人员的纪律要求</w:t>
      </w:r>
      <w:bookmarkEnd w:id="228"/>
      <w:bookmarkEnd w:id="229"/>
      <w:bookmarkEnd w:id="230"/>
      <w:bookmarkEnd w:id="23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pacing w:beforeLines="20" w:afterLines="20" w:line="360" w:lineRule="auto"/>
        <w:rPr>
          <w:rFonts w:ascii="宋体" w:hAnsi="宋体" w:cs="宋体"/>
          <w:color w:val="auto"/>
          <w:highlight w:val="none"/>
        </w:rPr>
      </w:pPr>
      <w:bookmarkStart w:id="232" w:name="_Toc28591"/>
      <w:bookmarkStart w:id="233" w:name="_Toc17319"/>
      <w:bookmarkStart w:id="234" w:name="_Toc24104581"/>
      <w:bookmarkStart w:id="235" w:name="_Toc5789"/>
      <w:r>
        <w:rPr>
          <w:rFonts w:hint="eastAsia" w:ascii="宋体" w:hAnsi="宋体" w:cs="宋体"/>
          <w:color w:val="auto"/>
          <w:highlight w:val="none"/>
        </w:rPr>
        <w:t>8.5 投诉</w:t>
      </w:r>
      <w:bookmarkEnd w:id="232"/>
      <w:bookmarkEnd w:id="233"/>
      <w:bookmarkEnd w:id="234"/>
      <w:bookmarkEnd w:id="23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4"/>
        <w:rPr>
          <w:rFonts w:ascii="宋体" w:hAnsi="宋体" w:eastAsia="宋体" w:cs="宋体"/>
          <w:color w:val="auto"/>
          <w:highlight w:val="none"/>
        </w:rPr>
      </w:pPr>
      <w:bookmarkStart w:id="236" w:name="_Toc14888"/>
      <w:bookmarkStart w:id="237" w:name="_Toc16376"/>
      <w:bookmarkStart w:id="238" w:name="_Toc17520"/>
      <w:bookmarkStart w:id="239" w:name="_Toc24104582"/>
      <w:r>
        <w:rPr>
          <w:rFonts w:hint="eastAsia" w:ascii="宋体" w:hAnsi="宋体" w:eastAsia="宋体" w:cs="宋体"/>
          <w:color w:val="auto"/>
          <w:highlight w:val="none"/>
        </w:rPr>
        <w:t>9. 是否采用电子招标投标</w:t>
      </w:r>
      <w:bookmarkEnd w:id="236"/>
      <w:bookmarkEnd w:id="237"/>
      <w:bookmarkEnd w:id="238"/>
      <w:bookmarkEnd w:id="23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本招标项目是否采用电子招标投标方式，见投标人须知前附表。</w:t>
      </w:r>
    </w:p>
    <w:p>
      <w:pPr>
        <w:pStyle w:val="4"/>
        <w:rPr>
          <w:rFonts w:ascii="宋体" w:hAnsi="宋体" w:eastAsia="宋体" w:cs="宋体"/>
          <w:color w:val="auto"/>
          <w:highlight w:val="none"/>
        </w:rPr>
      </w:pPr>
      <w:bookmarkStart w:id="240" w:name="_Toc24826"/>
      <w:bookmarkStart w:id="241" w:name="_Toc14878"/>
      <w:bookmarkStart w:id="242" w:name="_Toc3121"/>
      <w:bookmarkStart w:id="243" w:name="_Toc24104583"/>
      <w:r>
        <w:rPr>
          <w:rFonts w:hint="eastAsia" w:ascii="宋体" w:hAnsi="宋体" w:eastAsia="宋体" w:cs="宋体"/>
          <w:color w:val="auto"/>
          <w:highlight w:val="none"/>
        </w:rPr>
        <w:t>10. 需要补充的其他内容</w:t>
      </w:r>
      <w:bookmarkEnd w:id="240"/>
      <w:bookmarkEnd w:id="241"/>
      <w:bookmarkEnd w:id="242"/>
      <w:bookmarkEnd w:id="24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需要补充的其他内容：见投标人须知前附表。</w:t>
      </w:r>
    </w:p>
    <w:p>
      <w:pPr>
        <w:pStyle w:val="4"/>
        <w:rPr>
          <w:rFonts w:ascii="宋体" w:hAnsi="宋体" w:eastAsia="宋体" w:cs="宋体"/>
          <w:color w:val="auto"/>
          <w:highlight w:val="none"/>
        </w:rPr>
      </w:pPr>
      <w:r>
        <w:rPr>
          <w:rFonts w:hint="eastAsia" w:ascii="宋体" w:hAnsi="宋体" w:eastAsia="宋体" w:cs="宋体"/>
          <w:color w:val="auto"/>
          <w:highlight w:val="none"/>
        </w:rPr>
        <w:br w:type="page"/>
      </w:r>
      <w:bookmarkStart w:id="244" w:name="_Toc24104584"/>
      <w:bookmarkStart w:id="245" w:name="_Toc5738"/>
      <w:bookmarkStart w:id="246" w:name="_Toc7111"/>
      <w:bookmarkStart w:id="247" w:name="_Toc14677"/>
      <w:r>
        <w:rPr>
          <w:rFonts w:hint="eastAsia" w:ascii="宋体" w:hAnsi="宋体" w:eastAsia="宋体" w:cs="宋体"/>
          <w:color w:val="auto"/>
          <w:highlight w:val="none"/>
        </w:rPr>
        <w:t>附件一：开标记录表</w:t>
      </w:r>
      <w:bookmarkEnd w:id="244"/>
      <w:bookmarkEnd w:id="245"/>
      <w:bookmarkEnd w:id="246"/>
      <w:r>
        <w:rPr>
          <w:rFonts w:hint="eastAsia" w:ascii="宋体" w:hAnsi="宋体" w:eastAsia="宋体" w:cs="宋体"/>
          <w:color w:val="auto"/>
          <w:highlight w:val="none"/>
        </w:rPr>
        <w:t>(具体格式以电子招标投标交易平台导出格式为准）</w:t>
      </w:r>
      <w:bookmarkEnd w:id="247"/>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开标记录表</w:t>
      </w:r>
    </w:p>
    <w:p>
      <w:pPr>
        <w:spacing w:line="360" w:lineRule="auto"/>
        <w:jc w:val="right"/>
        <w:rPr>
          <w:rFonts w:ascii="宋体" w:hAnsi="宋体" w:cs="宋体"/>
          <w:color w:val="auto"/>
          <w:highlight w:val="none"/>
        </w:rPr>
      </w:pPr>
      <w:r>
        <w:rPr>
          <w:rFonts w:hint="eastAsia" w:ascii="宋体" w:hAnsi="宋体" w:cs="宋体"/>
          <w:color w:val="auto"/>
          <w:highlight w:val="none"/>
        </w:rPr>
        <w:t>开标时间：年月日时分</w:t>
      </w:r>
    </w:p>
    <w:tbl>
      <w:tblPr>
        <w:tblStyle w:val="31"/>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01"/>
        <w:gridCol w:w="923"/>
        <w:gridCol w:w="941"/>
        <w:gridCol w:w="800"/>
        <w:gridCol w:w="967"/>
        <w:gridCol w:w="917"/>
        <w:gridCol w:w="1050"/>
        <w:gridCol w:w="1100"/>
        <w:gridCol w:w="86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801"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投标人</w:t>
            </w:r>
          </w:p>
        </w:tc>
        <w:tc>
          <w:tcPr>
            <w:tcW w:w="923" w:type="dxa"/>
            <w:vAlign w:val="center"/>
          </w:tcPr>
          <w:p>
            <w:pPr>
              <w:spacing w:line="360" w:lineRule="auto"/>
              <w:jc w:val="center"/>
              <w:rPr>
                <w:rFonts w:ascii="宋体" w:hAnsi="宋体" w:cs="宋体"/>
                <w:color w:val="auto"/>
                <w:highlight w:val="none"/>
              </w:rPr>
            </w:pPr>
            <w:r>
              <w:rPr>
                <w:rFonts w:hint="eastAsia" w:ascii="宋体" w:hAnsi="宋体" w:cs="宋体"/>
                <w:strike/>
                <w:dstrike w:val="0"/>
                <w:color w:val="auto"/>
                <w:highlight w:val="none"/>
              </w:rPr>
              <w:t>投标保证金</w:t>
            </w:r>
          </w:p>
        </w:tc>
        <w:tc>
          <w:tcPr>
            <w:tcW w:w="941"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rPr>
              <w:t>投标下浮率</w:t>
            </w:r>
            <w:r>
              <w:rPr>
                <w:rFonts w:hint="eastAsia" w:ascii="宋体" w:hAnsi="宋体" w:cs="宋体"/>
                <w:color w:val="auto"/>
                <w:highlight w:val="none"/>
                <w:lang w:eastAsia="zh-CN"/>
              </w:rPr>
              <w:t>（</w:t>
            </w:r>
            <w:r>
              <w:rPr>
                <w:rFonts w:hint="eastAsia" w:ascii="宋体" w:hAnsi="宋体" w:cs="宋体"/>
                <w:color w:val="auto"/>
                <w:highlight w:val="none"/>
                <w:lang w:val="en-US" w:eastAsia="zh-CN"/>
              </w:rPr>
              <w:t>%</w:t>
            </w:r>
            <w:r>
              <w:rPr>
                <w:rFonts w:hint="eastAsia" w:ascii="宋体" w:hAnsi="宋体" w:cs="宋体"/>
                <w:color w:val="auto"/>
                <w:highlight w:val="none"/>
                <w:lang w:eastAsia="zh-CN"/>
              </w:rPr>
              <w:t>）</w:t>
            </w:r>
          </w:p>
        </w:tc>
        <w:tc>
          <w:tcPr>
            <w:tcW w:w="80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w:t>
            </w:r>
            <w:r>
              <w:rPr>
                <w:rFonts w:hint="eastAsia" w:ascii="宋体" w:hAnsi="宋体" w:cs="宋体"/>
                <w:color w:val="auto"/>
                <w:highlight w:val="none"/>
                <w:lang w:val="en-US" w:eastAsia="zh-CN"/>
              </w:rPr>
              <w:t>总</w:t>
            </w:r>
            <w:r>
              <w:rPr>
                <w:rFonts w:hint="eastAsia" w:ascii="宋体" w:hAnsi="宋体" w:cs="宋体"/>
                <w:color w:val="auto"/>
                <w:highlight w:val="none"/>
              </w:rPr>
              <w:t>报价（元）</w:t>
            </w:r>
          </w:p>
        </w:tc>
        <w:tc>
          <w:tcPr>
            <w:tcW w:w="967" w:type="dxa"/>
            <w:vAlign w:val="center"/>
          </w:tcPr>
          <w:p>
            <w:pPr>
              <w:spacing w:line="360" w:lineRule="auto"/>
              <w:jc w:val="center"/>
              <w:rPr>
                <w:rFonts w:ascii="宋体" w:hAnsi="宋体" w:cs="宋体"/>
                <w:color w:val="auto"/>
                <w:highlight w:val="none"/>
              </w:rPr>
            </w:pPr>
            <w:r>
              <w:rPr>
                <w:rFonts w:hint="eastAsia" w:ascii="宋体" w:hAnsi="宋体" w:cs="宋体"/>
                <w:color w:val="auto"/>
                <w:szCs w:val="21"/>
                <w:highlight w:val="none"/>
              </w:rPr>
              <w:t>项目负责人</w:t>
            </w:r>
          </w:p>
        </w:tc>
        <w:tc>
          <w:tcPr>
            <w:tcW w:w="917"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服务期限</w:t>
            </w:r>
          </w:p>
        </w:tc>
        <w:tc>
          <w:tcPr>
            <w:tcW w:w="105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投标文件递交情况</w:t>
            </w:r>
          </w:p>
        </w:tc>
        <w:tc>
          <w:tcPr>
            <w:tcW w:w="1100" w:type="dxa"/>
          </w:tcPr>
          <w:p>
            <w:pPr>
              <w:spacing w:line="360" w:lineRule="auto"/>
              <w:jc w:val="center"/>
              <w:rPr>
                <w:rFonts w:ascii="宋体" w:hAnsi="宋体" w:cs="宋体"/>
                <w:color w:val="auto"/>
                <w:highlight w:val="none"/>
              </w:rPr>
            </w:pPr>
            <w:r>
              <w:rPr>
                <w:rFonts w:hint="eastAsia" w:ascii="宋体" w:hAnsi="宋体" w:cs="宋体"/>
                <w:color w:val="auto"/>
                <w:highlight w:val="none"/>
              </w:rPr>
              <w:t>投标文件解密情况</w:t>
            </w:r>
          </w:p>
        </w:tc>
        <w:tc>
          <w:tcPr>
            <w:tcW w:w="866"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1163"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941" w:type="dxa"/>
          </w:tcPr>
          <w:p>
            <w:pPr>
              <w:spacing w:line="360" w:lineRule="auto"/>
              <w:rPr>
                <w:rFonts w:ascii="宋体" w:hAnsi="宋体" w:cs="宋体"/>
                <w:color w:val="auto"/>
                <w:highlight w:val="none"/>
              </w:rPr>
            </w:pPr>
          </w:p>
        </w:tc>
        <w:tc>
          <w:tcPr>
            <w:tcW w:w="800" w:type="dxa"/>
          </w:tcPr>
          <w:p>
            <w:pPr>
              <w:spacing w:line="360" w:lineRule="auto"/>
              <w:rPr>
                <w:rFonts w:ascii="宋体" w:hAnsi="宋体" w:cs="宋体"/>
                <w:color w:val="auto"/>
                <w:highlight w:val="none"/>
              </w:rPr>
            </w:pPr>
          </w:p>
        </w:tc>
        <w:tc>
          <w:tcPr>
            <w:tcW w:w="967" w:type="dxa"/>
          </w:tcPr>
          <w:p>
            <w:pPr>
              <w:spacing w:line="360" w:lineRule="auto"/>
              <w:rPr>
                <w:rFonts w:ascii="宋体" w:hAnsi="宋体" w:cs="宋体"/>
                <w:color w:val="auto"/>
                <w:highlight w:val="none"/>
              </w:rPr>
            </w:pPr>
          </w:p>
        </w:tc>
        <w:tc>
          <w:tcPr>
            <w:tcW w:w="917" w:type="dxa"/>
          </w:tcPr>
          <w:p>
            <w:pPr>
              <w:spacing w:line="360" w:lineRule="auto"/>
              <w:rPr>
                <w:rFonts w:ascii="宋体" w:hAnsi="宋体" w:cs="宋体"/>
                <w:color w:val="auto"/>
                <w:highlight w:val="none"/>
              </w:rPr>
            </w:pPr>
          </w:p>
        </w:tc>
        <w:tc>
          <w:tcPr>
            <w:tcW w:w="1050" w:type="dxa"/>
          </w:tcPr>
          <w:p>
            <w:pPr>
              <w:spacing w:line="360" w:lineRule="auto"/>
              <w:rPr>
                <w:rFonts w:ascii="宋体" w:hAnsi="宋体" w:cs="宋体"/>
                <w:color w:val="auto"/>
                <w:highlight w:val="none"/>
              </w:rPr>
            </w:pPr>
          </w:p>
        </w:tc>
        <w:tc>
          <w:tcPr>
            <w:tcW w:w="1100" w:type="dxa"/>
          </w:tcPr>
          <w:p>
            <w:pPr>
              <w:spacing w:line="360" w:lineRule="auto"/>
              <w:rPr>
                <w:rFonts w:ascii="宋体" w:hAnsi="宋体" w:cs="宋体"/>
                <w:color w:val="auto"/>
                <w:highlight w:val="none"/>
              </w:rPr>
            </w:pPr>
          </w:p>
        </w:tc>
        <w:tc>
          <w:tcPr>
            <w:tcW w:w="866"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941" w:type="dxa"/>
          </w:tcPr>
          <w:p>
            <w:pPr>
              <w:spacing w:line="360" w:lineRule="auto"/>
              <w:rPr>
                <w:rFonts w:ascii="宋体" w:hAnsi="宋体" w:cs="宋体"/>
                <w:color w:val="auto"/>
                <w:highlight w:val="none"/>
              </w:rPr>
            </w:pPr>
          </w:p>
        </w:tc>
        <w:tc>
          <w:tcPr>
            <w:tcW w:w="800" w:type="dxa"/>
          </w:tcPr>
          <w:p>
            <w:pPr>
              <w:spacing w:line="360" w:lineRule="auto"/>
              <w:rPr>
                <w:rFonts w:ascii="宋体" w:hAnsi="宋体" w:cs="宋体"/>
                <w:color w:val="auto"/>
                <w:highlight w:val="none"/>
              </w:rPr>
            </w:pPr>
          </w:p>
        </w:tc>
        <w:tc>
          <w:tcPr>
            <w:tcW w:w="967" w:type="dxa"/>
          </w:tcPr>
          <w:p>
            <w:pPr>
              <w:spacing w:line="360" w:lineRule="auto"/>
              <w:rPr>
                <w:rFonts w:ascii="宋体" w:hAnsi="宋体" w:cs="宋体"/>
                <w:color w:val="auto"/>
                <w:highlight w:val="none"/>
              </w:rPr>
            </w:pPr>
          </w:p>
        </w:tc>
        <w:tc>
          <w:tcPr>
            <w:tcW w:w="917" w:type="dxa"/>
          </w:tcPr>
          <w:p>
            <w:pPr>
              <w:spacing w:line="360" w:lineRule="auto"/>
              <w:rPr>
                <w:rFonts w:ascii="宋体" w:hAnsi="宋体" w:cs="宋体"/>
                <w:color w:val="auto"/>
                <w:highlight w:val="none"/>
              </w:rPr>
            </w:pPr>
          </w:p>
        </w:tc>
        <w:tc>
          <w:tcPr>
            <w:tcW w:w="1050" w:type="dxa"/>
          </w:tcPr>
          <w:p>
            <w:pPr>
              <w:spacing w:line="360" w:lineRule="auto"/>
              <w:rPr>
                <w:rFonts w:ascii="宋体" w:hAnsi="宋体" w:cs="宋体"/>
                <w:color w:val="auto"/>
                <w:highlight w:val="none"/>
              </w:rPr>
            </w:pPr>
          </w:p>
        </w:tc>
        <w:tc>
          <w:tcPr>
            <w:tcW w:w="1100" w:type="dxa"/>
          </w:tcPr>
          <w:p>
            <w:pPr>
              <w:spacing w:line="360" w:lineRule="auto"/>
              <w:rPr>
                <w:rFonts w:ascii="宋体" w:hAnsi="宋体" w:cs="宋体"/>
                <w:color w:val="auto"/>
                <w:highlight w:val="none"/>
              </w:rPr>
            </w:pPr>
          </w:p>
        </w:tc>
        <w:tc>
          <w:tcPr>
            <w:tcW w:w="866"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941" w:type="dxa"/>
          </w:tcPr>
          <w:p>
            <w:pPr>
              <w:spacing w:line="360" w:lineRule="auto"/>
              <w:rPr>
                <w:rFonts w:ascii="宋体" w:hAnsi="宋体" w:cs="宋体"/>
                <w:color w:val="auto"/>
                <w:highlight w:val="none"/>
              </w:rPr>
            </w:pPr>
          </w:p>
        </w:tc>
        <w:tc>
          <w:tcPr>
            <w:tcW w:w="800" w:type="dxa"/>
          </w:tcPr>
          <w:p>
            <w:pPr>
              <w:spacing w:line="360" w:lineRule="auto"/>
              <w:rPr>
                <w:rFonts w:ascii="宋体" w:hAnsi="宋体" w:cs="宋体"/>
                <w:color w:val="auto"/>
                <w:highlight w:val="none"/>
              </w:rPr>
            </w:pPr>
          </w:p>
        </w:tc>
        <w:tc>
          <w:tcPr>
            <w:tcW w:w="967" w:type="dxa"/>
          </w:tcPr>
          <w:p>
            <w:pPr>
              <w:spacing w:line="360" w:lineRule="auto"/>
              <w:rPr>
                <w:rFonts w:ascii="宋体" w:hAnsi="宋体" w:cs="宋体"/>
                <w:color w:val="auto"/>
                <w:highlight w:val="none"/>
              </w:rPr>
            </w:pPr>
          </w:p>
        </w:tc>
        <w:tc>
          <w:tcPr>
            <w:tcW w:w="917" w:type="dxa"/>
          </w:tcPr>
          <w:p>
            <w:pPr>
              <w:spacing w:line="360" w:lineRule="auto"/>
              <w:rPr>
                <w:rFonts w:ascii="宋体" w:hAnsi="宋体" w:cs="宋体"/>
                <w:color w:val="auto"/>
                <w:highlight w:val="none"/>
              </w:rPr>
            </w:pPr>
          </w:p>
        </w:tc>
        <w:tc>
          <w:tcPr>
            <w:tcW w:w="1050" w:type="dxa"/>
          </w:tcPr>
          <w:p>
            <w:pPr>
              <w:spacing w:line="360" w:lineRule="auto"/>
              <w:rPr>
                <w:rFonts w:ascii="宋体" w:hAnsi="宋体" w:cs="宋体"/>
                <w:color w:val="auto"/>
                <w:highlight w:val="none"/>
              </w:rPr>
            </w:pPr>
          </w:p>
        </w:tc>
        <w:tc>
          <w:tcPr>
            <w:tcW w:w="1100" w:type="dxa"/>
          </w:tcPr>
          <w:p>
            <w:pPr>
              <w:spacing w:line="360" w:lineRule="auto"/>
              <w:rPr>
                <w:rFonts w:ascii="宋体" w:hAnsi="宋体" w:cs="宋体"/>
                <w:color w:val="auto"/>
                <w:highlight w:val="none"/>
              </w:rPr>
            </w:pPr>
          </w:p>
        </w:tc>
        <w:tc>
          <w:tcPr>
            <w:tcW w:w="866"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941" w:type="dxa"/>
          </w:tcPr>
          <w:p>
            <w:pPr>
              <w:spacing w:line="360" w:lineRule="auto"/>
              <w:rPr>
                <w:rFonts w:ascii="宋体" w:hAnsi="宋体" w:cs="宋体"/>
                <w:color w:val="auto"/>
                <w:highlight w:val="none"/>
              </w:rPr>
            </w:pPr>
          </w:p>
        </w:tc>
        <w:tc>
          <w:tcPr>
            <w:tcW w:w="800" w:type="dxa"/>
          </w:tcPr>
          <w:p>
            <w:pPr>
              <w:spacing w:line="360" w:lineRule="auto"/>
              <w:rPr>
                <w:rFonts w:ascii="宋体" w:hAnsi="宋体" w:cs="宋体"/>
                <w:color w:val="auto"/>
                <w:highlight w:val="none"/>
              </w:rPr>
            </w:pPr>
          </w:p>
        </w:tc>
        <w:tc>
          <w:tcPr>
            <w:tcW w:w="967" w:type="dxa"/>
          </w:tcPr>
          <w:p>
            <w:pPr>
              <w:spacing w:line="360" w:lineRule="auto"/>
              <w:rPr>
                <w:rFonts w:ascii="宋体" w:hAnsi="宋体" w:cs="宋体"/>
                <w:color w:val="auto"/>
                <w:highlight w:val="none"/>
              </w:rPr>
            </w:pPr>
          </w:p>
        </w:tc>
        <w:tc>
          <w:tcPr>
            <w:tcW w:w="917" w:type="dxa"/>
          </w:tcPr>
          <w:p>
            <w:pPr>
              <w:spacing w:line="360" w:lineRule="auto"/>
              <w:rPr>
                <w:rFonts w:ascii="宋体" w:hAnsi="宋体" w:cs="宋体"/>
                <w:color w:val="auto"/>
                <w:highlight w:val="none"/>
              </w:rPr>
            </w:pPr>
          </w:p>
        </w:tc>
        <w:tc>
          <w:tcPr>
            <w:tcW w:w="1050" w:type="dxa"/>
          </w:tcPr>
          <w:p>
            <w:pPr>
              <w:spacing w:line="360" w:lineRule="auto"/>
              <w:rPr>
                <w:rFonts w:ascii="宋体" w:hAnsi="宋体" w:cs="宋体"/>
                <w:color w:val="auto"/>
                <w:highlight w:val="none"/>
              </w:rPr>
            </w:pPr>
          </w:p>
        </w:tc>
        <w:tc>
          <w:tcPr>
            <w:tcW w:w="1100" w:type="dxa"/>
          </w:tcPr>
          <w:p>
            <w:pPr>
              <w:spacing w:line="360" w:lineRule="auto"/>
              <w:rPr>
                <w:rFonts w:ascii="宋体" w:hAnsi="宋体" w:cs="宋体"/>
                <w:color w:val="auto"/>
                <w:highlight w:val="none"/>
              </w:rPr>
            </w:pPr>
          </w:p>
        </w:tc>
        <w:tc>
          <w:tcPr>
            <w:tcW w:w="866"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941" w:type="dxa"/>
          </w:tcPr>
          <w:p>
            <w:pPr>
              <w:spacing w:line="360" w:lineRule="auto"/>
              <w:rPr>
                <w:rFonts w:ascii="宋体" w:hAnsi="宋体" w:cs="宋体"/>
                <w:color w:val="auto"/>
                <w:highlight w:val="none"/>
              </w:rPr>
            </w:pPr>
          </w:p>
        </w:tc>
        <w:tc>
          <w:tcPr>
            <w:tcW w:w="800" w:type="dxa"/>
          </w:tcPr>
          <w:p>
            <w:pPr>
              <w:spacing w:line="360" w:lineRule="auto"/>
              <w:rPr>
                <w:rFonts w:ascii="宋体" w:hAnsi="宋体" w:cs="宋体"/>
                <w:color w:val="auto"/>
                <w:highlight w:val="none"/>
              </w:rPr>
            </w:pPr>
          </w:p>
        </w:tc>
        <w:tc>
          <w:tcPr>
            <w:tcW w:w="967" w:type="dxa"/>
          </w:tcPr>
          <w:p>
            <w:pPr>
              <w:spacing w:line="360" w:lineRule="auto"/>
              <w:rPr>
                <w:rFonts w:ascii="宋体" w:hAnsi="宋体" w:cs="宋体"/>
                <w:color w:val="auto"/>
                <w:highlight w:val="none"/>
              </w:rPr>
            </w:pPr>
          </w:p>
        </w:tc>
        <w:tc>
          <w:tcPr>
            <w:tcW w:w="917" w:type="dxa"/>
          </w:tcPr>
          <w:p>
            <w:pPr>
              <w:spacing w:line="360" w:lineRule="auto"/>
              <w:rPr>
                <w:rFonts w:ascii="宋体" w:hAnsi="宋体" w:cs="宋体"/>
                <w:color w:val="auto"/>
                <w:highlight w:val="none"/>
              </w:rPr>
            </w:pPr>
          </w:p>
        </w:tc>
        <w:tc>
          <w:tcPr>
            <w:tcW w:w="1050" w:type="dxa"/>
          </w:tcPr>
          <w:p>
            <w:pPr>
              <w:spacing w:line="360" w:lineRule="auto"/>
              <w:rPr>
                <w:rFonts w:ascii="宋体" w:hAnsi="宋体" w:cs="宋体"/>
                <w:color w:val="auto"/>
                <w:highlight w:val="none"/>
              </w:rPr>
            </w:pPr>
          </w:p>
        </w:tc>
        <w:tc>
          <w:tcPr>
            <w:tcW w:w="1100" w:type="dxa"/>
          </w:tcPr>
          <w:p>
            <w:pPr>
              <w:spacing w:line="360" w:lineRule="auto"/>
              <w:rPr>
                <w:rFonts w:ascii="宋体" w:hAnsi="宋体" w:cs="宋体"/>
                <w:color w:val="auto"/>
                <w:highlight w:val="none"/>
              </w:rPr>
            </w:pPr>
          </w:p>
        </w:tc>
        <w:tc>
          <w:tcPr>
            <w:tcW w:w="866"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941" w:type="dxa"/>
          </w:tcPr>
          <w:p>
            <w:pPr>
              <w:spacing w:line="360" w:lineRule="auto"/>
              <w:rPr>
                <w:rFonts w:ascii="宋体" w:hAnsi="宋体" w:cs="宋体"/>
                <w:color w:val="auto"/>
                <w:highlight w:val="none"/>
              </w:rPr>
            </w:pPr>
          </w:p>
        </w:tc>
        <w:tc>
          <w:tcPr>
            <w:tcW w:w="800" w:type="dxa"/>
          </w:tcPr>
          <w:p>
            <w:pPr>
              <w:spacing w:line="360" w:lineRule="auto"/>
              <w:rPr>
                <w:rFonts w:ascii="宋体" w:hAnsi="宋体" w:cs="宋体"/>
                <w:color w:val="auto"/>
                <w:highlight w:val="none"/>
              </w:rPr>
            </w:pPr>
          </w:p>
        </w:tc>
        <w:tc>
          <w:tcPr>
            <w:tcW w:w="967" w:type="dxa"/>
          </w:tcPr>
          <w:p>
            <w:pPr>
              <w:spacing w:line="360" w:lineRule="auto"/>
              <w:rPr>
                <w:rFonts w:ascii="宋体" w:hAnsi="宋体" w:cs="宋体"/>
                <w:color w:val="auto"/>
                <w:highlight w:val="none"/>
              </w:rPr>
            </w:pPr>
          </w:p>
        </w:tc>
        <w:tc>
          <w:tcPr>
            <w:tcW w:w="917" w:type="dxa"/>
          </w:tcPr>
          <w:p>
            <w:pPr>
              <w:spacing w:line="360" w:lineRule="auto"/>
              <w:rPr>
                <w:rFonts w:ascii="宋体" w:hAnsi="宋体" w:cs="宋体"/>
                <w:color w:val="auto"/>
                <w:highlight w:val="none"/>
              </w:rPr>
            </w:pPr>
          </w:p>
        </w:tc>
        <w:tc>
          <w:tcPr>
            <w:tcW w:w="1050" w:type="dxa"/>
          </w:tcPr>
          <w:p>
            <w:pPr>
              <w:spacing w:line="360" w:lineRule="auto"/>
              <w:rPr>
                <w:rFonts w:ascii="宋体" w:hAnsi="宋体" w:cs="宋体"/>
                <w:color w:val="auto"/>
                <w:highlight w:val="none"/>
              </w:rPr>
            </w:pPr>
          </w:p>
        </w:tc>
        <w:tc>
          <w:tcPr>
            <w:tcW w:w="1100" w:type="dxa"/>
          </w:tcPr>
          <w:p>
            <w:pPr>
              <w:spacing w:line="360" w:lineRule="auto"/>
              <w:rPr>
                <w:rFonts w:ascii="宋体" w:hAnsi="宋体" w:cs="宋体"/>
                <w:color w:val="auto"/>
                <w:highlight w:val="none"/>
              </w:rPr>
            </w:pPr>
          </w:p>
        </w:tc>
        <w:tc>
          <w:tcPr>
            <w:tcW w:w="866"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941" w:type="dxa"/>
          </w:tcPr>
          <w:p>
            <w:pPr>
              <w:spacing w:line="360" w:lineRule="auto"/>
              <w:rPr>
                <w:rFonts w:ascii="宋体" w:hAnsi="宋体" w:cs="宋体"/>
                <w:color w:val="auto"/>
                <w:highlight w:val="none"/>
              </w:rPr>
            </w:pPr>
          </w:p>
        </w:tc>
        <w:tc>
          <w:tcPr>
            <w:tcW w:w="800" w:type="dxa"/>
          </w:tcPr>
          <w:p>
            <w:pPr>
              <w:spacing w:line="360" w:lineRule="auto"/>
              <w:rPr>
                <w:rFonts w:ascii="宋体" w:hAnsi="宋体" w:cs="宋体"/>
                <w:color w:val="auto"/>
                <w:highlight w:val="none"/>
              </w:rPr>
            </w:pPr>
          </w:p>
        </w:tc>
        <w:tc>
          <w:tcPr>
            <w:tcW w:w="967" w:type="dxa"/>
          </w:tcPr>
          <w:p>
            <w:pPr>
              <w:spacing w:line="360" w:lineRule="auto"/>
              <w:rPr>
                <w:rFonts w:ascii="宋体" w:hAnsi="宋体" w:cs="宋体"/>
                <w:color w:val="auto"/>
                <w:highlight w:val="none"/>
              </w:rPr>
            </w:pPr>
          </w:p>
        </w:tc>
        <w:tc>
          <w:tcPr>
            <w:tcW w:w="917" w:type="dxa"/>
          </w:tcPr>
          <w:p>
            <w:pPr>
              <w:spacing w:line="360" w:lineRule="auto"/>
              <w:rPr>
                <w:rFonts w:ascii="宋体" w:hAnsi="宋体" w:cs="宋体"/>
                <w:color w:val="auto"/>
                <w:highlight w:val="none"/>
              </w:rPr>
            </w:pPr>
          </w:p>
        </w:tc>
        <w:tc>
          <w:tcPr>
            <w:tcW w:w="1050" w:type="dxa"/>
          </w:tcPr>
          <w:p>
            <w:pPr>
              <w:spacing w:line="360" w:lineRule="auto"/>
              <w:rPr>
                <w:rFonts w:ascii="宋体" w:hAnsi="宋体" w:cs="宋体"/>
                <w:color w:val="auto"/>
                <w:highlight w:val="none"/>
              </w:rPr>
            </w:pPr>
          </w:p>
        </w:tc>
        <w:tc>
          <w:tcPr>
            <w:tcW w:w="1100" w:type="dxa"/>
          </w:tcPr>
          <w:p>
            <w:pPr>
              <w:spacing w:line="360" w:lineRule="auto"/>
              <w:rPr>
                <w:rFonts w:ascii="宋体" w:hAnsi="宋体" w:cs="宋体"/>
                <w:color w:val="auto"/>
                <w:highlight w:val="none"/>
              </w:rPr>
            </w:pPr>
          </w:p>
        </w:tc>
        <w:tc>
          <w:tcPr>
            <w:tcW w:w="866"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941" w:type="dxa"/>
          </w:tcPr>
          <w:p>
            <w:pPr>
              <w:spacing w:line="360" w:lineRule="auto"/>
              <w:rPr>
                <w:rFonts w:ascii="宋体" w:hAnsi="宋体" w:cs="宋体"/>
                <w:color w:val="auto"/>
                <w:highlight w:val="none"/>
              </w:rPr>
            </w:pPr>
          </w:p>
        </w:tc>
        <w:tc>
          <w:tcPr>
            <w:tcW w:w="800" w:type="dxa"/>
          </w:tcPr>
          <w:p>
            <w:pPr>
              <w:spacing w:line="360" w:lineRule="auto"/>
              <w:rPr>
                <w:rFonts w:ascii="宋体" w:hAnsi="宋体" w:cs="宋体"/>
                <w:color w:val="auto"/>
                <w:highlight w:val="none"/>
              </w:rPr>
            </w:pPr>
          </w:p>
        </w:tc>
        <w:tc>
          <w:tcPr>
            <w:tcW w:w="967" w:type="dxa"/>
          </w:tcPr>
          <w:p>
            <w:pPr>
              <w:spacing w:line="360" w:lineRule="auto"/>
              <w:rPr>
                <w:rFonts w:ascii="宋体" w:hAnsi="宋体" w:cs="宋体"/>
                <w:color w:val="auto"/>
                <w:highlight w:val="none"/>
              </w:rPr>
            </w:pPr>
          </w:p>
        </w:tc>
        <w:tc>
          <w:tcPr>
            <w:tcW w:w="917" w:type="dxa"/>
          </w:tcPr>
          <w:p>
            <w:pPr>
              <w:spacing w:line="360" w:lineRule="auto"/>
              <w:rPr>
                <w:rFonts w:ascii="宋体" w:hAnsi="宋体" w:cs="宋体"/>
                <w:color w:val="auto"/>
                <w:highlight w:val="none"/>
              </w:rPr>
            </w:pPr>
          </w:p>
        </w:tc>
        <w:tc>
          <w:tcPr>
            <w:tcW w:w="1050" w:type="dxa"/>
          </w:tcPr>
          <w:p>
            <w:pPr>
              <w:spacing w:line="360" w:lineRule="auto"/>
              <w:rPr>
                <w:rFonts w:ascii="宋体" w:hAnsi="宋体" w:cs="宋体"/>
                <w:color w:val="auto"/>
                <w:highlight w:val="none"/>
              </w:rPr>
            </w:pPr>
          </w:p>
        </w:tc>
        <w:tc>
          <w:tcPr>
            <w:tcW w:w="1100" w:type="dxa"/>
          </w:tcPr>
          <w:p>
            <w:pPr>
              <w:spacing w:line="360" w:lineRule="auto"/>
              <w:rPr>
                <w:rFonts w:ascii="宋体" w:hAnsi="宋体" w:cs="宋体"/>
                <w:color w:val="auto"/>
                <w:highlight w:val="none"/>
              </w:rPr>
            </w:pPr>
          </w:p>
        </w:tc>
        <w:tc>
          <w:tcPr>
            <w:tcW w:w="866"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941" w:type="dxa"/>
          </w:tcPr>
          <w:p>
            <w:pPr>
              <w:spacing w:line="360" w:lineRule="auto"/>
              <w:rPr>
                <w:rFonts w:ascii="宋体" w:hAnsi="宋体" w:cs="宋体"/>
                <w:color w:val="auto"/>
                <w:highlight w:val="none"/>
              </w:rPr>
            </w:pPr>
          </w:p>
        </w:tc>
        <w:tc>
          <w:tcPr>
            <w:tcW w:w="800" w:type="dxa"/>
          </w:tcPr>
          <w:p>
            <w:pPr>
              <w:spacing w:line="360" w:lineRule="auto"/>
              <w:rPr>
                <w:rFonts w:ascii="宋体" w:hAnsi="宋体" w:cs="宋体"/>
                <w:color w:val="auto"/>
                <w:highlight w:val="none"/>
              </w:rPr>
            </w:pPr>
          </w:p>
        </w:tc>
        <w:tc>
          <w:tcPr>
            <w:tcW w:w="967" w:type="dxa"/>
          </w:tcPr>
          <w:p>
            <w:pPr>
              <w:spacing w:line="360" w:lineRule="auto"/>
              <w:rPr>
                <w:rFonts w:ascii="宋体" w:hAnsi="宋体" w:cs="宋体"/>
                <w:color w:val="auto"/>
                <w:highlight w:val="none"/>
              </w:rPr>
            </w:pPr>
          </w:p>
        </w:tc>
        <w:tc>
          <w:tcPr>
            <w:tcW w:w="917" w:type="dxa"/>
          </w:tcPr>
          <w:p>
            <w:pPr>
              <w:spacing w:line="360" w:lineRule="auto"/>
              <w:rPr>
                <w:rFonts w:ascii="宋体" w:hAnsi="宋体" w:cs="宋体"/>
                <w:color w:val="auto"/>
                <w:highlight w:val="none"/>
              </w:rPr>
            </w:pPr>
          </w:p>
        </w:tc>
        <w:tc>
          <w:tcPr>
            <w:tcW w:w="1050" w:type="dxa"/>
          </w:tcPr>
          <w:p>
            <w:pPr>
              <w:spacing w:line="360" w:lineRule="auto"/>
              <w:rPr>
                <w:rFonts w:ascii="宋体" w:hAnsi="宋体" w:cs="宋体"/>
                <w:color w:val="auto"/>
                <w:highlight w:val="none"/>
              </w:rPr>
            </w:pPr>
          </w:p>
        </w:tc>
        <w:tc>
          <w:tcPr>
            <w:tcW w:w="1100" w:type="dxa"/>
          </w:tcPr>
          <w:p>
            <w:pPr>
              <w:spacing w:line="360" w:lineRule="auto"/>
              <w:rPr>
                <w:rFonts w:ascii="宋体" w:hAnsi="宋体" w:cs="宋体"/>
                <w:color w:val="auto"/>
                <w:highlight w:val="none"/>
              </w:rPr>
            </w:pPr>
          </w:p>
        </w:tc>
        <w:tc>
          <w:tcPr>
            <w:tcW w:w="866"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941" w:type="dxa"/>
          </w:tcPr>
          <w:p>
            <w:pPr>
              <w:spacing w:line="360" w:lineRule="auto"/>
              <w:rPr>
                <w:rFonts w:ascii="宋体" w:hAnsi="宋体" w:cs="宋体"/>
                <w:color w:val="auto"/>
                <w:highlight w:val="none"/>
              </w:rPr>
            </w:pPr>
          </w:p>
        </w:tc>
        <w:tc>
          <w:tcPr>
            <w:tcW w:w="800" w:type="dxa"/>
          </w:tcPr>
          <w:p>
            <w:pPr>
              <w:spacing w:line="360" w:lineRule="auto"/>
              <w:rPr>
                <w:rFonts w:ascii="宋体" w:hAnsi="宋体" w:cs="宋体"/>
                <w:color w:val="auto"/>
                <w:highlight w:val="none"/>
              </w:rPr>
            </w:pPr>
          </w:p>
        </w:tc>
        <w:tc>
          <w:tcPr>
            <w:tcW w:w="967" w:type="dxa"/>
          </w:tcPr>
          <w:p>
            <w:pPr>
              <w:spacing w:line="360" w:lineRule="auto"/>
              <w:rPr>
                <w:rFonts w:ascii="宋体" w:hAnsi="宋体" w:cs="宋体"/>
                <w:color w:val="auto"/>
                <w:highlight w:val="none"/>
              </w:rPr>
            </w:pPr>
          </w:p>
        </w:tc>
        <w:tc>
          <w:tcPr>
            <w:tcW w:w="917" w:type="dxa"/>
          </w:tcPr>
          <w:p>
            <w:pPr>
              <w:spacing w:line="360" w:lineRule="auto"/>
              <w:rPr>
                <w:rFonts w:ascii="宋体" w:hAnsi="宋体" w:cs="宋体"/>
                <w:color w:val="auto"/>
                <w:highlight w:val="none"/>
              </w:rPr>
            </w:pPr>
          </w:p>
        </w:tc>
        <w:tc>
          <w:tcPr>
            <w:tcW w:w="1050" w:type="dxa"/>
          </w:tcPr>
          <w:p>
            <w:pPr>
              <w:spacing w:line="360" w:lineRule="auto"/>
              <w:rPr>
                <w:rFonts w:ascii="宋体" w:hAnsi="宋体" w:cs="宋体"/>
                <w:color w:val="auto"/>
                <w:highlight w:val="none"/>
              </w:rPr>
            </w:pPr>
          </w:p>
        </w:tc>
        <w:tc>
          <w:tcPr>
            <w:tcW w:w="1100" w:type="dxa"/>
          </w:tcPr>
          <w:p>
            <w:pPr>
              <w:spacing w:line="360" w:lineRule="auto"/>
              <w:rPr>
                <w:rFonts w:ascii="宋体" w:hAnsi="宋体" w:cs="宋体"/>
                <w:color w:val="auto"/>
                <w:highlight w:val="none"/>
              </w:rPr>
            </w:pPr>
          </w:p>
        </w:tc>
        <w:tc>
          <w:tcPr>
            <w:tcW w:w="866"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941" w:type="dxa"/>
          </w:tcPr>
          <w:p>
            <w:pPr>
              <w:spacing w:line="360" w:lineRule="auto"/>
              <w:rPr>
                <w:rFonts w:ascii="宋体" w:hAnsi="宋体" w:cs="宋体"/>
                <w:color w:val="auto"/>
                <w:highlight w:val="none"/>
              </w:rPr>
            </w:pPr>
          </w:p>
        </w:tc>
        <w:tc>
          <w:tcPr>
            <w:tcW w:w="800" w:type="dxa"/>
          </w:tcPr>
          <w:p>
            <w:pPr>
              <w:spacing w:line="360" w:lineRule="auto"/>
              <w:rPr>
                <w:rFonts w:ascii="宋体" w:hAnsi="宋体" w:cs="宋体"/>
                <w:color w:val="auto"/>
                <w:highlight w:val="none"/>
              </w:rPr>
            </w:pPr>
          </w:p>
        </w:tc>
        <w:tc>
          <w:tcPr>
            <w:tcW w:w="967" w:type="dxa"/>
          </w:tcPr>
          <w:p>
            <w:pPr>
              <w:spacing w:line="360" w:lineRule="auto"/>
              <w:rPr>
                <w:rFonts w:ascii="宋体" w:hAnsi="宋体" w:cs="宋体"/>
                <w:color w:val="auto"/>
                <w:highlight w:val="none"/>
              </w:rPr>
            </w:pPr>
          </w:p>
        </w:tc>
        <w:tc>
          <w:tcPr>
            <w:tcW w:w="917" w:type="dxa"/>
          </w:tcPr>
          <w:p>
            <w:pPr>
              <w:spacing w:line="360" w:lineRule="auto"/>
              <w:rPr>
                <w:rFonts w:ascii="宋体" w:hAnsi="宋体" w:cs="宋体"/>
                <w:color w:val="auto"/>
                <w:highlight w:val="none"/>
              </w:rPr>
            </w:pPr>
          </w:p>
        </w:tc>
        <w:tc>
          <w:tcPr>
            <w:tcW w:w="1050" w:type="dxa"/>
          </w:tcPr>
          <w:p>
            <w:pPr>
              <w:spacing w:line="360" w:lineRule="auto"/>
              <w:rPr>
                <w:rFonts w:ascii="宋体" w:hAnsi="宋体" w:cs="宋体"/>
                <w:color w:val="auto"/>
                <w:highlight w:val="none"/>
              </w:rPr>
            </w:pPr>
          </w:p>
        </w:tc>
        <w:tc>
          <w:tcPr>
            <w:tcW w:w="1100" w:type="dxa"/>
          </w:tcPr>
          <w:p>
            <w:pPr>
              <w:spacing w:line="360" w:lineRule="auto"/>
              <w:rPr>
                <w:rFonts w:ascii="宋体" w:hAnsi="宋体" w:cs="宋体"/>
                <w:color w:val="auto"/>
                <w:highlight w:val="none"/>
              </w:rPr>
            </w:pPr>
          </w:p>
        </w:tc>
        <w:tc>
          <w:tcPr>
            <w:tcW w:w="866"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Pr>
          <w:p>
            <w:pPr>
              <w:spacing w:line="360" w:lineRule="auto"/>
              <w:rPr>
                <w:rFonts w:ascii="宋体" w:hAnsi="宋体" w:cs="宋体"/>
                <w:color w:val="auto"/>
                <w:highlight w:val="none"/>
              </w:rPr>
            </w:pPr>
            <w:r>
              <w:rPr>
                <w:rFonts w:hint="eastAsia" w:ascii="宋体" w:hAnsi="宋体" w:cs="宋体"/>
                <w:color w:val="auto"/>
                <w:highlight w:val="none"/>
              </w:rPr>
              <w:t>最高投标限价：</w:t>
            </w:r>
          </w:p>
        </w:tc>
        <w:tc>
          <w:tcPr>
            <w:tcW w:w="6641" w:type="dxa"/>
            <w:gridSpan w:val="7"/>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bl>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招标人代表：         记录人：         监标人：</w:t>
      </w:r>
    </w:p>
    <w:p>
      <w:pPr>
        <w:spacing w:line="360" w:lineRule="auto"/>
        <w:ind w:firstLine="420" w:firstLineChars="200"/>
        <w:jc w:val="right"/>
        <w:rPr>
          <w:rFonts w:ascii="宋体" w:hAnsi="宋体" w:cs="宋体"/>
          <w:color w:val="auto"/>
          <w:highlight w:val="none"/>
        </w:rPr>
      </w:pPr>
      <w:r>
        <w:rPr>
          <w:rFonts w:hint="eastAsia" w:ascii="宋体" w:hAnsi="宋体" w:cs="宋体"/>
          <w:color w:val="auto"/>
          <w:highlight w:val="none"/>
        </w:rPr>
        <w:t>年月日</w:t>
      </w:r>
    </w:p>
    <w:p>
      <w:pPr>
        <w:pStyle w:val="4"/>
        <w:rPr>
          <w:rFonts w:ascii="宋体" w:hAnsi="宋体" w:eastAsia="宋体" w:cs="宋体"/>
          <w:color w:val="auto"/>
          <w:highlight w:val="none"/>
        </w:rPr>
      </w:pPr>
      <w:r>
        <w:rPr>
          <w:rFonts w:hint="eastAsia" w:ascii="宋体" w:hAnsi="宋体" w:eastAsia="宋体" w:cs="宋体"/>
          <w:color w:val="auto"/>
          <w:highlight w:val="none"/>
        </w:rPr>
        <w:br w:type="page"/>
      </w:r>
      <w:bookmarkStart w:id="248" w:name="_Toc13012"/>
      <w:bookmarkStart w:id="249" w:name="_Toc22830"/>
      <w:bookmarkStart w:id="250" w:name="_Toc24931"/>
      <w:bookmarkStart w:id="251" w:name="_Toc24104585"/>
      <w:r>
        <w:rPr>
          <w:rFonts w:hint="eastAsia" w:ascii="宋体" w:hAnsi="宋体" w:eastAsia="宋体" w:cs="宋体"/>
          <w:color w:val="auto"/>
          <w:highlight w:val="none"/>
        </w:rPr>
        <w:t>附件二：问题澄清通知</w:t>
      </w:r>
      <w:bookmarkEnd w:id="248"/>
      <w:bookmarkEnd w:id="249"/>
      <w:bookmarkEnd w:id="250"/>
      <w:bookmarkEnd w:id="251"/>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问题澄清通知</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（按广州公共资源交易中心的版式为准）</w:t>
      </w:r>
    </w:p>
    <w:p>
      <w:pPr>
        <w:rPr>
          <w:rFonts w:ascii="宋体" w:hAnsi="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w:br w:type="page"/>
      </w:r>
      <w:bookmarkStart w:id="252" w:name="_Toc25786"/>
      <w:bookmarkStart w:id="253" w:name="_Toc1371"/>
      <w:bookmarkStart w:id="254" w:name="_Toc24104586"/>
      <w:bookmarkStart w:id="255" w:name="_Toc29820"/>
      <w:r>
        <w:rPr>
          <w:rFonts w:hint="eastAsia" w:ascii="宋体" w:hAnsi="宋体" w:eastAsia="宋体" w:cs="宋体"/>
          <w:color w:val="auto"/>
          <w:highlight w:val="none"/>
        </w:rPr>
        <w:t>附件三：问题的澄清</w:t>
      </w:r>
      <w:bookmarkEnd w:id="252"/>
      <w:bookmarkEnd w:id="253"/>
      <w:bookmarkEnd w:id="254"/>
      <w:bookmarkEnd w:id="255"/>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问题的澄清</w:t>
      </w:r>
    </w:p>
    <w:p>
      <w:pPr>
        <w:spacing w:line="360" w:lineRule="auto"/>
        <w:jc w:val="center"/>
        <w:rPr>
          <w:rFonts w:ascii="宋体" w:hAnsi="宋体" w:cs="宋体"/>
          <w:b/>
          <w:color w:val="auto"/>
          <w:sz w:val="32"/>
          <w:szCs w:val="32"/>
          <w:highlight w:val="none"/>
        </w:rPr>
      </w:pPr>
      <w:bookmarkStart w:id="256" w:name="OLE_LINK1"/>
      <w:r>
        <w:rPr>
          <w:rFonts w:hint="eastAsia" w:ascii="宋体" w:hAnsi="宋体" w:cs="宋体"/>
          <w:b/>
          <w:color w:val="auto"/>
          <w:sz w:val="32"/>
          <w:szCs w:val="32"/>
          <w:highlight w:val="none"/>
        </w:rPr>
        <w:t>（按广州公共资源交易中心的版式为准）</w:t>
      </w:r>
    </w:p>
    <w:bookmarkEnd w:id="256"/>
    <w:p>
      <w:pPr>
        <w:rPr>
          <w:rFonts w:ascii="宋体" w:hAnsi="宋体" w:cs="宋体"/>
          <w:color w:val="auto"/>
          <w:highlight w:val="none"/>
        </w:rPr>
      </w:pPr>
    </w:p>
    <w:p>
      <w:pPr>
        <w:pStyle w:val="3"/>
        <w:spacing w:beforeLines="20" w:afterLines="20" w:line="360" w:lineRule="auto"/>
        <w:jc w:val="center"/>
        <w:rPr>
          <w:rFonts w:ascii="宋体" w:hAnsi="宋体" w:cs="宋体"/>
          <w:color w:val="auto"/>
          <w:highlight w:val="none"/>
        </w:rPr>
      </w:pPr>
      <w:r>
        <w:rPr>
          <w:rFonts w:hint="eastAsia" w:ascii="宋体" w:hAnsi="宋体" w:cs="宋体"/>
          <w:color w:val="auto"/>
          <w:highlight w:val="none"/>
        </w:rPr>
        <w:br w:type="page"/>
      </w:r>
      <w:bookmarkStart w:id="257" w:name="_Toc24104587"/>
      <w:bookmarkStart w:id="258" w:name="_Toc28956"/>
      <w:bookmarkStart w:id="259" w:name="_Toc2652"/>
      <w:bookmarkStart w:id="260" w:name="_Toc17288"/>
      <w:r>
        <w:rPr>
          <w:rFonts w:hint="eastAsia" w:ascii="宋体" w:hAnsi="宋体" w:cs="宋体"/>
          <w:color w:val="auto"/>
          <w:highlight w:val="none"/>
        </w:rPr>
        <w:t>第三章 评标办法（综合评估法）</w:t>
      </w:r>
      <w:bookmarkEnd w:id="257"/>
      <w:bookmarkEnd w:id="258"/>
      <w:bookmarkEnd w:id="259"/>
      <w:bookmarkEnd w:id="260"/>
    </w:p>
    <w:p>
      <w:pPr>
        <w:pStyle w:val="4"/>
        <w:jc w:val="center"/>
        <w:rPr>
          <w:rFonts w:ascii="宋体" w:hAnsi="宋体" w:eastAsia="宋体" w:cs="宋体"/>
          <w:color w:val="auto"/>
          <w:highlight w:val="none"/>
        </w:rPr>
      </w:pPr>
      <w:bookmarkStart w:id="261" w:name="_Toc25583"/>
      <w:bookmarkStart w:id="262" w:name="_Toc13293"/>
      <w:bookmarkStart w:id="263" w:name="_Toc24846"/>
      <w:bookmarkStart w:id="264" w:name="_Toc24104588"/>
      <w:r>
        <w:rPr>
          <w:rFonts w:hint="eastAsia" w:ascii="宋体" w:hAnsi="宋体" w:eastAsia="宋体" w:cs="宋体"/>
          <w:color w:val="auto"/>
          <w:highlight w:val="none"/>
        </w:rPr>
        <w:t>评标办法前附表</w:t>
      </w:r>
      <w:bookmarkEnd w:id="261"/>
      <w:bookmarkEnd w:id="262"/>
      <w:bookmarkEnd w:id="263"/>
      <w:bookmarkEnd w:id="264"/>
    </w:p>
    <w:tbl>
      <w:tblPr>
        <w:tblStyle w:val="31"/>
        <w:tblW w:w="10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95"/>
        <w:gridCol w:w="1090"/>
        <w:gridCol w:w="1039"/>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545" w:type="dxa"/>
            <w:gridSpan w:val="2"/>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条款号</w:t>
            </w:r>
          </w:p>
        </w:tc>
        <w:tc>
          <w:tcPr>
            <w:tcW w:w="2129" w:type="dxa"/>
            <w:gridSpan w:val="2"/>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评审因素</w:t>
            </w:r>
          </w:p>
        </w:tc>
        <w:tc>
          <w:tcPr>
            <w:tcW w:w="7073" w:type="dxa"/>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69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评标方法</w:t>
            </w: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中标候选人排序方法</w:t>
            </w:r>
          </w:p>
        </w:tc>
        <w:tc>
          <w:tcPr>
            <w:tcW w:w="7073" w:type="dxa"/>
            <w:vAlign w:val="center"/>
          </w:tcPr>
          <w:p>
            <w:pPr>
              <w:pStyle w:val="29"/>
              <w:ind w:left="0" w:leftChars="0" w:firstLine="0" w:firstLineChars="0"/>
              <w:rPr>
                <w:color w:val="auto"/>
                <w:highlight w:val="none"/>
              </w:rPr>
            </w:pPr>
            <w:r>
              <w:rPr>
                <w:rFonts w:hint="eastAsia" w:ascii="宋体" w:hAnsi="宋体" w:cs="宋体"/>
                <w:color w:val="auto"/>
                <w:highlight w:val="none"/>
              </w:rPr>
              <w:t>评标委员会对满足招标文件实质性要求的投标文件，按照本章第 2.2 款规定的评分标准进行打分，并按得分由高到低顺序推荐中标候选人，</w:t>
            </w:r>
            <w:r>
              <w:rPr>
                <w:rFonts w:hint="eastAsia"/>
                <w:color w:val="auto"/>
                <w:highlight w:val="none"/>
              </w:rPr>
              <w:t>投标人总得分由高到低排序前3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pPr>
              <w:pStyle w:val="29"/>
              <w:spacing w:line="240" w:lineRule="auto"/>
              <w:ind w:left="0" w:leftChars="0" w:firstLine="0" w:firstLineChars="0"/>
              <w:rPr>
                <w:color w:val="auto"/>
                <w:highlight w:val="none"/>
              </w:rPr>
            </w:pPr>
            <w:r>
              <w:rPr>
                <w:rFonts w:hint="eastAsia"/>
                <w:color w:val="auto"/>
                <w:highlight w:val="none"/>
              </w:rPr>
              <w:t>记名投票方式确定排序的具体步骤为：由评标委员会对出现该情况的投标人采用记名投票的方式确定，按得票数高低进行排序，根据得票数高低确定中标候选人排序。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2.1.1</w:t>
            </w:r>
          </w:p>
        </w:tc>
        <w:tc>
          <w:tcPr>
            <w:tcW w:w="695" w:type="dxa"/>
            <w:vMerge w:val="restart"/>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形式评审标准</w:t>
            </w: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投标人名称</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投标函及投标函附录签字盖章</w:t>
            </w:r>
          </w:p>
        </w:tc>
        <w:tc>
          <w:tcPr>
            <w:tcW w:w="7073" w:type="dxa"/>
            <w:vAlign w:val="center"/>
          </w:tcPr>
          <w:p>
            <w:pPr>
              <w:snapToGrid w:val="0"/>
              <w:spacing w:line="360" w:lineRule="auto"/>
              <w:rPr>
                <w:rFonts w:ascii="宋体" w:hAnsi="宋体" w:cs="宋体"/>
                <w:color w:val="auto"/>
                <w:highlight w:val="none"/>
              </w:rPr>
            </w:pPr>
            <w:r>
              <w:rPr>
                <w:rFonts w:hint="eastAsia" w:ascii="宋体" w:hAnsi="宋体" w:cs="宋体"/>
                <w:color w:val="auto"/>
                <w:highlight w:val="none"/>
              </w:rPr>
              <w:t>有法定代表人或其委托代理人签字和加盖单位章。由法定代表人签字的，应附法定代表人身份证明，由代理人签字的，应附授权委托书，法定代表人身份证明或授权委托书应符合第五章“投标文件格式”的规定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投标文件格式</w:t>
            </w:r>
          </w:p>
        </w:tc>
        <w:tc>
          <w:tcPr>
            <w:tcW w:w="7073" w:type="dxa"/>
            <w:vAlign w:val="center"/>
          </w:tcPr>
          <w:p>
            <w:pPr>
              <w:spacing w:line="360" w:lineRule="auto"/>
              <w:rPr>
                <w:rFonts w:ascii="宋体" w:hAnsi="宋体" w:cs="宋体"/>
                <w:color w:val="auto"/>
                <w:highlight w:val="none"/>
              </w:rPr>
            </w:pPr>
            <w:r>
              <w:rPr>
                <w:rFonts w:hint="eastAsia" w:ascii="宋体" w:hAnsi="宋体"/>
                <w:color w:val="auto"/>
                <w:highlight w:val="none"/>
              </w:rPr>
              <w:t>符合第五章“投标文件格式”的规定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strike w:val="0"/>
                <w:color w:val="auto"/>
                <w:highlight w:val="none"/>
              </w:rPr>
            </w:pPr>
            <w:r>
              <w:rPr>
                <w:rFonts w:hint="eastAsia" w:ascii="宋体" w:hAnsi="宋体" w:cs="宋体"/>
                <w:strike w:val="0"/>
                <w:color w:val="auto"/>
                <w:highlight w:val="none"/>
              </w:rPr>
              <w:t>联合体投标人</w:t>
            </w:r>
          </w:p>
        </w:tc>
        <w:tc>
          <w:tcPr>
            <w:tcW w:w="7073" w:type="dxa"/>
            <w:vAlign w:val="center"/>
          </w:tcPr>
          <w:p>
            <w:pPr>
              <w:spacing w:line="360" w:lineRule="auto"/>
              <w:rPr>
                <w:rFonts w:ascii="宋体" w:hAnsi="宋体" w:cs="宋体"/>
                <w:strike w:val="0"/>
                <w:color w:val="auto"/>
                <w:highlight w:val="none"/>
                <w:u w:val="single"/>
              </w:rPr>
            </w:pPr>
            <w:r>
              <w:rPr>
                <w:rFonts w:hint="eastAsia" w:ascii="宋体" w:hAnsi="宋体"/>
                <w:strike w:val="0"/>
                <w:color w:val="auto"/>
                <w:highlight w:val="none"/>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备选投标方案</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u w:val="single"/>
              </w:rPr>
            </w:pPr>
            <w:r>
              <w:rPr>
                <w:rFonts w:hint="eastAsia" w:ascii="宋体" w:hAnsi="宋体" w:cs="宋体"/>
                <w:color w:val="auto"/>
                <w:highlight w:val="none"/>
              </w:rPr>
              <w:t>投标人机器码</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highlight w:val="none"/>
                <w:u w:val="single"/>
              </w:rPr>
              <w:t>投标人与本项目其他投标人加密打包投标文件电脑机器特征码一致的（以广州公共资源交易中心评标系统的检索信息为准），其投标将被否决。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2.1.2</w:t>
            </w:r>
          </w:p>
        </w:tc>
        <w:tc>
          <w:tcPr>
            <w:tcW w:w="695" w:type="dxa"/>
            <w:vMerge w:val="restart"/>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资格评审标准</w:t>
            </w:r>
          </w:p>
        </w:tc>
        <w:tc>
          <w:tcPr>
            <w:tcW w:w="2129" w:type="dxa"/>
            <w:gridSpan w:val="2"/>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营业执照</w:t>
            </w:r>
            <w:r>
              <w:rPr>
                <w:rFonts w:hint="eastAsia" w:ascii="宋体" w:hAnsi="宋体" w:cs="宋体"/>
                <w:color w:val="auto"/>
                <w:highlight w:val="none"/>
                <w:u w:val="single"/>
              </w:rPr>
              <w:t>或事业单位法人证书</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符合第二章“投标人须知”第</w:t>
            </w:r>
            <w:r>
              <w:rPr>
                <w:rFonts w:hint="eastAsia" w:ascii="宋体" w:hAnsi="宋体" w:cs="宋体"/>
                <w:color w:val="auto"/>
                <w:highlight w:val="none"/>
                <w:u w:val="single"/>
              </w:rPr>
              <w:t xml:space="preserve"> 3.5.2 </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资质要求</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strike/>
                <w:color w:val="auto"/>
                <w:highlight w:val="none"/>
              </w:rPr>
            </w:pPr>
            <w:r>
              <w:rPr>
                <w:rFonts w:hint="eastAsia" w:ascii="宋体" w:hAnsi="宋体" w:cs="宋体"/>
                <w:strike/>
                <w:color w:val="auto"/>
                <w:highlight w:val="none"/>
              </w:rPr>
              <w:t>财务要求</w:t>
            </w:r>
          </w:p>
        </w:tc>
        <w:tc>
          <w:tcPr>
            <w:tcW w:w="7073" w:type="dxa"/>
            <w:vAlign w:val="center"/>
          </w:tcPr>
          <w:p>
            <w:pPr>
              <w:spacing w:line="360" w:lineRule="auto"/>
              <w:rPr>
                <w:rFonts w:ascii="宋体" w:hAnsi="宋体" w:cs="宋体"/>
                <w:strike/>
                <w:color w:val="auto"/>
                <w:highlight w:val="none"/>
                <w:u w:val="single"/>
              </w:rPr>
            </w:pPr>
            <w:r>
              <w:rPr>
                <w:rFonts w:hint="eastAsia" w:ascii="宋体" w:hAnsi="宋体" w:cs="宋体"/>
                <w:strike/>
                <w:color w:val="auto"/>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strike/>
                <w:color w:val="auto"/>
                <w:highlight w:val="none"/>
              </w:rPr>
            </w:pPr>
            <w:r>
              <w:rPr>
                <w:rFonts w:hint="eastAsia" w:ascii="宋体" w:hAnsi="宋体" w:cs="宋体"/>
                <w:strike/>
                <w:color w:val="auto"/>
                <w:highlight w:val="none"/>
              </w:rPr>
              <w:t>业绩要求</w:t>
            </w:r>
          </w:p>
        </w:tc>
        <w:tc>
          <w:tcPr>
            <w:tcW w:w="7073" w:type="dxa"/>
            <w:vAlign w:val="center"/>
          </w:tcPr>
          <w:p>
            <w:pPr>
              <w:spacing w:line="360" w:lineRule="auto"/>
              <w:rPr>
                <w:rFonts w:ascii="宋体" w:hAnsi="宋体" w:cs="宋体"/>
                <w:strike/>
                <w:color w:val="auto"/>
                <w:highlight w:val="none"/>
              </w:rPr>
            </w:pPr>
            <w:r>
              <w:rPr>
                <w:rFonts w:hint="eastAsia" w:ascii="宋体" w:hAnsi="宋体" w:cs="宋体"/>
                <w:strike/>
                <w:color w:val="auto"/>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strike/>
                <w:color w:val="auto"/>
                <w:highlight w:val="none"/>
              </w:rPr>
            </w:pPr>
            <w:r>
              <w:rPr>
                <w:rFonts w:hint="eastAsia" w:ascii="宋体" w:hAnsi="宋体" w:cs="宋体"/>
                <w:strike/>
                <w:color w:val="auto"/>
                <w:highlight w:val="none"/>
              </w:rPr>
              <w:t>信誉要求</w:t>
            </w:r>
          </w:p>
        </w:tc>
        <w:tc>
          <w:tcPr>
            <w:tcW w:w="7073" w:type="dxa"/>
            <w:vAlign w:val="center"/>
          </w:tcPr>
          <w:p>
            <w:pPr>
              <w:spacing w:line="360" w:lineRule="auto"/>
              <w:rPr>
                <w:rFonts w:ascii="宋体" w:hAnsi="宋体" w:cs="宋体"/>
                <w:strike/>
                <w:color w:val="auto"/>
                <w:highlight w:val="none"/>
              </w:rPr>
            </w:pPr>
            <w:r>
              <w:rPr>
                <w:rFonts w:hint="eastAsia" w:ascii="宋体" w:hAnsi="宋体" w:cs="宋体"/>
                <w:strike/>
                <w:color w:val="auto"/>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szCs w:val="21"/>
                <w:highlight w:val="none"/>
                <w:u w:val="single"/>
              </w:rPr>
              <w:t>项目负责人</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strike/>
                <w:color w:val="auto"/>
                <w:highlight w:val="none"/>
              </w:rPr>
            </w:pPr>
            <w:r>
              <w:rPr>
                <w:rFonts w:hint="eastAsia" w:ascii="宋体" w:hAnsi="宋体" w:cs="宋体"/>
                <w:strike/>
                <w:color w:val="auto"/>
                <w:highlight w:val="none"/>
              </w:rPr>
              <w:t>其他主要人员</w:t>
            </w:r>
          </w:p>
        </w:tc>
        <w:tc>
          <w:tcPr>
            <w:tcW w:w="7073" w:type="dxa"/>
            <w:vAlign w:val="center"/>
          </w:tcPr>
          <w:p>
            <w:pPr>
              <w:spacing w:line="360" w:lineRule="auto"/>
              <w:rPr>
                <w:rFonts w:ascii="宋体" w:hAnsi="宋体" w:cs="宋体"/>
                <w:strike/>
                <w:color w:val="auto"/>
                <w:highlight w:val="none"/>
              </w:rPr>
            </w:pPr>
            <w:r>
              <w:rPr>
                <w:rFonts w:hint="eastAsia" w:ascii="宋体" w:hAnsi="宋体" w:cs="宋体"/>
                <w:strike/>
                <w:color w:val="auto"/>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napToGrid w:val="0"/>
              <w:spacing w:line="360" w:lineRule="auto"/>
              <w:jc w:val="center"/>
              <w:rPr>
                <w:rFonts w:ascii="宋体" w:hAnsi="宋体" w:cs="宋体"/>
                <w:strike/>
                <w:color w:val="auto"/>
                <w:highlight w:val="none"/>
              </w:rPr>
            </w:pPr>
            <w:r>
              <w:rPr>
                <w:rFonts w:hint="eastAsia" w:ascii="宋体" w:hAnsi="宋体" w:cs="宋体"/>
                <w:strike/>
                <w:color w:val="auto"/>
                <w:highlight w:val="none"/>
              </w:rPr>
              <w:t>试验检测监测仪器设备</w:t>
            </w:r>
          </w:p>
        </w:tc>
        <w:tc>
          <w:tcPr>
            <w:tcW w:w="7073" w:type="dxa"/>
            <w:vAlign w:val="center"/>
          </w:tcPr>
          <w:p>
            <w:pPr>
              <w:snapToGrid w:val="0"/>
              <w:spacing w:line="360" w:lineRule="auto"/>
              <w:rPr>
                <w:rFonts w:ascii="宋体" w:hAnsi="宋体" w:cs="宋体"/>
                <w:strike/>
                <w:color w:val="auto"/>
                <w:highlight w:val="none"/>
              </w:rPr>
            </w:pPr>
            <w:r>
              <w:rPr>
                <w:rFonts w:hint="eastAsia" w:ascii="宋体" w:hAnsi="宋体" w:cs="宋体"/>
                <w:strike/>
                <w:color w:val="auto"/>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其他要求</w:t>
            </w:r>
          </w:p>
        </w:tc>
        <w:tc>
          <w:tcPr>
            <w:tcW w:w="7073" w:type="dxa"/>
            <w:vAlign w:val="center"/>
          </w:tcPr>
          <w:p>
            <w:pPr>
              <w:spacing w:line="360" w:lineRule="auto"/>
              <w:rPr>
                <w:rFonts w:ascii="宋体" w:hAnsi="宋体" w:cs="宋体"/>
                <w:color w:val="auto"/>
                <w:highlight w:val="none"/>
                <w:u w:val="single"/>
              </w:rPr>
            </w:pPr>
            <w:r>
              <w:rPr>
                <w:rFonts w:hint="eastAsia" w:ascii="宋体" w:hAnsi="宋体" w:cs="宋体"/>
                <w:color w:val="auto"/>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联合体投标人</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szCs w:val="21"/>
                <w:highlight w:val="none"/>
              </w:rPr>
              <w:t>未被纳入拖欠农民工工资失信联合惩戒对象名单</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szCs w:val="21"/>
                <w:highlight w:val="none"/>
              </w:rPr>
              <w:t>投标人无需提供资料，按广州公共资源交易中心交易系统比对的结果进行评审。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napToGrid w:val="0"/>
              <w:spacing w:line="360" w:lineRule="auto"/>
              <w:jc w:val="center"/>
              <w:rPr>
                <w:rFonts w:ascii="宋体" w:hAnsi="宋体" w:cs="宋体"/>
                <w:color w:val="auto"/>
                <w:highlight w:val="none"/>
              </w:rPr>
            </w:pPr>
            <w:r>
              <w:rPr>
                <w:rFonts w:hint="eastAsia" w:ascii="宋体" w:hAnsi="宋体" w:cs="宋体"/>
                <w:color w:val="auto"/>
                <w:highlight w:val="none"/>
              </w:rPr>
              <w:t>不存在禁止投标的情形</w:t>
            </w:r>
          </w:p>
        </w:tc>
        <w:tc>
          <w:tcPr>
            <w:tcW w:w="7073" w:type="dxa"/>
            <w:vAlign w:val="center"/>
          </w:tcPr>
          <w:p>
            <w:pPr>
              <w:snapToGrid w:val="0"/>
              <w:spacing w:line="360" w:lineRule="auto"/>
              <w:rPr>
                <w:rFonts w:ascii="宋体" w:hAnsi="宋体" w:cs="宋体"/>
                <w:color w:val="auto"/>
                <w:highlight w:val="none"/>
              </w:rPr>
            </w:pPr>
            <w:r>
              <w:rPr>
                <w:rFonts w:hint="eastAsia" w:ascii="宋体" w:hAnsi="宋体" w:cs="宋体"/>
                <w:color w:val="auto"/>
                <w:highlight w:val="none"/>
              </w:rPr>
              <w:t>不存在第二章“投标人须知”第 1.4.3 项规定的任何一种情形</w:t>
            </w:r>
            <w:r>
              <w:rPr>
                <w:rFonts w:hint="eastAsia" w:ascii="宋体" w:hAnsi="宋体" w:cs="宋体"/>
                <w:color w:val="auto"/>
                <w:highlight w:val="none"/>
                <w:u w:val="single"/>
              </w:rPr>
              <w:t>（以《投标人声明》为准）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2.1.3</w:t>
            </w:r>
          </w:p>
        </w:tc>
        <w:tc>
          <w:tcPr>
            <w:tcW w:w="695" w:type="dxa"/>
            <w:vMerge w:val="restart"/>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响应性评审标准</w:t>
            </w:r>
          </w:p>
        </w:tc>
        <w:tc>
          <w:tcPr>
            <w:tcW w:w="2129" w:type="dxa"/>
            <w:gridSpan w:val="2"/>
            <w:vAlign w:val="center"/>
          </w:tcPr>
          <w:p>
            <w:pPr>
              <w:spacing w:line="360" w:lineRule="auto"/>
              <w:jc w:val="center"/>
              <w:rPr>
                <w:rFonts w:ascii="宋体" w:hAnsi="宋体" w:cs="宋体"/>
                <w:strike/>
                <w:color w:val="auto"/>
                <w:highlight w:val="none"/>
                <w:u w:val="single"/>
              </w:rPr>
            </w:pPr>
            <w:r>
              <w:rPr>
                <w:rFonts w:hint="eastAsia" w:ascii="宋体" w:hAnsi="宋体" w:cs="宋体"/>
                <w:color w:val="auto"/>
                <w:highlight w:val="none"/>
              </w:rPr>
              <w:t>投标报价</w:t>
            </w:r>
          </w:p>
        </w:tc>
        <w:tc>
          <w:tcPr>
            <w:tcW w:w="7073" w:type="dxa"/>
            <w:vAlign w:val="center"/>
          </w:tcPr>
          <w:p>
            <w:pPr>
              <w:spacing w:line="360" w:lineRule="auto"/>
              <w:rPr>
                <w:rFonts w:ascii="宋体" w:hAnsi="宋体" w:cs="宋体"/>
                <w:strike/>
                <w:color w:val="auto"/>
                <w:highlight w:val="none"/>
                <w:u w:val="single"/>
              </w:rPr>
            </w:pPr>
            <w:r>
              <w:rPr>
                <w:rFonts w:hint="eastAsia" w:ascii="宋体" w:hAnsi="宋体" w:cs="宋体"/>
                <w:color w:val="auto"/>
                <w:highlight w:val="none"/>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投标内容</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服务期限</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质量标准</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投标有效期</w:t>
            </w:r>
          </w:p>
        </w:tc>
        <w:tc>
          <w:tcPr>
            <w:tcW w:w="707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strike/>
                <w:dstrike w:val="0"/>
                <w:color w:val="auto"/>
                <w:highlight w:val="none"/>
              </w:rPr>
            </w:pPr>
            <w:r>
              <w:rPr>
                <w:rFonts w:hint="eastAsia" w:ascii="宋体" w:hAnsi="宋体" w:cs="宋体"/>
                <w:strike/>
                <w:dstrike w:val="0"/>
                <w:color w:val="auto"/>
                <w:highlight w:val="none"/>
              </w:rPr>
              <w:t>投标保证金</w:t>
            </w:r>
          </w:p>
        </w:tc>
        <w:tc>
          <w:tcPr>
            <w:tcW w:w="7073" w:type="dxa"/>
            <w:vAlign w:val="center"/>
          </w:tcPr>
          <w:p>
            <w:pPr>
              <w:spacing w:line="360" w:lineRule="auto"/>
              <w:rPr>
                <w:rFonts w:ascii="宋体" w:hAnsi="宋体" w:cs="宋体"/>
                <w:strike/>
                <w:dstrike w:val="0"/>
                <w:color w:val="auto"/>
                <w:highlight w:val="none"/>
              </w:rPr>
            </w:pPr>
            <w:r>
              <w:rPr>
                <w:rFonts w:hint="eastAsia" w:ascii="宋体" w:hAnsi="宋体" w:cs="宋体"/>
                <w:strike/>
                <w:dstrike w:val="0"/>
                <w:color w:val="auto"/>
                <w:highlight w:val="none"/>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color w:val="auto"/>
                <w:highlight w:val="none"/>
              </w:rPr>
            </w:pPr>
          </w:p>
        </w:tc>
        <w:tc>
          <w:tcPr>
            <w:tcW w:w="695" w:type="dxa"/>
            <w:vMerge w:val="continue"/>
            <w:vAlign w:val="center"/>
          </w:tcPr>
          <w:p>
            <w:pPr>
              <w:spacing w:line="360" w:lineRule="auto"/>
              <w:jc w:val="center"/>
              <w:rPr>
                <w:rFonts w:ascii="宋体" w:hAnsi="宋体" w:cs="宋体"/>
                <w:color w:val="auto"/>
                <w:highlight w:val="none"/>
              </w:rPr>
            </w:pPr>
          </w:p>
        </w:tc>
        <w:tc>
          <w:tcPr>
            <w:tcW w:w="2129" w:type="dxa"/>
            <w:gridSpan w:val="2"/>
            <w:vAlign w:val="center"/>
          </w:tcPr>
          <w:p>
            <w:pPr>
              <w:spacing w:line="360" w:lineRule="auto"/>
              <w:jc w:val="center"/>
              <w:rPr>
                <w:rFonts w:ascii="宋体" w:hAnsi="宋体" w:cs="宋体"/>
                <w:color w:val="auto"/>
                <w:highlight w:val="none"/>
                <w:u w:val="single"/>
              </w:rPr>
            </w:pPr>
            <w:r>
              <w:rPr>
                <w:rFonts w:hint="eastAsia" w:ascii="宋体" w:hAnsi="宋体" w:cs="宋体"/>
                <w:color w:val="auto"/>
                <w:highlight w:val="none"/>
                <w:u w:val="single"/>
              </w:rPr>
              <w:t>串通投标情形</w:t>
            </w:r>
          </w:p>
        </w:tc>
        <w:tc>
          <w:tcPr>
            <w:tcW w:w="7073" w:type="dxa"/>
            <w:vAlign w:val="center"/>
          </w:tcPr>
          <w:p>
            <w:pPr>
              <w:spacing w:line="360" w:lineRule="auto"/>
              <w:rPr>
                <w:rFonts w:ascii="宋体" w:hAnsi="宋体" w:cs="宋体"/>
                <w:color w:val="auto"/>
                <w:highlight w:val="none"/>
                <w:u w:val="single"/>
              </w:rPr>
            </w:pPr>
            <w:r>
              <w:rPr>
                <w:rFonts w:hint="eastAsia" w:ascii="宋体" w:hAnsi="宋体" w:cs="宋体"/>
                <w:color w:val="auto"/>
                <w:highlight w:val="none"/>
                <w:u w:val="single"/>
              </w:rPr>
              <w:t>投标人之间不存在《广东省实施〈中华人民共和国招标投标法〉》第十六条所禁止的情形的；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5" w:type="dxa"/>
            <w:gridSpan w:val="2"/>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条款号</w:t>
            </w:r>
          </w:p>
        </w:tc>
        <w:tc>
          <w:tcPr>
            <w:tcW w:w="2129" w:type="dxa"/>
            <w:gridSpan w:val="2"/>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条款内容</w:t>
            </w:r>
          </w:p>
        </w:tc>
        <w:tc>
          <w:tcPr>
            <w:tcW w:w="7073" w:type="dxa"/>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545"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2.2.1</w:t>
            </w:r>
          </w:p>
        </w:tc>
        <w:tc>
          <w:tcPr>
            <w:tcW w:w="2129"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分值构成</w:t>
            </w:r>
          </w:p>
          <w:p>
            <w:pPr>
              <w:spacing w:line="360" w:lineRule="auto"/>
              <w:jc w:val="center"/>
              <w:rPr>
                <w:rFonts w:ascii="宋体" w:hAnsi="宋体" w:cs="宋体"/>
                <w:color w:val="auto"/>
                <w:highlight w:val="none"/>
              </w:rPr>
            </w:pPr>
            <w:r>
              <w:rPr>
                <w:rFonts w:hint="eastAsia" w:ascii="宋体" w:hAnsi="宋体" w:cs="宋体"/>
                <w:color w:val="auto"/>
                <w:highlight w:val="none"/>
              </w:rPr>
              <w:t>（总分 100 分）</w:t>
            </w:r>
          </w:p>
        </w:tc>
        <w:tc>
          <w:tcPr>
            <w:tcW w:w="7073" w:type="dxa"/>
            <w:vAlign w:val="center"/>
          </w:tcPr>
          <w:p>
            <w:pPr>
              <w:spacing w:line="360" w:lineRule="auto"/>
              <w:rPr>
                <w:rFonts w:ascii="宋体" w:hAnsi="宋体"/>
                <w:color w:val="auto"/>
                <w:highlight w:val="none"/>
                <w:u w:val="single"/>
              </w:rPr>
            </w:pPr>
            <w:r>
              <w:rPr>
                <w:rFonts w:hint="eastAsia" w:ascii="宋体" w:hAnsi="宋体"/>
                <w:color w:val="auto"/>
                <w:highlight w:val="none"/>
              </w:rPr>
              <w:t>1、企业资信业绩：</w:t>
            </w:r>
            <w:r>
              <w:rPr>
                <w:rFonts w:hint="eastAsia" w:ascii="宋体" w:hAnsi="宋体"/>
                <w:color w:val="auto"/>
                <w:highlight w:val="none"/>
                <w:u w:val="single"/>
              </w:rPr>
              <w:t>5</w:t>
            </w:r>
            <w:r>
              <w:rPr>
                <w:rFonts w:ascii="宋体" w:hAnsi="宋体"/>
                <w:color w:val="auto"/>
                <w:highlight w:val="none"/>
                <w:u w:val="single"/>
              </w:rPr>
              <w:t>0</w:t>
            </w:r>
            <w:r>
              <w:rPr>
                <w:rFonts w:hint="eastAsia" w:ascii="宋体" w:hAnsi="宋体"/>
                <w:color w:val="auto"/>
                <w:highlight w:val="none"/>
                <w:u w:val="single"/>
              </w:rPr>
              <w:t>分</w:t>
            </w:r>
          </w:p>
          <w:p>
            <w:pPr>
              <w:spacing w:line="360" w:lineRule="auto"/>
              <w:rPr>
                <w:rFonts w:ascii="宋体" w:hAnsi="宋体"/>
                <w:color w:val="auto"/>
                <w:highlight w:val="none"/>
                <w:u w:val="single"/>
              </w:rPr>
            </w:pPr>
            <w:r>
              <w:rPr>
                <w:rFonts w:hint="eastAsia" w:ascii="宋体" w:hAnsi="宋体"/>
                <w:color w:val="auto"/>
                <w:highlight w:val="none"/>
              </w:rPr>
              <w:t>2、技术方案：</w:t>
            </w:r>
            <w:r>
              <w:rPr>
                <w:rFonts w:hint="eastAsia" w:ascii="宋体" w:hAnsi="宋体"/>
                <w:color w:val="auto"/>
                <w:highlight w:val="none"/>
                <w:u w:val="single"/>
              </w:rPr>
              <w:t>40分</w:t>
            </w:r>
          </w:p>
          <w:p>
            <w:pPr>
              <w:spacing w:line="360" w:lineRule="auto"/>
              <w:rPr>
                <w:rFonts w:ascii="宋体" w:hAnsi="宋体"/>
                <w:color w:val="auto"/>
                <w:highlight w:val="none"/>
                <w:u w:val="single"/>
              </w:rPr>
            </w:pPr>
            <w:r>
              <w:rPr>
                <w:rFonts w:ascii="宋体" w:hAnsi="宋体"/>
                <w:color w:val="auto"/>
                <w:highlight w:val="none"/>
              </w:rPr>
              <w:t>3</w:t>
            </w:r>
            <w:r>
              <w:rPr>
                <w:rFonts w:hint="eastAsia" w:ascii="宋体" w:hAnsi="宋体"/>
                <w:color w:val="auto"/>
                <w:highlight w:val="none"/>
              </w:rPr>
              <w:t>、投标报价：</w:t>
            </w:r>
            <w:r>
              <w:rPr>
                <w:rFonts w:hint="eastAsia" w:ascii="宋体" w:hAnsi="宋体"/>
                <w:color w:val="auto"/>
                <w:highlight w:val="none"/>
                <w:u w:val="singl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2.2.2</w:t>
            </w:r>
          </w:p>
        </w:tc>
        <w:tc>
          <w:tcPr>
            <w:tcW w:w="2129" w:type="dxa"/>
            <w:gridSpan w:val="2"/>
            <w:vAlign w:val="center"/>
          </w:tcPr>
          <w:p>
            <w:pPr>
              <w:spacing w:line="360" w:lineRule="auto"/>
              <w:jc w:val="center"/>
              <w:rPr>
                <w:rFonts w:ascii="宋体" w:hAnsi="宋体" w:cs="宋体"/>
                <w:strike/>
                <w:color w:val="auto"/>
                <w:highlight w:val="none"/>
              </w:rPr>
            </w:pPr>
            <w:r>
              <w:rPr>
                <w:rFonts w:hint="eastAsia" w:ascii="宋体" w:hAnsi="宋体" w:cs="宋体"/>
                <w:strike/>
                <w:color w:val="auto"/>
                <w:highlight w:val="none"/>
              </w:rPr>
              <w:t>评标基准价计算方法</w:t>
            </w:r>
          </w:p>
        </w:tc>
        <w:tc>
          <w:tcPr>
            <w:tcW w:w="7073" w:type="dxa"/>
            <w:vAlign w:val="center"/>
          </w:tcPr>
          <w:p>
            <w:pPr>
              <w:spacing w:line="360" w:lineRule="auto"/>
              <w:rPr>
                <w:rFonts w:ascii="宋体" w:hAnsi="宋体" w:cs="宋体"/>
                <w:strike/>
                <w:color w:val="auto"/>
                <w:highlight w:val="none"/>
                <w:u w:val="single"/>
              </w:rPr>
            </w:pPr>
            <w:r>
              <w:rPr>
                <w:rFonts w:hint="eastAsia" w:ascii="宋体" w:hAnsi="宋体" w:cs="宋体"/>
                <w:strike/>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45" w:type="dxa"/>
            <w:gridSpan w:val="2"/>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2.2.3</w:t>
            </w:r>
          </w:p>
        </w:tc>
        <w:tc>
          <w:tcPr>
            <w:tcW w:w="2129" w:type="dxa"/>
            <w:gridSpan w:val="2"/>
            <w:vAlign w:val="center"/>
          </w:tcPr>
          <w:p>
            <w:pPr>
              <w:spacing w:line="360" w:lineRule="auto"/>
              <w:jc w:val="center"/>
              <w:rPr>
                <w:rFonts w:ascii="宋体" w:hAnsi="宋体" w:cs="宋体"/>
                <w:strike/>
                <w:color w:val="auto"/>
                <w:highlight w:val="none"/>
              </w:rPr>
            </w:pPr>
            <w:r>
              <w:rPr>
                <w:rFonts w:hint="eastAsia" w:ascii="宋体" w:hAnsi="宋体" w:cs="宋体"/>
                <w:strike/>
                <w:color w:val="auto"/>
                <w:highlight w:val="none"/>
              </w:rPr>
              <w:t>投标报价的偏差率 计算公式</w:t>
            </w:r>
          </w:p>
        </w:tc>
        <w:tc>
          <w:tcPr>
            <w:tcW w:w="7073" w:type="dxa"/>
            <w:vAlign w:val="center"/>
          </w:tcPr>
          <w:p>
            <w:pPr>
              <w:spacing w:line="360" w:lineRule="auto"/>
              <w:rPr>
                <w:rFonts w:ascii="宋体" w:hAnsi="宋体" w:cs="宋体"/>
                <w:strike/>
                <w:color w:val="auto"/>
                <w:highlight w:val="none"/>
                <w:u w:val="single"/>
              </w:rPr>
            </w:pPr>
            <w:r>
              <w:rPr>
                <w:rFonts w:hint="eastAsia" w:ascii="宋体" w:hAnsi="宋体" w:cs="宋体"/>
                <w:strike/>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45" w:type="dxa"/>
            <w:gridSpan w:val="2"/>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条款号</w:t>
            </w:r>
          </w:p>
        </w:tc>
        <w:tc>
          <w:tcPr>
            <w:tcW w:w="2129" w:type="dxa"/>
            <w:gridSpan w:val="2"/>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评分因素</w:t>
            </w:r>
          </w:p>
        </w:tc>
        <w:tc>
          <w:tcPr>
            <w:tcW w:w="7073" w:type="dxa"/>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Merge w:val="restart"/>
            <w:vAlign w:val="center"/>
          </w:tcPr>
          <w:p>
            <w:pPr>
              <w:spacing w:after="180" w:line="360" w:lineRule="auto"/>
              <w:rPr>
                <w:rFonts w:ascii="宋体" w:hAnsi="宋体" w:cs="宋体"/>
                <w:color w:val="auto"/>
                <w:szCs w:val="21"/>
                <w:highlight w:val="none"/>
              </w:rPr>
            </w:pPr>
            <w:r>
              <w:rPr>
                <w:rFonts w:hint="eastAsia" w:ascii="宋体" w:hAnsi="宋体" w:cs="宋体"/>
                <w:color w:val="auto"/>
                <w:szCs w:val="21"/>
                <w:highlight w:val="none"/>
              </w:rPr>
              <w:t>2.2.4</w:t>
            </w:r>
          </w:p>
          <w:p>
            <w:pPr>
              <w:spacing w:line="360" w:lineRule="auto"/>
              <w:ind w:left="106"/>
              <w:rPr>
                <w:rFonts w:ascii="宋体" w:hAnsi="宋体" w:cs="宋体"/>
                <w:b/>
                <w:color w:val="auto"/>
                <w:highlight w:val="none"/>
              </w:rPr>
            </w:pPr>
            <w:r>
              <w:rPr>
                <w:rFonts w:hint="eastAsia" w:ascii="宋体" w:hAnsi="宋体" w:cs="宋体"/>
                <w:color w:val="auto"/>
                <w:szCs w:val="21"/>
                <w:highlight w:val="none"/>
              </w:rPr>
              <w:t xml:space="preserve">（1） </w:t>
            </w:r>
          </w:p>
        </w:tc>
        <w:tc>
          <w:tcPr>
            <w:tcW w:w="695"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企业资信业绩评分标准 </w:t>
            </w:r>
          </w:p>
          <w:p>
            <w:pPr>
              <w:spacing w:line="360" w:lineRule="auto"/>
              <w:jc w:val="center"/>
              <w:rPr>
                <w:rFonts w:ascii="宋体" w:hAnsi="宋体" w:cs="宋体"/>
                <w:b/>
                <w:color w:val="auto"/>
                <w:highlight w:val="none"/>
              </w:rPr>
            </w:pPr>
            <w:r>
              <w:rPr>
                <w:rFonts w:hint="eastAsia" w:ascii="宋体" w:hAnsi="宋体" w:cs="宋体"/>
                <w:color w:val="auto"/>
                <w:szCs w:val="21"/>
                <w:highlight w:val="none"/>
              </w:rPr>
              <w:t>（5</w:t>
            </w:r>
            <w:r>
              <w:rPr>
                <w:rFonts w:ascii="宋体" w:hAnsi="宋体" w:cs="宋体"/>
                <w:color w:val="auto"/>
                <w:szCs w:val="21"/>
                <w:highlight w:val="none"/>
              </w:rPr>
              <w:t>0</w:t>
            </w:r>
            <w:r>
              <w:rPr>
                <w:rFonts w:hint="eastAsia" w:ascii="宋体" w:hAnsi="宋体" w:cs="宋体"/>
                <w:color w:val="auto"/>
                <w:szCs w:val="21"/>
                <w:highlight w:val="none"/>
              </w:rPr>
              <w:t>分）</w:t>
            </w:r>
          </w:p>
        </w:tc>
        <w:tc>
          <w:tcPr>
            <w:tcW w:w="2129" w:type="dxa"/>
            <w:gridSpan w:val="2"/>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企业资信</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分）</w:t>
            </w:r>
          </w:p>
        </w:tc>
        <w:tc>
          <w:tcPr>
            <w:tcW w:w="7073" w:type="dxa"/>
            <w:vAlign w:val="top"/>
          </w:tcPr>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投标人具有</w:t>
            </w:r>
            <w:r>
              <w:rPr>
                <w:rFonts w:hint="eastAsia" w:ascii="宋体" w:hAnsi="宋体" w:cs="宋体"/>
                <w:color w:val="auto"/>
                <w:szCs w:val="21"/>
                <w:highlight w:val="none"/>
                <w:lang w:val="en-US" w:eastAsia="zh-CN"/>
              </w:rPr>
              <w:t>有效期内的</w:t>
            </w:r>
            <w:r>
              <w:rPr>
                <w:rFonts w:hint="eastAsia" w:ascii="宋体" w:hAnsi="宋体" w:cs="宋体"/>
                <w:color w:val="auto"/>
                <w:szCs w:val="21"/>
                <w:highlight w:val="none"/>
              </w:rPr>
              <w:t>质量管理体系、环境管理体系、职业健康安全管理体系</w:t>
            </w:r>
            <w:r>
              <w:rPr>
                <w:rFonts w:hint="eastAsia" w:ascii="宋体" w:hAnsi="宋体" w:cs="宋体"/>
                <w:color w:val="auto"/>
                <w:szCs w:val="21"/>
                <w:highlight w:val="none"/>
                <w:lang w:eastAsia="zh-CN"/>
              </w:rPr>
              <w:t>、知识产权管理体系认证、信息安全管理体系认证、</w:t>
            </w:r>
            <w:r>
              <w:rPr>
                <w:rFonts w:hint="eastAsia" w:ascii="宋体" w:hAnsi="宋体" w:cs="宋体"/>
                <w:color w:val="auto"/>
                <w:szCs w:val="21"/>
                <w:highlight w:val="none"/>
                <w:lang w:val="en-US" w:eastAsia="zh-CN"/>
              </w:rPr>
              <w:t>履约能力评价体系认证</w:t>
            </w:r>
            <w:r>
              <w:rPr>
                <w:rFonts w:hint="eastAsia" w:ascii="宋体" w:hAnsi="宋体" w:cs="宋体"/>
                <w:color w:val="auto"/>
                <w:szCs w:val="21"/>
                <w:highlight w:val="none"/>
              </w:rPr>
              <w:t>等且在有效期内的，每提供一项</w:t>
            </w:r>
            <w:r>
              <w:rPr>
                <w:rFonts w:hint="eastAsia" w:ascii="宋体" w:hAnsi="宋体" w:cs="宋体"/>
                <w:color w:val="auto"/>
                <w:szCs w:val="21"/>
                <w:highlight w:val="none"/>
                <w:lang w:val="en-US" w:eastAsia="zh-CN"/>
              </w:rPr>
              <w:t>得1</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无或其他不得分</w:t>
            </w:r>
            <w:r>
              <w:rPr>
                <w:rFonts w:hint="eastAsia" w:ascii="宋体" w:hAnsi="宋体" w:cs="宋体"/>
                <w:color w:val="auto"/>
                <w:szCs w:val="21"/>
                <w:highlight w:val="none"/>
              </w:rPr>
              <w:t>。</w:t>
            </w:r>
          </w:p>
          <w:p>
            <w:pPr>
              <w:pStyle w:val="28"/>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注：本项最高得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需同时</w:t>
            </w: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有效期内的认证证书在“</w:t>
            </w:r>
            <w:r>
              <w:rPr>
                <w:rFonts w:hint="eastAsia" w:ascii="宋体" w:hAnsi="宋体" w:cs="宋体"/>
                <w:color w:val="auto"/>
                <w:szCs w:val="21"/>
                <w:highlight w:val="none"/>
              </w:rPr>
              <w:t>全国认证认可信息公共服务平台 (http://cx.cnca.cn/</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公示查询的有效信息，包括投标人名称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证书编号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认证依据</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相关认证证书覆盖及相应体系的截图，</w:t>
            </w:r>
            <w:r>
              <w:rPr>
                <w:rFonts w:hint="eastAsia" w:ascii="宋体" w:hAnsi="宋体" w:cs="宋体"/>
                <w:color w:val="auto"/>
                <w:szCs w:val="21"/>
                <w:highlight w:val="none"/>
              </w:rPr>
              <w:t>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0" w:type="dxa"/>
            <w:vMerge w:val="continue"/>
            <w:vAlign w:val="center"/>
          </w:tcPr>
          <w:p>
            <w:pPr>
              <w:spacing w:line="360" w:lineRule="auto"/>
              <w:ind w:left="106"/>
              <w:rPr>
                <w:rFonts w:ascii="宋体" w:hAnsi="宋体" w:cs="宋体"/>
                <w:b/>
                <w:color w:val="auto"/>
                <w:highlight w:val="none"/>
              </w:rPr>
            </w:pPr>
          </w:p>
        </w:tc>
        <w:tc>
          <w:tcPr>
            <w:tcW w:w="695" w:type="dxa"/>
            <w:vMerge w:val="continue"/>
            <w:vAlign w:val="center"/>
          </w:tcPr>
          <w:p>
            <w:pPr>
              <w:spacing w:line="360" w:lineRule="auto"/>
              <w:jc w:val="center"/>
              <w:rPr>
                <w:rFonts w:ascii="宋体" w:hAnsi="宋体" w:cs="宋体"/>
                <w:b/>
                <w:color w:val="auto"/>
                <w:highlight w:val="none"/>
              </w:rPr>
            </w:pPr>
          </w:p>
        </w:tc>
        <w:tc>
          <w:tcPr>
            <w:tcW w:w="2129" w:type="dxa"/>
            <w:gridSpan w:val="2"/>
            <w:vMerge w:val="continue"/>
            <w:vAlign w:val="center"/>
          </w:tcPr>
          <w:p>
            <w:pPr>
              <w:spacing w:line="360" w:lineRule="auto"/>
              <w:jc w:val="center"/>
              <w:rPr>
                <w:rFonts w:ascii="宋体" w:hAnsi="宋体" w:cs="宋体"/>
                <w:color w:val="auto"/>
                <w:szCs w:val="21"/>
                <w:highlight w:val="none"/>
              </w:rPr>
            </w:pPr>
          </w:p>
        </w:tc>
        <w:tc>
          <w:tcPr>
            <w:tcW w:w="7073" w:type="dxa"/>
          </w:tcPr>
          <w:p>
            <w:pPr>
              <w:numPr>
                <w:ilvl w:val="255"/>
                <w:numId w:val="0"/>
              </w:numPr>
              <w:tabs>
                <w:tab w:val="left" w:pos="360"/>
              </w:tabs>
              <w:snapToGrid w:val="0"/>
              <w:spacing w:line="360" w:lineRule="auto"/>
              <w:rPr>
                <w:rFonts w:ascii="宋体" w:hAnsi="宋体" w:cs="宋体"/>
                <w:color w:val="auto"/>
                <w:szCs w:val="21"/>
                <w:highlight w:val="none"/>
              </w:rPr>
            </w:pPr>
            <w:r>
              <w:rPr>
                <w:rFonts w:hint="eastAsia" w:ascii="宋体" w:hAnsi="宋体" w:cs="宋体"/>
                <w:color w:val="auto"/>
                <w:kern w:val="0"/>
                <w:szCs w:val="21"/>
                <w:highlight w:val="none"/>
              </w:rPr>
              <w:t>2018年1月1日至投标截止时间止,</w:t>
            </w:r>
            <w:r>
              <w:rPr>
                <w:rFonts w:hint="eastAsia" w:ascii="宋体" w:hAnsi="宋体" w:cs="宋体"/>
                <w:color w:val="auto"/>
                <w:kern w:val="0"/>
                <w:szCs w:val="21"/>
                <w:highlight w:val="none"/>
                <w:lang w:val="en-US" w:eastAsia="zh-CN"/>
              </w:rPr>
              <w:t>投标人</w:t>
            </w:r>
            <w:r>
              <w:rPr>
                <w:rFonts w:hint="eastAsia" w:ascii="宋体" w:hAnsi="宋体" w:cs="宋体"/>
                <w:color w:val="auto"/>
                <w:kern w:val="0"/>
                <w:szCs w:val="21"/>
                <w:highlight w:val="none"/>
              </w:rPr>
              <w:t>获得</w:t>
            </w:r>
            <w:r>
              <w:rPr>
                <w:rFonts w:hint="eastAsia" w:ascii="宋体" w:hAnsi="宋体" w:cs="宋体"/>
                <w:color w:val="auto"/>
                <w:kern w:val="0"/>
                <w:szCs w:val="21"/>
                <w:highlight w:val="none"/>
                <w:lang w:val="en-US" w:eastAsia="zh-CN"/>
              </w:rPr>
              <w:t>与工程检测类相关</w:t>
            </w:r>
            <w:r>
              <w:rPr>
                <w:rFonts w:hint="default" w:ascii="宋体" w:hAnsi="宋体" w:cs="宋体"/>
                <w:color w:val="auto"/>
                <w:szCs w:val="21"/>
                <w:highlight w:val="none"/>
                <w:lang w:val="en-US"/>
              </w:rPr>
              <w:t>实用新型</w:t>
            </w:r>
            <w:r>
              <w:rPr>
                <w:rFonts w:hint="eastAsia" w:ascii="宋体" w:hAnsi="宋体" w:cs="宋体"/>
                <w:color w:val="auto"/>
                <w:szCs w:val="21"/>
                <w:highlight w:val="none"/>
                <w:lang w:val="en-US" w:eastAsia="zh-CN"/>
              </w:rPr>
              <w:t>的</w:t>
            </w:r>
            <w:r>
              <w:rPr>
                <w:rFonts w:hint="default" w:ascii="宋体" w:hAnsi="宋体" w:cs="宋体"/>
                <w:color w:val="auto"/>
                <w:szCs w:val="21"/>
                <w:highlight w:val="none"/>
                <w:lang w:val="en-US"/>
              </w:rPr>
              <w:t>专利</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发明专利</w:t>
            </w:r>
            <w:r>
              <w:rPr>
                <w:rFonts w:hint="eastAsia" w:ascii="宋体" w:hAnsi="宋体" w:cs="宋体"/>
                <w:color w:val="auto"/>
                <w:kern w:val="0"/>
                <w:szCs w:val="21"/>
                <w:highlight w:val="none"/>
              </w:rPr>
              <w:t>的得</w:t>
            </w:r>
            <w:r>
              <w:rPr>
                <w:rFonts w:ascii="宋体" w:hAnsi="宋体" w:cs="宋体"/>
                <w:color w:val="auto"/>
                <w:kern w:val="0"/>
                <w:szCs w:val="21"/>
                <w:highlight w:val="none"/>
              </w:rPr>
              <w:t>3</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无或</w:t>
            </w:r>
            <w:r>
              <w:rPr>
                <w:rFonts w:hint="eastAsia" w:ascii="宋体" w:hAnsi="宋体" w:cs="宋体"/>
                <w:color w:val="auto"/>
                <w:szCs w:val="21"/>
                <w:highlight w:val="none"/>
              </w:rPr>
              <w:t>其他不得分。</w:t>
            </w:r>
          </w:p>
          <w:p>
            <w:pPr>
              <w:pStyle w:val="28"/>
              <w:spacing w:line="360" w:lineRule="auto"/>
              <w:ind w:firstLine="0"/>
              <w:jc w:val="left"/>
              <w:rPr>
                <w:rStyle w:val="53"/>
                <w:rFonts w:hint="default" w:eastAsia="宋体" w:cs="宋体"/>
                <w:color w:val="auto"/>
                <w:szCs w:val="21"/>
                <w:highlight w:val="none"/>
                <w:lang w:val="en-US" w:eastAsia="zh-CN"/>
              </w:rPr>
            </w:pPr>
            <w:r>
              <w:rPr>
                <w:rStyle w:val="53"/>
                <w:rFonts w:hint="eastAsia" w:cs="宋体"/>
                <w:color w:val="auto"/>
                <w:szCs w:val="21"/>
                <w:highlight w:val="none"/>
              </w:rPr>
              <w:t>注：</w:t>
            </w:r>
            <w:r>
              <w:rPr>
                <w:rStyle w:val="53"/>
                <w:rFonts w:hint="eastAsia" w:cs="宋体"/>
                <w:color w:val="auto"/>
                <w:szCs w:val="21"/>
                <w:highlight w:val="none"/>
                <w:lang w:val="en-US"/>
              </w:rPr>
              <w:t>1.</w:t>
            </w:r>
            <w:r>
              <w:rPr>
                <w:rFonts w:hint="eastAsia" w:cs="宋体"/>
                <w:color w:val="auto"/>
                <w:szCs w:val="21"/>
                <w:highlight w:val="none"/>
              </w:rPr>
              <w:t>本项最高得</w:t>
            </w:r>
            <w:r>
              <w:rPr>
                <w:rFonts w:cs="宋体"/>
                <w:color w:val="auto"/>
                <w:szCs w:val="21"/>
                <w:highlight w:val="none"/>
              </w:rPr>
              <w:t>3</w:t>
            </w:r>
            <w:r>
              <w:rPr>
                <w:rFonts w:hint="eastAsia" w:cs="宋体"/>
                <w:color w:val="auto"/>
                <w:szCs w:val="21"/>
                <w:highlight w:val="none"/>
              </w:rPr>
              <w:t>分。</w:t>
            </w:r>
            <w:r>
              <w:rPr>
                <w:rFonts w:hint="eastAsia" w:ascii="宋体" w:hAnsi="宋体" w:cs="宋体"/>
                <w:color w:val="auto"/>
                <w:szCs w:val="21"/>
                <w:highlight w:val="none"/>
                <w:lang w:val="en-US" w:eastAsia="zh-CN"/>
              </w:rPr>
              <w:t>工程检测类相关的</w:t>
            </w:r>
            <w:r>
              <w:rPr>
                <w:rFonts w:hint="default" w:ascii="宋体" w:hAnsi="宋体" w:cs="宋体"/>
                <w:color w:val="auto"/>
                <w:szCs w:val="21"/>
                <w:highlight w:val="none"/>
                <w:lang w:val="en-US"/>
              </w:rPr>
              <w:t>实用新型</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发明</w:t>
            </w:r>
            <w:r>
              <w:rPr>
                <w:rFonts w:hint="eastAsia" w:ascii="宋体" w:hAnsi="宋体" w:cs="宋体"/>
                <w:color w:val="auto"/>
                <w:szCs w:val="21"/>
                <w:highlight w:val="none"/>
                <w:lang w:val="en-US" w:eastAsia="zh-CN"/>
              </w:rPr>
              <w:t>包含技术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方法</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设备装备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运行系统等。</w:t>
            </w:r>
          </w:p>
          <w:p>
            <w:pPr>
              <w:pStyle w:val="28"/>
              <w:spacing w:line="360" w:lineRule="auto"/>
              <w:ind w:firstLine="0"/>
              <w:jc w:val="left"/>
              <w:rPr>
                <w:rFonts w:ascii="宋体" w:hAnsi="宋体" w:cs="宋体"/>
                <w:color w:val="auto"/>
                <w:szCs w:val="21"/>
                <w:highlight w:val="none"/>
              </w:rPr>
            </w:pPr>
            <w:r>
              <w:rPr>
                <w:rFonts w:hint="eastAsia" w:cs="宋体"/>
                <w:color w:val="auto"/>
                <w:szCs w:val="21"/>
                <w:highlight w:val="none"/>
                <w:lang w:val="en-US" w:eastAsia="zh-CN"/>
              </w:rPr>
              <w:t>2.</w:t>
            </w:r>
            <w:r>
              <w:rPr>
                <w:rFonts w:hint="eastAsia"/>
                <w:color w:val="auto"/>
                <w:highlight w:val="none"/>
              </w:rPr>
              <w:t>专利以国家知识产权局网站（http://cpquery.cnipa.gov.cn/）中的“专利检索查询”-“公众查询”可查询的专利为准，时间以授权公告日期为准，投标人</w:t>
            </w:r>
            <w:r>
              <w:rPr>
                <w:rFonts w:hint="eastAsia"/>
                <w:color w:val="auto"/>
                <w:highlight w:val="none"/>
                <w:lang w:val="en-US" w:eastAsia="zh-CN"/>
              </w:rPr>
              <w:t>需</w:t>
            </w:r>
            <w:r>
              <w:rPr>
                <w:rFonts w:hint="eastAsia"/>
                <w:color w:val="auto"/>
                <w:highlight w:val="none"/>
              </w:rPr>
              <w:t>提交上述网站可反映企业专利类型为“实用新型”或“发明专利”、专利号、授权公告日的查询截图，不符合上述条件或未提供上述资料的不得分。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0" w:type="dxa"/>
            <w:vMerge w:val="continue"/>
            <w:vAlign w:val="center"/>
          </w:tcPr>
          <w:p>
            <w:pPr>
              <w:spacing w:line="360" w:lineRule="auto"/>
              <w:ind w:left="106"/>
              <w:rPr>
                <w:rFonts w:ascii="宋体" w:hAnsi="宋体" w:cs="宋体"/>
                <w:b/>
                <w:color w:val="auto"/>
                <w:highlight w:val="none"/>
              </w:rPr>
            </w:pPr>
          </w:p>
        </w:tc>
        <w:tc>
          <w:tcPr>
            <w:tcW w:w="695" w:type="dxa"/>
            <w:vMerge w:val="continue"/>
            <w:vAlign w:val="center"/>
          </w:tcPr>
          <w:p>
            <w:pPr>
              <w:spacing w:line="360" w:lineRule="auto"/>
              <w:jc w:val="center"/>
              <w:rPr>
                <w:rFonts w:ascii="宋体" w:hAnsi="宋体" w:cs="宋体"/>
                <w:b/>
                <w:color w:val="auto"/>
                <w:highlight w:val="none"/>
              </w:rPr>
            </w:pPr>
          </w:p>
        </w:tc>
        <w:tc>
          <w:tcPr>
            <w:tcW w:w="2129" w:type="dxa"/>
            <w:gridSpan w:val="2"/>
            <w:vMerge w:val="continue"/>
            <w:vAlign w:val="center"/>
          </w:tcPr>
          <w:p>
            <w:pPr>
              <w:spacing w:line="360" w:lineRule="auto"/>
              <w:jc w:val="center"/>
              <w:rPr>
                <w:rFonts w:ascii="宋体" w:hAnsi="宋体" w:cs="宋体"/>
                <w:color w:val="auto"/>
                <w:szCs w:val="21"/>
                <w:highlight w:val="none"/>
              </w:rPr>
            </w:pPr>
          </w:p>
        </w:tc>
        <w:tc>
          <w:tcPr>
            <w:tcW w:w="7073" w:type="dxa"/>
          </w:tcPr>
          <w:p>
            <w:pPr>
              <w:numPr>
                <w:ilvl w:val="255"/>
                <w:numId w:val="0"/>
              </w:numPr>
              <w:tabs>
                <w:tab w:val="left" w:pos="360"/>
              </w:tabs>
              <w:snapToGrid w:val="0"/>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投标人主编或参编过省级或以上市政类检测技术标准/规范成果文件的</w:t>
            </w:r>
            <w:r>
              <w:rPr>
                <w:rFonts w:hint="eastAsia" w:ascii="宋体" w:hAnsi="宋体" w:cs="宋体"/>
                <w:bCs/>
                <w:color w:val="auto"/>
                <w:szCs w:val="21"/>
                <w:highlight w:val="none"/>
                <w:lang w:val="en-US" w:eastAsia="zh-CN"/>
              </w:rPr>
              <w:t>每提供一项</w:t>
            </w:r>
            <w:r>
              <w:rPr>
                <w:rFonts w:hint="eastAsia" w:ascii="宋体" w:hAnsi="宋体" w:cs="宋体"/>
                <w:color w:val="auto"/>
                <w:kern w:val="0"/>
                <w:szCs w:val="21"/>
                <w:highlight w:val="none"/>
              </w:rPr>
              <w:t>得</w:t>
            </w:r>
            <w:r>
              <w:rPr>
                <w:rFonts w:ascii="宋体" w:hAnsi="宋体" w:cs="宋体"/>
                <w:color w:val="auto"/>
                <w:kern w:val="0"/>
                <w:szCs w:val="21"/>
                <w:highlight w:val="none"/>
              </w:rPr>
              <w:t>3</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无或</w:t>
            </w:r>
            <w:r>
              <w:rPr>
                <w:rFonts w:hint="eastAsia" w:ascii="宋体" w:hAnsi="宋体" w:cs="宋体"/>
                <w:color w:val="auto"/>
                <w:szCs w:val="21"/>
                <w:highlight w:val="none"/>
              </w:rPr>
              <w:t>其他不得分</w:t>
            </w:r>
            <w:r>
              <w:rPr>
                <w:rFonts w:hint="eastAsia" w:ascii="宋体" w:hAnsi="宋体" w:cs="宋体"/>
                <w:color w:val="auto"/>
                <w:kern w:val="0"/>
                <w:szCs w:val="21"/>
                <w:highlight w:val="none"/>
                <w:lang w:eastAsia="zh-CN"/>
              </w:rPr>
              <w:t>。</w:t>
            </w:r>
          </w:p>
          <w:p>
            <w:pPr>
              <w:pStyle w:val="28"/>
              <w:numPr>
                <w:ilvl w:val="255"/>
                <w:numId w:val="0"/>
              </w:numPr>
              <w:snapToGrid w:val="0"/>
              <w:spacing w:line="360" w:lineRule="auto"/>
              <w:jc w:val="left"/>
              <w:rPr>
                <w:rFonts w:ascii="宋体" w:hAnsi="宋体" w:cs="宋体"/>
                <w:color w:val="auto"/>
                <w:kern w:val="0"/>
                <w:szCs w:val="21"/>
                <w:highlight w:val="none"/>
              </w:rPr>
            </w:pPr>
            <w:r>
              <w:rPr>
                <w:rStyle w:val="53"/>
                <w:rFonts w:hint="eastAsia" w:ascii="宋体" w:hAnsi="宋体" w:cs="宋体"/>
                <w:color w:val="auto"/>
                <w:szCs w:val="21"/>
                <w:highlight w:val="none"/>
              </w:rPr>
              <w:t>注：</w:t>
            </w:r>
            <w:r>
              <w:rPr>
                <w:rFonts w:hint="eastAsia" w:cs="宋体"/>
                <w:color w:val="auto"/>
                <w:szCs w:val="21"/>
                <w:highlight w:val="none"/>
              </w:rPr>
              <w:t>本项最高得</w:t>
            </w:r>
            <w:r>
              <w:rPr>
                <w:rFonts w:hint="eastAsia" w:cs="宋体"/>
                <w:color w:val="auto"/>
                <w:szCs w:val="21"/>
                <w:highlight w:val="none"/>
                <w:lang w:val="en-US" w:eastAsia="zh-CN"/>
              </w:rPr>
              <w:t>6</w:t>
            </w:r>
            <w:r>
              <w:rPr>
                <w:rFonts w:hint="eastAsia" w:cs="宋体"/>
                <w:color w:val="auto"/>
                <w:szCs w:val="21"/>
                <w:highlight w:val="none"/>
              </w:rPr>
              <w:t>分</w:t>
            </w:r>
            <w:r>
              <w:rPr>
                <w:rFonts w:hint="eastAsia" w:cs="宋体"/>
                <w:color w:val="auto"/>
                <w:szCs w:val="21"/>
                <w:highlight w:val="none"/>
                <w:lang w:eastAsia="zh-CN"/>
              </w:rPr>
              <w:t>。</w:t>
            </w:r>
            <w:r>
              <w:rPr>
                <w:rFonts w:hint="eastAsia" w:ascii="宋体" w:hAnsi="宋体" w:cs="宋体"/>
                <w:bCs/>
                <w:color w:val="auto"/>
                <w:szCs w:val="21"/>
                <w:highlight w:val="none"/>
              </w:rPr>
              <w:t>投标人需提供以上已出版发行的标准/规范证明材料的关键页，不符合上述条件或未提供上述资料的不得分。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color w:val="auto"/>
                <w:highlight w:val="none"/>
              </w:rPr>
            </w:pPr>
          </w:p>
        </w:tc>
        <w:tc>
          <w:tcPr>
            <w:tcW w:w="695" w:type="dxa"/>
            <w:vMerge w:val="continue"/>
            <w:vAlign w:val="center"/>
          </w:tcPr>
          <w:p>
            <w:pPr>
              <w:spacing w:line="360" w:lineRule="auto"/>
              <w:jc w:val="center"/>
              <w:rPr>
                <w:rFonts w:ascii="宋体" w:hAnsi="宋体" w:cs="宋体"/>
                <w:b/>
                <w:color w:val="auto"/>
                <w:highlight w:val="none"/>
              </w:rPr>
            </w:pPr>
          </w:p>
        </w:tc>
        <w:tc>
          <w:tcPr>
            <w:tcW w:w="2129" w:type="dxa"/>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企业业绩</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7073" w:type="dxa"/>
          </w:tcPr>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2018年1月1日至今，投标人独立完成过类似工程第三方（对比检测）检测或监督检测项目，每项得3分；</w:t>
            </w:r>
            <w:r>
              <w:rPr>
                <w:rFonts w:hint="eastAsia" w:ascii="宋体" w:hAnsi="宋体" w:cs="宋体"/>
                <w:color w:val="auto"/>
                <w:szCs w:val="21"/>
                <w:highlight w:val="none"/>
                <w:lang w:val="en-US" w:eastAsia="zh-CN"/>
              </w:rPr>
              <w:t>无或</w:t>
            </w:r>
            <w:r>
              <w:rPr>
                <w:rFonts w:hint="eastAsia" w:ascii="宋体" w:hAnsi="宋体" w:cs="宋体"/>
                <w:color w:val="auto"/>
                <w:szCs w:val="21"/>
                <w:highlight w:val="none"/>
              </w:rPr>
              <w:t>其他不得分。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注：本项最高得1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分。类似工程是指给水工程或排水工程。</w:t>
            </w:r>
            <w:r>
              <w:rPr>
                <w:rFonts w:hint="eastAsia" w:ascii="宋体" w:hAnsi="宋体" w:cs="宋体"/>
                <w:color w:val="auto"/>
                <w:szCs w:val="21"/>
                <w:highlight w:val="none"/>
                <w:lang w:val="en-US" w:eastAsia="zh-CN"/>
              </w:rPr>
              <w:t>同一项目只计算一次得分</w:t>
            </w:r>
            <w:r>
              <w:rPr>
                <w:rFonts w:hint="eastAsia" w:ascii="宋体" w:hAnsi="宋体" w:cs="宋体"/>
                <w:color w:val="auto"/>
                <w:szCs w:val="21"/>
                <w:highlight w:val="none"/>
              </w:rPr>
              <w:t>，业绩证明</w:t>
            </w:r>
            <w:r>
              <w:rPr>
                <w:rFonts w:hint="eastAsia" w:ascii="宋体" w:hAnsi="宋体" w:cs="宋体"/>
                <w:color w:val="auto"/>
                <w:szCs w:val="21"/>
                <w:highlight w:val="none"/>
                <w:lang w:val="en-US" w:eastAsia="zh-CN"/>
              </w:rPr>
              <w:t>需</w:t>
            </w:r>
            <w:r>
              <w:rPr>
                <w:rFonts w:hint="eastAsia" w:ascii="宋体" w:hAnsi="宋体" w:cs="宋体"/>
                <w:color w:val="auto"/>
                <w:szCs w:val="21"/>
                <w:highlight w:val="none"/>
              </w:rPr>
              <w:t>提供中标通知书（或免招标证明）、技术服务合同和检测报告资料等作为证明文件，时间以合同签订时间为准。不符合上述条件或未提供上述资料的不得分。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50" w:type="dxa"/>
            <w:vMerge w:val="continue"/>
            <w:vAlign w:val="center"/>
          </w:tcPr>
          <w:p>
            <w:pPr>
              <w:spacing w:line="360" w:lineRule="auto"/>
              <w:ind w:left="106"/>
              <w:rPr>
                <w:rFonts w:ascii="宋体" w:hAnsi="宋体" w:cs="宋体"/>
                <w:b/>
                <w:color w:val="auto"/>
                <w:highlight w:val="none"/>
              </w:rPr>
            </w:pPr>
          </w:p>
        </w:tc>
        <w:tc>
          <w:tcPr>
            <w:tcW w:w="695" w:type="dxa"/>
            <w:vMerge w:val="continue"/>
            <w:vAlign w:val="center"/>
          </w:tcPr>
          <w:p>
            <w:pPr>
              <w:pStyle w:val="28"/>
              <w:spacing w:line="360" w:lineRule="auto"/>
              <w:ind w:firstLine="0"/>
              <w:jc w:val="center"/>
              <w:rPr>
                <w:rFonts w:ascii="宋体" w:hAnsi="宋体" w:cs="宋体"/>
                <w:color w:val="auto"/>
                <w:szCs w:val="21"/>
                <w:highlight w:val="none"/>
              </w:rPr>
            </w:pPr>
          </w:p>
        </w:tc>
        <w:tc>
          <w:tcPr>
            <w:tcW w:w="1090" w:type="dxa"/>
            <w:vMerge w:val="restart"/>
            <w:vAlign w:val="center"/>
          </w:tcPr>
          <w:p>
            <w:pPr>
              <w:pStyle w:val="28"/>
              <w:spacing w:line="360" w:lineRule="auto"/>
              <w:ind w:firstLine="0"/>
              <w:jc w:val="center"/>
              <w:rPr>
                <w:rFonts w:ascii="宋体" w:hAnsi="宋体" w:cs="宋体"/>
                <w:color w:val="auto"/>
                <w:szCs w:val="21"/>
                <w:highlight w:val="none"/>
              </w:rPr>
            </w:pPr>
          </w:p>
          <w:p>
            <w:pPr>
              <w:pStyle w:val="28"/>
              <w:spacing w:line="360" w:lineRule="auto"/>
              <w:ind w:firstLine="0"/>
              <w:jc w:val="center"/>
              <w:rPr>
                <w:rFonts w:ascii="宋体" w:hAnsi="宋体" w:cs="宋体"/>
                <w:color w:val="auto"/>
                <w:szCs w:val="21"/>
                <w:highlight w:val="none"/>
              </w:rPr>
            </w:pPr>
          </w:p>
          <w:p>
            <w:pPr>
              <w:pStyle w:val="28"/>
              <w:spacing w:line="360" w:lineRule="auto"/>
              <w:ind w:firstLine="0"/>
              <w:jc w:val="center"/>
              <w:rPr>
                <w:rFonts w:ascii="宋体" w:hAnsi="宋体" w:cs="宋体"/>
                <w:color w:val="auto"/>
                <w:szCs w:val="21"/>
                <w:highlight w:val="none"/>
              </w:rPr>
            </w:pPr>
          </w:p>
          <w:p>
            <w:pPr>
              <w:pStyle w:val="28"/>
              <w:spacing w:line="360" w:lineRule="auto"/>
              <w:ind w:firstLine="0"/>
              <w:jc w:val="center"/>
              <w:rPr>
                <w:rFonts w:ascii="宋体" w:hAnsi="宋体" w:cs="宋体"/>
                <w:color w:val="auto"/>
                <w:szCs w:val="21"/>
                <w:highlight w:val="none"/>
              </w:rPr>
            </w:pPr>
          </w:p>
          <w:p>
            <w:pPr>
              <w:pStyle w:val="28"/>
              <w:spacing w:line="360" w:lineRule="auto"/>
              <w:ind w:firstLine="0"/>
              <w:jc w:val="center"/>
              <w:rPr>
                <w:rFonts w:ascii="宋体" w:hAnsi="宋体" w:cs="宋体"/>
                <w:color w:val="auto"/>
                <w:szCs w:val="21"/>
                <w:highlight w:val="none"/>
              </w:rPr>
            </w:pPr>
            <w:r>
              <w:rPr>
                <w:rFonts w:hint="eastAsia" w:ascii="宋体" w:hAnsi="宋体" w:cs="宋体"/>
                <w:color w:val="auto"/>
                <w:szCs w:val="21"/>
                <w:highlight w:val="none"/>
              </w:rPr>
              <w:t>拟投入人员综合水平</w:t>
            </w:r>
          </w:p>
          <w:p>
            <w:pPr>
              <w:pStyle w:val="28"/>
              <w:spacing w:line="360" w:lineRule="auto"/>
              <w:ind w:firstLine="0"/>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分）</w:t>
            </w:r>
          </w:p>
        </w:tc>
        <w:tc>
          <w:tcPr>
            <w:tcW w:w="1039" w:type="dxa"/>
            <w:vAlign w:val="center"/>
          </w:tcPr>
          <w:p>
            <w:pPr>
              <w:pStyle w:val="28"/>
              <w:spacing w:line="360" w:lineRule="auto"/>
              <w:ind w:firstLine="0"/>
              <w:jc w:val="center"/>
              <w:rPr>
                <w:rFonts w:ascii="宋体" w:hAnsi="宋体" w:cs="宋体"/>
                <w:color w:val="auto"/>
                <w:szCs w:val="21"/>
                <w:highlight w:val="none"/>
              </w:rPr>
            </w:pPr>
            <w:r>
              <w:rPr>
                <w:rFonts w:hint="eastAsia" w:ascii="宋体" w:hAnsi="宋体" w:cs="宋体"/>
                <w:color w:val="auto"/>
                <w:szCs w:val="21"/>
                <w:highlight w:val="none"/>
              </w:rPr>
              <w:t>项目负责人要求（</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7073" w:type="dxa"/>
          </w:tcPr>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项目负责人2018年1月1日至今，担任过类似工程第三方（对比检测）检测或监督检测项目的项目负责人的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每提供一项</w:t>
            </w:r>
            <w:r>
              <w:rPr>
                <w:rFonts w:hint="eastAsia" w:ascii="宋体" w:hAnsi="宋体" w:cs="宋体"/>
                <w:color w:val="auto"/>
                <w:szCs w:val="21"/>
                <w:highlight w:val="none"/>
              </w:rPr>
              <w:t>得2分；</w:t>
            </w:r>
            <w:r>
              <w:rPr>
                <w:rFonts w:hint="eastAsia" w:ascii="宋体" w:hAnsi="宋体" w:cs="宋体"/>
                <w:color w:val="auto"/>
                <w:szCs w:val="21"/>
                <w:highlight w:val="none"/>
                <w:lang w:val="en-US" w:eastAsia="zh-CN"/>
              </w:rPr>
              <w:t>无或</w:t>
            </w:r>
            <w:r>
              <w:rPr>
                <w:rFonts w:hint="eastAsia" w:ascii="宋体" w:hAnsi="宋体" w:cs="宋体"/>
                <w:color w:val="auto"/>
                <w:szCs w:val="21"/>
                <w:highlight w:val="none"/>
              </w:rPr>
              <w:t>其他不得分</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本项最高得4分。</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同时提供业绩证明、</w:t>
            </w:r>
            <w:r>
              <w:rPr>
                <w:rFonts w:hint="eastAsia" w:ascii="宋体" w:hAnsi="宋体" w:cs="宋体"/>
                <w:color w:val="auto"/>
                <w:szCs w:val="21"/>
                <w:highlight w:val="none"/>
              </w:rPr>
              <w:t>投标人为其购买的近一个月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2023年9月）</w:t>
            </w:r>
            <w:r>
              <w:rPr>
                <w:rFonts w:hint="eastAsia" w:ascii="宋体" w:hAnsi="宋体" w:cs="宋体"/>
                <w:color w:val="auto"/>
                <w:szCs w:val="21"/>
                <w:highlight w:val="none"/>
              </w:rPr>
              <w:t>社保证明。类似工程是指给水工程或排水工程。业绩证明</w:t>
            </w:r>
            <w:r>
              <w:rPr>
                <w:rFonts w:hint="eastAsia" w:ascii="宋体" w:hAnsi="宋体" w:cs="宋体"/>
                <w:color w:val="auto"/>
                <w:szCs w:val="21"/>
                <w:highlight w:val="none"/>
                <w:lang w:val="en-US" w:eastAsia="zh-CN"/>
              </w:rPr>
              <w:t>需</w:t>
            </w:r>
            <w:r>
              <w:rPr>
                <w:rFonts w:hint="eastAsia" w:ascii="宋体" w:hAnsi="宋体" w:cs="宋体"/>
                <w:color w:val="auto"/>
                <w:szCs w:val="21"/>
                <w:highlight w:val="none"/>
              </w:rPr>
              <w:t>提供中标通知书（或免招标证明）、技术服务合同和检测报告资料等作为证明文件，时间以合同签订时间为准。相关证明材料须能证明拟派项目负责人担任相关业绩的项目负责人职务。不符合上述条件或未提供上述资料的不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无有效的社保证明不得分</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color w:val="auto"/>
                <w:highlight w:val="none"/>
              </w:rPr>
            </w:pPr>
          </w:p>
        </w:tc>
        <w:tc>
          <w:tcPr>
            <w:tcW w:w="695" w:type="dxa"/>
            <w:vMerge w:val="continue"/>
            <w:vAlign w:val="center"/>
          </w:tcPr>
          <w:p>
            <w:pPr>
              <w:adjustRightInd w:val="0"/>
              <w:snapToGrid w:val="0"/>
              <w:spacing w:line="360" w:lineRule="auto"/>
              <w:jc w:val="center"/>
              <w:rPr>
                <w:rFonts w:ascii="宋体" w:hAnsi="宋体" w:cs="宋体"/>
                <w:color w:val="auto"/>
                <w:sz w:val="24"/>
                <w:highlight w:val="none"/>
              </w:rPr>
            </w:pPr>
          </w:p>
        </w:tc>
        <w:tc>
          <w:tcPr>
            <w:tcW w:w="1090" w:type="dxa"/>
            <w:vMerge w:val="continue"/>
            <w:vAlign w:val="center"/>
          </w:tcPr>
          <w:p>
            <w:pPr>
              <w:pStyle w:val="28"/>
              <w:spacing w:line="360" w:lineRule="auto"/>
              <w:ind w:firstLine="0"/>
              <w:jc w:val="center"/>
              <w:rPr>
                <w:rFonts w:ascii="宋体" w:hAnsi="宋体" w:cs="宋体"/>
                <w:color w:val="auto"/>
                <w:szCs w:val="21"/>
                <w:highlight w:val="none"/>
              </w:rPr>
            </w:pPr>
          </w:p>
        </w:tc>
        <w:tc>
          <w:tcPr>
            <w:tcW w:w="1039" w:type="dxa"/>
            <w:vAlign w:val="center"/>
          </w:tcPr>
          <w:p>
            <w:pPr>
              <w:pStyle w:val="28"/>
              <w:spacing w:line="360" w:lineRule="auto"/>
              <w:ind w:firstLine="0"/>
              <w:jc w:val="center"/>
              <w:rPr>
                <w:rFonts w:ascii="宋体" w:hAnsi="宋体" w:cs="宋体"/>
                <w:color w:val="auto"/>
                <w:szCs w:val="21"/>
                <w:highlight w:val="none"/>
              </w:rPr>
            </w:pPr>
            <w:r>
              <w:rPr>
                <w:rFonts w:hint="eastAsia" w:ascii="宋体" w:hAnsi="宋体" w:cs="宋体"/>
                <w:color w:val="auto"/>
                <w:szCs w:val="21"/>
                <w:highlight w:val="none"/>
              </w:rPr>
              <w:t>技术负责人要求（</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7073" w:type="dxa"/>
          </w:tcPr>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1、项目技术负责人具有工程类相关专业</w:t>
            </w:r>
            <w:r>
              <w:rPr>
                <w:rFonts w:hint="eastAsia" w:ascii="宋体" w:hAnsi="宋体" w:cs="宋体"/>
                <w:color w:val="auto"/>
                <w:szCs w:val="21"/>
                <w:highlight w:val="none"/>
                <w:lang w:eastAsia="zh-CN"/>
              </w:rPr>
              <w:t>正高级工程师（或教授级高级工程师或研究员级高级工程师）</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具有工程类相关专业副高级技术职称，得2分；具有工程类相关专业中级工程师职称的，得1分；</w:t>
            </w:r>
            <w:r>
              <w:rPr>
                <w:rFonts w:hint="eastAsia" w:ascii="宋体" w:hAnsi="宋体" w:cs="宋体"/>
                <w:color w:val="auto"/>
                <w:szCs w:val="21"/>
                <w:highlight w:val="none"/>
                <w:lang w:val="en-US" w:eastAsia="zh-CN"/>
              </w:rPr>
              <w:t>其他不得分。本项最高得3分</w:t>
            </w:r>
            <w:r>
              <w:rPr>
                <w:rFonts w:hint="eastAsia" w:ascii="宋体" w:hAnsi="宋体" w:cs="宋体"/>
                <w:color w:val="auto"/>
                <w:szCs w:val="21"/>
                <w:highlight w:val="none"/>
              </w:rPr>
              <w:t>。</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2、项目技术负责人</w:t>
            </w:r>
            <w:r>
              <w:rPr>
                <w:rFonts w:hint="eastAsia" w:ascii="宋体" w:hAnsi="宋体" w:cs="宋体"/>
                <w:color w:val="auto"/>
                <w:szCs w:val="21"/>
                <w:highlight w:val="none"/>
                <w:lang w:val="en-US" w:eastAsia="zh-CN"/>
              </w:rPr>
              <w:t>2018年1月1日至今，担任类似工程第三方（对比检测）检测或监督检测项目的项目负责人或技术负责人的得2分，其他不得分。</w:t>
            </w:r>
            <w:r>
              <w:rPr>
                <w:rFonts w:hint="eastAsia" w:ascii="宋体" w:hAnsi="宋体" w:cs="宋体"/>
                <w:color w:val="auto"/>
                <w:szCs w:val="21"/>
                <w:highlight w:val="none"/>
              </w:rPr>
              <w:t>本项最高得2分。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注：本项最高得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分。需提供职称证、</w:t>
            </w:r>
            <w:r>
              <w:rPr>
                <w:rFonts w:hint="eastAsia" w:ascii="宋体" w:hAnsi="宋体" w:cs="宋体"/>
                <w:color w:val="auto"/>
                <w:szCs w:val="21"/>
                <w:highlight w:val="none"/>
                <w:lang w:val="en-US" w:eastAsia="zh-CN"/>
              </w:rPr>
              <w:t>业绩证明</w:t>
            </w:r>
            <w:r>
              <w:rPr>
                <w:rFonts w:hint="eastAsia" w:ascii="宋体" w:hAnsi="宋体" w:cs="宋体"/>
                <w:color w:val="auto"/>
                <w:szCs w:val="21"/>
                <w:highlight w:val="none"/>
              </w:rPr>
              <w:t>、投标人为其购买的近一个月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2023年9月）</w:t>
            </w:r>
            <w:r>
              <w:rPr>
                <w:rFonts w:hint="eastAsia" w:ascii="宋体" w:hAnsi="宋体" w:cs="宋体"/>
                <w:color w:val="auto"/>
                <w:szCs w:val="21"/>
                <w:highlight w:val="none"/>
              </w:rPr>
              <w:t>社保证明。类似工程是指给水工程或排水工程。业绩证</w:t>
            </w:r>
            <w:r>
              <w:rPr>
                <w:rFonts w:hint="eastAsia" w:ascii="宋体" w:hAnsi="宋体" w:cs="宋体"/>
                <w:color w:val="auto"/>
                <w:szCs w:val="21"/>
                <w:highlight w:val="none"/>
                <w:lang w:val="en-US" w:eastAsia="zh-CN"/>
              </w:rPr>
              <w:t>明需</w:t>
            </w:r>
            <w:r>
              <w:rPr>
                <w:rFonts w:hint="eastAsia" w:ascii="宋体" w:hAnsi="宋体" w:cs="宋体"/>
                <w:color w:val="auto"/>
                <w:szCs w:val="21"/>
                <w:highlight w:val="none"/>
              </w:rPr>
              <w:t>提供中标通知书（或免招标证明）、技术服务合同和检测报告资料等作为证明文件，时间以合同签订时间为准。相关证明材料须能证明拟派项目技术负责人担任相关业绩的项目负责人或技术负责人职务。项目技术负责人与项目负责人不能为同一人，否则项目技术负责人不得分。不符合上述条件或未提供上述资料的不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无有效的社保证明不得分</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color w:val="auto"/>
                <w:highlight w:val="none"/>
              </w:rPr>
            </w:pPr>
          </w:p>
        </w:tc>
        <w:tc>
          <w:tcPr>
            <w:tcW w:w="695" w:type="dxa"/>
            <w:vMerge w:val="continue"/>
            <w:vAlign w:val="center"/>
          </w:tcPr>
          <w:p>
            <w:pPr>
              <w:adjustRightInd w:val="0"/>
              <w:snapToGrid w:val="0"/>
              <w:spacing w:line="360" w:lineRule="auto"/>
              <w:jc w:val="center"/>
              <w:rPr>
                <w:rFonts w:ascii="宋体" w:hAnsi="宋体" w:cs="宋体"/>
                <w:color w:val="auto"/>
                <w:sz w:val="24"/>
                <w:highlight w:val="none"/>
              </w:rPr>
            </w:pPr>
          </w:p>
        </w:tc>
        <w:tc>
          <w:tcPr>
            <w:tcW w:w="1090" w:type="dxa"/>
            <w:vMerge w:val="continue"/>
            <w:vAlign w:val="center"/>
          </w:tcPr>
          <w:p>
            <w:pPr>
              <w:pStyle w:val="28"/>
              <w:spacing w:line="360" w:lineRule="auto"/>
              <w:ind w:firstLine="0"/>
              <w:jc w:val="center"/>
              <w:rPr>
                <w:rFonts w:ascii="宋体" w:hAnsi="宋体" w:cs="宋体"/>
                <w:color w:val="auto"/>
                <w:sz w:val="24"/>
                <w:highlight w:val="none"/>
              </w:rPr>
            </w:pPr>
          </w:p>
        </w:tc>
        <w:tc>
          <w:tcPr>
            <w:tcW w:w="1039" w:type="dxa"/>
            <w:vAlign w:val="center"/>
          </w:tcPr>
          <w:p>
            <w:pPr>
              <w:pStyle w:val="28"/>
              <w:spacing w:line="360" w:lineRule="auto"/>
              <w:ind w:firstLine="0"/>
              <w:jc w:val="center"/>
              <w:rPr>
                <w:rFonts w:ascii="宋体" w:hAnsi="宋体" w:cs="宋体"/>
                <w:color w:val="auto"/>
                <w:sz w:val="24"/>
                <w:highlight w:val="none"/>
              </w:rPr>
            </w:pPr>
            <w:r>
              <w:rPr>
                <w:rFonts w:hint="eastAsia" w:ascii="宋体" w:hAnsi="宋体" w:cs="宋体"/>
                <w:color w:val="auto"/>
                <w:szCs w:val="21"/>
                <w:highlight w:val="none"/>
              </w:rPr>
              <w:t>主要技术人员要求（10分）</w:t>
            </w:r>
          </w:p>
        </w:tc>
        <w:tc>
          <w:tcPr>
            <w:tcW w:w="7073" w:type="dxa"/>
          </w:tcPr>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投标人有稳定的技术支撑队伍，拟投入本项目技术人员中（项目负责人和项目技术负责人除外）：</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（1）具</w:t>
            </w:r>
            <w:r>
              <w:rPr>
                <w:rFonts w:hint="eastAsia" w:ascii="宋体" w:hAnsi="宋体" w:cs="宋体"/>
                <w:color w:val="auto"/>
                <w:szCs w:val="21"/>
                <w:highlight w:val="none"/>
                <w:lang w:val="en-US" w:eastAsia="zh-CN"/>
              </w:rPr>
              <w:t>试验检测师或检测员证</w:t>
            </w:r>
            <w:r>
              <w:rPr>
                <w:rFonts w:hint="eastAsia" w:ascii="宋体" w:hAnsi="宋体" w:cs="宋体"/>
                <w:color w:val="auto"/>
                <w:szCs w:val="21"/>
                <w:highlight w:val="none"/>
              </w:rPr>
              <w:t>15人或以上，得10分；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（2）具有</w:t>
            </w:r>
            <w:r>
              <w:rPr>
                <w:rFonts w:hint="eastAsia" w:ascii="宋体" w:hAnsi="宋体" w:cs="宋体"/>
                <w:color w:val="auto"/>
                <w:szCs w:val="21"/>
                <w:highlight w:val="none"/>
                <w:lang w:val="en-US" w:eastAsia="zh-CN"/>
              </w:rPr>
              <w:t>试验检测师或检测员证</w:t>
            </w:r>
            <w:r>
              <w:rPr>
                <w:rFonts w:hint="eastAsia" w:ascii="宋体" w:hAnsi="宋体" w:cs="宋体"/>
                <w:color w:val="auto"/>
                <w:szCs w:val="21"/>
                <w:highlight w:val="none"/>
              </w:rPr>
              <w:t>11～14人，得7分；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（3）具有</w:t>
            </w:r>
            <w:r>
              <w:rPr>
                <w:rFonts w:hint="eastAsia" w:ascii="宋体" w:hAnsi="宋体" w:cs="宋体"/>
                <w:color w:val="auto"/>
                <w:szCs w:val="21"/>
                <w:highlight w:val="none"/>
                <w:lang w:val="en-US" w:eastAsia="zh-CN"/>
              </w:rPr>
              <w:t>试验检测师或检测员证</w:t>
            </w:r>
            <w:r>
              <w:rPr>
                <w:rFonts w:hint="eastAsia" w:ascii="宋体" w:hAnsi="宋体" w:cs="宋体"/>
                <w:color w:val="auto"/>
                <w:szCs w:val="21"/>
                <w:highlight w:val="none"/>
              </w:rPr>
              <w:t xml:space="preserve">7～10人，得4分； </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（4）具有</w:t>
            </w:r>
            <w:r>
              <w:rPr>
                <w:rFonts w:hint="eastAsia" w:ascii="宋体" w:hAnsi="宋体" w:cs="宋体"/>
                <w:color w:val="auto"/>
                <w:szCs w:val="21"/>
                <w:highlight w:val="none"/>
                <w:lang w:val="en-US" w:eastAsia="zh-CN"/>
              </w:rPr>
              <w:t>试验检测师或检测员证</w:t>
            </w:r>
            <w:r>
              <w:rPr>
                <w:rFonts w:hint="eastAsia" w:ascii="宋体" w:hAnsi="宋体" w:cs="宋体"/>
                <w:color w:val="auto"/>
                <w:szCs w:val="21"/>
                <w:highlight w:val="none"/>
              </w:rPr>
              <w:t>6人或以下，得1分。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注：本项最高得10分。需</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提供上述人员省级或以上培训机构（或行业协会）出具的试验检测师或检测员证及投标人为其购买的近一个月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2023年9月）</w:t>
            </w:r>
            <w:r>
              <w:rPr>
                <w:rFonts w:hint="eastAsia" w:ascii="宋体" w:hAnsi="宋体" w:cs="宋体"/>
                <w:color w:val="auto"/>
                <w:szCs w:val="21"/>
                <w:highlight w:val="none"/>
              </w:rPr>
              <w:t>社保证明</w:t>
            </w:r>
            <w:r>
              <w:rPr>
                <w:rFonts w:hint="eastAsia" w:ascii="宋体" w:hAnsi="宋体" w:cs="宋体"/>
                <w:color w:val="auto"/>
                <w:szCs w:val="21"/>
                <w:highlight w:val="none"/>
                <w:lang w:eastAsia="zh-CN"/>
              </w:rPr>
              <w:t>。</w:t>
            </w:r>
            <w:r>
              <w:rPr>
                <w:rFonts w:hint="eastAsia" w:ascii="宋体" w:hAnsi="宋体" w:cs="宋体"/>
                <w:color w:val="auto"/>
                <w:szCs w:val="21"/>
                <w:highlight w:val="none"/>
              </w:rPr>
              <w:t>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Merge w:val="restart"/>
            <w:vAlign w:val="center"/>
          </w:tcPr>
          <w:p>
            <w:pPr>
              <w:spacing w:after="180" w:line="360" w:lineRule="auto"/>
              <w:rPr>
                <w:rFonts w:ascii="宋体" w:hAnsi="宋体" w:cs="宋体"/>
                <w:color w:val="auto"/>
                <w:szCs w:val="21"/>
                <w:highlight w:val="none"/>
              </w:rPr>
            </w:pPr>
            <w:r>
              <w:rPr>
                <w:rFonts w:hint="eastAsia" w:ascii="宋体" w:hAnsi="宋体" w:cs="宋体"/>
                <w:color w:val="auto"/>
                <w:szCs w:val="21"/>
                <w:highlight w:val="none"/>
              </w:rPr>
              <w:t>2.2.4</w:t>
            </w:r>
          </w:p>
          <w:p>
            <w:pPr>
              <w:spacing w:line="360" w:lineRule="auto"/>
              <w:ind w:left="106"/>
              <w:rPr>
                <w:rFonts w:ascii="宋体" w:hAnsi="宋体" w:cs="宋体"/>
                <w:b/>
                <w:color w:val="auto"/>
                <w:highlight w:val="none"/>
              </w:rPr>
            </w:pPr>
            <w:r>
              <w:rPr>
                <w:rFonts w:hint="eastAsia" w:ascii="宋体" w:hAnsi="宋体" w:cs="宋体"/>
                <w:color w:val="auto"/>
                <w:szCs w:val="21"/>
                <w:highlight w:val="none"/>
              </w:rPr>
              <w:t xml:space="preserve">（2） </w:t>
            </w:r>
          </w:p>
        </w:tc>
        <w:tc>
          <w:tcPr>
            <w:tcW w:w="695"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技术方案评分标准</w:t>
            </w:r>
          </w:p>
          <w:p>
            <w:pPr>
              <w:spacing w:line="360" w:lineRule="auto"/>
              <w:jc w:val="center"/>
              <w:rPr>
                <w:rFonts w:ascii="宋体" w:hAnsi="宋体" w:cs="宋体"/>
                <w:b/>
                <w:color w:val="auto"/>
                <w:highlight w:val="none"/>
              </w:rPr>
            </w:pPr>
            <w:r>
              <w:rPr>
                <w:rFonts w:hint="eastAsia" w:ascii="宋体" w:hAnsi="宋体" w:cs="宋体"/>
                <w:color w:val="auto"/>
                <w:szCs w:val="21"/>
                <w:highlight w:val="none"/>
              </w:rPr>
              <w:t>（4</w:t>
            </w:r>
            <w:r>
              <w:rPr>
                <w:rFonts w:ascii="宋体" w:hAnsi="宋体" w:cs="宋体"/>
                <w:color w:val="auto"/>
                <w:szCs w:val="21"/>
                <w:highlight w:val="none"/>
              </w:rPr>
              <w:t>0</w:t>
            </w:r>
            <w:r>
              <w:rPr>
                <w:rFonts w:hint="eastAsia" w:ascii="宋体" w:hAnsi="宋体" w:cs="宋体"/>
                <w:color w:val="auto"/>
                <w:szCs w:val="21"/>
                <w:highlight w:val="none"/>
              </w:rPr>
              <w:t>分）</w:t>
            </w:r>
          </w:p>
        </w:tc>
        <w:tc>
          <w:tcPr>
            <w:tcW w:w="2129" w:type="dxa"/>
            <w:gridSpan w:val="2"/>
            <w:vAlign w:val="center"/>
          </w:tcPr>
          <w:p>
            <w:pPr>
              <w:pStyle w:val="28"/>
              <w:spacing w:line="360" w:lineRule="auto"/>
              <w:ind w:firstLine="0"/>
              <w:jc w:val="center"/>
              <w:rPr>
                <w:rFonts w:hint="eastAsia" w:ascii="宋体" w:hAnsi="宋体" w:cs="宋体"/>
                <w:color w:val="auto"/>
                <w:szCs w:val="21"/>
                <w:highlight w:val="none"/>
              </w:rPr>
            </w:pPr>
            <w:r>
              <w:rPr>
                <w:rFonts w:hint="eastAsia" w:ascii="宋体" w:hAnsi="宋体" w:cs="宋体"/>
                <w:color w:val="auto"/>
                <w:szCs w:val="21"/>
                <w:highlight w:val="none"/>
              </w:rPr>
              <w:t>项目检测方案</w:t>
            </w:r>
          </w:p>
          <w:p>
            <w:pPr>
              <w:pStyle w:val="28"/>
              <w:spacing w:line="360" w:lineRule="auto"/>
              <w:ind w:firstLine="0"/>
              <w:jc w:val="center"/>
              <w:rPr>
                <w:rFonts w:ascii="宋体" w:hAnsi="宋体" w:cs="宋体"/>
                <w:color w:val="auto"/>
                <w:szCs w:val="21"/>
                <w:highlight w:val="none"/>
              </w:rPr>
            </w:pPr>
            <w:r>
              <w:rPr>
                <w:rFonts w:hint="eastAsia" w:ascii="宋体" w:hAnsi="宋体" w:cs="宋体"/>
                <w:color w:val="auto"/>
                <w:szCs w:val="21"/>
                <w:highlight w:val="none"/>
              </w:rPr>
              <w:t>（20分）</w:t>
            </w:r>
          </w:p>
        </w:tc>
        <w:tc>
          <w:tcPr>
            <w:tcW w:w="7073" w:type="dxa"/>
          </w:tcPr>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1）优：检测方案详细、思路清晰、合理，工作内容切实可行，对采用的检测技术、工艺有深入的表述，对重点难点有先进、合理的解决方案，质量服务保证措施具体可行，可操作性强，通过相关验收，满足工程进度。得15-20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（2）良：检测方案较详细、思路较清晰、较合理，工作内容可行性一般，对采用的检测技术、工艺有表述，对重点难点有解决方案各项质量服务保证措施和可操作性一般，基本通过相关验收，满足工程进度。得</w:t>
            </w:r>
            <w:r>
              <w:rPr>
                <w:rFonts w:hint="eastAsia" w:ascii="宋体" w:hAnsi="宋体" w:cs="宋体"/>
                <w:color w:val="auto"/>
                <w:szCs w:val="21"/>
                <w:highlight w:val="none"/>
                <w:lang w:val="en-US" w:eastAsia="zh-CN"/>
              </w:rPr>
              <w:t>8-14</w:t>
            </w:r>
            <w:r>
              <w:rPr>
                <w:rFonts w:hint="eastAsia" w:ascii="宋体" w:hAnsi="宋体" w:cs="宋体"/>
                <w:color w:val="auto"/>
                <w:szCs w:val="21"/>
                <w:highlight w:val="none"/>
              </w:rPr>
              <w:t>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（3）差：检测方案基本内容阐述缺项，思路混乱、不合理，工作内容可行性较差，对采用的检测技术、工艺无详细表述，对重点难点无解决方案，质量服务保证措施具体不可行，可操作性不强。得0-7分。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注：本项最高得20分。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850" w:type="dxa"/>
            <w:vMerge w:val="continue"/>
            <w:vAlign w:val="center"/>
          </w:tcPr>
          <w:p>
            <w:pPr>
              <w:spacing w:line="360" w:lineRule="auto"/>
              <w:ind w:left="106"/>
              <w:rPr>
                <w:rFonts w:ascii="宋体" w:hAnsi="宋体" w:cs="宋体"/>
                <w:b/>
                <w:color w:val="auto"/>
                <w:highlight w:val="none"/>
              </w:rPr>
            </w:pPr>
          </w:p>
        </w:tc>
        <w:tc>
          <w:tcPr>
            <w:tcW w:w="695" w:type="dxa"/>
            <w:vMerge w:val="continue"/>
            <w:vAlign w:val="center"/>
          </w:tcPr>
          <w:p>
            <w:pPr>
              <w:spacing w:line="360" w:lineRule="auto"/>
              <w:rPr>
                <w:rFonts w:ascii="宋体" w:hAnsi="宋体" w:cs="宋体"/>
                <w:b/>
                <w:color w:val="auto"/>
                <w:highlight w:val="none"/>
              </w:rPr>
            </w:pPr>
          </w:p>
        </w:tc>
        <w:tc>
          <w:tcPr>
            <w:tcW w:w="2129" w:type="dxa"/>
            <w:gridSpan w:val="2"/>
            <w:vAlign w:val="center"/>
          </w:tcPr>
          <w:p>
            <w:pPr>
              <w:pStyle w:val="28"/>
              <w:spacing w:line="360" w:lineRule="auto"/>
              <w:ind w:firstLine="0"/>
              <w:jc w:val="center"/>
              <w:rPr>
                <w:rFonts w:ascii="宋体" w:hAnsi="宋体" w:cs="宋体"/>
                <w:color w:val="auto"/>
                <w:szCs w:val="21"/>
                <w:highlight w:val="none"/>
              </w:rPr>
            </w:pPr>
            <w:r>
              <w:rPr>
                <w:rFonts w:hint="eastAsia" w:ascii="宋体" w:hAnsi="宋体" w:cs="宋体"/>
                <w:color w:val="auto"/>
                <w:szCs w:val="21"/>
                <w:highlight w:val="none"/>
              </w:rPr>
              <w:t>检测能力</w:t>
            </w:r>
          </w:p>
          <w:p>
            <w:pPr>
              <w:pStyle w:val="28"/>
              <w:spacing w:line="360" w:lineRule="auto"/>
              <w:ind w:firstLine="0"/>
              <w:jc w:val="center"/>
              <w:rPr>
                <w:rFonts w:ascii="宋体" w:hAnsi="宋体" w:cs="宋体"/>
                <w:color w:val="auto"/>
                <w:szCs w:val="21"/>
                <w:highlight w:val="none"/>
              </w:rPr>
            </w:pPr>
            <w:r>
              <w:rPr>
                <w:rFonts w:hint="eastAsia" w:ascii="宋体" w:hAnsi="宋体" w:cs="宋体"/>
                <w:color w:val="auto"/>
                <w:szCs w:val="21"/>
                <w:highlight w:val="none"/>
              </w:rPr>
              <w:t>（20分）</w:t>
            </w:r>
          </w:p>
        </w:tc>
        <w:tc>
          <w:tcPr>
            <w:tcW w:w="7073" w:type="dxa"/>
          </w:tcPr>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投标人具备的检测能力(按招标文件第五章“投标文件格式”第六点检测能力《检测能力汇总表》所列的检测项目)的满足情况：</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（1）满足</w:t>
            </w:r>
            <w:r>
              <w:rPr>
                <w:rFonts w:hint="eastAsia" w:ascii="宋体" w:hAnsi="宋体" w:cs="宋体"/>
                <w:color w:val="auto"/>
                <w:szCs w:val="21"/>
                <w:highlight w:val="none"/>
                <w:lang w:val="en-US" w:eastAsia="zh-CN"/>
              </w:rPr>
              <w:t>70</w:t>
            </w:r>
            <w:r>
              <w:rPr>
                <w:rFonts w:hint="eastAsia" w:ascii="宋体" w:hAnsi="宋体" w:cs="宋体"/>
                <w:color w:val="auto"/>
                <w:szCs w:val="21"/>
                <w:highlight w:val="none"/>
              </w:rPr>
              <w:t>项或以上的得20分。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（2）满足</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69</w:t>
            </w:r>
            <w:r>
              <w:rPr>
                <w:rFonts w:hint="eastAsia" w:ascii="宋体" w:hAnsi="宋体" w:cs="宋体"/>
                <w:color w:val="auto"/>
                <w:szCs w:val="21"/>
                <w:highlight w:val="none"/>
              </w:rPr>
              <w:t>项的得1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（3）满足</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64</w:t>
            </w:r>
            <w:r>
              <w:rPr>
                <w:rFonts w:hint="eastAsia" w:ascii="宋体" w:hAnsi="宋体" w:cs="宋体"/>
                <w:color w:val="auto"/>
                <w:szCs w:val="21"/>
                <w:highlight w:val="none"/>
              </w:rPr>
              <w:t>项的得1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）满足</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59 </w:t>
            </w:r>
            <w:r>
              <w:rPr>
                <w:rFonts w:hint="eastAsia" w:ascii="宋体" w:hAnsi="宋体" w:cs="宋体"/>
                <w:color w:val="auto"/>
                <w:szCs w:val="21"/>
                <w:highlight w:val="none"/>
              </w:rPr>
              <w:t>项的得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）满足</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54</w:t>
            </w:r>
            <w:r>
              <w:rPr>
                <w:rFonts w:hint="eastAsia" w:ascii="宋体" w:hAnsi="宋体" w:cs="宋体"/>
                <w:color w:val="auto"/>
                <w:szCs w:val="21"/>
                <w:highlight w:val="none"/>
              </w:rPr>
              <w:t>项的得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）满足项目少于</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项的</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本项最高得20分。</w:t>
            </w:r>
            <w:r>
              <w:rPr>
                <w:rFonts w:hint="eastAsia" w:ascii="宋体" w:hAnsi="宋体" w:cs="宋体"/>
                <w:color w:val="auto"/>
                <w:szCs w:val="21"/>
                <w:highlight w:val="none"/>
              </w:rPr>
              <w:t>具体参与评分的检测项目按《检测能力汇总表》所列项目，须提供计量认证证书及附表。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Align w:val="center"/>
          </w:tcPr>
          <w:p>
            <w:pPr>
              <w:spacing w:after="180" w:line="360" w:lineRule="auto"/>
              <w:rPr>
                <w:rFonts w:ascii="宋体" w:hAnsi="宋体" w:cs="宋体"/>
                <w:color w:val="auto"/>
                <w:szCs w:val="21"/>
                <w:highlight w:val="none"/>
              </w:rPr>
            </w:pPr>
            <w:r>
              <w:rPr>
                <w:rFonts w:hint="eastAsia" w:ascii="宋体" w:hAnsi="宋体" w:cs="宋体"/>
                <w:color w:val="auto"/>
                <w:szCs w:val="21"/>
                <w:highlight w:val="none"/>
              </w:rPr>
              <w:t>2.2.4</w:t>
            </w:r>
          </w:p>
          <w:p>
            <w:pPr>
              <w:spacing w:after="180" w:line="360" w:lineRule="auto"/>
              <w:rPr>
                <w:rFonts w:ascii="宋体" w:hAnsi="宋体" w:cs="宋体"/>
                <w:color w:val="auto"/>
                <w:szCs w:val="21"/>
                <w:highlight w:val="none"/>
              </w:rPr>
            </w:pPr>
            <w:r>
              <w:rPr>
                <w:rFonts w:hint="eastAsia" w:ascii="宋体" w:hAnsi="宋体" w:cs="宋体"/>
                <w:color w:val="auto"/>
                <w:szCs w:val="21"/>
                <w:highlight w:val="none"/>
              </w:rPr>
              <w:t xml:space="preserve">（3） </w:t>
            </w:r>
          </w:p>
        </w:tc>
        <w:tc>
          <w:tcPr>
            <w:tcW w:w="695" w:type="dxa"/>
            <w:vAlign w:val="center"/>
          </w:tcPr>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投标报价评分标准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（10分）</w:t>
            </w:r>
          </w:p>
        </w:tc>
        <w:tc>
          <w:tcPr>
            <w:tcW w:w="2129" w:type="dxa"/>
            <w:gridSpan w:val="2"/>
            <w:vAlign w:val="center"/>
          </w:tcPr>
          <w:p>
            <w:pPr>
              <w:pStyle w:val="28"/>
              <w:spacing w:line="360" w:lineRule="auto"/>
              <w:ind w:firstLine="0"/>
              <w:jc w:val="center"/>
              <w:rPr>
                <w:rFonts w:ascii="宋体" w:hAnsi="宋体" w:cs="宋体"/>
                <w:color w:val="auto"/>
                <w:szCs w:val="21"/>
                <w:highlight w:val="none"/>
              </w:rPr>
            </w:pPr>
            <w:r>
              <w:rPr>
                <w:rFonts w:hint="eastAsia" w:ascii="宋体" w:hAnsi="宋体" w:cs="宋体"/>
                <w:color w:val="auto"/>
                <w:szCs w:val="21"/>
                <w:highlight w:val="none"/>
              </w:rPr>
              <w:t>计算方法</w:t>
            </w:r>
          </w:p>
        </w:tc>
        <w:tc>
          <w:tcPr>
            <w:tcW w:w="7073" w:type="dxa"/>
            <w:vAlign w:val="center"/>
          </w:tcPr>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1、评标参考价（PC）的计算：若当通过资格审查及有效性审查且投标报</w:t>
            </w:r>
            <w:r>
              <w:rPr>
                <w:rFonts w:hint="eastAsia" w:ascii="宋体" w:hAnsi="宋体" w:cs="宋体"/>
                <w:color w:val="auto"/>
                <w:szCs w:val="21"/>
                <w:highlight w:val="none"/>
                <w:lang w:val="en-US" w:eastAsia="zh-CN"/>
              </w:rPr>
              <w:t>价在</w:t>
            </w:r>
            <w:r>
              <w:rPr>
                <w:rFonts w:hint="eastAsia" w:ascii="宋体" w:hAnsi="宋体" w:cs="宋体"/>
                <w:color w:val="auto"/>
                <w:szCs w:val="21"/>
                <w:highlight w:val="none"/>
              </w:rPr>
              <w:t>位于[[最高投标限价×80%，最高投标限价]区间的有效投标人大于或等于5名时，去掉一个最高价和一个最低价，取余下有效投标报价的算术平均值作为评标参考价。若通过资格审查及有效性审查且投标报价在位于[最高投标限价×80%，最高投标限价]区间的有效投标人小于5名时，取所有入围的有效投标报价的算术平均值作为评标参考价。若通过资格审查及有效性审查且投标报价在位于[最高投标限价×80%，最高投标限价]区间的有效投标人为零时，所有投标人的报价得分为0分。</w:t>
            </w:r>
          </w:p>
          <w:p>
            <w:pPr>
              <w:pStyle w:val="28"/>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2、投标报价得分：以评标参考价作为计算各有效投标价得分的基础。当有效投标价（PT）等于评标参考价（PC）时，有效投标价得分I=10分；有效投标价（PT）比评标参考价（PC）上偏差1%减0.5分，下偏差1%减0.5分。最多减至0分止，得分精确到小数点后两位</w:t>
            </w:r>
            <w:r>
              <w:rPr>
                <w:rFonts w:hint="eastAsia" w:ascii="宋体" w:hAnsi="宋体" w:cs="宋体"/>
                <w:color w:val="auto"/>
                <w:szCs w:val="21"/>
                <w:highlight w:val="none"/>
                <w:lang w:eastAsia="zh-CN"/>
              </w:rPr>
              <w:t>，</w:t>
            </w:r>
            <w:r>
              <w:rPr>
                <w:rFonts w:hint="eastAsia" w:ascii="宋体" w:hAnsi="宋体" w:cs="宋体"/>
                <w:color w:val="auto"/>
                <w:szCs w:val="21"/>
                <w:highlight w:val="none"/>
              </w:rPr>
              <w:t>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747" w:type="dxa"/>
            <w:gridSpan w:val="5"/>
            <w:vAlign w:val="center"/>
          </w:tcPr>
          <w:p>
            <w:pPr>
              <w:jc w:val="left"/>
              <w:rPr>
                <w:rFonts w:hint="eastAsia" w:ascii="Times New Roman" w:hAnsi="Times New Roman" w:cs="Times New Roman"/>
                <w:color w:val="auto"/>
                <w:sz w:val="21"/>
                <w:szCs w:val="24"/>
                <w:highlight w:val="none"/>
              </w:rPr>
            </w:pPr>
            <w:r>
              <w:rPr>
                <w:rFonts w:hint="eastAsia"/>
                <w:color w:val="auto"/>
                <w:highlight w:val="none"/>
              </w:rPr>
              <w:t>注：1</w:t>
            </w:r>
            <w:r>
              <w:rPr>
                <w:rFonts w:hint="eastAsia"/>
                <w:color w:val="auto"/>
                <w:highlight w:val="none"/>
                <w:lang w:eastAsia="zh-CN"/>
              </w:rPr>
              <w:t>、</w:t>
            </w:r>
            <w:r>
              <w:rPr>
                <w:rFonts w:hint="eastAsia" w:ascii="Times New Roman" w:hAnsi="Times New Roman" w:cs="Times New Roman"/>
                <w:color w:val="auto"/>
                <w:sz w:val="21"/>
                <w:szCs w:val="24"/>
                <w:highlight w:val="none"/>
              </w:rPr>
              <w:t>投标人提供的人员社保证明需提供投标截止时间最近一个月（2023年</w:t>
            </w:r>
            <w:r>
              <w:rPr>
                <w:rFonts w:hint="eastAsia" w:cs="Times New Roman"/>
                <w:color w:val="auto"/>
                <w:sz w:val="21"/>
                <w:szCs w:val="24"/>
                <w:highlight w:val="none"/>
                <w:lang w:val="en-US" w:eastAsia="zh-CN"/>
              </w:rPr>
              <w:t>9</w:t>
            </w:r>
            <w:r>
              <w:rPr>
                <w:rFonts w:hint="eastAsia" w:ascii="Times New Roman" w:hAnsi="Times New Roman" w:cs="Times New Roman"/>
                <w:color w:val="auto"/>
                <w:sz w:val="21"/>
                <w:szCs w:val="24"/>
                <w:highlight w:val="none"/>
              </w:rPr>
              <w:t>月）在本单位（不含子公司）交纳的社保证明文件，退休返聘人员需同时提供退休及返聘证明。社保证明文件以加盖社会保险基金管理中心印章的相关资料为准，退休返聘人员需提供退休及返聘证明。当地社会保险基金管理中心允许企业在疫情防控期间缓缴社会保险费的投标人可提供当地社会保险基金管理中心允许缓缴社保的相关文件作为缴纳社保的证明。因当地政府政策规定未能反映本项目投标截止时间最近一个月（2023年</w:t>
            </w:r>
            <w:r>
              <w:rPr>
                <w:rFonts w:hint="eastAsia" w:cs="Times New Roman"/>
                <w:color w:val="auto"/>
                <w:sz w:val="21"/>
                <w:szCs w:val="24"/>
                <w:highlight w:val="none"/>
                <w:lang w:val="en-US" w:eastAsia="zh-CN"/>
              </w:rPr>
              <w:t>9</w:t>
            </w:r>
            <w:r>
              <w:rPr>
                <w:rFonts w:hint="eastAsia" w:ascii="Times New Roman" w:hAnsi="Times New Roman" w:cs="Times New Roman"/>
                <w:color w:val="auto"/>
                <w:sz w:val="21"/>
                <w:szCs w:val="24"/>
                <w:highlight w:val="none"/>
              </w:rPr>
              <w:t>月）信息的，投标人须提供当地社会保险基金管理中心的相关文件及本单位最近一个月的社保证明文件作为缴纳社保的证明。中标后需提供投标文件中人员的社保补缴情况相关证明报招标人核实。</w:t>
            </w:r>
          </w:p>
          <w:p>
            <w:pPr>
              <w:numPr>
                <w:ilvl w:val="0"/>
                <w:numId w:val="0"/>
              </w:numPr>
              <w:spacing w:line="360" w:lineRule="auto"/>
              <w:ind w:leftChars="0"/>
              <w:jc w:val="left"/>
              <w:rPr>
                <w:rFonts w:ascii="宋体" w:hAnsi="宋体"/>
                <w:color w:val="auto"/>
                <w:szCs w:val="21"/>
                <w:highlight w:val="none"/>
              </w:rPr>
            </w:pPr>
            <w:r>
              <w:rPr>
                <w:rFonts w:hint="eastAsia"/>
                <w:color w:val="auto"/>
                <w:highlight w:val="none"/>
                <w:lang w:val="en-US" w:eastAsia="zh-CN"/>
              </w:rPr>
              <w:t>2、</w:t>
            </w:r>
            <w:r>
              <w:rPr>
                <w:rFonts w:hint="eastAsia"/>
                <w:color w:val="auto"/>
                <w:highlight w:val="none"/>
              </w:rPr>
              <w:t>投标人的</w:t>
            </w:r>
            <w:r>
              <w:rPr>
                <w:rFonts w:hint="eastAsia"/>
                <w:color w:val="auto"/>
                <w:highlight w:val="none"/>
                <w:lang w:val="en-US" w:eastAsia="zh-CN"/>
              </w:rPr>
              <w:t>总</w:t>
            </w:r>
            <w:r>
              <w:rPr>
                <w:rFonts w:hint="eastAsia"/>
                <w:color w:val="auto"/>
                <w:highlight w:val="none"/>
              </w:rPr>
              <w:t>得分为各评委的评分去掉一个最高分和一个最低分后计取的算术平均分（分数出现小数点时，保留小数点后二位，第三位小数四舍五入）。</w:t>
            </w:r>
          </w:p>
          <w:p>
            <w:pPr>
              <w:numPr>
                <w:ilvl w:val="0"/>
                <w:numId w:val="0"/>
              </w:numPr>
              <w:ind w:leftChars="0"/>
              <w:jc w:val="left"/>
              <w:rPr>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若以联合体方式参与投标的，除拟投入本项目技术人员中（项目负责人和项目技术负责人除外）的评分以外，其他均以</w:t>
            </w:r>
            <w:r>
              <w:rPr>
                <w:rFonts w:hint="eastAsia" w:ascii="宋体" w:hAnsi="宋体" w:cs="宋体"/>
                <w:color w:val="auto"/>
                <w:szCs w:val="21"/>
                <w:highlight w:val="none"/>
                <w:lang w:eastAsia="zh-CN"/>
              </w:rPr>
              <w:t>牵头人</w:t>
            </w:r>
            <w:r>
              <w:rPr>
                <w:rFonts w:hint="eastAsia" w:ascii="宋体" w:hAnsi="宋体" w:cs="宋体"/>
                <w:color w:val="auto"/>
                <w:szCs w:val="21"/>
                <w:highlight w:val="none"/>
              </w:rPr>
              <w:t>为准。</w:t>
            </w:r>
          </w:p>
        </w:tc>
      </w:tr>
    </w:tbl>
    <w:p>
      <w:pPr>
        <w:pStyle w:val="29"/>
        <w:autoSpaceDE w:val="0"/>
        <w:spacing w:after="0"/>
        <w:ind w:left="-200" w:leftChars="0" w:right="-170" w:rightChars="-81" w:firstLine="214" w:firstLineChars="102"/>
        <w:rPr>
          <w:rFonts w:ascii="宋体" w:hAnsi="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w:br w:type="page"/>
      </w:r>
      <w:bookmarkStart w:id="265" w:name="_Toc11131"/>
      <w:bookmarkStart w:id="266" w:name="_Toc24104589"/>
      <w:bookmarkStart w:id="267" w:name="_Toc21611"/>
      <w:bookmarkStart w:id="268" w:name="_Toc5228"/>
      <w:r>
        <w:rPr>
          <w:rFonts w:hint="eastAsia" w:ascii="宋体" w:hAnsi="宋体" w:eastAsia="宋体" w:cs="宋体"/>
          <w:color w:val="auto"/>
          <w:highlight w:val="none"/>
        </w:rPr>
        <w:t>1. 评标方法</w:t>
      </w:r>
      <w:bookmarkEnd w:id="265"/>
      <w:bookmarkEnd w:id="266"/>
      <w:bookmarkEnd w:id="267"/>
      <w:bookmarkEnd w:id="268"/>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本次评标采用综合评估法。评标委员会对满足招标文件实质性要求的投标文件，按照本章第 2.2 款规定的评分标准进行打分，并按得分由高到低顺序推荐中标候选人，</w:t>
      </w:r>
      <w:r>
        <w:rPr>
          <w:rFonts w:hint="eastAsia"/>
          <w:color w:val="auto"/>
          <w:highlight w:val="none"/>
        </w:rPr>
        <w:t>投标人总得分由高到低排序前3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pPr>
        <w:pStyle w:val="29"/>
        <w:spacing w:line="360" w:lineRule="auto"/>
        <w:ind w:left="0" w:leftChars="0"/>
        <w:rPr>
          <w:rFonts w:ascii="宋体" w:hAnsi="宋体" w:cs="宋体"/>
          <w:color w:val="auto"/>
          <w:highlight w:val="none"/>
          <w:u w:val="single"/>
        </w:rPr>
      </w:pPr>
      <w:r>
        <w:rPr>
          <w:rFonts w:hint="eastAsia" w:ascii="宋体" w:hAnsi="宋体" w:cs="宋体"/>
          <w:color w:val="auto"/>
          <w:highlight w:val="none"/>
          <w:u w:val="single"/>
        </w:rPr>
        <w:t>记名投票方式确定排序的具体步骤为：由评标委员会对出现该情况的的投标人采用记名投票的方式确定，按得票数高低进行排序，根据得票数高低确定中标候选人排序。</w:t>
      </w:r>
    </w:p>
    <w:p>
      <w:pPr>
        <w:pStyle w:val="4"/>
        <w:rPr>
          <w:rFonts w:ascii="宋体" w:hAnsi="宋体" w:eastAsia="宋体" w:cs="宋体"/>
          <w:color w:val="auto"/>
          <w:highlight w:val="none"/>
        </w:rPr>
      </w:pPr>
      <w:bookmarkStart w:id="269" w:name="_Toc24104590"/>
      <w:bookmarkStart w:id="270" w:name="_Toc31995"/>
      <w:bookmarkStart w:id="271" w:name="_Toc1675"/>
      <w:bookmarkStart w:id="272" w:name="_Toc4785"/>
      <w:r>
        <w:rPr>
          <w:rFonts w:hint="eastAsia" w:ascii="宋体" w:hAnsi="宋体" w:eastAsia="宋体" w:cs="宋体"/>
          <w:color w:val="auto"/>
          <w:highlight w:val="none"/>
        </w:rPr>
        <w:t>2. 评审标准</w:t>
      </w:r>
      <w:bookmarkEnd w:id="269"/>
      <w:bookmarkEnd w:id="270"/>
      <w:bookmarkEnd w:id="271"/>
      <w:bookmarkEnd w:id="272"/>
    </w:p>
    <w:p>
      <w:pPr>
        <w:pStyle w:val="5"/>
        <w:spacing w:beforeLines="20" w:afterLines="20" w:line="360" w:lineRule="auto"/>
        <w:rPr>
          <w:rFonts w:ascii="宋体" w:hAnsi="宋体"/>
          <w:color w:val="auto"/>
          <w:highlight w:val="none"/>
        </w:rPr>
      </w:pPr>
      <w:bookmarkStart w:id="273" w:name="_Toc24900"/>
      <w:bookmarkStart w:id="274" w:name="_Toc24104591"/>
      <w:bookmarkStart w:id="275" w:name="_Toc23100"/>
      <w:bookmarkStart w:id="276" w:name="_Toc535834499"/>
      <w:bookmarkStart w:id="277" w:name="_Toc2567"/>
      <w:r>
        <w:rPr>
          <w:rFonts w:hint="eastAsia" w:ascii="宋体" w:hAnsi="宋体"/>
          <w:color w:val="auto"/>
          <w:highlight w:val="none"/>
        </w:rPr>
        <w:t>2.1 初步评审标准</w:t>
      </w:r>
      <w:bookmarkEnd w:id="273"/>
      <w:bookmarkEnd w:id="274"/>
      <w:bookmarkEnd w:id="275"/>
      <w:bookmarkEnd w:id="276"/>
      <w:bookmarkEnd w:id="277"/>
    </w:p>
    <w:p>
      <w:pPr>
        <w:spacing w:line="360" w:lineRule="auto"/>
        <w:ind w:firstLine="420" w:firstLineChars="200"/>
        <w:rPr>
          <w:rFonts w:ascii="宋体" w:hAnsi="宋体"/>
          <w:color w:val="auto"/>
          <w:highlight w:val="none"/>
        </w:rPr>
      </w:pPr>
      <w:r>
        <w:rPr>
          <w:rFonts w:hint="eastAsia" w:ascii="宋体" w:hAnsi="宋体"/>
          <w:color w:val="auto"/>
          <w:highlight w:val="none"/>
        </w:rPr>
        <w:t>2.1.1 形式评审标准：见评标办法前附表。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2.1.2 资格评审标准：见评标办法前附表。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2.1.3 响应性评审标准：见评标办法前附表。</w:t>
      </w:r>
    </w:p>
    <w:p>
      <w:pPr>
        <w:pStyle w:val="5"/>
        <w:spacing w:beforeLines="20" w:afterLines="20" w:line="360" w:lineRule="auto"/>
        <w:rPr>
          <w:rFonts w:ascii="宋体" w:hAnsi="宋体"/>
          <w:color w:val="auto"/>
          <w:highlight w:val="none"/>
        </w:rPr>
      </w:pPr>
      <w:bookmarkStart w:id="278" w:name="_Toc30334"/>
      <w:bookmarkStart w:id="279" w:name="_Toc23097"/>
      <w:bookmarkStart w:id="280" w:name="_Toc535834500"/>
      <w:bookmarkStart w:id="281" w:name="_Toc29693"/>
      <w:bookmarkStart w:id="282" w:name="_Toc24104592"/>
      <w:r>
        <w:rPr>
          <w:rFonts w:hint="eastAsia" w:ascii="宋体" w:hAnsi="宋体"/>
          <w:color w:val="auto"/>
          <w:highlight w:val="none"/>
        </w:rPr>
        <w:t>2.2 分值构成与评分标准</w:t>
      </w:r>
      <w:bookmarkEnd w:id="278"/>
      <w:bookmarkEnd w:id="279"/>
      <w:bookmarkEnd w:id="280"/>
      <w:bookmarkEnd w:id="281"/>
      <w:bookmarkEnd w:id="282"/>
    </w:p>
    <w:p>
      <w:pPr>
        <w:spacing w:line="360" w:lineRule="auto"/>
        <w:ind w:firstLine="420" w:firstLineChars="200"/>
        <w:rPr>
          <w:rFonts w:ascii="宋体" w:hAnsi="宋体"/>
          <w:color w:val="auto"/>
          <w:highlight w:val="none"/>
        </w:rPr>
      </w:pPr>
      <w:r>
        <w:rPr>
          <w:rFonts w:hint="eastAsia" w:ascii="宋体" w:hAnsi="宋体"/>
          <w:color w:val="auto"/>
          <w:highlight w:val="none"/>
        </w:rPr>
        <w:t>2.2.1 分值构成</w:t>
      </w:r>
    </w:p>
    <w:p>
      <w:pPr>
        <w:spacing w:line="360" w:lineRule="auto"/>
        <w:ind w:firstLine="420" w:firstLineChars="200"/>
        <w:rPr>
          <w:rFonts w:ascii="宋体" w:hAnsi="宋体"/>
          <w:color w:val="auto"/>
          <w:highlight w:val="none"/>
        </w:rPr>
      </w:pPr>
      <w:r>
        <w:rPr>
          <w:rFonts w:hint="eastAsia" w:ascii="宋体" w:hAnsi="宋体"/>
          <w:color w:val="auto"/>
          <w:highlight w:val="none"/>
        </w:rPr>
        <w:t>（1）企业资信业绩：见评标办法前附表；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（2）技术方案：见评标办法前附表；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（3）投标报价：见评标办法前附表；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2.2.2 评标基准价计算</w:t>
      </w:r>
    </w:p>
    <w:p>
      <w:pPr>
        <w:spacing w:line="360" w:lineRule="auto"/>
        <w:ind w:firstLine="1050" w:firstLineChars="500"/>
        <w:rPr>
          <w:rFonts w:ascii="宋体" w:hAnsi="宋体"/>
          <w:color w:val="auto"/>
          <w:highlight w:val="none"/>
        </w:rPr>
      </w:pPr>
      <w:r>
        <w:rPr>
          <w:rFonts w:hint="eastAsia" w:ascii="宋体" w:hAnsi="宋体"/>
          <w:color w:val="auto"/>
          <w:highlight w:val="none"/>
        </w:rPr>
        <w:t>评标基准价计算方法：见评标办法前附表。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2.2.3 投标报价的偏差率计算</w:t>
      </w:r>
    </w:p>
    <w:p>
      <w:pPr>
        <w:spacing w:line="360" w:lineRule="auto"/>
        <w:ind w:firstLine="1050" w:firstLineChars="500"/>
        <w:rPr>
          <w:rFonts w:ascii="宋体" w:hAnsi="宋体"/>
          <w:color w:val="auto"/>
          <w:highlight w:val="none"/>
        </w:rPr>
      </w:pPr>
      <w:r>
        <w:rPr>
          <w:rFonts w:hint="eastAsia" w:ascii="宋体" w:hAnsi="宋体"/>
          <w:color w:val="auto"/>
          <w:highlight w:val="none"/>
        </w:rPr>
        <w:t>投标报价的偏差率计算公式：见评标办法前附表。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2.2.4 评分标准</w:t>
      </w:r>
    </w:p>
    <w:p>
      <w:pPr>
        <w:spacing w:line="360" w:lineRule="auto"/>
        <w:ind w:firstLine="420" w:firstLineChars="200"/>
        <w:rPr>
          <w:rFonts w:ascii="宋体" w:hAnsi="宋体"/>
          <w:color w:val="auto"/>
          <w:highlight w:val="none"/>
        </w:rPr>
      </w:pPr>
      <w:r>
        <w:rPr>
          <w:rFonts w:hint="eastAsia" w:ascii="宋体" w:hAnsi="宋体"/>
          <w:color w:val="auto"/>
          <w:highlight w:val="none"/>
        </w:rPr>
        <w:t>（1）企业资信业绩评分标准：见评标办法前附表；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（2）技术方案评分标准：见评标办法前附表；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（3）投标报价评分标准：见评标办法前附表；</w:t>
      </w:r>
    </w:p>
    <w:p>
      <w:pPr>
        <w:pStyle w:val="4"/>
        <w:rPr>
          <w:rFonts w:ascii="宋体" w:hAnsi="宋体" w:eastAsia="宋体"/>
          <w:color w:val="auto"/>
          <w:highlight w:val="none"/>
        </w:rPr>
      </w:pPr>
      <w:bookmarkStart w:id="283" w:name="_Toc19261"/>
      <w:bookmarkStart w:id="284" w:name="_Toc4880"/>
      <w:bookmarkStart w:id="285" w:name="_Toc24104593"/>
      <w:bookmarkStart w:id="286" w:name="_Toc535834501"/>
      <w:bookmarkStart w:id="287" w:name="_Toc32091"/>
      <w:r>
        <w:rPr>
          <w:rFonts w:hint="eastAsia" w:ascii="宋体" w:hAnsi="宋体" w:eastAsia="宋体"/>
          <w:color w:val="auto"/>
          <w:highlight w:val="none"/>
        </w:rPr>
        <w:t>3. 评标程序</w:t>
      </w:r>
      <w:bookmarkEnd w:id="283"/>
      <w:bookmarkEnd w:id="284"/>
      <w:bookmarkEnd w:id="285"/>
      <w:bookmarkEnd w:id="286"/>
      <w:bookmarkEnd w:id="287"/>
    </w:p>
    <w:p>
      <w:pPr>
        <w:pStyle w:val="5"/>
        <w:spacing w:beforeLines="20" w:afterLines="20" w:line="360" w:lineRule="auto"/>
        <w:rPr>
          <w:rFonts w:ascii="宋体" w:hAnsi="宋体"/>
          <w:color w:val="auto"/>
          <w:highlight w:val="none"/>
        </w:rPr>
      </w:pPr>
      <w:bookmarkStart w:id="288" w:name="_Toc12390"/>
      <w:bookmarkStart w:id="289" w:name="_Toc30169"/>
      <w:bookmarkStart w:id="290" w:name="_Toc16301"/>
      <w:bookmarkStart w:id="291" w:name="_Toc535834502"/>
      <w:bookmarkStart w:id="292" w:name="_Toc24104594"/>
      <w:r>
        <w:rPr>
          <w:rFonts w:hint="eastAsia" w:ascii="宋体" w:hAnsi="宋体"/>
          <w:color w:val="auto"/>
          <w:highlight w:val="none"/>
        </w:rPr>
        <w:t>3.1 初步评审</w:t>
      </w:r>
      <w:bookmarkEnd w:id="288"/>
      <w:bookmarkEnd w:id="289"/>
      <w:bookmarkEnd w:id="290"/>
      <w:bookmarkEnd w:id="291"/>
      <w:bookmarkEnd w:id="292"/>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 投标人有以下情形之一的，评标委员会应当否决其投标：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（1）投标文件没有对招标文件的实质性要求和条件做出响应，或者对招标文件的偏差超出招标文件规定的偏差范围或最高项数；</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（2）有串通投标、弄虚作假、行贿等违法行为。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（1）投标文件中的大写金额与小写金额不一致的，以大写金额为准；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（2）总价金额与单价金额不一致的，以单价金额为准，但单价金额小数点有明显错误的除外。</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（3）总价金额与投标下浮率计算结果不一致的，以投标下浮率为准，但投标下浮率小数点有明显错误的除外</w:t>
      </w:r>
      <w:r>
        <w:rPr>
          <w:rFonts w:hint="eastAsia" w:ascii="宋体" w:hAnsi="宋体"/>
          <w:color w:val="auto"/>
          <w:szCs w:val="21"/>
          <w:highlight w:val="none"/>
          <w:lang w:eastAsia="zh-CN"/>
        </w:rPr>
        <w:t>。</w:t>
      </w:r>
    </w:p>
    <w:p>
      <w:pPr>
        <w:spacing w:line="360" w:lineRule="auto"/>
        <w:ind w:firstLine="420" w:firstLineChars="200"/>
        <w:rPr>
          <w:color w:val="auto"/>
          <w:highlight w:val="none"/>
          <w:u w:val="single"/>
        </w:rPr>
      </w:pPr>
      <w:r>
        <w:rPr>
          <w:rFonts w:hint="eastAsia" w:ascii="宋体" w:hAnsi="宋体"/>
          <w:color w:val="auto"/>
          <w:szCs w:val="21"/>
          <w:highlight w:val="none"/>
          <w:u w:val="single"/>
        </w:rPr>
        <w:t>3.1.4 只有通过初步评审的投标人才能进入下一阶段详细评审。当通过初步评审的有效投标人不足三名时，招标失败。在进行形式评审、资格评审、响应性评审过程中，若评委意见不一致时，则按少数服从多数的原则，决定该投标人是否通过相应阶段的评审，进入下一阶段评审。</w:t>
      </w:r>
    </w:p>
    <w:p>
      <w:pPr>
        <w:spacing w:line="360" w:lineRule="auto"/>
        <w:ind w:firstLine="420" w:firstLineChars="200"/>
        <w:rPr>
          <w:rFonts w:ascii="宋体" w:hAnsi="宋体"/>
          <w:color w:val="auto"/>
          <w:szCs w:val="21"/>
          <w:highlight w:val="none"/>
        </w:rPr>
      </w:pPr>
    </w:p>
    <w:p>
      <w:pPr>
        <w:pStyle w:val="5"/>
        <w:spacing w:beforeLines="20" w:afterLines="20" w:line="360" w:lineRule="auto"/>
        <w:rPr>
          <w:rFonts w:ascii="宋体" w:hAnsi="宋体"/>
          <w:color w:val="auto"/>
          <w:highlight w:val="none"/>
        </w:rPr>
      </w:pPr>
      <w:bookmarkStart w:id="293" w:name="_Toc14978"/>
      <w:bookmarkStart w:id="294" w:name="_Toc535834503"/>
      <w:bookmarkStart w:id="295" w:name="_Toc17695"/>
      <w:bookmarkStart w:id="296" w:name="_Toc24104595"/>
      <w:bookmarkStart w:id="297" w:name="_Toc29799"/>
      <w:r>
        <w:rPr>
          <w:rFonts w:hint="eastAsia" w:ascii="宋体" w:hAnsi="宋体"/>
          <w:color w:val="auto"/>
          <w:highlight w:val="none"/>
        </w:rPr>
        <w:t>3.2 详细评审</w:t>
      </w:r>
      <w:bookmarkEnd w:id="293"/>
      <w:bookmarkEnd w:id="294"/>
      <w:bookmarkEnd w:id="295"/>
      <w:bookmarkEnd w:id="296"/>
      <w:bookmarkEnd w:id="297"/>
    </w:p>
    <w:p>
      <w:pPr>
        <w:spacing w:line="360" w:lineRule="auto"/>
        <w:ind w:firstLine="420" w:firstLineChars="200"/>
        <w:rPr>
          <w:rFonts w:ascii="宋体" w:hAnsi="宋体"/>
          <w:color w:val="auto"/>
          <w:highlight w:val="none"/>
        </w:rPr>
      </w:pPr>
      <w:r>
        <w:rPr>
          <w:rFonts w:hint="eastAsia" w:ascii="宋体" w:hAnsi="宋体"/>
          <w:color w:val="auto"/>
          <w:highlight w:val="none"/>
        </w:rPr>
        <w:t>3.2.1 评标委员会按本章第 2.2 款规定的量化因素和分值进行打分，并计算出综合评估得分。</w:t>
      </w:r>
    </w:p>
    <w:p>
      <w:pPr>
        <w:spacing w:line="360" w:lineRule="auto"/>
        <w:ind w:firstLine="422" w:firstLineChars="200"/>
        <w:rPr>
          <w:rFonts w:ascii="宋体" w:hAnsi="宋体"/>
          <w:b/>
          <w:bCs/>
          <w:color w:val="auto"/>
          <w:highlight w:val="none"/>
        </w:rPr>
      </w:pPr>
      <w:r>
        <w:rPr>
          <w:rFonts w:hint="eastAsia" w:ascii="宋体" w:hAnsi="宋体"/>
          <w:b/>
          <w:bCs/>
          <w:color w:val="auto"/>
          <w:highlight w:val="none"/>
        </w:rPr>
        <w:t>（1）按本章第 2.2.4（1）目规定的评审因素和分值对企业资信业绩计算出得分A；</w:t>
      </w:r>
    </w:p>
    <w:p>
      <w:pPr>
        <w:spacing w:line="360" w:lineRule="auto"/>
        <w:ind w:firstLine="422" w:firstLineChars="200"/>
        <w:rPr>
          <w:rFonts w:ascii="宋体" w:hAnsi="宋体"/>
          <w:b/>
          <w:bCs/>
          <w:color w:val="auto"/>
          <w:highlight w:val="none"/>
        </w:rPr>
      </w:pPr>
      <w:r>
        <w:rPr>
          <w:rFonts w:hint="eastAsia" w:ascii="宋体" w:hAnsi="宋体"/>
          <w:b/>
          <w:bCs/>
          <w:color w:val="auto"/>
          <w:highlight w:val="none"/>
        </w:rPr>
        <w:t>（2）按本章第 2.2.4（2）目规定的评审因素和分值对技术方案计算出得分B；</w:t>
      </w:r>
    </w:p>
    <w:p>
      <w:pPr>
        <w:spacing w:line="360" w:lineRule="auto"/>
        <w:ind w:firstLine="422" w:firstLineChars="200"/>
        <w:rPr>
          <w:rFonts w:ascii="宋体" w:hAnsi="宋体"/>
          <w:color w:val="auto"/>
          <w:highlight w:val="none"/>
        </w:rPr>
      </w:pPr>
      <w:r>
        <w:rPr>
          <w:rFonts w:hint="eastAsia" w:ascii="宋体" w:hAnsi="宋体"/>
          <w:b/>
          <w:bCs/>
          <w:color w:val="auto"/>
          <w:highlight w:val="none"/>
        </w:rPr>
        <w:t>（3）按本章第 2.2.4（3）目规定的评审因素和分值对投标报价计算出得分C；</w:t>
      </w:r>
    </w:p>
    <w:p>
      <w:pPr>
        <w:spacing w:line="360" w:lineRule="auto"/>
        <w:ind w:firstLine="420" w:firstLineChars="200"/>
        <w:rPr>
          <w:rFonts w:ascii="宋体" w:hAnsi="宋体"/>
          <w:color w:val="auto"/>
          <w:highlight w:val="none"/>
        </w:rPr>
      </w:pPr>
      <w:r>
        <w:rPr>
          <w:rFonts w:hint="eastAsia" w:ascii="宋体" w:hAnsi="宋体"/>
          <w:color w:val="auto"/>
          <w:highlight w:val="none"/>
        </w:rPr>
        <w:t>3.2.2 评分分值计算保留小数点后两位，小数点后第三位“四舍五入”。</w:t>
      </w:r>
    </w:p>
    <w:p>
      <w:pPr>
        <w:spacing w:line="360" w:lineRule="auto"/>
        <w:ind w:firstLine="420" w:firstLineChars="200"/>
        <w:rPr>
          <w:rFonts w:ascii="宋体" w:hAnsi="宋体"/>
          <w:color w:val="auto"/>
          <w:highlight w:val="none"/>
        </w:rPr>
      </w:pPr>
      <w:r>
        <w:rPr>
          <w:rFonts w:hint="eastAsia" w:ascii="宋体" w:hAnsi="宋体"/>
          <w:color w:val="auto"/>
          <w:highlight w:val="none"/>
        </w:rPr>
        <w:t>3.2.3 投标人</w:t>
      </w:r>
      <w:r>
        <w:rPr>
          <w:rFonts w:hint="eastAsia" w:ascii="宋体" w:hAnsi="宋体"/>
          <w:color w:val="auto"/>
          <w:highlight w:val="none"/>
          <w:lang w:val="en-US" w:eastAsia="zh-CN"/>
        </w:rPr>
        <w:t>总</w:t>
      </w:r>
      <w:r>
        <w:rPr>
          <w:rFonts w:hint="eastAsia" w:ascii="宋体" w:hAnsi="宋体"/>
          <w:color w:val="auto"/>
          <w:highlight w:val="none"/>
        </w:rPr>
        <w:t>得分=A+B+C。</w:t>
      </w:r>
    </w:p>
    <w:p>
      <w:pPr>
        <w:spacing w:line="360" w:lineRule="auto"/>
        <w:ind w:firstLine="420" w:firstLineChars="200"/>
        <w:rPr>
          <w:rFonts w:ascii="宋体" w:hAnsi="宋体"/>
          <w:color w:val="auto"/>
          <w:highlight w:val="none"/>
        </w:rPr>
      </w:pPr>
      <w:r>
        <w:rPr>
          <w:rFonts w:hint="eastAsia" w:ascii="宋体" w:hAnsi="宋体"/>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beforeLines="20" w:afterLines="20" w:line="360" w:lineRule="auto"/>
        <w:rPr>
          <w:rFonts w:ascii="宋体" w:hAnsi="宋体"/>
          <w:color w:val="auto"/>
          <w:highlight w:val="none"/>
        </w:rPr>
      </w:pPr>
      <w:bookmarkStart w:id="298" w:name="_Toc28933"/>
      <w:bookmarkStart w:id="299" w:name="_Toc24104596"/>
      <w:bookmarkStart w:id="300" w:name="_Toc20921"/>
      <w:bookmarkStart w:id="301" w:name="_Toc29004"/>
      <w:bookmarkStart w:id="302" w:name="_Toc535834504"/>
      <w:r>
        <w:rPr>
          <w:rFonts w:hint="eastAsia" w:ascii="宋体" w:hAnsi="宋体"/>
          <w:color w:val="auto"/>
          <w:highlight w:val="none"/>
        </w:rPr>
        <w:t>3.3 投标文件的澄清</w:t>
      </w:r>
      <w:bookmarkEnd w:id="298"/>
      <w:bookmarkEnd w:id="299"/>
      <w:bookmarkEnd w:id="300"/>
      <w:bookmarkEnd w:id="301"/>
      <w:bookmarkEnd w:id="302"/>
    </w:p>
    <w:p>
      <w:pPr>
        <w:spacing w:line="360" w:lineRule="auto"/>
        <w:ind w:firstLine="420" w:firstLineChars="200"/>
        <w:rPr>
          <w:rFonts w:ascii="宋体" w:hAnsi="宋体"/>
          <w:color w:val="auto"/>
          <w:highlight w:val="none"/>
        </w:rPr>
      </w:pPr>
      <w:r>
        <w:rPr>
          <w:rFonts w:hint="eastAsia" w:ascii="宋体" w:hAnsi="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hAnsi="宋体"/>
          <w:color w:val="auto"/>
          <w:highlight w:val="none"/>
        </w:rPr>
      </w:pPr>
      <w:r>
        <w:rPr>
          <w:rFonts w:hint="eastAsia" w:ascii="宋体" w:hAnsi="宋体"/>
          <w:color w:val="auto"/>
          <w:highlight w:val="none"/>
        </w:rPr>
        <w:t>3.3.2 澄清、说明或补正不得超出投标文件的范围且不得改变投标文件的实质性内容，并构成投标文件的组成部分。</w:t>
      </w:r>
    </w:p>
    <w:p>
      <w:pPr>
        <w:spacing w:line="360" w:lineRule="auto"/>
        <w:ind w:firstLine="420" w:firstLineChars="200"/>
        <w:rPr>
          <w:rFonts w:ascii="宋体" w:hAnsi="宋体"/>
          <w:color w:val="auto"/>
          <w:highlight w:val="none"/>
        </w:rPr>
      </w:pPr>
      <w:r>
        <w:rPr>
          <w:rFonts w:hint="eastAsia" w:ascii="宋体" w:hAnsi="宋体"/>
          <w:color w:val="auto"/>
          <w:highlight w:val="none"/>
        </w:rPr>
        <w:t>3.3.3 评标委员会对投标人提交的澄清、说明或补正有疑问的，可以要求投标人进一步澄清、说明或补正，直至满足评标委员会的要求。</w:t>
      </w:r>
    </w:p>
    <w:p>
      <w:pPr>
        <w:pStyle w:val="5"/>
        <w:spacing w:beforeLines="20" w:afterLines="20" w:line="360" w:lineRule="auto"/>
        <w:rPr>
          <w:rFonts w:ascii="宋体" w:hAnsi="宋体" w:cs="宋体"/>
          <w:color w:val="auto"/>
          <w:highlight w:val="none"/>
        </w:rPr>
      </w:pPr>
      <w:bookmarkStart w:id="303" w:name="_Toc2323"/>
      <w:bookmarkStart w:id="304" w:name="_Toc24104597"/>
      <w:bookmarkStart w:id="305" w:name="_Toc2602"/>
      <w:bookmarkStart w:id="306" w:name="_Toc3735"/>
      <w:r>
        <w:rPr>
          <w:rFonts w:hint="eastAsia" w:ascii="宋体" w:hAnsi="宋体" w:cs="宋体"/>
          <w:color w:val="auto"/>
          <w:highlight w:val="none"/>
        </w:rPr>
        <w:t>3.4 评标结果</w:t>
      </w:r>
      <w:bookmarkEnd w:id="303"/>
      <w:bookmarkEnd w:id="304"/>
      <w:bookmarkEnd w:id="305"/>
      <w:bookmarkEnd w:id="306"/>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3.4.1 除第二章“投标人须知”前附表授权直接确定中标人外，评标委员会按照得分由高到低的顺序推荐中标候选人，并标明排序。</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3.4.2 评标委员会完成评标后，应当向招标人提交书面评标报告和中标候选人名单。</w:t>
      </w:r>
    </w:p>
    <w:p>
      <w:pPr>
        <w:spacing w:line="360" w:lineRule="auto"/>
        <w:ind w:firstLine="420" w:firstLineChars="200"/>
        <w:rPr>
          <w:rFonts w:ascii="宋体" w:hAnsi="宋体" w:cs="宋体"/>
          <w:color w:val="auto"/>
          <w:highlight w:val="none"/>
        </w:rPr>
      </w:pPr>
    </w:p>
    <w:p>
      <w:pPr>
        <w:pStyle w:val="3"/>
        <w:spacing w:beforeLines="20" w:afterLines="20" w:line="360" w:lineRule="auto"/>
        <w:jc w:val="center"/>
        <w:rPr>
          <w:rFonts w:ascii="宋体" w:hAnsi="宋体" w:cs="宋体"/>
          <w:color w:val="auto"/>
          <w:highlight w:val="none"/>
        </w:rPr>
      </w:pPr>
      <w:r>
        <w:rPr>
          <w:rFonts w:hint="eastAsia" w:ascii="宋体" w:hAnsi="宋体" w:cs="宋体"/>
          <w:color w:val="auto"/>
          <w:highlight w:val="none"/>
        </w:rPr>
        <w:br w:type="page"/>
      </w:r>
      <w:bookmarkStart w:id="307" w:name="_Toc6858"/>
      <w:bookmarkStart w:id="308" w:name="_Toc13217"/>
      <w:bookmarkStart w:id="309" w:name="_Toc31271"/>
      <w:bookmarkStart w:id="310" w:name="_Toc24104598"/>
      <w:r>
        <w:rPr>
          <w:rFonts w:hint="eastAsia" w:ascii="宋体" w:hAnsi="宋体" w:cs="宋体"/>
          <w:color w:val="auto"/>
          <w:highlight w:val="none"/>
        </w:rPr>
        <w:t>第四章 合同条款及格式</w:t>
      </w:r>
      <w:bookmarkEnd w:id="307"/>
      <w:bookmarkEnd w:id="308"/>
      <w:bookmarkEnd w:id="309"/>
      <w:bookmarkEnd w:id="310"/>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（另册）</w:t>
      </w:r>
    </w:p>
    <w:p>
      <w:pPr>
        <w:rPr>
          <w:rFonts w:ascii="宋体" w:hAnsi="宋体" w:cs="宋体"/>
          <w:color w:val="auto"/>
          <w:highlight w:val="none"/>
        </w:rPr>
      </w:pPr>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br w:type="page"/>
      </w:r>
    </w:p>
    <w:p>
      <w:pPr>
        <w:pStyle w:val="3"/>
        <w:spacing w:beforeLines="20" w:afterLines="20" w:line="360" w:lineRule="auto"/>
        <w:jc w:val="center"/>
        <w:rPr>
          <w:rFonts w:ascii="宋体" w:hAnsi="宋体" w:cs="宋体"/>
          <w:color w:val="auto"/>
          <w:highlight w:val="none"/>
        </w:rPr>
      </w:pPr>
      <w:bookmarkStart w:id="311" w:name="_Toc20810"/>
      <w:bookmarkStart w:id="312" w:name="_Toc677"/>
      <w:bookmarkStart w:id="313" w:name="_Toc24104602"/>
      <w:bookmarkStart w:id="314" w:name="_Toc6074"/>
      <w:r>
        <w:rPr>
          <w:rFonts w:hint="eastAsia" w:ascii="宋体" w:hAnsi="宋体" w:cs="宋体"/>
          <w:color w:val="auto"/>
          <w:highlight w:val="none"/>
        </w:rPr>
        <w:t>第五章 投标文件格式</w:t>
      </w:r>
      <w:bookmarkEnd w:id="311"/>
      <w:bookmarkEnd w:id="312"/>
      <w:bookmarkEnd w:id="313"/>
      <w:bookmarkEnd w:id="314"/>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br w:type="page"/>
      </w:r>
    </w:p>
    <w:p>
      <w:pPr>
        <w:spacing w:line="360" w:lineRule="auto"/>
        <w:jc w:val="center"/>
        <w:rPr>
          <w:rFonts w:ascii="宋体" w:hAnsi="宋体" w:cs="宋体"/>
          <w:b/>
          <w:bCs/>
          <w:color w:val="auto"/>
          <w:sz w:val="28"/>
          <w:szCs w:val="28"/>
          <w:highlight w:val="none"/>
        </w:rPr>
      </w:pPr>
    </w:p>
    <w:p>
      <w:pPr>
        <w:spacing w:line="360" w:lineRule="auto"/>
        <w:jc w:val="center"/>
        <w:rPr>
          <w:rFonts w:ascii="宋体" w:hAnsi="宋体" w:cs="宋体"/>
          <w:b/>
          <w:bCs/>
          <w:color w:val="auto"/>
          <w:sz w:val="28"/>
          <w:szCs w:val="28"/>
          <w:highlight w:val="none"/>
        </w:rPr>
      </w:pPr>
    </w:p>
    <w:p>
      <w:pPr>
        <w:spacing w:line="360" w:lineRule="auto"/>
        <w:jc w:val="center"/>
        <w:rPr>
          <w:rFonts w:hint="eastAsia" w:ascii="宋体" w:hAnsi="宋体" w:eastAsia="宋体" w:cs="宋体"/>
          <w:b/>
          <w:color w:val="auto"/>
          <w:sz w:val="28"/>
          <w:szCs w:val="28"/>
          <w:highlight w:val="none"/>
          <w:u w:val="single"/>
          <w:lang w:eastAsia="zh-CN"/>
        </w:rPr>
      </w:pPr>
      <w:r>
        <w:rPr>
          <w:rFonts w:hint="eastAsia" w:ascii="宋体" w:hAnsi="宋体" w:cs="宋体"/>
          <w:b/>
          <w:bCs/>
          <w:color w:val="auto"/>
          <w:sz w:val="28"/>
          <w:szCs w:val="28"/>
          <w:highlight w:val="none"/>
          <w:lang w:eastAsia="zh-CN"/>
        </w:rPr>
        <w:t>三支香水道-沥滘水道流域（大石系统）村居雨污分流改造工程——西三村、桔树村和三支香水道-沥滘水道流域（大石系统）村居雨污分流改造工程——西三村、桔树村（清淤修复部分）第三方检测</w:t>
      </w:r>
    </w:p>
    <w:p>
      <w:pPr>
        <w:spacing w:line="360" w:lineRule="auto"/>
        <w:ind w:firstLine="420" w:firstLineChars="200"/>
        <w:rPr>
          <w:rFonts w:ascii="宋体" w:hAnsi="宋体" w:cs="宋体"/>
          <w:color w:val="auto"/>
          <w:highlight w:val="none"/>
        </w:rPr>
      </w:pPr>
    </w:p>
    <w:p>
      <w:pPr>
        <w:pStyle w:val="2"/>
        <w:ind w:firstLine="422"/>
        <w:rPr>
          <w:color w:val="auto"/>
          <w:highlight w:val="none"/>
        </w:rPr>
      </w:pPr>
    </w:p>
    <w:p>
      <w:pPr>
        <w:rPr>
          <w:color w:val="auto"/>
          <w:highlight w:val="none"/>
        </w:rPr>
      </w:pPr>
    </w:p>
    <w:p>
      <w:pPr>
        <w:pStyle w:val="44"/>
        <w:ind w:firstLine="480"/>
        <w:rPr>
          <w:rFonts w:ascii="宋体" w:hAnsi="宋体" w:cs="宋体"/>
          <w:color w:val="auto"/>
          <w:highlight w:val="none"/>
        </w:rPr>
      </w:pPr>
    </w:p>
    <w:p>
      <w:pPr>
        <w:pStyle w:val="44"/>
        <w:ind w:firstLine="480"/>
        <w:rPr>
          <w:rFonts w:ascii="宋体" w:hAnsi="宋体" w:cs="宋体"/>
          <w:color w:val="auto"/>
          <w:highlight w:val="none"/>
        </w:rPr>
      </w:pPr>
    </w:p>
    <w:p>
      <w:pPr>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投 标 文 件</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投标人：（盖单位章）</w:t>
      </w:r>
    </w:p>
    <w:p>
      <w:pPr>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法定代表人或其委托代理人：（签字）</w:t>
      </w:r>
    </w:p>
    <w:p>
      <w:pPr>
        <w:spacing w:line="360" w:lineRule="auto"/>
        <w:ind w:firstLine="2861" w:firstLineChars="950"/>
        <w:rPr>
          <w:rFonts w:ascii="宋体" w:hAnsi="宋体" w:cs="宋体"/>
          <w:b/>
          <w:color w:val="auto"/>
          <w:sz w:val="32"/>
          <w:szCs w:val="32"/>
          <w:highlight w:val="none"/>
        </w:rPr>
      </w:pP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月</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日</w:t>
      </w:r>
    </w:p>
    <w:p>
      <w:pPr>
        <w:pStyle w:val="4"/>
        <w:jc w:val="center"/>
        <w:rPr>
          <w:rFonts w:ascii="宋体" w:hAnsi="宋体" w:eastAsia="宋体" w:cs="宋体"/>
          <w:color w:val="auto"/>
          <w:highlight w:val="none"/>
        </w:rPr>
      </w:pPr>
      <w:bookmarkStart w:id="315" w:name="_Toc18813"/>
      <w:bookmarkStart w:id="316" w:name="_Toc22165"/>
      <w:bookmarkStart w:id="317" w:name="_Toc24104603"/>
      <w:r>
        <w:rPr>
          <w:rFonts w:hint="eastAsia" w:ascii="宋体" w:hAnsi="宋体" w:eastAsia="宋体" w:cs="宋体"/>
          <w:color w:val="auto"/>
          <w:highlight w:val="none"/>
        </w:rPr>
        <w:br w:type="page"/>
      </w:r>
      <w:bookmarkStart w:id="318" w:name="_Toc25973"/>
      <w:bookmarkStart w:id="319" w:name="_Toc19557"/>
      <w:r>
        <w:rPr>
          <w:rFonts w:hint="eastAsia" w:ascii="宋体" w:hAnsi="宋体" w:eastAsia="宋体" w:cs="宋体"/>
          <w:color w:val="auto"/>
          <w:highlight w:val="none"/>
        </w:rPr>
        <w:t>目录</w:t>
      </w:r>
      <w:bookmarkEnd w:id="315"/>
      <w:bookmarkEnd w:id="316"/>
      <w:bookmarkEnd w:id="317"/>
      <w:bookmarkEnd w:id="318"/>
      <w:bookmarkEnd w:id="31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一、投标函及投标函附录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二、法定代表人身份证明或授权委托书</w:t>
      </w:r>
    </w:p>
    <w:p>
      <w:pPr>
        <w:spacing w:line="360" w:lineRule="auto"/>
        <w:ind w:firstLine="480" w:firstLineChars="200"/>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三、投标保证金</w:t>
      </w:r>
    </w:p>
    <w:p>
      <w:pPr>
        <w:pStyle w:val="28"/>
        <w:rPr>
          <w:rFonts w:hint="eastAsia" w:eastAsia="宋体"/>
          <w:strike w:val="0"/>
          <w:color w:val="auto"/>
          <w:highlight w:val="none"/>
          <w:lang w:val="en-US" w:eastAsia="zh-CN"/>
        </w:rPr>
      </w:pPr>
      <w:r>
        <w:rPr>
          <w:rFonts w:hint="eastAsia" w:ascii="宋体" w:hAnsi="宋体" w:cs="宋体"/>
          <w:strike w:val="0"/>
          <w:dstrike w:val="0"/>
          <w:color w:val="auto"/>
          <w:sz w:val="24"/>
          <w:highlight w:val="none"/>
          <w:lang w:val="en-US" w:eastAsia="zh-CN"/>
        </w:rPr>
        <w:t>三、《联合体协议书》（如有）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四、资格审查资料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五、项目检测方案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六、检测能力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七、投标单位情况介绍</w:t>
      </w:r>
    </w:p>
    <w:p>
      <w:pPr>
        <w:spacing w:line="360" w:lineRule="auto"/>
        <w:ind w:left="1305" w:leftChars="450" w:hanging="360" w:hangingChars="150"/>
        <w:rPr>
          <w:rFonts w:ascii="宋体" w:hAnsi="宋体" w:cs="宋体"/>
          <w:color w:val="auto"/>
          <w:sz w:val="24"/>
          <w:highlight w:val="none"/>
        </w:rPr>
      </w:pPr>
      <w:r>
        <w:rPr>
          <w:rFonts w:hint="eastAsia" w:ascii="宋体" w:hAnsi="宋体" w:cs="宋体"/>
          <w:color w:val="auto"/>
          <w:sz w:val="24"/>
          <w:highlight w:val="none"/>
        </w:rPr>
        <w:t>① 一般情况表</w:t>
      </w:r>
    </w:p>
    <w:p>
      <w:pPr>
        <w:spacing w:line="360" w:lineRule="auto"/>
        <w:ind w:left="1305" w:leftChars="450" w:hanging="360" w:hangingChars="150"/>
        <w:rPr>
          <w:rFonts w:ascii="宋体" w:hAnsi="宋体" w:cs="宋体"/>
          <w:color w:val="auto"/>
          <w:sz w:val="24"/>
          <w:highlight w:val="none"/>
        </w:rPr>
      </w:pPr>
      <w:r>
        <w:rPr>
          <w:rFonts w:hint="eastAsia" w:ascii="宋体" w:hAnsi="宋体" w:cs="宋体"/>
          <w:color w:val="auto"/>
          <w:sz w:val="24"/>
          <w:highlight w:val="none"/>
        </w:rPr>
        <w:t>② 拟委派的项目负责人、技术负责人及投入本项目的主要技术人员一览表</w:t>
      </w:r>
    </w:p>
    <w:p>
      <w:pPr>
        <w:spacing w:line="360" w:lineRule="auto"/>
        <w:ind w:left="1305" w:leftChars="450" w:hanging="360" w:hangingChars="150"/>
        <w:rPr>
          <w:rFonts w:ascii="宋体" w:hAnsi="宋体" w:cs="宋体"/>
          <w:color w:val="auto"/>
          <w:sz w:val="24"/>
          <w:highlight w:val="none"/>
        </w:rPr>
      </w:pPr>
      <w:r>
        <w:rPr>
          <w:rFonts w:hint="eastAsia" w:ascii="宋体" w:hAnsi="宋体" w:cs="宋体"/>
          <w:color w:val="auto"/>
          <w:sz w:val="24"/>
          <w:highlight w:val="none"/>
        </w:rPr>
        <w:t>③ 拟委派的项目负责人、技术负责人及投入本项目的主要技术人员简历表</w:t>
      </w:r>
    </w:p>
    <w:p>
      <w:pPr>
        <w:spacing w:line="360" w:lineRule="auto"/>
        <w:ind w:left="1305" w:leftChars="450" w:hanging="360" w:hangingChars="150"/>
        <w:rPr>
          <w:rFonts w:ascii="宋体" w:hAnsi="宋体" w:cs="宋体"/>
          <w:color w:val="auto"/>
          <w:sz w:val="24"/>
          <w:highlight w:val="none"/>
        </w:rPr>
      </w:pPr>
      <w:r>
        <w:rPr>
          <w:rFonts w:hint="eastAsia" w:ascii="宋体" w:hAnsi="宋体" w:cs="宋体"/>
          <w:color w:val="auto"/>
          <w:sz w:val="24"/>
          <w:highlight w:val="none"/>
        </w:rPr>
        <w:t>④ 投标人2018年1月1日至今承担的类似检测业绩</w:t>
      </w:r>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⑤ 其他证明企业资信实力、获奖证明资料等扫描件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八、其他资料</w:t>
      </w:r>
    </w:p>
    <w:p>
      <w:pPr>
        <w:pStyle w:val="4"/>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320" w:name="_Toc17456"/>
      <w:bookmarkStart w:id="321" w:name="_Toc24104604"/>
      <w:bookmarkStart w:id="322" w:name="_Toc15280"/>
      <w:bookmarkStart w:id="323" w:name="_Toc3836"/>
      <w:r>
        <w:rPr>
          <w:rFonts w:hint="eastAsia" w:ascii="宋体" w:hAnsi="宋体" w:eastAsia="宋体" w:cs="宋体"/>
          <w:color w:val="auto"/>
          <w:highlight w:val="none"/>
        </w:rPr>
        <w:t>一、投标函及投标函附录</w:t>
      </w:r>
      <w:bookmarkEnd w:id="320"/>
      <w:bookmarkEnd w:id="321"/>
      <w:bookmarkEnd w:id="322"/>
      <w:bookmarkEnd w:id="323"/>
    </w:p>
    <w:p>
      <w:pPr>
        <w:pStyle w:val="5"/>
        <w:spacing w:beforeLines="20" w:afterLines="20" w:line="360" w:lineRule="auto"/>
        <w:jc w:val="center"/>
        <w:rPr>
          <w:rFonts w:ascii="宋体" w:hAnsi="宋体" w:cs="宋体"/>
          <w:color w:val="auto"/>
          <w:highlight w:val="none"/>
        </w:rPr>
      </w:pPr>
      <w:bookmarkStart w:id="324" w:name="_Toc3175"/>
      <w:bookmarkStart w:id="325" w:name="_Toc27302"/>
      <w:bookmarkStart w:id="326" w:name="_Toc9227"/>
      <w:bookmarkStart w:id="327" w:name="_Toc12633"/>
      <w:bookmarkStart w:id="328" w:name="_Toc24104605"/>
      <w:r>
        <w:rPr>
          <w:rFonts w:hint="eastAsia" w:ascii="宋体" w:hAnsi="宋体" w:cs="宋体"/>
          <w:color w:val="auto"/>
          <w:highlight w:val="none"/>
        </w:rPr>
        <w:t>（一）投标函</w:t>
      </w:r>
      <w:bookmarkEnd w:id="324"/>
      <w:bookmarkEnd w:id="325"/>
      <w:bookmarkEnd w:id="326"/>
      <w:bookmarkEnd w:id="327"/>
      <w:bookmarkEnd w:id="328"/>
    </w:p>
    <w:p>
      <w:pPr>
        <w:snapToGrid w:val="0"/>
        <w:spacing w:line="340" w:lineRule="exact"/>
        <w:rPr>
          <w:rFonts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highlight w:val="none"/>
        </w:rPr>
        <w:t>（招标人名称）</w:t>
      </w:r>
    </w:p>
    <w:p>
      <w:pPr>
        <w:numPr>
          <w:ilvl w:val="0"/>
          <w:numId w:val="3"/>
        </w:numPr>
        <w:tabs>
          <w:tab w:val="left" w:pos="0"/>
          <w:tab w:val="clear" w:pos="1185"/>
        </w:tabs>
        <w:spacing w:line="440" w:lineRule="exact"/>
        <w:ind w:left="0" w:firstLine="420"/>
        <w:jc w:val="left"/>
        <w:rPr>
          <w:rFonts w:ascii="宋体" w:hAnsi="宋体"/>
          <w:color w:val="auto"/>
          <w:szCs w:val="21"/>
          <w:highlight w:val="none"/>
        </w:rPr>
      </w:pPr>
      <w:r>
        <w:rPr>
          <w:rFonts w:hint="eastAsia" w:ascii="宋体" w:hAnsi="宋体"/>
          <w:color w:val="auto"/>
          <w:szCs w:val="21"/>
          <w:highlight w:val="none"/>
        </w:rPr>
        <w:t>在研究了项目招标文件和考察了工程现场后，我方愿意按人民币</w:t>
      </w:r>
      <w:r>
        <w:rPr>
          <w:rFonts w:hint="eastAsia" w:ascii="宋体" w:hAnsi="宋体"/>
          <w:color w:val="auto"/>
          <w:szCs w:val="21"/>
          <w:highlight w:val="none"/>
          <w:u w:val="single"/>
        </w:rPr>
        <w:t xml:space="preserve">       元（</w:t>
      </w:r>
      <w:r>
        <w:rPr>
          <w:rFonts w:hint="eastAsia" w:ascii="宋体" w:hAnsi="宋体"/>
          <w:color w:val="auto"/>
          <w:kern w:val="0"/>
          <w:szCs w:val="21"/>
          <w:highlight w:val="none"/>
          <w:u w:val="single"/>
        </w:rPr>
        <w:t>大写：</w:t>
      </w:r>
      <w:r>
        <w:rPr>
          <w:rFonts w:hint="eastAsia" w:ascii="宋体" w:hAnsi="宋体"/>
          <w:color w:val="auto"/>
          <w:szCs w:val="21"/>
          <w:highlight w:val="none"/>
          <w:u w:val="single"/>
        </w:rPr>
        <w:t xml:space="preserve">          ）的投标总报价，</w:t>
      </w:r>
      <w:r>
        <w:rPr>
          <w:rFonts w:hint="eastAsia" w:ascii="宋体" w:hAnsi="宋体"/>
          <w:color w:val="auto"/>
          <w:szCs w:val="21"/>
          <w:highlight w:val="none"/>
          <w:u w:val="single"/>
          <w:lang w:val="en-US" w:eastAsia="zh-CN"/>
        </w:rPr>
        <w:t>投标</w:t>
      </w:r>
      <w:r>
        <w:rPr>
          <w:rFonts w:hint="eastAsia" w:ascii="宋体" w:hAnsi="宋体"/>
          <w:color w:val="auto"/>
          <w:szCs w:val="21"/>
          <w:highlight w:val="none"/>
          <w:u w:val="single"/>
        </w:rPr>
        <w:t>下浮率为     %</w:t>
      </w:r>
      <w:r>
        <w:rPr>
          <w:rFonts w:hint="eastAsia" w:ascii="宋体" w:hAnsi="宋体"/>
          <w:color w:val="auto"/>
          <w:kern w:val="0"/>
          <w:szCs w:val="21"/>
          <w:highlight w:val="none"/>
        </w:rPr>
        <w:t>，</w:t>
      </w:r>
      <w:r>
        <w:rPr>
          <w:rFonts w:hint="eastAsia" w:ascii="宋体" w:hAnsi="宋体"/>
          <w:color w:val="auto"/>
          <w:szCs w:val="21"/>
          <w:highlight w:val="none"/>
        </w:rPr>
        <w:t>遵照招标文件的要求承担本项目的检测服务任务。</w:t>
      </w:r>
    </w:p>
    <w:p>
      <w:pPr>
        <w:numPr>
          <w:ilvl w:val="0"/>
          <w:numId w:val="3"/>
        </w:numPr>
        <w:tabs>
          <w:tab w:val="left" w:pos="0"/>
          <w:tab w:val="clear" w:pos="1185"/>
        </w:tabs>
        <w:spacing w:line="440" w:lineRule="exact"/>
        <w:ind w:left="0" w:firstLine="420"/>
        <w:jc w:val="left"/>
        <w:rPr>
          <w:rFonts w:ascii="宋体" w:hAnsi="宋体"/>
          <w:color w:val="auto"/>
          <w:szCs w:val="21"/>
          <w:highlight w:val="none"/>
        </w:rPr>
      </w:pPr>
      <w:r>
        <w:rPr>
          <w:rFonts w:hint="eastAsia" w:ascii="宋体" w:hAnsi="宋体"/>
          <w:color w:val="auto"/>
          <w:szCs w:val="21"/>
          <w:highlight w:val="none"/>
        </w:rPr>
        <w:t>我方同意在从递交投标文件之日起90天的投标文件有效期内严格遵守本投标书的各项承诺。在此期限届满之前，本投标书始终将对我方具有约束力，并随时接受中标。</w:t>
      </w:r>
    </w:p>
    <w:p>
      <w:pPr>
        <w:numPr>
          <w:ilvl w:val="0"/>
          <w:numId w:val="3"/>
        </w:numPr>
        <w:tabs>
          <w:tab w:val="left" w:pos="0"/>
          <w:tab w:val="clear" w:pos="1185"/>
        </w:tabs>
        <w:spacing w:line="440" w:lineRule="exact"/>
        <w:ind w:left="0" w:firstLine="465"/>
        <w:jc w:val="left"/>
        <w:rPr>
          <w:rFonts w:ascii="宋体" w:hAnsi="宋体"/>
          <w:color w:val="auto"/>
          <w:szCs w:val="21"/>
          <w:highlight w:val="none"/>
        </w:rPr>
      </w:pPr>
      <w:r>
        <w:rPr>
          <w:rFonts w:hint="eastAsia" w:ascii="宋体" w:hAnsi="宋体"/>
          <w:color w:val="auto"/>
          <w:szCs w:val="21"/>
          <w:highlight w:val="none"/>
        </w:rPr>
        <w:t>在检测服务合同协议书正式签署生效之前，本投标书连同贵方的中标通知书将构成贵我双方之间共同遵守的文件，对双方具有约束力。</w:t>
      </w:r>
    </w:p>
    <w:p>
      <w:pPr>
        <w:numPr>
          <w:ilvl w:val="0"/>
          <w:numId w:val="3"/>
        </w:numPr>
        <w:tabs>
          <w:tab w:val="left" w:pos="0"/>
          <w:tab w:val="clear" w:pos="1185"/>
        </w:tabs>
        <w:spacing w:line="440" w:lineRule="exact"/>
        <w:ind w:left="0" w:firstLine="420"/>
        <w:jc w:val="left"/>
        <w:rPr>
          <w:rFonts w:ascii="宋体" w:hAnsi="宋体"/>
          <w:color w:val="auto"/>
          <w:szCs w:val="21"/>
          <w:highlight w:val="none"/>
        </w:rPr>
      </w:pPr>
      <w:r>
        <w:rPr>
          <w:rFonts w:hint="eastAsia" w:ascii="宋体" w:hAnsi="宋体"/>
          <w:color w:val="auto"/>
          <w:szCs w:val="21"/>
          <w:highlight w:val="none"/>
        </w:rPr>
        <w:t>我方理解，贵方不一定接受最低标价的投标或贵方接到的其他任何投标。同时也理解，贵方不负担我方的任何投标费用。</w:t>
      </w:r>
    </w:p>
    <w:p>
      <w:pPr>
        <w:numPr>
          <w:ilvl w:val="0"/>
          <w:numId w:val="3"/>
        </w:numPr>
        <w:tabs>
          <w:tab w:val="left" w:pos="0"/>
          <w:tab w:val="clear" w:pos="1185"/>
        </w:tabs>
        <w:spacing w:line="440" w:lineRule="exact"/>
        <w:ind w:left="0" w:firstLine="465"/>
        <w:jc w:val="left"/>
        <w:rPr>
          <w:rFonts w:ascii="宋体" w:hAnsi="宋体"/>
          <w:color w:val="auto"/>
          <w:szCs w:val="21"/>
          <w:highlight w:val="none"/>
        </w:rPr>
      </w:pPr>
      <w:r>
        <w:rPr>
          <w:rFonts w:hint="eastAsia" w:ascii="宋体" w:hAnsi="宋体"/>
          <w:color w:val="auto"/>
          <w:szCs w:val="21"/>
          <w:highlight w:val="none"/>
        </w:rPr>
        <w:t>如果贵方接受我方的投标，我方承诺严格执行招标文件中检测单位的责任与义务；检测合同的生效、终止、变更、暂停与中止；检测服务的费用与支付；检测单位的违约；争端的解决等合同条款。</w:t>
      </w:r>
    </w:p>
    <w:p>
      <w:pPr>
        <w:spacing w:line="440" w:lineRule="exact"/>
        <w:ind w:firstLine="422" w:firstLineChars="200"/>
        <w:rPr>
          <w:rFonts w:ascii="宋体" w:hAnsi="宋体"/>
          <w:b/>
          <w:bCs/>
          <w:color w:val="auto"/>
          <w:szCs w:val="21"/>
          <w:highlight w:val="none"/>
        </w:rPr>
      </w:pPr>
    </w:p>
    <w:p>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投标人：（</w:t>
      </w:r>
      <w:r>
        <w:rPr>
          <w:rFonts w:hint="eastAsia" w:ascii="宋体" w:hAnsi="宋体"/>
          <w:b/>
          <w:bCs/>
          <w:color w:val="auto"/>
          <w:szCs w:val="21"/>
          <w:highlight w:val="none"/>
          <w:u w:val="single"/>
        </w:rPr>
        <w:t xml:space="preserve">全称）（盖章）  </w:t>
      </w:r>
    </w:p>
    <w:p>
      <w:pPr>
        <w:spacing w:line="440" w:lineRule="exact"/>
        <w:ind w:firstLine="422" w:firstLineChars="200"/>
        <w:jc w:val="left"/>
        <w:rPr>
          <w:rFonts w:ascii="宋体" w:hAnsi="宋体"/>
          <w:color w:val="auto"/>
          <w:szCs w:val="21"/>
          <w:highlight w:val="none"/>
        </w:rPr>
      </w:pPr>
      <w:r>
        <w:rPr>
          <w:rFonts w:hint="eastAsia" w:ascii="宋体" w:hAnsi="宋体"/>
          <w:b/>
          <w:bCs/>
          <w:color w:val="auto"/>
          <w:szCs w:val="21"/>
          <w:highlight w:val="none"/>
        </w:rPr>
        <w:t>法定代表人或其授权的代理人：</w:t>
      </w:r>
      <w:r>
        <w:rPr>
          <w:rFonts w:hint="eastAsia" w:ascii="宋体" w:hAnsi="宋体"/>
          <w:b/>
          <w:bCs/>
          <w:color w:val="auto"/>
          <w:szCs w:val="21"/>
          <w:highlight w:val="none"/>
          <w:u w:val="single"/>
        </w:rPr>
        <w:t>（签字）</w:t>
      </w:r>
    </w:p>
    <w:p>
      <w:pPr>
        <w:spacing w:line="440" w:lineRule="exact"/>
        <w:ind w:firstLine="422" w:firstLineChars="200"/>
        <w:rPr>
          <w:rFonts w:ascii="宋体" w:hAnsi="宋体"/>
          <w:b/>
          <w:bCs/>
          <w:color w:val="auto"/>
          <w:szCs w:val="21"/>
          <w:highlight w:val="none"/>
          <w:u w:val="single"/>
        </w:rPr>
      </w:pPr>
      <w:r>
        <w:rPr>
          <w:rFonts w:hint="eastAsia" w:ascii="宋体" w:hAnsi="宋体"/>
          <w:b/>
          <w:bCs/>
          <w:color w:val="auto"/>
          <w:szCs w:val="21"/>
          <w:highlight w:val="none"/>
        </w:rPr>
        <w:t>投标人地址：</w:t>
      </w:r>
    </w:p>
    <w:p>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邮政编码：</w:t>
      </w:r>
    </w:p>
    <w:p>
      <w:pPr>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电   话：</w:t>
      </w:r>
    </w:p>
    <w:p>
      <w:pPr>
        <w:ind w:firstLine="422" w:firstLineChars="200"/>
        <w:jc w:val="left"/>
        <w:rPr>
          <w:rFonts w:hint="eastAsia" w:ascii="宋体" w:hAnsi="宋体"/>
          <w:b/>
          <w:bCs/>
          <w:color w:val="auto"/>
          <w:szCs w:val="21"/>
          <w:highlight w:val="none"/>
          <w:u w:val="single"/>
        </w:rPr>
      </w:pPr>
      <w:r>
        <w:rPr>
          <w:rFonts w:hint="eastAsia" w:ascii="宋体" w:hAnsi="宋体"/>
          <w:b/>
          <w:bCs/>
          <w:color w:val="auto"/>
          <w:szCs w:val="21"/>
          <w:highlight w:val="none"/>
        </w:rPr>
        <w:t>日   期：</w:t>
      </w:r>
      <w:r>
        <w:rPr>
          <w:rFonts w:hint="eastAsia" w:ascii="宋体" w:hAnsi="宋体"/>
          <w:b/>
          <w:bCs/>
          <w:color w:val="auto"/>
          <w:szCs w:val="21"/>
          <w:highlight w:val="none"/>
          <w:u w:val="single"/>
        </w:rPr>
        <w:t xml:space="preserve">     年     月    日</w:t>
      </w:r>
    </w:p>
    <w:p>
      <w:pPr>
        <w:pStyle w:val="2"/>
        <w:rPr>
          <w:color w:val="auto"/>
          <w:highlight w:val="none"/>
        </w:rPr>
      </w:pPr>
    </w:p>
    <w:p>
      <w:pPr>
        <w:jc w:val="left"/>
        <w:rPr>
          <w:b/>
          <w:bCs/>
          <w:color w:val="auto"/>
          <w:sz w:val="28"/>
          <w:szCs w:val="28"/>
          <w:highlight w:val="none"/>
        </w:rPr>
      </w:pPr>
      <w:r>
        <w:rPr>
          <w:rFonts w:hint="eastAsia" w:ascii="宋体" w:hAnsi="宋体" w:eastAsia="宋体" w:cs="宋体"/>
          <w:color w:val="auto"/>
          <w:sz w:val="21"/>
          <w:szCs w:val="21"/>
          <w:highlight w:val="none"/>
        </w:rPr>
        <w:t>注：联合体投标时，可由联合体牵头人法定代表人（或授权委托人）签字或盖章，由联合体牵头人单位盖章。</w:t>
      </w:r>
      <w:r>
        <w:rPr>
          <w:rFonts w:hint="eastAsia" w:ascii="宋体" w:hAnsi="宋体"/>
          <w:b/>
          <w:bCs/>
          <w:color w:val="auto"/>
          <w:szCs w:val="21"/>
          <w:highlight w:val="none"/>
          <w:u w:val="single"/>
        </w:rPr>
        <w:br w:type="page"/>
      </w:r>
      <w:r>
        <w:rPr>
          <w:rFonts w:hint="eastAsia"/>
          <w:b/>
          <w:bCs/>
          <w:color w:val="auto"/>
          <w:sz w:val="28"/>
          <w:szCs w:val="28"/>
          <w:highlight w:val="none"/>
        </w:rPr>
        <w:t>投标函附录一</w:t>
      </w:r>
    </w:p>
    <w:p>
      <w:pPr>
        <w:jc w:val="center"/>
        <w:rPr>
          <w:rFonts w:ascii="宋体" w:hAnsi="宋体"/>
          <w:b/>
          <w:color w:val="auto"/>
          <w:sz w:val="36"/>
          <w:szCs w:val="36"/>
          <w:highlight w:val="none"/>
        </w:rPr>
      </w:pPr>
      <w:r>
        <w:rPr>
          <w:rFonts w:ascii="宋体" w:hAnsi="宋体"/>
          <w:b/>
          <w:color w:val="auto"/>
          <w:sz w:val="36"/>
          <w:szCs w:val="36"/>
          <w:highlight w:val="none"/>
        </w:rPr>
        <w:t>投标函附录</w:t>
      </w:r>
      <w:r>
        <w:rPr>
          <w:rFonts w:hint="eastAsia" w:ascii="宋体" w:hAnsi="宋体"/>
          <w:b/>
          <w:color w:val="auto"/>
          <w:sz w:val="36"/>
          <w:szCs w:val="36"/>
          <w:highlight w:val="none"/>
        </w:rPr>
        <w:t>一</w:t>
      </w:r>
    </w:p>
    <w:tbl>
      <w:tblPr>
        <w:tblStyle w:val="31"/>
        <w:tblpPr w:leftFromText="180" w:rightFromText="180" w:vertAnchor="text" w:horzAnchor="margin" w:tblpXSpec="center" w:tblpY="2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1275"/>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5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highlight w:val="none"/>
                <w:lang w:val="zh-CN"/>
              </w:rPr>
            </w:pPr>
            <w:r>
              <w:rPr>
                <w:rFonts w:hint="eastAsia" w:ascii="宋体" w:hAnsi="宋体" w:cs="宋体"/>
                <w:color w:val="auto"/>
                <w:sz w:val="24"/>
                <w:highlight w:val="none"/>
                <w:lang w:val="zh-CN"/>
              </w:rPr>
              <w:t>项目名称</w:t>
            </w:r>
          </w:p>
        </w:tc>
        <w:tc>
          <w:tcPr>
            <w:tcW w:w="4677"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5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投标下浮率</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960" w:firstLineChars="400"/>
              <w:rPr>
                <w:rFonts w:ascii="宋体" w:hAnsi="宋体"/>
                <w:color w:val="auto"/>
                <w:sz w:val="24"/>
                <w:highlight w:val="none"/>
              </w:rPr>
            </w:pP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503"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投标总报价</w:t>
            </w:r>
          </w:p>
        </w:tc>
        <w:tc>
          <w:tcPr>
            <w:tcW w:w="4677" w:type="dxa"/>
            <w:gridSpan w:val="2"/>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olor w:val="auto"/>
                <w:sz w:val="24"/>
                <w:highlight w:val="none"/>
              </w:rPr>
            </w:pPr>
            <w:r>
              <w:rPr>
                <w:rFonts w:hint="eastAsia" w:ascii="宋体" w:hAnsi="宋体"/>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color w:val="auto"/>
                <w:sz w:val="24"/>
                <w:highlight w:val="none"/>
                <w:lang w:val="zh-CN"/>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highlight w:val="none"/>
                <w:lang w:val="zh-CN"/>
              </w:rPr>
            </w:pPr>
            <w:r>
              <w:rPr>
                <w:rFonts w:hint="eastAsia" w:ascii="宋体" w:hAnsi="宋体"/>
                <w:color w:val="auto"/>
                <w:sz w:val="24"/>
                <w:highlight w:val="none"/>
              </w:rPr>
              <w:t>小写</w:t>
            </w:r>
            <w:r>
              <w:rPr>
                <w:rFonts w:hint="eastAsia" w:ascii="宋体" w:hAnsi="宋体"/>
                <w:color w:val="auto"/>
                <w:sz w:val="24"/>
                <w:highlight w:val="none"/>
                <w:lang w:val="en-US" w:eastAsia="zh-CN"/>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restart"/>
            <w:tcBorders>
              <w:left w:val="single" w:color="auto" w:sz="4" w:space="0"/>
              <w:right w:val="single" w:color="auto" w:sz="4" w:space="0"/>
            </w:tcBorders>
            <w:vAlign w:val="center"/>
          </w:tcPr>
          <w:p>
            <w:pPr>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建设工程部分第三方检测费</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default" w:ascii="宋体" w:hAnsi="宋体" w:eastAsia="宋体"/>
                <w:color w:val="auto"/>
                <w:sz w:val="24"/>
                <w:highlight w:val="none"/>
                <w:lang w:val="en-US" w:eastAsia="zh-CN"/>
              </w:rPr>
            </w:pPr>
            <w:r>
              <w:rPr>
                <w:rFonts w:hint="eastAsia" w:ascii="宋体" w:hAnsi="宋体"/>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bCs/>
                <w:color w:val="auto"/>
                <w:sz w:val="24"/>
                <w:highlight w:val="none"/>
                <w:lang w:val="en-US" w:eastAsia="zh-CN"/>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olor w:val="auto"/>
                <w:sz w:val="24"/>
                <w:highlight w:val="none"/>
                <w:lang w:val="en-US" w:eastAsia="zh-CN"/>
              </w:rPr>
            </w:pPr>
            <w:r>
              <w:rPr>
                <w:rFonts w:hint="eastAsia" w:ascii="宋体" w:hAnsi="宋体"/>
                <w:color w:val="auto"/>
                <w:sz w:val="24"/>
                <w:highlight w:val="none"/>
              </w:rPr>
              <w:t>小写</w:t>
            </w:r>
            <w:r>
              <w:rPr>
                <w:rFonts w:hint="eastAsia" w:ascii="宋体" w:hAnsi="宋体"/>
                <w:color w:val="auto"/>
                <w:sz w:val="24"/>
                <w:highlight w:val="none"/>
                <w:lang w:val="en-US" w:eastAsia="zh-CN"/>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restart"/>
            <w:tcBorders>
              <w:left w:val="single" w:color="auto" w:sz="4" w:space="0"/>
              <w:right w:val="single" w:color="auto" w:sz="4" w:space="0"/>
            </w:tcBorders>
            <w:vAlign w:val="center"/>
          </w:tcPr>
          <w:p>
            <w:pPr>
              <w:jc w:val="cente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清淤修复部分第三方检测费</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olor w:val="auto"/>
                <w:sz w:val="24"/>
                <w:highlight w:val="none"/>
                <w:lang w:val="en-US" w:eastAsia="zh-CN"/>
              </w:rPr>
            </w:pPr>
            <w:r>
              <w:rPr>
                <w:rFonts w:hint="eastAsia" w:ascii="宋体" w:hAnsi="宋体"/>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bCs/>
                <w:color w:val="auto"/>
                <w:sz w:val="24"/>
                <w:highlight w:val="none"/>
                <w:lang w:val="en-US" w:eastAsia="zh-CN"/>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olor w:val="auto"/>
                <w:sz w:val="24"/>
                <w:highlight w:val="none"/>
                <w:lang w:val="en-US" w:eastAsia="zh-CN"/>
              </w:rPr>
            </w:pPr>
            <w:r>
              <w:rPr>
                <w:rFonts w:hint="eastAsia" w:ascii="宋体" w:hAnsi="宋体"/>
                <w:color w:val="auto"/>
                <w:sz w:val="24"/>
                <w:highlight w:val="none"/>
              </w:rPr>
              <w:t>小写</w:t>
            </w:r>
            <w:r>
              <w:rPr>
                <w:rFonts w:hint="eastAsia" w:ascii="宋体" w:hAnsi="宋体"/>
                <w:color w:val="auto"/>
                <w:sz w:val="24"/>
                <w:highlight w:val="none"/>
                <w:lang w:val="en-US" w:eastAsia="zh-CN"/>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zh-CN"/>
              </w:rPr>
              <w:t>服务</w:t>
            </w:r>
            <w:r>
              <w:rPr>
                <w:rFonts w:hint="eastAsia" w:ascii="宋体" w:hAnsi="宋体" w:cs="宋体"/>
                <w:color w:val="auto"/>
                <w:sz w:val="24"/>
                <w:highlight w:val="none"/>
                <w:lang w:val="en-US" w:eastAsia="zh-CN"/>
              </w:rPr>
              <w:t>期限</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质量标准</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lang w:val="zh-CN"/>
              </w:rPr>
            </w:pPr>
            <w:r>
              <w:rPr>
                <w:rFonts w:hint="eastAsia" w:ascii="宋体" w:hAnsi="宋体" w:cs="宋体"/>
                <w:color w:val="auto"/>
                <w:sz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CMA计量认证合格证书号</w:t>
            </w:r>
          </w:p>
        </w:tc>
        <w:tc>
          <w:tcPr>
            <w:tcW w:w="4677"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503"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highlight w:val="none"/>
                <w:lang w:val="zh-CN"/>
              </w:rPr>
            </w:pPr>
            <w:r>
              <w:rPr>
                <w:rFonts w:hint="eastAsia" w:ascii="宋体" w:hAnsi="宋体" w:cs="宋体"/>
                <w:color w:val="auto"/>
                <w:sz w:val="24"/>
                <w:highlight w:val="none"/>
                <w:lang w:val="zh-CN"/>
              </w:rPr>
              <w:t>委派的项目负责人</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姓    名</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0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 w:val="24"/>
                <w:highlight w:val="none"/>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证书编号</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 w:val="24"/>
                <w:highlight w:val="none"/>
                <w:lang w:val="zh-CN"/>
              </w:rPr>
            </w:pPr>
            <w:r>
              <w:rPr>
                <w:rFonts w:hint="eastAsia" w:ascii="宋体" w:hAnsi="宋体" w:cs="宋体"/>
                <w:bCs/>
                <w:color w:val="auto"/>
                <w:sz w:val="24"/>
                <w:highlight w:val="none"/>
                <w:lang w:val="zh-CN"/>
              </w:rPr>
              <w:t>投标有效期</w:t>
            </w:r>
          </w:p>
        </w:tc>
        <w:tc>
          <w:tcPr>
            <w:tcW w:w="4677"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auto"/>
                <w:sz w:val="24"/>
                <w:highlight w:val="none"/>
                <w:lang w:val="zh-CN"/>
              </w:rPr>
            </w:pPr>
          </w:p>
        </w:tc>
      </w:tr>
    </w:tbl>
    <w:p>
      <w:pPr>
        <w:spacing w:after="177"/>
        <w:jc w:val="right"/>
        <w:rPr>
          <w:rFonts w:ascii="宋体" w:hAnsi="宋体" w:cs="宋体"/>
          <w:color w:val="auto"/>
          <w:sz w:val="24"/>
          <w:highlight w:val="none"/>
        </w:rPr>
      </w:pPr>
    </w:p>
    <w:p>
      <w:pPr>
        <w:spacing w:after="177"/>
        <w:jc w:val="right"/>
        <w:rPr>
          <w:rFonts w:ascii="宋体" w:hAnsi="宋体"/>
          <w:color w:val="auto"/>
          <w:sz w:val="24"/>
          <w:highlight w:val="none"/>
        </w:rPr>
      </w:pPr>
      <w:r>
        <w:rPr>
          <w:rFonts w:ascii="宋体" w:hAnsi="宋体" w:cs="宋体"/>
          <w:color w:val="auto"/>
          <w:sz w:val="24"/>
          <w:highlight w:val="none"/>
        </w:rPr>
        <w:t>投标人：（盖单位章）</w:t>
      </w:r>
    </w:p>
    <w:p>
      <w:pPr>
        <w:tabs>
          <w:tab w:val="left" w:pos="960"/>
        </w:tabs>
        <w:spacing w:line="360" w:lineRule="auto"/>
        <w:jc w:val="right"/>
        <w:rPr>
          <w:rFonts w:ascii="宋体" w:hAnsi="宋体"/>
          <w:b/>
          <w:color w:val="auto"/>
          <w:sz w:val="30"/>
          <w:szCs w:val="30"/>
          <w:highlight w:val="none"/>
        </w:rPr>
      </w:pPr>
      <w:r>
        <w:rPr>
          <w:rFonts w:ascii="宋体" w:hAnsi="宋体" w:cs="宋体"/>
          <w:color w:val="auto"/>
          <w:sz w:val="24"/>
          <w:highlight w:val="none"/>
        </w:rPr>
        <w:t>法定代表人或其委托代理人：（签字）</w:t>
      </w:r>
    </w:p>
    <w:p>
      <w:pPr>
        <w:tabs>
          <w:tab w:val="left" w:pos="960"/>
        </w:tabs>
        <w:spacing w:line="360" w:lineRule="auto"/>
        <w:jc w:val="right"/>
        <w:rPr>
          <w:rFonts w:ascii="宋体" w:hAnsi="宋体" w:cs="宋体"/>
          <w:color w:val="auto"/>
          <w:sz w:val="24"/>
          <w:highlight w:val="none"/>
        </w:rPr>
      </w:pPr>
      <w:r>
        <w:rPr>
          <w:rFonts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日</w:t>
      </w:r>
    </w:p>
    <w:p>
      <w:pPr>
        <w:tabs>
          <w:tab w:val="left" w:pos="960"/>
        </w:tabs>
        <w:spacing w:line="360" w:lineRule="auto"/>
        <w:jc w:val="right"/>
        <w:rPr>
          <w:rFonts w:ascii="宋体" w:hAnsi="宋体" w:cs="宋体"/>
          <w:color w:val="auto"/>
          <w:sz w:val="24"/>
          <w:highlight w:val="none"/>
        </w:rPr>
      </w:pPr>
    </w:p>
    <w:p>
      <w:pPr>
        <w:pStyle w:val="4"/>
        <w:jc w:val="left"/>
        <w:rPr>
          <w:rFonts w:hint="eastAsia" w:ascii="宋体" w:hAnsi="宋体" w:eastAsia="宋体" w:cs="宋体"/>
          <w:color w:val="auto"/>
          <w:sz w:val="21"/>
          <w:szCs w:val="21"/>
          <w:highlight w:val="none"/>
        </w:rPr>
      </w:pPr>
      <w:bookmarkStart w:id="329" w:name="_Toc27250"/>
      <w:r>
        <w:rPr>
          <w:rFonts w:hint="eastAsia" w:ascii="宋体" w:hAnsi="宋体" w:eastAsia="宋体" w:cs="宋体"/>
          <w:color w:val="auto"/>
          <w:sz w:val="21"/>
          <w:szCs w:val="21"/>
          <w:highlight w:val="none"/>
        </w:rPr>
        <w:t>注：联合体投标时，可由联合体牵头人法定代表人（或授权委托人）签字或盖章，由联合体牵头人单位盖章。</w:t>
      </w:r>
    </w:p>
    <w:p>
      <w:pPr>
        <w:pStyle w:val="4"/>
        <w:jc w:val="center"/>
        <w:rPr>
          <w:rFonts w:ascii="宋体" w:hAnsi="宋体" w:cs="宋体"/>
          <w:color w:val="auto"/>
          <w:highlight w:val="none"/>
        </w:rPr>
      </w:pPr>
      <w:r>
        <w:rPr>
          <w:rFonts w:hint="eastAsia" w:ascii="宋体" w:hAnsi="宋体" w:eastAsia="宋体" w:cs="宋体"/>
          <w:color w:val="auto"/>
          <w:highlight w:val="none"/>
        </w:rPr>
        <w:br w:type="page"/>
      </w:r>
      <w:bookmarkStart w:id="330" w:name="_Toc24104607"/>
      <w:bookmarkStart w:id="331" w:name="_Toc13253"/>
      <w:bookmarkStart w:id="332" w:name="_Toc4595"/>
      <w:r>
        <w:rPr>
          <w:rFonts w:hint="eastAsia" w:ascii="宋体" w:hAnsi="宋体" w:eastAsia="宋体" w:cs="宋体"/>
          <w:color w:val="auto"/>
          <w:highlight w:val="none"/>
        </w:rPr>
        <w:t>二、法定代表人身份证明或授权委托书</w:t>
      </w:r>
      <w:bookmarkEnd w:id="329"/>
      <w:bookmarkEnd w:id="330"/>
      <w:bookmarkEnd w:id="331"/>
      <w:bookmarkEnd w:id="332"/>
    </w:p>
    <w:p>
      <w:pPr>
        <w:spacing w:line="44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法定代表人身份证明</w:t>
      </w:r>
    </w:p>
    <w:p>
      <w:pPr>
        <w:spacing w:line="440" w:lineRule="exact"/>
        <w:rPr>
          <w:rFonts w:ascii="宋体" w:hAnsi="宋体" w:cs="宋体"/>
          <w:color w:val="auto"/>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bookmarkStart w:id="333" w:name="_Toc352691662"/>
      <w:bookmarkStart w:id="334" w:name="_Toc27897"/>
      <w:bookmarkStart w:id="335" w:name="_Toc369531698"/>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bookmarkEnd w:id="333"/>
      <w:bookmarkEnd w:id="334"/>
      <w:bookmarkEnd w:id="335"/>
      <w:r>
        <w:rPr>
          <w:rFonts w:hint="eastAsia" w:ascii="宋体" w:hAnsi="宋体" w:cs="宋体"/>
          <w:color w:val="auto"/>
          <w:sz w:val="24"/>
          <w:szCs w:val="24"/>
          <w:highlight w:val="none"/>
        </w:rPr>
        <w:t>龄</w:t>
      </w:r>
      <w:bookmarkStart w:id="336" w:name="_Toc144974858"/>
      <w:bookmarkStart w:id="337" w:name="_Toc361508754"/>
      <w:bookmarkStart w:id="338" w:name="_Toc247527829"/>
      <w:bookmarkStart w:id="339" w:name="_Toc369531699"/>
      <w:bookmarkStart w:id="340" w:name="_Toc300835211"/>
      <w:bookmarkStart w:id="341" w:name="_Toc384308377"/>
      <w:bookmarkStart w:id="342" w:name="_Toc15573"/>
      <w:bookmarkStart w:id="343" w:name="_Toc247514248"/>
      <w:bookmarkStart w:id="344" w:name="_Toc352691663"/>
      <w:bookmarkStart w:id="345" w:name="_Toc152045789"/>
      <w:bookmarkStart w:id="346" w:name="_Toc152042578"/>
      <w:r>
        <w:rPr>
          <w:rFonts w:hint="eastAsia" w:ascii="宋体" w:hAnsi="宋体" w:cs="宋体"/>
          <w:color w:val="auto"/>
          <w:sz w:val="24"/>
          <w:szCs w:val="24"/>
          <w:highlight w:val="none"/>
        </w:rPr>
        <w:t>：</w:t>
      </w:r>
      <w:bookmarkEnd w:id="336"/>
      <w:bookmarkEnd w:id="337"/>
      <w:bookmarkEnd w:id="338"/>
      <w:bookmarkEnd w:id="339"/>
      <w:bookmarkEnd w:id="340"/>
      <w:bookmarkEnd w:id="341"/>
      <w:bookmarkEnd w:id="342"/>
      <w:bookmarkEnd w:id="343"/>
      <w:bookmarkEnd w:id="344"/>
      <w:bookmarkEnd w:id="345"/>
      <w:bookmarkEnd w:id="346"/>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特此证明。</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附：法定代表人身份证清晰扫描件。</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注：本身份证明需由投标人加盖单位公章。</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p>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spacing w:line="440" w:lineRule="exact"/>
        <w:rPr>
          <w:rFonts w:ascii="宋体" w:hAnsi="宋体" w:cs="宋体"/>
          <w:color w:val="auto"/>
          <w:sz w:val="24"/>
          <w:szCs w:val="24"/>
          <w:highlight w:val="none"/>
        </w:rPr>
      </w:pPr>
    </w:p>
    <w:p>
      <w:pPr>
        <w:spacing w:line="440" w:lineRule="exact"/>
        <w:ind w:firstLine="5280" w:firstLineChars="220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pStyle w:val="4"/>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347" w:name="_Toc24104608"/>
      <w:bookmarkStart w:id="348" w:name="_Toc14793"/>
      <w:bookmarkStart w:id="349" w:name="_Toc734"/>
      <w:bookmarkStart w:id="350" w:name="_Toc25388"/>
      <w:r>
        <w:rPr>
          <w:rFonts w:hint="eastAsia" w:ascii="宋体" w:hAnsi="宋体" w:eastAsia="宋体" w:cs="宋体"/>
          <w:color w:val="auto"/>
          <w:highlight w:val="none"/>
        </w:rPr>
        <w:t>授权委托书</w:t>
      </w:r>
      <w:bookmarkEnd w:id="347"/>
      <w:bookmarkEnd w:id="348"/>
      <w:bookmarkEnd w:id="349"/>
      <w:bookmarkEnd w:id="350"/>
    </w:p>
    <w:p>
      <w:pPr>
        <w:spacing w:line="360" w:lineRule="auto"/>
        <w:ind w:firstLine="420" w:firstLineChars="200"/>
        <w:rPr>
          <w:rFonts w:ascii="宋体" w:hAnsi="宋体" w:cs="宋体"/>
          <w:color w:val="auto"/>
          <w:highlight w:val="none"/>
        </w:rPr>
      </w:pPr>
    </w:p>
    <w:p>
      <w:pPr>
        <w:topLinePunct/>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（姓名）为我方代理人。代理人根据授权，以我方名义签署、澄清确认、递交、撤回、修改</w:t>
      </w:r>
      <w:r>
        <w:rPr>
          <w:rFonts w:hint="eastAsia" w:ascii="宋体" w:hAnsi="宋体" w:cs="宋体"/>
          <w:color w:val="auto"/>
          <w:sz w:val="24"/>
          <w:szCs w:val="24"/>
          <w:highlight w:val="none"/>
          <w:lang w:val="en-US" w:eastAsia="zh-CN"/>
        </w:rPr>
        <w:t>第三方检测</w:t>
      </w:r>
      <w:r>
        <w:rPr>
          <w:rFonts w:hint="eastAsia" w:ascii="宋体" w:hAnsi="宋体" w:cs="宋体"/>
          <w:color w:val="auto"/>
          <w:sz w:val="24"/>
          <w:szCs w:val="24"/>
          <w:highlight w:val="none"/>
        </w:rPr>
        <w:t>招标项目投标文件、签订合同和处理有关事宜，其法律后果由我方承担。</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pPr>
        <w:spacing w:line="440" w:lineRule="exact"/>
        <w:ind w:firstLine="480" w:firstLineChars="200"/>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附：法定代表人身份证清晰扫描件及委托代理人身份证清晰扫描件</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本授权委托书需由投标人加盖单位公章并由其法定代表人和委托代理人签字。</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Times New Roman"/>
          <w:b w:val="0"/>
          <w:bCs w:val="0"/>
          <w:color w:val="auto"/>
          <w:sz w:val="24"/>
          <w:szCs w:val="24"/>
          <w:highlight w:val="none"/>
        </w:rPr>
        <w:t>联合体投标</w:t>
      </w:r>
      <w:r>
        <w:rPr>
          <w:rFonts w:hint="eastAsia" w:ascii="宋体" w:hAnsi="宋体" w:eastAsia="宋体" w:cs="Times New Roman"/>
          <w:b w:val="0"/>
          <w:bCs w:val="0"/>
          <w:color w:val="auto"/>
          <w:sz w:val="24"/>
          <w:szCs w:val="24"/>
          <w:highlight w:val="none"/>
          <w:lang w:val="en-US" w:eastAsia="zh-CN"/>
        </w:rPr>
        <w:t>时</w:t>
      </w:r>
      <w:r>
        <w:rPr>
          <w:rFonts w:hint="eastAsia" w:ascii="宋体" w:hAnsi="宋体" w:eastAsia="宋体" w:cs="Times New Roman"/>
          <w:b w:val="0"/>
          <w:bCs w:val="0"/>
          <w:color w:val="auto"/>
          <w:sz w:val="24"/>
          <w:szCs w:val="24"/>
          <w:highlight w:val="none"/>
        </w:rPr>
        <w:t>，可</w:t>
      </w:r>
      <w:r>
        <w:rPr>
          <w:rFonts w:hint="eastAsia" w:ascii="宋体" w:hAnsi="宋体" w:eastAsia="宋体" w:cs="Times New Roman"/>
          <w:b w:val="0"/>
          <w:bCs w:val="0"/>
          <w:color w:val="auto"/>
          <w:sz w:val="24"/>
          <w:szCs w:val="24"/>
          <w:highlight w:val="none"/>
          <w:lang w:val="en-US" w:eastAsia="zh-CN"/>
        </w:rPr>
        <w:t>由联合体</w:t>
      </w:r>
      <w:r>
        <w:rPr>
          <w:rFonts w:hint="eastAsia" w:ascii="宋体" w:hAnsi="宋体" w:eastAsia="宋体" w:cs="Times New Roman"/>
          <w:b w:val="0"/>
          <w:bCs w:val="0"/>
          <w:color w:val="auto"/>
          <w:sz w:val="24"/>
          <w:szCs w:val="24"/>
          <w:highlight w:val="none"/>
        </w:rPr>
        <w:t>牵头人法定代表人</w:t>
      </w:r>
      <w:r>
        <w:rPr>
          <w:rFonts w:hint="eastAsia" w:ascii="宋体" w:hAnsi="宋体" w:eastAsia="宋体" w:cs="Times New Roman"/>
          <w:b w:val="0"/>
          <w:bCs w:val="0"/>
          <w:color w:val="auto"/>
          <w:sz w:val="24"/>
          <w:szCs w:val="24"/>
          <w:highlight w:val="none"/>
          <w:lang w:val="en-US" w:eastAsia="zh-CN"/>
        </w:rPr>
        <w:t>和</w:t>
      </w:r>
      <w:r>
        <w:rPr>
          <w:rFonts w:hint="eastAsia" w:ascii="宋体" w:hAnsi="宋体" w:eastAsia="宋体" w:cs="Times New Roman"/>
          <w:b w:val="0"/>
          <w:bCs w:val="0"/>
          <w:color w:val="auto"/>
          <w:sz w:val="24"/>
          <w:szCs w:val="24"/>
          <w:highlight w:val="none"/>
        </w:rPr>
        <w:t>授权</w:t>
      </w:r>
      <w:r>
        <w:rPr>
          <w:rFonts w:hint="eastAsia" w:ascii="宋体" w:hAnsi="宋体" w:eastAsia="宋体" w:cs="Times New Roman"/>
          <w:b w:val="0"/>
          <w:bCs w:val="0"/>
          <w:color w:val="auto"/>
          <w:sz w:val="24"/>
          <w:szCs w:val="24"/>
          <w:highlight w:val="none"/>
          <w:lang w:val="en-US" w:eastAsia="zh-CN"/>
        </w:rPr>
        <w:t>代理</w:t>
      </w:r>
      <w:r>
        <w:rPr>
          <w:rFonts w:hint="eastAsia" w:ascii="宋体" w:hAnsi="宋体" w:eastAsia="宋体" w:cs="Times New Roman"/>
          <w:b w:val="0"/>
          <w:bCs w:val="0"/>
          <w:color w:val="auto"/>
          <w:sz w:val="24"/>
          <w:szCs w:val="24"/>
          <w:highlight w:val="none"/>
        </w:rPr>
        <w:t>人签字</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lang w:val="en-US" w:eastAsia="zh-CN"/>
        </w:rPr>
        <w:t>由联合体</w:t>
      </w:r>
      <w:r>
        <w:rPr>
          <w:rFonts w:hint="eastAsia" w:ascii="宋体" w:hAnsi="宋体" w:eastAsia="宋体" w:cs="Times New Roman"/>
          <w:b w:val="0"/>
          <w:bCs w:val="0"/>
          <w:color w:val="auto"/>
          <w:sz w:val="24"/>
          <w:szCs w:val="24"/>
          <w:highlight w:val="none"/>
        </w:rPr>
        <w:t>牵头人</w:t>
      </w:r>
      <w:r>
        <w:rPr>
          <w:rFonts w:hint="eastAsia" w:ascii="宋体" w:hAnsi="宋体" w:eastAsia="宋体" w:cs="Times New Roman"/>
          <w:b w:val="0"/>
          <w:bCs w:val="0"/>
          <w:color w:val="auto"/>
          <w:sz w:val="24"/>
          <w:szCs w:val="24"/>
          <w:highlight w:val="none"/>
          <w:lang w:val="en-US" w:eastAsia="zh-CN"/>
        </w:rPr>
        <w:t>单位</w:t>
      </w:r>
      <w:r>
        <w:rPr>
          <w:rFonts w:hint="eastAsia" w:ascii="宋体" w:hAnsi="宋体" w:eastAsia="宋体" w:cs="Times New Roman"/>
          <w:b w:val="0"/>
          <w:bCs w:val="0"/>
          <w:color w:val="auto"/>
          <w:sz w:val="24"/>
          <w:szCs w:val="24"/>
          <w:highlight w:val="none"/>
        </w:rPr>
        <w:t>盖章。</w:t>
      </w:r>
    </w:p>
    <w:p>
      <w:pPr>
        <w:spacing w:line="440" w:lineRule="exact"/>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pPr>
        <w:spacing w:line="440" w:lineRule="exact"/>
        <w:ind w:firstLine="3076" w:firstLineChars="1282"/>
        <w:rPr>
          <w:rFonts w:ascii="宋体" w:hAnsi="宋体" w:cs="宋体"/>
          <w:color w:val="auto"/>
          <w:sz w:val="24"/>
          <w:szCs w:val="24"/>
          <w:highlight w:val="none"/>
        </w:rPr>
      </w:pPr>
    </w:p>
    <w:p>
      <w:pPr>
        <w:spacing w:line="440" w:lineRule="exact"/>
        <w:ind w:firstLine="3074" w:firstLineChars="1281"/>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w:t>
      </w:r>
    </w:p>
    <w:p>
      <w:pPr>
        <w:spacing w:line="440" w:lineRule="exact"/>
        <w:ind w:firstLine="3076" w:firstLineChars="1282"/>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pPr>
        <w:spacing w:line="440" w:lineRule="exact"/>
        <w:ind w:firstLine="3076" w:firstLineChars="1282"/>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w:t>
      </w:r>
    </w:p>
    <w:p>
      <w:pPr>
        <w:spacing w:line="440" w:lineRule="exact"/>
        <w:ind w:firstLine="3076" w:firstLineChars="1282"/>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pPr>
        <w:spacing w:line="440" w:lineRule="exact"/>
        <w:ind w:firstLine="3076" w:firstLineChars="1282"/>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p>
    <w:p>
      <w:pPr>
        <w:spacing w:line="440" w:lineRule="exact"/>
        <w:ind w:firstLine="6840" w:firstLineChars="2850"/>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spacing w:line="360" w:lineRule="auto"/>
        <w:ind w:firstLine="4393" w:firstLineChars="2092"/>
        <w:rPr>
          <w:rFonts w:ascii="宋体" w:hAnsi="宋体" w:cs="宋体"/>
          <w:color w:val="auto"/>
          <w:highlight w:val="none"/>
        </w:rPr>
      </w:pPr>
    </w:p>
    <w:p>
      <w:pPr>
        <w:snapToGrid w:val="0"/>
        <w:spacing w:line="360" w:lineRule="auto"/>
        <w:rPr>
          <w:rFonts w:ascii="宋体" w:hAnsi="宋体" w:cs="宋体"/>
          <w:b/>
          <w:strike/>
          <w:color w:val="auto"/>
          <w:highlight w:val="none"/>
          <w:u w:val="single"/>
        </w:rPr>
      </w:pPr>
    </w:p>
    <w:p>
      <w:pPr>
        <w:pStyle w:val="4"/>
        <w:jc w:val="center"/>
        <w:rPr>
          <w:rFonts w:ascii="宋体" w:hAnsi="宋体" w:eastAsia="宋体" w:cs="宋体"/>
          <w:strike/>
          <w:dstrike w:val="0"/>
          <w:color w:val="auto"/>
          <w:highlight w:val="none"/>
        </w:rPr>
      </w:pPr>
      <w:r>
        <w:rPr>
          <w:rFonts w:hint="eastAsia" w:ascii="宋体" w:hAnsi="宋体" w:eastAsia="宋体" w:cs="宋体"/>
          <w:color w:val="auto"/>
          <w:highlight w:val="none"/>
        </w:rPr>
        <w:br w:type="page"/>
      </w:r>
      <w:bookmarkStart w:id="351" w:name="_Toc6922"/>
      <w:bookmarkStart w:id="352" w:name="_Toc25934"/>
      <w:bookmarkStart w:id="353" w:name="_Toc24097"/>
      <w:bookmarkStart w:id="354" w:name="_Toc24104609"/>
      <w:r>
        <w:rPr>
          <w:rFonts w:hint="eastAsia" w:ascii="宋体" w:hAnsi="宋体" w:eastAsia="宋体" w:cs="宋体"/>
          <w:strike/>
          <w:dstrike w:val="0"/>
          <w:color w:val="auto"/>
          <w:highlight w:val="none"/>
        </w:rPr>
        <w:t>三、投标保证金</w:t>
      </w:r>
      <w:bookmarkEnd w:id="351"/>
      <w:bookmarkEnd w:id="352"/>
      <w:bookmarkEnd w:id="353"/>
      <w:bookmarkEnd w:id="354"/>
    </w:p>
    <w:p>
      <w:pPr>
        <w:widowControl/>
        <w:spacing w:line="360" w:lineRule="auto"/>
        <w:ind w:firstLine="420" w:firstLineChars="200"/>
        <w:jc w:val="left"/>
        <w:rPr>
          <w:strike/>
          <w:dstrike w:val="0"/>
          <w:color w:val="auto"/>
          <w:szCs w:val="21"/>
          <w:highlight w:val="none"/>
        </w:rPr>
      </w:pPr>
      <w:r>
        <w:rPr>
          <w:rFonts w:hint="eastAsia" w:ascii="宋体" w:hAnsi="宋体"/>
          <w:strike/>
          <w:dstrike w:val="0"/>
          <w:color w:val="auto"/>
          <w:szCs w:val="21"/>
          <w:highlight w:val="none"/>
        </w:rPr>
        <w:t>由广州公共资源交易中心代收投标保证金，其缴纳情况以广州公共资源交易中心数据库记录的信息为准。（详见本招标文件第二章投标人须知前附表3.4.1）</w:t>
      </w:r>
    </w:p>
    <w:p>
      <w:pPr>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br w:type="page"/>
      </w:r>
    </w:p>
    <w:p>
      <w:pPr>
        <w:pStyle w:val="4"/>
        <w:numPr>
          <w:ilvl w:val="0"/>
          <w:numId w:val="4"/>
        </w:numPr>
        <w:jc w:val="center"/>
        <w:rPr>
          <w:rFonts w:hint="eastAsia" w:ascii="宋体" w:hAnsi="宋体" w:eastAsia="宋体" w:cs="宋体"/>
          <w:strike w:val="0"/>
          <w:dstrike w:val="0"/>
          <w:color w:val="auto"/>
          <w:highlight w:val="none"/>
          <w:lang w:val="en-US" w:eastAsia="zh-CN"/>
        </w:rPr>
      </w:pPr>
      <w:bookmarkStart w:id="355" w:name="_Toc20402"/>
      <w:r>
        <w:rPr>
          <w:rFonts w:hint="eastAsia" w:ascii="宋体" w:hAnsi="宋体" w:eastAsia="宋体" w:cs="宋体"/>
          <w:strike w:val="0"/>
          <w:dstrike w:val="0"/>
          <w:color w:val="auto"/>
          <w:highlight w:val="none"/>
          <w:lang w:val="en-US" w:eastAsia="zh-CN"/>
        </w:rPr>
        <w:t>联合体协议书（如有）</w:t>
      </w:r>
      <w:bookmarkEnd w:id="355"/>
    </w:p>
    <w:p>
      <w:pPr>
        <w:pStyle w:val="4"/>
        <w:numPr>
          <w:ilvl w:val="0"/>
          <w:numId w:val="0"/>
        </w:numPr>
        <w:jc w:val="center"/>
        <w:rPr>
          <w:rFonts w:ascii="宋体" w:hAnsi="宋体" w:eastAsia="宋体" w:cs="宋体"/>
          <w:color w:val="auto"/>
          <w:highlight w:val="none"/>
        </w:rPr>
      </w:pPr>
      <w:bookmarkStart w:id="356" w:name="_Toc24100"/>
      <w:r>
        <w:rPr>
          <w:rFonts w:hint="eastAsia" w:ascii="宋体" w:hAnsi="宋体" w:eastAsia="宋体" w:cs="宋体"/>
          <w:color w:val="auto"/>
          <w:highlight w:val="none"/>
          <w:lang w:val="en-US" w:eastAsia="zh-CN"/>
        </w:rPr>
        <w:t>（格式详见招标公告）</w:t>
      </w:r>
      <w:r>
        <w:rPr>
          <w:rFonts w:hint="eastAsia" w:ascii="宋体" w:hAnsi="宋体" w:eastAsia="宋体" w:cs="宋体"/>
          <w:color w:val="auto"/>
          <w:highlight w:val="none"/>
        </w:rPr>
        <w:br w:type="page"/>
      </w:r>
      <w:bookmarkStart w:id="357" w:name="_Toc2086"/>
      <w:bookmarkStart w:id="358" w:name="_Toc24104611"/>
      <w:bookmarkStart w:id="359" w:name="_Toc14956"/>
      <w:r>
        <w:rPr>
          <w:rFonts w:hint="eastAsia" w:ascii="宋体" w:hAnsi="宋体" w:eastAsia="宋体" w:cs="宋体"/>
          <w:color w:val="auto"/>
          <w:highlight w:val="none"/>
        </w:rPr>
        <w:t>四、资格审查资料</w:t>
      </w:r>
      <w:bookmarkEnd w:id="356"/>
      <w:bookmarkEnd w:id="357"/>
      <w:bookmarkEnd w:id="358"/>
      <w:bookmarkEnd w:id="359"/>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04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color w:val="auto"/>
                <w:highlight w:val="none"/>
              </w:rPr>
            </w:pPr>
            <w:r>
              <w:rPr>
                <w:rFonts w:hint="eastAsia" w:ascii="宋体" w:hAnsi="宋体" w:cs="宋体"/>
                <w:b/>
                <w:bCs/>
                <w:color w:val="auto"/>
                <w:highlight w:val="none"/>
              </w:rPr>
              <w:t>序号</w:t>
            </w:r>
          </w:p>
        </w:tc>
        <w:tc>
          <w:tcPr>
            <w:tcW w:w="604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color w:val="auto"/>
                <w:highlight w:val="none"/>
              </w:rPr>
            </w:pPr>
            <w:r>
              <w:rPr>
                <w:rFonts w:hint="eastAsia" w:ascii="宋体" w:hAnsi="宋体" w:cs="宋体"/>
                <w:b/>
                <w:bCs/>
                <w:color w:val="auto"/>
                <w:highlight w:val="none"/>
              </w:rPr>
              <w:t>审查内容</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color w:val="auto"/>
                <w:highlight w:val="none"/>
              </w:rPr>
            </w:pPr>
            <w:r>
              <w:rPr>
                <w:rFonts w:hint="eastAsia" w:ascii="宋体" w:hAnsi="宋体" w:cs="宋体"/>
                <w:b/>
                <w:bCs/>
                <w:color w:val="auto"/>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1</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投标人参加投标的意思表达清楚，投标人代表被授权有效；按招标文件第五章所附格式内容要求签署盖章的《投标申请公函》（如为联合体，</w:t>
            </w:r>
            <w:r>
              <w:rPr>
                <w:rFonts w:hint="eastAsia" w:ascii="宋体" w:hAnsi="宋体" w:cs="宋体"/>
                <w:color w:val="auto"/>
                <w:highlight w:val="none"/>
                <w:lang w:val="en-US" w:eastAsia="zh-CN"/>
              </w:rPr>
              <w:t>指</w:t>
            </w:r>
            <w:r>
              <w:rPr>
                <w:rFonts w:hint="eastAsia" w:ascii="宋体" w:hAnsi="宋体" w:cs="宋体"/>
                <w:color w:val="auto"/>
                <w:highlight w:val="none"/>
              </w:rPr>
              <w:t>联合体牵头人出具即视作符合要求）；</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2</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highlight w:val="none"/>
              </w:rPr>
            </w:pPr>
            <w:r>
              <w:rPr>
                <w:rFonts w:hint="eastAsia" w:ascii="宋体" w:hAnsi="宋体"/>
                <w:color w:val="auto"/>
                <w:highlight w:val="none"/>
              </w:rPr>
              <w:t>投标人（如为联合体，</w:t>
            </w:r>
            <w:r>
              <w:rPr>
                <w:rFonts w:hint="eastAsia" w:ascii="宋体" w:hAnsi="宋体"/>
                <w:color w:val="auto"/>
                <w:highlight w:val="none"/>
                <w:lang w:val="en-US" w:eastAsia="zh-CN"/>
              </w:rPr>
              <w:t>指</w:t>
            </w:r>
            <w:r>
              <w:rPr>
                <w:rFonts w:hint="eastAsia" w:ascii="宋体" w:hAnsi="宋体"/>
                <w:color w:val="auto"/>
                <w:highlight w:val="none"/>
              </w:rPr>
              <w:t>联合体各方）企业营业执照或事业单位登记机构核发的事业单位法人证书；</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3</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highlight w:val="none"/>
              </w:rPr>
            </w:pPr>
            <w:r>
              <w:rPr>
                <w:rFonts w:hint="eastAsia" w:ascii="宋体" w:hAnsi="宋体"/>
                <w:color w:val="auto"/>
                <w:szCs w:val="21"/>
                <w:highlight w:val="none"/>
                <w:u w:val="single"/>
              </w:rPr>
              <w:t>投标人（如为联合体，</w:t>
            </w:r>
            <w:r>
              <w:rPr>
                <w:rFonts w:hint="eastAsia" w:ascii="宋体" w:hAnsi="宋体"/>
                <w:color w:val="auto"/>
                <w:szCs w:val="21"/>
                <w:highlight w:val="none"/>
                <w:u w:val="single"/>
                <w:lang w:val="en-US" w:eastAsia="zh-CN"/>
              </w:rPr>
              <w:t>指</w:t>
            </w:r>
            <w:r>
              <w:rPr>
                <w:rFonts w:hint="eastAsia" w:ascii="宋体" w:hAnsi="宋体"/>
                <w:color w:val="auto"/>
                <w:szCs w:val="21"/>
                <w:highlight w:val="none"/>
                <w:u w:val="single"/>
              </w:rPr>
              <w:t>联合体各方）质量技术监督部门颁发的CMA计量认证合格证书（或CMA检验检测机构资质认定证书）；</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4</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highlight w:val="none"/>
              </w:rPr>
            </w:pPr>
            <w:r>
              <w:rPr>
                <w:rFonts w:hint="eastAsia" w:ascii="宋体" w:hAnsi="宋体"/>
                <w:color w:val="auto"/>
                <w:szCs w:val="21"/>
                <w:highlight w:val="none"/>
                <w:u w:val="single"/>
              </w:rPr>
              <w:t>投标人（如为联合体，</w:t>
            </w:r>
            <w:r>
              <w:rPr>
                <w:rFonts w:hint="eastAsia" w:ascii="宋体" w:hAnsi="宋体"/>
                <w:color w:val="auto"/>
                <w:szCs w:val="21"/>
                <w:highlight w:val="none"/>
                <w:u w:val="single"/>
                <w:lang w:val="en-US" w:eastAsia="zh-CN"/>
              </w:rPr>
              <w:t>指</w:t>
            </w:r>
            <w:r>
              <w:rPr>
                <w:rFonts w:hint="eastAsia" w:ascii="宋体" w:hAnsi="宋体"/>
                <w:color w:val="auto"/>
                <w:szCs w:val="21"/>
                <w:highlight w:val="none"/>
                <w:u w:val="single"/>
              </w:rPr>
              <w:t>联合体各方）建设行政主管部门颁发的建设工程质量检测机构资质证书（检测范围需</w:t>
            </w:r>
            <w:r>
              <w:rPr>
                <w:rFonts w:hint="eastAsia" w:ascii="宋体" w:hAnsi="宋体"/>
                <w:color w:val="auto"/>
                <w:szCs w:val="21"/>
                <w:highlight w:val="none"/>
                <w:u w:val="single"/>
                <w:lang w:val="en-US" w:eastAsia="zh-CN"/>
              </w:rPr>
              <w:t>涵</w:t>
            </w:r>
            <w:r>
              <w:rPr>
                <w:rFonts w:hint="eastAsia" w:ascii="宋体" w:hAnsi="宋体"/>
                <w:color w:val="auto"/>
                <w:szCs w:val="21"/>
                <w:highlight w:val="none"/>
                <w:u w:val="single"/>
              </w:rPr>
              <w:t>盖本次招标的主要内容</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地基基础工程检测、主体结构工程现场检测、见证取样检测</w:t>
            </w:r>
            <w:r>
              <w:rPr>
                <w:rFonts w:hint="eastAsia" w:ascii="宋体" w:hAnsi="宋体"/>
                <w:color w:val="auto"/>
                <w:szCs w:val="21"/>
                <w:highlight w:val="none"/>
                <w:u w:val="single"/>
                <w:lang w:val="en-US" w:eastAsia="zh-CN"/>
              </w:rPr>
              <w:t>)</w:t>
            </w:r>
            <w:r>
              <w:rPr>
                <w:rFonts w:hint="eastAsia" w:ascii="宋体" w:hAnsi="宋体" w:cs="宋体"/>
                <w:color w:val="auto"/>
                <w:highlight w:val="none"/>
              </w:rPr>
              <w:t>；</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5</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highlight w:val="none"/>
              </w:rPr>
            </w:pPr>
            <w:r>
              <w:rPr>
                <w:rFonts w:hint="eastAsia" w:ascii="宋体" w:hAnsi="宋体"/>
                <w:color w:val="auto"/>
                <w:szCs w:val="21"/>
                <w:highlight w:val="none"/>
              </w:rPr>
              <w:t>拟派项目负责人资料，填报项目负责人“拟委派的项目负责人、技术负责人及投入本项目的主要技术人员简历表”并附职称证和近一个月（2023年</w:t>
            </w:r>
            <w:r>
              <w:rPr>
                <w:rFonts w:hint="eastAsia" w:ascii="宋体" w:hAnsi="宋体"/>
                <w:color w:val="auto"/>
                <w:szCs w:val="21"/>
                <w:highlight w:val="none"/>
                <w:lang w:val="en-US" w:eastAsia="zh-CN"/>
              </w:rPr>
              <w:t>9</w:t>
            </w:r>
            <w:r>
              <w:rPr>
                <w:rFonts w:hint="eastAsia" w:ascii="宋体" w:hAnsi="宋体"/>
                <w:color w:val="auto"/>
                <w:szCs w:val="21"/>
                <w:highlight w:val="none"/>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6</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《投标人声明》；</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7</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其他满足投标人资格要求的证明材料（如有）。</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bl>
    <w:p>
      <w:pPr>
        <w:rPr>
          <w:rFonts w:ascii="宋体" w:hAnsi="宋体" w:cs="宋体"/>
          <w:color w:val="auto"/>
          <w:highlight w:val="none"/>
        </w:rPr>
      </w:pPr>
      <w:r>
        <w:rPr>
          <w:rFonts w:hint="eastAsia" w:ascii="宋体" w:hAnsi="宋体" w:cs="宋体"/>
          <w:color w:val="auto"/>
          <w:highlight w:val="none"/>
        </w:rPr>
        <w:t>注：资格审查详细资料附于本表后，并标明页码。</w:t>
      </w:r>
    </w:p>
    <w:p>
      <w:pPr>
        <w:rPr>
          <w:rFonts w:ascii="宋体" w:hAnsi="宋体" w:cs="宋体"/>
          <w:color w:val="auto"/>
          <w:highlight w:val="none"/>
        </w:rPr>
      </w:pPr>
    </w:p>
    <w:p>
      <w:pPr>
        <w:rPr>
          <w:rFonts w:ascii="宋体" w:hAnsi="宋体" w:cs="宋体"/>
          <w:color w:val="auto"/>
          <w:highlight w:val="none"/>
        </w:rPr>
      </w:pPr>
    </w:p>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（1）投标申请公函（格式）</w:t>
      </w:r>
    </w:p>
    <w:p>
      <w:pPr>
        <w:widowControl/>
        <w:spacing w:line="360" w:lineRule="auto"/>
        <w:jc w:val="left"/>
        <w:rPr>
          <w:rFonts w:ascii="宋体" w:hAnsi="宋体" w:cs="宋体"/>
          <w:color w:val="auto"/>
          <w:kern w:val="0"/>
          <w:sz w:val="24"/>
          <w:highlight w:val="none"/>
        </w:rPr>
      </w:pPr>
    </w:p>
    <w:p>
      <w:pPr>
        <w:widowControl/>
        <w:spacing w:line="360" w:lineRule="auto"/>
        <w:jc w:val="center"/>
        <w:rPr>
          <w:rFonts w:ascii="宋体" w:hAnsi="宋体" w:cs="宋体"/>
          <w:color w:val="auto"/>
          <w:kern w:val="0"/>
          <w:sz w:val="24"/>
          <w:highlight w:val="none"/>
        </w:rPr>
      </w:pPr>
      <w:r>
        <w:rPr>
          <w:rFonts w:hint="eastAsia" w:ascii="宋体" w:hAnsi="宋体" w:cs="宋体"/>
          <w:b/>
          <w:color w:val="auto"/>
          <w:sz w:val="32"/>
          <w:szCs w:val="32"/>
          <w:highlight w:val="none"/>
        </w:rPr>
        <w:t>投标申请公函</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（招标人）           </w:t>
      </w:r>
      <w:r>
        <w:rPr>
          <w:rFonts w:hint="eastAsia" w:ascii="宋体" w:hAnsi="宋体" w:cs="宋体"/>
          <w:color w:val="auto"/>
          <w:kern w:val="0"/>
          <w:szCs w:val="21"/>
          <w:highlight w:val="none"/>
        </w:rPr>
        <w:t>：</w:t>
      </w:r>
    </w:p>
    <w:p>
      <w:pPr>
        <w:widowControl/>
        <w:spacing w:line="360" w:lineRule="auto"/>
        <w:ind w:firstLine="540"/>
        <w:jc w:val="left"/>
        <w:rPr>
          <w:rFonts w:ascii="宋体" w:hAnsi="宋体" w:cs="宋体"/>
          <w:color w:val="auto"/>
          <w:kern w:val="0"/>
          <w:szCs w:val="21"/>
          <w:highlight w:val="none"/>
        </w:rPr>
      </w:pPr>
      <w:r>
        <w:rPr>
          <w:rFonts w:hint="eastAsia" w:ascii="宋体" w:hAnsi="宋体" w:cs="宋体"/>
          <w:color w:val="auto"/>
          <w:kern w:val="0"/>
          <w:szCs w:val="21"/>
          <w:highlight w:val="none"/>
        </w:rPr>
        <w:t>按照《</w:t>
      </w:r>
      <w:r>
        <w:rPr>
          <w:rFonts w:hint="eastAsia" w:ascii="宋体" w:hAnsi="宋体" w:cs="宋体"/>
          <w:color w:val="auto"/>
          <w:kern w:val="0"/>
          <w:szCs w:val="21"/>
          <w:highlight w:val="none"/>
          <w:u w:val="single"/>
        </w:rPr>
        <w:t xml:space="preserve">               （项目名称）招标公告</w:t>
      </w:r>
      <w:r>
        <w:rPr>
          <w:rFonts w:hint="eastAsia" w:ascii="宋体" w:hAnsi="宋体" w:cs="宋体"/>
          <w:color w:val="auto"/>
          <w:kern w:val="0"/>
          <w:szCs w:val="21"/>
          <w:highlight w:val="none"/>
        </w:rPr>
        <w:t>》对资格审查文件的要求，我们递交有关资格审查的资料文件，以便贵单位审查我们参加</w:t>
      </w:r>
      <w:r>
        <w:rPr>
          <w:rFonts w:hint="eastAsia" w:ascii="宋体" w:hAnsi="宋体" w:cs="宋体"/>
          <w:color w:val="auto"/>
          <w:kern w:val="0"/>
          <w:szCs w:val="21"/>
          <w:highlight w:val="none"/>
          <w:u w:val="single"/>
        </w:rPr>
        <w:t xml:space="preserve">         （项目名称）</w:t>
      </w:r>
      <w:r>
        <w:rPr>
          <w:rFonts w:hint="eastAsia" w:ascii="宋体" w:hAnsi="宋体" w:cs="宋体"/>
          <w:color w:val="auto"/>
          <w:kern w:val="0"/>
          <w:szCs w:val="21"/>
          <w:highlight w:val="none"/>
        </w:rPr>
        <w:t>的投标资格。</w:t>
      </w:r>
    </w:p>
    <w:p>
      <w:pPr>
        <w:widowControl/>
        <w:spacing w:line="360" w:lineRule="auto"/>
        <w:ind w:firstLine="540"/>
        <w:jc w:val="left"/>
        <w:rPr>
          <w:rFonts w:ascii="宋体" w:hAnsi="宋体" w:cs="宋体"/>
          <w:color w:val="auto"/>
          <w:kern w:val="0"/>
          <w:szCs w:val="21"/>
          <w:highlight w:val="none"/>
        </w:rPr>
      </w:pPr>
      <w:r>
        <w:rPr>
          <w:rFonts w:hint="eastAsia" w:ascii="宋体" w:hAnsi="宋体" w:cs="宋体"/>
          <w:color w:val="auto"/>
          <w:kern w:val="0"/>
          <w:szCs w:val="21"/>
          <w:highlight w:val="none"/>
        </w:rPr>
        <w:t>此申请是</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单位名称）以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人名）为全权代表身份递交的。</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我们保证所有提交的资料是真实可靠的，并为提交资料的真实性负有相应的法律责任。</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我们理解招标人有权拒绝任何申请，而无需由招标人承担任何责任。</w:t>
      </w:r>
    </w:p>
    <w:p>
      <w:pPr>
        <w:widowControl/>
        <w:spacing w:line="360" w:lineRule="auto"/>
        <w:ind w:firstLine="645"/>
        <w:jc w:val="left"/>
        <w:rPr>
          <w:rFonts w:ascii="宋体" w:hAnsi="宋体" w:cs="宋体"/>
          <w:color w:val="auto"/>
          <w:kern w:val="0"/>
          <w:sz w:val="24"/>
          <w:highlight w:val="none"/>
        </w:rPr>
      </w:pPr>
    </w:p>
    <w:p>
      <w:pPr>
        <w:widowControl/>
        <w:spacing w:line="360" w:lineRule="auto"/>
        <w:ind w:firstLine="645"/>
        <w:jc w:val="left"/>
        <w:rPr>
          <w:rFonts w:ascii="宋体" w:hAnsi="宋体" w:cs="宋体"/>
          <w:color w:val="auto"/>
          <w:kern w:val="0"/>
          <w:sz w:val="24"/>
          <w:highlight w:val="none"/>
        </w:rPr>
      </w:pPr>
    </w:p>
    <w:p>
      <w:pPr>
        <w:widowControl/>
        <w:spacing w:line="360" w:lineRule="auto"/>
        <w:ind w:firstLine="645"/>
        <w:jc w:val="left"/>
        <w:rPr>
          <w:rFonts w:hint="eastAsia" w:ascii="宋体" w:hAnsi="宋体" w:eastAsia="宋体" w:cs="宋体"/>
          <w:color w:val="auto"/>
          <w:kern w:val="0"/>
          <w:sz w:val="24"/>
          <w:highlight w:val="none"/>
          <w:lang w:val="en-US" w:eastAsia="zh-CN"/>
        </w:rPr>
      </w:pPr>
    </w:p>
    <w:p>
      <w:pPr>
        <w:spacing w:line="360" w:lineRule="exact"/>
        <w:ind w:firstLine="2835" w:firstLineChars="1350"/>
        <w:rPr>
          <w:rFonts w:ascii="宋体" w:hAnsi="宋体" w:cs="宋体"/>
          <w:color w:val="auto"/>
          <w:highlight w:val="none"/>
        </w:rPr>
      </w:pPr>
      <w:r>
        <w:rPr>
          <w:rFonts w:hint="eastAsia" w:ascii="宋体" w:hAnsi="宋体" w:cs="宋体"/>
          <w:color w:val="auto"/>
          <w:highlight w:val="none"/>
        </w:rPr>
        <w:t>投 标 人：（盖单位章）</w:t>
      </w:r>
    </w:p>
    <w:p>
      <w:pPr>
        <w:spacing w:line="360" w:lineRule="exact"/>
        <w:ind w:firstLine="2835" w:firstLineChars="1350"/>
        <w:rPr>
          <w:rFonts w:ascii="宋体" w:hAnsi="宋体" w:cs="宋体"/>
          <w:color w:val="auto"/>
          <w:highlight w:val="none"/>
        </w:rPr>
      </w:pPr>
      <w:r>
        <w:rPr>
          <w:rFonts w:hint="eastAsia" w:ascii="宋体" w:hAnsi="宋体" w:cs="宋体"/>
          <w:color w:val="auto"/>
          <w:highlight w:val="none"/>
        </w:rPr>
        <w:t>法定代表人或其委托代理人：（签字）</w:t>
      </w:r>
    </w:p>
    <w:p>
      <w:pPr>
        <w:spacing w:line="360" w:lineRule="exact"/>
        <w:ind w:firstLine="4935" w:firstLineChars="2350"/>
        <w:rPr>
          <w:rFonts w:ascii="宋体" w:hAnsi="宋体" w:cs="宋体"/>
          <w:color w:val="auto"/>
          <w:highlight w:val="none"/>
        </w:rPr>
      </w:pP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p>
    <w:p>
      <w:pPr>
        <w:rPr>
          <w:rFonts w:hint="eastAsia" w:ascii="宋体" w:hAnsi="宋体" w:eastAsia="宋体" w:cs="宋体"/>
          <w:color w:val="auto"/>
          <w:sz w:val="21"/>
          <w:szCs w:val="21"/>
          <w:highlight w:val="none"/>
        </w:rPr>
      </w:pPr>
    </w:p>
    <w:p>
      <w:pPr>
        <w:rPr>
          <w:rFonts w:ascii="宋体" w:hAnsi="宋体" w:cs="宋体"/>
          <w:b/>
          <w:color w:val="auto"/>
          <w:sz w:val="28"/>
          <w:szCs w:val="28"/>
          <w:highlight w:val="none"/>
        </w:rPr>
      </w:pPr>
      <w:r>
        <w:rPr>
          <w:rFonts w:hint="eastAsia" w:ascii="宋体" w:hAnsi="宋体" w:eastAsia="宋体" w:cs="宋体"/>
          <w:b/>
          <w:bCs/>
          <w:color w:val="auto"/>
          <w:sz w:val="21"/>
          <w:szCs w:val="21"/>
          <w:highlight w:val="none"/>
        </w:rPr>
        <w:t>注：联合体投标时，可由联合体牵头人法定代表人（或授权委托人）签字或盖章，由联合体牵头人单位盖章。</w:t>
      </w:r>
      <w:r>
        <w:rPr>
          <w:rFonts w:hint="eastAsia" w:ascii="宋体" w:hAnsi="宋体" w:cs="宋体"/>
          <w:color w:val="auto"/>
          <w:highlight w:val="none"/>
        </w:rPr>
        <w:br w:type="page"/>
      </w:r>
      <w:r>
        <w:rPr>
          <w:rFonts w:hint="eastAsia" w:ascii="宋体" w:hAnsi="宋体" w:cs="宋体"/>
          <w:b/>
          <w:color w:val="auto"/>
          <w:sz w:val="28"/>
          <w:szCs w:val="28"/>
          <w:highlight w:val="none"/>
        </w:rPr>
        <w:t>（2）投标人声明（格式）</w:t>
      </w:r>
    </w:p>
    <w:p>
      <w:pPr>
        <w:jc w:val="center"/>
        <w:rPr>
          <w:rFonts w:ascii="宋体" w:hAnsi="宋体" w:cs="宋体"/>
          <w:color w:val="auto"/>
          <w:highlight w:val="none"/>
        </w:rPr>
      </w:pPr>
      <w:r>
        <w:rPr>
          <w:rFonts w:hint="eastAsia" w:ascii="宋体" w:hAnsi="宋体" w:cs="宋体"/>
          <w:b/>
          <w:color w:val="auto"/>
          <w:sz w:val="28"/>
          <w:szCs w:val="28"/>
          <w:highlight w:val="none"/>
        </w:rPr>
        <w:t>（格式见招标公告）</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b/>
          <w:color w:val="auto"/>
          <w:sz w:val="28"/>
          <w:szCs w:val="28"/>
          <w:highlight w:val="none"/>
        </w:rPr>
      </w:pPr>
    </w:p>
    <w:p>
      <w:pPr>
        <w:pStyle w:val="4"/>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360" w:name="_Toc7620"/>
      <w:bookmarkStart w:id="361" w:name="_Toc24104612"/>
      <w:bookmarkStart w:id="362" w:name="_Toc8484"/>
      <w:bookmarkStart w:id="363" w:name="_Toc467"/>
      <w:r>
        <w:rPr>
          <w:rFonts w:hint="eastAsia" w:ascii="宋体" w:hAnsi="宋体" w:eastAsia="宋体" w:cs="宋体"/>
          <w:color w:val="auto"/>
          <w:highlight w:val="none"/>
        </w:rPr>
        <w:t>五、</w:t>
      </w:r>
      <w:bookmarkEnd w:id="360"/>
      <w:bookmarkEnd w:id="361"/>
      <w:bookmarkEnd w:id="362"/>
      <w:r>
        <w:rPr>
          <w:rFonts w:hint="eastAsia" w:ascii="宋体" w:hAnsi="宋体" w:eastAsia="宋体" w:cs="宋体"/>
          <w:color w:val="auto"/>
          <w:highlight w:val="none"/>
        </w:rPr>
        <w:t>项目检测方案</w:t>
      </w:r>
      <w:bookmarkEnd w:id="363"/>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（格式自定）</w:t>
      </w:r>
    </w:p>
    <w:p>
      <w:pPr>
        <w:spacing w:line="360" w:lineRule="auto"/>
        <w:ind w:firstLine="420" w:firstLineChars="200"/>
        <w:rPr>
          <w:rFonts w:ascii="宋体" w:hAnsi="宋体" w:cs="宋体"/>
          <w:color w:val="auto"/>
          <w:highlight w:val="none"/>
        </w:rPr>
      </w:pPr>
    </w:p>
    <w:p>
      <w:pPr>
        <w:pStyle w:val="4"/>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364" w:name="_Toc100"/>
      <w:r>
        <w:rPr>
          <w:rFonts w:hint="eastAsia" w:ascii="宋体" w:hAnsi="宋体" w:eastAsia="宋体" w:cs="宋体"/>
          <w:color w:val="auto"/>
          <w:highlight w:val="none"/>
        </w:rPr>
        <w:t>六、检测能力</w:t>
      </w:r>
      <w:bookmarkEnd w:id="364"/>
    </w:p>
    <w:p>
      <w:pPr>
        <w:jc w:val="center"/>
        <w:rPr>
          <w:rFonts w:ascii="宋体" w:hAnsi="宋体"/>
          <w:b/>
          <w:bCs/>
          <w:color w:val="auto"/>
          <w:position w:val="12"/>
          <w:sz w:val="32"/>
          <w:szCs w:val="32"/>
          <w:highlight w:val="none"/>
        </w:rPr>
      </w:pPr>
      <w:bookmarkStart w:id="365" w:name="_Toc533334237"/>
      <w:bookmarkStart w:id="366" w:name="_Toc532390645"/>
      <w:bookmarkStart w:id="367" w:name="_Toc528170367"/>
      <w:bookmarkStart w:id="368" w:name="_Toc20161"/>
      <w:r>
        <w:rPr>
          <w:rFonts w:hint="eastAsia" w:ascii="宋体" w:hAnsi="宋体"/>
          <w:b/>
          <w:bCs/>
          <w:color w:val="auto"/>
          <w:position w:val="12"/>
          <w:sz w:val="28"/>
          <w:szCs w:val="28"/>
          <w:highlight w:val="none"/>
        </w:rPr>
        <w:t>检测能力汇总表</w:t>
      </w:r>
    </w:p>
    <w:bookmarkEnd w:id="365"/>
    <w:bookmarkEnd w:id="366"/>
    <w:bookmarkEnd w:id="367"/>
    <w:bookmarkEnd w:id="368"/>
    <w:tbl>
      <w:tblPr>
        <w:tblStyle w:val="31"/>
        <w:tblW w:w="996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56"/>
        <w:gridCol w:w="2818"/>
        <w:gridCol w:w="1690"/>
        <w:gridCol w:w="1658"/>
        <w:gridCol w:w="1074"/>
        <w:gridCol w:w="915"/>
        <w:gridCol w:w="125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39" w:hRule="atLeast"/>
          <w:tblHeader/>
          <w:jc w:val="center"/>
        </w:trPr>
        <w:tc>
          <w:tcPr>
            <w:tcW w:w="556" w:type="dxa"/>
            <w:vMerge w:val="restart"/>
            <w:tcBorders>
              <w:top w:val="single" w:color="auto" w:sz="2"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2818" w:type="dxa"/>
            <w:vMerge w:val="restart"/>
            <w:tcBorders>
              <w:top w:val="single" w:color="auto" w:sz="2" w:space="0"/>
              <w:left w:val="single" w:color="auto" w:sz="6"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pacing w:val="-6"/>
                <w:szCs w:val="21"/>
                <w:highlight w:val="none"/>
              </w:rPr>
              <w:t>检测项目</w:t>
            </w:r>
          </w:p>
        </w:tc>
        <w:tc>
          <w:tcPr>
            <w:tcW w:w="5337" w:type="dxa"/>
            <w:gridSpan w:val="4"/>
            <w:tcBorders>
              <w:top w:val="single" w:color="auto" w:sz="2" w:space="0"/>
              <w:left w:val="single" w:color="auto" w:sz="6"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资质认定计量认证证书对应关系</w:t>
            </w:r>
          </w:p>
        </w:tc>
        <w:tc>
          <w:tcPr>
            <w:tcW w:w="1251" w:type="dxa"/>
            <w:vMerge w:val="restart"/>
            <w:tcBorders>
              <w:top w:val="single" w:color="auto" w:sz="2" w:space="0"/>
              <w:left w:val="single" w:color="auto" w:sz="6" w:space="0"/>
              <w:bottom w:val="single" w:color="auto" w:sz="6" w:space="0"/>
              <w:right w:val="single" w:color="auto" w:sz="2"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56" w:type="dxa"/>
            <w:vMerge w:val="continue"/>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p>
        </w:tc>
        <w:tc>
          <w:tcPr>
            <w:tcW w:w="2818"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szCs w:val="21"/>
                <w:highlight w:val="none"/>
              </w:rPr>
            </w:pPr>
          </w:p>
        </w:tc>
        <w:tc>
          <w:tcPr>
            <w:tcW w:w="16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对应计量认证证书附表中的序号或条款</w:t>
            </w:r>
          </w:p>
        </w:tc>
        <w:tc>
          <w:tcPr>
            <w:tcW w:w="165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计量认证证书附表中的对应名称</w:t>
            </w:r>
          </w:p>
        </w:tc>
        <w:tc>
          <w:tcPr>
            <w:tcW w:w="1074" w:type="dxa"/>
            <w:tcBorders>
              <w:top w:val="single" w:color="auto" w:sz="6" w:space="0"/>
              <w:left w:val="single" w:color="auto" w:sz="6" w:space="0"/>
              <w:bottom w:val="single" w:color="auto" w:sz="6" w:space="0"/>
              <w:right w:val="single" w:color="auto" w:sz="2"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相关说明</w:t>
            </w:r>
          </w:p>
        </w:tc>
        <w:tc>
          <w:tcPr>
            <w:tcW w:w="915"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是否满足要求</w:t>
            </w:r>
          </w:p>
        </w:tc>
        <w:tc>
          <w:tcPr>
            <w:tcW w:w="1251" w:type="dxa"/>
            <w:vMerge w:val="continue"/>
            <w:tcBorders>
              <w:top w:val="single" w:color="auto" w:sz="6" w:space="0"/>
              <w:left w:val="single" w:color="auto" w:sz="6" w:space="0"/>
              <w:bottom w:val="single" w:color="auto" w:sz="6" w:space="0"/>
              <w:right w:val="single" w:color="auto" w:sz="2" w:space="0"/>
            </w:tcBorders>
            <w:noWrap w:val="0"/>
            <w:vAlign w:val="center"/>
          </w:tcPr>
          <w:p>
            <w:pPr>
              <w:rPr>
                <w:rFonts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标准贯入试验</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pacing w:val="-6"/>
                <w:szCs w:val="21"/>
                <w:highlight w:val="none"/>
              </w:rPr>
            </w:pPr>
            <w:r>
              <w:rPr>
                <w:rFonts w:ascii="宋体" w:hAnsi="宋体"/>
                <w:color w:val="auto"/>
                <w:spacing w:val="-6"/>
                <w:szCs w:val="21"/>
                <w:highlight w:val="none"/>
              </w:rPr>
              <w:t>平板荷载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pacing w:val="-6"/>
                <w:szCs w:val="21"/>
                <w:highlight w:val="none"/>
              </w:rPr>
            </w:pPr>
            <w:r>
              <w:rPr>
                <w:rFonts w:ascii="宋体" w:hAnsi="宋体"/>
                <w:color w:val="auto"/>
                <w:spacing w:val="-6"/>
                <w:szCs w:val="21"/>
                <w:highlight w:val="none"/>
              </w:rPr>
              <w:t>低应变</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pacing w:val="-6"/>
                <w:szCs w:val="21"/>
                <w:highlight w:val="none"/>
              </w:rPr>
            </w:pPr>
            <w:r>
              <w:rPr>
                <w:rFonts w:ascii="宋体" w:hAnsi="宋体"/>
                <w:color w:val="auto"/>
                <w:spacing w:val="-6"/>
                <w:szCs w:val="21"/>
                <w:highlight w:val="none"/>
              </w:rPr>
              <w:t>竖向抗压静载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pacing w:val="-6"/>
                <w:szCs w:val="21"/>
                <w:highlight w:val="none"/>
              </w:rPr>
            </w:pPr>
            <w:r>
              <w:rPr>
                <w:rFonts w:hint="eastAsia" w:ascii="宋体" w:hAnsi="宋体"/>
                <w:color w:val="auto"/>
                <w:spacing w:val="-6"/>
                <w:szCs w:val="21"/>
                <w:highlight w:val="none"/>
              </w:rPr>
              <w:t>高应变</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hAnsi="宋体"/>
                <w:color w:val="auto"/>
                <w:highlight w:val="none"/>
              </w:rPr>
            </w:pPr>
            <w:r>
              <w:rPr>
                <w:rFonts w:hint="eastAsia" w:hAnsi="宋体"/>
                <w:color w:val="auto"/>
                <w:highlight w:val="none"/>
              </w:rPr>
              <w:t>锚固质量(锚杆杆体入孔长度、锚杆注浆饱满度)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rPr>
                <w:rFonts w:ascii="宋体" w:hAnsi="宋体"/>
                <w:color w:val="auto"/>
                <w:spacing w:val="-6"/>
                <w:szCs w:val="21"/>
                <w:highlight w:val="none"/>
              </w:rPr>
            </w:pPr>
            <w:r>
              <w:rPr>
                <w:rFonts w:hint="eastAsia" w:ascii="宋体" w:hAnsi="宋体"/>
                <w:color w:val="auto"/>
                <w:spacing w:val="-6"/>
                <w:szCs w:val="21"/>
                <w:highlight w:val="none"/>
              </w:rPr>
              <w:t>竖向抗拔静载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pacing w:val="-6"/>
                <w:szCs w:val="21"/>
                <w:highlight w:val="none"/>
              </w:rPr>
            </w:pPr>
            <w:r>
              <w:rPr>
                <w:rFonts w:ascii="宋体" w:hAnsi="宋体"/>
                <w:color w:val="auto"/>
                <w:spacing w:val="-6"/>
                <w:szCs w:val="21"/>
                <w:highlight w:val="none"/>
              </w:rPr>
              <w:t>声波透射</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pacing w:val="-6"/>
                <w:szCs w:val="21"/>
                <w:highlight w:val="none"/>
              </w:rPr>
            </w:pPr>
            <w:r>
              <w:rPr>
                <w:rFonts w:ascii="宋体" w:hAnsi="宋体"/>
                <w:color w:val="auto"/>
                <w:spacing w:val="-6"/>
                <w:szCs w:val="21"/>
                <w:highlight w:val="none"/>
              </w:rPr>
              <w:t>钻芯法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pacing w:val="-6"/>
                <w:szCs w:val="21"/>
                <w:highlight w:val="none"/>
              </w:rPr>
            </w:pPr>
            <w:r>
              <w:rPr>
                <w:rFonts w:ascii="宋体" w:hAnsi="宋体"/>
                <w:color w:val="auto"/>
                <w:spacing w:val="-6"/>
                <w:szCs w:val="21"/>
                <w:highlight w:val="none"/>
              </w:rPr>
              <w:t>轻型触探</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重型触探</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土钉抗拔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回弹法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混凝土氯离子含量</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结构尺寸</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钢筋保护层厚度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钢筋间距</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满水试验</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hint="eastAsia" w:hAnsi="宋体"/>
                <w:color w:val="auto"/>
                <w:highlight w:val="none"/>
              </w:rPr>
              <w:t>锚</w:t>
            </w:r>
            <w:r>
              <w:rPr>
                <w:rFonts w:hAnsi="宋体"/>
                <w:color w:val="auto"/>
                <w:highlight w:val="none"/>
              </w:rPr>
              <w:t>索锚固力（</w:t>
            </w:r>
            <w:r>
              <w:rPr>
                <w:rFonts w:ascii="宋体" w:hAnsi="宋体"/>
                <w:color w:val="auto"/>
                <w:szCs w:val="21"/>
                <w:highlight w:val="none"/>
              </w:rPr>
              <w:t>植筋抗拔）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墙柱混凝土强度</w:t>
            </w:r>
            <w:r>
              <w:rPr>
                <w:rFonts w:hint="eastAsia" w:ascii="宋体" w:hAnsi="宋体"/>
                <w:color w:val="auto"/>
                <w:szCs w:val="21"/>
                <w:highlight w:val="none"/>
              </w:rPr>
              <w:t>（钻芯法）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hint="eastAsia" w:ascii="宋体" w:hAnsi="宋体"/>
                <w:color w:val="auto"/>
                <w:spacing w:val="-6"/>
                <w:szCs w:val="21"/>
                <w:highlight w:val="none"/>
              </w:rPr>
              <w:t>外墙抹灰砂浆粘结强度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加气混凝土砌块</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外加剂</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水泥</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岩石岩体（单轴抗压强度）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pacing w:val="-6"/>
                <w:szCs w:val="21"/>
                <w:highlight w:val="none"/>
              </w:rPr>
            </w:pPr>
            <w:r>
              <w:rPr>
                <w:rFonts w:ascii="宋体" w:hAnsi="宋体"/>
                <w:color w:val="auto"/>
                <w:szCs w:val="21"/>
                <w:highlight w:val="none"/>
              </w:rPr>
              <w:t>灰砂砖</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砂浆配合比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砂浆抗压</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钢塑复合管</w:t>
            </w:r>
            <w:r>
              <w:rPr>
                <w:rFonts w:hint="eastAsia" w:ascii="宋体" w:hAnsi="宋体"/>
                <w:color w:val="auto"/>
                <w:szCs w:val="21"/>
                <w:highlight w:val="none"/>
              </w:rPr>
              <w:t>（压扁性能）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钢筋原材</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color w:val="auto"/>
                <w:spacing w:val="-6"/>
                <w:szCs w:val="21"/>
                <w:highlight w:val="none"/>
              </w:rPr>
            </w:pPr>
            <w:r>
              <w:rPr>
                <w:rFonts w:ascii="宋体" w:hAnsi="宋体"/>
                <w:color w:val="auto"/>
                <w:spacing w:val="-6"/>
                <w:szCs w:val="21"/>
                <w:highlight w:val="none"/>
              </w:rPr>
              <w:t>球墨铸铁管</w:t>
            </w:r>
            <w:r>
              <w:rPr>
                <w:rFonts w:hint="eastAsia" w:ascii="宋体" w:hAnsi="宋体"/>
                <w:color w:val="auto"/>
                <w:spacing w:val="-6"/>
                <w:szCs w:val="21"/>
                <w:highlight w:val="none"/>
              </w:rPr>
              <w:t>（硬度）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color w:val="auto"/>
                <w:spacing w:val="-6"/>
                <w:szCs w:val="21"/>
                <w:highlight w:val="none"/>
              </w:rPr>
            </w:pPr>
            <w:r>
              <w:rPr>
                <w:rFonts w:ascii="宋体" w:hAnsi="宋体"/>
                <w:color w:val="auto"/>
                <w:spacing w:val="-6"/>
                <w:szCs w:val="21"/>
                <w:highlight w:val="none"/>
              </w:rPr>
              <w:t>钢筋焊接</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color w:val="auto"/>
                <w:szCs w:val="21"/>
                <w:highlight w:val="none"/>
              </w:rPr>
            </w:pPr>
            <w:r>
              <w:rPr>
                <w:rFonts w:ascii="宋体" w:hAnsi="宋体"/>
                <w:color w:val="auto"/>
                <w:szCs w:val="21"/>
                <w:highlight w:val="none"/>
              </w:rPr>
              <w:t>钢管原材</w:t>
            </w:r>
            <w:r>
              <w:rPr>
                <w:rFonts w:hint="eastAsia" w:ascii="宋体" w:hAnsi="宋体"/>
                <w:color w:val="auto"/>
                <w:szCs w:val="21"/>
                <w:highlight w:val="none"/>
              </w:rPr>
              <w:t>（抗拉强度、屈服强度、断后伸长率）</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color w:val="auto"/>
                <w:spacing w:val="-6"/>
                <w:szCs w:val="21"/>
                <w:highlight w:val="none"/>
              </w:rPr>
            </w:pPr>
            <w:r>
              <w:rPr>
                <w:rFonts w:ascii="宋体" w:hAnsi="宋体"/>
                <w:color w:val="auto"/>
                <w:spacing w:val="-6"/>
                <w:szCs w:val="21"/>
                <w:highlight w:val="none"/>
              </w:rPr>
              <w:t>混凝土配合比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pacing w:val="-6"/>
                <w:szCs w:val="21"/>
                <w:highlight w:val="none"/>
              </w:rPr>
            </w:pPr>
            <w:r>
              <w:rPr>
                <w:rFonts w:hint="eastAsia" w:ascii="宋体" w:hAnsi="宋体"/>
                <w:color w:val="auto"/>
                <w:szCs w:val="21"/>
                <w:highlight w:val="none"/>
              </w:rPr>
              <w:t>混凝土(抗压强度)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pacing w:val="-6"/>
                <w:szCs w:val="21"/>
                <w:highlight w:val="none"/>
              </w:rPr>
            </w:pPr>
            <w:r>
              <w:rPr>
                <w:rFonts w:hint="eastAsia" w:ascii="宋体" w:hAnsi="宋体"/>
                <w:color w:val="auto"/>
                <w:szCs w:val="21"/>
                <w:highlight w:val="none"/>
              </w:rPr>
              <w:t>混凝土(抗折强度)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混凝土抗渗</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水泥土配合比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橡胶圈</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szCs w:val="21"/>
                <w:highlight w:val="none"/>
              </w:rPr>
            </w:pPr>
            <w:r>
              <w:rPr>
                <w:rFonts w:ascii="宋体" w:hAnsi="宋体"/>
                <w:color w:val="auto"/>
                <w:szCs w:val="21"/>
                <w:highlight w:val="none"/>
              </w:rPr>
              <w:t>排水管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ascii="宋体" w:hAnsi="宋体"/>
                <w:color w:val="auto"/>
                <w:szCs w:val="21"/>
                <w:highlight w:val="none"/>
              </w:rPr>
              <w:t>压实度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ascii="宋体" w:hAnsi="宋体"/>
                <w:color w:val="auto"/>
                <w:szCs w:val="21"/>
                <w:highlight w:val="none"/>
              </w:rPr>
              <w:t>管道闭水</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管道CCTV</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超声波探伤</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X光射线探伤</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ascii="宋体" w:hAnsi="宋体"/>
                <w:color w:val="auto"/>
                <w:szCs w:val="21"/>
                <w:highlight w:val="none"/>
              </w:rPr>
              <w:t>涂层厚度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ascii="宋体" w:hAnsi="宋体"/>
                <w:color w:val="auto"/>
                <w:szCs w:val="21"/>
                <w:highlight w:val="none"/>
              </w:rPr>
              <w:t>水压试验</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ascii="宋体" w:hAnsi="宋体"/>
                <w:color w:val="auto"/>
                <w:szCs w:val="21"/>
                <w:highlight w:val="none"/>
              </w:rPr>
              <w:t>土工击实</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ascii="宋体" w:hAnsi="宋体"/>
                <w:color w:val="auto"/>
                <w:szCs w:val="21"/>
                <w:highlight w:val="none"/>
              </w:rPr>
              <w:t>砂相对密度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粗集料(碎石)</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ascii="宋体" w:hAnsi="宋体"/>
                <w:color w:val="auto"/>
                <w:szCs w:val="21"/>
                <w:highlight w:val="none"/>
              </w:rPr>
              <w:t>细集料</w:t>
            </w:r>
            <w:r>
              <w:rPr>
                <w:rFonts w:hint="eastAsia" w:ascii="宋体" w:hAnsi="宋体"/>
                <w:color w:val="auto"/>
                <w:szCs w:val="21"/>
                <w:highlight w:val="none"/>
              </w:rPr>
              <w:t>(砂)</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pvc管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PE管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防腐涂料</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土工合成材料</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HDPE管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钢管防腐层厚度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olor w:val="auto"/>
                <w:szCs w:val="21"/>
                <w:highlight w:val="none"/>
              </w:rPr>
            </w:pPr>
            <w:r>
              <w:rPr>
                <w:rFonts w:hint="eastAsia" w:ascii="宋体" w:hAnsi="宋体"/>
                <w:color w:val="auto"/>
                <w:szCs w:val="21"/>
                <w:highlight w:val="none"/>
              </w:rPr>
              <w:t>井盖</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预制混凝土井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60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路面砖</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61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路缘石</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6</w:t>
            </w:r>
            <w:r>
              <w:rPr>
                <w:rFonts w:hint="eastAsia" w:ascii="宋体" w:hAnsi="宋体"/>
                <w:color w:val="auto"/>
                <w:szCs w:val="21"/>
                <w:highlight w:val="none"/>
                <w:lang w:val="en-US" w:eastAsia="zh-CN"/>
              </w:rPr>
              <w:t>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color w:val="auto"/>
                <w:szCs w:val="21"/>
                <w:highlight w:val="none"/>
              </w:rPr>
            </w:pPr>
            <w:r>
              <w:rPr>
                <w:rFonts w:hint="eastAsia" w:ascii="宋体" w:hAnsi="宋体"/>
                <w:color w:val="auto"/>
                <w:szCs w:val="21"/>
                <w:highlight w:val="none"/>
              </w:rPr>
              <w:t>电气设备（电压）</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6</w:t>
            </w:r>
            <w:r>
              <w:rPr>
                <w:rFonts w:hint="eastAsia" w:ascii="宋体" w:hAnsi="宋体"/>
                <w:color w:val="auto"/>
                <w:szCs w:val="21"/>
                <w:highlight w:val="none"/>
                <w:lang w:val="en-US" w:eastAsia="zh-CN"/>
              </w:rPr>
              <w:t>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color w:val="auto"/>
                <w:szCs w:val="21"/>
                <w:highlight w:val="none"/>
              </w:rPr>
            </w:pPr>
            <w:r>
              <w:rPr>
                <w:rFonts w:hint="eastAsia" w:ascii="宋体" w:hAnsi="宋体"/>
                <w:color w:val="auto"/>
                <w:szCs w:val="21"/>
                <w:highlight w:val="none"/>
              </w:rPr>
              <w:t>电气设备（电阻）</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6</w:t>
            </w:r>
            <w:r>
              <w:rPr>
                <w:rFonts w:hint="eastAsia" w:ascii="宋体" w:hAnsi="宋体"/>
                <w:color w:val="auto"/>
                <w:szCs w:val="21"/>
                <w:highlight w:val="none"/>
                <w:lang w:val="en-US" w:eastAsia="zh-CN"/>
              </w:rPr>
              <w:t>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color w:val="auto"/>
                <w:szCs w:val="21"/>
                <w:highlight w:val="none"/>
              </w:rPr>
            </w:pPr>
            <w:r>
              <w:rPr>
                <w:rFonts w:hint="eastAsia" w:ascii="宋体" w:hAnsi="宋体"/>
                <w:color w:val="auto"/>
                <w:szCs w:val="21"/>
                <w:highlight w:val="none"/>
              </w:rPr>
              <w:t>电气设备（励磁特性）</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color w:val="auto"/>
                <w:szCs w:val="21"/>
                <w:highlight w:val="none"/>
              </w:rPr>
            </w:pPr>
            <w:r>
              <w:rPr>
                <w:rFonts w:hint="eastAsia" w:ascii="宋体" w:hAnsi="宋体"/>
                <w:color w:val="auto"/>
                <w:szCs w:val="21"/>
                <w:highlight w:val="none"/>
              </w:rPr>
              <w:t>波纹管抗渗漏性能</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color w:val="auto"/>
                <w:spacing w:val="-6"/>
                <w:szCs w:val="21"/>
                <w:highlight w:val="none"/>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color w:val="auto"/>
                <w:spacing w:val="-6"/>
                <w:szCs w:val="21"/>
                <w:highlight w:val="none"/>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color w:val="auto"/>
                <w:spacing w:val="-6"/>
                <w:szCs w:val="21"/>
                <w:highlight w:val="none"/>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color w:val="auto"/>
                <w:spacing w:val="-6"/>
                <w:szCs w:val="21"/>
                <w:highlight w:val="none"/>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66</w:t>
            </w:r>
          </w:p>
        </w:tc>
        <w:tc>
          <w:tcPr>
            <w:tcW w:w="2818" w:type="dxa"/>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建筑物位移观测（水平位移）</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67</w:t>
            </w:r>
          </w:p>
        </w:tc>
        <w:tc>
          <w:tcPr>
            <w:tcW w:w="2818" w:type="dxa"/>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建筑物位移观测（垂直位移）</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68</w:t>
            </w:r>
          </w:p>
        </w:tc>
        <w:tc>
          <w:tcPr>
            <w:tcW w:w="2818" w:type="dxa"/>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量测（土压力）</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69</w:t>
            </w:r>
          </w:p>
        </w:tc>
        <w:tc>
          <w:tcPr>
            <w:tcW w:w="2818" w:type="dxa"/>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量测（测斜）</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0</w:t>
            </w:r>
          </w:p>
        </w:tc>
        <w:tc>
          <w:tcPr>
            <w:tcW w:w="2818" w:type="dxa"/>
            <w:noWrap w:val="0"/>
            <w:vAlign w:val="center"/>
          </w:tcPr>
          <w:p>
            <w:pPr>
              <w:rPr>
                <w:rFonts w:ascii="宋体" w:hAnsi="宋体"/>
                <w:color w:val="auto"/>
                <w:szCs w:val="21"/>
                <w:highlight w:val="none"/>
              </w:rPr>
            </w:pPr>
            <w:r>
              <w:rPr>
                <w:rFonts w:hint="eastAsia" w:ascii="宋体" w:hAnsi="宋体"/>
                <w:color w:val="auto"/>
                <w:szCs w:val="21"/>
                <w:highlight w:val="none"/>
              </w:rPr>
              <w:t>总磷</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1</w:t>
            </w:r>
          </w:p>
        </w:tc>
        <w:tc>
          <w:tcPr>
            <w:tcW w:w="2818" w:type="dxa"/>
            <w:noWrap w:val="0"/>
            <w:vAlign w:val="center"/>
          </w:tcPr>
          <w:p>
            <w:pPr>
              <w:rPr>
                <w:rFonts w:ascii="宋体" w:hAnsi="宋体"/>
                <w:color w:val="auto"/>
                <w:szCs w:val="21"/>
                <w:highlight w:val="none"/>
              </w:rPr>
            </w:pPr>
            <w:r>
              <w:rPr>
                <w:rFonts w:hint="eastAsia" w:ascii="宋体" w:hAnsi="宋体"/>
                <w:color w:val="auto"/>
                <w:szCs w:val="21"/>
                <w:highlight w:val="none"/>
              </w:rPr>
              <w:t>氨氮</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2</w:t>
            </w:r>
          </w:p>
        </w:tc>
        <w:tc>
          <w:tcPr>
            <w:tcW w:w="2818" w:type="dxa"/>
            <w:noWrap w:val="0"/>
            <w:vAlign w:val="center"/>
          </w:tcPr>
          <w:p>
            <w:pPr>
              <w:rPr>
                <w:rFonts w:ascii="宋体" w:hAnsi="宋体"/>
                <w:color w:val="auto"/>
                <w:szCs w:val="21"/>
                <w:highlight w:val="none"/>
              </w:rPr>
            </w:pPr>
            <w:r>
              <w:rPr>
                <w:rFonts w:hint="eastAsia" w:ascii="宋体" w:hAnsi="宋体"/>
                <w:color w:val="auto"/>
                <w:szCs w:val="21"/>
                <w:highlight w:val="none"/>
              </w:rPr>
              <w:t>化学需氧量</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3</w:t>
            </w:r>
          </w:p>
        </w:tc>
        <w:tc>
          <w:tcPr>
            <w:tcW w:w="2818" w:type="dxa"/>
            <w:noWrap w:val="0"/>
            <w:vAlign w:val="center"/>
          </w:tcPr>
          <w:p>
            <w:pPr>
              <w:rPr>
                <w:rFonts w:ascii="宋体" w:hAnsi="宋体"/>
                <w:color w:val="auto"/>
                <w:szCs w:val="21"/>
                <w:highlight w:val="none"/>
              </w:rPr>
            </w:pPr>
            <w:r>
              <w:rPr>
                <w:rFonts w:hint="eastAsia" w:ascii="宋体" w:hAnsi="宋体"/>
                <w:color w:val="auto"/>
                <w:szCs w:val="21"/>
                <w:highlight w:val="none"/>
              </w:rPr>
              <w:t>BOD5</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4</w:t>
            </w:r>
          </w:p>
        </w:tc>
        <w:tc>
          <w:tcPr>
            <w:tcW w:w="2818" w:type="dxa"/>
            <w:noWrap w:val="0"/>
            <w:vAlign w:val="center"/>
          </w:tcPr>
          <w:p>
            <w:pPr>
              <w:rPr>
                <w:rFonts w:ascii="宋体" w:hAnsi="宋体"/>
                <w:color w:val="auto"/>
                <w:szCs w:val="21"/>
                <w:highlight w:val="none"/>
              </w:rPr>
            </w:pPr>
            <w:r>
              <w:rPr>
                <w:rFonts w:hint="eastAsia" w:ascii="宋体" w:hAnsi="宋体"/>
                <w:color w:val="auto"/>
                <w:szCs w:val="21"/>
                <w:highlight w:val="none"/>
              </w:rPr>
              <w:t>总氮</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5</w:t>
            </w:r>
          </w:p>
        </w:tc>
        <w:tc>
          <w:tcPr>
            <w:tcW w:w="2818" w:type="dxa"/>
            <w:noWrap w:val="0"/>
            <w:vAlign w:val="center"/>
          </w:tcPr>
          <w:p>
            <w:pPr>
              <w:rPr>
                <w:rFonts w:ascii="宋体" w:hAnsi="宋体"/>
                <w:color w:val="auto"/>
                <w:szCs w:val="21"/>
                <w:highlight w:val="none"/>
              </w:rPr>
            </w:pPr>
            <w:r>
              <w:rPr>
                <w:rFonts w:hint="eastAsia" w:ascii="宋体" w:hAnsi="宋体"/>
                <w:color w:val="auto"/>
                <w:szCs w:val="21"/>
                <w:highlight w:val="none"/>
              </w:rPr>
              <w:t>ph</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6</w:t>
            </w:r>
          </w:p>
        </w:tc>
        <w:tc>
          <w:tcPr>
            <w:tcW w:w="2818" w:type="dxa"/>
            <w:noWrap w:val="0"/>
            <w:vAlign w:val="center"/>
          </w:tcPr>
          <w:p>
            <w:pPr>
              <w:rPr>
                <w:rFonts w:ascii="宋体" w:hAnsi="宋体"/>
                <w:color w:val="auto"/>
                <w:szCs w:val="21"/>
                <w:highlight w:val="none"/>
              </w:rPr>
            </w:pPr>
            <w:r>
              <w:rPr>
                <w:rFonts w:hint="eastAsia" w:ascii="宋体" w:hAnsi="宋体"/>
                <w:color w:val="auto"/>
                <w:szCs w:val="21"/>
                <w:highlight w:val="none"/>
              </w:rPr>
              <w:t>透水铺砖渗透系数</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7</w:t>
            </w:r>
          </w:p>
        </w:tc>
        <w:tc>
          <w:tcPr>
            <w:tcW w:w="2818" w:type="dxa"/>
            <w:noWrap w:val="0"/>
            <w:vAlign w:val="center"/>
          </w:tcPr>
          <w:p>
            <w:pPr>
              <w:rPr>
                <w:rFonts w:ascii="宋体" w:hAnsi="宋体"/>
                <w:color w:val="auto"/>
                <w:szCs w:val="21"/>
                <w:highlight w:val="none"/>
              </w:rPr>
            </w:pPr>
            <w:r>
              <w:rPr>
                <w:rFonts w:hint="eastAsia" w:ascii="宋体" w:hAnsi="宋体"/>
                <w:color w:val="auto"/>
                <w:szCs w:val="21"/>
                <w:highlight w:val="none"/>
              </w:rPr>
              <w:t>混凝土管内水压力</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8</w:t>
            </w:r>
          </w:p>
        </w:tc>
        <w:tc>
          <w:tcPr>
            <w:tcW w:w="2818" w:type="dxa"/>
            <w:noWrap w:val="0"/>
            <w:vAlign w:val="center"/>
          </w:tcPr>
          <w:p>
            <w:pPr>
              <w:rPr>
                <w:rFonts w:ascii="宋体" w:hAnsi="宋体"/>
                <w:color w:val="auto"/>
                <w:szCs w:val="21"/>
                <w:highlight w:val="none"/>
              </w:rPr>
            </w:pPr>
            <w:r>
              <w:rPr>
                <w:rFonts w:hint="eastAsia" w:ascii="宋体" w:hAnsi="宋体"/>
                <w:color w:val="auto"/>
                <w:szCs w:val="21"/>
                <w:highlight w:val="none"/>
              </w:rPr>
              <w:t>工程管网（流槽宽度）</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9</w:t>
            </w:r>
          </w:p>
        </w:tc>
        <w:tc>
          <w:tcPr>
            <w:tcW w:w="2818" w:type="dxa"/>
            <w:noWrap w:val="0"/>
            <w:vAlign w:val="center"/>
          </w:tcPr>
          <w:p>
            <w:pPr>
              <w:rPr>
                <w:rFonts w:ascii="宋体" w:hAnsi="宋体"/>
                <w:color w:val="auto"/>
                <w:szCs w:val="21"/>
                <w:highlight w:val="none"/>
              </w:rPr>
            </w:pPr>
            <w:r>
              <w:rPr>
                <w:rFonts w:hint="eastAsia" w:ascii="宋体" w:hAnsi="宋体"/>
                <w:color w:val="auto"/>
                <w:szCs w:val="21"/>
                <w:highlight w:val="none"/>
              </w:rPr>
              <w:t>工程管网（平面轴线位置）</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0</w:t>
            </w:r>
          </w:p>
        </w:tc>
        <w:tc>
          <w:tcPr>
            <w:tcW w:w="2818" w:type="dxa"/>
            <w:noWrap w:val="0"/>
            <w:vAlign w:val="center"/>
          </w:tcPr>
          <w:p>
            <w:pPr>
              <w:rPr>
                <w:rFonts w:ascii="宋体" w:hAnsi="宋体"/>
                <w:color w:val="auto"/>
                <w:szCs w:val="21"/>
                <w:highlight w:val="none"/>
              </w:rPr>
            </w:pPr>
            <w:r>
              <w:rPr>
                <w:rFonts w:hint="eastAsia" w:ascii="宋体" w:hAnsi="宋体"/>
                <w:color w:val="auto"/>
                <w:szCs w:val="21"/>
                <w:highlight w:val="none"/>
              </w:rPr>
              <w:t>管道坡度</w:t>
            </w:r>
          </w:p>
        </w:tc>
        <w:tc>
          <w:tcPr>
            <w:tcW w:w="1690" w:type="dxa"/>
            <w:noWrap w:val="0"/>
            <w:vAlign w:val="top"/>
          </w:tcPr>
          <w:p>
            <w:pPr>
              <w:spacing w:line="280" w:lineRule="exact"/>
              <w:jc w:val="center"/>
              <w:rPr>
                <w:rFonts w:ascii="宋体" w:hAnsi="宋体"/>
                <w:color w:val="auto"/>
                <w:spacing w:val="-6"/>
                <w:szCs w:val="21"/>
                <w:highlight w:val="none"/>
              </w:rPr>
            </w:pPr>
          </w:p>
        </w:tc>
        <w:tc>
          <w:tcPr>
            <w:tcW w:w="1658" w:type="dxa"/>
            <w:noWrap w:val="0"/>
            <w:vAlign w:val="top"/>
          </w:tcPr>
          <w:p>
            <w:pPr>
              <w:spacing w:line="280" w:lineRule="exact"/>
              <w:jc w:val="left"/>
              <w:rPr>
                <w:rFonts w:ascii="宋体" w:hAnsi="宋体"/>
                <w:color w:val="auto"/>
                <w:spacing w:val="-6"/>
                <w:szCs w:val="21"/>
                <w:highlight w:val="none"/>
              </w:rPr>
            </w:pPr>
          </w:p>
        </w:tc>
        <w:tc>
          <w:tcPr>
            <w:tcW w:w="1074" w:type="dxa"/>
            <w:noWrap w:val="0"/>
            <w:vAlign w:val="top"/>
          </w:tcPr>
          <w:p>
            <w:pPr>
              <w:spacing w:line="280" w:lineRule="exact"/>
              <w:jc w:val="center"/>
              <w:rPr>
                <w:rFonts w:ascii="宋体" w:hAnsi="宋体"/>
                <w:color w:val="auto"/>
                <w:spacing w:val="-6"/>
                <w:szCs w:val="21"/>
                <w:highlight w:val="none"/>
              </w:rPr>
            </w:pPr>
          </w:p>
        </w:tc>
        <w:tc>
          <w:tcPr>
            <w:tcW w:w="915" w:type="dxa"/>
            <w:noWrap w:val="0"/>
            <w:vAlign w:val="top"/>
          </w:tcPr>
          <w:p>
            <w:pPr>
              <w:spacing w:line="280" w:lineRule="exact"/>
              <w:jc w:val="center"/>
              <w:rPr>
                <w:rFonts w:ascii="宋体" w:hAnsi="宋体"/>
                <w:color w:val="auto"/>
                <w:spacing w:val="-6"/>
                <w:szCs w:val="21"/>
                <w:highlight w:val="none"/>
              </w:rPr>
            </w:pPr>
          </w:p>
        </w:tc>
        <w:tc>
          <w:tcPr>
            <w:tcW w:w="1251" w:type="dxa"/>
            <w:noWrap w:val="0"/>
            <w:vAlign w:val="top"/>
          </w:tcPr>
          <w:p>
            <w:pPr>
              <w:spacing w:line="280" w:lineRule="exact"/>
              <w:rPr>
                <w:rFonts w:ascii="宋体" w:hAnsi="宋体"/>
                <w:color w:val="auto"/>
                <w:spacing w:val="-6"/>
                <w:szCs w:val="21"/>
                <w:highlight w:val="none"/>
              </w:rPr>
            </w:pPr>
          </w:p>
        </w:tc>
      </w:tr>
    </w:tbl>
    <w:p>
      <w:pPr>
        <w:rPr>
          <w:color w:val="auto"/>
          <w:highlight w:val="none"/>
        </w:rPr>
      </w:pPr>
      <w:r>
        <w:rPr>
          <w:rFonts w:hint="eastAsia"/>
          <w:color w:val="auto"/>
          <w:highlight w:val="none"/>
        </w:rPr>
        <w:t>备注：此表是为了评标需要，在工程施工过程中可能存在增减或调整的，中标单位必须认真对新增的检测项目完成检测工作，以防漏项。</w:t>
      </w:r>
    </w:p>
    <w:p>
      <w:pPr>
        <w:pStyle w:val="15"/>
        <w:numPr>
          <w:ilvl w:val="255"/>
          <w:numId w:val="0"/>
        </w:numPr>
        <w:spacing w:line="360" w:lineRule="auto"/>
        <w:jc w:val="center"/>
        <w:rPr>
          <w:rFonts w:hAnsi="宋体" w:cs="宋体"/>
          <w:color w:val="auto"/>
          <w:highlight w:val="none"/>
        </w:rPr>
      </w:pPr>
      <w:r>
        <w:rPr>
          <w:rFonts w:hint="eastAsia" w:hAnsi="宋体" w:cs="仿宋_GB2312"/>
          <w:color w:val="auto"/>
          <w:szCs w:val="21"/>
          <w:highlight w:val="none"/>
        </w:rPr>
        <w:br w:type="page"/>
      </w:r>
      <w:bookmarkStart w:id="369" w:name="_Toc24104613"/>
      <w:bookmarkStart w:id="370" w:name="_Toc19559"/>
      <w:bookmarkStart w:id="371" w:name="_Toc29664"/>
      <w:r>
        <w:rPr>
          <w:rFonts w:hint="eastAsia" w:ascii="宋体" w:hAnsi="宋体" w:eastAsia="宋体" w:cs="宋体"/>
          <w:b/>
          <w:bCs w:val="0"/>
          <w:color w:val="auto"/>
          <w:kern w:val="2"/>
          <w:sz w:val="32"/>
          <w:szCs w:val="32"/>
          <w:highlight w:val="none"/>
          <w:lang w:val="en-US" w:eastAsia="zh-CN" w:bidi="ar-SA"/>
        </w:rPr>
        <w:t>七、投标单位情况介绍</w:t>
      </w:r>
      <w:bookmarkEnd w:id="369"/>
      <w:bookmarkEnd w:id="370"/>
      <w:bookmarkEnd w:id="371"/>
    </w:p>
    <w:p>
      <w:pPr>
        <w:pStyle w:val="15"/>
        <w:numPr>
          <w:ilvl w:val="255"/>
          <w:numId w:val="0"/>
        </w:numPr>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w:t>
      </w:r>
      <w:r>
        <w:rPr>
          <w:rFonts w:hAnsi="宋体" w:cs="宋体"/>
          <w:b/>
          <w:color w:val="auto"/>
          <w:sz w:val="24"/>
          <w:szCs w:val="24"/>
          <w:highlight w:val="none"/>
        </w:rPr>
        <w:t>1）一般情况表</w:t>
      </w:r>
    </w:p>
    <w:tbl>
      <w:tblPr>
        <w:tblStyle w:val="31"/>
        <w:tblW w:w="9076" w:type="dxa"/>
        <w:jc w:val="center"/>
        <w:tblLayout w:type="fixed"/>
        <w:tblCellMar>
          <w:top w:w="0" w:type="dxa"/>
          <w:left w:w="108" w:type="dxa"/>
          <w:bottom w:w="46" w:type="dxa"/>
          <w:right w:w="43" w:type="dxa"/>
        </w:tblCellMar>
      </w:tblPr>
      <w:tblGrid>
        <w:gridCol w:w="2235"/>
        <w:gridCol w:w="898"/>
        <w:gridCol w:w="1027"/>
        <w:gridCol w:w="1287"/>
        <w:gridCol w:w="415"/>
        <w:gridCol w:w="871"/>
        <w:gridCol w:w="828"/>
        <w:gridCol w:w="286"/>
        <w:gridCol w:w="1229"/>
      </w:tblGrid>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highlight w:val="none"/>
              </w:rPr>
            </w:pPr>
            <w:r>
              <w:rPr>
                <w:rFonts w:ascii="宋体" w:hAnsi="宋体" w:cs="宋体"/>
                <w:color w:val="auto"/>
                <w:szCs w:val="21"/>
                <w:highlight w:val="none"/>
              </w:rPr>
              <w:t>投标人名称</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color w:val="auto"/>
                <w:szCs w:val="21"/>
                <w:highlight w:val="none"/>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highlight w:val="none"/>
              </w:rPr>
            </w:pPr>
            <w:r>
              <w:rPr>
                <w:rFonts w:ascii="宋体" w:hAnsi="宋体" w:cs="宋体"/>
                <w:color w:val="auto"/>
                <w:szCs w:val="21"/>
                <w:highlight w:val="none"/>
              </w:rPr>
              <w:t>注册地址</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highlight w:val="none"/>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color w:val="auto"/>
                <w:szCs w:val="21"/>
                <w:highlight w:val="none"/>
              </w:rPr>
            </w:pPr>
            <w:r>
              <w:rPr>
                <w:rFonts w:ascii="宋体" w:hAnsi="宋体" w:cs="宋体"/>
                <w:color w:val="auto"/>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color w:val="auto"/>
                <w:szCs w:val="21"/>
                <w:highlight w:val="none"/>
              </w:rPr>
            </w:pPr>
          </w:p>
        </w:tc>
      </w:tr>
      <w:tr>
        <w:tblPrEx>
          <w:tblCellMar>
            <w:top w:w="0" w:type="dxa"/>
            <w:left w:w="108" w:type="dxa"/>
            <w:bottom w:w="46" w:type="dxa"/>
            <w:right w:w="43" w:type="dxa"/>
          </w:tblCellMar>
        </w:tblPrEx>
        <w:trPr>
          <w:trHeight w:val="451" w:hRule="atLeast"/>
          <w:jc w:val="center"/>
        </w:trPr>
        <w:tc>
          <w:tcPr>
            <w:tcW w:w="2235" w:type="dxa"/>
            <w:vMerge w:val="restart"/>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color w:val="auto"/>
                <w:szCs w:val="21"/>
                <w:highlight w:val="none"/>
              </w:rPr>
            </w:pPr>
            <w:r>
              <w:rPr>
                <w:rFonts w:ascii="宋体" w:hAnsi="宋体" w:cs="宋体"/>
                <w:color w:val="auto"/>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24"/>
              <w:rPr>
                <w:rFonts w:ascii="宋体" w:hAnsi="宋体"/>
                <w:color w:val="auto"/>
                <w:szCs w:val="21"/>
                <w:highlight w:val="none"/>
              </w:rPr>
            </w:pPr>
            <w:r>
              <w:rPr>
                <w:rFonts w:ascii="宋体" w:hAnsi="宋体" w:cs="宋体"/>
                <w:color w:val="auto"/>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highlight w:val="none"/>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color w:val="auto"/>
                <w:szCs w:val="21"/>
                <w:highlight w:val="none"/>
              </w:rPr>
            </w:pPr>
            <w:r>
              <w:rPr>
                <w:rFonts w:ascii="宋体" w:hAnsi="宋体" w:cs="宋体"/>
                <w:color w:val="auto"/>
                <w:szCs w:val="21"/>
                <w:highlight w:val="none"/>
              </w:rPr>
              <w:t>电话</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color w:val="auto"/>
                <w:szCs w:val="21"/>
                <w:highlight w:val="none"/>
              </w:rPr>
            </w:pPr>
          </w:p>
        </w:tc>
      </w:tr>
      <w:tr>
        <w:tblPrEx>
          <w:tblCellMar>
            <w:top w:w="0" w:type="dxa"/>
            <w:left w:w="108" w:type="dxa"/>
            <w:bottom w:w="46" w:type="dxa"/>
            <w:right w:w="43" w:type="dxa"/>
          </w:tblCellMar>
        </w:tblPrEx>
        <w:trPr>
          <w:trHeight w:val="449" w:hRule="atLeast"/>
          <w:jc w:val="center"/>
        </w:trPr>
        <w:tc>
          <w:tcPr>
            <w:tcW w:w="2235" w:type="dxa"/>
            <w:vMerge w:val="continue"/>
            <w:tcBorders>
              <w:top w:val="nil"/>
              <w:left w:val="single" w:color="000000" w:sz="4" w:space="0"/>
              <w:bottom w:val="single" w:color="000000" w:sz="4" w:space="0"/>
              <w:right w:val="single" w:color="000000" w:sz="4" w:space="0"/>
            </w:tcBorders>
          </w:tcPr>
          <w:p>
            <w:pPr>
              <w:rPr>
                <w:rFonts w:ascii="宋体" w:hAnsi="宋体"/>
                <w:color w:val="auto"/>
                <w:szCs w:val="21"/>
                <w:highlight w:val="none"/>
              </w:rPr>
            </w:pPr>
          </w:p>
        </w:tc>
        <w:tc>
          <w:tcPr>
            <w:tcW w:w="898" w:type="dxa"/>
            <w:tcBorders>
              <w:top w:val="single" w:color="000000" w:sz="4" w:space="0"/>
              <w:left w:val="single" w:color="000000" w:sz="4" w:space="0"/>
              <w:bottom w:val="single" w:color="000000" w:sz="4" w:space="0"/>
              <w:right w:val="single" w:color="000000" w:sz="4" w:space="0"/>
            </w:tcBorders>
            <w:vAlign w:val="bottom"/>
          </w:tcPr>
          <w:p>
            <w:pPr>
              <w:ind w:left="24"/>
              <w:rPr>
                <w:rFonts w:ascii="宋体" w:hAnsi="宋体"/>
                <w:color w:val="auto"/>
                <w:szCs w:val="21"/>
                <w:highlight w:val="none"/>
              </w:rPr>
            </w:pPr>
            <w:r>
              <w:rPr>
                <w:rFonts w:ascii="宋体" w:hAnsi="宋体" w:cs="宋体"/>
                <w:color w:val="auto"/>
                <w:szCs w:val="21"/>
                <w:highlight w:val="none"/>
              </w:rPr>
              <w:t>传真</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highlight w:val="none"/>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color w:val="auto"/>
                <w:szCs w:val="21"/>
                <w:highlight w:val="none"/>
              </w:rPr>
            </w:pPr>
            <w:r>
              <w:rPr>
                <w:rFonts w:ascii="宋体" w:hAnsi="宋体" w:cs="宋体"/>
                <w:color w:val="auto"/>
                <w:szCs w:val="21"/>
                <w:highlight w:val="none"/>
              </w:rPr>
              <w:t>网址</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color w:val="auto"/>
                <w:szCs w:val="21"/>
                <w:highlight w:val="none"/>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highlight w:val="none"/>
              </w:rPr>
            </w:pPr>
            <w:r>
              <w:rPr>
                <w:rFonts w:ascii="宋体" w:hAnsi="宋体" w:cs="宋体"/>
                <w:color w:val="auto"/>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130"/>
              <w:rPr>
                <w:rFonts w:ascii="宋体" w:hAnsi="宋体"/>
                <w:color w:val="auto"/>
                <w:szCs w:val="21"/>
                <w:highlight w:val="none"/>
              </w:rPr>
            </w:pPr>
            <w:r>
              <w:rPr>
                <w:rFonts w:ascii="宋体" w:hAnsi="宋体" w:cs="宋体"/>
                <w:color w:val="auto"/>
                <w:szCs w:val="21"/>
                <w:highlight w:val="none"/>
              </w:rPr>
              <w:t>姓名</w:t>
            </w:r>
          </w:p>
        </w:tc>
        <w:tc>
          <w:tcPr>
            <w:tcW w:w="1027" w:type="dxa"/>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highlight w:val="none"/>
              </w:rPr>
            </w:pPr>
          </w:p>
        </w:tc>
        <w:tc>
          <w:tcPr>
            <w:tcW w:w="1287" w:type="dxa"/>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color w:val="auto"/>
                <w:szCs w:val="21"/>
                <w:highlight w:val="none"/>
              </w:rPr>
            </w:pPr>
            <w:r>
              <w:rPr>
                <w:rFonts w:ascii="宋体" w:hAnsi="宋体" w:cs="宋体"/>
                <w:color w:val="auto"/>
                <w:szCs w:val="21"/>
                <w:highlight w:val="none"/>
              </w:rPr>
              <w:t>技术职称</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highlight w:val="none"/>
              </w:rPr>
            </w:pPr>
          </w:p>
        </w:tc>
        <w:tc>
          <w:tcPr>
            <w:tcW w:w="1114"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color w:val="auto"/>
                <w:szCs w:val="21"/>
                <w:highlight w:val="none"/>
              </w:rPr>
            </w:pPr>
            <w:r>
              <w:rPr>
                <w:rFonts w:ascii="宋体" w:hAnsi="宋体" w:cs="宋体"/>
                <w:color w:val="auto"/>
                <w:szCs w:val="21"/>
                <w:highlight w:val="none"/>
              </w:rPr>
              <w:t>电话</w:t>
            </w:r>
          </w:p>
        </w:tc>
        <w:tc>
          <w:tcPr>
            <w:tcW w:w="1229" w:type="dxa"/>
            <w:tcBorders>
              <w:top w:val="single" w:color="000000" w:sz="4" w:space="0"/>
              <w:left w:val="single" w:color="000000" w:sz="4" w:space="0"/>
              <w:bottom w:val="single" w:color="000000" w:sz="4" w:space="0"/>
              <w:right w:val="single" w:color="000000" w:sz="4" w:space="0"/>
            </w:tcBorders>
            <w:vAlign w:val="bottom"/>
          </w:tcPr>
          <w:p>
            <w:pPr>
              <w:ind w:right="11"/>
              <w:jc w:val="center"/>
              <w:rPr>
                <w:rFonts w:ascii="宋体" w:hAnsi="宋体"/>
                <w:color w:val="auto"/>
                <w:szCs w:val="21"/>
                <w:highlight w:val="none"/>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highlight w:val="none"/>
              </w:rPr>
            </w:pPr>
            <w:r>
              <w:rPr>
                <w:rFonts w:ascii="宋体" w:hAnsi="宋体" w:cs="宋体"/>
                <w:color w:val="auto"/>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130"/>
              <w:rPr>
                <w:rFonts w:ascii="宋体" w:hAnsi="宋体"/>
                <w:color w:val="auto"/>
                <w:szCs w:val="21"/>
                <w:highlight w:val="none"/>
              </w:rPr>
            </w:pPr>
            <w:r>
              <w:rPr>
                <w:rFonts w:ascii="宋体" w:hAnsi="宋体" w:cs="宋体"/>
                <w:color w:val="auto"/>
                <w:szCs w:val="21"/>
                <w:highlight w:val="none"/>
              </w:rPr>
              <w:t>姓名</w:t>
            </w:r>
          </w:p>
        </w:tc>
        <w:tc>
          <w:tcPr>
            <w:tcW w:w="1027" w:type="dxa"/>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highlight w:val="none"/>
              </w:rPr>
            </w:pPr>
          </w:p>
        </w:tc>
        <w:tc>
          <w:tcPr>
            <w:tcW w:w="1287" w:type="dxa"/>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color w:val="auto"/>
                <w:szCs w:val="21"/>
                <w:highlight w:val="none"/>
              </w:rPr>
            </w:pPr>
            <w:r>
              <w:rPr>
                <w:rFonts w:ascii="宋体" w:hAnsi="宋体" w:cs="宋体"/>
                <w:color w:val="auto"/>
                <w:szCs w:val="21"/>
                <w:highlight w:val="none"/>
              </w:rPr>
              <w:t>技术职称</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color w:val="auto"/>
                <w:szCs w:val="21"/>
                <w:highlight w:val="none"/>
              </w:rPr>
            </w:pPr>
          </w:p>
        </w:tc>
        <w:tc>
          <w:tcPr>
            <w:tcW w:w="1114"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color w:val="auto"/>
                <w:szCs w:val="21"/>
                <w:highlight w:val="none"/>
              </w:rPr>
            </w:pPr>
            <w:r>
              <w:rPr>
                <w:rFonts w:ascii="宋体" w:hAnsi="宋体" w:cs="宋体"/>
                <w:color w:val="auto"/>
                <w:szCs w:val="21"/>
                <w:highlight w:val="none"/>
              </w:rPr>
              <w:t>电话</w:t>
            </w:r>
          </w:p>
        </w:tc>
        <w:tc>
          <w:tcPr>
            <w:tcW w:w="1229" w:type="dxa"/>
            <w:tcBorders>
              <w:top w:val="single" w:color="000000" w:sz="4" w:space="0"/>
              <w:left w:val="single" w:color="000000" w:sz="4" w:space="0"/>
              <w:bottom w:val="single" w:color="000000" w:sz="4" w:space="0"/>
              <w:right w:val="single" w:color="000000" w:sz="4" w:space="0"/>
            </w:tcBorders>
            <w:vAlign w:val="bottom"/>
          </w:tcPr>
          <w:p>
            <w:pPr>
              <w:ind w:right="11"/>
              <w:jc w:val="center"/>
              <w:rPr>
                <w:rFonts w:ascii="宋体" w:hAnsi="宋体"/>
                <w:color w:val="auto"/>
                <w:szCs w:val="21"/>
                <w:highlight w:val="none"/>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color w:val="auto"/>
                <w:szCs w:val="21"/>
                <w:highlight w:val="none"/>
              </w:rPr>
            </w:pPr>
            <w:r>
              <w:rPr>
                <w:rFonts w:ascii="宋体" w:hAnsi="宋体" w:cs="宋体"/>
                <w:color w:val="auto"/>
                <w:szCs w:val="21"/>
                <w:highlight w:val="none"/>
              </w:rPr>
              <w:t>企业资质证书</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ind w:left="53"/>
              <w:rPr>
                <w:rFonts w:ascii="宋体" w:hAnsi="宋体"/>
                <w:color w:val="auto"/>
                <w:szCs w:val="21"/>
                <w:highlight w:val="none"/>
              </w:rPr>
            </w:pPr>
            <w:r>
              <w:rPr>
                <w:rFonts w:ascii="宋体" w:hAnsi="宋体" w:cs="宋体"/>
                <w:color w:val="auto"/>
                <w:szCs w:val="21"/>
                <w:highlight w:val="none"/>
              </w:rPr>
              <w:t>类型：等级：证书号：</w:t>
            </w:r>
          </w:p>
        </w:tc>
      </w:tr>
      <w:tr>
        <w:tblPrEx>
          <w:tblCellMar>
            <w:top w:w="0" w:type="dxa"/>
            <w:left w:w="108" w:type="dxa"/>
            <w:bottom w:w="46" w:type="dxa"/>
            <w:right w:w="43" w:type="dxa"/>
          </w:tblCellMar>
        </w:tblPrEx>
        <w:trPr>
          <w:trHeight w:val="890"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spacing w:after="149"/>
              <w:ind w:left="74"/>
              <w:rPr>
                <w:rFonts w:ascii="宋体" w:hAnsi="宋体"/>
                <w:color w:val="auto"/>
                <w:szCs w:val="21"/>
                <w:highlight w:val="none"/>
              </w:rPr>
            </w:pPr>
            <w:r>
              <w:rPr>
                <w:rFonts w:ascii="宋体" w:hAnsi="宋体" w:cs="宋体"/>
                <w:color w:val="auto"/>
                <w:szCs w:val="21"/>
                <w:highlight w:val="none"/>
              </w:rPr>
              <w:t>质量管理体系证书</w:t>
            </w:r>
          </w:p>
          <w:p>
            <w:pPr>
              <w:ind w:right="168"/>
              <w:jc w:val="center"/>
              <w:rPr>
                <w:rFonts w:ascii="宋体" w:hAnsi="宋体"/>
                <w:color w:val="auto"/>
                <w:szCs w:val="21"/>
                <w:highlight w:val="none"/>
              </w:rPr>
            </w:pPr>
            <w:r>
              <w:rPr>
                <w:rFonts w:ascii="宋体" w:hAnsi="宋体" w:cs="宋体"/>
                <w:color w:val="auto"/>
                <w:szCs w:val="21"/>
                <w:highlight w:val="none"/>
              </w:rPr>
              <w:t>（如有）</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ind w:left="53"/>
              <w:rPr>
                <w:rFonts w:ascii="宋体" w:hAnsi="宋体"/>
                <w:color w:val="auto"/>
                <w:szCs w:val="21"/>
                <w:highlight w:val="none"/>
              </w:rPr>
            </w:pPr>
            <w:r>
              <w:rPr>
                <w:rFonts w:ascii="宋体" w:hAnsi="宋体" w:cs="宋体"/>
                <w:color w:val="auto"/>
                <w:szCs w:val="21"/>
                <w:highlight w:val="none"/>
              </w:rPr>
              <w:t>类型：等级：证书号：</w:t>
            </w:r>
          </w:p>
        </w:tc>
      </w:tr>
      <w:tr>
        <w:tblPrEx>
          <w:tblCellMar>
            <w:top w:w="0" w:type="dxa"/>
            <w:left w:w="108" w:type="dxa"/>
            <w:bottom w:w="46" w:type="dxa"/>
            <w:right w:w="43" w:type="dxa"/>
          </w:tblCellMar>
        </w:tblPrEx>
        <w:trPr>
          <w:trHeight w:val="856"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highlight w:val="none"/>
              </w:rPr>
            </w:pPr>
            <w:r>
              <w:rPr>
                <w:rFonts w:hint="eastAsia" w:ascii="宋体" w:hAnsi="宋体" w:cs="宋体"/>
                <w:color w:val="auto"/>
                <w:szCs w:val="21"/>
                <w:highlight w:val="none"/>
              </w:rPr>
              <w:t>事业单位法人证书号或</w:t>
            </w:r>
            <w:r>
              <w:rPr>
                <w:rFonts w:ascii="宋体" w:hAnsi="宋体" w:cs="宋体"/>
                <w:color w:val="auto"/>
                <w:szCs w:val="21"/>
                <w:highlight w:val="none"/>
              </w:rPr>
              <w:t>营业执照号</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highlight w:val="none"/>
              </w:rPr>
            </w:pPr>
          </w:p>
        </w:tc>
        <w:tc>
          <w:tcPr>
            <w:tcW w:w="3629" w:type="dxa"/>
            <w:gridSpan w:val="5"/>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color w:val="auto"/>
                <w:szCs w:val="21"/>
                <w:highlight w:val="none"/>
              </w:rPr>
            </w:pPr>
            <w:r>
              <w:rPr>
                <w:rFonts w:ascii="宋体" w:hAnsi="宋体" w:cs="宋体"/>
                <w:color w:val="auto"/>
                <w:szCs w:val="21"/>
                <w:highlight w:val="none"/>
              </w:rPr>
              <w:t>员工总人数：</w:t>
            </w: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highlight w:val="none"/>
              </w:rPr>
            </w:pPr>
            <w:r>
              <w:rPr>
                <w:rFonts w:ascii="宋体" w:hAnsi="宋体" w:cs="宋体"/>
                <w:color w:val="auto"/>
                <w:szCs w:val="21"/>
                <w:highlight w:val="none"/>
              </w:rPr>
              <w:t>注册资本</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ascii="宋体" w:hAnsi="宋体" w:cs="宋体"/>
                <w:color w:val="auto"/>
                <w:szCs w:val="21"/>
                <w:highlight w:val="none"/>
              </w:rPr>
              <w:t>其中</w:t>
            </w: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color w:val="auto"/>
                <w:szCs w:val="21"/>
                <w:highlight w:val="none"/>
              </w:rPr>
            </w:pPr>
            <w:r>
              <w:rPr>
                <w:rFonts w:ascii="宋体" w:hAnsi="宋体" w:cs="宋体"/>
                <w:color w:val="auto"/>
                <w:szCs w:val="21"/>
                <w:highlight w:val="none"/>
              </w:rPr>
              <w:t>高级职称人员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color w:val="auto"/>
                <w:szCs w:val="21"/>
                <w:highlight w:val="none"/>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color w:val="auto"/>
                <w:szCs w:val="21"/>
                <w:highlight w:val="none"/>
              </w:rPr>
            </w:pPr>
            <w:r>
              <w:rPr>
                <w:rFonts w:ascii="宋体" w:hAnsi="宋体" w:cs="宋体"/>
                <w:color w:val="auto"/>
                <w:szCs w:val="21"/>
                <w:highlight w:val="none"/>
              </w:rPr>
              <w:t>成立日期</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highlight w:val="none"/>
              </w:rPr>
            </w:pPr>
          </w:p>
        </w:tc>
        <w:tc>
          <w:tcPr>
            <w:tcW w:w="415" w:type="dxa"/>
            <w:vMerge w:val="continue"/>
            <w:tcBorders>
              <w:top w:val="nil"/>
              <w:left w:val="single" w:color="000000" w:sz="4" w:space="0"/>
              <w:bottom w:val="nil"/>
              <w:right w:val="single" w:color="000000" w:sz="4" w:space="0"/>
            </w:tcBorders>
          </w:tcPr>
          <w:p>
            <w:pPr>
              <w:rPr>
                <w:rFonts w:ascii="宋体" w:hAnsi="宋体"/>
                <w:color w:val="auto"/>
                <w:szCs w:val="21"/>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color w:val="auto"/>
                <w:szCs w:val="21"/>
                <w:highlight w:val="none"/>
              </w:rPr>
            </w:pPr>
            <w:r>
              <w:rPr>
                <w:rFonts w:ascii="宋体" w:hAnsi="宋体" w:cs="宋体"/>
                <w:color w:val="auto"/>
                <w:szCs w:val="21"/>
                <w:highlight w:val="none"/>
              </w:rPr>
              <w:t>中级职称人员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color w:val="auto"/>
                <w:szCs w:val="21"/>
                <w:highlight w:val="none"/>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color w:val="auto"/>
                <w:szCs w:val="21"/>
                <w:highlight w:val="none"/>
              </w:rPr>
            </w:pPr>
            <w:r>
              <w:rPr>
                <w:rFonts w:ascii="宋体" w:hAnsi="宋体" w:cs="宋体"/>
                <w:color w:val="auto"/>
                <w:szCs w:val="21"/>
                <w:highlight w:val="none"/>
              </w:rPr>
              <w:t>基本账户开户银行</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highlight w:val="none"/>
              </w:rPr>
            </w:pPr>
          </w:p>
        </w:tc>
        <w:tc>
          <w:tcPr>
            <w:tcW w:w="415" w:type="dxa"/>
            <w:vMerge w:val="continue"/>
            <w:tcBorders>
              <w:top w:val="nil"/>
              <w:left w:val="single" w:color="000000" w:sz="4" w:space="0"/>
              <w:bottom w:val="nil"/>
              <w:right w:val="single" w:color="000000" w:sz="4" w:space="0"/>
            </w:tcBorders>
          </w:tcPr>
          <w:p>
            <w:pPr>
              <w:rPr>
                <w:rFonts w:ascii="宋体" w:hAnsi="宋体"/>
                <w:color w:val="auto"/>
                <w:szCs w:val="21"/>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color w:val="auto"/>
                <w:szCs w:val="21"/>
                <w:highlight w:val="none"/>
              </w:rPr>
            </w:pPr>
            <w:r>
              <w:rPr>
                <w:rFonts w:ascii="宋体" w:hAnsi="宋体" w:cs="宋体"/>
                <w:color w:val="auto"/>
                <w:szCs w:val="21"/>
                <w:highlight w:val="none"/>
              </w:rPr>
              <w:t>技术人员数量</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color w:val="auto"/>
                <w:szCs w:val="21"/>
                <w:highlight w:val="none"/>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color w:val="auto"/>
                <w:szCs w:val="21"/>
                <w:highlight w:val="none"/>
              </w:rPr>
            </w:pPr>
            <w:r>
              <w:rPr>
                <w:rFonts w:ascii="宋体" w:hAnsi="宋体" w:cs="宋体"/>
                <w:color w:val="auto"/>
                <w:szCs w:val="21"/>
                <w:highlight w:val="none"/>
              </w:rPr>
              <w:t>基本账户银行账号</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highlight w:val="none"/>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color w:val="auto"/>
                <w:szCs w:val="21"/>
                <w:highlight w:val="none"/>
              </w:rPr>
            </w:pPr>
          </w:p>
        </w:tc>
        <w:tc>
          <w:tcPr>
            <w:tcW w:w="415" w:type="dxa"/>
            <w:vMerge w:val="continue"/>
            <w:tcBorders>
              <w:top w:val="nil"/>
              <w:left w:val="single" w:color="000000" w:sz="4" w:space="0"/>
              <w:bottom w:val="single" w:color="000000" w:sz="4" w:space="0"/>
              <w:right w:val="single" w:color="000000" w:sz="4" w:space="0"/>
            </w:tcBorders>
          </w:tcPr>
          <w:p>
            <w:pPr>
              <w:rPr>
                <w:rFonts w:ascii="宋体" w:hAnsi="宋体"/>
                <w:color w:val="auto"/>
                <w:szCs w:val="21"/>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color w:val="auto"/>
                <w:szCs w:val="21"/>
                <w:highlight w:val="none"/>
              </w:rPr>
            </w:pPr>
            <w:r>
              <w:rPr>
                <w:rFonts w:ascii="宋体" w:hAnsi="宋体" w:cs="宋体"/>
                <w:color w:val="auto"/>
                <w:szCs w:val="21"/>
                <w:highlight w:val="none"/>
              </w:rPr>
              <w:t>各类注册人员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color w:val="auto"/>
                <w:szCs w:val="21"/>
                <w:highlight w:val="none"/>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149"/>
              <w:jc w:val="center"/>
              <w:rPr>
                <w:rFonts w:ascii="宋体" w:hAnsi="宋体"/>
                <w:color w:val="auto"/>
                <w:szCs w:val="21"/>
                <w:highlight w:val="none"/>
              </w:rPr>
            </w:pPr>
            <w:r>
              <w:rPr>
                <w:rFonts w:ascii="宋体" w:hAnsi="宋体" w:cs="宋体"/>
                <w:color w:val="auto"/>
                <w:szCs w:val="21"/>
                <w:highlight w:val="none"/>
              </w:rPr>
              <w:t>经营范围</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color w:val="auto"/>
                <w:szCs w:val="21"/>
                <w:highlight w:val="none"/>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0"/>
              <w:jc w:val="center"/>
              <w:rPr>
                <w:rFonts w:ascii="宋体" w:hAnsi="宋体"/>
                <w:color w:val="auto"/>
                <w:szCs w:val="21"/>
                <w:highlight w:val="none"/>
              </w:rPr>
            </w:pPr>
            <w:r>
              <w:rPr>
                <w:rFonts w:ascii="宋体" w:hAnsi="宋体" w:cs="宋体"/>
                <w:color w:val="auto"/>
                <w:szCs w:val="21"/>
                <w:highlight w:val="none"/>
              </w:rPr>
              <w:t>备注</w:t>
            </w:r>
          </w:p>
        </w:tc>
        <w:tc>
          <w:tcPr>
            <w:tcW w:w="898" w:type="dxa"/>
            <w:tcBorders>
              <w:top w:val="single" w:color="000000" w:sz="4" w:space="0"/>
              <w:left w:val="single" w:color="000000" w:sz="4" w:space="0"/>
              <w:bottom w:val="single" w:color="000000" w:sz="4" w:space="0"/>
              <w:right w:val="nil"/>
            </w:tcBorders>
          </w:tcPr>
          <w:p>
            <w:pPr>
              <w:rPr>
                <w:rFonts w:ascii="宋体" w:hAnsi="宋体"/>
                <w:color w:val="auto"/>
                <w:szCs w:val="21"/>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color w:val="auto"/>
                <w:szCs w:val="21"/>
                <w:highlight w:val="none"/>
              </w:rPr>
            </w:pPr>
          </w:p>
        </w:tc>
      </w:tr>
    </w:tbl>
    <w:p>
      <w:pPr>
        <w:spacing w:line="360" w:lineRule="auto"/>
        <w:ind w:firstLine="422" w:firstLineChars="200"/>
        <w:rPr>
          <w:rFonts w:hint="eastAsia" w:ascii="宋体" w:hAnsi="宋体" w:cs="宋体"/>
          <w:b/>
          <w:color w:val="auto"/>
          <w:highlight w:val="none"/>
          <w:u w:val="single"/>
        </w:rPr>
      </w:pPr>
    </w:p>
    <w:p>
      <w:pPr>
        <w:spacing w:line="360" w:lineRule="auto"/>
        <w:ind w:firstLine="422" w:firstLineChars="200"/>
        <w:rPr>
          <w:rFonts w:ascii="宋体" w:hAnsi="宋体" w:cs="宋体"/>
          <w:b/>
          <w:color w:val="auto"/>
          <w:highlight w:val="none"/>
          <w:u w:val="single"/>
        </w:rPr>
      </w:pPr>
      <w:r>
        <w:rPr>
          <w:rFonts w:hint="eastAsia" w:ascii="宋体" w:hAnsi="宋体" w:cs="宋体"/>
          <w:b/>
          <w:color w:val="auto"/>
          <w:highlight w:val="none"/>
          <w:u w:val="single"/>
        </w:rPr>
        <w:t>注：联系人栏应填写两个人的联系方式以便联系。联合体投标的应分别填写此表。</w:t>
      </w:r>
    </w:p>
    <w:p>
      <w:pPr>
        <w:pStyle w:val="15"/>
        <w:spacing w:line="360" w:lineRule="auto"/>
        <w:rPr>
          <w:rFonts w:hAnsi="宋体" w:cs="宋体"/>
          <w:color w:val="auto"/>
          <w:highlight w:val="none"/>
        </w:rPr>
      </w:pPr>
      <w:r>
        <w:rPr>
          <w:rFonts w:hint="eastAsia" w:hAnsi="宋体" w:cs="宋体"/>
          <w:b/>
          <w:color w:val="auto"/>
          <w:sz w:val="24"/>
          <w:highlight w:val="none"/>
        </w:rPr>
        <w:br w:type="page"/>
      </w:r>
    </w:p>
    <w:p>
      <w:pPr>
        <w:jc w:val="center"/>
        <w:rPr>
          <w:rFonts w:ascii="宋体" w:hAnsi="宋体" w:cs="宋体"/>
          <w:b/>
          <w:color w:val="auto"/>
          <w:sz w:val="24"/>
          <w:highlight w:val="none"/>
        </w:rPr>
      </w:pPr>
      <w:r>
        <w:rPr>
          <w:rFonts w:hint="eastAsia" w:ascii="宋体" w:hAnsi="宋体" w:cs="宋体"/>
          <w:b/>
          <w:color w:val="auto"/>
          <w:sz w:val="24"/>
          <w:highlight w:val="none"/>
        </w:rPr>
        <w:t>（2）拟委派的项目负责人、技术负责人及投入本项目的主要技术人员一览表</w:t>
      </w:r>
    </w:p>
    <w:p>
      <w:pPr>
        <w:pStyle w:val="15"/>
        <w:adjustRightInd w:val="0"/>
        <w:snapToGrid w:val="0"/>
        <w:spacing w:line="240" w:lineRule="exact"/>
        <w:jc w:val="center"/>
        <w:rPr>
          <w:rFonts w:hAnsi="宋体" w:cs="宋体"/>
          <w:b/>
          <w:color w:val="auto"/>
          <w:sz w:val="30"/>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20"/>
        <w:gridCol w:w="1080"/>
        <w:gridCol w:w="1080"/>
        <w:gridCol w:w="1492"/>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0"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20"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姓名</w:t>
            </w:r>
          </w:p>
        </w:tc>
        <w:tc>
          <w:tcPr>
            <w:tcW w:w="1080"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专业</w:t>
            </w:r>
          </w:p>
        </w:tc>
        <w:tc>
          <w:tcPr>
            <w:tcW w:w="1080"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职称</w:t>
            </w:r>
          </w:p>
        </w:tc>
        <w:tc>
          <w:tcPr>
            <w:tcW w:w="1492"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在本项目拟担任职务</w:t>
            </w:r>
          </w:p>
        </w:tc>
        <w:tc>
          <w:tcPr>
            <w:tcW w:w="3323"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备注</w:t>
            </w:r>
          </w:p>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142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142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8" w:hRule="atLeast"/>
          <w:jc w:val="center"/>
        </w:trPr>
        <w:tc>
          <w:tcPr>
            <w:tcW w:w="9135" w:type="dxa"/>
            <w:gridSpan w:val="6"/>
            <w:tcBorders>
              <w:top w:val="single" w:color="auto" w:sz="4" w:space="0"/>
              <w:left w:val="single" w:color="auto" w:sz="4" w:space="0"/>
              <w:bottom w:val="single" w:color="auto" w:sz="4" w:space="0"/>
            </w:tcBorders>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pPr>
              <w:spacing w:line="360" w:lineRule="auto"/>
              <w:ind w:firstLine="420" w:firstLineChars="200"/>
              <w:rPr>
                <w:rFonts w:ascii="宋体" w:hAnsi="宋体" w:cs="宋体"/>
                <w:color w:val="auto"/>
                <w:szCs w:val="21"/>
                <w:highlight w:val="none"/>
              </w:rPr>
            </w:pPr>
          </w:p>
          <w:p>
            <w:pPr>
              <w:spacing w:line="360" w:lineRule="exact"/>
              <w:ind w:firstLine="2835" w:firstLineChars="1350"/>
              <w:jc w:val="right"/>
              <w:rPr>
                <w:rFonts w:ascii="宋体" w:hAnsi="宋体" w:cs="宋体"/>
                <w:color w:val="auto"/>
                <w:highlight w:val="none"/>
              </w:rPr>
            </w:pPr>
            <w:r>
              <w:rPr>
                <w:rFonts w:hint="eastAsia" w:ascii="宋体" w:hAnsi="宋体" w:cs="宋体"/>
                <w:color w:val="auto"/>
                <w:highlight w:val="none"/>
              </w:rPr>
              <w:t>投 标 人：（盖单位章）</w:t>
            </w:r>
          </w:p>
          <w:p>
            <w:pPr>
              <w:spacing w:line="360" w:lineRule="exact"/>
              <w:ind w:firstLine="2835" w:firstLineChars="1350"/>
              <w:jc w:val="right"/>
              <w:rPr>
                <w:rFonts w:ascii="宋体" w:hAnsi="宋体" w:cs="宋体"/>
                <w:color w:val="auto"/>
                <w:highlight w:val="none"/>
              </w:rPr>
            </w:pPr>
            <w:r>
              <w:rPr>
                <w:rFonts w:hint="eastAsia" w:ascii="宋体" w:hAnsi="宋体" w:cs="宋体"/>
                <w:color w:val="auto"/>
                <w:highlight w:val="none"/>
              </w:rPr>
              <w:t>法定代表人或其委托代理人：（签字）</w:t>
            </w:r>
          </w:p>
          <w:p>
            <w:pPr>
              <w:jc w:val="right"/>
              <w:rPr>
                <w:rFonts w:ascii="宋体" w:hAnsi="宋体" w:cs="宋体"/>
                <w:color w:val="auto"/>
                <w:highlight w:val="none"/>
              </w:rPr>
            </w:pPr>
            <w:r>
              <w:rPr>
                <w:rFonts w:hint="eastAsia" w:ascii="宋体" w:hAnsi="宋体" w:cs="宋体"/>
                <w:color w:val="auto"/>
                <w:highlight w:val="none"/>
              </w:rPr>
              <w:t>年月日</w:t>
            </w:r>
          </w:p>
        </w:tc>
      </w:tr>
    </w:tbl>
    <w:p>
      <w:pPr>
        <w:rPr>
          <w:rFonts w:ascii="宋体" w:hAnsi="宋体" w:cs="宋体"/>
          <w:color w:val="auto"/>
          <w:highlight w:val="none"/>
        </w:rPr>
      </w:pPr>
    </w:p>
    <w:p>
      <w:pPr>
        <w:pStyle w:val="15"/>
        <w:adjustRightInd w:val="0"/>
        <w:snapToGrid w:val="0"/>
        <w:spacing w:line="360" w:lineRule="auto"/>
        <w:rPr>
          <w:rFonts w:hAnsi="宋体" w:cs="宋体"/>
          <w:b/>
          <w:color w:val="auto"/>
          <w:sz w:val="24"/>
          <w:highlight w:val="none"/>
        </w:rPr>
      </w:pPr>
      <w:r>
        <w:rPr>
          <w:rFonts w:hint="eastAsia" w:hAnsi="宋体" w:cs="宋体"/>
          <w:color w:val="auto"/>
          <w:highlight w:val="none"/>
        </w:rPr>
        <w:br w:type="page"/>
      </w:r>
      <w:r>
        <w:rPr>
          <w:rFonts w:hint="eastAsia" w:hAnsi="宋体" w:cs="宋体"/>
          <w:b/>
          <w:color w:val="auto"/>
          <w:sz w:val="24"/>
          <w:highlight w:val="none"/>
        </w:rPr>
        <w:t>（3）拟委派的项目负责人、技术负责人及投入本项目的主要技术人员简历表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288" w:type="dxa"/>
            <w:gridSpan w:val="9"/>
            <w:vAlign w:val="center"/>
          </w:tcPr>
          <w:p>
            <w:pPr>
              <w:ind w:firstLine="480"/>
              <w:jc w:val="center"/>
              <w:rPr>
                <w:rFonts w:ascii="宋体" w:hAnsi="宋体" w:cs="宋体"/>
                <w:b/>
                <w:color w:val="auto"/>
                <w:szCs w:val="21"/>
                <w:highlight w:val="none"/>
              </w:rPr>
            </w:pPr>
            <w:r>
              <w:rPr>
                <w:rFonts w:hint="eastAsia" w:ascii="宋体" w:hAnsi="宋体" w:cs="宋体"/>
                <w:b/>
                <w:color w:val="auto"/>
                <w:szCs w:val="21"/>
                <w:highlight w:val="none"/>
              </w:rPr>
              <w:t>1.一般情况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1208" w:type="dxa"/>
            <w:vAlign w:val="center"/>
          </w:tcPr>
          <w:p>
            <w:pPr>
              <w:ind w:firstLine="480"/>
              <w:rPr>
                <w:rFonts w:ascii="宋体" w:hAnsi="宋体" w:cs="宋体"/>
                <w:color w:val="auto"/>
                <w:szCs w:val="21"/>
                <w:highlight w:val="none"/>
              </w:rPr>
            </w:pPr>
          </w:p>
        </w:tc>
        <w:tc>
          <w:tcPr>
            <w:tcW w:w="180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性 别</w:t>
            </w:r>
          </w:p>
        </w:tc>
        <w:tc>
          <w:tcPr>
            <w:tcW w:w="1252" w:type="dxa"/>
            <w:gridSpan w:val="2"/>
            <w:vAlign w:val="center"/>
          </w:tcPr>
          <w:p>
            <w:pPr>
              <w:jc w:val="center"/>
              <w:rPr>
                <w:rFonts w:ascii="宋体" w:hAnsi="宋体" w:cs="宋体"/>
                <w:color w:val="auto"/>
                <w:szCs w:val="21"/>
                <w:highlight w:val="none"/>
              </w:rPr>
            </w:pPr>
          </w:p>
        </w:tc>
        <w:tc>
          <w:tcPr>
            <w:tcW w:w="216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年 龄</w:t>
            </w:r>
          </w:p>
        </w:tc>
        <w:tc>
          <w:tcPr>
            <w:tcW w:w="1440" w:type="dxa"/>
            <w:vAlign w:val="center"/>
          </w:tcPr>
          <w:p>
            <w:pPr>
              <w:ind w:firstLine="42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 业</w:t>
            </w:r>
          </w:p>
        </w:tc>
        <w:tc>
          <w:tcPr>
            <w:tcW w:w="1208" w:type="dxa"/>
            <w:vAlign w:val="center"/>
          </w:tcPr>
          <w:p>
            <w:pPr>
              <w:ind w:firstLine="480"/>
              <w:rPr>
                <w:rFonts w:ascii="宋体" w:hAnsi="宋体" w:cs="宋体"/>
                <w:color w:val="auto"/>
                <w:szCs w:val="21"/>
                <w:highlight w:val="none"/>
              </w:rPr>
            </w:pPr>
          </w:p>
        </w:tc>
        <w:tc>
          <w:tcPr>
            <w:tcW w:w="180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最高学历</w:t>
            </w:r>
          </w:p>
        </w:tc>
        <w:tc>
          <w:tcPr>
            <w:tcW w:w="1252" w:type="dxa"/>
            <w:gridSpan w:val="2"/>
            <w:vAlign w:val="center"/>
          </w:tcPr>
          <w:p>
            <w:pPr>
              <w:jc w:val="center"/>
              <w:rPr>
                <w:rFonts w:ascii="宋体" w:hAnsi="宋体" w:cs="宋体"/>
                <w:color w:val="auto"/>
                <w:szCs w:val="21"/>
                <w:highlight w:val="none"/>
              </w:rPr>
            </w:pPr>
          </w:p>
        </w:tc>
        <w:tc>
          <w:tcPr>
            <w:tcW w:w="216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从事试验检测</w:t>
            </w:r>
          </w:p>
          <w:p>
            <w:pPr>
              <w:jc w:val="center"/>
              <w:rPr>
                <w:rFonts w:ascii="宋体" w:hAnsi="宋体" w:cs="宋体"/>
                <w:color w:val="auto"/>
                <w:szCs w:val="21"/>
                <w:highlight w:val="none"/>
              </w:rPr>
            </w:pPr>
            <w:r>
              <w:rPr>
                <w:rFonts w:hint="eastAsia" w:ascii="宋体" w:hAnsi="宋体" w:cs="宋体"/>
                <w:color w:val="auto"/>
                <w:szCs w:val="21"/>
                <w:highlight w:val="none"/>
              </w:rPr>
              <w:t>工作时间</w:t>
            </w:r>
          </w:p>
        </w:tc>
        <w:tc>
          <w:tcPr>
            <w:tcW w:w="1440" w:type="dxa"/>
            <w:vAlign w:val="center"/>
          </w:tcPr>
          <w:p>
            <w:pPr>
              <w:ind w:firstLine="42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208" w:type="dxa"/>
            <w:vAlign w:val="center"/>
          </w:tcPr>
          <w:p>
            <w:pPr>
              <w:ind w:firstLine="480"/>
              <w:rPr>
                <w:rFonts w:ascii="宋体" w:hAnsi="宋体" w:cs="宋体"/>
                <w:color w:val="auto"/>
                <w:szCs w:val="21"/>
                <w:highlight w:val="none"/>
              </w:rPr>
            </w:pPr>
          </w:p>
        </w:tc>
        <w:tc>
          <w:tcPr>
            <w:tcW w:w="180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现任职务</w:t>
            </w:r>
          </w:p>
        </w:tc>
        <w:tc>
          <w:tcPr>
            <w:tcW w:w="1252" w:type="dxa"/>
            <w:gridSpan w:val="2"/>
            <w:vAlign w:val="center"/>
          </w:tcPr>
          <w:p>
            <w:pPr>
              <w:jc w:val="center"/>
              <w:rPr>
                <w:rFonts w:ascii="宋体" w:hAnsi="宋体" w:cs="宋体"/>
                <w:color w:val="auto"/>
                <w:szCs w:val="21"/>
                <w:highlight w:val="none"/>
              </w:rPr>
            </w:pPr>
          </w:p>
        </w:tc>
        <w:tc>
          <w:tcPr>
            <w:tcW w:w="216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拟在本项目任职</w:t>
            </w:r>
          </w:p>
        </w:tc>
        <w:tc>
          <w:tcPr>
            <w:tcW w:w="1440" w:type="dxa"/>
            <w:vAlign w:val="center"/>
          </w:tcPr>
          <w:p>
            <w:pPr>
              <w:ind w:firstLine="42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毕业院校</w:t>
            </w:r>
          </w:p>
        </w:tc>
        <w:tc>
          <w:tcPr>
            <w:tcW w:w="7868" w:type="dxa"/>
            <w:gridSpan w:val="8"/>
            <w:vAlign w:val="center"/>
          </w:tcPr>
          <w:p>
            <w:pPr>
              <w:ind w:firstLine="42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9288" w:type="dxa"/>
            <w:gridSpan w:val="9"/>
            <w:vAlign w:val="center"/>
          </w:tcPr>
          <w:p>
            <w:pPr>
              <w:ind w:firstLine="480"/>
              <w:jc w:val="center"/>
              <w:rPr>
                <w:rFonts w:ascii="宋体" w:hAnsi="宋体" w:cs="宋体"/>
                <w:b/>
                <w:color w:val="auto"/>
                <w:szCs w:val="21"/>
                <w:highlight w:val="none"/>
              </w:rPr>
            </w:pPr>
            <w:r>
              <w:rPr>
                <w:rFonts w:hint="eastAsia" w:ascii="宋体" w:hAnsi="宋体" w:cs="宋体"/>
                <w:b/>
                <w:color w:val="auto"/>
                <w:szCs w:val="21"/>
                <w:highlight w:val="none"/>
              </w:rPr>
              <w:t>2.个人工作经历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时 间</w:t>
            </w:r>
          </w:p>
        </w:tc>
        <w:tc>
          <w:tcPr>
            <w:tcW w:w="142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工作单位</w:t>
            </w:r>
          </w:p>
        </w:tc>
        <w:tc>
          <w:tcPr>
            <w:tcW w:w="248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在该项目任职</w:t>
            </w:r>
          </w:p>
        </w:tc>
        <w:tc>
          <w:tcPr>
            <w:tcW w:w="198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负责过的</w:t>
            </w:r>
          </w:p>
          <w:p>
            <w:pPr>
              <w:jc w:val="center"/>
              <w:rPr>
                <w:rFonts w:ascii="宋体" w:hAnsi="宋体" w:cs="宋体"/>
                <w:color w:val="auto"/>
                <w:szCs w:val="21"/>
                <w:highlight w:val="none"/>
              </w:rPr>
            </w:pPr>
            <w:r>
              <w:rPr>
                <w:rFonts w:hint="eastAsia" w:ascii="宋体" w:hAnsi="宋体" w:cs="宋体"/>
                <w:color w:val="auto"/>
                <w:szCs w:val="21"/>
                <w:highlight w:val="none"/>
              </w:rPr>
              <w:t>主要项目</w:t>
            </w:r>
          </w:p>
        </w:tc>
        <w:tc>
          <w:tcPr>
            <w:tcW w:w="198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420" w:type="dxa"/>
            <w:vAlign w:val="center"/>
          </w:tcPr>
          <w:p>
            <w:pPr>
              <w:ind w:firstLine="480"/>
              <w:jc w:val="center"/>
              <w:rPr>
                <w:rFonts w:ascii="宋体" w:hAnsi="宋体" w:cs="宋体"/>
                <w:color w:val="auto"/>
                <w:szCs w:val="21"/>
                <w:highlight w:val="none"/>
              </w:rPr>
            </w:pPr>
          </w:p>
        </w:tc>
        <w:tc>
          <w:tcPr>
            <w:tcW w:w="1420" w:type="dxa"/>
            <w:gridSpan w:val="2"/>
            <w:vAlign w:val="center"/>
          </w:tcPr>
          <w:p>
            <w:pPr>
              <w:ind w:firstLine="480"/>
              <w:jc w:val="center"/>
              <w:rPr>
                <w:rFonts w:ascii="宋体" w:hAnsi="宋体" w:cs="宋体"/>
                <w:color w:val="auto"/>
                <w:szCs w:val="21"/>
                <w:highlight w:val="none"/>
              </w:rPr>
            </w:pPr>
          </w:p>
        </w:tc>
        <w:tc>
          <w:tcPr>
            <w:tcW w:w="2488"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420" w:type="dxa"/>
            <w:vAlign w:val="center"/>
          </w:tcPr>
          <w:p>
            <w:pPr>
              <w:ind w:firstLine="480"/>
              <w:jc w:val="center"/>
              <w:rPr>
                <w:rFonts w:ascii="宋体" w:hAnsi="宋体" w:cs="宋体"/>
                <w:color w:val="auto"/>
                <w:szCs w:val="21"/>
                <w:highlight w:val="none"/>
              </w:rPr>
            </w:pPr>
          </w:p>
        </w:tc>
        <w:tc>
          <w:tcPr>
            <w:tcW w:w="1420" w:type="dxa"/>
            <w:gridSpan w:val="2"/>
            <w:vAlign w:val="center"/>
          </w:tcPr>
          <w:p>
            <w:pPr>
              <w:ind w:firstLine="480"/>
              <w:jc w:val="center"/>
              <w:rPr>
                <w:rFonts w:ascii="宋体" w:hAnsi="宋体" w:cs="宋体"/>
                <w:color w:val="auto"/>
                <w:szCs w:val="21"/>
                <w:highlight w:val="none"/>
              </w:rPr>
            </w:pPr>
          </w:p>
        </w:tc>
        <w:tc>
          <w:tcPr>
            <w:tcW w:w="2488"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420" w:type="dxa"/>
            <w:vAlign w:val="center"/>
          </w:tcPr>
          <w:p>
            <w:pPr>
              <w:ind w:firstLine="480"/>
              <w:jc w:val="center"/>
              <w:rPr>
                <w:rFonts w:ascii="宋体" w:hAnsi="宋体" w:cs="宋体"/>
                <w:color w:val="auto"/>
                <w:szCs w:val="21"/>
                <w:highlight w:val="none"/>
              </w:rPr>
            </w:pPr>
          </w:p>
        </w:tc>
        <w:tc>
          <w:tcPr>
            <w:tcW w:w="1420" w:type="dxa"/>
            <w:gridSpan w:val="2"/>
            <w:vAlign w:val="center"/>
          </w:tcPr>
          <w:p>
            <w:pPr>
              <w:ind w:firstLine="480"/>
              <w:jc w:val="center"/>
              <w:rPr>
                <w:rFonts w:ascii="宋体" w:hAnsi="宋体" w:cs="宋体"/>
                <w:color w:val="auto"/>
                <w:szCs w:val="21"/>
                <w:highlight w:val="none"/>
              </w:rPr>
            </w:pPr>
          </w:p>
        </w:tc>
        <w:tc>
          <w:tcPr>
            <w:tcW w:w="2488"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99" w:hRule="atLeast"/>
          <w:jc w:val="center"/>
        </w:trPr>
        <w:tc>
          <w:tcPr>
            <w:tcW w:w="9288" w:type="dxa"/>
            <w:gridSpan w:val="9"/>
          </w:tcPr>
          <w:p>
            <w:pPr>
              <w:ind w:firstLine="480"/>
              <w:rPr>
                <w:rFonts w:ascii="宋体" w:hAnsi="宋体" w:cs="宋体"/>
                <w:color w:val="auto"/>
                <w:szCs w:val="21"/>
                <w:highlight w:val="none"/>
              </w:rPr>
            </w:pPr>
            <w:r>
              <w:rPr>
                <w:rFonts w:hint="eastAsia" w:ascii="宋体" w:hAnsi="宋体" w:cs="宋体"/>
                <w:color w:val="auto"/>
                <w:szCs w:val="21"/>
                <w:highlight w:val="none"/>
              </w:rPr>
              <w:t>个人能力综述：</w:t>
            </w:r>
          </w:p>
        </w:tc>
      </w:tr>
    </w:tbl>
    <w:p>
      <w:pPr>
        <w:ind w:left="840" w:right="-13" w:hanging="840" w:hangingChars="400"/>
        <w:rPr>
          <w:rFonts w:ascii="宋体" w:hAnsi="宋体" w:cs="宋体"/>
          <w:color w:val="auto"/>
          <w:highlight w:val="none"/>
        </w:rPr>
      </w:pPr>
      <w:r>
        <w:rPr>
          <w:rFonts w:hint="eastAsia" w:ascii="宋体" w:hAnsi="宋体" w:cs="宋体"/>
          <w:color w:val="auto"/>
          <w:highlight w:val="none"/>
        </w:rPr>
        <w:t>注：1、按招标文件附上相关人员身份证、（如有）、上岗证（如有）证等证明材料扫描件并盖公章。</w:t>
      </w:r>
    </w:p>
    <w:p>
      <w:pPr>
        <w:ind w:left="840" w:right="-13" w:hanging="840" w:hangingChars="400"/>
        <w:rPr>
          <w:rFonts w:ascii="宋体" w:hAnsi="宋体" w:cs="宋体"/>
          <w:color w:val="auto"/>
          <w:highlight w:val="none"/>
        </w:rPr>
      </w:pPr>
      <w:r>
        <w:rPr>
          <w:rFonts w:hint="eastAsia" w:ascii="宋体" w:hAnsi="宋体" w:cs="宋体"/>
          <w:color w:val="auto"/>
          <w:highlight w:val="none"/>
        </w:rPr>
        <w:t xml:space="preserve">    2、拟投入人员简历不够填写，可另编页增写。</w:t>
      </w:r>
    </w:p>
    <w:p>
      <w:pPr>
        <w:spacing w:line="360" w:lineRule="auto"/>
        <w:ind w:left="292" w:leftChars="-162" w:right="-11" w:hanging="632" w:hangingChars="301"/>
        <w:rPr>
          <w:rFonts w:hAnsi="宋体" w:cs="宋体"/>
          <w:b/>
          <w:color w:val="auto"/>
          <w:sz w:val="24"/>
          <w:highlight w:val="none"/>
        </w:rPr>
      </w:pPr>
      <w:r>
        <w:rPr>
          <w:rFonts w:hint="eastAsia" w:hAnsi="宋体" w:cs="宋体"/>
          <w:color w:val="auto"/>
          <w:highlight w:val="none"/>
        </w:rPr>
        <w:br w:type="page"/>
      </w:r>
    </w:p>
    <w:p>
      <w:pPr>
        <w:pStyle w:val="15"/>
        <w:adjustRightInd w:val="0"/>
        <w:snapToGrid w:val="0"/>
        <w:spacing w:line="360" w:lineRule="auto"/>
        <w:jc w:val="center"/>
        <w:rPr>
          <w:rFonts w:hAnsi="宋体" w:cs="宋体"/>
          <w:b/>
          <w:color w:val="auto"/>
          <w:sz w:val="24"/>
          <w:highlight w:val="none"/>
        </w:rPr>
      </w:pPr>
      <w:r>
        <w:rPr>
          <w:rFonts w:hint="eastAsia" w:hAnsi="宋体" w:cs="宋体"/>
          <w:b/>
          <w:color w:val="auto"/>
          <w:sz w:val="24"/>
          <w:highlight w:val="none"/>
        </w:rPr>
        <w:t>（4）投标人2018年1月1日至今承担的类似检测业绩</w:t>
      </w:r>
    </w:p>
    <w:p>
      <w:pPr>
        <w:pStyle w:val="15"/>
        <w:adjustRightInd w:val="0"/>
        <w:snapToGrid w:val="0"/>
        <w:spacing w:line="240" w:lineRule="exact"/>
        <w:jc w:val="center"/>
        <w:rPr>
          <w:rFonts w:hAnsi="宋体" w:cs="宋体"/>
          <w:b/>
          <w:color w:val="auto"/>
          <w:sz w:val="30"/>
          <w:highlight w:val="none"/>
        </w:rPr>
      </w:pP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80"/>
        <w:gridCol w:w="1980"/>
        <w:gridCol w:w="3240"/>
        <w:gridCol w:w="15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vAlign w:val="center"/>
          </w:tcPr>
          <w:p>
            <w:pPr>
              <w:jc w:val="center"/>
              <w:rPr>
                <w:rFonts w:ascii="宋体" w:hAnsi="宋体" w:cs="宋体"/>
                <w:b/>
                <w:color w:val="auto"/>
                <w:highlight w:val="none"/>
              </w:rPr>
            </w:pPr>
            <w:r>
              <w:rPr>
                <w:rFonts w:hint="eastAsia" w:ascii="宋体" w:hAnsi="宋体" w:cs="宋体"/>
                <w:b/>
                <w:color w:val="auto"/>
                <w:highlight w:val="none"/>
              </w:rPr>
              <w:t>序号</w:t>
            </w:r>
          </w:p>
        </w:tc>
        <w:tc>
          <w:tcPr>
            <w:tcW w:w="1980" w:type="dxa"/>
            <w:vAlign w:val="center"/>
          </w:tcPr>
          <w:p>
            <w:pPr>
              <w:jc w:val="center"/>
              <w:rPr>
                <w:rFonts w:ascii="宋体" w:hAnsi="宋体" w:cs="宋体"/>
                <w:b/>
                <w:color w:val="auto"/>
                <w:highlight w:val="none"/>
              </w:rPr>
            </w:pPr>
            <w:r>
              <w:rPr>
                <w:rFonts w:hint="eastAsia" w:ascii="宋体" w:hAnsi="宋体" w:cs="宋体"/>
                <w:b/>
                <w:color w:val="auto"/>
                <w:highlight w:val="none"/>
              </w:rPr>
              <w:t>项目名称</w:t>
            </w:r>
          </w:p>
        </w:tc>
        <w:tc>
          <w:tcPr>
            <w:tcW w:w="1980" w:type="dxa"/>
            <w:vAlign w:val="center"/>
          </w:tcPr>
          <w:p>
            <w:pPr>
              <w:ind w:left="149" w:hanging="149"/>
              <w:jc w:val="center"/>
              <w:rPr>
                <w:rFonts w:ascii="宋体" w:hAnsi="宋体" w:cs="宋体"/>
                <w:b/>
                <w:color w:val="auto"/>
                <w:highlight w:val="none"/>
              </w:rPr>
            </w:pPr>
            <w:r>
              <w:rPr>
                <w:rFonts w:hint="eastAsia" w:ascii="宋体" w:hAnsi="宋体" w:cs="宋体"/>
                <w:b/>
                <w:color w:val="auto"/>
                <w:highlight w:val="none"/>
              </w:rPr>
              <w:t>工程概况</w:t>
            </w:r>
          </w:p>
        </w:tc>
        <w:tc>
          <w:tcPr>
            <w:tcW w:w="3240" w:type="dxa"/>
            <w:vAlign w:val="center"/>
          </w:tcPr>
          <w:p>
            <w:pPr>
              <w:jc w:val="center"/>
              <w:rPr>
                <w:rFonts w:ascii="宋体" w:hAnsi="宋体" w:cs="宋体"/>
                <w:b/>
                <w:color w:val="auto"/>
                <w:highlight w:val="none"/>
              </w:rPr>
            </w:pPr>
            <w:r>
              <w:rPr>
                <w:rFonts w:hint="eastAsia" w:ascii="宋体" w:hAnsi="宋体" w:cs="宋体"/>
                <w:b/>
                <w:color w:val="auto"/>
                <w:highlight w:val="none"/>
              </w:rPr>
              <w:t>试验检测项目内容</w:t>
            </w:r>
          </w:p>
        </w:tc>
        <w:tc>
          <w:tcPr>
            <w:tcW w:w="1507" w:type="dxa"/>
            <w:vAlign w:val="center"/>
          </w:tcPr>
          <w:p>
            <w:pPr>
              <w:jc w:val="center"/>
              <w:rPr>
                <w:rFonts w:ascii="宋体" w:hAnsi="宋体" w:cs="宋体"/>
                <w:b/>
                <w:color w:val="auto"/>
                <w:highlight w:val="none"/>
              </w:rPr>
            </w:pPr>
            <w:r>
              <w:rPr>
                <w:rFonts w:hint="eastAsia" w:ascii="宋体" w:hAnsi="宋体" w:cs="宋体"/>
                <w:b/>
                <w:color w:val="auto"/>
                <w:highlight w:val="none"/>
              </w:rPr>
              <w:t>业主名称、</w:t>
            </w:r>
          </w:p>
          <w:p>
            <w:pPr>
              <w:jc w:val="center"/>
              <w:rPr>
                <w:rFonts w:ascii="宋体" w:hAnsi="宋体" w:cs="宋体"/>
                <w:b/>
                <w:color w:val="auto"/>
                <w:highlight w:val="none"/>
              </w:rPr>
            </w:pPr>
            <w:r>
              <w:rPr>
                <w:rFonts w:hint="eastAsia" w:ascii="宋体" w:hAnsi="宋体" w:cs="宋体"/>
                <w:b/>
                <w:color w:val="auto"/>
                <w:highlight w:val="none"/>
              </w:rPr>
              <w:t>地址、电话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61" w:type="dxa"/>
          </w:tcPr>
          <w:p>
            <w:pPr>
              <w:rPr>
                <w:rFonts w:ascii="宋体" w:hAnsi="宋体" w:cs="宋体"/>
                <w:color w:val="auto"/>
                <w:highlight w:val="none"/>
              </w:rPr>
            </w:pPr>
          </w:p>
        </w:tc>
        <w:tc>
          <w:tcPr>
            <w:tcW w:w="1980" w:type="dxa"/>
            <w:vAlign w:val="center"/>
          </w:tcPr>
          <w:p>
            <w:pPr>
              <w:rPr>
                <w:rFonts w:ascii="宋体" w:hAnsi="宋体" w:cs="宋体"/>
                <w:color w:val="auto"/>
                <w:highlight w:val="none"/>
              </w:rPr>
            </w:pPr>
          </w:p>
        </w:tc>
        <w:tc>
          <w:tcPr>
            <w:tcW w:w="1980" w:type="dxa"/>
            <w:vAlign w:val="center"/>
          </w:tcPr>
          <w:p>
            <w:pPr>
              <w:jc w:val="center"/>
              <w:rPr>
                <w:rFonts w:ascii="宋体" w:hAnsi="宋体" w:cs="宋体"/>
                <w:color w:val="auto"/>
                <w:highlight w:val="none"/>
              </w:rPr>
            </w:pPr>
          </w:p>
        </w:tc>
        <w:tc>
          <w:tcPr>
            <w:tcW w:w="3240" w:type="dxa"/>
            <w:vAlign w:val="center"/>
          </w:tcPr>
          <w:p>
            <w:pPr>
              <w:jc w:val="center"/>
              <w:rPr>
                <w:rFonts w:ascii="宋体" w:hAnsi="宋体" w:cs="宋体"/>
                <w:color w:val="auto"/>
                <w:highlight w:val="none"/>
              </w:rPr>
            </w:pPr>
          </w:p>
        </w:tc>
        <w:tc>
          <w:tcPr>
            <w:tcW w:w="1507" w:type="dxa"/>
            <w:vAlign w:val="center"/>
          </w:tcPr>
          <w:p>
            <w:pPr>
              <w:jc w:val="center"/>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1" w:type="dxa"/>
          </w:tcPr>
          <w:p>
            <w:pPr>
              <w:rPr>
                <w:rFonts w:ascii="宋体" w:hAnsi="宋体" w:cs="宋体"/>
                <w:color w:val="auto"/>
                <w:highlight w:val="none"/>
              </w:rPr>
            </w:pPr>
          </w:p>
        </w:tc>
        <w:tc>
          <w:tcPr>
            <w:tcW w:w="1980" w:type="dxa"/>
            <w:vAlign w:val="center"/>
          </w:tcPr>
          <w:p>
            <w:pPr>
              <w:rPr>
                <w:rFonts w:ascii="宋体" w:hAnsi="宋体" w:cs="宋体"/>
                <w:color w:val="auto"/>
                <w:highlight w:val="none"/>
              </w:rPr>
            </w:pPr>
          </w:p>
        </w:tc>
        <w:tc>
          <w:tcPr>
            <w:tcW w:w="1980" w:type="dxa"/>
            <w:vAlign w:val="center"/>
          </w:tcPr>
          <w:p>
            <w:pPr>
              <w:jc w:val="center"/>
              <w:rPr>
                <w:rFonts w:ascii="宋体" w:hAnsi="宋体" w:cs="宋体"/>
                <w:color w:val="auto"/>
                <w:highlight w:val="none"/>
              </w:rPr>
            </w:pPr>
          </w:p>
        </w:tc>
        <w:tc>
          <w:tcPr>
            <w:tcW w:w="3240" w:type="dxa"/>
            <w:vAlign w:val="center"/>
          </w:tcPr>
          <w:p>
            <w:pPr>
              <w:jc w:val="center"/>
              <w:rPr>
                <w:rFonts w:ascii="宋体" w:hAnsi="宋体" w:cs="宋体"/>
                <w:color w:val="auto"/>
                <w:highlight w:val="none"/>
              </w:rPr>
            </w:pPr>
          </w:p>
        </w:tc>
        <w:tc>
          <w:tcPr>
            <w:tcW w:w="1507" w:type="dxa"/>
            <w:vAlign w:val="center"/>
          </w:tcPr>
          <w:p>
            <w:pPr>
              <w:jc w:val="center"/>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61" w:type="dxa"/>
          </w:tcPr>
          <w:p>
            <w:pPr>
              <w:rPr>
                <w:rFonts w:ascii="宋体" w:hAnsi="宋体" w:cs="宋体"/>
                <w:color w:val="auto"/>
                <w:highlight w:val="none"/>
              </w:rPr>
            </w:pPr>
          </w:p>
        </w:tc>
        <w:tc>
          <w:tcPr>
            <w:tcW w:w="1980" w:type="dxa"/>
            <w:vAlign w:val="center"/>
          </w:tcPr>
          <w:p>
            <w:pPr>
              <w:rPr>
                <w:rFonts w:ascii="宋体" w:hAnsi="宋体" w:cs="宋体"/>
                <w:color w:val="auto"/>
                <w:highlight w:val="none"/>
              </w:rPr>
            </w:pPr>
          </w:p>
        </w:tc>
        <w:tc>
          <w:tcPr>
            <w:tcW w:w="1980" w:type="dxa"/>
            <w:vAlign w:val="center"/>
          </w:tcPr>
          <w:p>
            <w:pPr>
              <w:jc w:val="center"/>
              <w:rPr>
                <w:rFonts w:ascii="宋体" w:hAnsi="宋体" w:cs="宋体"/>
                <w:color w:val="auto"/>
                <w:highlight w:val="none"/>
              </w:rPr>
            </w:pPr>
          </w:p>
        </w:tc>
        <w:tc>
          <w:tcPr>
            <w:tcW w:w="3240" w:type="dxa"/>
            <w:vAlign w:val="center"/>
          </w:tcPr>
          <w:p>
            <w:pPr>
              <w:jc w:val="center"/>
              <w:rPr>
                <w:rFonts w:ascii="宋体" w:hAnsi="宋体" w:cs="宋体"/>
                <w:color w:val="auto"/>
                <w:highlight w:val="none"/>
              </w:rPr>
            </w:pPr>
          </w:p>
        </w:tc>
        <w:tc>
          <w:tcPr>
            <w:tcW w:w="1507" w:type="dxa"/>
            <w:vAlign w:val="center"/>
          </w:tcPr>
          <w:p>
            <w:pPr>
              <w:jc w:val="center"/>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61" w:type="dxa"/>
          </w:tcPr>
          <w:p>
            <w:pPr>
              <w:rPr>
                <w:rFonts w:ascii="宋体" w:hAnsi="宋体" w:cs="宋体"/>
                <w:color w:val="auto"/>
                <w:highlight w:val="none"/>
              </w:rPr>
            </w:pPr>
          </w:p>
        </w:tc>
        <w:tc>
          <w:tcPr>
            <w:tcW w:w="1980" w:type="dxa"/>
            <w:vAlign w:val="center"/>
          </w:tcPr>
          <w:p>
            <w:pPr>
              <w:rPr>
                <w:rFonts w:ascii="宋体" w:hAnsi="宋体" w:cs="宋体"/>
                <w:color w:val="auto"/>
                <w:highlight w:val="none"/>
              </w:rPr>
            </w:pPr>
          </w:p>
        </w:tc>
        <w:tc>
          <w:tcPr>
            <w:tcW w:w="1980" w:type="dxa"/>
            <w:vAlign w:val="center"/>
          </w:tcPr>
          <w:p>
            <w:pPr>
              <w:jc w:val="center"/>
              <w:rPr>
                <w:rFonts w:ascii="宋体" w:hAnsi="宋体" w:cs="宋体"/>
                <w:color w:val="auto"/>
                <w:highlight w:val="none"/>
              </w:rPr>
            </w:pPr>
          </w:p>
        </w:tc>
        <w:tc>
          <w:tcPr>
            <w:tcW w:w="3240" w:type="dxa"/>
            <w:vAlign w:val="center"/>
          </w:tcPr>
          <w:p>
            <w:pPr>
              <w:jc w:val="center"/>
              <w:rPr>
                <w:rFonts w:ascii="宋体" w:hAnsi="宋体" w:cs="宋体"/>
                <w:color w:val="auto"/>
                <w:highlight w:val="none"/>
              </w:rPr>
            </w:pPr>
          </w:p>
        </w:tc>
        <w:tc>
          <w:tcPr>
            <w:tcW w:w="1507" w:type="dxa"/>
            <w:vAlign w:val="center"/>
          </w:tcPr>
          <w:p>
            <w:pPr>
              <w:jc w:val="center"/>
              <w:rPr>
                <w:rFonts w:ascii="宋体" w:hAnsi="宋体" w:cs="宋体"/>
                <w:color w:val="auto"/>
                <w:highlight w:val="none"/>
              </w:rPr>
            </w:pPr>
          </w:p>
        </w:tc>
      </w:tr>
    </w:tbl>
    <w:p>
      <w:pPr>
        <w:spacing w:line="360" w:lineRule="auto"/>
        <w:ind w:left="-378" w:leftChars="-180"/>
        <w:rPr>
          <w:rFonts w:ascii="宋体" w:hAnsi="宋体" w:cs="宋体"/>
          <w:color w:val="auto"/>
          <w:highlight w:val="none"/>
        </w:rPr>
      </w:pPr>
      <w:r>
        <w:rPr>
          <w:rFonts w:hint="eastAsia" w:ascii="宋体" w:hAnsi="宋体" w:cs="宋体"/>
          <w:color w:val="auto"/>
          <w:highlight w:val="none"/>
        </w:rPr>
        <w:t>注： 按评标办法前附表要求有效证明材料。</w:t>
      </w:r>
    </w:p>
    <w:p>
      <w:pPr>
        <w:rPr>
          <w:rFonts w:ascii="宋体" w:hAnsi="宋体" w:cs="宋体"/>
          <w:color w:val="auto"/>
          <w:highlight w:val="none"/>
        </w:rPr>
      </w:pPr>
    </w:p>
    <w:p>
      <w:pPr>
        <w:pStyle w:val="4"/>
        <w:jc w:val="center"/>
        <w:rPr>
          <w:rFonts w:ascii="宋体" w:hAnsi="宋体" w:eastAsia="宋体" w:cs="宋体"/>
          <w:color w:val="auto"/>
          <w:highlight w:val="none"/>
        </w:rPr>
      </w:pPr>
      <w:bookmarkStart w:id="372" w:name="_Toc110522937"/>
      <w:bookmarkStart w:id="373" w:name="_Toc18631"/>
      <w:bookmarkStart w:id="374" w:name="_Toc1133"/>
      <w:bookmarkStart w:id="375" w:name="_Toc965"/>
      <w:bookmarkStart w:id="376" w:name="_Toc110594394"/>
      <w:bookmarkStart w:id="377" w:name="_Toc24104614"/>
      <w:bookmarkStart w:id="378" w:name="_Toc1617"/>
      <w:bookmarkStart w:id="379" w:name="_Toc7128"/>
      <w:r>
        <w:rPr>
          <w:rFonts w:hint="eastAsia" w:ascii="宋体" w:hAnsi="宋体" w:eastAsia="宋体" w:cs="宋体"/>
          <w:bCs w:val="0"/>
          <w:color w:val="auto"/>
          <w:sz w:val="24"/>
          <w:szCs w:val="20"/>
          <w:highlight w:val="none"/>
        </w:rPr>
        <w:t>（5） 其他证明企业资信实力、获奖证明资料等扫描件。</w:t>
      </w:r>
      <w:bookmarkEnd w:id="372"/>
      <w:bookmarkEnd w:id="373"/>
      <w:bookmarkEnd w:id="374"/>
      <w:bookmarkEnd w:id="375"/>
      <w:bookmarkEnd w:id="376"/>
    </w:p>
    <w:p>
      <w:pPr>
        <w:pStyle w:val="4"/>
        <w:jc w:val="center"/>
        <w:rPr>
          <w:rFonts w:ascii="宋体" w:hAnsi="宋体" w:eastAsia="宋体" w:cs="宋体"/>
          <w:color w:val="auto"/>
          <w:highlight w:val="none"/>
        </w:rPr>
      </w:pPr>
    </w:p>
    <w:p>
      <w:pPr>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29"/>
        <w:rPr>
          <w:color w:val="auto"/>
          <w:highlight w:val="none"/>
        </w:rPr>
      </w:pPr>
    </w:p>
    <w:p>
      <w:pPr>
        <w:pStyle w:val="4"/>
        <w:jc w:val="center"/>
        <w:rPr>
          <w:rFonts w:ascii="宋体" w:hAnsi="宋体" w:eastAsia="宋体" w:cs="宋体"/>
          <w:color w:val="auto"/>
          <w:highlight w:val="none"/>
        </w:rPr>
      </w:pPr>
      <w:bookmarkStart w:id="380" w:name="_Toc2193"/>
      <w:r>
        <w:rPr>
          <w:rFonts w:hint="eastAsia" w:ascii="宋体" w:hAnsi="宋体" w:eastAsia="宋体" w:cs="宋体"/>
          <w:bCs w:val="0"/>
          <w:color w:val="auto"/>
          <w:highlight w:val="none"/>
        </w:rPr>
        <w:t>八、其他资料</w:t>
      </w:r>
      <w:bookmarkEnd w:id="377"/>
      <w:bookmarkEnd w:id="378"/>
      <w:bookmarkEnd w:id="379"/>
      <w:bookmarkEnd w:id="380"/>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（如有）</w:t>
      </w:r>
    </w:p>
    <w:p>
      <w:pPr>
        <w:jc w:val="left"/>
        <w:rPr>
          <w:rFonts w:ascii="宋体" w:hAnsi="宋体" w:cs="宋体"/>
          <w:b/>
          <w:color w:val="auto"/>
          <w:sz w:val="28"/>
          <w:szCs w:val="28"/>
          <w:highlight w:val="none"/>
        </w:rPr>
      </w:pPr>
    </w:p>
    <w:p>
      <w:pPr>
        <w:spacing w:line="360" w:lineRule="auto"/>
        <w:jc w:val="center"/>
        <w:rPr>
          <w:rFonts w:ascii="宋体" w:hAnsi="宋体" w:cs="宋体"/>
          <w:b/>
          <w:color w:val="auto"/>
          <w:sz w:val="28"/>
          <w:szCs w:val="28"/>
          <w:highlight w:val="none"/>
        </w:rPr>
      </w:pPr>
    </w:p>
    <w:p>
      <w:pPr>
        <w:rPr>
          <w:color w:val="auto"/>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24</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3CEE7"/>
    <w:multiLevelType w:val="singleLevel"/>
    <w:tmpl w:val="AFB3CEE7"/>
    <w:lvl w:ilvl="0" w:tentative="0">
      <w:start w:val="1"/>
      <w:numFmt w:val="decimal"/>
      <w:suff w:val="nothing"/>
      <w:lvlText w:val="（%1）"/>
      <w:lvlJc w:val="left"/>
    </w:lvl>
  </w:abstractNum>
  <w:abstractNum w:abstractNumId="1">
    <w:nsid w:val="F878BA4C"/>
    <w:multiLevelType w:val="singleLevel"/>
    <w:tmpl w:val="F878BA4C"/>
    <w:lvl w:ilvl="0" w:tentative="0">
      <w:start w:val="1"/>
      <w:numFmt w:val="decimal"/>
      <w:suff w:val="nothing"/>
      <w:lvlText w:val="%1、"/>
      <w:lvlJc w:val="left"/>
      <w:rPr>
        <w:u w:val="single"/>
      </w:rPr>
    </w:lvl>
  </w:abstractNum>
  <w:abstractNum w:abstractNumId="2">
    <w:nsid w:val="00000010"/>
    <w:multiLevelType w:val="multilevel"/>
    <w:tmpl w:val="00000010"/>
    <w:lvl w:ilvl="0" w:tentative="0">
      <w:start w:val="1"/>
      <w:numFmt w:val="decimal"/>
      <w:lvlText w:val="%1、"/>
      <w:lvlJc w:val="left"/>
      <w:pPr>
        <w:tabs>
          <w:tab w:val="left" w:pos="1185"/>
        </w:tabs>
        <w:ind w:left="1185" w:hanging="720"/>
      </w:pPr>
      <w:rPr>
        <w:rFonts w:hint="eastAsia"/>
      </w:rPr>
    </w:lvl>
    <w:lvl w:ilvl="1" w:tentative="0">
      <w:start w:val="1"/>
      <w:numFmt w:val="lowerLetter"/>
      <w:lvlText w:val="%2)"/>
      <w:lvlJc w:val="left"/>
      <w:pPr>
        <w:tabs>
          <w:tab w:val="left" w:pos="1305"/>
        </w:tabs>
        <w:ind w:left="1305" w:hanging="420"/>
      </w:pPr>
    </w:lvl>
    <w:lvl w:ilvl="2" w:tentative="0">
      <w:start w:val="1"/>
      <w:numFmt w:val="lowerRoman"/>
      <w:lvlText w:val="%3."/>
      <w:lvlJc w:val="right"/>
      <w:pPr>
        <w:tabs>
          <w:tab w:val="left" w:pos="1725"/>
        </w:tabs>
        <w:ind w:left="1725" w:hanging="420"/>
      </w:pPr>
    </w:lvl>
    <w:lvl w:ilvl="3" w:tentative="0">
      <w:start w:val="1"/>
      <w:numFmt w:val="decimal"/>
      <w:lvlText w:val="%4."/>
      <w:lvlJc w:val="left"/>
      <w:pPr>
        <w:tabs>
          <w:tab w:val="left" w:pos="2145"/>
        </w:tabs>
        <w:ind w:left="2145" w:hanging="420"/>
      </w:pPr>
    </w:lvl>
    <w:lvl w:ilvl="4" w:tentative="0">
      <w:start w:val="1"/>
      <w:numFmt w:val="lowerLetter"/>
      <w:lvlText w:val="%5)"/>
      <w:lvlJc w:val="left"/>
      <w:pPr>
        <w:tabs>
          <w:tab w:val="left" w:pos="2565"/>
        </w:tabs>
        <w:ind w:left="2565" w:hanging="420"/>
      </w:pPr>
    </w:lvl>
    <w:lvl w:ilvl="5" w:tentative="0">
      <w:start w:val="1"/>
      <w:numFmt w:val="lowerRoman"/>
      <w:lvlText w:val="%6."/>
      <w:lvlJc w:val="right"/>
      <w:pPr>
        <w:tabs>
          <w:tab w:val="left" w:pos="2985"/>
        </w:tabs>
        <w:ind w:left="2985" w:hanging="420"/>
      </w:pPr>
    </w:lvl>
    <w:lvl w:ilvl="6" w:tentative="0">
      <w:start w:val="1"/>
      <w:numFmt w:val="decimal"/>
      <w:lvlText w:val="%7."/>
      <w:lvlJc w:val="left"/>
      <w:pPr>
        <w:tabs>
          <w:tab w:val="left" w:pos="3405"/>
        </w:tabs>
        <w:ind w:left="3405" w:hanging="420"/>
      </w:pPr>
    </w:lvl>
    <w:lvl w:ilvl="7" w:tentative="0">
      <w:start w:val="1"/>
      <w:numFmt w:val="lowerLetter"/>
      <w:lvlText w:val="%8)"/>
      <w:lvlJc w:val="left"/>
      <w:pPr>
        <w:tabs>
          <w:tab w:val="left" w:pos="3825"/>
        </w:tabs>
        <w:ind w:left="3825" w:hanging="420"/>
      </w:pPr>
    </w:lvl>
    <w:lvl w:ilvl="8" w:tentative="0">
      <w:start w:val="1"/>
      <w:numFmt w:val="lowerRoman"/>
      <w:lvlText w:val="%9."/>
      <w:lvlJc w:val="right"/>
      <w:pPr>
        <w:tabs>
          <w:tab w:val="left" w:pos="4245"/>
        </w:tabs>
        <w:ind w:left="4245" w:hanging="420"/>
      </w:pPr>
    </w:lvl>
  </w:abstractNum>
  <w:abstractNum w:abstractNumId="3">
    <w:nsid w:val="2FAB3DD1"/>
    <w:multiLevelType w:val="singleLevel"/>
    <w:tmpl w:val="2FAB3DD1"/>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GI4Y2FmYmYwNDIwNDQ3YzQyMTUyYjVmZGQ2MTkifQ=="/>
  </w:docVars>
  <w:rsids>
    <w:rsidRoot w:val="00E03282"/>
    <w:rsid w:val="00001D61"/>
    <w:rsid w:val="00002BA1"/>
    <w:rsid w:val="000037D9"/>
    <w:rsid w:val="00007477"/>
    <w:rsid w:val="00014329"/>
    <w:rsid w:val="00014646"/>
    <w:rsid w:val="000151DA"/>
    <w:rsid w:val="00016B16"/>
    <w:rsid w:val="00017FF8"/>
    <w:rsid w:val="000204D4"/>
    <w:rsid w:val="0002291F"/>
    <w:rsid w:val="00023448"/>
    <w:rsid w:val="000246F5"/>
    <w:rsid w:val="00025A06"/>
    <w:rsid w:val="00026650"/>
    <w:rsid w:val="00031321"/>
    <w:rsid w:val="00031AA6"/>
    <w:rsid w:val="0003223F"/>
    <w:rsid w:val="00032524"/>
    <w:rsid w:val="0003711C"/>
    <w:rsid w:val="000477ED"/>
    <w:rsid w:val="0005014E"/>
    <w:rsid w:val="0005794A"/>
    <w:rsid w:val="00066724"/>
    <w:rsid w:val="00073233"/>
    <w:rsid w:val="000740BC"/>
    <w:rsid w:val="00081477"/>
    <w:rsid w:val="00083D79"/>
    <w:rsid w:val="000845E6"/>
    <w:rsid w:val="000A176E"/>
    <w:rsid w:val="000A20F3"/>
    <w:rsid w:val="000A289A"/>
    <w:rsid w:val="000A34BD"/>
    <w:rsid w:val="000A5397"/>
    <w:rsid w:val="000B16EB"/>
    <w:rsid w:val="000B7EC2"/>
    <w:rsid w:val="000C1627"/>
    <w:rsid w:val="000C21F9"/>
    <w:rsid w:val="000D73C1"/>
    <w:rsid w:val="000E00AF"/>
    <w:rsid w:val="000E7F06"/>
    <w:rsid w:val="000F3FA0"/>
    <w:rsid w:val="000F47FC"/>
    <w:rsid w:val="000F48FB"/>
    <w:rsid w:val="000F5919"/>
    <w:rsid w:val="000F7DDE"/>
    <w:rsid w:val="00100626"/>
    <w:rsid w:val="0010117B"/>
    <w:rsid w:val="001020BB"/>
    <w:rsid w:val="00103863"/>
    <w:rsid w:val="00104661"/>
    <w:rsid w:val="001059F7"/>
    <w:rsid w:val="001102DD"/>
    <w:rsid w:val="0011126D"/>
    <w:rsid w:val="00113352"/>
    <w:rsid w:val="001169DC"/>
    <w:rsid w:val="00122E30"/>
    <w:rsid w:val="001238FC"/>
    <w:rsid w:val="00130897"/>
    <w:rsid w:val="00133834"/>
    <w:rsid w:val="001350AC"/>
    <w:rsid w:val="00141720"/>
    <w:rsid w:val="00141FE7"/>
    <w:rsid w:val="00144AA8"/>
    <w:rsid w:val="00145BFF"/>
    <w:rsid w:val="00151715"/>
    <w:rsid w:val="0015173D"/>
    <w:rsid w:val="001624D4"/>
    <w:rsid w:val="00165009"/>
    <w:rsid w:val="00165A93"/>
    <w:rsid w:val="0017211F"/>
    <w:rsid w:val="001747A7"/>
    <w:rsid w:val="00176FE3"/>
    <w:rsid w:val="00180D9C"/>
    <w:rsid w:val="00181945"/>
    <w:rsid w:val="00182920"/>
    <w:rsid w:val="0018542A"/>
    <w:rsid w:val="00186300"/>
    <w:rsid w:val="0019256A"/>
    <w:rsid w:val="001936F7"/>
    <w:rsid w:val="00193C64"/>
    <w:rsid w:val="00197F49"/>
    <w:rsid w:val="001A558C"/>
    <w:rsid w:val="001B423E"/>
    <w:rsid w:val="001B590E"/>
    <w:rsid w:val="001D2F93"/>
    <w:rsid w:val="001D62B5"/>
    <w:rsid w:val="001F510F"/>
    <w:rsid w:val="001F624A"/>
    <w:rsid w:val="001F76E3"/>
    <w:rsid w:val="00207D2F"/>
    <w:rsid w:val="00211607"/>
    <w:rsid w:val="00223ECA"/>
    <w:rsid w:val="002275E6"/>
    <w:rsid w:val="002301FD"/>
    <w:rsid w:val="00232836"/>
    <w:rsid w:val="00235319"/>
    <w:rsid w:val="0024030C"/>
    <w:rsid w:val="00247387"/>
    <w:rsid w:val="00253633"/>
    <w:rsid w:val="002546E2"/>
    <w:rsid w:val="002546F6"/>
    <w:rsid w:val="0026336E"/>
    <w:rsid w:val="00266201"/>
    <w:rsid w:val="00274A98"/>
    <w:rsid w:val="00275F30"/>
    <w:rsid w:val="00282C14"/>
    <w:rsid w:val="002876AE"/>
    <w:rsid w:val="002A18D9"/>
    <w:rsid w:val="002A285B"/>
    <w:rsid w:val="002A6481"/>
    <w:rsid w:val="002A6610"/>
    <w:rsid w:val="002B4074"/>
    <w:rsid w:val="002C000A"/>
    <w:rsid w:val="002C15BE"/>
    <w:rsid w:val="002D1128"/>
    <w:rsid w:val="002D261F"/>
    <w:rsid w:val="002D2B10"/>
    <w:rsid w:val="002D3F91"/>
    <w:rsid w:val="002D52E7"/>
    <w:rsid w:val="002F05F2"/>
    <w:rsid w:val="002F10FB"/>
    <w:rsid w:val="002F4914"/>
    <w:rsid w:val="002F4CB3"/>
    <w:rsid w:val="003005A0"/>
    <w:rsid w:val="0030160B"/>
    <w:rsid w:val="003048DA"/>
    <w:rsid w:val="00307663"/>
    <w:rsid w:val="0031188D"/>
    <w:rsid w:val="00322199"/>
    <w:rsid w:val="00327A2E"/>
    <w:rsid w:val="00330BA0"/>
    <w:rsid w:val="00332750"/>
    <w:rsid w:val="0034167C"/>
    <w:rsid w:val="0034348D"/>
    <w:rsid w:val="0034399D"/>
    <w:rsid w:val="00352A3C"/>
    <w:rsid w:val="00356CF0"/>
    <w:rsid w:val="00361428"/>
    <w:rsid w:val="003632ED"/>
    <w:rsid w:val="00364357"/>
    <w:rsid w:val="003648D8"/>
    <w:rsid w:val="00366BC7"/>
    <w:rsid w:val="0037069F"/>
    <w:rsid w:val="00370D31"/>
    <w:rsid w:val="00374149"/>
    <w:rsid w:val="003759DF"/>
    <w:rsid w:val="0038737A"/>
    <w:rsid w:val="003904EF"/>
    <w:rsid w:val="00390847"/>
    <w:rsid w:val="00390D39"/>
    <w:rsid w:val="00395198"/>
    <w:rsid w:val="003B3683"/>
    <w:rsid w:val="003B3937"/>
    <w:rsid w:val="003C7DEF"/>
    <w:rsid w:val="003D0D40"/>
    <w:rsid w:val="003D3C4E"/>
    <w:rsid w:val="003D3EFB"/>
    <w:rsid w:val="003E0D97"/>
    <w:rsid w:val="003E1D0B"/>
    <w:rsid w:val="003E48B9"/>
    <w:rsid w:val="003E518D"/>
    <w:rsid w:val="003E5193"/>
    <w:rsid w:val="003F3832"/>
    <w:rsid w:val="003F664F"/>
    <w:rsid w:val="003F6854"/>
    <w:rsid w:val="004014BD"/>
    <w:rsid w:val="004063F6"/>
    <w:rsid w:val="00407066"/>
    <w:rsid w:val="00412058"/>
    <w:rsid w:val="00417527"/>
    <w:rsid w:val="00430EE6"/>
    <w:rsid w:val="00432AAA"/>
    <w:rsid w:val="00432B23"/>
    <w:rsid w:val="004334BC"/>
    <w:rsid w:val="00435151"/>
    <w:rsid w:val="004356B3"/>
    <w:rsid w:val="00437D85"/>
    <w:rsid w:val="00443240"/>
    <w:rsid w:val="004437FF"/>
    <w:rsid w:val="00443F5C"/>
    <w:rsid w:val="00446CB0"/>
    <w:rsid w:val="004477F2"/>
    <w:rsid w:val="00465A48"/>
    <w:rsid w:val="00466FC4"/>
    <w:rsid w:val="00467E15"/>
    <w:rsid w:val="00481930"/>
    <w:rsid w:val="0048314D"/>
    <w:rsid w:val="00490D9C"/>
    <w:rsid w:val="004930B5"/>
    <w:rsid w:val="00493204"/>
    <w:rsid w:val="004935D6"/>
    <w:rsid w:val="00493FC2"/>
    <w:rsid w:val="00495321"/>
    <w:rsid w:val="00497E07"/>
    <w:rsid w:val="004A23DD"/>
    <w:rsid w:val="004A2676"/>
    <w:rsid w:val="004A5D10"/>
    <w:rsid w:val="004B0738"/>
    <w:rsid w:val="004B518E"/>
    <w:rsid w:val="004B5E84"/>
    <w:rsid w:val="004B6F17"/>
    <w:rsid w:val="004C3CEA"/>
    <w:rsid w:val="004D0247"/>
    <w:rsid w:val="004D12A7"/>
    <w:rsid w:val="004D3A08"/>
    <w:rsid w:val="004D7F52"/>
    <w:rsid w:val="004E3686"/>
    <w:rsid w:val="004E4709"/>
    <w:rsid w:val="004F702E"/>
    <w:rsid w:val="004F7B97"/>
    <w:rsid w:val="005008E4"/>
    <w:rsid w:val="00504617"/>
    <w:rsid w:val="00517E2C"/>
    <w:rsid w:val="0052084A"/>
    <w:rsid w:val="00520B28"/>
    <w:rsid w:val="005249B2"/>
    <w:rsid w:val="00525BA3"/>
    <w:rsid w:val="00525EBD"/>
    <w:rsid w:val="00531967"/>
    <w:rsid w:val="00535A15"/>
    <w:rsid w:val="00540117"/>
    <w:rsid w:val="00542539"/>
    <w:rsid w:val="005436D1"/>
    <w:rsid w:val="00551F19"/>
    <w:rsid w:val="00554C69"/>
    <w:rsid w:val="00557D71"/>
    <w:rsid w:val="00562F87"/>
    <w:rsid w:val="005644C6"/>
    <w:rsid w:val="00564D7C"/>
    <w:rsid w:val="00565F9D"/>
    <w:rsid w:val="00574C92"/>
    <w:rsid w:val="00583073"/>
    <w:rsid w:val="005836A1"/>
    <w:rsid w:val="00585396"/>
    <w:rsid w:val="005861CD"/>
    <w:rsid w:val="00587881"/>
    <w:rsid w:val="005878AD"/>
    <w:rsid w:val="00591CA5"/>
    <w:rsid w:val="00594901"/>
    <w:rsid w:val="00594D31"/>
    <w:rsid w:val="00595661"/>
    <w:rsid w:val="00595CF0"/>
    <w:rsid w:val="00596E4F"/>
    <w:rsid w:val="00597736"/>
    <w:rsid w:val="00597900"/>
    <w:rsid w:val="005B29B3"/>
    <w:rsid w:val="005B4663"/>
    <w:rsid w:val="005B5D01"/>
    <w:rsid w:val="005B7A95"/>
    <w:rsid w:val="005C61CE"/>
    <w:rsid w:val="005D15B4"/>
    <w:rsid w:val="005D27D3"/>
    <w:rsid w:val="005D7964"/>
    <w:rsid w:val="005D7C5D"/>
    <w:rsid w:val="005E16F0"/>
    <w:rsid w:val="005E25A2"/>
    <w:rsid w:val="005E2BE2"/>
    <w:rsid w:val="005E4F64"/>
    <w:rsid w:val="005F3510"/>
    <w:rsid w:val="005F6692"/>
    <w:rsid w:val="00602469"/>
    <w:rsid w:val="0060264C"/>
    <w:rsid w:val="00605467"/>
    <w:rsid w:val="00606156"/>
    <w:rsid w:val="00610EF4"/>
    <w:rsid w:val="006127D6"/>
    <w:rsid w:val="006137C1"/>
    <w:rsid w:val="006163A4"/>
    <w:rsid w:val="00622D51"/>
    <w:rsid w:val="00622F26"/>
    <w:rsid w:val="0062481C"/>
    <w:rsid w:val="00627192"/>
    <w:rsid w:val="006271C5"/>
    <w:rsid w:val="00627BD6"/>
    <w:rsid w:val="0063156A"/>
    <w:rsid w:val="00632D3E"/>
    <w:rsid w:val="00636B42"/>
    <w:rsid w:val="00643706"/>
    <w:rsid w:val="00644DB3"/>
    <w:rsid w:val="0065283B"/>
    <w:rsid w:val="006543E5"/>
    <w:rsid w:val="00654DDE"/>
    <w:rsid w:val="0065514D"/>
    <w:rsid w:val="00655A78"/>
    <w:rsid w:val="00660B7A"/>
    <w:rsid w:val="006655FE"/>
    <w:rsid w:val="0066611C"/>
    <w:rsid w:val="00671DBB"/>
    <w:rsid w:val="00673881"/>
    <w:rsid w:val="00674649"/>
    <w:rsid w:val="00675638"/>
    <w:rsid w:val="006763E5"/>
    <w:rsid w:val="0067732C"/>
    <w:rsid w:val="006854F1"/>
    <w:rsid w:val="00694922"/>
    <w:rsid w:val="00696AD4"/>
    <w:rsid w:val="006A444E"/>
    <w:rsid w:val="006A49AF"/>
    <w:rsid w:val="006A4C4A"/>
    <w:rsid w:val="006B21EA"/>
    <w:rsid w:val="006B372C"/>
    <w:rsid w:val="006C0C6B"/>
    <w:rsid w:val="006C218E"/>
    <w:rsid w:val="006C795D"/>
    <w:rsid w:val="006D0779"/>
    <w:rsid w:val="006D32A0"/>
    <w:rsid w:val="006D350F"/>
    <w:rsid w:val="006D6654"/>
    <w:rsid w:val="006D74BA"/>
    <w:rsid w:val="006D7B7A"/>
    <w:rsid w:val="006E302C"/>
    <w:rsid w:val="006E36D3"/>
    <w:rsid w:val="006E3DFF"/>
    <w:rsid w:val="006E43DA"/>
    <w:rsid w:val="006E52DA"/>
    <w:rsid w:val="006E5BAB"/>
    <w:rsid w:val="006F2000"/>
    <w:rsid w:val="006F6DB7"/>
    <w:rsid w:val="007000E1"/>
    <w:rsid w:val="00700E6B"/>
    <w:rsid w:val="00701520"/>
    <w:rsid w:val="007017C5"/>
    <w:rsid w:val="00711A1F"/>
    <w:rsid w:val="00712A34"/>
    <w:rsid w:val="00722969"/>
    <w:rsid w:val="0072435E"/>
    <w:rsid w:val="00726A04"/>
    <w:rsid w:val="00732CF7"/>
    <w:rsid w:val="00733FC2"/>
    <w:rsid w:val="00750B3E"/>
    <w:rsid w:val="00753E67"/>
    <w:rsid w:val="0076125E"/>
    <w:rsid w:val="00761E5D"/>
    <w:rsid w:val="007643BF"/>
    <w:rsid w:val="007701BF"/>
    <w:rsid w:val="00790501"/>
    <w:rsid w:val="007919CC"/>
    <w:rsid w:val="00793C46"/>
    <w:rsid w:val="007A1B08"/>
    <w:rsid w:val="007A276D"/>
    <w:rsid w:val="007A2CCA"/>
    <w:rsid w:val="007A4696"/>
    <w:rsid w:val="007A5C96"/>
    <w:rsid w:val="007A766A"/>
    <w:rsid w:val="007B0296"/>
    <w:rsid w:val="007B18B7"/>
    <w:rsid w:val="007B2CCF"/>
    <w:rsid w:val="007C3DA5"/>
    <w:rsid w:val="007C7910"/>
    <w:rsid w:val="007D0059"/>
    <w:rsid w:val="007D071E"/>
    <w:rsid w:val="007D07C0"/>
    <w:rsid w:val="007D09BC"/>
    <w:rsid w:val="007D37AD"/>
    <w:rsid w:val="007E0649"/>
    <w:rsid w:val="007E072E"/>
    <w:rsid w:val="007E6906"/>
    <w:rsid w:val="007E7AC2"/>
    <w:rsid w:val="007F3640"/>
    <w:rsid w:val="007F5BDD"/>
    <w:rsid w:val="00803EA2"/>
    <w:rsid w:val="008044D7"/>
    <w:rsid w:val="00804802"/>
    <w:rsid w:val="00804A4F"/>
    <w:rsid w:val="00806CD9"/>
    <w:rsid w:val="00811F3C"/>
    <w:rsid w:val="00812E53"/>
    <w:rsid w:val="00822D9E"/>
    <w:rsid w:val="00823259"/>
    <w:rsid w:val="0082539D"/>
    <w:rsid w:val="0082544F"/>
    <w:rsid w:val="00827B66"/>
    <w:rsid w:val="00833540"/>
    <w:rsid w:val="008346C7"/>
    <w:rsid w:val="00837D9E"/>
    <w:rsid w:val="00840A09"/>
    <w:rsid w:val="008412D1"/>
    <w:rsid w:val="008430BA"/>
    <w:rsid w:val="00843BF6"/>
    <w:rsid w:val="00847A16"/>
    <w:rsid w:val="00847E07"/>
    <w:rsid w:val="00850B18"/>
    <w:rsid w:val="00852572"/>
    <w:rsid w:val="00853774"/>
    <w:rsid w:val="008546FC"/>
    <w:rsid w:val="0085661F"/>
    <w:rsid w:val="0085676A"/>
    <w:rsid w:val="00857DAE"/>
    <w:rsid w:val="00860A09"/>
    <w:rsid w:val="008622EA"/>
    <w:rsid w:val="00862A3B"/>
    <w:rsid w:val="00863EA1"/>
    <w:rsid w:val="00865C91"/>
    <w:rsid w:val="0088409B"/>
    <w:rsid w:val="008845DC"/>
    <w:rsid w:val="00884DD9"/>
    <w:rsid w:val="0088585B"/>
    <w:rsid w:val="008867D6"/>
    <w:rsid w:val="00886BC0"/>
    <w:rsid w:val="00891697"/>
    <w:rsid w:val="0089703E"/>
    <w:rsid w:val="008A455A"/>
    <w:rsid w:val="008B09A3"/>
    <w:rsid w:val="008B1567"/>
    <w:rsid w:val="008B3A3F"/>
    <w:rsid w:val="008B430D"/>
    <w:rsid w:val="008C043D"/>
    <w:rsid w:val="008C1134"/>
    <w:rsid w:val="008C1761"/>
    <w:rsid w:val="008C17C5"/>
    <w:rsid w:val="008C4AB3"/>
    <w:rsid w:val="008D1A7E"/>
    <w:rsid w:val="008D26F9"/>
    <w:rsid w:val="008D64C3"/>
    <w:rsid w:val="008D675B"/>
    <w:rsid w:val="008E1E3C"/>
    <w:rsid w:val="008F20B9"/>
    <w:rsid w:val="00902615"/>
    <w:rsid w:val="009042A4"/>
    <w:rsid w:val="0091191F"/>
    <w:rsid w:val="00912A34"/>
    <w:rsid w:val="00913B58"/>
    <w:rsid w:val="00914956"/>
    <w:rsid w:val="00914D86"/>
    <w:rsid w:val="00925BC6"/>
    <w:rsid w:val="009307D7"/>
    <w:rsid w:val="0093186C"/>
    <w:rsid w:val="00942C19"/>
    <w:rsid w:val="00943019"/>
    <w:rsid w:val="00946CCE"/>
    <w:rsid w:val="00947920"/>
    <w:rsid w:val="00957918"/>
    <w:rsid w:val="009617B4"/>
    <w:rsid w:val="0096427F"/>
    <w:rsid w:val="009648CA"/>
    <w:rsid w:val="0096598F"/>
    <w:rsid w:val="0096738F"/>
    <w:rsid w:val="00967C31"/>
    <w:rsid w:val="00967FC0"/>
    <w:rsid w:val="00972094"/>
    <w:rsid w:val="00975664"/>
    <w:rsid w:val="009809CD"/>
    <w:rsid w:val="009809FB"/>
    <w:rsid w:val="00980DF1"/>
    <w:rsid w:val="0098538A"/>
    <w:rsid w:val="00985C33"/>
    <w:rsid w:val="00985E36"/>
    <w:rsid w:val="00986087"/>
    <w:rsid w:val="00995CBE"/>
    <w:rsid w:val="00996975"/>
    <w:rsid w:val="00997F04"/>
    <w:rsid w:val="009A263C"/>
    <w:rsid w:val="009A36E4"/>
    <w:rsid w:val="009A4000"/>
    <w:rsid w:val="009B15BF"/>
    <w:rsid w:val="009B5084"/>
    <w:rsid w:val="009B5D3B"/>
    <w:rsid w:val="009C7575"/>
    <w:rsid w:val="009D04C0"/>
    <w:rsid w:val="009D6866"/>
    <w:rsid w:val="009E10BB"/>
    <w:rsid w:val="009E2E1E"/>
    <w:rsid w:val="009E51CA"/>
    <w:rsid w:val="009F0B8B"/>
    <w:rsid w:val="009F1C17"/>
    <w:rsid w:val="009F2F58"/>
    <w:rsid w:val="009F469D"/>
    <w:rsid w:val="009F4E4E"/>
    <w:rsid w:val="009F5FF6"/>
    <w:rsid w:val="009F62EB"/>
    <w:rsid w:val="00A01E0B"/>
    <w:rsid w:val="00A067D4"/>
    <w:rsid w:val="00A072D6"/>
    <w:rsid w:val="00A116EC"/>
    <w:rsid w:val="00A13DF1"/>
    <w:rsid w:val="00A16F4A"/>
    <w:rsid w:val="00A20D8C"/>
    <w:rsid w:val="00A25E2F"/>
    <w:rsid w:val="00A31FB1"/>
    <w:rsid w:val="00A33A3E"/>
    <w:rsid w:val="00A36486"/>
    <w:rsid w:val="00A44040"/>
    <w:rsid w:val="00A44E85"/>
    <w:rsid w:val="00A4557C"/>
    <w:rsid w:val="00A519F1"/>
    <w:rsid w:val="00A51B80"/>
    <w:rsid w:val="00A534DB"/>
    <w:rsid w:val="00A627AC"/>
    <w:rsid w:val="00A62A7B"/>
    <w:rsid w:val="00A64EED"/>
    <w:rsid w:val="00A66436"/>
    <w:rsid w:val="00A6644F"/>
    <w:rsid w:val="00A67371"/>
    <w:rsid w:val="00A67A02"/>
    <w:rsid w:val="00A7099D"/>
    <w:rsid w:val="00A72661"/>
    <w:rsid w:val="00A773C0"/>
    <w:rsid w:val="00A828B7"/>
    <w:rsid w:val="00A82922"/>
    <w:rsid w:val="00A844BE"/>
    <w:rsid w:val="00A87B8B"/>
    <w:rsid w:val="00A90116"/>
    <w:rsid w:val="00A91EB0"/>
    <w:rsid w:val="00A93B13"/>
    <w:rsid w:val="00A94BED"/>
    <w:rsid w:val="00A94C09"/>
    <w:rsid w:val="00A95AD6"/>
    <w:rsid w:val="00AA3733"/>
    <w:rsid w:val="00AA3994"/>
    <w:rsid w:val="00AA5D53"/>
    <w:rsid w:val="00AB3D16"/>
    <w:rsid w:val="00AB601B"/>
    <w:rsid w:val="00AC1D5C"/>
    <w:rsid w:val="00AC40A1"/>
    <w:rsid w:val="00AD29B4"/>
    <w:rsid w:val="00AD30CF"/>
    <w:rsid w:val="00AD6BA7"/>
    <w:rsid w:val="00AE02E8"/>
    <w:rsid w:val="00AE1E67"/>
    <w:rsid w:val="00AE2670"/>
    <w:rsid w:val="00AE2794"/>
    <w:rsid w:val="00AE2DD2"/>
    <w:rsid w:val="00AE34AD"/>
    <w:rsid w:val="00AF28ED"/>
    <w:rsid w:val="00AF46C4"/>
    <w:rsid w:val="00AF4A97"/>
    <w:rsid w:val="00AF4E15"/>
    <w:rsid w:val="00AF72C3"/>
    <w:rsid w:val="00AF761D"/>
    <w:rsid w:val="00B056DE"/>
    <w:rsid w:val="00B05946"/>
    <w:rsid w:val="00B1197E"/>
    <w:rsid w:val="00B13E6D"/>
    <w:rsid w:val="00B1672C"/>
    <w:rsid w:val="00B169EE"/>
    <w:rsid w:val="00B17128"/>
    <w:rsid w:val="00B174A9"/>
    <w:rsid w:val="00B21B21"/>
    <w:rsid w:val="00B246C6"/>
    <w:rsid w:val="00B24BA2"/>
    <w:rsid w:val="00B359CE"/>
    <w:rsid w:val="00B36472"/>
    <w:rsid w:val="00B368E0"/>
    <w:rsid w:val="00B3695F"/>
    <w:rsid w:val="00B37EAC"/>
    <w:rsid w:val="00B401A2"/>
    <w:rsid w:val="00B404FB"/>
    <w:rsid w:val="00B44F44"/>
    <w:rsid w:val="00B51113"/>
    <w:rsid w:val="00B51A5A"/>
    <w:rsid w:val="00B529FB"/>
    <w:rsid w:val="00B60E03"/>
    <w:rsid w:val="00B63E0B"/>
    <w:rsid w:val="00B652B5"/>
    <w:rsid w:val="00B67390"/>
    <w:rsid w:val="00B7253B"/>
    <w:rsid w:val="00B72B25"/>
    <w:rsid w:val="00B7394E"/>
    <w:rsid w:val="00B77FE4"/>
    <w:rsid w:val="00B83C6F"/>
    <w:rsid w:val="00B901D5"/>
    <w:rsid w:val="00B90B99"/>
    <w:rsid w:val="00BA34C9"/>
    <w:rsid w:val="00BA40CB"/>
    <w:rsid w:val="00BA73AD"/>
    <w:rsid w:val="00BA7A76"/>
    <w:rsid w:val="00BA7CC1"/>
    <w:rsid w:val="00BB3E0F"/>
    <w:rsid w:val="00BB4DC8"/>
    <w:rsid w:val="00BB624E"/>
    <w:rsid w:val="00BB7349"/>
    <w:rsid w:val="00BC1047"/>
    <w:rsid w:val="00BC388F"/>
    <w:rsid w:val="00BC476F"/>
    <w:rsid w:val="00BC7234"/>
    <w:rsid w:val="00BC77E6"/>
    <w:rsid w:val="00BD45C1"/>
    <w:rsid w:val="00BD4697"/>
    <w:rsid w:val="00BE42EA"/>
    <w:rsid w:val="00BE674E"/>
    <w:rsid w:val="00BE753A"/>
    <w:rsid w:val="00BF0604"/>
    <w:rsid w:val="00BF2EC1"/>
    <w:rsid w:val="00BF3454"/>
    <w:rsid w:val="00BF6180"/>
    <w:rsid w:val="00BF631D"/>
    <w:rsid w:val="00C0653E"/>
    <w:rsid w:val="00C07EF7"/>
    <w:rsid w:val="00C1110A"/>
    <w:rsid w:val="00C1432D"/>
    <w:rsid w:val="00C203A6"/>
    <w:rsid w:val="00C20C07"/>
    <w:rsid w:val="00C25AD2"/>
    <w:rsid w:val="00C2670E"/>
    <w:rsid w:val="00C26BB8"/>
    <w:rsid w:val="00C400A4"/>
    <w:rsid w:val="00C44FAF"/>
    <w:rsid w:val="00C45ECF"/>
    <w:rsid w:val="00C53CC5"/>
    <w:rsid w:val="00C55B16"/>
    <w:rsid w:val="00C609F5"/>
    <w:rsid w:val="00C70827"/>
    <w:rsid w:val="00C728C2"/>
    <w:rsid w:val="00C74DA6"/>
    <w:rsid w:val="00C75BC7"/>
    <w:rsid w:val="00C84C45"/>
    <w:rsid w:val="00C9626F"/>
    <w:rsid w:val="00CA648C"/>
    <w:rsid w:val="00CA6A5F"/>
    <w:rsid w:val="00CB006F"/>
    <w:rsid w:val="00CB2E85"/>
    <w:rsid w:val="00CB4AFB"/>
    <w:rsid w:val="00CB6223"/>
    <w:rsid w:val="00CC41DC"/>
    <w:rsid w:val="00CC7971"/>
    <w:rsid w:val="00CD3026"/>
    <w:rsid w:val="00CD48AF"/>
    <w:rsid w:val="00CD5069"/>
    <w:rsid w:val="00CD73C8"/>
    <w:rsid w:val="00CE429C"/>
    <w:rsid w:val="00CE488B"/>
    <w:rsid w:val="00CE59F0"/>
    <w:rsid w:val="00CF00C5"/>
    <w:rsid w:val="00CF1ABF"/>
    <w:rsid w:val="00CF6B5D"/>
    <w:rsid w:val="00D064F9"/>
    <w:rsid w:val="00D14F68"/>
    <w:rsid w:val="00D16323"/>
    <w:rsid w:val="00D164EC"/>
    <w:rsid w:val="00D22848"/>
    <w:rsid w:val="00D252A6"/>
    <w:rsid w:val="00D25F19"/>
    <w:rsid w:val="00D26146"/>
    <w:rsid w:val="00D267EF"/>
    <w:rsid w:val="00D27E47"/>
    <w:rsid w:val="00D34656"/>
    <w:rsid w:val="00D354F9"/>
    <w:rsid w:val="00D35FA7"/>
    <w:rsid w:val="00D37E51"/>
    <w:rsid w:val="00D434DC"/>
    <w:rsid w:val="00D437B2"/>
    <w:rsid w:val="00D519FD"/>
    <w:rsid w:val="00D56CAF"/>
    <w:rsid w:val="00D601C2"/>
    <w:rsid w:val="00D63D22"/>
    <w:rsid w:val="00D67EEA"/>
    <w:rsid w:val="00D738FE"/>
    <w:rsid w:val="00D75BC6"/>
    <w:rsid w:val="00D7610B"/>
    <w:rsid w:val="00D77840"/>
    <w:rsid w:val="00D85BB1"/>
    <w:rsid w:val="00D9258F"/>
    <w:rsid w:val="00D930E0"/>
    <w:rsid w:val="00D959AF"/>
    <w:rsid w:val="00D95F9A"/>
    <w:rsid w:val="00DA0B2E"/>
    <w:rsid w:val="00DA1EED"/>
    <w:rsid w:val="00DA4B81"/>
    <w:rsid w:val="00DB1D46"/>
    <w:rsid w:val="00DC26EB"/>
    <w:rsid w:val="00DD21BB"/>
    <w:rsid w:val="00DD2D73"/>
    <w:rsid w:val="00DD36F2"/>
    <w:rsid w:val="00DD3ACD"/>
    <w:rsid w:val="00DD63FF"/>
    <w:rsid w:val="00DE4CD5"/>
    <w:rsid w:val="00DF0762"/>
    <w:rsid w:val="00DF3019"/>
    <w:rsid w:val="00DF3FA8"/>
    <w:rsid w:val="00DF43FF"/>
    <w:rsid w:val="00DF5A42"/>
    <w:rsid w:val="00E03282"/>
    <w:rsid w:val="00E06C2E"/>
    <w:rsid w:val="00E13281"/>
    <w:rsid w:val="00E13873"/>
    <w:rsid w:val="00E14D3B"/>
    <w:rsid w:val="00E17821"/>
    <w:rsid w:val="00E275A8"/>
    <w:rsid w:val="00E27BB7"/>
    <w:rsid w:val="00E312FE"/>
    <w:rsid w:val="00E32E89"/>
    <w:rsid w:val="00E35205"/>
    <w:rsid w:val="00E42307"/>
    <w:rsid w:val="00E50A72"/>
    <w:rsid w:val="00E5214E"/>
    <w:rsid w:val="00E61D40"/>
    <w:rsid w:val="00E63EEB"/>
    <w:rsid w:val="00E70DF9"/>
    <w:rsid w:val="00E77259"/>
    <w:rsid w:val="00E8485C"/>
    <w:rsid w:val="00E86C4D"/>
    <w:rsid w:val="00E9223A"/>
    <w:rsid w:val="00E92692"/>
    <w:rsid w:val="00EA07CE"/>
    <w:rsid w:val="00EB05EC"/>
    <w:rsid w:val="00EB435E"/>
    <w:rsid w:val="00EB6444"/>
    <w:rsid w:val="00EC0A5C"/>
    <w:rsid w:val="00EC1BF8"/>
    <w:rsid w:val="00EC36E2"/>
    <w:rsid w:val="00EC5844"/>
    <w:rsid w:val="00EC7F57"/>
    <w:rsid w:val="00ED1905"/>
    <w:rsid w:val="00ED2C3D"/>
    <w:rsid w:val="00ED6536"/>
    <w:rsid w:val="00EE0044"/>
    <w:rsid w:val="00EE48DF"/>
    <w:rsid w:val="00EE6376"/>
    <w:rsid w:val="00EF354B"/>
    <w:rsid w:val="00EF38B3"/>
    <w:rsid w:val="00EF7E7D"/>
    <w:rsid w:val="00F00F6E"/>
    <w:rsid w:val="00F05AFE"/>
    <w:rsid w:val="00F06F08"/>
    <w:rsid w:val="00F13ACE"/>
    <w:rsid w:val="00F23681"/>
    <w:rsid w:val="00F24369"/>
    <w:rsid w:val="00F35233"/>
    <w:rsid w:val="00F35439"/>
    <w:rsid w:val="00F357D9"/>
    <w:rsid w:val="00F44435"/>
    <w:rsid w:val="00F538F6"/>
    <w:rsid w:val="00F55AC6"/>
    <w:rsid w:val="00F60647"/>
    <w:rsid w:val="00F618AE"/>
    <w:rsid w:val="00F65A2B"/>
    <w:rsid w:val="00F72FA9"/>
    <w:rsid w:val="00F74811"/>
    <w:rsid w:val="00F82CD0"/>
    <w:rsid w:val="00F84CE1"/>
    <w:rsid w:val="00F87190"/>
    <w:rsid w:val="00F96A64"/>
    <w:rsid w:val="00FA1EF1"/>
    <w:rsid w:val="00FA6475"/>
    <w:rsid w:val="00FA6AC9"/>
    <w:rsid w:val="00FA7DBD"/>
    <w:rsid w:val="00FB044C"/>
    <w:rsid w:val="00FB0D16"/>
    <w:rsid w:val="00FB388D"/>
    <w:rsid w:val="00FB4512"/>
    <w:rsid w:val="00FC5659"/>
    <w:rsid w:val="00FC599B"/>
    <w:rsid w:val="00FC6252"/>
    <w:rsid w:val="00FD50EF"/>
    <w:rsid w:val="00FE101B"/>
    <w:rsid w:val="00FE7F3F"/>
    <w:rsid w:val="00FF11F5"/>
    <w:rsid w:val="00FF6FD3"/>
    <w:rsid w:val="01536131"/>
    <w:rsid w:val="01A6032E"/>
    <w:rsid w:val="01F733EB"/>
    <w:rsid w:val="020629BD"/>
    <w:rsid w:val="0227136C"/>
    <w:rsid w:val="02857418"/>
    <w:rsid w:val="02D17C29"/>
    <w:rsid w:val="03416810"/>
    <w:rsid w:val="03441B64"/>
    <w:rsid w:val="034E0D3B"/>
    <w:rsid w:val="03546191"/>
    <w:rsid w:val="03C2759E"/>
    <w:rsid w:val="03DA2C38"/>
    <w:rsid w:val="041B280B"/>
    <w:rsid w:val="04C85E88"/>
    <w:rsid w:val="053C307B"/>
    <w:rsid w:val="054560AD"/>
    <w:rsid w:val="05C018BB"/>
    <w:rsid w:val="060C3947"/>
    <w:rsid w:val="061F57B1"/>
    <w:rsid w:val="06495F26"/>
    <w:rsid w:val="06A27213"/>
    <w:rsid w:val="07226AC9"/>
    <w:rsid w:val="073B2475"/>
    <w:rsid w:val="075B2AF6"/>
    <w:rsid w:val="077209BA"/>
    <w:rsid w:val="079E2271"/>
    <w:rsid w:val="07A30A0A"/>
    <w:rsid w:val="07AB20F7"/>
    <w:rsid w:val="07E04497"/>
    <w:rsid w:val="0817778D"/>
    <w:rsid w:val="08685F4B"/>
    <w:rsid w:val="08D01A92"/>
    <w:rsid w:val="08DE348F"/>
    <w:rsid w:val="091B6929"/>
    <w:rsid w:val="0923288D"/>
    <w:rsid w:val="09933EE8"/>
    <w:rsid w:val="0A015458"/>
    <w:rsid w:val="0AC75DE0"/>
    <w:rsid w:val="0ADD2810"/>
    <w:rsid w:val="0AEC592C"/>
    <w:rsid w:val="0B494101"/>
    <w:rsid w:val="0B896BF3"/>
    <w:rsid w:val="0B946B92"/>
    <w:rsid w:val="0BD04092"/>
    <w:rsid w:val="0BDB2646"/>
    <w:rsid w:val="0BFF7C89"/>
    <w:rsid w:val="0C330954"/>
    <w:rsid w:val="0C913FB2"/>
    <w:rsid w:val="0CAD038C"/>
    <w:rsid w:val="0D1E0797"/>
    <w:rsid w:val="0D1F3322"/>
    <w:rsid w:val="0D34487C"/>
    <w:rsid w:val="0D481196"/>
    <w:rsid w:val="0D5D70D7"/>
    <w:rsid w:val="0DB81A96"/>
    <w:rsid w:val="0E0C745E"/>
    <w:rsid w:val="0E135665"/>
    <w:rsid w:val="0E593682"/>
    <w:rsid w:val="0E686F94"/>
    <w:rsid w:val="0EAD31D7"/>
    <w:rsid w:val="0F307653"/>
    <w:rsid w:val="0F73318B"/>
    <w:rsid w:val="0FA83AEC"/>
    <w:rsid w:val="0FB51D4D"/>
    <w:rsid w:val="10613A0A"/>
    <w:rsid w:val="10841B04"/>
    <w:rsid w:val="10A32E74"/>
    <w:rsid w:val="10E80AC3"/>
    <w:rsid w:val="10F221A7"/>
    <w:rsid w:val="110971D4"/>
    <w:rsid w:val="114F2865"/>
    <w:rsid w:val="11517207"/>
    <w:rsid w:val="116655F0"/>
    <w:rsid w:val="1185333C"/>
    <w:rsid w:val="11AE1162"/>
    <w:rsid w:val="12077F9B"/>
    <w:rsid w:val="12141BCA"/>
    <w:rsid w:val="12285F13"/>
    <w:rsid w:val="140F3E4E"/>
    <w:rsid w:val="14107EB2"/>
    <w:rsid w:val="1464081A"/>
    <w:rsid w:val="14A34882"/>
    <w:rsid w:val="14E1184E"/>
    <w:rsid w:val="15522961"/>
    <w:rsid w:val="15796E3D"/>
    <w:rsid w:val="15B605E5"/>
    <w:rsid w:val="15BC6886"/>
    <w:rsid w:val="15C95BF0"/>
    <w:rsid w:val="15FD0F00"/>
    <w:rsid w:val="15FE2F28"/>
    <w:rsid w:val="16747D39"/>
    <w:rsid w:val="16C25E5D"/>
    <w:rsid w:val="16C87A3E"/>
    <w:rsid w:val="16DB47A7"/>
    <w:rsid w:val="17503021"/>
    <w:rsid w:val="17742506"/>
    <w:rsid w:val="17E75B39"/>
    <w:rsid w:val="18111B82"/>
    <w:rsid w:val="183103F7"/>
    <w:rsid w:val="18752B2C"/>
    <w:rsid w:val="18876269"/>
    <w:rsid w:val="18D86AC4"/>
    <w:rsid w:val="19033B41"/>
    <w:rsid w:val="1912281A"/>
    <w:rsid w:val="1975635A"/>
    <w:rsid w:val="1A45071C"/>
    <w:rsid w:val="1B0C4237"/>
    <w:rsid w:val="1B3B4748"/>
    <w:rsid w:val="1B43118A"/>
    <w:rsid w:val="1B674733"/>
    <w:rsid w:val="1BDC0F37"/>
    <w:rsid w:val="1C4F046E"/>
    <w:rsid w:val="1CE858C6"/>
    <w:rsid w:val="1D17360B"/>
    <w:rsid w:val="1D344C11"/>
    <w:rsid w:val="1D5F7707"/>
    <w:rsid w:val="1D917409"/>
    <w:rsid w:val="1D963CA3"/>
    <w:rsid w:val="1DB775F0"/>
    <w:rsid w:val="1E185CF2"/>
    <w:rsid w:val="1E5135A1"/>
    <w:rsid w:val="1E5B7F7C"/>
    <w:rsid w:val="1E930BB9"/>
    <w:rsid w:val="1EAF608B"/>
    <w:rsid w:val="1EC954B5"/>
    <w:rsid w:val="1F0C2434"/>
    <w:rsid w:val="1F2B2EC5"/>
    <w:rsid w:val="1F830FE6"/>
    <w:rsid w:val="1F8D685B"/>
    <w:rsid w:val="1F9C084C"/>
    <w:rsid w:val="1FD30EDB"/>
    <w:rsid w:val="20D56E5C"/>
    <w:rsid w:val="20ED4746"/>
    <w:rsid w:val="213D0B5D"/>
    <w:rsid w:val="213D2B1F"/>
    <w:rsid w:val="2148258B"/>
    <w:rsid w:val="21504C10"/>
    <w:rsid w:val="215D070C"/>
    <w:rsid w:val="21807CBC"/>
    <w:rsid w:val="21B00E93"/>
    <w:rsid w:val="21D36D31"/>
    <w:rsid w:val="21EB161C"/>
    <w:rsid w:val="22274D44"/>
    <w:rsid w:val="2234331B"/>
    <w:rsid w:val="227C76F3"/>
    <w:rsid w:val="22934188"/>
    <w:rsid w:val="22CC6291"/>
    <w:rsid w:val="22EC3898"/>
    <w:rsid w:val="22F62F57"/>
    <w:rsid w:val="23C66CB7"/>
    <w:rsid w:val="262220F8"/>
    <w:rsid w:val="26555AAA"/>
    <w:rsid w:val="272F01F7"/>
    <w:rsid w:val="27DE3507"/>
    <w:rsid w:val="285035F7"/>
    <w:rsid w:val="28517AE5"/>
    <w:rsid w:val="286D6ADA"/>
    <w:rsid w:val="29067EA1"/>
    <w:rsid w:val="292435A0"/>
    <w:rsid w:val="29283150"/>
    <w:rsid w:val="29396854"/>
    <w:rsid w:val="29891E41"/>
    <w:rsid w:val="29B83E00"/>
    <w:rsid w:val="29FE7507"/>
    <w:rsid w:val="2A043BBD"/>
    <w:rsid w:val="2A1114D3"/>
    <w:rsid w:val="2A135BAE"/>
    <w:rsid w:val="2A1D4C90"/>
    <w:rsid w:val="2AC041F0"/>
    <w:rsid w:val="2AD03A9F"/>
    <w:rsid w:val="2ADD7239"/>
    <w:rsid w:val="2AE57664"/>
    <w:rsid w:val="2B0D1629"/>
    <w:rsid w:val="2B141BDE"/>
    <w:rsid w:val="2B5F5FA5"/>
    <w:rsid w:val="2B791F6E"/>
    <w:rsid w:val="2C01143B"/>
    <w:rsid w:val="2C0D6314"/>
    <w:rsid w:val="2C2A3B67"/>
    <w:rsid w:val="2C411308"/>
    <w:rsid w:val="2C4B5C53"/>
    <w:rsid w:val="2C7F4B02"/>
    <w:rsid w:val="2CB453EF"/>
    <w:rsid w:val="2CB5612A"/>
    <w:rsid w:val="2D0E4F03"/>
    <w:rsid w:val="2D55109F"/>
    <w:rsid w:val="2F2C0A13"/>
    <w:rsid w:val="2F3C1B3B"/>
    <w:rsid w:val="2F601896"/>
    <w:rsid w:val="2FC13C64"/>
    <w:rsid w:val="2FD14541"/>
    <w:rsid w:val="304545E8"/>
    <w:rsid w:val="30586A11"/>
    <w:rsid w:val="305F1B4D"/>
    <w:rsid w:val="3061119A"/>
    <w:rsid w:val="306E7FE2"/>
    <w:rsid w:val="307922D8"/>
    <w:rsid w:val="317D6B5C"/>
    <w:rsid w:val="319C532E"/>
    <w:rsid w:val="31FE7C0B"/>
    <w:rsid w:val="32464991"/>
    <w:rsid w:val="32D06D32"/>
    <w:rsid w:val="33064FB5"/>
    <w:rsid w:val="330B1B18"/>
    <w:rsid w:val="33451DC2"/>
    <w:rsid w:val="336D60E3"/>
    <w:rsid w:val="33876508"/>
    <w:rsid w:val="33896EE1"/>
    <w:rsid w:val="33C60259"/>
    <w:rsid w:val="33D463AE"/>
    <w:rsid w:val="33DC54DB"/>
    <w:rsid w:val="33DC5738"/>
    <w:rsid w:val="33EC7B9C"/>
    <w:rsid w:val="3401282F"/>
    <w:rsid w:val="34060532"/>
    <w:rsid w:val="35101762"/>
    <w:rsid w:val="35144C7C"/>
    <w:rsid w:val="35207985"/>
    <w:rsid w:val="35521C81"/>
    <w:rsid w:val="35D77067"/>
    <w:rsid w:val="35DF5E2C"/>
    <w:rsid w:val="368270E9"/>
    <w:rsid w:val="379806D7"/>
    <w:rsid w:val="385C4BC4"/>
    <w:rsid w:val="38B22A88"/>
    <w:rsid w:val="38E2156D"/>
    <w:rsid w:val="39F57598"/>
    <w:rsid w:val="3A154F16"/>
    <w:rsid w:val="3A3271EB"/>
    <w:rsid w:val="3A6211C1"/>
    <w:rsid w:val="3A6C6948"/>
    <w:rsid w:val="3A852BA4"/>
    <w:rsid w:val="3A9A7854"/>
    <w:rsid w:val="3AF869D4"/>
    <w:rsid w:val="3B003FB0"/>
    <w:rsid w:val="3B1E4267"/>
    <w:rsid w:val="3B640692"/>
    <w:rsid w:val="3B811CEB"/>
    <w:rsid w:val="3B9238D5"/>
    <w:rsid w:val="3BC94089"/>
    <w:rsid w:val="3BD57167"/>
    <w:rsid w:val="3C6B7ACC"/>
    <w:rsid w:val="3CAA4150"/>
    <w:rsid w:val="3CAD10B8"/>
    <w:rsid w:val="3CC82828"/>
    <w:rsid w:val="3CCA4E21"/>
    <w:rsid w:val="3CCD7CC2"/>
    <w:rsid w:val="3CFF1645"/>
    <w:rsid w:val="3D311A21"/>
    <w:rsid w:val="3D6A31AC"/>
    <w:rsid w:val="3DC63F3C"/>
    <w:rsid w:val="3DDA0A65"/>
    <w:rsid w:val="3E3402D5"/>
    <w:rsid w:val="3E9272D2"/>
    <w:rsid w:val="3ED10DB0"/>
    <w:rsid w:val="3EE427D9"/>
    <w:rsid w:val="3EEB5E0E"/>
    <w:rsid w:val="3F0D6C18"/>
    <w:rsid w:val="3F6F2DB7"/>
    <w:rsid w:val="3F8049A0"/>
    <w:rsid w:val="3FA84653"/>
    <w:rsid w:val="3FDC3062"/>
    <w:rsid w:val="3FE179E2"/>
    <w:rsid w:val="40151EBB"/>
    <w:rsid w:val="40C02FD4"/>
    <w:rsid w:val="413C125F"/>
    <w:rsid w:val="4146356D"/>
    <w:rsid w:val="41520A37"/>
    <w:rsid w:val="41AF268F"/>
    <w:rsid w:val="41C537DA"/>
    <w:rsid w:val="41DF2AEE"/>
    <w:rsid w:val="420A04AF"/>
    <w:rsid w:val="421A703C"/>
    <w:rsid w:val="424B706B"/>
    <w:rsid w:val="429951C9"/>
    <w:rsid w:val="42D77C69"/>
    <w:rsid w:val="43694FC5"/>
    <w:rsid w:val="43827494"/>
    <w:rsid w:val="43D95D01"/>
    <w:rsid w:val="43DD57D9"/>
    <w:rsid w:val="43F87E97"/>
    <w:rsid w:val="43FF490C"/>
    <w:rsid w:val="440F78AB"/>
    <w:rsid w:val="44307631"/>
    <w:rsid w:val="4454435C"/>
    <w:rsid w:val="44796AD5"/>
    <w:rsid w:val="44D34460"/>
    <w:rsid w:val="452423D3"/>
    <w:rsid w:val="4553683C"/>
    <w:rsid w:val="455A055B"/>
    <w:rsid w:val="45AA51C5"/>
    <w:rsid w:val="45B748BD"/>
    <w:rsid w:val="45BE5E52"/>
    <w:rsid w:val="45DE34DA"/>
    <w:rsid w:val="46CD560B"/>
    <w:rsid w:val="46D22C21"/>
    <w:rsid w:val="47860CF3"/>
    <w:rsid w:val="47D76015"/>
    <w:rsid w:val="48090EA2"/>
    <w:rsid w:val="486362B1"/>
    <w:rsid w:val="4880045B"/>
    <w:rsid w:val="48A24875"/>
    <w:rsid w:val="48AE1753"/>
    <w:rsid w:val="49832DC8"/>
    <w:rsid w:val="49CD1053"/>
    <w:rsid w:val="49F23E6D"/>
    <w:rsid w:val="4A3B66FC"/>
    <w:rsid w:val="4ABF7A2B"/>
    <w:rsid w:val="4ACF51F2"/>
    <w:rsid w:val="4AD63F3E"/>
    <w:rsid w:val="4B11183E"/>
    <w:rsid w:val="4B8B43BC"/>
    <w:rsid w:val="4BB33236"/>
    <w:rsid w:val="4BF47196"/>
    <w:rsid w:val="4C2B0CC6"/>
    <w:rsid w:val="4C2F00EC"/>
    <w:rsid w:val="4D226A51"/>
    <w:rsid w:val="4D4C4590"/>
    <w:rsid w:val="4D6E1127"/>
    <w:rsid w:val="4D9203BD"/>
    <w:rsid w:val="4D94591E"/>
    <w:rsid w:val="4DA62712"/>
    <w:rsid w:val="4DAE5A6A"/>
    <w:rsid w:val="4DB26547"/>
    <w:rsid w:val="4DEE2AE4"/>
    <w:rsid w:val="4E36529F"/>
    <w:rsid w:val="4E88697F"/>
    <w:rsid w:val="4E8D5F23"/>
    <w:rsid w:val="4E99104D"/>
    <w:rsid w:val="4EC878C6"/>
    <w:rsid w:val="4F2F3285"/>
    <w:rsid w:val="4F320167"/>
    <w:rsid w:val="4F477F24"/>
    <w:rsid w:val="4F820D24"/>
    <w:rsid w:val="4FA47125"/>
    <w:rsid w:val="507831CB"/>
    <w:rsid w:val="513904C9"/>
    <w:rsid w:val="51C07B1A"/>
    <w:rsid w:val="51CC3A37"/>
    <w:rsid w:val="51D524D5"/>
    <w:rsid w:val="521902EE"/>
    <w:rsid w:val="523452B1"/>
    <w:rsid w:val="5281374D"/>
    <w:rsid w:val="52B12D79"/>
    <w:rsid w:val="53734044"/>
    <w:rsid w:val="53B107B9"/>
    <w:rsid w:val="54AC7FFE"/>
    <w:rsid w:val="55083CA6"/>
    <w:rsid w:val="55237168"/>
    <w:rsid w:val="552B7BD4"/>
    <w:rsid w:val="55E51F1B"/>
    <w:rsid w:val="55E57861"/>
    <w:rsid w:val="564231F4"/>
    <w:rsid w:val="56A7407F"/>
    <w:rsid w:val="56D226F9"/>
    <w:rsid w:val="5714072F"/>
    <w:rsid w:val="573D4981"/>
    <w:rsid w:val="579738B4"/>
    <w:rsid w:val="57DC710D"/>
    <w:rsid w:val="58201A8F"/>
    <w:rsid w:val="589F66DB"/>
    <w:rsid w:val="58B61CEA"/>
    <w:rsid w:val="58BB5A18"/>
    <w:rsid w:val="591C016F"/>
    <w:rsid w:val="5956630D"/>
    <w:rsid w:val="596C49D0"/>
    <w:rsid w:val="596F4029"/>
    <w:rsid w:val="59B1748D"/>
    <w:rsid w:val="59DF3FE0"/>
    <w:rsid w:val="5A3A419A"/>
    <w:rsid w:val="5A557A06"/>
    <w:rsid w:val="5A6965A3"/>
    <w:rsid w:val="5A717838"/>
    <w:rsid w:val="5A991A29"/>
    <w:rsid w:val="5AB52CFC"/>
    <w:rsid w:val="5ACD7689"/>
    <w:rsid w:val="5AF449E0"/>
    <w:rsid w:val="5B0F5D9A"/>
    <w:rsid w:val="5B6634E0"/>
    <w:rsid w:val="5B90598C"/>
    <w:rsid w:val="5C1B251D"/>
    <w:rsid w:val="5C231121"/>
    <w:rsid w:val="5C53111F"/>
    <w:rsid w:val="5C9F2A65"/>
    <w:rsid w:val="5CA877D2"/>
    <w:rsid w:val="5CB0530D"/>
    <w:rsid w:val="5CC53A2C"/>
    <w:rsid w:val="5CCE57E1"/>
    <w:rsid w:val="5D070BA5"/>
    <w:rsid w:val="5D075B6F"/>
    <w:rsid w:val="5D3E506B"/>
    <w:rsid w:val="5D731DB2"/>
    <w:rsid w:val="5DCB1951"/>
    <w:rsid w:val="5DD54BFB"/>
    <w:rsid w:val="5E126452"/>
    <w:rsid w:val="5E370F97"/>
    <w:rsid w:val="5E3D49CC"/>
    <w:rsid w:val="5E8A0B26"/>
    <w:rsid w:val="5EE5310E"/>
    <w:rsid w:val="5F4F3D71"/>
    <w:rsid w:val="5F6046EE"/>
    <w:rsid w:val="5F7356FD"/>
    <w:rsid w:val="5F8A4654"/>
    <w:rsid w:val="5FD57BE4"/>
    <w:rsid w:val="5FF6569E"/>
    <w:rsid w:val="5FFE0D8E"/>
    <w:rsid w:val="602D0A71"/>
    <w:rsid w:val="604D2796"/>
    <w:rsid w:val="607F6F3D"/>
    <w:rsid w:val="60F509D3"/>
    <w:rsid w:val="60F77C04"/>
    <w:rsid w:val="61203587"/>
    <w:rsid w:val="61224E7A"/>
    <w:rsid w:val="61457983"/>
    <w:rsid w:val="61A30FEA"/>
    <w:rsid w:val="61CB676A"/>
    <w:rsid w:val="61F14394"/>
    <w:rsid w:val="61F47A98"/>
    <w:rsid w:val="623E4639"/>
    <w:rsid w:val="624E47A4"/>
    <w:rsid w:val="629B43A1"/>
    <w:rsid w:val="62BC3EA2"/>
    <w:rsid w:val="6341504A"/>
    <w:rsid w:val="637846F9"/>
    <w:rsid w:val="640512CA"/>
    <w:rsid w:val="642121E5"/>
    <w:rsid w:val="64DE659A"/>
    <w:rsid w:val="65371000"/>
    <w:rsid w:val="656942F9"/>
    <w:rsid w:val="65E9231B"/>
    <w:rsid w:val="666845B1"/>
    <w:rsid w:val="66970382"/>
    <w:rsid w:val="66F33E26"/>
    <w:rsid w:val="6780588C"/>
    <w:rsid w:val="67D8653C"/>
    <w:rsid w:val="67EA6E4A"/>
    <w:rsid w:val="683E7826"/>
    <w:rsid w:val="688212DC"/>
    <w:rsid w:val="68830542"/>
    <w:rsid w:val="68897A31"/>
    <w:rsid w:val="689B1C26"/>
    <w:rsid w:val="68A67612"/>
    <w:rsid w:val="68C161FA"/>
    <w:rsid w:val="69126FBB"/>
    <w:rsid w:val="691D5301"/>
    <w:rsid w:val="6969647C"/>
    <w:rsid w:val="69CB127D"/>
    <w:rsid w:val="69DD411C"/>
    <w:rsid w:val="69F34AD9"/>
    <w:rsid w:val="6AA9734A"/>
    <w:rsid w:val="6ACF38BE"/>
    <w:rsid w:val="6B2F5212"/>
    <w:rsid w:val="6B5C045C"/>
    <w:rsid w:val="6B7A581E"/>
    <w:rsid w:val="6BAC4F3F"/>
    <w:rsid w:val="6BE27BA1"/>
    <w:rsid w:val="6BFB6066"/>
    <w:rsid w:val="6C540F9B"/>
    <w:rsid w:val="6C5F50C1"/>
    <w:rsid w:val="6C7C2B64"/>
    <w:rsid w:val="6C9E637F"/>
    <w:rsid w:val="6D064B23"/>
    <w:rsid w:val="6D9C5C5B"/>
    <w:rsid w:val="6DB707DA"/>
    <w:rsid w:val="6DCE3B16"/>
    <w:rsid w:val="6DD46F86"/>
    <w:rsid w:val="6E8E4DD0"/>
    <w:rsid w:val="6E9D3265"/>
    <w:rsid w:val="6EA14158"/>
    <w:rsid w:val="6EBC7231"/>
    <w:rsid w:val="6EC151A6"/>
    <w:rsid w:val="6EEA6497"/>
    <w:rsid w:val="6F1E2F5B"/>
    <w:rsid w:val="6F2F44F2"/>
    <w:rsid w:val="6F4D4C8B"/>
    <w:rsid w:val="6FA372CE"/>
    <w:rsid w:val="6FCC5BB0"/>
    <w:rsid w:val="706241C5"/>
    <w:rsid w:val="70BE5C9D"/>
    <w:rsid w:val="70D32F6E"/>
    <w:rsid w:val="70F51AD3"/>
    <w:rsid w:val="7104137A"/>
    <w:rsid w:val="7104581E"/>
    <w:rsid w:val="71063D7E"/>
    <w:rsid w:val="710B2146"/>
    <w:rsid w:val="71126F2A"/>
    <w:rsid w:val="71403085"/>
    <w:rsid w:val="71551BD5"/>
    <w:rsid w:val="716A5A4C"/>
    <w:rsid w:val="71FE7E88"/>
    <w:rsid w:val="7283095E"/>
    <w:rsid w:val="72B56DCF"/>
    <w:rsid w:val="72C75D75"/>
    <w:rsid w:val="72CF6C83"/>
    <w:rsid w:val="73144946"/>
    <w:rsid w:val="741B2818"/>
    <w:rsid w:val="74244F8E"/>
    <w:rsid w:val="744F17E9"/>
    <w:rsid w:val="74A964C0"/>
    <w:rsid w:val="75023E22"/>
    <w:rsid w:val="755172CC"/>
    <w:rsid w:val="75883BEA"/>
    <w:rsid w:val="75E072E4"/>
    <w:rsid w:val="75FC3383"/>
    <w:rsid w:val="76096800"/>
    <w:rsid w:val="76415CBD"/>
    <w:rsid w:val="764A5A81"/>
    <w:rsid w:val="764C7A4B"/>
    <w:rsid w:val="767C3758"/>
    <w:rsid w:val="76CE2093"/>
    <w:rsid w:val="77667263"/>
    <w:rsid w:val="77A15916"/>
    <w:rsid w:val="780939C8"/>
    <w:rsid w:val="783F1E07"/>
    <w:rsid w:val="78540E39"/>
    <w:rsid w:val="78A47396"/>
    <w:rsid w:val="78B12492"/>
    <w:rsid w:val="78B41256"/>
    <w:rsid w:val="79120C36"/>
    <w:rsid w:val="79141BF9"/>
    <w:rsid w:val="793676B2"/>
    <w:rsid w:val="79751067"/>
    <w:rsid w:val="79D077BF"/>
    <w:rsid w:val="79D7256E"/>
    <w:rsid w:val="7A0143D6"/>
    <w:rsid w:val="7A82542A"/>
    <w:rsid w:val="7AF82684"/>
    <w:rsid w:val="7B85524E"/>
    <w:rsid w:val="7B895D18"/>
    <w:rsid w:val="7C4E4AEA"/>
    <w:rsid w:val="7CD019C7"/>
    <w:rsid w:val="7D465A7E"/>
    <w:rsid w:val="7D470616"/>
    <w:rsid w:val="7D4B207F"/>
    <w:rsid w:val="7D66043F"/>
    <w:rsid w:val="7D7E1968"/>
    <w:rsid w:val="7DAA3C71"/>
    <w:rsid w:val="7E437985"/>
    <w:rsid w:val="7E525E96"/>
    <w:rsid w:val="7EC7690F"/>
    <w:rsid w:val="7F3124E8"/>
    <w:rsid w:val="7F920BAE"/>
    <w:rsid w:val="7F9E09E1"/>
    <w:rsid w:val="7FEF76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7"/>
    <w:basedOn w:val="1"/>
    <w:next w:val="1"/>
    <w:link w:val="39"/>
    <w:qFormat/>
    <w:uiPriority w:val="0"/>
    <w:pPr>
      <w:keepNext/>
      <w:keepLines/>
      <w:spacing w:before="240" w:after="64" w:line="320" w:lineRule="auto"/>
      <w:outlineLvl w:val="6"/>
    </w:pPr>
    <w:rPr>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qFormat/>
    <w:uiPriority w:val="0"/>
    <w:pPr>
      <w:snapToGrid w:val="0"/>
      <w:spacing w:line="320" w:lineRule="exact"/>
      <w:ind w:firstLine="413" w:firstLineChars="200"/>
    </w:pPr>
    <w:rPr>
      <w:rFonts w:ascii="宋体" w:hAnsi="宋体"/>
      <w:b/>
      <w:color w:val="000000"/>
    </w:rPr>
  </w:style>
  <w:style w:type="paragraph" w:styleId="7">
    <w:name w:val="toc 7"/>
    <w:basedOn w:val="1"/>
    <w:next w:val="1"/>
    <w:unhideWhenUsed/>
    <w:qFormat/>
    <w:uiPriority w:val="39"/>
    <w:pPr>
      <w:ind w:left="2520" w:leftChars="1200"/>
    </w:pPr>
    <w:rPr>
      <w:rFonts w:ascii="Calibri" w:hAnsi="Calibri"/>
      <w:szCs w:val="22"/>
    </w:rPr>
  </w:style>
  <w:style w:type="paragraph" w:styleId="8">
    <w:name w:val="annotation text"/>
    <w:basedOn w:val="1"/>
    <w:link w:val="40"/>
    <w:semiHidden/>
    <w:qFormat/>
    <w:uiPriority w:val="99"/>
    <w:pPr>
      <w:jc w:val="left"/>
    </w:pPr>
  </w:style>
  <w:style w:type="paragraph" w:styleId="9">
    <w:name w:val="Body Text 3"/>
    <w:basedOn w:val="1"/>
    <w:qFormat/>
    <w:uiPriority w:val="0"/>
    <w:pPr>
      <w:spacing w:after="120"/>
    </w:pPr>
    <w:rPr>
      <w:sz w:val="16"/>
      <w:szCs w:val="16"/>
    </w:rPr>
  </w:style>
  <w:style w:type="paragraph" w:styleId="10">
    <w:name w:val="Body Text"/>
    <w:basedOn w:val="1"/>
    <w:next w:val="1"/>
    <w:qFormat/>
    <w:uiPriority w:val="0"/>
    <w:pPr>
      <w:spacing w:after="120"/>
    </w:pPr>
  </w:style>
  <w:style w:type="paragraph" w:styleId="11">
    <w:name w:val="Body Text Indent"/>
    <w:basedOn w:val="1"/>
    <w:next w:val="12"/>
    <w:unhideWhenUsed/>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toc 5"/>
    <w:basedOn w:val="1"/>
    <w:next w:val="1"/>
    <w:unhideWhenUsed/>
    <w:qFormat/>
    <w:uiPriority w:val="39"/>
    <w:pPr>
      <w:ind w:left="1680" w:leftChars="800"/>
    </w:pPr>
    <w:rPr>
      <w:rFonts w:ascii="Calibri" w:hAnsi="Calibri"/>
      <w:szCs w:val="22"/>
    </w:rPr>
  </w:style>
  <w:style w:type="paragraph" w:styleId="14">
    <w:name w:val="toc 3"/>
    <w:basedOn w:val="1"/>
    <w:next w:val="1"/>
    <w:qFormat/>
    <w:uiPriority w:val="39"/>
    <w:pPr>
      <w:ind w:left="840" w:leftChars="400"/>
    </w:pPr>
  </w:style>
  <w:style w:type="paragraph" w:styleId="15">
    <w:name w:val="Plain Text"/>
    <w:basedOn w:val="1"/>
    <w:link w:val="41"/>
    <w:qFormat/>
    <w:uiPriority w:val="0"/>
    <w:rPr>
      <w:rFonts w:ascii="宋体" w:hAnsi="Courier New"/>
      <w:szCs w:val="20"/>
    </w:rPr>
  </w:style>
  <w:style w:type="paragraph" w:styleId="16">
    <w:name w:val="toc 8"/>
    <w:basedOn w:val="1"/>
    <w:next w:val="1"/>
    <w:unhideWhenUsed/>
    <w:qFormat/>
    <w:uiPriority w:val="39"/>
    <w:pPr>
      <w:ind w:left="2940" w:leftChars="1400"/>
    </w:pPr>
    <w:rPr>
      <w:rFonts w:ascii="Calibri" w:hAnsi="Calibri"/>
      <w:szCs w:val="22"/>
    </w:rPr>
  </w:style>
  <w:style w:type="paragraph" w:styleId="17">
    <w:name w:val="Date"/>
    <w:basedOn w:val="1"/>
    <w:next w:val="1"/>
    <w:qFormat/>
    <w:uiPriority w:val="0"/>
    <w:pPr>
      <w:ind w:left="100" w:leftChars="2500"/>
    </w:p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unhideWhenUsed/>
    <w:qFormat/>
    <w:uiPriority w:val="39"/>
    <w:pPr>
      <w:ind w:left="1260" w:leftChars="600"/>
    </w:pPr>
    <w:rPr>
      <w:rFonts w:ascii="Calibri" w:hAnsi="Calibri"/>
      <w:szCs w:val="22"/>
    </w:rPr>
  </w:style>
  <w:style w:type="paragraph" w:styleId="23">
    <w:name w:val="toc 6"/>
    <w:basedOn w:val="1"/>
    <w:next w:val="1"/>
    <w:unhideWhenUsed/>
    <w:qFormat/>
    <w:uiPriority w:val="39"/>
    <w:pPr>
      <w:ind w:left="2100" w:leftChars="1000"/>
    </w:pPr>
    <w:rPr>
      <w:rFonts w:ascii="Calibri" w:hAnsi="Calibri"/>
      <w:szCs w:val="22"/>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Calibri" w:hAnsi="Calibri"/>
      <w:szCs w:val="22"/>
    </w:rPr>
  </w:style>
  <w:style w:type="paragraph" w:styleId="26">
    <w:name w:val="Normal (Web)"/>
    <w:basedOn w:val="1"/>
    <w:qFormat/>
    <w:uiPriority w:val="0"/>
    <w:pPr>
      <w:spacing w:after="113" w:line="225" w:lineRule="atLeast"/>
    </w:pPr>
    <w:rPr>
      <w:rFonts w:ascii="Helvetica" w:hAnsi="Helvetica" w:cs="宋体"/>
      <w:kern w:val="0"/>
      <w:sz w:val="16"/>
      <w:szCs w:val="16"/>
    </w:rPr>
  </w:style>
  <w:style w:type="paragraph" w:styleId="27">
    <w:name w:val="annotation subject"/>
    <w:basedOn w:val="8"/>
    <w:next w:val="8"/>
    <w:semiHidden/>
    <w:qFormat/>
    <w:uiPriority w:val="0"/>
    <w:rPr>
      <w:b/>
      <w:bCs/>
    </w:rPr>
  </w:style>
  <w:style w:type="paragraph" w:styleId="28">
    <w:name w:val="Body Text First Indent"/>
    <w:basedOn w:val="10"/>
    <w:link w:val="42"/>
    <w:qFormat/>
    <w:uiPriority w:val="0"/>
    <w:pPr>
      <w:spacing w:line="312" w:lineRule="auto"/>
      <w:ind w:firstLine="420"/>
    </w:pPr>
  </w:style>
  <w:style w:type="paragraph" w:styleId="29">
    <w:name w:val="Body Text First Indent 2"/>
    <w:basedOn w:val="11"/>
    <w:next w:val="30"/>
    <w:unhideWhenUsed/>
    <w:qFormat/>
    <w:uiPriority w:val="0"/>
    <w:pPr>
      <w:spacing w:line="256" w:lineRule="auto"/>
      <w:ind w:firstLine="420" w:firstLineChars="200"/>
    </w:pPr>
  </w:style>
  <w:style w:type="paragraph" w:customStyle="1" w:styleId="30">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semiHidden/>
    <w:qFormat/>
    <w:uiPriority w:val="99"/>
    <w:rPr>
      <w:sz w:val="21"/>
      <w:szCs w:val="21"/>
    </w:rPr>
  </w:style>
  <w:style w:type="paragraph" w:customStyle="1" w:styleId="38">
    <w:name w:val="样式 宋体 行距: 1.5 倍行距"/>
    <w:basedOn w:val="1"/>
    <w:qFormat/>
    <w:uiPriority w:val="0"/>
    <w:pPr>
      <w:jc w:val="center"/>
    </w:pPr>
    <w:rPr>
      <w:rFonts w:ascii="Calibri" w:hAnsi="Calibri"/>
      <w:b/>
    </w:rPr>
  </w:style>
  <w:style w:type="character" w:customStyle="1" w:styleId="39">
    <w:name w:val="标题 7 Char"/>
    <w:link w:val="6"/>
    <w:semiHidden/>
    <w:qFormat/>
    <w:uiPriority w:val="0"/>
    <w:rPr>
      <w:b/>
      <w:bCs/>
      <w:kern w:val="2"/>
      <w:sz w:val="24"/>
      <w:szCs w:val="24"/>
    </w:rPr>
  </w:style>
  <w:style w:type="character" w:customStyle="1" w:styleId="40">
    <w:name w:val="批注文字 Char"/>
    <w:link w:val="8"/>
    <w:semiHidden/>
    <w:qFormat/>
    <w:uiPriority w:val="99"/>
    <w:rPr>
      <w:kern w:val="2"/>
      <w:sz w:val="21"/>
      <w:szCs w:val="24"/>
    </w:rPr>
  </w:style>
  <w:style w:type="character" w:customStyle="1" w:styleId="41">
    <w:name w:val="纯文本 Char"/>
    <w:link w:val="15"/>
    <w:qFormat/>
    <w:uiPriority w:val="0"/>
    <w:rPr>
      <w:rFonts w:ascii="宋体" w:hAnsi="Courier New"/>
      <w:kern w:val="2"/>
      <w:sz w:val="21"/>
      <w:lang w:bidi="ar-SA"/>
    </w:rPr>
  </w:style>
  <w:style w:type="character" w:customStyle="1" w:styleId="42">
    <w:name w:val="正文首行缩进 Char"/>
    <w:link w:val="28"/>
    <w:qFormat/>
    <w:uiPriority w:val="0"/>
    <w:rPr>
      <w:kern w:val="2"/>
      <w:sz w:val="21"/>
      <w:szCs w:val="24"/>
    </w:rPr>
  </w:style>
  <w:style w:type="paragraph" w:customStyle="1" w:styleId="4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缩进1"/>
    <w:basedOn w:val="45"/>
    <w:qFormat/>
    <w:uiPriority w:val="0"/>
    <w:pPr>
      <w:spacing w:line="360" w:lineRule="auto"/>
      <w:ind w:firstLine="200" w:firstLineChars="200"/>
      <w:jc w:val="both"/>
    </w:pPr>
    <w:rPr>
      <w:rFonts w:ascii="Times New Roman" w:hAnsi="Times New Roman"/>
      <w:szCs w:val="22"/>
    </w:rPr>
  </w:style>
  <w:style w:type="paragraph" w:customStyle="1" w:styleId="45">
    <w:name w:val="正文1"/>
    <w:basedOn w:val="1"/>
    <w:qFormat/>
    <w:uiPriority w:val="0"/>
    <w:pPr>
      <w:adjustRightInd w:val="0"/>
      <w:spacing w:line="240" w:lineRule="atLeast"/>
      <w:jc w:val="center"/>
      <w:textAlignment w:val="baseline"/>
    </w:pPr>
    <w:rPr>
      <w:rFonts w:ascii="Tahoma" w:hAnsi="Tahoma"/>
      <w:sz w:val="24"/>
    </w:rPr>
  </w:style>
  <w:style w:type="paragraph" w:customStyle="1" w:styleId="46">
    <w:name w:val="_Style 11"/>
    <w:basedOn w:val="1"/>
    <w:qFormat/>
    <w:uiPriority w:val="0"/>
    <w:rPr>
      <w:sz w:val="30"/>
    </w:rPr>
  </w:style>
  <w:style w:type="paragraph" w:styleId="47">
    <w:name w:val="List Paragraph"/>
    <w:basedOn w:val="1"/>
    <w:qFormat/>
    <w:uiPriority w:val="99"/>
    <w:pPr>
      <w:ind w:firstLine="420" w:firstLineChars="200"/>
    </w:pPr>
  </w:style>
  <w:style w:type="paragraph" w:customStyle="1" w:styleId="48">
    <w:name w:val="_Style 50"/>
    <w:basedOn w:val="1"/>
    <w:qFormat/>
    <w:uiPriority w:val="0"/>
    <w:rPr>
      <w:sz w:val="30"/>
    </w:rPr>
  </w:style>
  <w:style w:type="paragraph" w:customStyle="1" w:styleId="49">
    <w:name w:val="_Style 44"/>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样式 宋体 小四 行距: 1.5 倍行距"/>
    <w:basedOn w:val="1"/>
    <w:qFormat/>
    <w:uiPriority w:val="0"/>
    <w:rPr>
      <w:rFonts w:ascii="宋体" w:hAnsi="宋体" w:cs="宋体"/>
      <w:sz w:val="28"/>
    </w:rPr>
  </w:style>
  <w:style w:type="paragraph" w:customStyle="1" w:styleId="52">
    <w:name w:val="_Style 21"/>
    <w:basedOn w:val="1"/>
    <w:next w:val="28"/>
    <w:qFormat/>
    <w:uiPriority w:val="0"/>
    <w:pPr>
      <w:spacing w:line="312" w:lineRule="auto"/>
      <w:ind w:firstLine="420"/>
    </w:pPr>
  </w:style>
  <w:style w:type="character" w:customStyle="1" w:styleId="53">
    <w:name w:val="NormalCharacter"/>
    <w:qFormat/>
    <w:uiPriority w:val="0"/>
    <w:rPr>
      <w:kern w:val="2"/>
      <w:sz w:val="21"/>
      <w:szCs w:val="22"/>
      <w:lang w:val="en-US" w:eastAsia="zh-CN" w:bidi="ar-SA"/>
    </w:rPr>
  </w:style>
  <w:style w:type="paragraph" w:customStyle="1" w:styleId="5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65</Pages>
  <Words>26708</Words>
  <Characters>28139</Characters>
  <Lines>90</Lines>
  <Paragraphs>73</Paragraphs>
  <TotalTime>42</TotalTime>
  <ScaleCrop>false</ScaleCrop>
  <LinksUpToDate>false</LinksUpToDate>
  <CharactersWithSpaces>29039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2023-01-17T13:29:00Z</dcterms:created>
  <dc:creator>JF</dc:creator>
  <cp:lastModifiedBy>Steven</cp:lastModifiedBy>
  <cp:lastPrinted>2023-08-09T02:01:00Z</cp:lastPrinted>
  <dcterms:modified xsi:type="dcterms:W3CDTF">2023-09-26T10:32:12Z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90390F0C5D3040F68DB15D8C3D6B4AF5_13</vt:lpwstr>
  </property>
</Properties>
</file>