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spacing w:line="360" w:lineRule="auto"/>
        <w:rPr>
          <w:rFonts w:ascii="宋体" w:hAnsi="宋体"/>
          <w:b/>
          <w:color w:val="auto"/>
          <w:sz w:val="52"/>
          <w:szCs w:val="52"/>
          <w:highlight w:val="none"/>
        </w:rPr>
      </w:pPr>
    </w:p>
    <w:p>
      <w:pPr>
        <w:spacing w:line="360" w:lineRule="auto"/>
        <w:jc w:val="center"/>
        <w:rPr>
          <w:rFonts w:ascii="宋体" w:hAnsi="宋体"/>
          <w:color w:val="auto"/>
          <w:sz w:val="36"/>
          <w:highlight w:val="none"/>
          <w:u w:val="single"/>
        </w:rPr>
      </w:pPr>
      <w:r>
        <w:rPr>
          <w:rFonts w:hint="eastAsia" w:ascii="宋体" w:hAnsi="宋体"/>
          <w:b/>
          <w:color w:val="auto"/>
          <w:sz w:val="52"/>
          <w:szCs w:val="52"/>
          <w:highlight w:val="none"/>
        </w:rPr>
        <w:t>叠景路改造工程</w:t>
      </w:r>
    </w:p>
    <w:p>
      <w:pPr>
        <w:spacing w:line="360" w:lineRule="auto"/>
        <w:jc w:val="center"/>
        <w:rPr>
          <w:rFonts w:ascii="宋体" w:hAnsi="宋体"/>
          <w:color w:val="auto"/>
          <w:sz w:val="36"/>
          <w:highlight w:val="none"/>
          <w:u w:val="single"/>
        </w:rPr>
      </w:pPr>
    </w:p>
    <w:p>
      <w:pPr>
        <w:spacing w:line="360" w:lineRule="auto"/>
        <w:jc w:val="center"/>
        <w:rPr>
          <w:rFonts w:ascii="宋体" w:hAnsi="宋体"/>
          <w:color w:val="auto"/>
          <w:sz w:val="36"/>
          <w:highlight w:val="none"/>
          <w:u w:val="single"/>
        </w:rPr>
      </w:pPr>
    </w:p>
    <w:p>
      <w:pPr>
        <w:pStyle w:val="8"/>
        <w:rPr>
          <w:color w:val="auto"/>
          <w:highlight w:val="none"/>
        </w:rPr>
      </w:pPr>
    </w:p>
    <w:p>
      <w:pPr>
        <w:spacing w:line="360" w:lineRule="auto"/>
        <w:jc w:val="center"/>
        <w:rPr>
          <w:rFonts w:ascii="宋体" w:hAnsi="宋体"/>
          <w:color w:val="auto"/>
          <w:sz w:val="36"/>
          <w:highlight w:val="none"/>
          <w:u w:val="single"/>
        </w:rPr>
      </w:pPr>
    </w:p>
    <w:p>
      <w:pPr>
        <w:spacing w:line="360" w:lineRule="auto"/>
        <w:jc w:val="center"/>
        <w:rPr>
          <w:rFonts w:ascii="宋体" w:hAnsi="宋体"/>
          <w:color w:val="auto"/>
          <w:sz w:val="36"/>
          <w:highlight w:val="none"/>
          <w:u w:val="single"/>
        </w:rPr>
      </w:pPr>
    </w:p>
    <w:p>
      <w:pPr>
        <w:spacing w:line="300" w:lineRule="auto"/>
        <w:jc w:val="center"/>
        <w:rPr>
          <w:rFonts w:ascii="宋体" w:hAnsi="宋体"/>
          <w:b/>
          <w:bCs/>
          <w:color w:val="auto"/>
          <w:spacing w:val="26"/>
          <w:sz w:val="96"/>
          <w:szCs w:val="96"/>
          <w:highlight w:val="none"/>
        </w:rPr>
      </w:pPr>
      <w:r>
        <w:rPr>
          <w:rFonts w:hint="eastAsia" w:ascii="宋体" w:hAnsi="宋体"/>
          <w:b/>
          <w:bCs/>
          <w:color w:val="auto"/>
          <w:spacing w:val="26"/>
          <w:sz w:val="96"/>
          <w:szCs w:val="96"/>
          <w:highlight w:val="none"/>
        </w:rPr>
        <w:t>招标文件</w:t>
      </w:r>
    </w:p>
    <w:p>
      <w:pPr>
        <w:spacing w:line="360" w:lineRule="auto"/>
        <w:jc w:val="center"/>
        <w:rPr>
          <w:rFonts w:ascii="宋体" w:hAnsi="宋体"/>
          <w:color w:val="auto"/>
          <w:sz w:val="32"/>
          <w:highlight w:val="none"/>
        </w:rPr>
      </w:pPr>
    </w:p>
    <w:p>
      <w:pPr>
        <w:spacing w:line="360" w:lineRule="auto"/>
        <w:ind w:firstLine="2560" w:firstLineChars="800"/>
        <w:rPr>
          <w:rFonts w:ascii="宋体" w:hAnsi="宋体"/>
          <w:color w:val="auto"/>
          <w:sz w:val="32"/>
          <w:highlight w:val="none"/>
        </w:rPr>
      </w:pPr>
    </w:p>
    <w:p>
      <w:pPr>
        <w:spacing w:line="360" w:lineRule="auto"/>
        <w:rPr>
          <w:rFonts w:ascii="宋体" w:hAnsi="宋体"/>
          <w:color w:val="auto"/>
          <w:sz w:val="52"/>
          <w:highlight w:val="none"/>
        </w:rPr>
      </w:pPr>
    </w:p>
    <w:p>
      <w:pPr>
        <w:spacing w:line="360" w:lineRule="auto"/>
        <w:rPr>
          <w:rFonts w:ascii="宋体" w:hAnsi="宋体"/>
          <w:color w:val="auto"/>
          <w:sz w:val="52"/>
          <w:highlight w:val="none"/>
        </w:rPr>
      </w:pPr>
    </w:p>
    <w:p>
      <w:pPr>
        <w:spacing w:line="360" w:lineRule="auto"/>
        <w:rPr>
          <w:rFonts w:ascii="宋体" w:hAnsi="宋体"/>
          <w:color w:val="auto"/>
          <w:sz w:val="52"/>
          <w:highlight w:val="none"/>
        </w:rPr>
      </w:pPr>
    </w:p>
    <w:p>
      <w:pPr>
        <w:spacing w:line="360" w:lineRule="auto"/>
        <w:ind w:firstLine="1500" w:firstLineChars="500"/>
        <w:rPr>
          <w:rFonts w:ascii="宋体" w:hAnsi="宋体"/>
          <w:color w:val="auto"/>
          <w:sz w:val="30"/>
          <w:szCs w:val="30"/>
          <w:highlight w:val="none"/>
        </w:rPr>
      </w:pPr>
      <w:r>
        <w:rPr>
          <w:rFonts w:hint="eastAsia" w:ascii="宋体" w:hAnsi="宋体"/>
          <w:color w:val="auto"/>
          <w:sz w:val="30"/>
          <w:szCs w:val="30"/>
          <w:highlight w:val="none"/>
        </w:rPr>
        <w:t>招标单位：</w:t>
      </w:r>
      <w:r>
        <w:rPr>
          <w:rFonts w:hint="eastAsia" w:ascii="宋体" w:hAnsi="宋体"/>
          <w:color w:val="auto"/>
          <w:sz w:val="30"/>
          <w:szCs w:val="30"/>
          <w:highlight w:val="none"/>
          <w:u w:val="single"/>
        </w:rPr>
        <w:t>广州市海珠区重点工程项目建设中心</w:t>
      </w:r>
    </w:p>
    <w:p>
      <w:pPr>
        <w:spacing w:line="360" w:lineRule="auto"/>
        <w:ind w:firstLine="1500" w:firstLineChars="500"/>
        <w:rPr>
          <w:rFonts w:ascii="宋体" w:hAnsi="宋体"/>
          <w:color w:val="auto"/>
          <w:sz w:val="30"/>
          <w:szCs w:val="30"/>
          <w:highlight w:val="none"/>
          <w:u w:val="single"/>
        </w:rPr>
      </w:pPr>
      <w:r>
        <w:rPr>
          <w:rFonts w:hint="eastAsia" w:ascii="宋体" w:hAnsi="宋体"/>
          <w:color w:val="auto"/>
          <w:sz w:val="30"/>
          <w:szCs w:val="30"/>
          <w:highlight w:val="none"/>
        </w:rPr>
        <w:t>招标代理单位：</w:t>
      </w:r>
      <w:r>
        <w:rPr>
          <w:rFonts w:hint="eastAsia" w:ascii="宋体" w:hAnsi="宋体"/>
          <w:color w:val="auto"/>
          <w:sz w:val="30"/>
          <w:szCs w:val="30"/>
          <w:highlight w:val="none"/>
          <w:u w:val="single"/>
        </w:rPr>
        <w:t>广州高新工程顾问有限公司</w:t>
      </w:r>
    </w:p>
    <w:p>
      <w:pPr>
        <w:spacing w:line="360" w:lineRule="auto"/>
        <w:ind w:firstLine="1500" w:firstLineChars="500"/>
        <w:rPr>
          <w:rFonts w:ascii="宋体" w:hAnsi="宋体"/>
          <w:color w:val="auto"/>
          <w:sz w:val="30"/>
          <w:szCs w:val="30"/>
          <w:highlight w:val="none"/>
        </w:rPr>
      </w:pPr>
      <w:r>
        <w:rPr>
          <w:rFonts w:hint="eastAsia" w:ascii="宋体" w:hAnsi="宋体"/>
          <w:color w:val="auto"/>
          <w:sz w:val="30"/>
          <w:szCs w:val="30"/>
          <w:highlight w:val="none"/>
        </w:rPr>
        <w:t>日        期：</w:t>
      </w:r>
      <w:r>
        <w:rPr>
          <w:rFonts w:hint="eastAsia" w:ascii="宋体" w:hAnsi="宋体"/>
          <w:color w:val="auto"/>
          <w:sz w:val="30"/>
          <w:szCs w:val="30"/>
          <w:highlight w:val="none"/>
          <w:u w:val="single"/>
        </w:rPr>
        <w:t>2023年 9月</w:t>
      </w:r>
    </w:p>
    <w:p>
      <w:pPr>
        <w:jc w:val="center"/>
        <w:rPr>
          <w:rFonts w:ascii="宋体" w:hAnsi="宋体"/>
          <w:b/>
          <w:caps/>
          <w:color w:val="auto"/>
          <w:kern w:val="0"/>
          <w:sz w:val="44"/>
          <w:szCs w:val="44"/>
          <w:highlight w:val="none"/>
        </w:rPr>
      </w:pPr>
      <w:r>
        <w:rPr>
          <w:rStyle w:val="23"/>
          <w:rFonts w:hint="default" w:ascii="宋体" w:hAnsi="宋体"/>
          <w:b/>
          <w:bCs/>
          <w:color w:val="auto"/>
          <w:highlight w:val="none"/>
        </w:rPr>
        <w:br w:type="page"/>
      </w:r>
      <w:r>
        <w:rPr>
          <w:rStyle w:val="23"/>
          <w:rFonts w:hint="default" w:ascii="宋体" w:hAnsi="宋体"/>
          <w:b/>
          <w:bCs/>
          <w:color w:val="auto"/>
          <w:sz w:val="44"/>
          <w:szCs w:val="44"/>
          <w:highlight w:val="none"/>
        </w:rPr>
        <w:t>目   录</w:t>
      </w:r>
    </w:p>
    <w:p>
      <w:pPr>
        <w:pStyle w:val="16"/>
        <w:tabs>
          <w:tab w:val="right" w:leader="dot" w:pos="9060"/>
        </w:tabs>
        <w:rPr>
          <w:rFonts w:cs="Times New Roman"/>
          <w:b w:val="0"/>
          <w:bCs w:val="0"/>
          <w:caps w:val="0"/>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color w:val="auto"/>
          <w:highlight w:val="none"/>
        </w:rPr>
        <w:fldChar w:fldCharType="begin"/>
      </w:r>
      <w:r>
        <w:rPr>
          <w:color w:val="auto"/>
          <w:highlight w:val="none"/>
        </w:rPr>
        <w:instrText xml:space="preserve"> HYPERLINK \l "_Toc130979516" </w:instrText>
      </w:r>
      <w:r>
        <w:rPr>
          <w:color w:val="auto"/>
          <w:highlight w:val="none"/>
        </w:rPr>
        <w:fldChar w:fldCharType="separate"/>
      </w:r>
      <w:r>
        <w:rPr>
          <w:rStyle w:val="23"/>
          <w:rFonts w:hint="default" w:ascii="宋体" w:hAnsi="宋体"/>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_Toc130979516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7"/>
        <w:tabs>
          <w:tab w:val="right" w:leader="dot" w:pos="9060"/>
        </w:tabs>
        <w:rPr>
          <w:rFonts w:cs="Times New Roman"/>
          <w:smallCaps w:val="0"/>
          <w:color w:val="auto"/>
          <w:sz w:val="21"/>
          <w:szCs w:val="22"/>
          <w:highlight w:val="none"/>
        </w:rPr>
      </w:pPr>
      <w:r>
        <w:rPr>
          <w:color w:val="auto"/>
          <w:highlight w:val="none"/>
        </w:rPr>
        <w:fldChar w:fldCharType="begin"/>
      </w:r>
      <w:r>
        <w:rPr>
          <w:color w:val="auto"/>
          <w:highlight w:val="none"/>
        </w:rPr>
        <w:instrText xml:space="preserve"> HYPERLINK \l "_Toc130979517" </w:instrText>
      </w:r>
      <w:r>
        <w:rPr>
          <w:color w:val="auto"/>
          <w:highlight w:val="none"/>
        </w:rPr>
        <w:fldChar w:fldCharType="separate"/>
      </w:r>
      <w:r>
        <w:rPr>
          <w:rStyle w:val="23"/>
          <w:rFonts w:hint="default"/>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_Toc130979517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6"/>
        <w:tabs>
          <w:tab w:val="right" w:leader="dot" w:pos="9060"/>
        </w:tabs>
        <w:rPr>
          <w:rFonts w:cs="Times New Roman"/>
          <w:b w:val="0"/>
          <w:bCs w:val="0"/>
          <w:caps w:val="0"/>
          <w:color w:val="auto"/>
          <w:sz w:val="21"/>
          <w:szCs w:val="22"/>
          <w:highlight w:val="none"/>
        </w:rPr>
      </w:pPr>
      <w:r>
        <w:rPr>
          <w:color w:val="auto"/>
          <w:highlight w:val="none"/>
        </w:rPr>
        <w:fldChar w:fldCharType="begin"/>
      </w:r>
      <w:r>
        <w:rPr>
          <w:color w:val="auto"/>
          <w:highlight w:val="none"/>
        </w:rPr>
        <w:instrText xml:space="preserve"> HYPERLINK \l "_Toc130979525" </w:instrText>
      </w:r>
      <w:r>
        <w:rPr>
          <w:color w:val="auto"/>
          <w:highlight w:val="none"/>
        </w:rPr>
        <w:fldChar w:fldCharType="separate"/>
      </w:r>
      <w:r>
        <w:rPr>
          <w:rStyle w:val="23"/>
          <w:rFonts w:hint="default" w:ascii="宋体" w:hAnsi="宋体"/>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_Toc130979525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7"/>
        <w:tabs>
          <w:tab w:val="right" w:leader="dot" w:pos="9060"/>
        </w:tabs>
        <w:rPr>
          <w:rFonts w:cs="Times New Roman"/>
          <w:smallCaps w:val="0"/>
          <w:color w:val="auto"/>
          <w:sz w:val="21"/>
          <w:szCs w:val="22"/>
          <w:highlight w:val="none"/>
        </w:rPr>
      </w:pPr>
      <w:r>
        <w:rPr>
          <w:color w:val="auto"/>
          <w:highlight w:val="none"/>
        </w:rPr>
        <w:fldChar w:fldCharType="begin"/>
      </w:r>
      <w:r>
        <w:rPr>
          <w:color w:val="auto"/>
          <w:highlight w:val="none"/>
        </w:rPr>
        <w:instrText xml:space="preserve"> HYPERLINK \l "_Toc130979526" </w:instrText>
      </w:r>
      <w:r>
        <w:rPr>
          <w:color w:val="auto"/>
          <w:highlight w:val="none"/>
        </w:rPr>
        <w:fldChar w:fldCharType="separate"/>
      </w:r>
      <w:r>
        <w:rPr>
          <w:rStyle w:val="23"/>
          <w:rFonts w:hint="default"/>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_Toc130979526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6"/>
        <w:tabs>
          <w:tab w:val="right" w:leader="dot" w:pos="9060"/>
        </w:tabs>
        <w:rPr>
          <w:rFonts w:cs="Times New Roman"/>
          <w:b w:val="0"/>
          <w:bCs w:val="0"/>
          <w:caps w:val="0"/>
          <w:color w:val="auto"/>
          <w:sz w:val="21"/>
          <w:szCs w:val="22"/>
          <w:highlight w:val="none"/>
        </w:rPr>
      </w:pPr>
      <w:r>
        <w:rPr>
          <w:color w:val="auto"/>
          <w:highlight w:val="none"/>
        </w:rPr>
        <w:fldChar w:fldCharType="begin"/>
      </w:r>
      <w:r>
        <w:rPr>
          <w:color w:val="auto"/>
          <w:highlight w:val="none"/>
        </w:rPr>
        <w:instrText xml:space="preserve"> HYPERLINK \l "_Toc130979531" </w:instrText>
      </w:r>
      <w:r>
        <w:rPr>
          <w:color w:val="auto"/>
          <w:highlight w:val="none"/>
        </w:rPr>
        <w:fldChar w:fldCharType="separate"/>
      </w:r>
      <w:r>
        <w:rPr>
          <w:rStyle w:val="23"/>
          <w:rFonts w:hint="default" w:ascii="宋体" w:hAnsi="宋体"/>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_Toc130979531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16"/>
        <w:tabs>
          <w:tab w:val="right" w:leader="dot" w:pos="9060"/>
        </w:tabs>
        <w:rPr>
          <w:rFonts w:cs="Times New Roman"/>
          <w:b w:val="0"/>
          <w:bCs w:val="0"/>
          <w:caps w:val="0"/>
          <w:color w:val="auto"/>
          <w:sz w:val="21"/>
          <w:szCs w:val="22"/>
          <w:highlight w:val="none"/>
        </w:rPr>
      </w:pPr>
      <w:r>
        <w:rPr>
          <w:color w:val="auto"/>
          <w:highlight w:val="none"/>
        </w:rPr>
        <w:fldChar w:fldCharType="begin"/>
      </w:r>
      <w:r>
        <w:rPr>
          <w:color w:val="auto"/>
          <w:highlight w:val="none"/>
        </w:rPr>
        <w:instrText xml:space="preserve"> HYPERLINK \l "_Toc130979532" </w:instrText>
      </w:r>
      <w:r>
        <w:rPr>
          <w:color w:val="auto"/>
          <w:highlight w:val="none"/>
        </w:rPr>
        <w:fldChar w:fldCharType="separate"/>
      </w:r>
      <w:r>
        <w:rPr>
          <w:rStyle w:val="23"/>
          <w:rFonts w:hint="default" w:ascii="宋体" w:hAnsi="宋体"/>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_Toc130979532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16"/>
        <w:tabs>
          <w:tab w:val="right" w:leader="dot" w:pos="9060"/>
        </w:tabs>
        <w:rPr>
          <w:rFonts w:cs="Times New Roman"/>
          <w:b w:val="0"/>
          <w:bCs w:val="0"/>
          <w:caps w:val="0"/>
          <w:color w:val="auto"/>
          <w:sz w:val="21"/>
          <w:szCs w:val="22"/>
          <w:highlight w:val="none"/>
        </w:rPr>
      </w:pPr>
      <w:r>
        <w:rPr>
          <w:color w:val="auto"/>
          <w:highlight w:val="none"/>
        </w:rPr>
        <w:fldChar w:fldCharType="begin"/>
      </w:r>
      <w:r>
        <w:rPr>
          <w:color w:val="auto"/>
          <w:highlight w:val="none"/>
        </w:rPr>
        <w:instrText xml:space="preserve"> HYPERLINK \l "_Toc130979536" </w:instrText>
      </w:r>
      <w:r>
        <w:rPr>
          <w:color w:val="auto"/>
          <w:highlight w:val="none"/>
        </w:rPr>
        <w:fldChar w:fldCharType="separate"/>
      </w:r>
      <w:r>
        <w:rPr>
          <w:rStyle w:val="23"/>
          <w:rFonts w:hint="default" w:ascii="宋体" w:hAnsi="宋体"/>
          <w:color w:val="auto"/>
          <w:kern w:val="44"/>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_Toc130979536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pPr>
        <w:pStyle w:val="16"/>
        <w:tabs>
          <w:tab w:val="right" w:leader="dot" w:pos="9060"/>
        </w:tabs>
        <w:rPr>
          <w:rFonts w:cs="Times New Roman"/>
          <w:b w:val="0"/>
          <w:bCs w:val="0"/>
          <w:caps w:val="0"/>
          <w:color w:val="auto"/>
          <w:sz w:val="21"/>
          <w:szCs w:val="22"/>
          <w:highlight w:val="none"/>
        </w:rPr>
      </w:pPr>
      <w:r>
        <w:rPr>
          <w:color w:val="auto"/>
          <w:highlight w:val="none"/>
        </w:rPr>
        <w:fldChar w:fldCharType="begin"/>
      </w:r>
      <w:r>
        <w:rPr>
          <w:color w:val="auto"/>
          <w:highlight w:val="none"/>
        </w:rPr>
        <w:instrText xml:space="preserve"> HYPERLINK \l "_Toc130979543" </w:instrText>
      </w:r>
      <w:r>
        <w:rPr>
          <w:color w:val="auto"/>
          <w:highlight w:val="none"/>
        </w:rPr>
        <w:fldChar w:fldCharType="separate"/>
      </w:r>
      <w:r>
        <w:rPr>
          <w:rStyle w:val="23"/>
          <w:rFonts w:hint="default"/>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_Toc130979543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16"/>
        <w:tabs>
          <w:tab w:val="right" w:leader="dot" w:pos="9060"/>
        </w:tabs>
        <w:rPr>
          <w:rFonts w:cs="Times New Roman"/>
          <w:b w:val="0"/>
          <w:bCs w:val="0"/>
          <w:caps w:val="0"/>
          <w:color w:val="auto"/>
          <w:sz w:val="21"/>
          <w:szCs w:val="22"/>
          <w:highlight w:val="none"/>
        </w:rPr>
      </w:pPr>
      <w:r>
        <w:rPr>
          <w:color w:val="auto"/>
          <w:highlight w:val="none"/>
        </w:rPr>
        <w:fldChar w:fldCharType="begin"/>
      </w:r>
      <w:r>
        <w:rPr>
          <w:color w:val="auto"/>
          <w:highlight w:val="none"/>
        </w:rPr>
        <w:instrText xml:space="preserve"> HYPERLINK \l "_Toc130979545" </w:instrText>
      </w:r>
      <w:r>
        <w:rPr>
          <w:color w:val="auto"/>
          <w:highlight w:val="none"/>
        </w:rPr>
        <w:fldChar w:fldCharType="separate"/>
      </w:r>
      <w:r>
        <w:rPr>
          <w:rStyle w:val="23"/>
          <w:rFonts w:hint="default"/>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_Toc130979545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16"/>
        <w:tabs>
          <w:tab w:val="right" w:leader="dot" w:pos="9060"/>
        </w:tabs>
        <w:rPr>
          <w:rFonts w:cs="Times New Roman"/>
          <w:b w:val="0"/>
          <w:bCs w:val="0"/>
          <w:caps w:val="0"/>
          <w:color w:val="auto"/>
          <w:sz w:val="21"/>
          <w:szCs w:val="22"/>
          <w:highlight w:val="none"/>
        </w:rPr>
      </w:pPr>
      <w:r>
        <w:rPr>
          <w:color w:val="auto"/>
          <w:highlight w:val="none"/>
        </w:rPr>
        <w:fldChar w:fldCharType="begin"/>
      </w:r>
      <w:r>
        <w:rPr>
          <w:color w:val="auto"/>
          <w:highlight w:val="none"/>
        </w:rPr>
        <w:instrText xml:space="preserve"> HYPERLINK \l "_Toc130979547" </w:instrText>
      </w:r>
      <w:r>
        <w:rPr>
          <w:color w:val="auto"/>
          <w:highlight w:val="none"/>
        </w:rPr>
        <w:fldChar w:fldCharType="separate"/>
      </w:r>
      <w:r>
        <w:rPr>
          <w:rStyle w:val="23"/>
          <w:rFonts w:hint="default"/>
          <w:color w:val="auto"/>
          <w:highlight w:val="none"/>
        </w:rPr>
        <w:t>第八章  最高投</w:t>
      </w:r>
      <w:bookmarkStart w:id="0" w:name="_Hlt141369662"/>
      <w:r>
        <w:rPr>
          <w:rStyle w:val="23"/>
          <w:rFonts w:hint="default"/>
          <w:color w:val="auto"/>
          <w:highlight w:val="none"/>
        </w:rPr>
        <w:t>标</w:t>
      </w:r>
      <w:bookmarkEnd w:id="0"/>
      <w:r>
        <w:rPr>
          <w:rStyle w:val="23"/>
          <w:rFonts w:hint="default"/>
          <w:color w:val="auto"/>
          <w:highlight w:val="none"/>
        </w:rPr>
        <w:t>限价</w:t>
      </w:r>
      <w:r>
        <w:rPr>
          <w:color w:val="auto"/>
          <w:highlight w:val="none"/>
        </w:rPr>
        <w:tab/>
      </w:r>
      <w:r>
        <w:rPr>
          <w:color w:val="auto"/>
          <w:highlight w:val="none"/>
        </w:rPr>
        <w:fldChar w:fldCharType="begin"/>
      </w:r>
      <w:r>
        <w:rPr>
          <w:color w:val="auto"/>
          <w:highlight w:val="none"/>
        </w:rPr>
        <w:instrText xml:space="preserve"> PAGEREF _Toc130979547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26"/>
        <w:rPr>
          <w:color w:val="auto"/>
          <w:highlight w:val="none"/>
        </w:rPr>
      </w:pPr>
      <w:r>
        <w:rPr>
          <w:color w:val="auto"/>
          <w:highlight w:val="none"/>
        </w:rPr>
        <w:fldChar w:fldCharType="end"/>
      </w:r>
    </w:p>
    <w:p>
      <w:pPr>
        <w:pStyle w:val="26"/>
        <w:rPr>
          <w:color w:val="auto"/>
          <w:highlight w:val="none"/>
        </w:rPr>
      </w:pPr>
      <w:r>
        <w:rPr>
          <w:color w:val="auto"/>
          <w:highlight w:val="none"/>
        </w:rPr>
        <w:br w:type="page"/>
      </w:r>
    </w:p>
    <w:p>
      <w:pPr>
        <w:pStyle w:val="3"/>
        <w:spacing w:before="0" w:after="0"/>
        <w:rPr>
          <w:rFonts w:ascii="宋体" w:hAnsi="宋体"/>
          <w:color w:val="auto"/>
          <w:highlight w:val="none"/>
        </w:rPr>
      </w:pPr>
      <w:bookmarkStart w:id="1" w:name="_Toc130979516"/>
      <w:r>
        <w:rPr>
          <w:rFonts w:hint="eastAsia" w:ascii="宋体" w:hAnsi="宋体"/>
          <w:color w:val="auto"/>
          <w:highlight w:val="none"/>
        </w:rPr>
        <w:t>第一章投标须知</w:t>
      </w:r>
      <w:bookmarkEnd w:id="1"/>
    </w:p>
    <w:p>
      <w:pPr>
        <w:pStyle w:val="7"/>
        <w:rPr>
          <w:color w:val="auto"/>
          <w:highlight w:val="none"/>
        </w:rPr>
      </w:pPr>
      <w:bookmarkStart w:id="2" w:name="_Toc130979517"/>
      <w:bookmarkStart w:id="3" w:name="_Toc60818614"/>
      <w:r>
        <w:rPr>
          <w:rFonts w:hint="eastAsia"/>
          <w:color w:val="auto"/>
          <w:highlight w:val="none"/>
        </w:rPr>
        <w:t>一、投标须知前附表</w:t>
      </w:r>
      <w:bookmarkEnd w:id="2"/>
      <w:bookmarkEnd w:id="3"/>
    </w:p>
    <w:p>
      <w:pPr>
        <w:pStyle w:val="8"/>
        <w:spacing w:line="360" w:lineRule="auto"/>
        <w:ind w:firstLine="0"/>
        <w:rPr>
          <w:rFonts w:ascii="宋体" w:hAnsi="宋体"/>
          <w:b/>
          <w:color w:val="auto"/>
          <w:szCs w:val="21"/>
          <w:highlight w:val="none"/>
        </w:rPr>
      </w:pPr>
      <w:r>
        <w:rPr>
          <w:rFonts w:hint="eastAsia" w:ascii="宋体" w:hAnsi="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p>
      <w:pPr>
        <w:pStyle w:val="8"/>
        <w:rPr>
          <w:color w:val="auto"/>
          <w:highlight w:val="none"/>
        </w:rPr>
      </w:pPr>
    </w:p>
    <w:tbl>
      <w:tblPr>
        <w:tblStyle w:val="20"/>
        <w:tblW w:w="932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66"/>
        <w:gridCol w:w="1967"/>
        <w:gridCol w:w="56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trPr>
        <w:tc>
          <w:tcPr>
            <w:tcW w:w="702" w:type="dxa"/>
            <w:tcBorders>
              <w:top w:val="doub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66" w:type="dxa"/>
            <w:tcBorders>
              <w:top w:val="doub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967" w:type="dxa"/>
            <w:tcBorders>
              <w:top w:val="double" w:color="auto" w:sz="4" w:space="0"/>
              <w:left w:val="single" w:color="auto" w:sz="4" w:space="0"/>
              <w:bottom w:val="single" w:color="auto" w:sz="4" w:space="0"/>
              <w:right w:val="single" w:color="auto" w:sz="4" w:space="0"/>
            </w:tcBorders>
            <w:noWrap/>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685" w:type="dxa"/>
            <w:tcBorders>
              <w:top w:val="double" w:color="auto" w:sz="4" w:space="0"/>
              <w:left w:val="single" w:color="auto" w:sz="4" w:space="0"/>
              <w:bottom w:val="single" w:color="auto" w:sz="4" w:space="0"/>
              <w:right w:val="double" w:color="auto" w:sz="4" w:space="0"/>
            </w:tcBorders>
            <w:noWrap/>
            <w:vAlign w:val="center"/>
          </w:tcPr>
          <w:p>
            <w:pPr>
              <w:pStyle w:val="12"/>
              <w:ind w:firstLine="458"/>
              <w:jc w:val="center"/>
              <w:rPr>
                <w:rFonts w:ascii="宋体" w:hAnsi="宋体" w:cs="Calibri"/>
                <w:color w:val="auto"/>
                <w:kern w:val="2"/>
                <w:sz w:val="21"/>
                <w:szCs w:val="21"/>
                <w:highlight w:val="none"/>
              </w:rPr>
            </w:pPr>
            <w:r>
              <w:rPr>
                <w:rFonts w:hint="eastAsia" w:ascii="宋体" w:hAnsi="宋体" w:cs="Calibri"/>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rPr>
              <w:t>广州市海珠区重点工程项目建设中心</w:t>
            </w:r>
          </w:p>
          <w:p>
            <w:pPr>
              <w:rPr>
                <w:rFonts w:ascii="宋体" w:hAnsi="宋体"/>
                <w:color w:val="auto"/>
                <w:szCs w:val="21"/>
                <w:highlight w:val="none"/>
              </w:rPr>
            </w:pPr>
            <w:r>
              <w:rPr>
                <w:rFonts w:hint="eastAsia" w:ascii="宋体" w:hAnsi="宋体"/>
                <w:color w:val="auto"/>
                <w:szCs w:val="21"/>
                <w:highlight w:val="none"/>
              </w:rPr>
              <w:t>项目建设管理单位：</w:t>
            </w:r>
            <w:r>
              <w:rPr>
                <w:rFonts w:hint="eastAsia" w:ascii="宋体" w:hAnsi="宋体"/>
                <w:color w:val="auto"/>
                <w:szCs w:val="21"/>
                <w:highlight w:val="none"/>
                <w:u w:val="single"/>
              </w:rPr>
              <w:t>/</w:t>
            </w:r>
          </w:p>
          <w:p>
            <w:pPr>
              <w:rPr>
                <w:rFonts w:ascii="宋体" w:hAnsi="宋体"/>
                <w:color w:val="auto"/>
                <w:szCs w:val="21"/>
                <w:highlight w:val="none"/>
              </w:rPr>
            </w:pPr>
            <w:r>
              <w:rPr>
                <w:rFonts w:hint="eastAsia" w:ascii="宋体" w:hAnsi="宋体"/>
                <w:color w:val="auto"/>
                <w:szCs w:val="21"/>
                <w:highlight w:val="none"/>
              </w:rPr>
              <w:t>招标代理：</w:t>
            </w:r>
            <w:r>
              <w:rPr>
                <w:rFonts w:hint="eastAsia" w:ascii="宋体" w:hAnsi="宋体"/>
                <w:color w:val="auto"/>
                <w:szCs w:val="21"/>
                <w:highlight w:val="none"/>
                <w:u w:val="single"/>
              </w:rPr>
              <w:t xml:space="preserve">广州高新工程顾问有限公司  </w:t>
            </w:r>
          </w:p>
          <w:p>
            <w:pPr>
              <w:rPr>
                <w:rFonts w:ascii="宋体" w:hAnsi="宋体"/>
                <w:color w:val="auto"/>
                <w:szCs w:val="21"/>
                <w:highlight w:val="none"/>
              </w:rPr>
            </w:pPr>
            <w:r>
              <w:rPr>
                <w:rFonts w:hint="eastAsia" w:ascii="宋体" w:hAnsi="宋体"/>
                <w:color w:val="auto"/>
                <w:szCs w:val="21"/>
                <w:highlight w:val="none"/>
              </w:rPr>
              <w:t>设计单位：</w:t>
            </w:r>
            <w:r>
              <w:rPr>
                <w:rFonts w:hint="eastAsia" w:ascii="宋体" w:hAnsi="宋体" w:cs="宋体"/>
                <w:color w:val="auto"/>
                <w:szCs w:val="21"/>
                <w:highlight w:val="none"/>
                <w:u w:val="single"/>
              </w:rPr>
              <w:t>广州市市政集团设计院有限公司</w:t>
            </w:r>
          </w:p>
          <w:p>
            <w:pPr>
              <w:rPr>
                <w:rFonts w:ascii="宋体" w:hAnsi="宋体"/>
                <w:color w:val="auto"/>
                <w:szCs w:val="21"/>
                <w:highlight w:val="none"/>
              </w:rPr>
            </w:pPr>
            <w:r>
              <w:rPr>
                <w:rFonts w:hint="eastAsia" w:ascii="宋体" w:hAnsi="宋体"/>
                <w:color w:val="auto"/>
                <w:szCs w:val="21"/>
                <w:highlight w:val="none"/>
              </w:rPr>
              <w:t>监理单位：</w:t>
            </w:r>
            <w:r>
              <w:rPr>
                <w:rFonts w:hint="eastAsia" w:ascii="宋体" w:hAnsi="宋体"/>
                <w:color w:val="auto"/>
                <w:szCs w:val="21"/>
                <w:highlight w:val="none"/>
                <w:u w:val="single"/>
              </w:rPr>
              <w:t>/</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2</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2.2</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u w:val="single"/>
              </w:rPr>
            </w:pPr>
            <w:r>
              <w:rPr>
                <w:rFonts w:hint="eastAsia" w:ascii="宋体" w:hAnsi="宋体"/>
                <w:color w:val="auto"/>
                <w:szCs w:val="21"/>
                <w:highlight w:val="none"/>
                <w:u w:val="single"/>
              </w:rPr>
              <w:t>叠景路改造工程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3</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2.2</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4</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2.2</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5</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2.2</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包工、包料、包工期、包质量、包安全、包文明施工、综合单价包干、项目措施费按费率包干、预算包干费包干。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6</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2.2</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685" w:type="dxa"/>
            <w:tcBorders>
              <w:top w:val="single" w:color="auto" w:sz="4" w:space="0"/>
              <w:left w:val="single" w:color="auto" w:sz="4" w:space="0"/>
              <w:bottom w:val="single" w:color="auto" w:sz="4" w:space="0"/>
              <w:right w:val="double" w:color="auto" w:sz="4" w:space="0"/>
            </w:tcBorders>
            <w:noWrap/>
            <w:vAlign w:val="bottom"/>
          </w:tcPr>
          <w:p>
            <w:pPr>
              <w:pStyle w:val="25"/>
              <w:ind w:firstLine="0" w:firstLineChars="0"/>
              <w:jc w:val="left"/>
              <w:rPr>
                <w:rFonts w:ascii="宋体" w:hAnsi="宋体" w:cs="Calibri"/>
                <w:color w:val="auto"/>
                <w:spacing w:val="0"/>
                <w:kern w:val="2"/>
                <w:sz w:val="21"/>
                <w:szCs w:val="21"/>
                <w:highlight w:val="none"/>
                <w:u w:val="single"/>
              </w:rPr>
            </w:pPr>
            <w:r>
              <w:rPr>
                <w:rFonts w:hint="eastAsia" w:ascii="宋体" w:hAnsi="宋体" w:cs="Calibri"/>
                <w:color w:val="auto"/>
                <w:sz w:val="21"/>
                <w:szCs w:val="21"/>
                <w:highlight w:val="none"/>
                <w:u w:val="single"/>
              </w:rPr>
              <w:t>竣工验收合格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7</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2.2</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685" w:type="dxa"/>
            <w:tcBorders>
              <w:top w:val="single" w:color="auto" w:sz="4" w:space="0"/>
              <w:left w:val="single" w:color="auto" w:sz="4" w:space="0"/>
              <w:bottom w:val="single" w:color="auto" w:sz="4" w:space="0"/>
              <w:right w:val="double" w:color="auto" w:sz="4" w:space="0"/>
            </w:tcBorders>
            <w:noWrap/>
            <w:vAlign w:val="center"/>
          </w:tcPr>
          <w:p>
            <w:pPr>
              <w:spacing w:line="320" w:lineRule="exact"/>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8</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2.2</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u w:val="single"/>
              </w:rPr>
              <w:t>具体开工时间以发包人下发的开工指令中的日期为准。施工总工期：450日历天。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9</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3.1</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u w:val="single"/>
              </w:rPr>
            </w:pPr>
            <w:r>
              <w:rPr>
                <w:rFonts w:hint="eastAsia" w:ascii="宋体" w:hAnsi="宋体"/>
                <w:color w:val="auto"/>
                <w:szCs w:val="21"/>
                <w:highlight w:val="none"/>
                <w:u w:val="single"/>
              </w:rPr>
              <w:t>区财政资金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10</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4.1</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11</w:t>
            </w:r>
          </w:p>
        </w:tc>
        <w:tc>
          <w:tcPr>
            <w:tcW w:w="966" w:type="dxa"/>
            <w:tcBorders>
              <w:top w:val="single" w:color="auto" w:sz="4" w:space="0"/>
              <w:left w:val="single" w:color="auto" w:sz="4" w:space="0"/>
              <w:bottom w:val="single" w:color="auto" w:sz="4" w:space="0"/>
              <w:right w:val="single" w:color="auto" w:sz="4" w:space="0"/>
            </w:tcBorders>
            <w:noWrap/>
            <w:vAlign w:val="center"/>
          </w:tcPr>
          <w:p>
            <w:pPr>
              <w:ind w:firstLine="458"/>
              <w:rPr>
                <w:rFonts w:ascii="宋体" w:hAnsi="宋体"/>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12</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13.1</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685" w:type="dxa"/>
            <w:tcBorders>
              <w:top w:val="single" w:color="auto" w:sz="4" w:space="0"/>
              <w:left w:val="single" w:color="auto" w:sz="4" w:space="0"/>
              <w:bottom w:val="single" w:color="auto" w:sz="4" w:space="0"/>
              <w:right w:val="double" w:color="auto" w:sz="4" w:space="0"/>
            </w:tcBorders>
            <w:noWrap/>
            <w:vAlign w:val="center"/>
          </w:tcPr>
          <w:p>
            <w:pPr>
              <w:spacing w:line="320" w:lineRule="exact"/>
              <w:rPr>
                <w:rFonts w:ascii="宋体" w:hAnsi="宋体"/>
                <w:color w:val="auto"/>
                <w:szCs w:val="21"/>
                <w:highlight w:val="none"/>
                <w:u w:val="single"/>
              </w:rPr>
            </w:pPr>
            <w:r>
              <w:rPr>
                <w:rFonts w:hint="eastAsia" w:ascii="宋体" w:hAnsi="宋体"/>
                <w:color w:val="auto"/>
                <w:szCs w:val="21"/>
                <w:highlight w:val="none"/>
                <w:u w:val="single"/>
              </w:rPr>
              <w:t>本工程的投标报价采用工程量清单计价方式，投标人在招标文件、施工图纸及工程量清单等规定范围内自行报价。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13</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15.1</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u w:val="single"/>
              </w:rPr>
            </w:pPr>
            <w:r>
              <w:rPr>
                <w:rFonts w:hint="eastAsia" w:ascii="宋体" w:hAnsi="宋体"/>
                <w:color w:val="auto"/>
                <w:szCs w:val="21"/>
                <w:highlight w:val="none"/>
                <w:u w:val="single"/>
              </w:rPr>
              <w:t>90</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14</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16.1</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685" w:type="dxa"/>
            <w:tcBorders>
              <w:top w:val="single" w:color="auto" w:sz="4" w:space="0"/>
              <w:left w:val="single" w:color="auto" w:sz="4" w:space="0"/>
              <w:bottom w:val="single" w:color="auto" w:sz="4" w:space="0"/>
              <w:right w:val="double" w:color="auto" w:sz="4" w:space="0"/>
            </w:tcBorders>
            <w:noWrap/>
            <w:vAlign w:val="center"/>
          </w:tcPr>
          <w:p>
            <w:pPr>
              <w:pStyle w:val="11"/>
              <w:topLinePunct/>
              <w:spacing w:line="400" w:lineRule="exact"/>
              <w:rPr>
                <w:rFonts w:ascii="宋体" w:hAnsi="宋体" w:cs="Calibri"/>
                <w:color w:val="auto"/>
                <w:sz w:val="21"/>
                <w:szCs w:val="21"/>
                <w:highlight w:val="none"/>
                <w:u w:val="single"/>
              </w:rPr>
            </w:pPr>
            <w:r>
              <w:rPr>
                <w:rFonts w:hint="eastAsia" w:ascii="宋体" w:hAnsi="宋体" w:cs="Calibri"/>
                <w:color w:val="auto"/>
                <w:sz w:val="21"/>
                <w:szCs w:val="21"/>
                <w:highlight w:val="none"/>
                <w:u w:val="single"/>
              </w:rPr>
              <w:t>本项目不需要递交投标保证金。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15</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5</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685" w:type="dxa"/>
            <w:tcBorders>
              <w:top w:val="single" w:color="auto" w:sz="4" w:space="0"/>
              <w:left w:val="single" w:color="auto" w:sz="4" w:space="0"/>
              <w:bottom w:val="single" w:color="auto" w:sz="4" w:space="0"/>
              <w:right w:val="double" w:color="auto" w:sz="4" w:space="0"/>
            </w:tcBorders>
            <w:noWrap/>
            <w:vAlign w:val="center"/>
          </w:tcPr>
          <w:p>
            <w:pPr>
              <w:pStyle w:val="12"/>
              <w:rPr>
                <w:rFonts w:ascii="宋体" w:hAnsi="宋体" w:cs="Calibri"/>
                <w:color w:val="auto"/>
                <w:kern w:val="2"/>
                <w:sz w:val="21"/>
                <w:szCs w:val="21"/>
                <w:highlight w:val="none"/>
              </w:rPr>
            </w:pPr>
            <w:r>
              <w:rPr>
                <w:rFonts w:hint="eastAsia" w:ascii="宋体" w:hAnsi="宋体" w:cs="Calibri"/>
                <w:color w:val="auto"/>
                <w:kern w:val="2"/>
                <w:sz w:val="21"/>
                <w:szCs w:val="21"/>
                <w:highlight w:val="none"/>
                <w:u w:val="single"/>
              </w:rPr>
              <w:t>招标人不集中组织，由投标人自行踏勘</w:t>
            </w:r>
            <w:r>
              <w:rPr>
                <w:rFonts w:hint="eastAsia" w:ascii="宋体" w:hAnsi="宋体" w:cs="Calibri"/>
                <w:color w:val="auto"/>
                <w:sz w:val="21"/>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16</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8</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685" w:type="dxa"/>
            <w:tcBorders>
              <w:top w:val="single" w:color="auto" w:sz="4" w:space="0"/>
              <w:left w:val="single" w:color="auto" w:sz="4" w:space="0"/>
              <w:bottom w:val="single" w:color="auto" w:sz="4" w:space="0"/>
              <w:right w:val="double" w:color="auto" w:sz="4" w:space="0"/>
            </w:tcBorders>
            <w:noWrap/>
            <w:vAlign w:val="center"/>
          </w:tcPr>
          <w:p>
            <w:pPr>
              <w:rPr>
                <w:color w:val="auto"/>
                <w:highlight w:val="none"/>
              </w:rPr>
            </w:pPr>
            <w:r>
              <w:rPr>
                <w:rFonts w:hint="eastAsia" w:ascii="宋体" w:hAnsi="宋体"/>
                <w:color w:val="auto"/>
                <w:szCs w:val="21"/>
                <w:highlight w:val="none"/>
              </w:rPr>
              <w:t>疑问提交时间：</w:t>
            </w:r>
            <w:r>
              <w:rPr>
                <w:rFonts w:hint="eastAsia" w:ascii="宋体" w:hAnsi="宋体" w:cs="宋体"/>
                <w:color w:val="auto"/>
                <w:szCs w:val="21"/>
                <w:highlight w:val="none"/>
                <w:u w:val="single"/>
              </w:rPr>
              <w:t>2023</w:t>
            </w:r>
            <w:r>
              <w:rPr>
                <w:rFonts w:hint="eastAsia" w:ascii="宋体" w:hAnsi="宋体" w:cs="宋体"/>
                <w:color w:val="auto"/>
                <w:szCs w:val="21"/>
                <w:highlight w:val="none"/>
              </w:rPr>
              <w:t>年月日时前</w:t>
            </w:r>
            <w:r>
              <w:rPr>
                <w:rFonts w:hint="eastAsia" w:ascii="宋体" w:hAnsi="宋体"/>
                <w:color w:val="auto"/>
                <w:highlight w:val="none"/>
              </w:rPr>
              <w:t>；</w:t>
            </w:r>
          </w:p>
          <w:p>
            <w:pPr>
              <w:spacing w:line="380" w:lineRule="exact"/>
              <w:rPr>
                <w:rFonts w:ascii="宋体" w:hAnsi="宋体" w:cs="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rPr>
              <w:t>投标人的疑问通过</w:t>
            </w:r>
            <w:r>
              <w:rPr>
                <w:rFonts w:hint="eastAsia" w:ascii="宋体" w:hAnsi="宋体" w:cs="宋体"/>
                <w:color w:val="auto"/>
                <w:szCs w:val="21"/>
                <w:highlight w:val="none"/>
                <w:u w:val="single"/>
              </w:rPr>
              <w:t xml:space="preserve"> 广州交易集团有限公司（广州公共资源交易中心）交易平台</w:t>
            </w:r>
            <w:r>
              <w:rPr>
                <w:rFonts w:hint="eastAsia" w:ascii="宋体" w:hAnsi="宋体" w:cs="宋体"/>
                <w:color w:val="auto"/>
                <w:szCs w:val="21"/>
                <w:highlight w:val="none"/>
              </w:rPr>
              <w:t>提交。</w:t>
            </w:r>
          </w:p>
          <w:p>
            <w:pPr>
              <w:spacing w:line="380" w:lineRule="exact"/>
              <w:rPr>
                <w:rFonts w:ascii="宋体" w:hAnsi="宋体"/>
                <w:color w:val="auto"/>
                <w:szCs w:val="21"/>
                <w:highlight w:val="none"/>
                <w:u w:val="single"/>
              </w:rPr>
            </w:pPr>
            <w:r>
              <w:rPr>
                <w:rFonts w:hint="eastAsia" w:ascii="宋体" w:hAnsi="宋体" w:cs="宋体"/>
                <w:color w:val="auto"/>
                <w:szCs w:val="21"/>
                <w:highlight w:val="none"/>
              </w:rPr>
              <w:t>具体要求：按照</w:t>
            </w:r>
            <w:r>
              <w:rPr>
                <w:rFonts w:hint="eastAsia" w:ascii="宋体" w:hAnsi="宋体" w:cs="宋体"/>
                <w:color w:val="auto"/>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ascii="宋体" w:hAnsi="宋体" w:cs="宋体"/>
                <w:b/>
                <w:color w:val="auto"/>
                <w:szCs w:val="21"/>
                <w:highlight w:val="none"/>
                <w:u w:val="single"/>
              </w:rPr>
              <w:t>首页→服务指南→建设工程→《建设工程全流程电子化项目操作指南（适用于投标人）》</w:t>
            </w:r>
            <w:r>
              <w:rPr>
                <w:rFonts w:hint="eastAsia" w:ascii="宋体" w:hAnsi="宋体" w:cs="宋体"/>
                <w:color w:val="auto"/>
                <w:szCs w:val="21"/>
                <w:highlight w:val="none"/>
                <w:u w:val="single"/>
              </w:rPr>
              <w:t>。</w:t>
            </w:r>
            <w:r>
              <w:rPr>
                <w:rFonts w:hint="eastAsia" w:ascii="宋体" w:hAnsi="宋体" w:cs="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strike/>
                <w:color w:val="auto"/>
                <w:szCs w:val="21"/>
                <w:highlight w:val="none"/>
              </w:rPr>
            </w:pPr>
            <w:r>
              <w:rPr>
                <w:rFonts w:hint="eastAsia" w:ascii="宋体" w:hAnsi="宋体"/>
                <w:color w:val="auto"/>
                <w:szCs w:val="21"/>
                <w:highlight w:val="none"/>
                <w:u w:val="single"/>
              </w:rPr>
              <w:t>2023</w:t>
            </w:r>
            <w:r>
              <w:rPr>
                <w:rFonts w:hint="eastAsia" w:ascii="宋体" w:hAnsi="宋体"/>
                <w:color w:val="auto"/>
                <w:szCs w:val="21"/>
                <w:highlight w:val="none"/>
              </w:rPr>
              <w:t>年月日时</w:t>
            </w:r>
            <w:r>
              <w:rPr>
                <w:rFonts w:hint="eastAsia" w:ascii="宋体" w:hAnsi="宋体" w:cs="仿宋_GB2312"/>
                <w:color w:val="auto"/>
                <w:szCs w:val="21"/>
                <w:highlight w:val="none"/>
              </w:rPr>
              <w:t>分</w:t>
            </w:r>
            <w:r>
              <w:rPr>
                <w:rFonts w:hint="eastAsia" w:ascii="宋体" w:hAnsi="宋体"/>
                <w:color w:val="auto"/>
                <w:szCs w:val="21"/>
                <w:highlight w:val="none"/>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18</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20.1</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b/>
                <w:bCs/>
                <w:color w:val="auto"/>
                <w:szCs w:val="21"/>
                <w:highlight w:val="none"/>
                <w:u w:val="single"/>
              </w:rPr>
            </w:pPr>
            <w:r>
              <w:rPr>
                <w:rFonts w:hint="eastAsia" w:ascii="宋体" w:hAnsi="宋体"/>
                <w:color w:val="auto"/>
                <w:szCs w:val="21"/>
                <w:highlight w:val="none"/>
              </w:rPr>
              <w:t>1、开标开始时间：年月日时分（与投标截止时间为同一时间），地点：</w:t>
            </w:r>
            <w:r>
              <w:rPr>
                <w:rFonts w:hint="eastAsia" w:ascii="宋体" w:hAnsi="宋体"/>
                <w:color w:val="auto"/>
                <w:szCs w:val="21"/>
                <w:highlight w:val="none"/>
                <w:u w:val="single"/>
              </w:rPr>
              <w:t>广州交易集团有限公司（广州公共资源交易中心）（广州市天河区天润路333号）。</w:t>
            </w:r>
            <w:r>
              <w:rPr>
                <w:rFonts w:hint="eastAsia" w:ascii="宋体" w:hAnsi="宋体"/>
                <w:b/>
                <w:bCs/>
                <w:color w:val="auto"/>
                <w:szCs w:val="21"/>
                <w:highlight w:val="none"/>
                <w:u w:val="single"/>
              </w:rPr>
              <w:t>投标人也可选择参加在线开标，具体按照交易平台相关指南进行操作。</w:t>
            </w:r>
            <w:r>
              <w:rPr>
                <w:rFonts w:ascii="宋体" w:hAnsi="宋体"/>
                <w:b/>
                <w:bCs/>
                <w:color w:val="auto"/>
                <w:szCs w:val="21"/>
                <w:highlight w:val="none"/>
                <w:u w:val="single"/>
              </w:rPr>
              <w:t>首页→服务指南→建设工程→《建设工程全流程电子化项目操作指南（适用于投标人）》</w:t>
            </w:r>
            <w:r>
              <w:rPr>
                <w:rFonts w:hint="eastAsia" w:ascii="宋体" w:hAnsi="宋体"/>
                <w:b/>
                <w:bCs/>
                <w:color w:val="auto"/>
                <w:szCs w:val="21"/>
                <w:highlight w:val="none"/>
                <w:u w:val="single"/>
              </w:rPr>
              <w:t>。</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ascii="宋体" w:hAnsi="宋体"/>
                <w:color w:val="auto"/>
                <w:highlight w:val="none"/>
              </w:rPr>
            </w:pPr>
            <w:r>
              <w:rPr>
                <w:rFonts w:hint="eastAsia" w:ascii="宋体" w:hAnsi="宋体"/>
                <w:color w:val="auto"/>
                <w:szCs w:val="21"/>
                <w:highlight w:val="none"/>
              </w:rPr>
              <w:t>2、递交投标文件备用光盘时间：年月日时分至年月日时分；递交地点：</w:t>
            </w:r>
            <w:r>
              <w:rPr>
                <w:rFonts w:hint="eastAsia" w:ascii="宋体" w:hAnsi="宋体"/>
                <w:color w:val="auto"/>
                <w:szCs w:val="21"/>
                <w:highlight w:val="none"/>
                <w:u w:val="single"/>
              </w:rPr>
              <w:t>广州交易集团有限公司（广州公共资源交易中心）（广州市天河区天润路333号）</w:t>
            </w:r>
            <w:r>
              <w:rPr>
                <w:rFonts w:hint="eastAsia" w:ascii="宋体" w:hAnsi="宋体"/>
                <w:color w:val="auto"/>
                <w:highlight w:val="none"/>
              </w:rPr>
              <w:t>。(建议安排在投标文件截止时间前15分钟至投标文件截止时间）</w:t>
            </w:r>
          </w:p>
          <w:p>
            <w:pPr>
              <w:rPr>
                <w:rFonts w:ascii="宋体" w:hAnsi="宋体"/>
                <w:color w:val="auto"/>
                <w:highlight w:val="none"/>
              </w:rPr>
            </w:pPr>
            <w:r>
              <w:rPr>
                <w:rFonts w:hint="eastAsia" w:ascii="宋体" w:hAnsi="宋体"/>
                <w:color w:val="auto"/>
                <w:szCs w:val="21"/>
                <w:highlight w:val="none"/>
              </w:rPr>
              <w:t>3、</w:t>
            </w:r>
            <w:r>
              <w:rPr>
                <w:rFonts w:hint="eastAsia" w:ascii="宋体" w:hAnsi="宋体" w:cs="宋体"/>
                <w:color w:val="auto"/>
                <w:szCs w:val="21"/>
                <w:highlight w:val="none"/>
                <w:u w:val="single"/>
              </w:rPr>
              <w:t>本项目不设置项目负责人签到环节。</w:t>
            </w:r>
          </w:p>
          <w:p>
            <w:pPr>
              <w:rPr>
                <w:rFonts w:ascii="宋体" w:hAnsi="宋体" w:cs="仿宋_GB2312"/>
                <w:color w:val="auto"/>
                <w:highlight w:val="none"/>
              </w:rPr>
            </w:pPr>
            <w:r>
              <w:rPr>
                <w:rFonts w:hint="eastAsia" w:ascii="宋体" w:hAnsi="宋体"/>
                <w:color w:val="auto"/>
                <w:highlight w:val="none"/>
              </w:rPr>
              <w:t>4、投标人应在投标文件（含评标部分文件和定标部分文件）递交截止时间前通过广州交易集团有限公司（广州公共资源交易中心）电子招标投标交易平台递交电子投标文件（含评标部分文件和定标部分文件）。</w:t>
            </w:r>
          </w:p>
          <w:p>
            <w:pPr>
              <w:rPr>
                <w:rFonts w:ascii="宋体" w:hAnsi="宋体" w:cs="仿宋_GB2312"/>
                <w:bCs/>
                <w:color w:val="auto"/>
                <w:highlight w:val="none"/>
              </w:rPr>
            </w:pPr>
            <w:r>
              <w:rPr>
                <w:rFonts w:hint="eastAsia" w:ascii="宋体" w:hAnsi="宋体" w:cs="仿宋_GB2312"/>
                <w:bCs/>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702" w:type="dxa"/>
            <w:tcBorders>
              <w:top w:val="single" w:color="auto" w:sz="4" w:space="0"/>
              <w:left w:val="doub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19</w:t>
            </w:r>
          </w:p>
        </w:tc>
        <w:tc>
          <w:tcPr>
            <w:tcW w:w="966" w:type="dxa"/>
            <w:tcBorders>
              <w:top w:val="single" w:color="auto" w:sz="4" w:space="0"/>
              <w:left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35.10</w:t>
            </w:r>
          </w:p>
        </w:tc>
        <w:tc>
          <w:tcPr>
            <w:tcW w:w="1967" w:type="dxa"/>
            <w:tcBorders>
              <w:top w:val="single" w:color="auto" w:sz="4" w:space="0"/>
              <w:left w:val="single" w:color="auto" w:sz="4" w:space="0"/>
              <w:right w:val="single" w:color="auto" w:sz="4" w:space="0"/>
            </w:tcBorders>
            <w:noWrap/>
            <w:vAlign w:val="center"/>
          </w:tcPr>
          <w:p>
            <w:pPr>
              <w:rPr>
                <w:rFonts w:ascii="宋体" w:hAnsi="宋体"/>
                <w:color w:val="auto"/>
                <w:szCs w:val="21"/>
                <w:highlight w:val="none"/>
                <w:u w:val="single"/>
              </w:rPr>
            </w:pPr>
            <w:r>
              <w:rPr>
                <w:rFonts w:hint="eastAsia" w:ascii="宋体" w:hAnsi="宋体"/>
                <w:color w:val="auto"/>
                <w:highlight w:val="none"/>
                <w:u w:val="single"/>
              </w:rPr>
              <w:t>采用评定分离定标办法</w:t>
            </w:r>
          </w:p>
        </w:tc>
        <w:tc>
          <w:tcPr>
            <w:tcW w:w="5685" w:type="dxa"/>
            <w:tcBorders>
              <w:top w:val="single" w:color="auto" w:sz="4" w:space="0"/>
              <w:left w:val="single" w:color="auto" w:sz="4" w:space="0"/>
              <w:right w:val="double" w:color="auto" w:sz="4" w:space="0"/>
            </w:tcBorders>
            <w:noWrap/>
            <w:vAlign w:val="center"/>
          </w:tcPr>
          <w:p>
            <w:pPr>
              <w:pStyle w:val="5"/>
              <w:ind w:firstLine="0"/>
              <w:rPr>
                <w:rFonts w:ascii="宋体" w:hAnsi="宋体"/>
                <w:color w:val="auto"/>
                <w:kern w:val="2"/>
                <w:sz w:val="21"/>
                <w:szCs w:val="21"/>
                <w:highlight w:val="none"/>
                <w:u w:val="single"/>
              </w:rPr>
            </w:pPr>
            <w:r>
              <w:rPr>
                <w:rFonts w:hint="eastAsia" w:ascii="宋体" w:hAnsi="宋体"/>
                <w:color w:val="auto"/>
                <w:kern w:val="2"/>
                <w:sz w:val="21"/>
                <w:szCs w:val="21"/>
                <w:highlight w:val="none"/>
                <w:u w:val="single"/>
              </w:rPr>
              <w:t>评标委员会按照招标文件规定的评标程序对投标人进行评审。若通过技术标及经济标有效性审查的合格投标人大于等于3家且少于等于7家的，则推荐全部合格的投标人不排序进入定标阶段。若通过技术标及经济标有效性审查的合格投标人大于7家的，按投标人总得分由高至低推荐7名不排序的定标候选人进入定标阶段；</w:t>
            </w:r>
          </w:p>
          <w:p>
            <w:pPr>
              <w:pStyle w:val="5"/>
              <w:ind w:firstLine="0"/>
              <w:rPr>
                <w:rFonts w:ascii="宋体" w:hAnsi="宋体"/>
                <w:color w:val="auto"/>
                <w:kern w:val="2"/>
                <w:sz w:val="21"/>
                <w:szCs w:val="21"/>
                <w:highlight w:val="none"/>
                <w:u w:val="single"/>
              </w:rPr>
            </w:pPr>
            <w:r>
              <w:rPr>
                <w:rFonts w:hint="eastAsia" w:ascii="宋体" w:hAnsi="宋体"/>
                <w:color w:val="auto"/>
                <w:kern w:val="2"/>
                <w:sz w:val="21"/>
                <w:szCs w:val="21"/>
                <w:highlight w:val="none"/>
                <w:u w:val="single"/>
              </w:rPr>
              <w:t>开标评标办法：方式一：选取方法七（适合综合评分办法四，技术标与经济标同时开启）。</w:t>
            </w:r>
          </w:p>
          <w:p>
            <w:pPr>
              <w:pStyle w:val="5"/>
              <w:ind w:firstLine="0"/>
              <w:rPr>
                <w:rFonts w:ascii="宋体" w:hAnsi="宋体"/>
                <w:color w:val="auto"/>
                <w:kern w:val="2"/>
                <w:sz w:val="21"/>
                <w:szCs w:val="21"/>
                <w:highlight w:val="none"/>
                <w:u w:val="single"/>
              </w:rPr>
            </w:pPr>
            <w:r>
              <w:rPr>
                <w:rFonts w:hint="eastAsia" w:ascii="宋体" w:hAnsi="宋体"/>
                <w:color w:val="auto"/>
                <w:kern w:val="2"/>
                <w:sz w:val="21"/>
                <w:szCs w:val="21"/>
                <w:highlight w:val="none"/>
                <w:u w:val="single"/>
              </w:rPr>
              <w:t>投标人总得分=技术得分（满分100分）×20%＋经济得分（满分100分）×80%。</w:t>
            </w:r>
          </w:p>
          <w:p>
            <w:pPr>
              <w:rPr>
                <w:rFonts w:ascii="宋体" w:hAnsi="宋体" w:cs="Calibri"/>
                <w:color w:val="auto"/>
                <w:szCs w:val="21"/>
                <w:highlight w:val="none"/>
                <w:u w:val="single"/>
              </w:rPr>
            </w:pPr>
            <w:r>
              <w:rPr>
                <w:rFonts w:hint="eastAsia" w:ascii="宋体" w:hAnsi="宋体"/>
                <w:color w:val="auto"/>
                <w:highlight w:val="none"/>
                <w:u w:val="single"/>
              </w:rPr>
              <w:t>定标办法：介绍答辩评定法+票决定标法。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29.1</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u w:val="single"/>
              </w:rPr>
            </w:pPr>
            <w:r>
              <w:rPr>
                <w:rFonts w:hint="eastAsia" w:ascii="宋体" w:hAnsi="宋体"/>
                <w:color w:val="auto"/>
                <w:szCs w:val="21"/>
                <w:highlight w:val="none"/>
                <w:u w:val="single"/>
              </w:rPr>
              <w:t>履约担保的形式：保函（保险）；</w:t>
            </w:r>
          </w:p>
          <w:p>
            <w:pPr>
              <w:rPr>
                <w:rFonts w:ascii="宋体" w:hAnsi="宋体"/>
                <w:strike/>
                <w:color w:val="auto"/>
                <w:szCs w:val="21"/>
                <w:highlight w:val="none"/>
                <w:u w:val="single"/>
              </w:rPr>
            </w:pPr>
            <w:r>
              <w:rPr>
                <w:rFonts w:hint="eastAsia" w:ascii="宋体" w:hAnsi="宋体"/>
                <w:color w:val="auto"/>
                <w:szCs w:val="21"/>
                <w:highlight w:val="none"/>
                <w:u w:val="single"/>
              </w:rPr>
              <w:t>履约担保的金额：中标人提供的履约担保为中标价款的10%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u w:val="single"/>
              </w:rPr>
            </w:pPr>
            <w:r>
              <w:rPr>
                <w:rFonts w:hint="eastAsia" w:ascii="宋体" w:hAnsi="宋体"/>
                <w:color w:val="auto"/>
                <w:szCs w:val="21"/>
                <w:highlight w:val="none"/>
                <w:u w:val="single"/>
              </w:rPr>
              <w:t>本项目最高投标限价为人民币</w:t>
            </w:r>
            <w:r>
              <w:rPr>
                <w:rFonts w:hint="eastAsia" w:ascii="宋体" w:hAnsi="宋体"/>
                <w:color w:val="auto"/>
                <w:szCs w:val="21"/>
                <w:highlight w:val="none"/>
                <w:u w:val="single"/>
                <w:lang w:eastAsia="zh-CN"/>
              </w:rPr>
              <w:t>30220519.01</w:t>
            </w:r>
            <w:r>
              <w:rPr>
                <w:rFonts w:ascii="宋体" w:hAnsi="宋体"/>
                <w:color w:val="auto"/>
                <w:szCs w:val="21"/>
                <w:highlight w:val="none"/>
                <w:u w:val="single"/>
              </w:rPr>
              <w:t>元</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703878.09</w:t>
            </w:r>
            <w:r>
              <w:rPr>
                <w:rFonts w:hint="eastAsia" w:ascii="宋体" w:hAnsi="宋体"/>
                <w:color w:val="auto"/>
                <w:szCs w:val="21"/>
                <w:highlight w:val="none"/>
                <w:u w:val="single"/>
              </w:rPr>
              <w:t>元</w:t>
            </w:r>
            <w:r>
              <w:rPr>
                <w:rFonts w:hint="eastAsia" w:ascii="宋体" w:hAnsi="宋体"/>
                <w:color w:val="auto"/>
                <w:szCs w:val="21"/>
                <w:highlight w:val="none"/>
              </w:rPr>
              <w:t>，暂列金额为</w:t>
            </w:r>
            <w:bookmarkStart w:id="118" w:name="_GoBack"/>
            <w:bookmarkEnd w:id="118"/>
            <w:r>
              <w:rPr>
                <w:rFonts w:hint="eastAsia" w:ascii="宋体" w:hAnsi="宋体"/>
                <w:color w:val="auto"/>
                <w:szCs w:val="21"/>
                <w:highlight w:val="none"/>
                <w:u w:val="single"/>
                <w:lang w:eastAsia="zh-CN"/>
              </w:rPr>
              <w:t>1224337.81</w:t>
            </w:r>
            <w:r>
              <w:rPr>
                <w:rFonts w:hint="eastAsia" w:ascii="宋体" w:hAnsi="宋体"/>
                <w:color w:val="auto"/>
                <w:szCs w:val="21"/>
                <w:highlight w:val="none"/>
                <w:u w:val="single"/>
              </w:rPr>
              <w:t>元</w:t>
            </w:r>
            <w:r>
              <w:rPr>
                <w:rFonts w:hint="eastAsia" w:ascii="宋体" w:hAnsi="宋体"/>
                <w:color w:val="auto"/>
                <w:szCs w:val="21"/>
                <w:highlight w:val="none"/>
              </w:rPr>
              <w:t>，暂估价为</w:t>
            </w:r>
            <w:r>
              <w:rPr>
                <w:rFonts w:hint="eastAsia" w:ascii="宋体" w:hAnsi="宋体"/>
                <w:color w:val="auto"/>
                <w:szCs w:val="21"/>
                <w:highlight w:val="none"/>
                <w:u w:val="single"/>
              </w:rPr>
              <w:t xml:space="preserve"> / 元</w:t>
            </w:r>
            <w:r>
              <w:rPr>
                <w:rFonts w:hint="eastAsia" w:ascii="宋体" w:hAnsi="宋体"/>
                <w:color w:val="auto"/>
                <w:szCs w:val="21"/>
                <w:highlight w:val="none"/>
              </w:rPr>
              <w:t>。</w:t>
            </w:r>
            <w:r>
              <w:rPr>
                <w:rFonts w:hint="eastAsia" w:ascii="宋体" w:hAnsi="宋体" w:cs="宋体"/>
                <w:color w:val="auto"/>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23</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pStyle w:val="5"/>
              <w:ind w:firstLine="0"/>
              <w:rPr>
                <w:rFonts w:ascii="宋体" w:hAnsi="宋体" w:cs="Calibri"/>
                <w:color w:val="auto"/>
                <w:kern w:val="2"/>
                <w:sz w:val="21"/>
                <w:szCs w:val="21"/>
                <w:highlight w:val="none"/>
              </w:rPr>
            </w:pPr>
            <w:r>
              <w:rPr>
                <w:rFonts w:hint="eastAsia" w:ascii="宋体" w:hAnsi="宋体" w:cs="Calibri"/>
                <w:color w:val="auto"/>
                <w:kern w:val="2"/>
                <w:sz w:val="21"/>
                <w:szCs w:val="21"/>
                <w:highlight w:val="none"/>
              </w:rPr>
              <w:t>保修期</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trike/>
                <w:color w:val="auto"/>
                <w:szCs w:val="21"/>
                <w:highlight w:val="none"/>
                <w:u w:val="singl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trike/>
                <w:color w:val="auto"/>
                <w:szCs w:val="21"/>
                <w:highlight w:val="none"/>
              </w:rPr>
            </w:pPr>
            <w:r>
              <w:rPr>
                <w:rFonts w:hint="eastAsia" w:ascii="宋体" w:hAnsi="宋体"/>
                <w:color w:val="auto"/>
                <w:szCs w:val="21"/>
                <w:highlight w:val="none"/>
              </w:rPr>
              <w:t>计算评标参考价的等分点值</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strike/>
                <w:color w:val="auto"/>
                <w:szCs w:val="21"/>
                <w:highlight w:val="none"/>
              </w:rPr>
            </w:pPr>
            <w:r>
              <w:rPr>
                <w:rFonts w:hint="eastAsia" w:ascii="宋体" w:hAnsi="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25</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trike/>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trike/>
                <w:color w:val="auto"/>
                <w:szCs w:val="21"/>
                <w:highlight w:val="none"/>
              </w:rPr>
            </w:pPr>
            <w:r>
              <w:rPr>
                <w:rFonts w:hint="eastAsia" w:ascii="宋体" w:hAnsi="宋体"/>
                <w:color w:val="auto"/>
                <w:szCs w:val="21"/>
                <w:highlight w:val="none"/>
              </w:rPr>
              <w:t>进入第二阶段评审的家数</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strike/>
                <w:color w:val="auto"/>
                <w:szCs w:val="21"/>
                <w:highlight w:val="none"/>
              </w:rPr>
            </w:pPr>
            <w:r>
              <w:rPr>
                <w:rFonts w:hint="eastAsia" w:ascii="宋体" w:hAnsi="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26</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eastAsia="zh-CN"/>
              </w:rPr>
              <w:t>27198467.11</w:t>
            </w:r>
            <w:r>
              <w:rPr>
                <w:rFonts w:hint="eastAsia" w:ascii="宋体" w:hAnsi="宋体"/>
                <w:color w:val="auto"/>
                <w:szCs w:val="21"/>
                <w:highlight w:val="none"/>
                <w:u w:val="single"/>
              </w:rPr>
              <w:t>元</w:t>
            </w:r>
            <w:r>
              <w:rPr>
                <w:rFonts w:hint="eastAsia" w:ascii="宋体" w:hAnsi="宋体" w:cs="Arial"/>
                <w:color w:val="auto"/>
                <w:szCs w:val="21"/>
                <w:highlight w:val="none"/>
              </w:rPr>
              <w:t>（</w:t>
            </w:r>
            <w:r>
              <w:rPr>
                <w:rFonts w:hint="eastAsia" w:ascii="宋体" w:hAnsi="宋体"/>
                <w:color w:val="auto"/>
                <w:szCs w:val="21"/>
                <w:highlight w:val="none"/>
              </w:rPr>
              <w:t>按招标控制价的</w:t>
            </w:r>
            <w:r>
              <w:rPr>
                <w:rFonts w:hint="eastAsia" w:ascii="宋体" w:hAnsi="宋体"/>
                <w:color w:val="auto"/>
                <w:szCs w:val="21"/>
                <w:highlight w:val="none"/>
                <w:u w:val="single"/>
              </w:rPr>
              <w:t>90%</w:t>
            </w:r>
            <w:r>
              <w:rPr>
                <w:rFonts w:hint="eastAsia" w:ascii="宋体" w:hAnsi="宋体"/>
                <w:color w:val="auto"/>
                <w:szCs w:val="21"/>
                <w:highlight w:val="none"/>
              </w:rPr>
              <w:t>设置</w:t>
            </w:r>
            <w:r>
              <w:rPr>
                <w:rFonts w:hint="eastAsia" w:ascii="宋体" w:hAnsi="宋体" w:cs="Arial"/>
                <w:color w:val="auto"/>
                <w:szCs w:val="21"/>
                <w:highlight w:val="none"/>
              </w:rPr>
              <w:t>）</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2"/>
              <w:rPr>
                <w:color w:val="auto"/>
                <w:highlight w:val="none"/>
              </w:rPr>
            </w:pPr>
            <w:r>
              <w:rPr>
                <w:rFonts w:hint="eastAsia" w:hAnsi="宋体"/>
                <w:color w:val="auto"/>
                <w:kern w:val="2"/>
                <w:sz w:val="21"/>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27</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trike/>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trike/>
                <w:color w:val="auto"/>
                <w:szCs w:val="21"/>
                <w:highlight w:val="none"/>
              </w:rPr>
            </w:pPr>
            <w:r>
              <w:rPr>
                <w:rFonts w:hint="eastAsia" w:ascii="宋体" w:hAnsi="宋体"/>
                <w:color w:val="auto"/>
                <w:szCs w:val="21"/>
                <w:highlight w:val="none"/>
              </w:rPr>
              <w:t>第一阶段各分值的权重</w:t>
            </w:r>
          </w:p>
        </w:tc>
        <w:tc>
          <w:tcPr>
            <w:tcW w:w="5685" w:type="dxa"/>
            <w:tcBorders>
              <w:top w:val="single" w:color="auto" w:sz="4" w:space="0"/>
              <w:left w:val="single" w:color="auto" w:sz="4" w:space="0"/>
              <w:bottom w:val="single" w:color="auto" w:sz="4" w:space="0"/>
              <w:right w:val="double" w:color="auto" w:sz="4" w:space="0"/>
            </w:tcBorders>
            <w:noWrap/>
            <w:vAlign w:val="center"/>
          </w:tcPr>
          <w:p>
            <w:pPr>
              <w:rPr>
                <w:strike/>
                <w:color w:val="auto"/>
                <w:szCs w:val="21"/>
                <w:highlight w:val="none"/>
              </w:rPr>
            </w:pPr>
            <w:r>
              <w:rPr>
                <w:rFonts w:hint="eastAsia" w:ascii="宋体" w:hAnsi="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702" w:type="dxa"/>
            <w:tcBorders>
              <w:top w:val="single" w:color="auto" w:sz="4" w:space="0"/>
              <w:left w:val="doub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28</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评标委员会人数</w:t>
            </w:r>
          </w:p>
          <w:p>
            <w:pPr>
              <w:rPr>
                <w:color w:val="auto"/>
                <w:highlight w:val="none"/>
              </w:rPr>
            </w:pPr>
            <w:r>
              <w:rPr>
                <w:rFonts w:hint="eastAsia" w:ascii="宋体" w:hAnsi="宋体"/>
                <w:color w:val="auto"/>
                <w:highlight w:val="none"/>
              </w:rPr>
              <w:t>定标委员会人数</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highlight w:val="none"/>
              </w:rPr>
            </w:pPr>
            <w:r>
              <w:rPr>
                <w:rFonts w:hint="eastAsia" w:ascii="宋体" w:hAnsi="宋体"/>
                <w:color w:val="auto"/>
                <w:highlight w:val="none"/>
              </w:rPr>
              <w:t>评标委员会由招标人依法组建。</w:t>
            </w:r>
          </w:p>
          <w:p>
            <w:pPr>
              <w:rPr>
                <w:color w:val="auto"/>
                <w:highlight w:val="none"/>
              </w:rPr>
            </w:pPr>
            <w:r>
              <w:rPr>
                <w:rFonts w:hint="eastAsia" w:ascii="宋体" w:hAnsi="宋体"/>
                <w:color w:val="auto"/>
                <w:highlight w:val="none"/>
                <w:u w:val="single"/>
              </w:rPr>
              <w:t>定标委员会由招标人依法依规组建。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29</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trike/>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strike/>
                <w:color w:val="auto"/>
                <w:szCs w:val="21"/>
                <w:highlight w:val="none"/>
              </w:rPr>
            </w:pPr>
            <w:r>
              <w:rPr>
                <w:rFonts w:hint="eastAsia" w:ascii="宋体" w:hAnsi="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30</w:t>
            </w:r>
          </w:p>
        </w:tc>
        <w:tc>
          <w:tcPr>
            <w:tcW w:w="966" w:type="dxa"/>
            <w:tcBorders>
              <w:top w:val="single" w:color="auto" w:sz="4" w:space="0"/>
              <w:left w:val="single" w:color="auto" w:sz="4" w:space="0"/>
              <w:bottom w:val="single" w:color="auto" w:sz="4" w:space="0"/>
              <w:right w:val="single" w:color="auto" w:sz="4" w:space="0"/>
            </w:tcBorders>
            <w:noWrap/>
            <w:vAlign w:val="center"/>
          </w:tcPr>
          <w:p>
            <w:pPr>
              <w:ind w:firstLine="458"/>
              <w:rPr>
                <w:rFonts w:ascii="宋体" w:hAnsi="宋体"/>
                <w:strike/>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trike/>
                <w:color w:val="auto"/>
                <w:szCs w:val="21"/>
                <w:highlight w:val="none"/>
              </w:rPr>
            </w:pPr>
            <w:r>
              <w:rPr>
                <w:rFonts w:hint="eastAsia" w:ascii="宋体" w:hAnsi="宋体"/>
                <w:color w:val="auto"/>
                <w:szCs w:val="21"/>
                <w:highlight w:val="none"/>
              </w:rPr>
              <w:t>第二阶段投标人名次的排序方法（适用于办法一、办法二）</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strike/>
                <w:color w:val="auto"/>
                <w:szCs w:val="21"/>
                <w:highlight w:val="none"/>
              </w:rPr>
            </w:pPr>
            <w:r>
              <w:rPr>
                <w:rFonts w:hint="eastAsia" w:ascii="宋体" w:hAnsi="宋体" w:cs="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31</w:t>
            </w:r>
          </w:p>
        </w:tc>
        <w:tc>
          <w:tcPr>
            <w:tcW w:w="966" w:type="dxa"/>
            <w:tcBorders>
              <w:top w:val="single" w:color="auto" w:sz="4" w:space="0"/>
              <w:left w:val="single" w:color="auto" w:sz="4" w:space="0"/>
              <w:bottom w:val="single" w:color="auto" w:sz="4" w:space="0"/>
              <w:right w:val="single" w:color="auto" w:sz="4" w:space="0"/>
            </w:tcBorders>
            <w:noWrap/>
            <w:vAlign w:val="center"/>
          </w:tcPr>
          <w:p>
            <w:pPr>
              <w:ind w:firstLine="458"/>
              <w:rPr>
                <w:rFonts w:ascii="宋体" w:hAnsi="宋体"/>
                <w:strike/>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trike/>
                <w:color w:val="auto"/>
                <w:szCs w:val="21"/>
                <w:highlight w:val="none"/>
              </w:rPr>
            </w:pPr>
            <w:r>
              <w:rPr>
                <w:rFonts w:hint="eastAsia" w:ascii="宋体" w:hAnsi="宋体"/>
                <w:color w:val="auto"/>
                <w:szCs w:val="21"/>
                <w:highlight w:val="none"/>
              </w:rPr>
              <w:t>经济分相同情况下的排序方法（适用于办法三、办法四）</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strike/>
                <w:color w:val="auto"/>
                <w:szCs w:val="21"/>
                <w:highlight w:val="none"/>
              </w:rPr>
            </w:pPr>
            <w:r>
              <w:rPr>
                <w:rFonts w:hint="eastAsia" w:ascii="宋体" w:hAnsi="宋体" w:cs="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strike/>
                <w:color w:val="auto"/>
                <w:szCs w:val="21"/>
                <w:highlight w:val="none"/>
              </w:rPr>
            </w:pPr>
            <w:r>
              <w:rPr>
                <w:rFonts w:hint="eastAsia" w:ascii="宋体" w:hAnsi="宋体"/>
                <w:color w:val="auto"/>
                <w:szCs w:val="21"/>
                <w:highlight w:val="none"/>
              </w:rPr>
              <w:t>32</w:t>
            </w:r>
          </w:p>
        </w:tc>
        <w:tc>
          <w:tcPr>
            <w:tcW w:w="966" w:type="dxa"/>
            <w:tcBorders>
              <w:top w:val="single" w:color="auto" w:sz="4" w:space="0"/>
              <w:left w:val="single" w:color="auto" w:sz="4" w:space="0"/>
              <w:bottom w:val="single" w:color="auto" w:sz="4" w:space="0"/>
              <w:right w:val="single" w:color="auto" w:sz="4" w:space="0"/>
            </w:tcBorders>
            <w:noWrap/>
            <w:vAlign w:val="center"/>
          </w:tcPr>
          <w:p>
            <w:pPr>
              <w:ind w:firstLine="458"/>
              <w:rPr>
                <w:rFonts w:ascii="宋体" w:hAnsi="宋体"/>
                <w:strike/>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trike/>
                <w:color w:val="auto"/>
                <w:szCs w:val="21"/>
                <w:highlight w:val="none"/>
              </w:rPr>
            </w:pPr>
            <w:r>
              <w:rPr>
                <w:rFonts w:hint="eastAsia" w:ascii="宋体" w:hAnsi="宋体"/>
                <w:color w:val="auto"/>
                <w:szCs w:val="21"/>
                <w:highlight w:val="none"/>
              </w:rPr>
              <w:t>第二阶段投标人名次的排序方法（适用于办法五、办法六）</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strike/>
                <w:color w:val="auto"/>
                <w:szCs w:val="21"/>
                <w:highlight w:val="none"/>
              </w:rPr>
            </w:pPr>
            <w:r>
              <w:rPr>
                <w:rFonts w:hint="eastAsia" w:ascii="宋体" w:hAnsi="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33</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u w:val="single"/>
              </w:rPr>
            </w:pPr>
            <w:r>
              <w:rPr>
                <w:rFonts w:hint="eastAsia" w:ascii="宋体" w:hAnsi="宋体"/>
                <w:bCs/>
                <w:color w:val="auto"/>
                <w:szCs w:val="21"/>
                <w:highlight w:val="none"/>
                <w:u w:val="single"/>
              </w:rPr>
              <w:t>按</w:t>
            </w:r>
            <w:r>
              <w:rPr>
                <w:rFonts w:ascii="宋体" w:hAnsi="宋体"/>
                <w:bCs/>
                <w:color w:val="auto"/>
                <w:szCs w:val="21"/>
                <w:highlight w:val="none"/>
                <w:u w:val="single"/>
              </w:rPr>
              <w:t>合同</w:t>
            </w:r>
            <w:r>
              <w:rPr>
                <w:rFonts w:hint="eastAsia" w:ascii="宋体" w:hAnsi="宋体"/>
                <w:bCs/>
                <w:color w:val="auto"/>
                <w:szCs w:val="21"/>
                <w:highlight w:val="none"/>
                <w:u w:val="single"/>
              </w:rPr>
              <w:t>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kern w:val="0"/>
                <w:szCs w:val="21"/>
                <w:highlight w:val="none"/>
              </w:rPr>
            </w:pPr>
            <w:r>
              <w:rPr>
                <w:rFonts w:hint="eastAsia" w:ascii="宋体" w:hAnsi="宋体"/>
                <w:bCs/>
                <w:color w:val="auto"/>
                <w:kern w:val="0"/>
                <w:szCs w:val="21"/>
                <w:highlight w:val="none"/>
              </w:rPr>
              <w:t>建设工程质量检测</w:t>
            </w:r>
            <w:r>
              <w:rPr>
                <w:rFonts w:hint="eastAsia" w:ascii="宋体" w:hAnsi="宋体"/>
                <w:b/>
                <w:bCs/>
                <w:color w:val="auto"/>
                <w:kern w:val="0"/>
                <w:szCs w:val="21"/>
                <w:highlight w:val="none"/>
              </w:rPr>
              <w:t>单位</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rPr>
            </w:pPr>
            <w:r>
              <w:rPr>
                <w:rFonts w:hint="eastAsia" w:ascii="宋体" w:hAnsi="宋体"/>
                <w:bCs/>
                <w:color w:val="auto"/>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35</w:t>
            </w:r>
          </w:p>
        </w:tc>
        <w:tc>
          <w:tcPr>
            <w:tcW w:w="96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szCs w:val="21"/>
                <w:highlight w:val="none"/>
              </w:rPr>
            </w:pPr>
            <w:r>
              <w:rPr>
                <w:rFonts w:hint="eastAsia" w:ascii="宋体" w:hAnsi="宋体" w:cs="宋体"/>
                <w:color w:val="auto"/>
                <w:highlight w:val="none"/>
              </w:rPr>
              <w:t>■</w:t>
            </w:r>
            <w:r>
              <w:rPr>
                <w:rFonts w:hint="eastAsia" w:ascii="宋体" w:hAnsi="宋体"/>
                <w:color w:val="auto"/>
                <w:szCs w:val="21"/>
                <w:highlight w:val="none"/>
              </w:rPr>
              <w:t>不允许；</w:t>
            </w:r>
          </w:p>
          <w:p>
            <w:pPr>
              <w:rPr>
                <w:rFonts w:ascii="宋体" w:hAnsi="宋体"/>
                <w:color w:val="auto"/>
                <w:szCs w:val="21"/>
                <w:highlight w:val="none"/>
              </w:rPr>
            </w:pPr>
            <w:r>
              <w:rPr>
                <w:rFonts w:hint="eastAsia" w:ascii="宋体" w:hAnsi="宋体"/>
                <w:color w:val="auto"/>
                <w:szCs w:val="21"/>
                <w:highlight w:val="none"/>
              </w:rPr>
              <w:t>□允许，分包内容要求：/</w:t>
            </w:r>
          </w:p>
          <w:p>
            <w:pPr>
              <w:rPr>
                <w:rFonts w:ascii="宋体" w:hAnsi="宋体"/>
                <w:color w:val="auto"/>
                <w:szCs w:val="21"/>
                <w:highlight w:val="none"/>
              </w:rPr>
            </w:pPr>
            <w:r>
              <w:rPr>
                <w:rFonts w:hint="eastAsia" w:ascii="宋体" w:hAnsi="宋体"/>
                <w:color w:val="auto"/>
                <w:szCs w:val="21"/>
                <w:highlight w:val="none"/>
              </w:rPr>
              <w:t>分包金额要求：/</w:t>
            </w:r>
          </w:p>
          <w:p>
            <w:pPr>
              <w:rPr>
                <w:rFonts w:ascii="宋体" w:hAnsi="宋体"/>
                <w:color w:val="auto"/>
                <w:kern w:val="0"/>
                <w:szCs w:val="21"/>
                <w:highlight w:val="none"/>
                <w:lang w:val="zh-CN"/>
              </w:rPr>
            </w:pPr>
            <w:r>
              <w:rPr>
                <w:rFonts w:hint="eastAsia" w:ascii="宋体" w:hAnsi="宋体"/>
                <w:color w:val="auto"/>
                <w:szCs w:val="21"/>
                <w:highlight w:val="none"/>
              </w:rPr>
              <w:t>对分包人的资格要求：/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36</w:t>
            </w:r>
          </w:p>
        </w:tc>
        <w:tc>
          <w:tcPr>
            <w:tcW w:w="96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Cs w:val="21"/>
                <w:highlight w:val="none"/>
                <w:u w:val="single"/>
              </w:rPr>
            </w:pPr>
            <w:r>
              <w:rPr>
                <w:rFonts w:hint="eastAsia" w:ascii="宋体" w:hAnsi="宋体"/>
                <w:color w:val="auto"/>
                <w:szCs w:val="21"/>
                <w:highlight w:val="none"/>
                <w:u w:val="single"/>
              </w:rPr>
              <w:t>36.5.2</w:t>
            </w:r>
          </w:p>
        </w:tc>
        <w:tc>
          <w:tcPr>
            <w:tcW w:w="196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Cs w:val="21"/>
                <w:highlight w:val="none"/>
              </w:rPr>
            </w:pPr>
            <w:r>
              <w:rPr>
                <w:rFonts w:hint="eastAsia" w:ascii="宋体" w:hAnsi="宋体"/>
                <w:color w:val="auto"/>
                <w:szCs w:val="21"/>
                <w:highlight w:val="none"/>
              </w:rPr>
              <w:t>电子招标投标解密失败及突发情况的补救</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w:t>
            </w:r>
            <w:r>
              <w:rPr>
                <w:rFonts w:hint="eastAsia" w:ascii="宋体" w:hAnsi="宋体" w:cs="Courier New"/>
                <w:b/>
                <w:color w:val="auto"/>
                <w:szCs w:val="21"/>
                <w:highlight w:val="none"/>
              </w:rPr>
              <w:t>详见：</w:t>
            </w:r>
            <w:r>
              <w:rPr>
                <w:rFonts w:hint="eastAsia" w:ascii="宋体" w:hAnsi="宋体"/>
                <w:b/>
                <w:color w:val="auto"/>
                <w:szCs w:val="21"/>
                <w:highlight w:val="none"/>
                <w:u w:val="single"/>
              </w:rPr>
              <w:t>广州交易集团有限公司（广州公共资源交易中心）</w:t>
            </w:r>
            <w:r>
              <w:rPr>
                <w:rFonts w:ascii="宋体" w:hAnsi="宋体"/>
                <w:b/>
                <w:color w:val="auto"/>
                <w:szCs w:val="21"/>
                <w:highlight w:val="none"/>
                <w:u w:val="single"/>
              </w:rPr>
              <w:t>网站首页→服务指南→建设工程→《建设工程全流程电子化项目操作指南（适用于投标人）》</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37</w:t>
            </w:r>
          </w:p>
        </w:tc>
        <w:tc>
          <w:tcPr>
            <w:tcW w:w="96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工人工资分账管理</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color w:val="auto"/>
                <w:kern w:val="0"/>
                <w:szCs w:val="21"/>
                <w:highlight w:val="none"/>
                <w:lang w:val="zh-CN"/>
              </w:rPr>
            </w:pPr>
            <w:r>
              <w:rPr>
                <w:rFonts w:hint="eastAsia" w:ascii="宋体" w:hAnsi="宋体"/>
                <w:bCs/>
                <w:color w:val="auto"/>
                <w:kern w:val="0"/>
                <w:szCs w:val="21"/>
                <w:highlight w:val="none"/>
              </w:rPr>
              <w:t>本项目按照《广州市住房和城乡建设局、广州市人力资源和社会保障局、广州市交通运输局等关于印发广州市建设领域工人工资支付分账管理实施细则的通知》（穗建规字〔2020〕37号）实行工人工资分账管理。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702" w:type="dxa"/>
            <w:tcBorders>
              <w:top w:val="single" w:color="auto" w:sz="4" w:space="0"/>
              <w:left w:val="doub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38</w:t>
            </w:r>
          </w:p>
        </w:tc>
        <w:tc>
          <w:tcPr>
            <w:tcW w:w="96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Cs w:val="21"/>
                <w:highlight w:val="none"/>
              </w:rPr>
            </w:pPr>
          </w:p>
        </w:tc>
        <w:tc>
          <w:tcPr>
            <w:tcW w:w="196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其他</w:t>
            </w:r>
          </w:p>
        </w:tc>
        <w:tc>
          <w:tcPr>
            <w:tcW w:w="5685" w:type="dxa"/>
            <w:tcBorders>
              <w:top w:val="single" w:color="auto" w:sz="4" w:space="0"/>
              <w:left w:val="single" w:color="auto" w:sz="4" w:space="0"/>
              <w:bottom w:val="single" w:color="auto" w:sz="4" w:space="0"/>
              <w:right w:val="double" w:color="auto" w:sz="4" w:space="0"/>
            </w:tcBorders>
            <w:noWrap/>
            <w:vAlign w:val="center"/>
          </w:tcPr>
          <w:p>
            <w:pPr>
              <w:rPr>
                <w:rFonts w:ascii="宋体" w:hAnsi="宋体"/>
                <w:bCs/>
                <w:color w:val="auto"/>
                <w:kern w:val="0"/>
                <w:szCs w:val="21"/>
                <w:highlight w:val="none"/>
              </w:rPr>
            </w:pPr>
            <w:r>
              <w:rPr>
                <w:rFonts w:hint="eastAsia"/>
                <w:color w:val="auto"/>
                <w:highlight w:val="none"/>
              </w:rPr>
              <w:t>1、中标人按《广州市发展改革委转发省发展改革委关于规范公共资源交易服务收费及有关问题的通知》（穗发改〔2017〕8</w:t>
            </w:r>
            <w:r>
              <w:rPr>
                <w:rFonts w:hint="eastAsia" w:ascii="宋体" w:hAnsi="宋体"/>
                <w:bCs/>
                <w:color w:val="auto"/>
                <w:kern w:val="0"/>
                <w:szCs w:val="21"/>
                <w:highlight w:val="none"/>
              </w:rPr>
              <w:t>11号）文件的规定，向广州交易集团有限公司（广州公共资源交易中心）代缴交易服务费，其费用包含在中标人投标报价中，招标人不另行支付。</w:t>
            </w:r>
          </w:p>
          <w:p>
            <w:pPr>
              <w:rPr>
                <w:color w:val="auto"/>
                <w:highlight w:val="none"/>
              </w:rPr>
            </w:pPr>
            <w:r>
              <w:rPr>
                <w:rFonts w:hint="eastAsia" w:ascii="宋体" w:hAnsi="宋体"/>
                <w:bCs/>
                <w:color w:val="auto"/>
                <w:kern w:val="0"/>
                <w:szCs w:val="21"/>
                <w:highlight w:val="none"/>
              </w:rPr>
              <w:t>2、领取中标通知书后，签订合同签前，中标人须向招标人提供独立装订成册的纸质投标文件一式两份，纸质投标文件内容须与投标时提交的电子投标文件内容一致。</w:t>
            </w:r>
          </w:p>
        </w:tc>
      </w:tr>
    </w:tbl>
    <w:p>
      <w:pPr>
        <w:pStyle w:val="7"/>
        <w:rPr>
          <w:color w:val="auto"/>
          <w:highlight w:val="none"/>
        </w:rPr>
      </w:pPr>
      <w:bookmarkStart w:id="4" w:name="_Toc60818615"/>
      <w:r>
        <w:rPr>
          <w:rFonts w:hint="eastAsia"/>
          <w:color w:val="auto"/>
          <w:highlight w:val="none"/>
        </w:rPr>
        <w:br w:type="page"/>
      </w:r>
      <w:bookmarkStart w:id="5" w:name="_Toc130979518"/>
      <w:bookmarkStart w:id="6" w:name="_Toc130979453"/>
      <w:r>
        <w:rPr>
          <w:rFonts w:hint="eastAsia"/>
          <w:color w:val="auto"/>
          <w:highlight w:val="none"/>
        </w:rPr>
        <w:t>二、投标须知修改表</w:t>
      </w:r>
      <w:bookmarkEnd w:id="4"/>
      <w:bookmarkEnd w:id="5"/>
      <w:bookmarkEnd w:id="6"/>
    </w:p>
    <w:p>
      <w:pPr>
        <w:spacing w:line="360" w:lineRule="auto"/>
        <w:ind w:firstLine="450" w:firstLineChars="224"/>
        <w:rPr>
          <w:rFonts w:ascii="宋体" w:hAnsi="宋体"/>
          <w:b/>
          <w:color w:val="auto"/>
          <w:kern w:val="0"/>
          <w:sz w:val="20"/>
          <w:szCs w:val="21"/>
          <w:highlight w:val="none"/>
        </w:rPr>
      </w:pPr>
      <w:r>
        <w:rPr>
          <w:rFonts w:hint="eastAsia" w:ascii="宋体" w:hAnsi="宋体"/>
          <w:b/>
          <w:bCs/>
          <w:color w:val="auto"/>
          <w:kern w:val="0"/>
          <w:sz w:val="20"/>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宋体" w:hAnsi="宋体"/>
          <w:b/>
          <w:bCs/>
          <w:color w:val="auto"/>
          <w:kern w:val="0"/>
          <w:sz w:val="20"/>
          <w:szCs w:val="21"/>
          <w:highlight w:val="none"/>
          <w:u w:val="single"/>
        </w:rPr>
        <w:t>http://zfcj.gz.gov.cn/</w:t>
      </w:r>
      <w:r>
        <w:rPr>
          <w:rFonts w:hint="eastAsia" w:ascii="宋体" w:hAnsi="宋体"/>
          <w:b/>
          <w:bCs/>
          <w:color w:val="auto"/>
          <w:kern w:val="0"/>
          <w:sz w:val="20"/>
          <w:szCs w:val="21"/>
          <w:highlight w:val="none"/>
        </w:rPr>
        <w:t>）下载查阅。</w:t>
      </w:r>
    </w:p>
    <w:p>
      <w:pPr>
        <w:spacing w:line="480" w:lineRule="auto"/>
        <w:ind w:firstLine="540" w:firstLineChars="224"/>
        <w:rPr>
          <w:rFonts w:ascii="宋体" w:hAnsi="宋体"/>
          <w:b/>
          <w:color w:val="auto"/>
          <w:sz w:val="24"/>
          <w:szCs w:val="24"/>
          <w:highlight w:val="none"/>
        </w:rPr>
      </w:pPr>
      <w:r>
        <w:rPr>
          <w:rFonts w:hint="eastAsia" w:ascii="宋体" w:hAnsi="宋体"/>
          <w:b/>
          <w:color w:val="auto"/>
          <w:sz w:val="24"/>
          <w:szCs w:val="24"/>
          <w:highlight w:val="none"/>
        </w:rPr>
        <w:t>条款号：5.1修改类型：修改</w:t>
      </w:r>
    </w:p>
    <w:p>
      <w:pPr>
        <w:spacing w:line="440" w:lineRule="exact"/>
        <w:ind w:firstLine="540" w:firstLineChars="224"/>
        <w:rPr>
          <w:rFonts w:ascii="宋体" w:hAnsi="宋体"/>
          <w:b/>
          <w:color w:val="auto"/>
          <w:sz w:val="24"/>
          <w:szCs w:val="24"/>
          <w:highlight w:val="none"/>
        </w:rPr>
      </w:pPr>
      <w:r>
        <w:rPr>
          <w:rFonts w:ascii="宋体" w:hAnsi="宋体"/>
          <w:b/>
          <w:color w:val="auto"/>
          <w:sz w:val="24"/>
          <w:szCs w:val="24"/>
          <w:highlight w:val="none"/>
        </w:rPr>
        <w:t>原文</w:t>
      </w:r>
      <w:r>
        <w:rPr>
          <w:rFonts w:hint="eastAsia" w:ascii="宋体" w:hAnsi="宋体"/>
          <w:b/>
          <w:color w:val="auto"/>
          <w:sz w:val="24"/>
          <w:szCs w:val="24"/>
          <w:highlight w:val="none"/>
        </w:rPr>
        <w:t>：</w:t>
      </w:r>
      <w:r>
        <w:rPr>
          <w:rFonts w:hint="eastAsia" w:ascii="宋体" w:hAnsi="宋体"/>
          <w:bCs/>
          <w:color w:val="auto"/>
          <w:sz w:val="24"/>
          <w:szCs w:val="24"/>
          <w:highlight w:val="none"/>
        </w:rPr>
        <w:t>投标人应按本投标须知前附表第</w:t>
      </w:r>
      <w:r>
        <w:rPr>
          <w:rFonts w:ascii="宋体" w:hAnsi="宋体"/>
          <w:bCs/>
          <w:color w:val="auto"/>
          <w:sz w:val="24"/>
          <w:szCs w:val="24"/>
          <w:highlight w:val="none"/>
        </w:rPr>
        <w:t>15</w:t>
      </w:r>
      <w:r>
        <w:rPr>
          <w:rFonts w:hint="eastAsia" w:ascii="宋体" w:hAnsi="宋体"/>
          <w:bCs/>
          <w:color w:val="auto"/>
          <w:sz w:val="24"/>
          <w:szCs w:val="24"/>
          <w:highlight w:val="none"/>
        </w:rPr>
        <w:t>项所述时间和要求对工程现场及周围环境进行踏勘，</w:t>
      </w:r>
      <w:r>
        <w:rPr>
          <w:rFonts w:hint="eastAsia" w:ascii="宋体" w:hAnsi="宋体"/>
          <w:color w:val="auto"/>
          <w:sz w:val="24"/>
          <w:szCs w:val="24"/>
          <w:highlight w:val="none"/>
        </w:rPr>
        <w:t>投标人应充分重视和仔细地进行这种考察，</w:t>
      </w:r>
      <w:r>
        <w:rPr>
          <w:rFonts w:hint="eastAsia" w:ascii="宋体" w:hAnsi="宋体"/>
          <w:bCs/>
          <w:color w:val="auto"/>
          <w:sz w:val="24"/>
          <w:szCs w:val="24"/>
          <w:highlight w:val="none"/>
        </w:rPr>
        <w:t>以便投标人获取</w:t>
      </w:r>
      <w:r>
        <w:rPr>
          <w:rFonts w:hint="eastAsia" w:ascii="宋体" w:hAnsi="宋体"/>
          <w:color w:val="auto"/>
          <w:sz w:val="24"/>
          <w:szCs w:val="24"/>
          <w:highlight w:val="none"/>
        </w:rPr>
        <w:t>那些须投标人自己负责的</w:t>
      </w:r>
      <w:r>
        <w:rPr>
          <w:rFonts w:hint="eastAsia" w:ascii="宋体" w:hAnsi="宋体"/>
          <w:bCs/>
          <w:color w:val="auto"/>
          <w:sz w:val="24"/>
          <w:szCs w:val="24"/>
          <w:highlight w:val="none"/>
        </w:rPr>
        <w:t>有关编制投标文件和签署合同所涉及现场所有的资料。</w:t>
      </w:r>
      <w:r>
        <w:rPr>
          <w:rFonts w:hint="eastAsia" w:ascii="宋体" w:hAnsi="宋体"/>
          <w:color w:val="auto"/>
          <w:sz w:val="24"/>
          <w:szCs w:val="24"/>
          <w:highlight w:val="none"/>
        </w:rPr>
        <w:t>一旦中标，这种考察即被认为其结果已在中标文件中得到充分反映。考察现场的费用由投标人自己承担。</w:t>
      </w:r>
    </w:p>
    <w:p>
      <w:pPr>
        <w:pBdr>
          <w:bottom w:val="single" w:color="auto" w:sz="6" w:space="1"/>
        </w:pBdr>
        <w:spacing w:line="440" w:lineRule="exact"/>
        <w:ind w:firstLine="540" w:firstLineChars="224"/>
        <w:rPr>
          <w:rFonts w:ascii="宋体" w:hAnsi="宋体"/>
          <w:b/>
          <w:color w:val="auto"/>
          <w:sz w:val="24"/>
          <w:szCs w:val="24"/>
          <w:highlight w:val="none"/>
        </w:rPr>
      </w:pPr>
      <w:r>
        <w:rPr>
          <w:rFonts w:hint="eastAsia" w:ascii="宋体" w:hAnsi="宋体"/>
          <w:b/>
          <w:color w:val="auto"/>
          <w:sz w:val="24"/>
          <w:szCs w:val="24"/>
          <w:highlight w:val="none"/>
        </w:rPr>
        <w:t>现文：</w:t>
      </w:r>
      <w:r>
        <w:rPr>
          <w:rFonts w:hint="eastAsia" w:ascii="宋体" w:hAnsi="宋体"/>
          <w:bCs/>
          <w:color w:val="auto"/>
          <w:sz w:val="24"/>
          <w:szCs w:val="24"/>
          <w:highlight w:val="none"/>
        </w:rPr>
        <w:t>投标人应按本投标须知前附表第</w:t>
      </w:r>
      <w:r>
        <w:rPr>
          <w:rFonts w:ascii="宋体" w:hAnsi="宋体"/>
          <w:bCs/>
          <w:color w:val="auto"/>
          <w:sz w:val="24"/>
          <w:szCs w:val="24"/>
          <w:highlight w:val="none"/>
        </w:rPr>
        <w:t>15</w:t>
      </w:r>
      <w:r>
        <w:rPr>
          <w:rFonts w:hint="eastAsia" w:ascii="宋体" w:hAnsi="宋体"/>
          <w:bCs/>
          <w:color w:val="auto"/>
          <w:sz w:val="24"/>
          <w:szCs w:val="24"/>
          <w:highlight w:val="none"/>
        </w:rPr>
        <w:t>项所述时间和要求对工程现场及周围环境进行踏勘，</w:t>
      </w:r>
      <w:r>
        <w:rPr>
          <w:rFonts w:hint="eastAsia" w:ascii="宋体" w:hAnsi="宋体"/>
          <w:color w:val="auto"/>
          <w:sz w:val="24"/>
          <w:szCs w:val="24"/>
          <w:highlight w:val="none"/>
        </w:rPr>
        <w:t>投标人应充分重视和仔细地进行这种考察，</w:t>
      </w:r>
      <w:r>
        <w:rPr>
          <w:rFonts w:hint="eastAsia" w:ascii="宋体" w:hAnsi="宋体"/>
          <w:bCs/>
          <w:color w:val="auto"/>
          <w:sz w:val="24"/>
          <w:szCs w:val="24"/>
          <w:highlight w:val="none"/>
        </w:rPr>
        <w:t>以便投标人获取</w:t>
      </w:r>
      <w:r>
        <w:rPr>
          <w:rFonts w:hint="eastAsia" w:ascii="宋体" w:hAnsi="宋体"/>
          <w:color w:val="auto"/>
          <w:sz w:val="24"/>
          <w:szCs w:val="24"/>
          <w:highlight w:val="none"/>
        </w:rPr>
        <w:t>那些须投标人自己负责的</w:t>
      </w:r>
      <w:r>
        <w:rPr>
          <w:rFonts w:hint="eastAsia" w:ascii="宋体" w:hAnsi="宋体"/>
          <w:bCs/>
          <w:color w:val="auto"/>
          <w:sz w:val="24"/>
          <w:szCs w:val="24"/>
          <w:highlight w:val="none"/>
        </w:rPr>
        <w:t>有关编制投标文件和签署合同所涉及现场所有的资料。</w:t>
      </w:r>
      <w:r>
        <w:rPr>
          <w:rFonts w:hint="eastAsia" w:ascii="宋体" w:hAnsi="宋体"/>
          <w:bCs/>
          <w:color w:val="auto"/>
          <w:sz w:val="24"/>
          <w:szCs w:val="24"/>
          <w:highlight w:val="none"/>
          <w:u w:val="single"/>
        </w:rPr>
        <w:t>投标人不进行踏勘的，视为已熟知现场条件，自行承担相关风险。</w:t>
      </w:r>
      <w:r>
        <w:rPr>
          <w:rFonts w:hint="eastAsia" w:ascii="宋体" w:hAnsi="宋体"/>
          <w:color w:val="auto"/>
          <w:sz w:val="24"/>
          <w:szCs w:val="24"/>
          <w:highlight w:val="none"/>
        </w:rPr>
        <w:t>一旦中标，这种考察即被认为其结果已在中标文件中得到充分反映。考察现场的费用由投标人自己承担。</w:t>
      </w:r>
    </w:p>
    <w:p>
      <w:pPr>
        <w:spacing w:line="440" w:lineRule="exact"/>
        <w:ind w:firstLine="540" w:firstLineChars="224"/>
        <w:rPr>
          <w:rFonts w:ascii="宋体" w:hAnsi="宋体"/>
          <w:b/>
          <w:color w:val="auto"/>
          <w:sz w:val="24"/>
          <w:szCs w:val="24"/>
          <w:highlight w:val="none"/>
        </w:rPr>
      </w:pPr>
      <w:r>
        <w:rPr>
          <w:rFonts w:hint="eastAsia" w:ascii="宋体" w:hAnsi="宋体"/>
          <w:b/>
          <w:color w:val="auto"/>
          <w:sz w:val="24"/>
          <w:szCs w:val="24"/>
          <w:highlight w:val="none"/>
        </w:rPr>
        <w:t>条款号：</w:t>
      </w:r>
      <w:r>
        <w:rPr>
          <w:rFonts w:ascii="宋体" w:hAnsi="宋体"/>
          <w:b/>
          <w:color w:val="auto"/>
          <w:sz w:val="24"/>
          <w:szCs w:val="24"/>
          <w:highlight w:val="none"/>
        </w:rPr>
        <w:t xml:space="preserve">8.1              </w:t>
      </w:r>
      <w:r>
        <w:rPr>
          <w:rFonts w:hint="eastAsia" w:ascii="宋体" w:hAnsi="宋体"/>
          <w:b/>
          <w:color w:val="auto"/>
          <w:sz w:val="24"/>
          <w:szCs w:val="24"/>
          <w:highlight w:val="none"/>
        </w:rPr>
        <w:t>修改类型：修改</w:t>
      </w:r>
    </w:p>
    <w:p>
      <w:pPr>
        <w:pBdr>
          <w:bottom w:val="single" w:color="auto" w:sz="6" w:space="1"/>
        </w:pBdr>
        <w:spacing w:line="440" w:lineRule="exact"/>
        <w:ind w:firstLine="540" w:firstLineChars="224"/>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投标人若对招标文件（包括招标图纸）中有疑问，可以书面形式通过交易平台提交给招标人或招标代理人，提交形式见本须知前附表第</w:t>
      </w:r>
      <w:r>
        <w:rPr>
          <w:rFonts w:ascii="宋体" w:hAnsi="宋体"/>
          <w:color w:val="auto"/>
          <w:sz w:val="24"/>
          <w:szCs w:val="24"/>
          <w:highlight w:val="none"/>
        </w:rPr>
        <w:t>16</w:t>
      </w:r>
      <w:r>
        <w:rPr>
          <w:rFonts w:hint="eastAsia" w:ascii="宋体" w:hAnsi="宋体"/>
          <w:color w:val="auto"/>
          <w:sz w:val="24"/>
          <w:szCs w:val="24"/>
          <w:highlight w:val="none"/>
        </w:rPr>
        <w:t>项。</w:t>
      </w:r>
    </w:p>
    <w:p>
      <w:pPr>
        <w:pBdr>
          <w:bottom w:val="single" w:color="auto" w:sz="6" w:space="1"/>
        </w:pBdr>
        <w:spacing w:line="440" w:lineRule="exact"/>
        <w:ind w:firstLine="540" w:firstLineChars="224"/>
        <w:rPr>
          <w:rFonts w:ascii="宋体" w:hAnsi="宋体"/>
          <w:b/>
          <w:color w:val="auto"/>
          <w:sz w:val="24"/>
          <w:szCs w:val="24"/>
          <w:highlight w:val="none"/>
        </w:rPr>
      </w:pPr>
      <w:r>
        <w:rPr>
          <w:rFonts w:hint="eastAsia" w:ascii="宋体" w:hAnsi="宋体"/>
          <w:b/>
          <w:color w:val="auto"/>
          <w:sz w:val="24"/>
          <w:szCs w:val="24"/>
          <w:highlight w:val="none"/>
        </w:rPr>
        <w:t>现文：</w:t>
      </w:r>
      <w:r>
        <w:rPr>
          <w:rFonts w:hint="eastAsia" w:cs="宋体"/>
          <w:color w:val="auto"/>
          <w:sz w:val="24"/>
          <w:szCs w:val="24"/>
          <w:highlight w:val="none"/>
        </w:rPr>
        <w:t>投标人若对招标文件</w:t>
      </w:r>
      <w:r>
        <w:rPr>
          <w:rFonts w:hint="eastAsia" w:cs="宋体"/>
          <w:color w:val="auto"/>
          <w:sz w:val="24"/>
          <w:szCs w:val="24"/>
          <w:highlight w:val="none"/>
          <w:u w:val="single"/>
        </w:rPr>
        <w:t>（包括招标图纸、清单、招标控制价、合同条款）</w:t>
      </w:r>
      <w:r>
        <w:rPr>
          <w:rFonts w:hint="eastAsia" w:cs="宋体"/>
          <w:color w:val="auto"/>
          <w:sz w:val="24"/>
          <w:szCs w:val="24"/>
          <w:highlight w:val="none"/>
        </w:rPr>
        <w:t>中有疑问，</w:t>
      </w:r>
      <w:r>
        <w:rPr>
          <w:rFonts w:hint="eastAsia" w:cs="宋体"/>
          <w:color w:val="auto"/>
          <w:sz w:val="24"/>
          <w:szCs w:val="24"/>
          <w:highlight w:val="none"/>
          <w:u w:val="single"/>
        </w:rPr>
        <w:t>可在规定的时间内以</w:t>
      </w:r>
      <w:r>
        <w:rPr>
          <w:rFonts w:hint="eastAsia" w:cs="宋体"/>
          <w:color w:val="auto"/>
          <w:sz w:val="24"/>
          <w:szCs w:val="24"/>
          <w:highlight w:val="none"/>
        </w:rPr>
        <w:t>书面形式通过</w:t>
      </w:r>
      <w:r>
        <w:rPr>
          <w:rFonts w:hint="eastAsia" w:cs="宋体"/>
          <w:color w:val="auto"/>
          <w:sz w:val="24"/>
          <w:szCs w:val="24"/>
          <w:highlight w:val="none"/>
          <w:u w:val="single"/>
        </w:rPr>
        <w:t>广州交易集团有限公司（广州公共资源交易中心）</w:t>
      </w:r>
      <w:r>
        <w:rPr>
          <w:rFonts w:hint="eastAsia" w:cs="宋体"/>
          <w:color w:val="auto"/>
          <w:sz w:val="24"/>
          <w:szCs w:val="24"/>
          <w:highlight w:val="none"/>
        </w:rPr>
        <w:t>交易平台提交给招标人或招标代理人，提交形式见本须知前附表第16项。</w:t>
      </w:r>
    </w:p>
    <w:p>
      <w:pPr>
        <w:spacing w:line="440" w:lineRule="exact"/>
        <w:ind w:firstLine="590" w:firstLineChars="245"/>
        <w:rPr>
          <w:rFonts w:ascii="宋体" w:hAnsi="宋体"/>
          <w:b/>
          <w:color w:val="auto"/>
          <w:sz w:val="24"/>
          <w:szCs w:val="24"/>
          <w:highlight w:val="none"/>
        </w:rPr>
      </w:pPr>
      <w:r>
        <w:rPr>
          <w:rFonts w:hint="eastAsia" w:ascii="宋体" w:hAnsi="宋体"/>
          <w:b/>
          <w:color w:val="auto"/>
          <w:sz w:val="24"/>
          <w:szCs w:val="24"/>
          <w:highlight w:val="none"/>
        </w:rPr>
        <w:t>条款号：</w:t>
      </w:r>
      <w:r>
        <w:rPr>
          <w:rFonts w:ascii="宋体" w:hAnsi="宋体"/>
          <w:b/>
          <w:color w:val="auto"/>
          <w:sz w:val="24"/>
          <w:szCs w:val="24"/>
          <w:highlight w:val="none"/>
        </w:rPr>
        <w:t>8.</w:t>
      </w:r>
      <w:r>
        <w:rPr>
          <w:rFonts w:hint="eastAsia" w:ascii="宋体" w:hAnsi="宋体"/>
          <w:b/>
          <w:color w:val="auto"/>
          <w:sz w:val="24"/>
          <w:szCs w:val="24"/>
          <w:highlight w:val="none"/>
        </w:rPr>
        <w:t>2-8.4修改类型：修改</w:t>
      </w:r>
    </w:p>
    <w:p>
      <w:pPr>
        <w:pStyle w:val="5"/>
        <w:spacing w:after="0" w:line="440" w:lineRule="exact"/>
        <w:ind w:firstLine="590" w:firstLineChars="245"/>
        <w:rPr>
          <w:rFonts w:ascii="宋体" w:hAnsi="宋体"/>
          <w:color w:val="auto"/>
          <w:sz w:val="24"/>
          <w:szCs w:val="24"/>
          <w:highlight w:val="none"/>
        </w:rPr>
      </w:pPr>
      <w:r>
        <w:rPr>
          <w:rFonts w:hint="eastAsia" w:ascii="宋体" w:hAnsi="宋体"/>
          <w:b/>
          <w:color w:val="auto"/>
          <w:sz w:val="24"/>
          <w:szCs w:val="24"/>
          <w:highlight w:val="none"/>
        </w:rPr>
        <w:t>原文：8.2</w:t>
      </w:r>
      <w:r>
        <w:rPr>
          <w:rFonts w:hint="eastAsia" w:ascii="宋体" w:hAnsi="宋体"/>
          <w:color w:val="auto"/>
          <w:sz w:val="24"/>
          <w:szCs w:val="24"/>
          <w:highlight w:val="none"/>
        </w:rPr>
        <w:t>招标答疑会会议纪要将在提交投标文件截止时间15日前在交易平台 “项目答疑纪要”专区公开发布。答疑纪要一经在交易平台发布，视作已发放给所有投标人。</w:t>
      </w:r>
    </w:p>
    <w:p>
      <w:pPr>
        <w:pStyle w:val="5"/>
        <w:spacing w:line="440" w:lineRule="exact"/>
        <w:ind w:firstLine="588" w:firstLineChars="245"/>
        <w:rPr>
          <w:rFonts w:ascii="宋体" w:hAnsi="宋体"/>
          <w:color w:val="auto"/>
          <w:sz w:val="24"/>
          <w:szCs w:val="24"/>
          <w:highlight w:val="none"/>
        </w:rPr>
      </w:pPr>
      <w:r>
        <w:rPr>
          <w:rFonts w:ascii="宋体" w:hAnsi="宋体"/>
          <w:color w:val="auto"/>
          <w:sz w:val="24"/>
          <w:szCs w:val="24"/>
          <w:highlight w:val="none"/>
        </w:rPr>
        <w:t>8.3</w:t>
      </w:r>
      <w:r>
        <w:rPr>
          <w:rFonts w:hint="eastAsia" w:ascii="宋体" w:hAnsi="宋体"/>
          <w:color w:val="auto"/>
          <w:sz w:val="24"/>
          <w:szCs w:val="24"/>
          <w:highlight w:val="none"/>
        </w:rPr>
        <w:t>答疑会会议纪要为招标文件的一部分。</w:t>
      </w:r>
    </w:p>
    <w:p>
      <w:pPr>
        <w:pStyle w:val="5"/>
        <w:spacing w:after="0" w:line="440" w:lineRule="exact"/>
        <w:ind w:firstLine="588" w:firstLineChars="245"/>
        <w:rPr>
          <w:rFonts w:ascii="宋体" w:hAnsi="宋体"/>
          <w:color w:val="auto"/>
          <w:sz w:val="24"/>
          <w:szCs w:val="24"/>
          <w:highlight w:val="none"/>
        </w:rPr>
      </w:pPr>
      <w:r>
        <w:rPr>
          <w:rFonts w:ascii="宋体" w:hAnsi="宋体"/>
          <w:color w:val="auto"/>
          <w:sz w:val="24"/>
          <w:szCs w:val="24"/>
          <w:highlight w:val="none"/>
        </w:rPr>
        <w:t>8.4</w:t>
      </w:r>
      <w:r>
        <w:rPr>
          <w:rFonts w:hint="eastAsia" w:ascii="宋体" w:hAnsi="宋体"/>
          <w:color w:val="auto"/>
          <w:sz w:val="24"/>
          <w:szCs w:val="24"/>
          <w:highlight w:val="none"/>
        </w:rPr>
        <w:t>若招标答疑会会议纪要与招标文件有矛盾，以答疑会议纪要最后发出的书面形式的文件为准。</w:t>
      </w:r>
    </w:p>
    <w:p>
      <w:pPr>
        <w:pStyle w:val="5"/>
        <w:spacing w:after="0"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现文：8.2</w:t>
      </w:r>
      <w:r>
        <w:rPr>
          <w:rFonts w:hint="eastAsia" w:ascii="宋体" w:hAnsi="宋体"/>
          <w:color w:val="auto"/>
          <w:sz w:val="24"/>
          <w:szCs w:val="24"/>
          <w:highlight w:val="none"/>
          <w:u w:val="single"/>
        </w:rPr>
        <w:t>招标答疑纪要</w:t>
      </w:r>
      <w:r>
        <w:rPr>
          <w:rFonts w:hint="eastAsia" w:ascii="宋体" w:hAnsi="宋体"/>
          <w:color w:val="auto"/>
          <w:sz w:val="24"/>
          <w:szCs w:val="24"/>
          <w:highlight w:val="none"/>
        </w:rPr>
        <w:t>将在提交投标文件截止时间15日前在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 “项目答疑纪要”专区公开发布。答疑纪要一经在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交易平台发布，视作已发放给所有投标人。</w:t>
      </w:r>
    </w:p>
    <w:p>
      <w:pPr>
        <w:pStyle w:val="5"/>
        <w:spacing w:after="0" w:line="360" w:lineRule="auto"/>
        <w:ind w:firstLine="597" w:firstLineChars="249"/>
        <w:rPr>
          <w:rFonts w:ascii="宋体"/>
          <w:color w:val="auto"/>
          <w:sz w:val="24"/>
          <w:highlight w:val="none"/>
        </w:rPr>
      </w:pPr>
      <w:r>
        <w:rPr>
          <w:rFonts w:ascii="宋体" w:hAnsi="宋体"/>
          <w:color w:val="auto"/>
          <w:sz w:val="24"/>
          <w:highlight w:val="none"/>
        </w:rPr>
        <w:t>8.3</w:t>
      </w:r>
      <w:r>
        <w:rPr>
          <w:rFonts w:hint="eastAsia" w:ascii="宋体" w:hAnsi="宋体"/>
          <w:color w:val="auto"/>
          <w:sz w:val="24"/>
          <w:szCs w:val="24"/>
          <w:highlight w:val="none"/>
          <w:u w:val="single"/>
        </w:rPr>
        <w:t>招标答疑纪要</w:t>
      </w:r>
      <w:r>
        <w:rPr>
          <w:rFonts w:hint="eastAsia" w:ascii="宋体" w:hAnsi="宋体"/>
          <w:color w:val="auto"/>
          <w:sz w:val="24"/>
          <w:highlight w:val="none"/>
        </w:rPr>
        <w:t>为招标文件的一部分。</w:t>
      </w:r>
    </w:p>
    <w:p>
      <w:pPr>
        <w:pBdr>
          <w:bottom w:val="single" w:color="auto" w:sz="6" w:space="1"/>
        </w:pBdr>
        <w:spacing w:line="440" w:lineRule="exact"/>
        <w:ind w:firstLine="588" w:firstLineChars="245"/>
        <w:rPr>
          <w:rFonts w:ascii="宋体" w:hAnsi="宋体"/>
          <w:b/>
          <w:color w:val="auto"/>
          <w:sz w:val="24"/>
          <w:szCs w:val="24"/>
          <w:highlight w:val="none"/>
        </w:rPr>
      </w:pPr>
      <w:r>
        <w:rPr>
          <w:rFonts w:ascii="宋体" w:hAnsi="宋体"/>
          <w:color w:val="auto"/>
          <w:sz w:val="24"/>
          <w:highlight w:val="none"/>
        </w:rPr>
        <w:t>8.4</w:t>
      </w:r>
      <w:r>
        <w:rPr>
          <w:rFonts w:hint="eastAsia" w:ascii="宋体" w:hAnsi="宋体"/>
          <w:color w:val="auto"/>
          <w:sz w:val="24"/>
          <w:highlight w:val="none"/>
        </w:rPr>
        <w:t>若</w:t>
      </w:r>
      <w:r>
        <w:rPr>
          <w:rFonts w:hint="eastAsia" w:ascii="宋体" w:hAnsi="宋体"/>
          <w:color w:val="auto"/>
          <w:sz w:val="24"/>
          <w:szCs w:val="24"/>
          <w:highlight w:val="none"/>
          <w:u w:val="single"/>
        </w:rPr>
        <w:t>招标答疑纪要</w:t>
      </w:r>
      <w:r>
        <w:rPr>
          <w:rFonts w:hint="eastAsia" w:ascii="宋体" w:hAnsi="宋体"/>
          <w:color w:val="auto"/>
          <w:sz w:val="24"/>
          <w:highlight w:val="none"/>
        </w:rPr>
        <w:t>与招标文件有矛盾，以</w:t>
      </w:r>
      <w:r>
        <w:rPr>
          <w:rFonts w:hint="eastAsia" w:cs="宋体"/>
          <w:color w:val="auto"/>
          <w:sz w:val="24"/>
          <w:szCs w:val="24"/>
          <w:highlight w:val="none"/>
          <w:u w:val="single"/>
        </w:rPr>
        <w:t>广州交易集团有限公司（广州公共资源交易中心）网站最后发布的答疑纪要为准</w:t>
      </w:r>
      <w:r>
        <w:rPr>
          <w:rFonts w:hint="eastAsia" w:ascii="宋体" w:hAnsi="宋体"/>
          <w:color w:val="auto"/>
          <w:sz w:val="24"/>
          <w:highlight w:val="none"/>
        </w:rPr>
        <w:t>。</w:t>
      </w:r>
    </w:p>
    <w:p>
      <w:pPr>
        <w:spacing w:line="440" w:lineRule="exact"/>
        <w:ind w:firstLine="540" w:firstLineChars="224"/>
        <w:rPr>
          <w:rFonts w:ascii="宋体" w:hAnsi="宋体"/>
          <w:b/>
          <w:color w:val="auto"/>
          <w:sz w:val="24"/>
          <w:szCs w:val="24"/>
          <w:highlight w:val="none"/>
        </w:rPr>
      </w:pPr>
      <w:r>
        <w:rPr>
          <w:rFonts w:hint="eastAsia" w:ascii="宋体" w:hAnsi="宋体"/>
          <w:b/>
          <w:color w:val="auto"/>
          <w:sz w:val="24"/>
          <w:szCs w:val="24"/>
          <w:highlight w:val="none"/>
        </w:rPr>
        <w:t>条款号：9.2-9.4修改类型：修改</w:t>
      </w:r>
    </w:p>
    <w:p>
      <w:pPr>
        <w:pBdr>
          <w:bottom w:val="single" w:color="auto" w:sz="6" w:space="1"/>
        </w:pBdr>
        <w:spacing w:line="440" w:lineRule="exact"/>
        <w:ind w:firstLine="540" w:firstLineChars="224"/>
        <w:rPr>
          <w:rFonts w:ascii="宋体" w:hAnsi="宋体"/>
          <w:b/>
          <w:color w:val="auto"/>
          <w:sz w:val="24"/>
          <w:szCs w:val="24"/>
          <w:highlight w:val="none"/>
        </w:rPr>
      </w:pPr>
      <w:r>
        <w:rPr>
          <w:rFonts w:hint="eastAsia" w:ascii="宋体" w:hAnsi="宋体"/>
          <w:b/>
          <w:color w:val="auto"/>
          <w:sz w:val="24"/>
          <w:szCs w:val="24"/>
          <w:highlight w:val="none"/>
        </w:rPr>
        <w:t>原文：</w:t>
      </w:r>
    </w:p>
    <w:p>
      <w:pPr>
        <w:pBdr>
          <w:bottom w:val="single" w:color="auto" w:sz="6" w:space="1"/>
        </w:pBdr>
        <w:spacing w:line="44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44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9.3招标文件的修改内容为招标文件的组成部分。</w:t>
      </w:r>
    </w:p>
    <w:p>
      <w:pPr>
        <w:pBdr>
          <w:bottom w:val="single" w:color="auto" w:sz="6" w:space="1"/>
        </w:pBdr>
        <w:spacing w:line="440" w:lineRule="exact"/>
        <w:ind w:firstLine="537" w:firstLineChars="224"/>
        <w:rPr>
          <w:rFonts w:ascii="宋体" w:hAnsi="宋体"/>
          <w:color w:val="auto"/>
          <w:sz w:val="24"/>
          <w:szCs w:val="24"/>
          <w:highlight w:val="none"/>
        </w:rPr>
      </w:pPr>
      <w:r>
        <w:rPr>
          <w:rFonts w:hint="eastAsia" w:ascii="宋体" w:hAnsi="宋体"/>
          <w:color w:val="auto"/>
          <w:sz w:val="24"/>
          <w:szCs w:val="24"/>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440" w:lineRule="exact"/>
        <w:ind w:firstLine="540" w:firstLineChars="224"/>
        <w:rPr>
          <w:rFonts w:ascii="宋体" w:hAnsi="宋体"/>
          <w:b/>
          <w:color w:val="auto"/>
          <w:sz w:val="24"/>
          <w:szCs w:val="24"/>
          <w:highlight w:val="none"/>
        </w:rPr>
      </w:pPr>
      <w:r>
        <w:rPr>
          <w:rFonts w:hint="eastAsia" w:ascii="宋体" w:hAnsi="宋体"/>
          <w:b/>
          <w:color w:val="auto"/>
          <w:sz w:val="24"/>
          <w:szCs w:val="24"/>
          <w:highlight w:val="none"/>
        </w:rPr>
        <w:t>现文：</w:t>
      </w:r>
    </w:p>
    <w:p>
      <w:pPr>
        <w:pBdr>
          <w:bottom w:val="single" w:color="auto" w:sz="6" w:space="1"/>
        </w:pBdr>
        <w:spacing w:line="440" w:lineRule="exact"/>
        <w:ind w:firstLine="537" w:firstLineChars="224"/>
        <w:rPr>
          <w:rFonts w:ascii="宋体" w:hAnsi="宋体"/>
          <w:bCs/>
          <w:color w:val="auto"/>
          <w:sz w:val="24"/>
          <w:szCs w:val="24"/>
          <w:highlight w:val="none"/>
        </w:rPr>
      </w:pPr>
      <w:r>
        <w:rPr>
          <w:rFonts w:hint="eastAsia" w:ascii="宋体" w:hAnsi="宋体"/>
          <w:bCs/>
          <w:color w:val="auto"/>
          <w:sz w:val="24"/>
          <w:szCs w:val="24"/>
          <w:highlight w:val="none"/>
        </w:rPr>
        <w:t>9.2招标文件的澄清或修改将在</w:t>
      </w:r>
      <w:r>
        <w:rPr>
          <w:rFonts w:hint="eastAsia" w:ascii="宋体" w:hAnsi="宋体"/>
          <w:bCs/>
          <w:color w:val="auto"/>
          <w:sz w:val="24"/>
          <w:szCs w:val="24"/>
          <w:highlight w:val="none"/>
          <w:u w:val="single"/>
        </w:rPr>
        <w:t>广州交易集团有限公司（广州公共资源交易中心）</w:t>
      </w:r>
      <w:r>
        <w:rPr>
          <w:rFonts w:hint="eastAsia" w:ascii="宋体" w:hAnsi="宋体"/>
          <w:bCs/>
          <w:color w:val="auto"/>
          <w:sz w:val="24"/>
          <w:szCs w:val="24"/>
          <w:highlight w:val="none"/>
        </w:rPr>
        <w:t>交易平台“项目答疑纪要”专区公开发布。答疑纪要一经在</w:t>
      </w:r>
      <w:r>
        <w:rPr>
          <w:rFonts w:hint="eastAsia" w:ascii="宋体" w:hAnsi="宋体"/>
          <w:bCs/>
          <w:color w:val="auto"/>
          <w:sz w:val="24"/>
          <w:szCs w:val="24"/>
          <w:highlight w:val="none"/>
          <w:u w:val="single"/>
        </w:rPr>
        <w:t>广州交易集团有限公司（广州公共资源交易中心）</w:t>
      </w:r>
      <w:r>
        <w:rPr>
          <w:rFonts w:hint="eastAsia" w:ascii="宋体" w:hAnsi="宋体"/>
          <w:bCs/>
          <w:color w:val="auto"/>
          <w:sz w:val="24"/>
          <w:szCs w:val="24"/>
          <w:highlight w:val="none"/>
        </w:rPr>
        <w:t>交易平台发布，视作已发放给所有投标人，以</w:t>
      </w:r>
      <w:r>
        <w:rPr>
          <w:rFonts w:hint="eastAsia" w:ascii="宋体" w:hAnsi="宋体"/>
          <w:bCs/>
          <w:color w:val="auto"/>
          <w:sz w:val="24"/>
          <w:szCs w:val="24"/>
          <w:highlight w:val="none"/>
          <w:u w:val="single"/>
        </w:rPr>
        <w:t>广州交易集团有限公司（广州公共资源交易中心）</w:t>
      </w:r>
      <w:r>
        <w:rPr>
          <w:rFonts w:hint="eastAsia" w:ascii="宋体" w:hAnsi="宋体"/>
          <w:bCs/>
          <w:color w:val="auto"/>
          <w:sz w:val="24"/>
          <w:szCs w:val="24"/>
          <w:highlight w:val="none"/>
        </w:rPr>
        <w:t>交易平台上网发布时间作为送达时间。</w:t>
      </w:r>
    </w:p>
    <w:p>
      <w:pPr>
        <w:pBdr>
          <w:bottom w:val="single" w:color="auto" w:sz="6" w:space="1"/>
        </w:pBdr>
        <w:spacing w:line="440" w:lineRule="exact"/>
        <w:ind w:firstLine="537" w:firstLineChars="224"/>
        <w:rPr>
          <w:rFonts w:ascii="宋体" w:hAnsi="宋体"/>
          <w:bCs/>
          <w:color w:val="auto"/>
          <w:sz w:val="24"/>
          <w:szCs w:val="24"/>
          <w:highlight w:val="none"/>
        </w:rPr>
      </w:pPr>
      <w:r>
        <w:rPr>
          <w:rFonts w:hint="eastAsia" w:ascii="宋体" w:hAnsi="宋体"/>
          <w:bCs/>
          <w:color w:val="auto"/>
          <w:sz w:val="24"/>
          <w:szCs w:val="24"/>
          <w:highlight w:val="none"/>
        </w:rPr>
        <w:t>9.3招标文件的修改内容为招标文件的组成部分，</w:t>
      </w:r>
      <w:r>
        <w:rPr>
          <w:rFonts w:hint="eastAsia" w:ascii="宋体" w:hAnsi="宋体"/>
          <w:bCs/>
          <w:color w:val="auto"/>
          <w:sz w:val="24"/>
          <w:szCs w:val="24"/>
          <w:highlight w:val="none"/>
          <w:u w:val="single"/>
        </w:rPr>
        <w:t>具有约束作用</w:t>
      </w:r>
      <w:r>
        <w:rPr>
          <w:rFonts w:hint="eastAsia" w:ascii="宋体" w:hAnsi="宋体"/>
          <w:bCs/>
          <w:color w:val="auto"/>
          <w:sz w:val="24"/>
          <w:szCs w:val="24"/>
          <w:highlight w:val="none"/>
        </w:rPr>
        <w:t>。</w:t>
      </w:r>
    </w:p>
    <w:p>
      <w:pPr>
        <w:pBdr>
          <w:bottom w:val="single" w:color="auto" w:sz="6" w:space="1"/>
        </w:pBdr>
        <w:spacing w:line="440" w:lineRule="exact"/>
        <w:ind w:firstLine="537" w:firstLineChars="224"/>
        <w:rPr>
          <w:rFonts w:ascii="宋体" w:hAnsi="宋体"/>
          <w:bCs/>
          <w:color w:val="auto"/>
          <w:sz w:val="24"/>
          <w:szCs w:val="24"/>
          <w:highlight w:val="none"/>
        </w:rPr>
      </w:pPr>
      <w:r>
        <w:rPr>
          <w:rFonts w:hint="eastAsia" w:ascii="宋体" w:hAnsi="宋体"/>
          <w:bCs/>
          <w:color w:val="auto"/>
          <w:sz w:val="24"/>
          <w:szCs w:val="24"/>
          <w:highlight w:val="none"/>
        </w:rPr>
        <w:t>9.4招标文件的澄清或修改均以</w:t>
      </w:r>
      <w:r>
        <w:rPr>
          <w:rFonts w:hint="eastAsia" w:ascii="宋体" w:hAnsi="宋体"/>
          <w:bCs/>
          <w:color w:val="auto"/>
          <w:sz w:val="24"/>
          <w:szCs w:val="24"/>
          <w:highlight w:val="none"/>
          <w:u w:val="single"/>
        </w:rPr>
        <w:t>广州交易集团有限公司（广州公共资源交易中心）交易平台</w:t>
      </w:r>
      <w:r>
        <w:rPr>
          <w:rFonts w:hint="eastAsia" w:ascii="宋体" w:hAnsi="宋体"/>
          <w:bCs/>
          <w:color w:val="auto"/>
          <w:sz w:val="24"/>
          <w:szCs w:val="24"/>
          <w:highlight w:val="none"/>
        </w:rPr>
        <w:t>发布的内容为准。当招标文件的澄清、修改、补充等在同一内容的表述不一致时，</w:t>
      </w:r>
      <w:r>
        <w:rPr>
          <w:rFonts w:hint="eastAsia" w:ascii="宋体" w:hAnsi="宋体"/>
          <w:bCs/>
          <w:color w:val="auto"/>
          <w:sz w:val="24"/>
          <w:szCs w:val="24"/>
          <w:highlight w:val="none"/>
          <w:u w:val="single"/>
        </w:rPr>
        <w:t>以广州交易集团有限公司（广州公共资源交易中心）交易平台最后发布的内容为准</w:t>
      </w:r>
      <w:r>
        <w:rPr>
          <w:rFonts w:hint="eastAsia" w:ascii="宋体" w:hAnsi="宋体"/>
          <w:bCs/>
          <w:color w:val="auto"/>
          <w:sz w:val="24"/>
          <w:szCs w:val="24"/>
          <w:highlight w:val="none"/>
        </w:rPr>
        <w:t>。</w:t>
      </w:r>
    </w:p>
    <w:p>
      <w:pPr>
        <w:ind w:firstLine="361" w:firstLineChars="150"/>
        <w:rPr>
          <w:color w:val="auto"/>
          <w:highlight w:val="none"/>
        </w:rPr>
      </w:pPr>
      <w:r>
        <w:rPr>
          <w:rFonts w:hint="eastAsia" w:ascii="宋体" w:hAnsi="宋体"/>
          <w:b/>
          <w:color w:val="auto"/>
          <w:sz w:val="24"/>
          <w:szCs w:val="24"/>
          <w:highlight w:val="none"/>
        </w:rPr>
        <w:t>条款号：11.1、</w:t>
      </w:r>
      <w:r>
        <w:rPr>
          <w:rFonts w:hint="eastAsia" w:ascii="宋体" w:hAnsi="宋体"/>
          <w:b/>
          <w:bCs/>
          <w:color w:val="auto"/>
          <w:sz w:val="24"/>
          <w:szCs w:val="24"/>
          <w:highlight w:val="none"/>
        </w:rPr>
        <w:t>11.2、11.3</w:t>
      </w:r>
      <w:r>
        <w:rPr>
          <w:rFonts w:hint="eastAsia" w:ascii="宋体" w:hAnsi="宋体"/>
          <w:b/>
          <w:color w:val="auto"/>
          <w:sz w:val="24"/>
          <w:szCs w:val="24"/>
          <w:highlight w:val="none"/>
        </w:rPr>
        <w:t>修改类型：修改</w:t>
      </w:r>
    </w:p>
    <w:p>
      <w:pPr>
        <w:pStyle w:val="5"/>
        <w:spacing w:after="0" w:line="360" w:lineRule="auto"/>
        <w:ind w:firstLine="422" w:firstLineChars="200"/>
        <w:rPr>
          <w:rFonts w:ascii="宋体" w:hAnsi="宋体"/>
          <w:b/>
          <w:color w:val="auto"/>
          <w:sz w:val="24"/>
          <w:szCs w:val="24"/>
          <w:highlight w:val="none"/>
        </w:rPr>
      </w:pPr>
      <w:r>
        <w:rPr>
          <w:rFonts w:hint="eastAsia" w:ascii="宋体" w:hAnsi="宋体"/>
          <w:b/>
          <w:color w:val="auto"/>
          <w:sz w:val="21"/>
          <w:szCs w:val="21"/>
          <w:highlight w:val="none"/>
        </w:rPr>
        <w:t xml:space="preserve">原文： </w:t>
      </w:r>
      <w:r>
        <w:rPr>
          <w:rFonts w:hint="eastAsia" w:ascii="宋体" w:hAnsi="宋体"/>
          <w:color w:val="auto"/>
          <w:sz w:val="24"/>
          <w:szCs w:val="24"/>
          <w:highlight w:val="none"/>
        </w:rPr>
        <w:t>11.1 投标文件由技术部分（含资格审查文件）和经济部分二部分投标文件组成</w:t>
      </w:r>
      <w:r>
        <w:rPr>
          <w:rFonts w:hint="eastAsia" w:ascii="宋体" w:hAnsi="宋体"/>
          <w:b/>
          <w:color w:val="auto"/>
          <w:sz w:val="24"/>
          <w:szCs w:val="24"/>
          <w:highlight w:val="none"/>
        </w:rPr>
        <w:t>。</w:t>
      </w:r>
    </w:p>
    <w:p>
      <w:pPr>
        <w:pStyle w:val="5"/>
        <w:spacing w:after="0" w:line="360" w:lineRule="auto"/>
        <w:ind w:firstLine="480" w:firstLineChars="200"/>
        <w:rPr>
          <w:rFonts w:ascii="宋体"/>
          <w:b/>
          <w:color w:val="auto"/>
          <w:sz w:val="24"/>
          <w:szCs w:val="24"/>
          <w:highlight w:val="none"/>
        </w:rPr>
      </w:pPr>
      <w:r>
        <w:rPr>
          <w:rFonts w:ascii="宋体" w:hAnsi="宋体"/>
          <w:bCs/>
          <w:color w:val="auto"/>
          <w:sz w:val="24"/>
          <w:szCs w:val="24"/>
          <w:highlight w:val="none"/>
        </w:rPr>
        <w:t>11.2</w:t>
      </w:r>
      <w:r>
        <w:rPr>
          <w:rFonts w:hint="eastAsia" w:ascii="宋体" w:hAnsi="宋体"/>
          <w:bCs/>
          <w:color w:val="auto"/>
          <w:sz w:val="24"/>
          <w:szCs w:val="24"/>
          <w:highlight w:val="none"/>
        </w:rPr>
        <w:t>投标文件技术标部分主要包括下列内容</w:t>
      </w:r>
      <w:r>
        <w:rPr>
          <w:rFonts w:ascii="宋体" w:hAns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11.2.1 技术投标文件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11.2.2 资格审查文件：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 xml:space="preserve">（1）投标人声明； </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（2）法定代表人证明书、法定代表人签字或盖章的本投标文件授权委托证明书；</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（3）企业营业执照（取自平台内上传件）；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（4）企业资质证书（取自平台内上传件）；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（8）拟委托技术负责人的相关证书、资料（具体要求由招标人明确）</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（9）拟委派项目负责人的建造师注册证书或小型项目负责人相关证明（取自平台内上传件）；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（10）项目负责人安全培训考核合格证明或在有效期内的安全考核合格证书（B类）或建筑施工企业项目负责人安全生产考核合格证书（取自平台内上传件）；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（11）专职安全员须具有在有效期内的安全考核合格证书（C类）</w:t>
      </w:r>
      <w:r>
        <w:rPr>
          <w:rFonts w:hint="eastAsia" w:ascii="宋体"/>
          <w:bCs/>
          <w:color w:val="auto"/>
          <w:sz w:val="24"/>
          <w:highlight w:val="none"/>
        </w:rPr>
        <w:t>或建筑施工企业专职安全生产管理人员安全生产考核合格证书</w:t>
      </w:r>
      <w:r>
        <w:rPr>
          <w:rFonts w:hint="eastAsia" w:ascii="宋体"/>
          <w:bCs/>
          <w:color w:val="auto"/>
          <w:sz w:val="24"/>
          <w:szCs w:val="24"/>
          <w:highlight w:val="none"/>
        </w:rPr>
        <w:t>（取自平台内上传件）；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szCs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（13）资格审查前，投标人须在广州市住房和城乡建设局建立企业</w:t>
      </w:r>
      <w:r>
        <w:rPr>
          <w:rFonts w:hint="eastAsia" w:ascii="宋体"/>
          <w:bCs/>
          <w:color w:val="auto"/>
          <w:sz w:val="24"/>
          <w:highlight w:val="none"/>
        </w:rPr>
        <w:t>信用</w:t>
      </w:r>
      <w:r>
        <w:rPr>
          <w:rFonts w:hint="eastAsia" w:ascii="宋体"/>
          <w:bCs/>
          <w:color w:val="auto"/>
          <w:sz w:val="24"/>
          <w:szCs w:val="24"/>
          <w:highlight w:val="none"/>
        </w:rPr>
        <w:t>档案，拟担任本工程项目负责人</w:t>
      </w:r>
      <w:r>
        <w:rPr>
          <w:rFonts w:hint="eastAsia" w:ascii="宋体"/>
          <w:bCs/>
          <w:color w:val="auto"/>
          <w:sz w:val="24"/>
          <w:highlight w:val="none"/>
        </w:rPr>
        <w:t>、专职安全员</w:t>
      </w:r>
      <w:r>
        <w:rPr>
          <w:rFonts w:hint="eastAsia" w:ascii="宋体"/>
          <w:bCs/>
          <w:color w:val="auto"/>
          <w:sz w:val="24"/>
          <w:szCs w:val="24"/>
          <w:highlight w:val="none"/>
        </w:rPr>
        <w:t>须是本企业</w:t>
      </w:r>
      <w:r>
        <w:rPr>
          <w:rFonts w:hint="eastAsia" w:ascii="宋体"/>
          <w:bCs/>
          <w:color w:val="auto"/>
          <w:sz w:val="24"/>
          <w:highlight w:val="none"/>
        </w:rPr>
        <w:t>信用</w:t>
      </w:r>
      <w:r>
        <w:rPr>
          <w:rFonts w:hint="eastAsia" w:ascii="宋体"/>
          <w:bCs/>
          <w:color w:val="auto"/>
          <w:sz w:val="24"/>
          <w:szCs w:val="24"/>
          <w:highlight w:val="none"/>
        </w:rPr>
        <w:t>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11.2.3</w:t>
      </w:r>
      <w:r>
        <w:rPr>
          <w:rFonts w:hint="eastAsia" w:ascii="宋体" w:hAnsi="宋体"/>
          <w:color w:val="auto"/>
          <w:sz w:val="24"/>
          <w:szCs w:val="24"/>
          <w:highlight w:val="none"/>
        </w:rPr>
        <w:t>项目管理机构配备。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）投标人应列出该项目工程的施工组织机构构成和画出机构框架图及其负责人；</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）其他辅助说明资料。</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11.2.4</w:t>
      </w:r>
      <w:r>
        <w:rPr>
          <w:rFonts w:hint="eastAsia" w:ascii="宋体" w:hAnsi="宋体"/>
          <w:color w:val="auto"/>
          <w:sz w:val="24"/>
          <w:szCs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11.2.5</w:t>
      </w:r>
      <w:r>
        <w:rPr>
          <w:rFonts w:hint="eastAsia" w:ascii="宋体" w:hAnsi="宋体"/>
          <w:color w:val="auto"/>
          <w:sz w:val="24"/>
          <w:szCs w:val="24"/>
          <w:highlight w:val="none"/>
        </w:rPr>
        <w:t>施工组织设计或施工方案。</w:t>
      </w:r>
      <w:r>
        <w:rPr>
          <w:rFonts w:hint="eastAsia" w:ascii="宋体" w:hAnsi="宋体"/>
          <w:bCs/>
          <w:color w:val="auto"/>
          <w:sz w:val="24"/>
          <w:szCs w:val="24"/>
          <w:highlight w:val="none"/>
        </w:rPr>
        <w:t>（</w:t>
      </w:r>
      <w:r>
        <w:rPr>
          <w:rFonts w:hint="eastAsia" w:ascii="宋体" w:hAnsi="宋体"/>
          <w:b/>
          <w:bCs/>
          <w:color w:val="auto"/>
          <w:sz w:val="24"/>
          <w:szCs w:val="24"/>
          <w:highlight w:val="none"/>
        </w:rPr>
        <w:t>投标人在编制施工组织设计或施工方案时应按照招标人提出的施工现场建筑垃圾源头减量的具体要求以及建筑垃圾综合利用产品的使用要求提供相应措施。</w:t>
      </w:r>
      <w:r>
        <w:rPr>
          <w:rFonts w:hint="eastAsia" w:ascii="宋体" w:hAnsi="宋体"/>
          <w:bCs/>
          <w:color w:val="auto"/>
          <w:sz w:val="24"/>
          <w:szCs w:val="24"/>
          <w:highlight w:val="none"/>
        </w:rPr>
        <w:t>）</w:t>
      </w:r>
    </w:p>
    <w:p>
      <w:pPr>
        <w:tabs>
          <w:tab w:val="left" w:pos="1125"/>
        </w:tabs>
        <w:spacing w:line="360" w:lineRule="auto"/>
        <w:ind w:firstLine="480" w:firstLineChars="200"/>
        <w:rPr>
          <w:rFonts w:ascii="宋体"/>
          <w:color w:val="auto"/>
          <w:sz w:val="24"/>
          <w:szCs w:val="24"/>
          <w:highlight w:val="none"/>
        </w:rPr>
      </w:pPr>
      <w:r>
        <w:rPr>
          <w:rFonts w:ascii="宋体" w:hAnsi="宋体"/>
          <w:color w:val="auto"/>
          <w:sz w:val="24"/>
          <w:szCs w:val="24"/>
          <w:highlight w:val="none"/>
        </w:rPr>
        <w:t>11.2.</w:t>
      </w:r>
      <w:r>
        <w:rPr>
          <w:rFonts w:hint="eastAsia" w:ascii="宋体" w:hAnsi="宋体"/>
          <w:color w:val="auto"/>
          <w:sz w:val="24"/>
          <w:szCs w:val="24"/>
          <w:highlight w:val="none"/>
        </w:rPr>
        <w:t>6按照</w:t>
      </w:r>
      <w:r>
        <w:rPr>
          <w:rFonts w:hint="eastAsia" w:ascii="宋体" w:hAnsi="宋体"/>
          <w:bCs/>
          <w:color w:val="auto"/>
          <w:sz w:val="24"/>
          <w:szCs w:val="24"/>
          <w:highlight w:val="none"/>
        </w:rPr>
        <w:t>招标文件要求</w:t>
      </w:r>
      <w:r>
        <w:rPr>
          <w:rFonts w:hint="eastAsia" w:ascii="宋体" w:hAnsi="宋体"/>
          <w:color w:val="auto"/>
          <w:sz w:val="24"/>
          <w:szCs w:val="24"/>
          <w:highlight w:val="none"/>
        </w:rPr>
        <w:t>填写的《参与编制技术标投标文件人员名单》。</w:t>
      </w:r>
    </w:p>
    <w:p>
      <w:pPr>
        <w:spacing w:line="360" w:lineRule="auto"/>
        <w:ind w:firstLine="480" w:firstLineChars="200"/>
        <w:rPr>
          <w:rFonts w:ascii="宋体"/>
          <w:bCs/>
          <w:color w:val="auto"/>
          <w:sz w:val="24"/>
          <w:szCs w:val="24"/>
          <w:highlight w:val="none"/>
        </w:rPr>
      </w:pPr>
      <w:r>
        <w:rPr>
          <w:rFonts w:ascii="宋体" w:hAnsi="宋体"/>
          <w:bCs/>
          <w:color w:val="auto"/>
          <w:sz w:val="24"/>
          <w:szCs w:val="24"/>
          <w:highlight w:val="none"/>
        </w:rPr>
        <w:t xml:space="preserve">11.3 </w:t>
      </w:r>
      <w:r>
        <w:rPr>
          <w:rFonts w:hint="eastAsia" w:ascii="宋体" w:hAnsi="宋体"/>
          <w:bCs/>
          <w:color w:val="auto"/>
          <w:sz w:val="24"/>
          <w:szCs w:val="24"/>
          <w:highlight w:val="none"/>
        </w:rPr>
        <w:t>经济部分投标文件主要包括下列内容：</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 xml:space="preserve">11.3.1 </w:t>
      </w:r>
      <w:r>
        <w:rPr>
          <w:rFonts w:hint="eastAsia" w:ascii="宋体" w:hAnsi="宋体"/>
          <w:color w:val="auto"/>
          <w:sz w:val="24"/>
          <w:szCs w:val="24"/>
          <w:highlight w:val="none"/>
        </w:rPr>
        <w:t>经济投标文件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hAnsi="宋体"/>
          <w:color w:val="auto"/>
          <w:sz w:val="24"/>
          <w:szCs w:val="24"/>
          <w:highlight w:val="none"/>
        </w:rPr>
        <w:t>。</w:t>
      </w:r>
    </w:p>
    <w:p>
      <w:pPr>
        <w:spacing w:line="360" w:lineRule="auto"/>
        <w:ind w:firstLine="480" w:firstLineChars="200"/>
        <w:rPr>
          <w:rFonts w:ascii="宋体"/>
          <w:color w:val="auto"/>
          <w:sz w:val="24"/>
          <w:szCs w:val="24"/>
          <w:highlight w:val="none"/>
        </w:rPr>
      </w:pPr>
      <w:r>
        <w:rPr>
          <w:rFonts w:ascii="宋体" w:hAnsi="宋体"/>
          <w:color w:val="auto"/>
          <w:sz w:val="24"/>
          <w:szCs w:val="24"/>
          <w:highlight w:val="none"/>
        </w:rPr>
        <w:t>11.3.2</w:t>
      </w:r>
      <w:r>
        <w:rPr>
          <w:rFonts w:hint="eastAsia" w:ascii="宋体" w:hAnsi="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11.3.</w:t>
      </w:r>
      <w:r>
        <w:rPr>
          <w:rFonts w:hint="eastAsia" w:ascii="宋体" w:hAnsi="宋体"/>
          <w:color w:val="auto"/>
          <w:sz w:val="24"/>
          <w:szCs w:val="24"/>
          <w:highlight w:val="none"/>
        </w:rPr>
        <w:t>3按照</w:t>
      </w:r>
      <w:r>
        <w:rPr>
          <w:rFonts w:hint="eastAsia" w:ascii="宋体" w:hAnsi="宋体"/>
          <w:bCs/>
          <w:color w:val="auto"/>
          <w:sz w:val="24"/>
          <w:szCs w:val="24"/>
          <w:highlight w:val="none"/>
        </w:rPr>
        <w:t>招标文件要求</w:t>
      </w:r>
      <w:r>
        <w:rPr>
          <w:rFonts w:hint="eastAsia" w:ascii="宋体" w:hAnsi="宋体"/>
          <w:color w:val="auto"/>
          <w:sz w:val="24"/>
          <w:szCs w:val="24"/>
          <w:highlight w:val="none"/>
        </w:rPr>
        <w:t>填写的《参与编制经济标投标文件人员名单》。</w:t>
      </w:r>
    </w:p>
    <w:p>
      <w:pPr>
        <w:spacing w:line="44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pPr>
        <w:spacing w:line="440" w:lineRule="exact"/>
        <w:ind w:firstLine="482" w:firstLineChars="200"/>
        <w:rPr>
          <w:rFonts w:ascii="宋体" w:hAnsi="宋体"/>
          <w:bCs/>
          <w:color w:val="auto"/>
          <w:sz w:val="24"/>
          <w:szCs w:val="24"/>
          <w:highlight w:val="none"/>
          <w:u w:val="single"/>
        </w:rPr>
      </w:pPr>
      <w:r>
        <w:rPr>
          <w:rFonts w:hint="eastAsia" w:ascii="宋体" w:hAnsi="宋体"/>
          <w:b/>
          <w:color w:val="auto"/>
          <w:sz w:val="24"/>
          <w:szCs w:val="24"/>
          <w:highlight w:val="none"/>
        </w:rPr>
        <w:t>现文：</w:t>
      </w:r>
    </w:p>
    <w:p>
      <w:pPr>
        <w:spacing w:line="440" w:lineRule="exact"/>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rPr>
        <w:t xml:space="preserve">11.1 </w:t>
      </w:r>
      <w:r>
        <w:rPr>
          <w:rFonts w:hint="eastAsia" w:ascii="宋体" w:hAnsi="宋体"/>
          <w:bCs/>
          <w:color w:val="auto"/>
          <w:sz w:val="24"/>
          <w:szCs w:val="24"/>
          <w:highlight w:val="none"/>
          <w:u w:val="single"/>
        </w:rPr>
        <w:t>投标文件由评标部分及定标部分组成，其中评标部分由技术部分（含资格审查文件）和经济部分二部分投标文件组成。</w:t>
      </w:r>
    </w:p>
    <w:p>
      <w:pPr>
        <w:ind w:firstLine="480" w:firstLineChars="200"/>
        <w:rPr>
          <w:rFonts w:ascii="宋体" w:hAnsi="宋体"/>
          <w:bCs/>
          <w:color w:val="auto"/>
          <w:sz w:val="24"/>
          <w:szCs w:val="24"/>
          <w:highlight w:val="none"/>
          <w:u w:val="single"/>
        </w:rPr>
      </w:pPr>
      <w:r>
        <w:rPr>
          <w:rFonts w:hint="eastAsia" w:ascii="宋体" w:hAnsi="宋体"/>
          <w:color w:val="auto"/>
          <w:sz w:val="24"/>
          <w:szCs w:val="24"/>
          <w:highlight w:val="none"/>
        </w:rPr>
        <w:t>11.2</w:t>
      </w:r>
      <w:r>
        <w:rPr>
          <w:rFonts w:hint="eastAsia" w:ascii="宋体" w:hAnsi="宋体"/>
          <w:bCs/>
          <w:color w:val="auto"/>
          <w:sz w:val="24"/>
          <w:szCs w:val="24"/>
          <w:highlight w:val="none"/>
        </w:rPr>
        <w:t>投标文件技术标部分主要包括下列内容</w:t>
      </w:r>
      <w:r>
        <w:rPr>
          <w:rFonts w:ascii="宋体" w:hAnsi="宋体"/>
          <w:bCs/>
          <w:color w:val="auto"/>
          <w:sz w:val="24"/>
          <w:szCs w:val="24"/>
          <w:highlight w:val="none"/>
        </w:rPr>
        <w:t>:</w:t>
      </w:r>
    </w:p>
    <w:p>
      <w:pPr>
        <w:spacing w:line="440" w:lineRule="exact"/>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rPr>
        <w:t>11.2.1</w:t>
      </w:r>
      <w:r>
        <w:rPr>
          <w:rFonts w:hint="eastAsia" w:ascii="宋体" w:hAnsi="宋体" w:cs="宋体"/>
          <w:color w:val="auto"/>
          <w:sz w:val="24"/>
          <w:szCs w:val="24"/>
          <w:highlight w:val="none"/>
        </w:rPr>
        <w:t>技术投标文件(按招标文件的要求填写)</w:t>
      </w:r>
      <w:r>
        <w:rPr>
          <w:rFonts w:hint="eastAsia" w:ascii="宋体" w:hAnsi="宋体"/>
          <w:bCs/>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11.2.2资格审查文件：</w:t>
      </w:r>
    </w:p>
    <w:p>
      <w:pPr>
        <w:spacing w:line="440" w:lineRule="exact"/>
        <w:ind w:firstLine="480" w:firstLineChars="200"/>
        <w:rPr>
          <w:rFonts w:ascii="宋体"/>
          <w:bCs/>
          <w:color w:val="auto"/>
          <w:sz w:val="24"/>
          <w:szCs w:val="24"/>
          <w:highlight w:val="none"/>
        </w:rPr>
      </w:pPr>
      <w:r>
        <w:rPr>
          <w:rFonts w:hint="eastAsia" w:ascii="宋体"/>
          <w:bCs/>
          <w:color w:val="auto"/>
          <w:sz w:val="24"/>
          <w:szCs w:val="24"/>
          <w:highlight w:val="none"/>
        </w:rPr>
        <w:t>（1）投标人声明</w:t>
      </w:r>
      <w:r>
        <w:rPr>
          <w:rFonts w:hint="eastAsia" w:ascii="宋体"/>
          <w:bCs/>
          <w:color w:val="auto"/>
          <w:sz w:val="24"/>
          <w:szCs w:val="24"/>
          <w:highlight w:val="none"/>
          <w:u w:val="single"/>
        </w:rPr>
        <w:t>（见招标公告附件一）</w:t>
      </w:r>
      <w:r>
        <w:rPr>
          <w:rFonts w:hint="eastAsia" w:ascii="宋体"/>
          <w:bCs/>
          <w:color w:val="auto"/>
          <w:sz w:val="24"/>
          <w:szCs w:val="24"/>
          <w:highlight w:val="none"/>
        </w:rPr>
        <w:t xml:space="preserve">； </w:t>
      </w:r>
    </w:p>
    <w:p>
      <w:pPr>
        <w:spacing w:line="440" w:lineRule="exact"/>
        <w:ind w:firstLine="480" w:firstLineChars="200"/>
        <w:rPr>
          <w:rFonts w:ascii="宋体"/>
          <w:bCs/>
          <w:color w:val="auto"/>
          <w:sz w:val="24"/>
          <w:szCs w:val="24"/>
          <w:highlight w:val="none"/>
        </w:rPr>
      </w:pPr>
      <w:r>
        <w:rPr>
          <w:rFonts w:hint="eastAsia" w:ascii="宋体"/>
          <w:bCs/>
          <w:color w:val="auto"/>
          <w:sz w:val="24"/>
          <w:szCs w:val="24"/>
          <w:highlight w:val="none"/>
        </w:rPr>
        <w:t>（2）法定代表人证明书、法定代表人签字或盖章的本投标文件授权委托证明书；</w:t>
      </w:r>
    </w:p>
    <w:p>
      <w:pPr>
        <w:spacing w:line="440" w:lineRule="exact"/>
        <w:ind w:firstLine="480" w:firstLineChars="200"/>
        <w:rPr>
          <w:rFonts w:ascii="宋体"/>
          <w:bCs/>
          <w:color w:val="auto"/>
          <w:sz w:val="24"/>
          <w:szCs w:val="24"/>
          <w:highlight w:val="none"/>
        </w:rPr>
      </w:pPr>
      <w:r>
        <w:rPr>
          <w:rFonts w:hint="eastAsia" w:ascii="宋体"/>
          <w:bCs/>
          <w:color w:val="auto"/>
          <w:sz w:val="24"/>
          <w:szCs w:val="24"/>
          <w:highlight w:val="none"/>
        </w:rPr>
        <w:t>（3）企业营业执照（提交原件扫描件）；</w:t>
      </w:r>
    </w:p>
    <w:p>
      <w:pPr>
        <w:spacing w:line="440" w:lineRule="exact"/>
        <w:ind w:firstLine="480" w:firstLineChars="200"/>
        <w:rPr>
          <w:rFonts w:ascii="宋体"/>
          <w:bCs/>
          <w:color w:val="auto"/>
          <w:sz w:val="24"/>
          <w:szCs w:val="24"/>
          <w:highlight w:val="none"/>
        </w:rPr>
      </w:pPr>
      <w:r>
        <w:rPr>
          <w:rFonts w:hint="eastAsia" w:ascii="宋体"/>
          <w:bCs/>
          <w:color w:val="auto"/>
          <w:sz w:val="24"/>
          <w:szCs w:val="24"/>
          <w:highlight w:val="none"/>
        </w:rPr>
        <w:t>（4）企业资质证书（提交原件扫描件）；</w:t>
      </w:r>
    </w:p>
    <w:p>
      <w:pPr>
        <w:spacing w:line="440" w:lineRule="exact"/>
        <w:ind w:firstLine="480" w:firstLineChars="200"/>
        <w:rPr>
          <w:rFonts w:ascii="宋体"/>
          <w:bCs/>
          <w:color w:val="auto"/>
          <w:sz w:val="24"/>
          <w:szCs w:val="24"/>
          <w:highlight w:val="none"/>
        </w:rPr>
      </w:pPr>
      <w:r>
        <w:rPr>
          <w:rFonts w:hint="eastAsia" w:ascii="宋体"/>
          <w:bCs/>
          <w:color w:val="auto"/>
          <w:sz w:val="24"/>
          <w:szCs w:val="24"/>
          <w:highlight w:val="none"/>
        </w:rPr>
        <w:t>（5）建筑施工企业安全生产许可证（提交原件扫描件）；</w:t>
      </w:r>
    </w:p>
    <w:p>
      <w:pPr>
        <w:spacing w:line="440" w:lineRule="exact"/>
        <w:ind w:firstLine="480" w:firstLineChars="200"/>
        <w:rPr>
          <w:rFonts w:ascii="宋体" w:hAnsi="宋体"/>
          <w:bCs/>
          <w:color w:val="auto"/>
          <w:sz w:val="24"/>
          <w:szCs w:val="24"/>
          <w:highlight w:val="none"/>
        </w:rPr>
      </w:pPr>
      <w:r>
        <w:rPr>
          <w:rFonts w:hint="eastAsia" w:ascii="宋体"/>
          <w:bCs/>
          <w:color w:val="auto"/>
          <w:sz w:val="24"/>
          <w:szCs w:val="24"/>
          <w:highlight w:val="none"/>
        </w:rPr>
        <w:t>（6）</w:t>
      </w:r>
      <w:r>
        <w:rPr>
          <w:rFonts w:hint="eastAsia" w:ascii="宋体" w:hAnsi="宋体"/>
          <w:bCs/>
          <w:color w:val="auto"/>
          <w:sz w:val="24"/>
          <w:szCs w:val="24"/>
          <w:highlight w:val="none"/>
        </w:rPr>
        <w:t>项目负责人（按网上投标登记时选择拟投标的项目负责人）；</w:t>
      </w:r>
    </w:p>
    <w:p>
      <w:pPr>
        <w:spacing w:line="44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440" w:lineRule="exact"/>
        <w:ind w:firstLine="480" w:firstLineChars="200"/>
        <w:rPr>
          <w:rFonts w:ascii="宋体"/>
          <w:bCs/>
          <w:color w:val="auto"/>
          <w:sz w:val="24"/>
          <w:szCs w:val="24"/>
          <w:highlight w:val="none"/>
        </w:rPr>
      </w:pPr>
      <w:r>
        <w:rPr>
          <w:rFonts w:hint="eastAsia" w:ascii="宋体"/>
          <w:bCs/>
          <w:color w:val="auto"/>
          <w:sz w:val="24"/>
          <w:szCs w:val="24"/>
          <w:highlight w:val="none"/>
        </w:rPr>
        <w:t>（8）拟委托技术负责人的职称证书（提交原件扫描件）；</w:t>
      </w:r>
    </w:p>
    <w:p>
      <w:pPr>
        <w:spacing w:line="440" w:lineRule="exact"/>
        <w:ind w:firstLine="480" w:firstLineChars="200"/>
        <w:rPr>
          <w:rFonts w:ascii="宋体"/>
          <w:bCs/>
          <w:color w:val="auto"/>
          <w:sz w:val="24"/>
          <w:szCs w:val="24"/>
          <w:highlight w:val="none"/>
          <w:u w:val="single"/>
        </w:rPr>
      </w:pPr>
      <w:r>
        <w:rPr>
          <w:rFonts w:hint="eastAsia" w:ascii="宋体"/>
          <w:bCs/>
          <w:color w:val="auto"/>
          <w:sz w:val="24"/>
          <w:szCs w:val="24"/>
          <w:highlight w:val="none"/>
        </w:rPr>
        <w:t>（9）</w:t>
      </w:r>
      <w:r>
        <w:rPr>
          <w:rFonts w:hint="eastAsia" w:ascii="宋体"/>
          <w:bCs/>
          <w:color w:val="auto"/>
          <w:sz w:val="24"/>
          <w:szCs w:val="24"/>
          <w:highlight w:val="none"/>
          <w:u w:val="single"/>
        </w:rPr>
        <w:t>拟委派项目负责人的建造师注册证书</w:t>
      </w:r>
      <w:r>
        <w:rPr>
          <w:rFonts w:hint="eastAsia" w:ascii="宋体"/>
          <w:bCs/>
          <w:color w:val="auto"/>
          <w:sz w:val="24"/>
          <w:szCs w:val="24"/>
          <w:highlight w:val="none"/>
        </w:rPr>
        <w:t>；</w:t>
      </w:r>
    </w:p>
    <w:p>
      <w:pPr>
        <w:spacing w:line="440" w:lineRule="exact"/>
        <w:ind w:firstLine="480" w:firstLineChars="200"/>
        <w:rPr>
          <w:rFonts w:ascii="宋体"/>
          <w:bCs/>
          <w:color w:val="auto"/>
          <w:sz w:val="24"/>
          <w:szCs w:val="24"/>
          <w:highlight w:val="none"/>
        </w:rPr>
      </w:pPr>
      <w:r>
        <w:rPr>
          <w:rFonts w:hint="eastAsia" w:ascii="宋体"/>
          <w:bCs/>
          <w:color w:val="auto"/>
          <w:sz w:val="24"/>
          <w:szCs w:val="24"/>
          <w:highlight w:val="none"/>
        </w:rPr>
        <w:t>（10）</w:t>
      </w:r>
      <w:r>
        <w:rPr>
          <w:rFonts w:hint="eastAsia" w:ascii="宋体"/>
          <w:bCs/>
          <w:color w:val="auto"/>
          <w:sz w:val="24"/>
          <w:szCs w:val="24"/>
          <w:highlight w:val="none"/>
          <w:u w:val="single"/>
        </w:rPr>
        <w:t>项目负责人安全</w:t>
      </w:r>
      <w:r>
        <w:rPr>
          <w:rFonts w:hint="eastAsia" w:ascii="宋体"/>
          <w:b/>
          <w:bCs/>
          <w:color w:val="auto"/>
          <w:sz w:val="24"/>
          <w:szCs w:val="24"/>
          <w:highlight w:val="none"/>
          <w:u w:val="single"/>
        </w:rPr>
        <w:t>生产</w:t>
      </w:r>
      <w:r>
        <w:rPr>
          <w:rFonts w:hint="eastAsia" w:ascii="宋体"/>
          <w:bCs/>
          <w:color w:val="auto"/>
          <w:sz w:val="24"/>
          <w:szCs w:val="24"/>
          <w:highlight w:val="none"/>
          <w:u w:val="single"/>
        </w:rPr>
        <w:t>考核合格证明或在有效期内的安全考核合格证书（B类）或建筑施工企业项目负责人安全生产考核合格证书；</w:t>
      </w:r>
    </w:p>
    <w:p>
      <w:pPr>
        <w:spacing w:line="440" w:lineRule="exact"/>
        <w:ind w:firstLine="480" w:firstLineChars="200"/>
        <w:rPr>
          <w:rFonts w:ascii="宋体"/>
          <w:bCs/>
          <w:color w:val="auto"/>
          <w:sz w:val="24"/>
          <w:szCs w:val="24"/>
          <w:highlight w:val="none"/>
        </w:rPr>
      </w:pPr>
      <w:r>
        <w:rPr>
          <w:rFonts w:hint="eastAsia" w:ascii="宋体"/>
          <w:bCs/>
          <w:color w:val="auto"/>
          <w:sz w:val="24"/>
          <w:szCs w:val="24"/>
          <w:highlight w:val="none"/>
        </w:rPr>
        <w:t>（11）专职安全员须具有在有效期内的安全考核合格证书（C类）</w:t>
      </w:r>
      <w:r>
        <w:rPr>
          <w:rFonts w:hint="eastAsia" w:ascii="宋体" w:hAnsi="宋体" w:cs="宋体"/>
          <w:color w:val="auto"/>
          <w:sz w:val="24"/>
          <w:szCs w:val="24"/>
          <w:highlight w:val="none"/>
        </w:rPr>
        <w:t>或建筑施工企业专职安全生产管理人员安全生产考核合格证书（C3类）</w:t>
      </w:r>
      <w:r>
        <w:rPr>
          <w:rFonts w:hint="eastAsia" w:cs="宋体"/>
          <w:bCs/>
          <w:color w:val="auto"/>
          <w:sz w:val="24"/>
          <w:szCs w:val="24"/>
          <w:highlight w:val="none"/>
        </w:rPr>
        <w:t>；</w:t>
      </w:r>
    </w:p>
    <w:p>
      <w:pPr>
        <w:spacing w:line="440" w:lineRule="exact"/>
        <w:ind w:firstLine="480" w:firstLineChars="200"/>
        <w:rPr>
          <w:rFonts w:ascii="宋体" w:hAnsi="宋体"/>
          <w:color w:val="auto"/>
          <w:sz w:val="24"/>
          <w:szCs w:val="24"/>
          <w:highlight w:val="none"/>
          <w:u w:val="single"/>
        </w:rPr>
      </w:pPr>
      <w:r>
        <w:rPr>
          <w:rFonts w:hint="eastAsia" w:ascii="宋体"/>
          <w:bCs/>
          <w:color w:val="auto"/>
          <w:sz w:val="24"/>
          <w:szCs w:val="24"/>
          <w:highlight w:val="none"/>
        </w:rPr>
        <w:t>（12）</w:t>
      </w:r>
      <w:r>
        <w:rPr>
          <w:rFonts w:hint="eastAsia" w:ascii="宋体" w:hAnsi="宋体"/>
          <w:color w:val="auto"/>
          <w:sz w:val="24"/>
          <w:szCs w:val="24"/>
          <w:highlight w:val="none"/>
          <w:u w:val="single"/>
        </w:rPr>
        <w:t>资格审查前，投标人已在广州交易集团有限公司（广州公共资源交易中心）企业库办理企业信息登记，拟担任本工程项目负责人、专职安全员是本企业在广州交易集团有限公司（广州公共资源交易中心）企业信息登记中的在册人员。</w:t>
      </w:r>
      <w:r>
        <w:rPr>
          <w:rFonts w:hint="eastAsia" w:ascii="宋体" w:hAnsi="宋体" w:cs="宋体"/>
          <w:color w:val="auto"/>
          <w:sz w:val="24"/>
          <w:szCs w:val="24"/>
          <w:highlight w:val="none"/>
          <w:u w:val="single"/>
        </w:rPr>
        <w:t>（信息取自投标截止时间投标人在广州交易集团有限公司（广州公共资源交易中心）企业库登记的信息，广州交易集团有限公司（广州公共资源交易中心）企业库中该部分信息将被视为投标人递交资格审查资料的一部分，投标文件中</w:t>
      </w:r>
      <w:r>
        <w:rPr>
          <w:rFonts w:hint="eastAsia" w:ascii="宋体" w:hAnsi="宋体"/>
          <w:bCs/>
          <w:color w:val="auto"/>
          <w:sz w:val="24"/>
          <w:szCs w:val="24"/>
          <w:highlight w:val="none"/>
          <w:u w:val="single"/>
        </w:rPr>
        <w:t>无需</w:t>
      </w:r>
      <w:r>
        <w:rPr>
          <w:rFonts w:hint="eastAsia" w:ascii="宋体" w:hAnsi="宋体" w:cs="宋体"/>
          <w:color w:val="auto"/>
          <w:sz w:val="24"/>
          <w:szCs w:val="24"/>
          <w:highlight w:val="none"/>
          <w:u w:val="single"/>
        </w:rPr>
        <w:t>提供相关证明材料）</w:t>
      </w:r>
    </w:p>
    <w:p>
      <w:pPr>
        <w:spacing w:line="440" w:lineRule="exact"/>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（13）投标人认为应提供的其他资料。</w:t>
      </w:r>
    </w:p>
    <w:p>
      <w:pPr>
        <w:spacing w:line="440" w:lineRule="exact"/>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注：投标人证明符合资审合格条件必须按招标公告及招标文件的要求提供资料。</w:t>
      </w:r>
    </w:p>
    <w:p>
      <w:pPr>
        <w:spacing w:line="360" w:lineRule="auto"/>
        <w:ind w:firstLine="480" w:firstLineChars="200"/>
        <w:rPr>
          <w:rFonts w:ascii="宋体" w:hAnsi="宋体"/>
          <w:bCs/>
          <w:color w:val="auto"/>
          <w:sz w:val="24"/>
          <w:szCs w:val="24"/>
          <w:highlight w:val="none"/>
          <w:u w:val="single"/>
        </w:rPr>
      </w:pPr>
      <w:bookmarkStart w:id="7" w:name="_Toc127815762"/>
      <w:r>
        <w:rPr>
          <w:rFonts w:hint="eastAsia" w:ascii="宋体" w:hAnsi="宋体"/>
          <w:bCs/>
          <w:color w:val="auto"/>
          <w:sz w:val="24"/>
          <w:szCs w:val="24"/>
          <w:highlight w:val="none"/>
          <w:u w:val="single"/>
        </w:rPr>
        <w:t>11.2.3项目管理机构配备。（见《格式五：投入主要人员汇总表》并提供相关证明材料）</w:t>
      </w:r>
      <w:bookmarkEnd w:id="7"/>
    </w:p>
    <w:p>
      <w:pPr>
        <w:spacing w:line="360" w:lineRule="auto"/>
        <w:ind w:firstLine="480" w:firstLineChars="200"/>
        <w:rPr>
          <w:rFonts w:ascii="宋体" w:hAnsi="宋体"/>
          <w:color w:val="auto"/>
          <w:sz w:val="24"/>
          <w:szCs w:val="24"/>
          <w:highlight w:val="none"/>
          <w:u w:val="single"/>
        </w:rPr>
      </w:pPr>
      <w:r>
        <w:rPr>
          <w:rFonts w:hint="eastAsia" w:ascii="宋体" w:hAnsi="宋体"/>
          <w:bCs/>
          <w:color w:val="auto"/>
          <w:sz w:val="24"/>
          <w:szCs w:val="24"/>
          <w:highlight w:val="none"/>
          <w:u w:val="single"/>
        </w:rPr>
        <w:t>11.2.4</w:t>
      </w:r>
      <w:r>
        <w:rPr>
          <w:rFonts w:hint="eastAsia" w:ascii="宋体" w:hAnsi="宋体"/>
          <w:color w:val="auto"/>
          <w:sz w:val="24"/>
          <w:szCs w:val="24"/>
          <w:highlight w:val="none"/>
          <w:u w:val="single"/>
        </w:rPr>
        <w:t>按照</w:t>
      </w:r>
      <w:r>
        <w:rPr>
          <w:rFonts w:hint="eastAsia" w:ascii="宋体" w:hAnsi="宋体"/>
          <w:bCs/>
          <w:color w:val="auto"/>
          <w:sz w:val="24"/>
          <w:szCs w:val="24"/>
          <w:highlight w:val="none"/>
          <w:u w:val="single"/>
        </w:rPr>
        <w:t>招标文件要求</w:t>
      </w:r>
      <w:r>
        <w:rPr>
          <w:rFonts w:hint="eastAsia" w:ascii="宋体" w:hAnsi="宋体"/>
          <w:color w:val="auto"/>
          <w:sz w:val="24"/>
          <w:szCs w:val="24"/>
          <w:highlight w:val="none"/>
          <w:u w:val="single"/>
        </w:rPr>
        <w:t>填写的《参与编制技术标投标文件人员名单》。</w:t>
      </w:r>
    </w:p>
    <w:p>
      <w:pPr>
        <w:spacing w:line="360" w:lineRule="auto"/>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u w:val="single"/>
        </w:rPr>
        <w:t>11.2.5投标人按照《技术标详细审查评分表》的要求提供相关资料。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11.3 经济部分投标文件主要包括下列内容：</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11.3.1 </w:t>
      </w:r>
      <w:r>
        <w:rPr>
          <w:rFonts w:hint="eastAsia" w:ascii="宋体" w:hAnsi="宋体" w:cs="宋体"/>
          <w:color w:val="auto"/>
          <w:sz w:val="24"/>
          <w:szCs w:val="24"/>
          <w:highlight w:val="none"/>
        </w:rPr>
        <w:t>经济标投标文件(按招标文件的要求填写)</w:t>
      </w:r>
      <w:r>
        <w:rPr>
          <w:rFonts w:hint="eastAsia"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bCs/>
          <w:color w:val="auto"/>
          <w:sz w:val="24"/>
          <w:szCs w:val="24"/>
          <w:highlight w:val="none"/>
          <w:u w:val="single"/>
        </w:rPr>
        <w:t>（投标报价的工程量清单的组成、格式等由广州交易集团有限公司（广州公共资源交易中心）的投标文件管理软件自动生成）</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11.3.3 按照招标文件要求填写的《参与编制经济标投标文件人员名单》。</w:t>
      </w:r>
    </w:p>
    <w:p>
      <w:pPr>
        <w:pBdr>
          <w:bottom w:val="single" w:color="auto" w:sz="6" w:space="1"/>
        </w:pBdr>
        <w:spacing w:line="360" w:lineRule="auto"/>
        <w:rPr>
          <w:rFonts w:ascii="宋体" w:hAnsi="宋体"/>
          <w:bCs/>
          <w:color w:val="auto"/>
          <w:sz w:val="24"/>
          <w:szCs w:val="24"/>
          <w:highlight w:val="none"/>
        </w:rPr>
      </w:pPr>
      <w:r>
        <w:rPr>
          <w:rFonts w:hint="eastAsia" w:ascii="宋体" w:hAnsi="宋体"/>
          <w:bCs/>
          <w:color w:val="auto"/>
          <w:sz w:val="24"/>
          <w:szCs w:val="24"/>
          <w:highlight w:val="none"/>
        </w:rPr>
        <w:t xml:space="preserve">    11.3.4 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20"/>
        <w:rPr>
          <w:rFonts w:ascii="宋体" w:hAnsi="宋体"/>
          <w:color w:val="auto"/>
          <w:sz w:val="24"/>
          <w:szCs w:val="24"/>
          <w:highlight w:val="none"/>
        </w:rPr>
      </w:pPr>
      <w:r>
        <w:rPr>
          <w:rFonts w:hint="eastAsia" w:ascii="宋体" w:hAnsi="宋体"/>
          <w:bCs/>
          <w:color w:val="auto"/>
          <w:sz w:val="24"/>
          <w:szCs w:val="24"/>
          <w:highlight w:val="none"/>
          <w:u w:val="single"/>
        </w:rPr>
        <w:t>11.3.5 《对投标文件编制的承诺》（按格式要求提供）</w:t>
      </w:r>
      <w:r>
        <w:rPr>
          <w:rFonts w:hint="eastAsia" w:ascii="宋体" w:hAnsi="宋体"/>
          <w:bCs/>
          <w:color w:val="auto"/>
          <w:sz w:val="24"/>
          <w:szCs w:val="24"/>
          <w:highlight w:val="none"/>
        </w:rPr>
        <w:t>。</w:t>
      </w:r>
    </w:p>
    <w:p>
      <w:pPr>
        <w:spacing w:line="440" w:lineRule="exact"/>
        <w:ind w:firstLine="472" w:firstLineChars="196"/>
        <w:rPr>
          <w:rFonts w:ascii="宋体" w:hAnsi="宋体"/>
          <w:b/>
          <w:color w:val="auto"/>
          <w:sz w:val="24"/>
          <w:szCs w:val="24"/>
          <w:highlight w:val="none"/>
        </w:rPr>
      </w:pPr>
      <w:r>
        <w:rPr>
          <w:rFonts w:hint="eastAsia" w:ascii="宋体" w:hAnsi="宋体"/>
          <w:b/>
          <w:color w:val="auto"/>
          <w:sz w:val="24"/>
          <w:szCs w:val="24"/>
          <w:highlight w:val="none"/>
        </w:rPr>
        <w:t>条款号：11.4     修改类型：增加</w:t>
      </w:r>
    </w:p>
    <w:p>
      <w:pPr>
        <w:spacing w:line="440" w:lineRule="exact"/>
        <w:ind w:firstLine="540" w:firstLineChars="224"/>
        <w:rPr>
          <w:rFonts w:ascii="宋体" w:hAnsi="宋体"/>
          <w:color w:val="auto"/>
          <w:sz w:val="24"/>
          <w:szCs w:val="24"/>
          <w:highlight w:val="none"/>
          <w:u w:val="single"/>
        </w:rPr>
      </w:pPr>
      <w:r>
        <w:rPr>
          <w:rFonts w:hint="eastAsia" w:ascii="宋体" w:hAnsi="宋体"/>
          <w:b/>
          <w:color w:val="auto"/>
          <w:sz w:val="24"/>
          <w:szCs w:val="24"/>
          <w:highlight w:val="none"/>
        </w:rPr>
        <w:t>现文：</w:t>
      </w:r>
      <w:r>
        <w:rPr>
          <w:rFonts w:hint="eastAsia" w:ascii="宋体" w:hAnsi="宋体"/>
          <w:bCs/>
          <w:color w:val="auto"/>
          <w:kern w:val="0"/>
          <w:sz w:val="24"/>
          <w:szCs w:val="24"/>
          <w:highlight w:val="none"/>
          <w:u w:val="single"/>
        </w:rPr>
        <w:t>11.4投标文件定标部分（定标文件）主要包括下列内容：</w:t>
      </w:r>
    </w:p>
    <w:p>
      <w:pPr>
        <w:spacing w:line="440" w:lineRule="exact"/>
        <w:ind w:firstLine="537" w:firstLineChars="224"/>
        <w:rPr>
          <w:rFonts w:ascii="宋体" w:hAnsi="宋体"/>
          <w:bCs/>
          <w:color w:val="auto"/>
          <w:kern w:val="0"/>
          <w:sz w:val="24"/>
          <w:szCs w:val="24"/>
          <w:highlight w:val="none"/>
          <w:u w:val="single"/>
        </w:rPr>
      </w:pPr>
      <w:r>
        <w:rPr>
          <w:rFonts w:hint="eastAsia" w:ascii="宋体" w:hAnsi="宋体"/>
          <w:bCs/>
          <w:color w:val="auto"/>
          <w:kern w:val="0"/>
          <w:sz w:val="24"/>
          <w:szCs w:val="24"/>
          <w:highlight w:val="none"/>
          <w:u w:val="single"/>
        </w:rPr>
        <w:t>11.4.1履约能力、项目重视程度介绍与服务保障能力介绍等（详见定标附表的《定标因素表》）。</w:t>
      </w:r>
    </w:p>
    <w:p>
      <w:pPr>
        <w:spacing w:line="440" w:lineRule="exact"/>
        <w:ind w:firstLine="537" w:firstLineChars="224"/>
        <w:rPr>
          <w:rFonts w:ascii="宋体" w:hAnsi="宋体"/>
          <w:bCs/>
          <w:color w:val="auto"/>
          <w:kern w:val="0"/>
          <w:sz w:val="24"/>
          <w:szCs w:val="24"/>
          <w:highlight w:val="none"/>
          <w:u w:val="single"/>
        </w:rPr>
      </w:pPr>
      <w:r>
        <w:rPr>
          <w:rFonts w:hint="eastAsia" w:hAnsi="宋体"/>
          <w:bCs/>
          <w:color w:val="auto"/>
          <w:sz w:val="24"/>
          <w:szCs w:val="24"/>
          <w:highlight w:val="none"/>
          <w:u w:val="single"/>
        </w:rPr>
        <w:t>11.4.2投标人认为应该提供的其它资料。</w:t>
      </w:r>
    </w:p>
    <w:p>
      <w:pPr>
        <w:pBdr>
          <w:bottom w:val="single" w:color="auto" w:sz="6" w:space="1"/>
        </w:pBdr>
        <w:spacing w:line="360" w:lineRule="auto"/>
        <w:ind w:firstLine="420"/>
        <w:rPr>
          <w:rFonts w:ascii="宋体" w:hAnsi="宋体"/>
          <w:color w:val="auto"/>
          <w:sz w:val="24"/>
          <w:szCs w:val="24"/>
          <w:highlight w:val="none"/>
        </w:rPr>
      </w:pPr>
      <w:r>
        <w:rPr>
          <w:rFonts w:hint="eastAsia" w:ascii="宋体" w:hAnsi="宋体"/>
          <w:b/>
          <w:color w:val="auto"/>
          <w:kern w:val="0"/>
          <w:sz w:val="24"/>
          <w:szCs w:val="24"/>
          <w:highlight w:val="none"/>
          <w:u w:val="single"/>
        </w:rPr>
        <w:t>注：定标文件的递交时间和形式由投标人按照投标须知前附表第18项所规定的时间及本须知第18条的相关要求执行。</w:t>
      </w:r>
    </w:p>
    <w:p>
      <w:pPr>
        <w:spacing w:line="360" w:lineRule="auto"/>
        <w:rPr>
          <w:rFonts w:ascii="宋体" w:hAnsi="宋体"/>
          <w:b/>
          <w:color w:val="auto"/>
          <w:sz w:val="24"/>
          <w:szCs w:val="24"/>
          <w:highlight w:val="none"/>
        </w:rPr>
      </w:pPr>
      <w:r>
        <w:rPr>
          <w:rFonts w:ascii="宋体" w:hAnsi="宋体"/>
          <w:b/>
          <w:color w:val="auto"/>
          <w:sz w:val="24"/>
          <w:szCs w:val="24"/>
          <w:highlight w:val="none"/>
        </w:rPr>
        <w:t>条款号：12</w:t>
      </w:r>
      <w:r>
        <w:rPr>
          <w:rFonts w:hint="eastAsia" w:ascii="宋体" w:hAnsi="宋体"/>
          <w:b/>
          <w:color w:val="auto"/>
          <w:sz w:val="24"/>
          <w:szCs w:val="24"/>
          <w:highlight w:val="none"/>
        </w:rPr>
        <w:t>.2、12.3</w:t>
      </w:r>
      <w:r>
        <w:rPr>
          <w:rFonts w:ascii="宋体" w:hAnsi="宋体"/>
          <w:b/>
          <w:color w:val="auto"/>
          <w:sz w:val="24"/>
          <w:szCs w:val="24"/>
          <w:highlight w:val="none"/>
        </w:rPr>
        <w:t xml:space="preserve">                        修改类型：修改</w:t>
      </w:r>
    </w:p>
    <w:p>
      <w:pPr>
        <w:spacing w:line="360" w:lineRule="auto"/>
        <w:ind w:firstLine="482" w:firstLineChars="200"/>
        <w:rPr>
          <w:rFonts w:ascii="宋体" w:hAnsi="宋体"/>
          <w:bCs/>
          <w:color w:val="auto"/>
          <w:sz w:val="24"/>
          <w:szCs w:val="24"/>
          <w:highlight w:val="none"/>
        </w:rPr>
      </w:pPr>
      <w:r>
        <w:rPr>
          <w:rFonts w:hint="eastAsia" w:ascii="宋体" w:hAnsi="宋体"/>
          <w:b/>
          <w:color w:val="auto"/>
          <w:sz w:val="24"/>
          <w:szCs w:val="24"/>
          <w:highlight w:val="none"/>
        </w:rPr>
        <w:t>原文：</w:t>
      </w:r>
      <w:r>
        <w:rPr>
          <w:rFonts w:ascii="宋体" w:hAnsi="宋体"/>
          <w:bCs/>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w:t>
      </w:r>
      <w:r>
        <w:rPr>
          <w:rFonts w:hint="eastAsia" w:ascii="宋体" w:hAnsi="宋体" w:cs="宋体"/>
          <w:color w:val="auto"/>
          <w:sz w:val="24"/>
          <w:szCs w:val="24"/>
          <w:highlight w:val="none"/>
        </w:rPr>
        <w:t>应加盖个人电子印章或在线下完成后扫描上传</w:t>
      </w:r>
      <w:r>
        <w:rPr>
          <w:rFonts w:ascii="宋体" w:hAnsi="宋体"/>
          <w:bCs/>
          <w:color w:val="auto"/>
          <w:sz w:val="24"/>
          <w:szCs w:val="24"/>
          <w:highlight w:val="none"/>
        </w:rPr>
        <w:t>。按照交易平台关于全流程电子化项目的相关指南进行操作。详见：。</w:t>
      </w:r>
    </w:p>
    <w:p>
      <w:pPr>
        <w:spacing w:line="360" w:lineRule="auto"/>
        <w:rPr>
          <w:rFonts w:ascii="宋体" w:hAnsi="宋体"/>
          <w:bCs/>
          <w:color w:val="auto"/>
          <w:sz w:val="24"/>
          <w:szCs w:val="24"/>
          <w:highlight w:val="none"/>
        </w:rPr>
      </w:pPr>
      <w:r>
        <w:rPr>
          <w:rFonts w:ascii="宋体" w:hAnsi="宋体"/>
          <w:bCs/>
          <w:color w:val="auto"/>
          <w:sz w:val="24"/>
          <w:szCs w:val="24"/>
          <w:highlight w:val="none"/>
        </w:rPr>
        <w:t>12.3 投标文件应按照交易平台关于全流程电子化项目的相关指南进行编制，详见：。</w:t>
      </w:r>
    </w:p>
    <w:p>
      <w:pPr>
        <w:spacing w:line="360" w:lineRule="auto"/>
        <w:ind w:firstLine="482" w:firstLineChars="200"/>
        <w:rPr>
          <w:rFonts w:ascii="宋体" w:hAnsi="宋体"/>
          <w:bCs/>
          <w:color w:val="auto"/>
          <w:sz w:val="24"/>
          <w:szCs w:val="24"/>
          <w:highlight w:val="none"/>
          <w:u w:val="single"/>
        </w:rPr>
      </w:pPr>
      <w:r>
        <w:rPr>
          <w:rFonts w:hint="eastAsia" w:ascii="宋体" w:hAnsi="宋体"/>
          <w:b/>
          <w:color w:val="auto"/>
          <w:sz w:val="24"/>
          <w:szCs w:val="24"/>
          <w:highlight w:val="none"/>
        </w:rPr>
        <w:t>现文：</w:t>
      </w:r>
      <w:r>
        <w:rPr>
          <w:rFonts w:ascii="宋体" w:hAnsi="宋体"/>
          <w:bCs/>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w:t>
      </w:r>
      <w:r>
        <w:rPr>
          <w:rFonts w:hint="eastAsia" w:ascii="宋体" w:hAnsi="宋体" w:cs="宋体"/>
          <w:color w:val="auto"/>
          <w:sz w:val="24"/>
          <w:szCs w:val="24"/>
          <w:highlight w:val="none"/>
        </w:rPr>
        <w:t>应加盖个人电子印章或在线下完成后扫描上传</w:t>
      </w:r>
      <w:r>
        <w:rPr>
          <w:rFonts w:ascii="宋体" w:hAnsi="宋体"/>
          <w:bCs/>
          <w:color w:val="auto"/>
          <w:sz w:val="24"/>
          <w:szCs w:val="24"/>
          <w:highlight w:val="none"/>
        </w:rPr>
        <w:t>。按照交易平台关于全流程电子化项目的相关指南进行操作。详见：</w:t>
      </w:r>
      <w:r>
        <w:rPr>
          <w:rFonts w:hint="eastAsia" w:ascii="宋体" w:hAnsi="宋体"/>
          <w:bCs/>
          <w:color w:val="auto"/>
          <w:sz w:val="24"/>
          <w:szCs w:val="24"/>
          <w:highlight w:val="none"/>
          <w:u w:val="single"/>
        </w:rPr>
        <w:t>广州交易集团有限公司（广州公共资源交易中心）网站发布的《房屋建筑和市政基础设施工程全流程电子化项目专章》</w:t>
      </w:r>
      <w:r>
        <w:rPr>
          <w:rFonts w:ascii="宋体" w:hAnsi="宋体"/>
          <w:bCs/>
          <w:color w:val="auto"/>
          <w:sz w:val="24"/>
          <w:szCs w:val="24"/>
          <w:highlight w:val="none"/>
          <w:u w:val="single"/>
        </w:rPr>
        <w:t>。</w:t>
      </w:r>
    </w:p>
    <w:p>
      <w:pPr>
        <w:pBdr>
          <w:bottom w:val="single" w:color="auto" w:sz="6" w:space="1"/>
        </w:pBdr>
        <w:spacing w:line="440" w:lineRule="exact"/>
        <w:ind w:firstLine="480" w:firstLineChars="200"/>
        <w:rPr>
          <w:rFonts w:ascii="宋体" w:hAnsi="宋体"/>
          <w:color w:val="auto"/>
          <w:sz w:val="24"/>
          <w:szCs w:val="24"/>
          <w:highlight w:val="none"/>
        </w:rPr>
      </w:pPr>
      <w:r>
        <w:rPr>
          <w:rFonts w:ascii="宋体" w:hAnsi="宋体"/>
          <w:bCs/>
          <w:color w:val="auto"/>
          <w:sz w:val="24"/>
          <w:szCs w:val="24"/>
          <w:highlight w:val="none"/>
        </w:rPr>
        <w:t>12.3 投标文件应按照交易平台关于全流程电子化项目的相关指南进行编制，详见</w:t>
      </w:r>
      <w:r>
        <w:rPr>
          <w:rFonts w:ascii="宋体" w:hAnsi="宋体"/>
          <w:bCs/>
          <w:color w:val="auto"/>
          <w:sz w:val="24"/>
          <w:szCs w:val="24"/>
          <w:highlight w:val="none"/>
          <w:u w:val="single"/>
        </w:rPr>
        <w:t>：</w:t>
      </w:r>
      <w:r>
        <w:rPr>
          <w:rFonts w:hint="eastAsia" w:ascii="宋体" w:hAnsi="宋体"/>
          <w:bCs/>
          <w:color w:val="auto"/>
          <w:sz w:val="24"/>
          <w:szCs w:val="24"/>
          <w:highlight w:val="none"/>
          <w:u w:val="single"/>
        </w:rPr>
        <w:t>广州交易集团有限公司（广州公共资源交易中心）网站发布的《房屋建筑和市政基础设施工程全流程电子化项目专章》</w:t>
      </w:r>
      <w:r>
        <w:rPr>
          <w:rFonts w:ascii="宋体" w:hAnsi="宋体"/>
          <w:bCs/>
          <w:color w:val="auto"/>
          <w:sz w:val="24"/>
          <w:szCs w:val="24"/>
          <w:highlight w:val="none"/>
          <w:u w:val="single"/>
        </w:rPr>
        <w:t>。</w:t>
      </w:r>
    </w:p>
    <w:p>
      <w:pPr>
        <w:spacing w:line="360" w:lineRule="auto"/>
        <w:rPr>
          <w:rFonts w:cs="宋体"/>
          <w:b/>
          <w:color w:val="auto"/>
          <w:sz w:val="24"/>
          <w:szCs w:val="24"/>
          <w:highlight w:val="none"/>
        </w:rPr>
      </w:pPr>
      <w:r>
        <w:rPr>
          <w:rFonts w:hint="eastAsia" w:cs="宋体"/>
          <w:b/>
          <w:color w:val="auto"/>
          <w:sz w:val="24"/>
          <w:szCs w:val="24"/>
          <w:highlight w:val="none"/>
        </w:rPr>
        <w:t xml:space="preserve">    条款号：13.1                        修改类型：修改</w:t>
      </w:r>
    </w:p>
    <w:p>
      <w:pPr>
        <w:spacing w:line="360" w:lineRule="auto"/>
        <w:ind w:firstLine="540" w:firstLineChars="224"/>
        <w:rPr>
          <w:rFonts w:cs="宋体"/>
          <w:b/>
          <w:color w:val="auto"/>
          <w:sz w:val="24"/>
          <w:szCs w:val="24"/>
          <w:highlight w:val="none"/>
        </w:rPr>
      </w:pPr>
      <w:r>
        <w:rPr>
          <w:rFonts w:hint="eastAsia" w:cs="宋体"/>
          <w:b/>
          <w:color w:val="auto"/>
          <w:sz w:val="24"/>
          <w:szCs w:val="24"/>
          <w:highlight w:val="none"/>
        </w:rPr>
        <w:t>原文：</w:t>
      </w:r>
      <w:r>
        <w:rPr>
          <w:rFonts w:hint="eastAsia" w:cs="宋体"/>
          <w:color w:val="auto"/>
          <w:sz w:val="24"/>
          <w:szCs w:val="24"/>
          <w:highlight w:val="none"/>
        </w:rPr>
        <w:t>本工程的投标报价采用投标须知前附表第12项所规定的方式。投标报价（含单价及总价）精确到“分”。</w:t>
      </w:r>
    </w:p>
    <w:p>
      <w:pPr>
        <w:pBdr>
          <w:bottom w:val="single" w:color="auto" w:sz="6" w:space="1"/>
        </w:pBdr>
        <w:spacing w:line="360" w:lineRule="auto"/>
        <w:ind w:firstLine="602" w:firstLineChars="250"/>
        <w:rPr>
          <w:rFonts w:cs="宋体"/>
          <w:color w:val="auto"/>
          <w:sz w:val="24"/>
          <w:szCs w:val="24"/>
          <w:highlight w:val="none"/>
        </w:rPr>
      </w:pPr>
      <w:r>
        <w:rPr>
          <w:rFonts w:hint="eastAsia" w:cs="宋体"/>
          <w:b/>
          <w:color w:val="auto"/>
          <w:sz w:val="24"/>
          <w:szCs w:val="24"/>
          <w:highlight w:val="none"/>
        </w:rPr>
        <w:t>现文：</w:t>
      </w:r>
      <w:r>
        <w:rPr>
          <w:rFonts w:hint="eastAsia" w:cs="宋体"/>
          <w:color w:val="auto"/>
          <w:sz w:val="24"/>
          <w:szCs w:val="24"/>
          <w:highlight w:val="none"/>
        </w:rPr>
        <w:t>本工程的投标报价采用投标须知前附表第12项所规定的方式。</w:t>
      </w:r>
      <w:r>
        <w:rPr>
          <w:rFonts w:hint="eastAsia" w:cs="宋体"/>
          <w:color w:val="auto"/>
          <w:sz w:val="24"/>
          <w:szCs w:val="24"/>
          <w:highlight w:val="none"/>
          <w:u w:val="single"/>
        </w:rPr>
        <w:t>投标文件中的大写金额和小写金额不一致的，以大写金额为准。</w:t>
      </w:r>
      <w:r>
        <w:rPr>
          <w:rFonts w:hint="eastAsia" w:cs="宋体"/>
          <w:color w:val="auto"/>
          <w:sz w:val="24"/>
          <w:szCs w:val="24"/>
          <w:highlight w:val="none"/>
        </w:rPr>
        <w:t>投标报价（含单价及总价）精确到“分”。</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条款号：13.5.2 -13.5.4         修改类型：修改</w:t>
      </w:r>
    </w:p>
    <w:p>
      <w:pPr>
        <w:pStyle w:val="5"/>
        <w:pBdr>
          <w:bottom w:val="single" w:color="auto" w:sz="6" w:space="1"/>
        </w:pBdr>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pBdr>
          <w:bottom w:val="single" w:color="auto" w:sz="6" w:space="1"/>
        </w:pBd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Style w:val="5"/>
        <w:pBdr>
          <w:bottom w:val="single" w:color="auto" w:sz="6" w:space="1"/>
        </w:pBdr>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13.5.4 如相关定额没有相应子目的，其计价方式由招标人在本招标文件第三章中另行规定。未规定的，中标后双方协商约定。</w:t>
      </w:r>
    </w:p>
    <w:p>
      <w:pPr>
        <w:pStyle w:val="5"/>
        <w:pBdr>
          <w:bottom w:val="single" w:color="auto" w:sz="6" w:space="1"/>
        </w:pBdr>
        <w:spacing w:after="0"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现文：</w:t>
      </w:r>
      <w:r>
        <w:rPr>
          <w:rFonts w:hint="eastAsia" w:ascii="宋体" w:hAnsi="宋体"/>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w:t>
      </w:r>
      <w:r>
        <w:rPr>
          <w:rFonts w:hint="eastAsia" w:ascii="宋体" w:hAnsi="宋体"/>
          <w:color w:val="auto"/>
          <w:sz w:val="24"/>
          <w:szCs w:val="24"/>
          <w:highlight w:val="none"/>
          <w:u w:val="single"/>
        </w:rPr>
        <w:t>广州市建设工程造价管理站公布的施工期间相关月份</w:t>
      </w:r>
      <w:r>
        <w:rPr>
          <w:rFonts w:hint="eastAsia" w:ascii="宋体" w:hAnsi="宋体"/>
          <w:color w:val="auto"/>
          <w:sz w:val="24"/>
          <w:szCs w:val="24"/>
          <w:highlight w:val="none"/>
        </w:rPr>
        <w:t>《广州地区建设工程常用材料税前综合价格》计算，《广州地区建设工程常用材料税前综合价格》没有的材料单价，由招标人在招标文件中依法确定计价方式。</w:t>
      </w:r>
    </w:p>
    <w:p>
      <w:pPr>
        <w:pStyle w:val="5"/>
        <w:pBdr>
          <w:bottom w:val="single" w:color="auto" w:sz="6" w:space="1"/>
        </w:pBdr>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13.5.3中标的投标文件工程量清单中没有相同项目或类似项目的，</w:t>
      </w:r>
      <w:r>
        <w:rPr>
          <w:rFonts w:hint="eastAsia" w:ascii="宋体" w:hAnsi="宋体"/>
          <w:color w:val="auto"/>
          <w:sz w:val="24"/>
          <w:szCs w:val="24"/>
          <w:highlight w:val="none"/>
          <w:u w:val="single"/>
        </w:rPr>
        <w:t>则作为新增项目（是否为新增项目由招标人确定），结算时按省、市建委颁发的现行执行定额计算。材料价格在《广州地区建设工程常用材料税前综合价格》中对应的，按施工期间相关月份的《广州地区建设工程常用材料税前综合价格》计算，其他材料价格由建设单位、施工单位、监理单位按实际使用的厂家、品牌、规格、质量等结合市场行情确认。取费标准按施工期间对应的广州市计费文件执行，措施项目费不另行计算，变更部分的下浮率按投标下浮率【投标下浮率=（最高限价-中标价）÷最高限价×100%】（计算式中各项均不含暂列金额）。</w:t>
      </w:r>
    </w:p>
    <w:p>
      <w:pPr>
        <w:pStyle w:val="5"/>
        <w:pBdr>
          <w:bottom w:val="single" w:color="auto" w:sz="6" w:space="1"/>
        </w:pBdr>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13.5.4</w:t>
      </w:r>
      <w:r>
        <w:rPr>
          <w:rFonts w:hint="eastAsia" w:ascii="宋体" w:hAnsi="宋体"/>
          <w:color w:val="auto"/>
          <w:sz w:val="24"/>
          <w:szCs w:val="24"/>
          <w:highlight w:val="none"/>
          <w:u w:val="single"/>
        </w:rPr>
        <w:t>本工程结算价最终须经海珠区财政部门进行审核。支付时间根据海珠区财政部门最终拨款时间确定。</w:t>
      </w:r>
    </w:p>
    <w:p>
      <w:pPr>
        <w:spacing w:line="440" w:lineRule="exact"/>
        <w:ind w:firstLine="540" w:firstLineChars="224"/>
        <w:rPr>
          <w:rFonts w:ascii="宋体" w:hAnsi="宋体"/>
          <w:b/>
          <w:color w:val="auto"/>
          <w:sz w:val="24"/>
          <w:szCs w:val="24"/>
          <w:highlight w:val="none"/>
        </w:rPr>
      </w:pPr>
      <w:r>
        <w:rPr>
          <w:rFonts w:hint="eastAsia" w:ascii="宋体" w:hAnsi="宋体"/>
          <w:b/>
          <w:color w:val="auto"/>
          <w:sz w:val="24"/>
          <w:szCs w:val="24"/>
          <w:highlight w:val="none"/>
        </w:rPr>
        <w:t>条款号：13.9修改类型：修改</w:t>
      </w:r>
    </w:p>
    <w:p>
      <w:pPr>
        <w:pBdr>
          <w:bottom w:val="single" w:color="auto" w:sz="6" w:space="1"/>
        </w:pBdr>
        <w:spacing w:line="440" w:lineRule="exact"/>
        <w:ind w:firstLine="602" w:firstLineChars="250"/>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pacing w:line="440" w:lineRule="exact"/>
        <w:ind w:firstLine="602" w:firstLineChars="250"/>
        <w:rPr>
          <w:rFonts w:ascii="宋体" w:hAnsi="宋体"/>
          <w:color w:val="auto"/>
          <w:sz w:val="24"/>
          <w:szCs w:val="24"/>
          <w:highlight w:val="none"/>
        </w:rPr>
      </w:pPr>
      <w:r>
        <w:rPr>
          <w:rFonts w:hint="eastAsia" w:ascii="宋体" w:hAnsi="宋体"/>
          <w:b/>
          <w:color w:val="auto"/>
          <w:sz w:val="24"/>
          <w:szCs w:val="24"/>
          <w:highlight w:val="none"/>
        </w:rPr>
        <w:t>现文：</w:t>
      </w:r>
      <w:r>
        <w:rPr>
          <w:rFonts w:hint="eastAsia" w:ascii="宋体" w:hAns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w:t>
      </w:r>
      <w:r>
        <w:rPr>
          <w:rFonts w:hint="eastAsia" w:ascii="宋体" w:hAnsi="宋体"/>
          <w:color w:val="auto"/>
          <w:sz w:val="24"/>
          <w:szCs w:val="24"/>
          <w:highlight w:val="none"/>
          <w:u w:val="single"/>
        </w:rPr>
        <w:t>按照《施工合同》相应条款调整</w:t>
      </w:r>
      <w:r>
        <w:rPr>
          <w:rFonts w:hint="eastAsia" w:ascii="宋体" w:hAnsi="宋体"/>
          <w:color w:val="auto"/>
          <w:sz w:val="24"/>
          <w:szCs w:val="24"/>
          <w:highlight w:val="none"/>
        </w:rPr>
        <w:t>。</w:t>
      </w:r>
    </w:p>
    <w:p>
      <w:pPr>
        <w:pBdr>
          <w:top w:val="single" w:color="auto" w:sz="4" w:space="1"/>
        </w:pBdr>
        <w:spacing w:line="360" w:lineRule="auto"/>
        <w:rPr>
          <w:rFonts w:ascii="宋体" w:hAnsi="宋体" w:cs="宋体"/>
          <w:b/>
          <w:color w:val="auto"/>
          <w:sz w:val="24"/>
          <w:szCs w:val="24"/>
          <w:highlight w:val="none"/>
        </w:rPr>
      </w:pPr>
      <w:r>
        <w:rPr>
          <w:rStyle w:val="27"/>
          <w:rFonts w:ascii="宋体" w:hAnsi="宋体"/>
          <w:b/>
          <w:bCs/>
          <w:color w:val="auto"/>
          <w:sz w:val="24"/>
          <w:szCs w:val="24"/>
          <w:highlight w:val="none"/>
        </w:rPr>
        <w:t>条款号</w:t>
      </w:r>
      <w:r>
        <w:rPr>
          <w:rStyle w:val="27"/>
          <w:rFonts w:ascii="宋体" w:hAnsi="宋体"/>
          <w:color w:val="auto"/>
          <w:sz w:val="24"/>
          <w:szCs w:val="24"/>
          <w:highlight w:val="none"/>
        </w:rPr>
        <w:t>：</w:t>
      </w:r>
      <w:r>
        <w:rPr>
          <w:rStyle w:val="27"/>
          <w:rFonts w:ascii="宋体" w:hAnsi="宋体"/>
          <w:b/>
          <w:color w:val="auto"/>
          <w:sz w:val="24"/>
          <w:szCs w:val="24"/>
          <w:highlight w:val="none"/>
        </w:rPr>
        <w:t>16</w:t>
      </w:r>
      <w:r>
        <w:rPr>
          <w:rStyle w:val="27"/>
          <w:rFonts w:hint="eastAsia" w:ascii="宋体" w:hAnsi="宋体"/>
          <w:b/>
          <w:color w:val="auto"/>
          <w:sz w:val="24"/>
          <w:szCs w:val="24"/>
          <w:highlight w:val="none"/>
        </w:rPr>
        <w:t xml:space="preserve">  投标保证金</w:t>
      </w:r>
      <w:r>
        <w:rPr>
          <w:rFonts w:hint="eastAsia" w:ascii="宋体" w:hAnsi="宋体" w:cs="宋体"/>
          <w:b/>
          <w:color w:val="auto"/>
          <w:sz w:val="24"/>
          <w:szCs w:val="24"/>
          <w:highlight w:val="none"/>
        </w:rPr>
        <w:t xml:space="preserve">          修改类型：删除</w:t>
      </w:r>
    </w:p>
    <w:p>
      <w:pPr>
        <w:spacing w:line="360" w:lineRule="auto"/>
        <w:ind w:firstLine="482" w:firstLineChars="200"/>
        <w:rPr>
          <w:rFonts w:ascii="宋体" w:hAnsi="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olor w:val="auto"/>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16.3投标保证金应依据法律法规的相关规定退还。</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16.4.1因投标人原因造成投标文件未解密的；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16.4.2投标人在投标有效期内撤销投标文件；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16.4.3中标人未能在规定期限内按要求提交履约担保；</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16.4.4中标人未能在规定期限内签署合同协议。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16.5.3按招标文件要求免于提供投标保证金的投标人存在16.4条款所列情形的。</w:t>
      </w:r>
    </w:p>
    <w:p>
      <w:pPr>
        <w:pBdr>
          <w:bottom w:val="single" w:color="auto" w:sz="6" w:space="1"/>
        </w:pBdr>
        <w:spacing w:line="360" w:lineRule="auto"/>
        <w:ind w:firstLine="566" w:firstLineChars="236"/>
        <w:rPr>
          <w:rFonts w:ascii="宋体" w:hAnsi="宋体" w:cs="宋体"/>
          <w:color w:val="auto"/>
          <w:sz w:val="24"/>
          <w:szCs w:val="24"/>
          <w:highlight w:val="none"/>
        </w:rPr>
      </w:pPr>
      <w:r>
        <w:rPr>
          <w:rFonts w:hint="eastAsia" w:ascii="宋体" w:hAnsi="宋体"/>
          <w:color w:val="auto"/>
          <w:sz w:val="24"/>
          <w:szCs w:val="24"/>
          <w:highlight w:val="none"/>
        </w:rPr>
        <w:t>注：16.5.3款由招标人二选一，需在招标文件中明确</w:t>
      </w:r>
      <w:r>
        <w:rPr>
          <w:rFonts w:hint="eastAsia" w:ascii="宋体" w:hAnsi="宋体" w:cs="宋体"/>
          <w:bCs/>
          <w:color w:val="auto"/>
          <w:sz w:val="24"/>
          <w:szCs w:val="24"/>
          <w:highlight w:val="none"/>
        </w:rPr>
        <w:t>。</w:t>
      </w:r>
    </w:p>
    <w:p>
      <w:pPr>
        <w:spacing w:line="440" w:lineRule="exact"/>
        <w:ind w:firstLine="590" w:firstLineChars="245"/>
        <w:rPr>
          <w:rFonts w:ascii="宋体" w:hAnsi="宋体"/>
          <w:b/>
          <w:color w:val="auto"/>
          <w:sz w:val="24"/>
          <w:szCs w:val="24"/>
          <w:highlight w:val="none"/>
        </w:rPr>
      </w:pPr>
      <w:r>
        <w:rPr>
          <w:rFonts w:hint="eastAsia" w:ascii="宋体" w:hAnsi="宋体"/>
          <w:b/>
          <w:color w:val="auto"/>
          <w:sz w:val="24"/>
          <w:szCs w:val="24"/>
          <w:highlight w:val="none"/>
        </w:rPr>
        <w:t>条款号：</w:t>
      </w:r>
      <w:r>
        <w:rPr>
          <w:rFonts w:ascii="宋体" w:hAnsi="宋体"/>
          <w:b/>
          <w:color w:val="auto"/>
          <w:sz w:val="24"/>
          <w:szCs w:val="24"/>
          <w:highlight w:val="none"/>
        </w:rPr>
        <w:t xml:space="preserve">17.1        </w:t>
      </w:r>
      <w:r>
        <w:rPr>
          <w:rFonts w:hint="eastAsia" w:ascii="宋体" w:hAnsi="宋体"/>
          <w:b/>
          <w:color w:val="auto"/>
          <w:sz w:val="24"/>
          <w:szCs w:val="24"/>
          <w:highlight w:val="none"/>
        </w:rPr>
        <w:t xml:space="preserve"> 修改类型：修改</w:t>
      </w:r>
    </w:p>
    <w:p>
      <w:pPr>
        <w:spacing w:line="440" w:lineRule="exact"/>
        <w:ind w:firstLine="590" w:firstLineChars="245"/>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Bdr>
          <w:bottom w:val="single" w:color="auto" w:sz="6" w:space="1"/>
        </w:pBdr>
        <w:spacing w:line="440" w:lineRule="exact"/>
        <w:ind w:firstLine="602" w:firstLineChars="250"/>
        <w:rPr>
          <w:rFonts w:ascii="宋体" w:hAnsi="宋体"/>
          <w:b/>
          <w:color w:val="auto"/>
          <w:sz w:val="24"/>
          <w:szCs w:val="24"/>
          <w:highlight w:val="none"/>
        </w:rPr>
      </w:pPr>
      <w:r>
        <w:rPr>
          <w:rFonts w:hint="eastAsia" w:ascii="宋体" w:hAnsi="宋体"/>
          <w:b/>
          <w:color w:val="auto"/>
          <w:sz w:val="24"/>
          <w:szCs w:val="24"/>
          <w:highlight w:val="none"/>
        </w:rPr>
        <w:t>现文：</w:t>
      </w:r>
      <w:r>
        <w:rPr>
          <w:rFonts w:hint="eastAsia" w:ascii="宋体" w:hAnsi="宋体"/>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szCs w:val="24"/>
          <w:highlight w:val="none"/>
          <w:u w:val="single"/>
        </w:rPr>
        <w:t>广州交易集团有限公司（广州公共资源交易中心）网站发布的《房屋建筑和市政基础设施工程全流程电子化项目专章》</w:t>
      </w:r>
      <w:r>
        <w:rPr>
          <w:rFonts w:hint="eastAsia" w:ascii="宋体" w:hAnsi="宋体"/>
          <w:bCs/>
          <w:color w:val="auto"/>
          <w:kern w:val="0"/>
          <w:sz w:val="24"/>
          <w:szCs w:val="24"/>
          <w:highlight w:val="none"/>
          <w:u w:val="single"/>
        </w:rPr>
        <w:t>。</w:t>
      </w:r>
    </w:p>
    <w:p>
      <w:pPr>
        <w:spacing w:line="360" w:lineRule="auto"/>
        <w:ind w:firstLine="540" w:firstLineChars="224"/>
        <w:rPr>
          <w:b/>
          <w:color w:val="auto"/>
          <w:sz w:val="24"/>
          <w:szCs w:val="24"/>
          <w:highlight w:val="none"/>
        </w:rPr>
      </w:pPr>
      <w:r>
        <w:rPr>
          <w:rFonts w:hint="eastAsia"/>
          <w:b/>
          <w:color w:val="auto"/>
          <w:sz w:val="24"/>
          <w:szCs w:val="24"/>
          <w:highlight w:val="none"/>
        </w:rPr>
        <w:t>条款号：</w:t>
      </w:r>
      <w:r>
        <w:rPr>
          <w:b/>
          <w:color w:val="auto"/>
          <w:sz w:val="24"/>
          <w:szCs w:val="24"/>
          <w:highlight w:val="none"/>
        </w:rPr>
        <w:t xml:space="preserve">18.1             </w:t>
      </w:r>
      <w:r>
        <w:rPr>
          <w:rFonts w:hint="eastAsia"/>
          <w:b/>
          <w:color w:val="auto"/>
          <w:sz w:val="24"/>
          <w:szCs w:val="24"/>
          <w:highlight w:val="none"/>
        </w:rPr>
        <w:t>修改类型：修改</w:t>
      </w:r>
    </w:p>
    <w:p>
      <w:pPr>
        <w:spacing w:line="360" w:lineRule="auto"/>
        <w:ind w:firstLine="540" w:firstLineChars="224"/>
        <w:rPr>
          <w:b/>
          <w:color w:val="auto"/>
          <w:sz w:val="24"/>
          <w:szCs w:val="24"/>
          <w:highlight w:val="none"/>
        </w:rPr>
      </w:pPr>
      <w:r>
        <w:rPr>
          <w:rFonts w:hint="eastAsia"/>
          <w:b/>
          <w:color w:val="auto"/>
          <w:sz w:val="24"/>
          <w:szCs w:val="24"/>
          <w:highlight w:val="none"/>
        </w:rPr>
        <w:t>原文：</w:t>
      </w:r>
      <w:r>
        <w:rPr>
          <w:rFonts w:hint="eastAsia"/>
          <w:bCs/>
          <w:color w:val="auto"/>
          <w:sz w:val="24"/>
          <w:szCs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p>
    <w:p>
      <w:pPr>
        <w:pBdr>
          <w:bottom w:val="single" w:color="auto" w:sz="6" w:space="1"/>
        </w:pBdr>
        <w:spacing w:line="360" w:lineRule="auto"/>
        <w:ind w:firstLine="602" w:firstLineChars="250"/>
        <w:rPr>
          <w:rFonts w:ascii="宋体" w:hAnsi="宋体"/>
          <w:bCs/>
          <w:color w:val="auto"/>
          <w:kern w:val="0"/>
          <w:sz w:val="24"/>
          <w:szCs w:val="24"/>
          <w:highlight w:val="none"/>
          <w:u w:val="single"/>
        </w:rPr>
      </w:pPr>
      <w:r>
        <w:rPr>
          <w:rFonts w:hint="eastAsia"/>
          <w:b/>
          <w:color w:val="auto"/>
          <w:sz w:val="24"/>
          <w:szCs w:val="24"/>
          <w:highlight w:val="none"/>
        </w:rPr>
        <w:t>现文：</w:t>
      </w:r>
      <w:r>
        <w:rPr>
          <w:rFonts w:hint="eastAsia"/>
          <w:bCs/>
          <w:color w:val="auto"/>
          <w:sz w:val="24"/>
          <w:szCs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rFonts w:hint="eastAsia"/>
          <w:color w:val="auto"/>
          <w:sz w:val="24"/>
          <w:szCs w:val="24"/>
          <w:highlight w:val="none"/>
          <w:u w:val="single"/>
        </w:rPr>
        <w:t>广州交易集团有限公司（广州公共资源交易中心）网站发布的《房屋建筑和市政基础设施工程全流程电子化项目专章》</w:t>
      </w:r>
      <w:r>
        <w:rPr>
          <w:rFonts w:hint="eastAsia" w:ascii="宋体" w:hAnsi="宋体"/>
          <w:bCs/>
          <w:color w:val="auto"/>
          <w:kern w:val="0"/>
          <w:sz w:val="24"/>
          <w:szCs w:val="24"/>
          <w:highlight w:val="none"/>
          <w:u w:val="single"/>
        </w:rPr>
        <w:t>。</w:t>
      </w:r>
    </w:p>
    <w:p>
      <w:pPr>
        <w:spacing w:line="360" w:lineRule="auto"/>
        <w:ind w:firstLine="540" w:firstLineChars="224"/>
        <w:rPr>
          <w:b/>
          <w:color w:val="auto"/>
          <w:sz w:val="24"/>
          <w:szCs w:val="24"/>
          <w:highlight w:val="none"/>
        </w:rPr>
      </w:pPr>
      <w:r>
        <w:rPr>
          <w:rFonts w:hint="eastAsia"/>
          <w:b/>
          <w:color w:val="auto"/>
          <w:sz w:val="24"/>
          <w:szCs w:val="24"/>
          <w:highlight w:val="none"/>
        </w:rPr>
        <w:t>条款号：</w:t>
      </w:r>
      <w:r>
        <w:rPr>
          <w:b/>
          <w:color w:val="auto"/>
          <w:sz w:val="24"/>
          <w:szCs w:val="24"/>
          <w:highlight w:val="none"/>
        </w:rPr>
        <w:t xml:space="preserve">18.2             </w:t>
      </w:r>
      <w:r>
        <w:rPr>
          <w:rFonts w:hint="eastAsia"/>
          <w:b/>
          <w:color w:val="auto"/>
          <w:sz w:val="24"/>
          <w:szCs w:val="24"/>
          <w:highlight w:val="none"/>
        </w:rPr>
        <w:t>修改类型：修改</w:t>
      </w:r>
    </w:p>
    <w:p>
      <w:pPr>
        <w:spacing w:line="360" w:lineRule="auto"/>
        <w:ind w:firstLine="540" w:firstLineChars="224"/>
        <w:rPr>
          <w:b/>
          <w:color w:val="auto"/>
          <w:sz w:val="24"/>
          <w:szCs w:val="24"/>
          <w:highlight w:val="none"/>
        </w:rPr>
      </w:pPr>
      <w:r>
        <w:rPr>
          <w:rFonts w:hint="eastAsia"/>
          <w:b/>
          <w:color w:val="auto"/>
          <w:sz w:val="24"/>
          <w:szCs w:val="24"/>
          <w:highlight w:val="none"/>
        </w:rPr>
        <w:t>原文：</w:t>
      </w:r>
      <w:r>
        <w:rPr>
          <w:rFonts w:hint="eastAsia" w:ascii="宋体"/>
          <w:bCs/>
          <w:color w:val="auto"/>
          <w:sz w:val="24"/>
          <w:szCs w:val="24"/>
          <w:highlight w:val="none"/>
        </w:rPr>
        <w:t>未按要求加密的投标文件，</w:t>
      </w:r>
      <w:r>
        <w:rPr>
          <w:rFonts w:hint="eastAsia" w:ascii="宋体" w:hAnsi="宋体"/>
          <w:color w:val="auto"/>
          <w:sz w:val="24"/>
          <w:szCs w:val="24"/>
          <w:highlight w:val="none"/>
        </w:rPr>
        <w:t>交易平台</w:t>
      </w:r>
      <w:r>
        <w:rPr>
          <w:rFonts w:hint="eastAsia" w:ascii="宋体"/>
          <w:bCs/>
          <w:color w:val="auto"/>
          <w:sz w:val="24"/>
          <w:szCs w:val="24"/>
          <w:highlight w:val="none"/>
        </w:rPr>
        <w:t>将予以拒收。</w:t>
      </w:r>
    </w:p>
    <w:p>
      <w:pPr>
        <w:pBdr>
          <w:bottom w:val="single" w:color="auto" w:sz="6" w:space="1"/>
        </w:pBdr>
        <w:spacing w:line="360" w:lineRule="auto"/>
        <w:ind w:firstLine="569" w:firstLineChars="236"/>
        <w:rPr>
          <w:color w:val="auto"/>
          <w:sz w:val="24"/>
          <w:szCs w:val="24"/>
          <w:highlight w:val="none"/>
        </w:rPr>
      </w:pPr>
      <w:r>
        <w:rPr>
          <w:rFonts w:hint="eastAsia"/>
          <w:b/>
          <w:color w:val="auto"/>
          <w:sz w:val="24"/>
          <w:szCs w:val="24"/>
          <w:highlight w:val="none"/>
        </w:rPr>
        <w:t>现文：</w:t>
      </w:r>
      <w:r>
        <w:rPr>
          <w:rFonts w:hint="eastAsia" w:ascii="宋体"/>
          <w:bCs/>
          <w:color w:val="auto"/>
          <w:sz w:val="24"/>
          <w:szCs w:val="24"/>
          <w:highlight w:val="none"/>
        </w:rPr>
        <w:t>未按要求加密的投标文件，</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bCs/>
          <w:color w:val="auto"/>
          <w:sz w:val="24"/>
          <w:szCs w:val="24"/>
          <w:highlight w:val="none"/>
        </w:rPr>
        <w:t>将予以拒收。</w:t>
      </w:r>
    </w:p>
    <w:p>
      <w:pPr>
        <w:spacing w:line="440" w:lineRule="exact"/>
        <w:ind w:firstLine="540" w:firstLineChars="224"/>
        <w:rPr>
          <w:rFonts w:ascii="宋体" w:hAnsi="宋体"/>
          <w:b/>
          <w:color w:val="auto"/>
          <w:sz w:val="24"/>
          <w:szCs w:val="24"/>
          <w:highlight w:val="none"/>
        </w:rPr>
      </w:pPr>
      <w:r>
        <w:rPr>
          <w:rFonts w:hint="eastAsia" w:ascii="宋体" w:hAnsi="宋体"/>
          <w:b/>
          <w:color w:val="auto"/>
          <w:sz w:val="24"/>
          <w:szCs w:val="24"/>
          <w:highlight w:val="none"/>
        </w:rPr>
        <w:t>条款号： 19． 修改类型：修改</w:t>
      </w:r>
    </w:p>
    <w:p>
      <w:pPr>
        <w:spacing w:line="440" w:lineRule="exact"/>
        <w:ind w:firstLine="600" w:firstLineChars="249"/>
        <w:rPr>
          <w:rFonts w:ascii="宋体" w:hAnsi="宋体"/>
          <w:bCs/>
          <w:color w:val="auto"/>
          <w:sz w:val="24"/>
          <w:szCs w:val="24"/>
          <w:highlight w:val="none"/>
        </w:rPr>
      </w:pPr>
      <w:r>
        <w:rPr>
          <w:rFonts w:hint="eastAsia" w:ascii="宋体" w:hAnsi="宋体"/>
          <w:b/>
          <w:color w:val="auto"/>
          <w:sz w:val="24"/>
          <w:szCs w:val="24"/>
          <w:highlight w:val="none"/>
        </w:rPr>
        <w:t>原文：</w:t>
      </w:r>
      <w:r>
        <w:rPr>
          <w:rFonts w:hint="eastAsia" w:ascii="宋体" w:hAnsi="宋体"/>
          <w:bCs/>
          <w:color w:val="auto"/>
          <w:sz w:val="24"/>
          <w:szCs w:val="24"/>
          <w:highlight w:val="none"/>
        </w:rPr>
        <w:t>投标文件的递交和接收</w:t>
      </w:r>
    </w:p>
    <w:p>
      <w:pPr>
        <w:spacing w:line="44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19.1投标人通过</w:t>
      </w:r>
      <w:r>
        <w:rPr>
          <w:rFonts w:hint="eastAsia" w:ascii="宋体" w:hAnsi="宋体"/>
          <w:color w:val="auto"/>
          <w:sz w:val="24"/>
          <w:szCs w:val="24"/>
          <w:highlight w:val="none"/>
        </w:rPr>
        <w:t>交易平台递交电子投标文件。</w:t>
      </w:r>
    </w:p>
    <w:p>
      <w:pPr>
        <w:spacing w:line="44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19.2投标人完成电子</w:t>
      </w:r>
      <w:r>
        <w:rPr>
          <w:rFonts w:hint="eastAsia" w:ascii="宋体" w:hAnsi="宋体"/>
          <w:color w:val="auto"/>
          <w:sz w:val="24"/>
          <w:szCs w:val="24"/>
          <w:highlight w:val="none"/>
        </w:rPr>
        <w:t>投标文件</w:t>
      </w:r>
      <w:r>
        <w:rPr>
          <w:rFonts w:hint="eastAsia" w:ascii="宋体" w:hAnsi="宋体"/>
          <w:bCs/>
          <w:color w:val="auto"/>
          <w:sz w:val="24"/>
          <w:szCs w:val="24"/>
          <w:highlight w:val="none"/>
        </w:rPr>
        <w:t>上传后，</w:t>
      </w:r>
      <w:r>
        <w:rPr>
          <w:rFonts w:hint="eastAsia" w:ascii="宋体" w:hAnsi="宋体"/>
          <w:color w:val="auto"/>
          <w:sz w:val="24"/>
          <w:szCs w:val="24"/>
          <w:highlight w:val="none"/>
        </w:rPr>
        <w:t>交易平台即时向投标人发出递交回执通知。递交时间以递交回执通知载明的传输完成时间为准。</w:t>
      </w:r>
    </w:p>
    <w:p>
      <w:pPr>
        <w:spacing w:line="440" w:lineRule="exact"/>
        <w:ind w:firstLine="480" w:firstLineChars="200"/>
        <w:rPr>
          <w:rFonts w:ascii="宋体" w:hAnsi="宋体"/>
          <w:color w:val="auto"/>
          <w:sz w:val="24"/>
          <w:szCs w:val="24"/>
          <w:highlight w:val="none"/>
        </w:rPr>
      </w:pPr>
      <w:r>
        <w:rPr>
          <w:rFonts w:hint="eastAsia" w:ascii="宋体" w:hAnsi="宋体"/>
          <w:bCs/>
          <w:color w:val="auto"/>
          <w:sz w:val="24"/>
          <w:szCs w:val="24"/>
          <w:highlight w:val="none"/>
        </w:rPr>
        <w:t>19.3逾期送达的电子投标文件，</w:t>
      </w:r>
      <w:r>
        <w:rPr>
          <w:rFonts w:hint="eastAsia" w:ascii="宋体" w:hAnsi="宋体"/>
          <w:color w:val="auto"/>
          <w:sz w:val="24"/>
          <w:szCs w:val="24"/>
          <w:highlight w:val="none"/>
        </w:rPr>
        <w:t>交易平台将予以拒收。</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19.4投标截止前，招标人拒绝接收符合条件的投标文件，投标人可向招标投标监督机构投诉。</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19.5如技术标和经济标先后分别开启，交易平台将按招标文件规定的时间分别开启技术标和经济标。</w:t>
      </w:r>
    </w:p>
    <w:p>
      <w:pPr>
        <w:spacing w:line="440" w:lineRule="exact"/>
        <w:ind w:firstLine="537" w:firstLineChars="224"/>
        <w:rPr>
          <w:rFonts w:ascii="宋体" w:hAnsi="宋体"/>
          <w:b/>
          <w:color w:val="auto"/>
          <w:sz w:val="24"/>
          <w:szCs w:val="24"/>
          <w:highlight w:val="none"/>
        </w:rPr>
      </w:pPr>
      <w:r>
        <w:rPr>
          <w:rFonts w:hint="eastAsia" w:ascii="宋体" w:hAnsi="宋体"/>
          <w:color w:val="auto"/>
          <w:sz w:val="24"/>
          <w:szCs w:val="24"/>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440" w:lineRule="exact"/>
        <w:ind w:firstLine="590" w:firstLineChars="245"/>
        <w:rPr>
          <w:rFonts w:ascii="宋体" w:hAnsi="宋体"/>
          <w:b/>
          <w:color w:val="auto"/>
          <w:sz w:val="24"/>
          <w:szCs w:val="24"/>
          <w:highlight w:val="none"/>
        </w:rPr>
      </w:pPr>
      <w:r>
        <w:rPr>
          <w:rFonts w:hint="eastAsia" w:ascii="宋体" w:hAnsi="宋体"/>
          <w:b/>
          <w:color w:val="auto"/>
          <w:sz w:val="24"/>
          <w:szCs w:val="24"/>
          <w:highlight w:val="none"/>
        </w:rPr>
        <w:t>现文：</w:t>
      </w:r>
      <w:r>
        <w:rPr>
          <w:rFonts w:hint="eastAsia" w:ascii="宋体" w:hAnsi="宋体"/>
          <w:b/>
          <w:bCs/>
          <w:color w:val="auto"/>
          <w:sz w:val="24"/>
          <w:szCs w:val="24"/>
          <w:highlight w:val="none"/>
        </w:rPr>
        <w:t>投标文件的递交和接收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19.1投标人通过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19.2投标人完成电子投标文件上传后，</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交易平台即时向投标人发出递交回执通知。递交时间以递交回执通知载明的传输完成时间为准。</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19.3逾期送达的电子投标文件，</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交易平台将予以拒收。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19.4 投标截止前，招标人拒绝接收符合条件的投标文件，投标人可向招标投标监督机构投诉。</w:t>
      </w:r>
    </w:p>
    <w:p>
      <w:pPr>
        <w:pBdr>
          <w:bottom w:val="single" w:color="auto" w:sz="4" w:space="1"/>
        </w:pBd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19.5技术标、经济标和定标文件同时开启，广州交易集团有限公司（广州公共资源交易中心）交易平台将按招标文件规定的时间同时开启技术标、经济标和定标文件。</w:t>
      </w:r>
    </w:p>
    <w:p>
      <w:pPr>
        <w:spacing w:line="44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条款号：</w:t>
      </w:r>
      <w:r>
        <w:rPr>
          <w:rFonts w:ascii="宋体" w:hAnsi="宋体"/>
          <w:b/>
          <w:color w:val="auto"/>
          <w:sz w:val="24"/>
          <w:szCs w:val="24"/>
          <w:highlight w:val="none"/>
        </w:rPr>
        <w:t xml:space="preserve">21.1      </w:t>
      </w:r>
      <w:r>
        <w:rPr>
          <w:rFonts w:hint="eastAsia" w:ascii="宋体" w:hAnsi="宋体"/>
          <w:b/>
          <w:color w:val="auto"/>
          <w:sz w:val="24"/>
          <w:szCs w:val="24"/>
          <w:highlight w:val="none"/>
        </w:rPr>
        <w:t xml:space="preserve"> 修改类型：修改</w:t>
      </w:r>
    </w:p>
    <w:p>
      <w:pPr>
        <w:spacing w:line="440" w:lineRule="exact"/>
        <w:ind w:firstLine="590" w:firstLineChars="245"/>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本须知前附表第</w:t>
      </w:r>
      <w:r>
        <w:rPr>
          <w:rFonts w:ascii="宋体" w:hAnsi="宋体"/>
          <w:color w:val="auto"/>
          <w:sz w:val="24"/>
          <w:szCs w:val="24"/>
          <w:highlight w:val="none"/>
        </w:rPr>
        <w:t>1</w:t>
      </w:r>
      <w:r>
        <w:rPr>
          <w:rFonts w:hint="eastAsia" w:ascii="宋体" w:hAnsi="宋体"/>
          <w:color w:val="auto"/>
          <w:sz w:val="24"/>
          <w:szCs w:val="24"/>
          <w:highlight w:val="none"/>
        </w:rPr>
        <w:t>7项规定的投标截止时间</w:t>
      </w:r>
      <w:r>
        <w:rPr>
          <w:rFonts w:hint="eastAsia" w:ascii="宋体" w:hAnsi="宋体"/>
          <w:bCs/>
          <w:color w:val="auto"/>
          <w:sz w:val="24"/>
          <w:szCs w:val="24"/>
          <w:highlight w:val="none"/>
        </w:rPr>
        <w:t>后送达的电子投标文件，</w:t>
      </w:r>
      <w:r>
        <w:rPr>
          <w:rFonts w:hint="eastAsia" w:ascii="宋体" w:hAnsi="宋体"/>
          <w:color w:val="auto"/>
          <w:sz w:val="24"/>
          <w:szCs w:val="24"/>
          <w:highlight w:val="none"/>
        </w:rPr>
        <w:t>交易平台将予以拒收。</w:t>
      </w:r>
    </w:p>
    <w:p>
      <w:pPr>
        <w:pBdr>
          <w:bottom w:val="single" w:color="auto" w:sz="6" w:space="1"/>
        </w:pBdr>
        <w:spacing w:line="440" w:lineRule="exact"/>
        <w:ind w:firstLine="602" w:firstLineChars="250"/>
        <w:rPr>
          <w:rFonts w:ascii="宋体" w:hAnsi="宋体"/>
          <w:color w:val="auto"/>
          <w:sz w:val="24"/>
          <w:szCs w:val="24"/>
          <w:highlight w:val="none"/>
        </w:rPr>
      </w:pPr>
      <w:r>
        <w:rPr>
          <w:rFonts w:hint="eastAsia" w:ascii="宋体" w:hAnsi="宋体"/>
          <w:b/>
          <w:color w:val="auto"/>
          <w:sz w:val="24"/>
          <w:szCs w:val="24"/>
          <w:highlight w:val="none"/>
        </w:rPr>
        <w:t>现文：</w:t>
      </w:r>
      <w:r>
        <w:rPr>
          <w:rFonts w:hint="eastAsia" w:ascii="宋体" w:hAnsi="宋体"/>
          <w:color w:val="auto"/>
          <w:sz w:val="24"/>
          <w:szCs w:val="24"/>
          <w:highlight w:val="none"/>
        </w:rPr>
        <w:t>本须知前附表第17项规定的投标截止时间后送达的电子投标文件，</w:t>
      </w:r>
      <w:r>
        <w:rPr>
          <w:rFonts w:hint="eastAsia" w:ascii="宋体" w:hAnsi="宋体"/>
          <w:color w:val="auto"/>
          <w:sz w:val="24"/>
          <w:szCs w:val="24"/>
          <w:highlight w:val="none"/>
          <w:u w:val="single"/>
        </w:rPr>
        <w:t>广州交易集团有限公司（广州公共资源交易中心）交易平台</w:t>
      </w:r>
      <w:r>
        <w:rPr>
          <w:rFonts w:hint="eastAsia" w:ascii="宋体" w:hAnsi="宋体"/>
          <w:color w:val="auto"/>
          <w:sz w:val="24"/>
          <w:szCs w:val="24"/>
          <w:highlight w:val="none"/>
        </w:rPr>
        <w:t>将予以拒收。</w:t>
      </w:r>
    </w:p>
    <w:p>
      <w:pPr>
        <w:spacing w:line="440" w:lineRule="exact"/>
        <w:ind w:firstLine="590" w:firstLineChars="245"/>
        <w:rPr>
          <w:rFonts w:ascii="宋体" w:hAnsi="宋体"/>
          <w:b/>
          <w:color w:val="auto"/>
          <w:sz w:val="24"/>
          <w:szCs w:val="24"/>
          <w:highlight w:val="none"/>
        </w:rPr>
      </w:pPr>
      <w:r>
        <w:rPr>
          <w:rFonts w:hint="eastAsia" w:ascii="宋体" w:hAnsi="宋体"/>
          <w:b/>
          <w:color w:val="auto"/>
          <w:sz w:val="24"/>
          <w:szCs w:val="24"/>
          <w:highlight w:val="none"/>
        </w:rPr>
        <w:t>条款号：24    修改类型：修改</w:t>
      </w:r>
    </w:p>
    <w:p>
      <w:pPr>
        <w:spacing w:line="360" w:lineRule="auto"/>
        <w:ind w:firstLine="600" w:firstLineChars="249"/>
        <w:rPr>
          <w:rFonts w:ascii="宋体" w:hAnsi="宋体"/>
          <w:b/>
          <w:color w:val="auto"/>
          <w:sz w:val="24"/>
          <w:szCs w:val="24"/>
          <w:highlight w:val="none"/>
        </w:rPr>
      </w:pPr>
      <w:r>
        <w:rPr>
          <w:rFonts w:hint="eastAsia" w:ascii="宋体" w:hAnsi="宋体"/>
          <w:b/>
          <w:color w:val="auto"/>
          <w:sz w:val="24"/>
          <w:szCs w:val="24"/>
          <w:highlight w:val="none"/>
        </w:rPr>
        <w:t>原文：24．评标过程的保密</w:t>
      </w:r>
    </w:p>
    <w:p>
      <w:pPr>
        <w:spacing w:line="360" w:lineRule="auto"/>
        <w:ind w:firstLine="597" w:firstLineChars="249"/>
        <w:rPr>
          <w:rFonts w:ascii="宋体"/>
          <w:color w:val="auto"/>
          <w:sz w:val="24"/>
          <w:szCs w:val="24"/>
          <w:highlight w:val="none"/>
        </w:rPr>
      </w:pPr>
      <w:r>
        <w:rPr>
          <w:rFonts w:hint="eastAsia" w:ascii="宋体" w:hAnsi="宋体"/>
          <w:color w:val="auto"/>
          <w:sz w:val="24"/>
          <w:szCs w:val="24"/>
          <w:highlight w:val="none"/>
        </w:rPr>
        <w:t>24.1 开标后，直至中标公示为止，凡属于对投标文件的审查、澄清、评价和比较有关的资料以及中标候选人的推荐情况，与评标有关的其他任何情况均严格保密。</w:t>
      </w:r>
    </w:p>
    <w:p>
      <w:pPr>
        <w:pBdr>
          <w:bottom w:val="single" w:color="auto" w:sz="6" w:space="1"/>
        </w:pBdr>
        <w:spacing w:line="44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24.2 在投标文件的评审和比较、中标候选人推荐以及授予合同的过程中，投标人向招标人和评标委员会施加不公正影响的任何行为，都将会导致其投标被拒绝</w:t>
      </w:r>
    </w:p>
    <w:p>
      <w:pPr>
        <w:pBdr>
          <w:bottom w:val="single" w:color="auto" w:sz="6" w:space="1"/>
        </w:pBdr>
        <w:spacing w:line="440" w:lineRule="exact"/>
        <w:ind w:firstLine="602" w:firstLineChars="250"/>
        <w:rPr>
          <w:rFonts w:ascii="宋体" w:hAnsi="宋体"/>
          <w:b/>
          <w:color w:val="auto"/>
          <w:sz w:val="24"/>
          <w:szCs w:val="24"/>
          <w:highlight w:val="none"/>
        </w:rPr>
      </w:pPr>
      <w:r>
        <w:rPr>
          <w:rFonts w:hint="eastAsia" w:ascii="宋体" w:hAnsi="宋体"/>
          <w:b/>
          <w:color w:val="auto"/>
          <w:sz w:val="24"/>
          <w:szCs w:val="24"/>
          <w:highlight w:val="none"/>
        </w:rPr>
        <w:t>现文：24．评标</w:t>
      </w:r>
      <w:r>
        <w:rPr>
          <w:rFonts w:hint="eastAsia" w:ascii="宋体" w:hAnsi="宋体"/>
          <w:b/>
          <w:color w:val="auto"/>
          <w:sz w:val="24"/>
          <w:szCs w:val="24"/>
          <w:highlight w:val="none"/>
          <w:u w:val="single"/>
        </w:rPr>
        <w:t>、定标</w:t>
      </w:r>
      <w:r>
        <w:rPr>
          <w:rFonts w:hint="eastAsia" w:ascii="宋体" w:hAnsi="宋体"/>
          <w:b/>
          <w:color w:val="auto"/>
          <w:sz w:val="24"/>
          <w:szCs w:val="24"/>
          <w:highlight w:val="none"/>
        </w:rPr>
        <w:t>过程的保密</w:t>
      </w:r>
    </w:p>
    <w:p>
      <w:pPr>
        <w:pBdr>
          <w:bottom w:val="single" w:color="auto" w:sz="6" w:space="1"/>
        </w:pBdr>
        <w:spacing w:line="44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24.1 开标后，直至中标公示为止，凡属于对投标文件的审查、澄清、评价和比较有关的资料以及中标候选人的推荐情况，与</w:t>
      </w:r>
      <w:r>
        <w:rPr>
          <w:rFonts w:hint="eastAsia" w:ascii="宋体" w:hAnsi="宋体"/>
          <w:color w:val="auto"/>
          <w:sz w:val="24"/>
          <w:szCs w:val="24"/>
          <w:highlight w:val="none"/>
          <w:u w:val="single"/>
        </w:rPr>
        <w:t>评标及定标</w:t>
      </w:r>
      <w:r>
        <w:rPr>
          <w:rFonts w:hint="eastAsia" w:ascii="宋体" w:hAnsi="宋体"/>
          <w:color w:val="auto"/>
          <w:sz w:val="24"/>
          <w:szCs w:val="24"/>
          <w:highlight w:val="none"/>
        </w:rPr>
        <w:t>有关的其他任何情况均严格保密。</w:t>
      </w:r>
    </w:p>
    <w:p>
      <w:pPr>
        <w:pBdr>
          <w:bottom w:val="single" w:color="auto" w:sz="6" w:space="1"/>
        </w:pBdr>
        <w:spacing w:line="440" w:lineRule="exact"/>
        <w:ind w:firstLine="600" w:firstLineChars="250"/>
        <w:rPr>
          <w:rFonts w:ascii="宋体" w:hAnsi="宋体"/>
          <w:b/>
          <w:color w:val="auto"/>
          <w:sz w:val="24"/>
          <w:szCs w:val="24"/>
          <w:highlight w:val="none"/>
        </w:rPr>
      </w:pPr>
      <w:r>
        <w:rPr>
          <w:rFonts w:hint="eastAsia" w:ascii="宋体" w:hAnsi="宋体"/>
          <w:color w:val="auto"/>
          <w:sz w:val="24"/>
          <w:szCs w:val="24"/>
          <w:highlight w:val="none"/>
        </w:rPr>
        <w:t>24.2 在投标文件的评审和比较、中标候选人推荐以及授予合同的过程中，投标人向招标人、评标委员会</w:t>
      </w:r>
      <w:r>
        <w:rPr>
          <w:rFonts w:hint="eastAsia" w:ascii="宋体" w:hAnsi="宋体"/>
          <w:color w:val="auto"/>
          <w:sz w:val="24"/>
          <w:szCs w:val="24"/>
          <w:highlight w:val="none"/>
          <w:u w:val="single"/>
        </w:rPr>
        <w:t>和定标委员会</w:t>
      </w:r>
      <w:r>
        <w:rPr>
          <w:rFonts w:hint="eastAsia" w:ascii="宋体" w:hAnsi="宋体"/>
          <w:color w:val="auto"/>
          <w:sz w:val="24"/>
          <w:szCs w:val="24"/>
          <w:highlight w:val="none"/>
        </w:rPr>
        <w:t>施加不公正影响的任何行为，都将会导致其投标被拒绝。</w:t>
      </w:r>
    </w:p>
    <w:p>
      <w:pPr>
        <w:spacing w:line="440" w:lineRule="exact"/>
        <w:ind w:firstLine="540" w:firstLineChars="224"/>
        <w:rPr>
          <w:rFonts w:ascii="宋体" w:hAnsi="宋体"/>
          <w:b/>
          <w:color w:val="auto"/>
          <w:sz w:val="24"/>
          <w:szCs w:val="24"/>
          <w:highlight w:val="none"/>
        </w:rPr>
      </w:pPr>
      <w:r>
        <w:rPr>
          <w:rFonts w:hint="eastAsia" w:ascii="宋体" w:hAnsi="宋体"/>
          <w:b/>
          <w:color w:val="auto"/>
          <w:sz w:val="24"/>
          <w:szCs w:val="24"/>
          <w:highlight w:val="none"/>
        </w:rPr>
        <w:t>条款号：27.</w:t>
      </w:r>
      <w:r>
        <w:rPr>
          <w:rFonts w:ascii="宋体" w:hAnsi="宋体"/>
          <w:b/>
          <w:color w:val="auto"/>
          <w:sz w:val="24"/>
          <w:szCs w:val="24"/>
          <w:highlight w:val="none"/>
        </w:rPr>
        <w:t xml:space="preserve">1           </w:t>
      </w:r>
      <w:r>
        <w:rPr>
          <w:rFonts w:hint="eastAsia" w:ascii="宋体" w:hAnsi="宋体"/>
          <w:b/>
          <w:color w:val="auto"/>
          <w:sz w:val="24"/>
          <w:szCs w:val="24"/>
          <w:highlight w:val="none"/>
        </w:rPr>
        <w:t>修改类型：修改</w:t>
      </w:r>
    </w:p>
    <w:p>
      <w:pPr>
        <w:spacing w:line="440" w:lineRule="exact"/>
        <w:ind w:firstLine="540" w:firstLineChars="224"/>
        <w:rPr>
          <w:rFonts w:ascii="宋体" w:hAnsi="宋体"/>
          <w:b/>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招标人将在交易平台、广东省招标投标监管网和中国招标投标公共服务平台公示中标候选人，公示期为三天。</w:t>
      </w:r>
    </w:p>
    <w:p>
      <w:pPr>
        <w:pBdr>
          <w:bottom w:val="single" w:color="auto" w:sz="6" w:space="1"/>
        </w:pBdr>
        <w:spacing w:line="440" w:lineRule="exact"/>
        <w:ind w:firstLine="602" w:firstLineChars="250"/>
        <w:rPr>
          <w:rFonts w:ascii="宋体" w:hAnsi="宋体"/>
          <w:color w:val="auto"/>
          <w:sz w:val="24"/>
          <w:szCs w:val="24"/>
          <w:highlight w:val="none"/>
        </w:rPr>
      </w:pPr>
      <w:r>
        <w:rPr>
          <w:rFonts w:hint="eastAsia" w:ascii="宋体" w:hAnsi="宋体"/>
          <w:b/>
          <w:color w:val="auto"/>
          <w:sz w:val="24"/>
          <w:szCs w:val="24"/>
          <w:highlight w:val="none"/>
        </w:rPr>
        <w:t>现文：</w:t>
      </w:r>
      <w:r>
        <w:rPr>
          <w:rFonts w:hint="eastAsia" w:ascii="宋体" w:hAnsi="宋体"/>
          <w:color w:val="auto"/>
          <w:sz w:val="24"/>
          <w:szCs w:val="24"/>
          <w:highlight w:val="none"/>
        </w:rPr>
        <w:t>招标人将在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交易平台、广东省招标投标监管网和中国招标投标公共服务平台公示中标候选人，公示期为三天。</w:t>
      </w:r>
      <w:r>
        <w:rPr>
          <w:rFonts w:hint="eastAsia" w:ascii="宋体" w:hAnsi="宋体"/>
          <w:b/>
          <w:bCs/>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40" w:lineRule="exact"/>
        <w:ind w:firstLine="540" w:firstLineChars="224"/>
        <w:rPr>
          <w:rFonts w:ascii="宋体" w:hAnsi="宋体"/>
          <w:b/>
          <w:color w:val="auto"/>
          <w:sz w:val="24"/>
          <w:szCs w:val="24"/>
          <w:highlight w:val="none"/>
        </w:rPr>
      </w:pPr>
      <w:r>
        <w:rPr>
          <w:rFonts w:hint="eastAsia" w:ascii="宋体" w:hAnsi="宋体"/>
          <w:b/>
          <w:color w:val="auto"/>
          <w:sz w:val="24"/>
          <w:szCs w:val="24"/>
          <w:highlight w:val="none"/>
        </w:rPr>
        <w:t>条款号：27.4修改类型：修改</w:t>
      </w:r>
    </w:p>
    <w:p>
      <w:pPr>
        <w:spacing w:line="440" w:lineRule="exact"/>
        <w:ind w:firstLine="540" w:firstLineChars="224"/>
        <w:rPr>
          <w:rFonts w:ascii="宋体" w:hAnsi="宋体"/>
          <w:b/>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在产生中标候选人后，招标人将中标候选人的投标文件商务部分文件的所有条款内容（包括报价清单、人员、业绩、奖项等资料）在交易平台和广东省招标投标监管网公开。</w:t>
      </w:r>
    </w:p>
    <w:p>
      <w:pPr>
        <w:pBdr>
          <w:bottom w:val="single" w:color="auto" w:sz="6" w:space="1"/>
        </w:pBdr>
        <w:spacing w:line="440" w:lineRule="exact"/>
        <w:ind w:firstLine="602" w:firstLineChars="250"/>
        <w:rPr>
          <w:rFonts w:ascii="宋体" w:hAnsi="宋体"/>
          <w:color w:val="auto"/>
          <w:sz w:val="24"/>
          <w:szCs w:val="24"/>
          <w:highlight w:val="none"/>
        </w:rPr>
      </w:pPr>
      <w:r>
        <w:rPr>
          <w:rFonts w:hint="eastAsia" w:ascii="宋体" w:hAnsi="宋体"/>
          <w:b/>
          <w:color w:val="auto"/>
          <w:sz w:val="24"/>
          <w:szCs w:val="24"/>
          <w:highlight w:val="none"/>
        </w:rPr>
        <w:t>现文：</w:t>
      </w:r>
      <w:r>
        <w:rPr>
          <w:rFonts w:hint="eastAsia" w:ascii="宋体" w:hAnsi="宋体"/>
          <w:bCs/>
          <w:color w:val="auto"/>
          <w:sz w:val="24"/>
          <w:szCs w:val="24"/>
          <w:highlight w:val="none"/>
        </w:rPr>
        <w:t>在产生中标候选人后，招标人将中标候选人的投标文件商务部分文件的</w:t>
      </w:r>
      <w:r>
        <w:rPr>
          <w:rFonts w:hint="eastAsia" w:ascii="宋体" w:hAnsi="宋体"/>
          <w:bCs/>
          <w:color w:val="auto"/>
          <w:sz w:val="24"/>
          <w:szCs w:val="24"/>
          <w:highlight w:val="none"/>
          <w:u w:val="single"/>
        </w:rPr>
        <w:t>人员、业绩、奖项等资料</w:t>
      </w:r>
      <w:r>
        <w:rPr>
          <w:rFonts w:hint="eastAsia" w:ascii="宋体" w:hAnsi="宋体"/>
          <w:color w:val="auto"/>
          <w:sz w:val="24"/>
          <w:szCs w:val="24"/>
          <w:highlight w:val="none"/>
        </w:rPr>
        <w:t>在</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交易平台和广东省招标投标监管网公开。</w:t>
      </w:r>
    </w:p>
    <w:p>
      <w:pPr>
        <w:spacing w:line="480" w:lineRule="auto"/>
        <w:ind w:firstLine="540" w:firstLineChars="224"/>
        <w:rPr>
          <w:rFonts w:cs="宋体"/>
          <w:b/>
          <w:color w:val="auto"/>
          <w:sz w:val="24"/>
          <w:szCs w:val="24"/>
          <w:highlight w:val="none"/>
        </w:rPr>
      </w:pPr>
      <w:r>
        <w:rPr>
          <w:rFonts w:hint="eastAsia" w:cs="宋体"/>
          <w:b/>
          <w:color w:val="auto"/>
          <w:sz w:val="24"/>
          <w:szCs w:val="24"/>
          <w:highlight w:val="none"/>
        </w:rPr>
        <w:t>条款号：31   修改类型：修改</w:t>
      </w:r>
    </w:p>
    <w:p>
      <w:pPr>
        <w:spacing w:line="360" w:lineRule="auto"/>
        <w:ind w:firstLine="482" w:firstLineChars="200"/>
        <w:rPr>
          <w:rFonts w:cs="宋体"/>
          <w:bCs/>
          <w:color w:val="auto"/>
          <w:szCs w:val="21"/>
          <w:highlight w:val="none"/>
        </w:rPr>
      </w:pPr>
      <w:r>
        <w:rPr>
          <w:rFonts w:hint="eastAsia" w:cs="宋体"/>
          <w:b/>
          <w:color w:val="auto"/>
          <w:sz w:val="24"/>
          <w:szCs w:val="24"/>
          <w:highlight w:val="none"/>
        </w:rPr>
        <w:t>原文：</w:t>
      </w:r>
      <w:r>
        <w:rPr>
          <w:rFonts w:hint="eastAsia" w:cs="宋体"/>
          <w:color w:val="auto"/>
          <w:sz w:val="24"/>
          <w:szCs w:val="24"/>
          <w:highlight w:val="none"/>
        </w:rPr>
        <w:t>31．其它费用</w:t>
      </w:r>
    </w:p>
    <w:p>
      <w:pPr>
        <w:spacing w:line="360" w:lineRule="auto"/>
        <w:ind w:firstLine="482" w:firstLineChars="200"/>
        <w:rPr>
          <w:rFonts w:cs="宋体"/>
          <w:bCs/>
          <w:color w:val="auto"/>
          <w:szCs w:val="21"/>
          <w:highlight w:val="none"/>
        </w:rPr>
      </w:pPr>
      <w:r>
        <w:rPr>
          <w:rFonts w:hint="eastAsia" w:cs="宋体"/>
          <w:b/>
          <w:color w:val="auto"/>
          <w:sz w:val="24"/>
          <w:szCs w:val="24"/>
          <w:highlight w:val="none"/>
        </w:rPr>
        <w:t>现文：</w:t>
      </w:r>
      <w:r>
        <w:rPr>
          <w:rFonts w:hint="eastAsia" w:cs="宋体"/>
          <w:color w:val="auto"/>
          <w:sz w:val="24"/>
          <w:szCs w:val="24"/>
          <w:highlight w:val="none"/>
        </w:rPr>
        <w:t>31．其它费用</w:t>
      </w:r>
    </w:p>
    <w:p>
      <w:pPr>
        <w:pBdr>
          <w:bottom w:val="single" w:color="auto" w:sz="6" w:space="1"/>
        </w:pBdr>
        <w:spacing w:line="360" w:lineRule="auto"/>
        <w:ind w:firstLine="600" w:firstLineChars="250"/>
        <w:rPr>
          <w:rFonts w:ascii="宋体" w:hAnsi="宋体"/>
          <w:color w:val="auto"/>
          <w:sz w:val="24"/>
          <w:highlight w:val="none"/>
          <w:u w:val="single"/>
        </w:rPr>
      </w:pPr>
      <w:r>
        <w:rPr>
          <w:rFonts w:hint="eastAsia" w:ascii="宋体" w:hAnsi="宋体"/>
          <w:color w:val="auto"/>
          <w:sz w:val="24"/>
          <w:highlight w:val="none"/>
          <w:u w:val="single"/>
        </w:rPr>
        <w:t>中标人按《广州市发展改革委转发省发展改革委关于规范公共资源交易服务收费及有关问题的通知》（穗发改〔2017〕811号）文件的规定，向广州交易集团有限公司（广州公共资源交易中心）代缴交易服务费，其费用包含在中标人投标报价中，招标人不另行支付。</w:t>
      </w:r>
    </w:p>
    <w:p>
      <w:pPr>
        <w:spacing w:line="480" w:lineRule="auto"/>
        <w:ind w:firstLine="540" w:firstLineChars="224"/>
        <w:rPr>
          <w:rFonts w:cs="宋体"/>
          <w:b/>
          <w:color w:val="auto"/>
          <w:sz w:val="24"/>
          <w:szCs w:val="24"/>
          <w:highlight w:val="none"/>
        </w:rPr>
      </w:pPr>
      <w:r>
        <w:rPr>
          <w:rFonts w:hint="eastAsia" w:cs="宋体"/>
          <w:b/>
          <w:color w:val="auto"/>
          <w:sz w:val="24"/>
          <w:szCs w:val="24"/>
          <w:highlight w:val="none"/>
        </w:rPr>
        <w:t>条款号：</w:t>
      </w:r>
      <w:r>
        <w:rPr>
          <w:rFonts w:hint="eastAsia" w:cs="宋体"/>
          <w:b/>
          <w:bCs/>
          <w:color w:val="auto"/>
          <w:sz w:val="24"/>
          <w:szCs w:val="24"/>
          <w:highlight w:val="none"/>
        </w:rPr>
        <w:t>32.3</w:t>
      </w:r>
      <w:r>
        <w:rPr>
          <w:rFonts w:hint="eastAsia" w:cs="宋体"/>
          <w:b/>
          <w:color w:val="auto"/>
          <w:sz w:val="24"/>
          <w:szCs w:val="24"/>
          <w:highlight w:val="none"/>
        </w:rPr>
        <w:t>修改类型：修改</w:t>
      </w:r>
    </w:p>
    <w:p>
      <w:pPr>
        <w:pStyle w:val="8"/>
        <w:spacing w:line="360" w:lineRule="auto"/>
        <w:rPr>
          <w:rFonts w:ascii="宋体" w:hAnsi="宋体"/>
          <w:color w:val="auto"/>
          <w:sz w:val="24"/>
          <w:szCs w:val="24"/>
          <w:highlight w:val="none"/>
        </w:rPr>
      </w:pPr>
      <w:r>
        <w:rPr>
          <w:rFonts w:hint="eastAsia" w:cs="宋体"/>
          <w:b/>
          <w:color w:val="auto"/>
          <w:sz w:val="24"/>
          <w:szCs w:val="24"/>
          <w:highlight w:val="none"/>
        </w:rPr>
        <w:t>原文：</w:t>
      </w:r>
      <w:r>
        <w:rPr>
          <w:rFonts w:hint="eastAsia" w:ascii="宋体" w:hAnsi="宋体"/>
          <w:color w:val="auto"/>
          <w:sz w:val="24"/>
          <w:szCs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firstLine="361" w:firstLineChars="150"/>
        <w:rPr>
          <w:color w:val="auto"/>
          <w:highlight w:val="none"/>
        </w:rPr>
      </w:pPr>
      <w:r>
        <w:rPr>
          <w:rFonts w:cs="宋体"/>
          <w:b/>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838835</wp:posOffset>
                </wp:positionV>
                <wp:extent cx="5520055"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552005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4pt;margin-top:66.05pt;height:0pt;width:434.65pt;z-index:251662336;mso-width-relative:page;mso-height-relative:page;" filled="f" stroked="t" coordsize="21600,21600" o:gfxdata="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Q4fM1gAAAAoBAAAPAAAAAAAAAAEAIAAAACIAAABkcnMvZG93&#10;bnJldi54bWxQSwECFAAUAAAACACHTuJAOHcYKQICAAD8AwAADgAAAAAAAAABACAAAAAlAQAAZHJz&#10;L2Uyb0RvYy54bWxQSwUGAAAAAAYABgBZAQAAmQUAAAAA&#10;">
                <v:fill on="f" focussize="0,0"/>
                <v:stroke color="#000000" joinstyle="round"/>
                <v:imagedata o:title=""/>
                <o:lock v:ext="edit" aspectratio="f"/>
              </v:shape>
            </w:pict>
          </mc:Fallback>
        </mc:AlternateContent>
      </w:r>
      <w:r>
        <w:rPr>
          <w:rFonts w:hint="eastAsia" w:cs="宋体"/>
          <w:b/>
          <w:color w:val="auto"/>
          <w:sz w:val="24"/>
          <w:szCs w:val="24"/>
          <w:highlight w:val="none"/>
        </w:rPr>
        <w:t>现文：</w:t>
      </w:r>
      <w:r>
        <w:rPr>
          <w:rFonts w:hint="eastAsia" w:ascii="宋体" w:hAnsi="宋体" w:cs="宋体"/>
          <w:bCs/>
          <w:color w:val="auto"/>
          <w:kern w:val="0"/>
          <w:sz w:val="24"/>
          <w:highlight w:val="none"/>
        </w:rPr>
        <w:t>32.3</w:t>
      </w:r>
      <w:r>
        <w:rPr>
          <w:rFonts w:hint="eastAsia" w:ascii="宋体" w:hAnsi="宋体" w:cs="宋体"/>
          <w:bCs/>
          <w:color w:val="auto"/>
          <w:kern w:val="0"/>
          <w:sz w:val="24"/>
          <w:highlight w:val="none"/>
          <w:u w:val="single"/>
        </w:rPr>
        <w:t>投标人如在本项目中存在串通投标、弄虚作假</w:t>
      </w:r>
      <w:r>
        <w:rPr>
          <w:rFonts w:hint="eastAsia" w:ascii="宋体" w:hAnsi="宋体" w:cs="宋体"/>
          <w:b/>
          <w:color w:val="auto"/>
          <w:kern w:val="0"/>
          <w:sz w:val="24"/>
          <w:highlight w:val="none"/>
          <w:u w:val="single"/>
        </w:rPr>
        <w:t>骗取中标</w:t>
      </w:r>
      <w:r>
        <w:rPr>
          <w:rFonts w:hint="eastAsia" w:ascii="宋体" w:hAnsi="宋体" w:cs="宋体"/>
          <w:bCs/>
          <w:color w:val="auto"/>
          <w:kern w:val="0"/>
          <w:sz w:val="24"/>
          <w:highlight w:val="none"/>
          <w:u w:val="single"/>
        </w:rPr>
        <w:t>、行贿情形的，中标无效，行政监督部门将对其违法行为进行政处罚。</w:t>
      </w:r>
      <w:r>
        <w:rPr>
          <w:rFonts w:hint="eastAsia" w:ascii="宋体" w:hAnsi="宋体" w:cs="宋体"/>
          <w:b/>
          <w:color w:val="auto"/>
          <w:kern w:val="0"/>
          <w:sz w:val="24"/>
          <w:highlight w:val="none"/>
          <w:u w:val="single"/>
        </w:rPr>
        <w:t>该投标人将被招标人列入黑名单并限制其参与招标人后续项目的投标。</w:t>
      </w:r>
    </w:p>
    <w:p>
      <w:pPr>
        <w:spacing w:line="480" w:lineRule="auto"/>
        <w:ind w:firstLine="540" w:firstLineChars="224"/>
        <w:rPr>
          <w:rFonts w:cs="宋体"/>
          <w:b/>
          <w:color w:val="auto"/>
          <w:sz w:val="24"/>
          <w:szCs w:val="24"/>
          <w:highlight w:val="none"/>
        </w:rPr>
      </w:pPr>
      <w:r>
        <w:rPr>
          <w:rFonts w:hint="eastAsia" w:cs="宋体"/>
          <w:b/>
          <w:color w:val="auto"/>
          <w:sz w:val="24"/>
          <w:szCs w:val="24"/>
          <w:highlight w:val="none"/>
        </w:rPr>
        <w:t>条款号：</w:t>
      </w:r>
      <w:r>
        <w:rPr>
          <w:rFonts w:hint="eastAsia" w:cs="宋体"/>
          <w:b/>
          <w:bCs/>
          <w:color w:val="auto"/>
          <w:sz w:val="24"/>
          <w:szCs w:val="24"/>
          <w:highlight w:val="none"/>
        </w:rPr>
        <w:t>33</w:t>
      </w:r>
      <w:r>
        <w:rPr>
          <w:rFonts w:hint="eastAsia" w:cs="宋体"/>
          <w:b/>
          <w:color w:val="auto"/>
          <w:sz w:val="24"/>
          <w:szCs w:val="24"/>
          <w:highlight w:val="none"/>
        </w:rPr>
        <w:t>修改类型：</w:t>
      </w:r>
      <w:r>
        <w:rPr>
          <w:rFonts w:hint="eastAsia" w:cs="宋体"/>
          <w:b/>
          <w:bCs/>
          <w:color w:val="auto"/>
          <w:sz w:val="24"/>
          <w:szCs w:val="24"/>
          <w:highlight w:val="none"/>
        </w:rPr>
        <w:t>删除</w:t>
      </w:r>
    </w:p>
    <w:p>
      <w:pPr>
        <w:spacing w:line="276" w:lineRule="auto"/>
        <w:ind w:firstLine="540" w:firstLineChars="224"/>
        <w:rPr>
          <w:rFonts w:cs="宋体"/>
          <w:color w:val="auto"/>
          <w:sz w:val="24"/>
          <w:szCs w:val="24"/>
          <w:highlight w:val="none"/>
        </w:rPr>
      </w:pPr>
      <w:r>
        <w:rPr>
          <w:rFonts w:hint="eastAsia" w:cs="宋体"/>
          <w:b/>
          <w:color w:val="auto"/>
          <w:sz w:val="24"/>
          <w:szCs w:val="24"/>
          <w:highlight w:val="none"/>
        </w:rPr>
        <w:t>原文：</w:t>
      </w:r>
      <w:r>
        <w:rPr>
          <w:rFonts w:hint="eastAsia" w:cs="宋体"/>
          <w:color w:val="auto"/>
          <w:sz w:val="24"/>
          <w:szCs w:val="24"/>
          <w:highlight w:val="none"/>
        </w:rPr>
        <w:t>33. 投标人信誉的要求</w:t>
      </w:r>
    </w:p>
    <w:p>
      <w:pPr>
        <w:spacing w:line="276" w:lineRule="auto"/>
        <w:ind w:firstLine="537" w:firstLineChars="224"/>
        <w:rPr>
          <w:rFonts w:cs="宋体"/>
          <w:color w:val="auto"/>
          <w:sz w:val="24"/>
          <w:szCs w:val="24"/>
          <w:highlight w:val="none"/>
        </w:rPr>
      </w:pPr>
      <w:r>
        <w:rPr>
          <w:rFonts w:hint="eastAsia" w:cs="宋体"/>
          <w:color w:val="auto"/>
          <w:sz w:val="24"/>
          <w:szCs w:val="24"/>
          <w:highlight w:val="none"/>
        </w:rPr>
        <w:t>存在下列情形之一的，招标人可以限制其投标（需在招标文件中明确评定方法）</w:t>
      </w:r>
    </w:p>
    <w:p>
      <w:pPr>
        <w:spacing w:line="276" w:lineRule="auto"/>
        <w:ind w:firstLine="537" w:firstLineChars="224"/>
        <w:rPr>
          <w:rFonts w:cs="宋体"/>
          <w:color w:val="auto"/>
          <w:sz w:val="24"/>
          <w:szCs w:val="24"/>
          <w:highlight w:val="none"/>
        </w:rPr>
      </w:pPr>
      <w:r>
        <w:rPr>
          <w:rFonts w:hint="eastAsia" w:cs="宋体"/>
          <w:color w:val="auto"/>
          <w:sz w:val="24"/>
          <w:szCs w:val="24"/>
          <w:highlight w:val="none"/>
        </w:rPr>
        <w:t>（1）被住房城乡建设行政主管部门在全国建筑市场监管一体化工作平台列入建筑市场主体“黑名单”；</w:t>
      </w:r>
    </w:p>
    <w:p>
      <w:pPr>
        <w:spacing w:line="276" w:lineRule="auto"/>
        <w:ind w:firstLine="537" w:firstLineChars="224"/>
        <w:rPr>
          <w:rFonts w:cs="宋体"/>
          <w:color w:val="auto"/>
          <w:sz w:val="24"/>
          <w:szCs w:val="24"/>
          <w:highlight w:val="none"/>
        </w:rPr>
      </w:pPr>
      <w:r>
        <w:rPr>
          <w:rFonts w:hint="eastAsia" w:cs="宋体"/>
          <w:color w:val="auto"/>
          <w:sz w:val="24"/>
          <w:szCs w:val="24"/>
          <w:highlight w:val="none"/>
        </w:rPr>
        <w:t>（2）被发改委、人力资源社会保障、质检总局等有关部门、单位在“信用中国”网站中列入联合惩戒失信黑名单。</w:t>
      </w:r>
    </w:p>
    <w:p>
      <w:pPr>
        <w:pStyle w:val="8"/>
        <w:rPr>
          <w:color w:val="auto"/>
          <w:highlight w:val="none"/>
        </w:rPr>
      </w:pPr>
      <w:r>
        <w:rPr>
          <w:rFonts w:cs="宋体"/>
          <w:b/>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-43180</wp:posOffset>
                </wp:positionH>
                <wp:positionV relativeFrom="paragraph">
                  <wp:posOffset>100965</wp:posOffset>
                </wp:positionV>
                <wp:extent cx="5596255" cy="0"/>
                <wp:effectExtent l="0" t="0" r="0" b="0"/>
                <wp:wrapNone/>
                <wp:docPr id="19" name="直接箭头连接符 19"/>
                <wp:cNvGraphicFramePr/>
                <a:graphic xmlns:a="http://schemas.openxmlformats.org/drawingml/2006/main">
                  <a:graphicData uri="http://schemas.microsoft.com/office/word/2010/wordprocessingShape">
                    <wps:wsp>
                      <wps:cNvCnPr/>
                      <wps:spPr>
                        <a:xfrm>
                          <a:off x="0" y="0"/>
                          <a:ext cx="559625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4pt;margin-top:7.95pt;height:0pt;width:440.65pt;z-index:251663360;mso-width-relative:page;mso-height-relative:page;" filled="f" stroked="t" coordsize="21600,21600" o:gfxdata="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vX2e1gAAAAgBAAAPAAAAAAAAAAEAIAAAACIAAABkcnMvZG93&#10;bnJldi54bWxQSwECFAAUAAAACACHTuJAJqBlawICAAD8AwAADgAAAAAAAAABACAAAAAlAQAAZHJz&#10;L2Uyb0RvYy54bWxQSwUGAAAAAAYABgBZAQAAmQUAAAAA&#10;">
                <v:fill on="f" focussize="0,0"/>
                <v:stroke color="#000000" joinstyle="round"/>
                <v:imagedata o:title=""/>
                <o:lock v:ext="edit" aspectratio="f"/>
              </v:shape>
            </w:pict>
          </mc:Fallback>
        </mc:AlternateContent>
      </w:r>
    </w:p>
    <w:p>
      <w:pPr>
        <w:spacing w:line="360" w:lineRule="auto"/>
        <w:ind w:firstLine="211" w:firstLineChars="100"/>
        <w:rPr>
          <w:b/>
          <w:color w:val="auto"/>
          <w:szCs w:val="21"/>
          <w:highlight w:val="none"/>
        </w:rPr>
      </w:pP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rFonts w:ascii="宋体" w:hAnsi="宋体"/>
          <w:color w:val="auto"/>
          <w:highlight w:val="none"/>
        </w:rPr>
      </w:pPr>
      <w:r>
        <w:rPr>
          <w:rFonts w:hint="eastAsia" w:ascii="宋体" w:hAnsi="宋体"/>
          <w:b/>
          <w:color w:val="auto"/>
          <w:szCs w:val="21"/>
          <w:highlight w:val="none"/>
        </w:rPr>
        <w:t>（以下无正文）</w:t>
      </w:r>
    </w:p>
    <w:p>
      <w:pPr>
        <w:pStyle w:val="7"/>
        <w:rPr>
          <w:color w:val="auto"/>
          <w:highlight w:val="none"/>
        </w:rPr>
      </w:pPr>
      <w:bookmarkStart w:id="8" w:name="_Toc60818616"/>
      <w:r>
        <w:rPr>
          <w:rFonts w:hint="eastAsia"/>
          <w:color w:val="auto"/>
          <w:highlight w:val="none"/>
        </w:rPr>
        <w:br w:type="page"/>
      </w:r>
      <w:bookmarkStart w:id="9" w:name="_Toc100770807"/>
      <w:bookmarkStart w:id="10" w:name="_Toc130979519"/>
      <w:bookmarkStart w:id="11" w:name="_Toc130979454"/>
      <w:bookmarkStart w:id="12" w:name="_Toc127815763"/>
      <w:r>
        <w:rPr>
          <w:rFonts w:hint="eastAsia"/>
          <w:color w:val="auto"/>
          <w:highlight w:val="none"/>
        </w:rPr>
        <w:t>三、投标须知通用条款</w:t>
      </w:r>
      <w:bookmarkEnd w:id="8"/>
      <w:bookmarkEnd w:id="9"/>
      <w:bookmarkEnd w:id="10"/>
      <w:bookmarkEnd w:id="11"/>
      <w:bookmarkEnd w:id="12"/>
    </w:p>
    <w:p>
      <w:pPr>
        <w:pStyle w:val="9"/>
        <w:spacing w:before="156" w:beforeAutospacing="0" w:after="156" w:afterAutospacing="0"/>
        <w:rPr>
          <w:b/>
          <w:bCs/>
          <w:color w:val="auto"/>
          <w:highlight w:val="none"/>
        </w:rPr>
      </w:pPr>
      <w:bookmarkStart w:id="13" w:name="_Toc127815764"/>
      <w:bookmarkStart w:id="14" w:name="_Toc130979520"/>
      <w:bookmarkStart w:id="15" w:name="_Toc130979455"/>
      <w:r>
        <w:rPr>
          <w:rFonts w:hint="eastAsia"/>
          <w:b/>
          <w:bCs/>
          <w:color w:val="auto"/>
          <w:highlight w:val="none"/>
        </w:rPr>
        <w:t>（一）总则</w:t>
      </w:r>
      <w:bookmarkEnd w:id="13"/>
      <w:bookmarkEnd w:id="14"/>
      <w:bookmarkEnd w:id="15"/>
    </w:p>
    <w:p>
      <w:pPr>
        <w:pStyle w:val="5"/>
        <w:spacing w:after="0"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1、定义</w:t>
      </w:r>
    </w:p>
    <w:p>
      <w:pPr>
        <w:pStyle w:val="5"/>
        <w:spacing w:after="0" w:line="360" w:lineRule="auto"/>
        <w:ind w:firstLine="480" w:firstLineChars="200"/>
        <w:rPr>
          <w:rFonts w:ascii="宋体"/>
          <w:b/>
          <w:bCs/>
          <w:color w:val="auto"/>
          <w:sz w:val="24"/>
          <w:szCs w:val="24"/>
          <w:highlight w:val="none"/>
        </w:rPr>
      </w:pPr>
      <w:r>
        <w:rPr>
          <w:rFonts w:hint="eastAsia" w:ascii="宋体" w:hAnsi="宋体"/>
          <w:color w:val="auto"/>
          <w:sz w:val="24"/>
          <w:szCs w:val="24"/>
          <w:highlight w:val="none"/>
        </w:rPr>
        <w:t>本招标文件使用的下列词语具有如下规定的意义：</w:t>
      </w:r>
    </w:p>
    <w:p>
      <w:pPr>
        <w:pStyle w:val="5"/>
        <w:spacing w:after="0" w:line="360" w:lineRule="auto"/>
        <w:ind w:firstLine="480" w:firstLineChars="200"/>
        <w:rPr>
          <w:rFonts w:ascii="宋体"/>
          <w:b/>
          <w:bCs/>
          <w:color w:val="auto"/>
          <w:sz w:val="24"/>
          <w:szCs w:val="24"/>
          <w:highlight w:val="none"/>
          <w:u w:val="single"/>
        </w:rPr>
      </w:pPr>
      <w:r>
        <w:rPr>
          <w:rFonts w:hint="eastAsia" w:ascii="宋体" w:hAnsi="宋体"/>
          <w:color w:val="auto"/>
          <w:sz w:val="24"/>
          <w:szCs w:val="24"/>
          <w:highlight w:val="none"/>
        </w:rPr>
        <w:t>（1）“招标人”（即发包人）、“项目建设管理单位</w:t>
      </w:r>
      <w:r>
        <w:rPr>
          <w:rFonts w:hint="eastAsia" w:ascii="宋体"/>
          <w:color w:val="auto"/>
          <w:sz w:val="24"/>
          <w:szCs w:val="24"/>
          <w:highlight w:val="none"/>
        </w:rPr>
        <w:t>”</w:t>
      </w:r>
      <w:r>
        <w:rPr>
          <w:rFonts w:hint="eastAsia" w:ascii="宋体" w:hAnsi="宋体"/>
          <w:color w:val="auto"/>
          <w:sz w:val="24"/>
          <w:szCs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rPr>
        <w:t xml:space="preserve">（2）“投标人”指向招标人提交投标文件的当事人。   </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（3）“承包人”指其投标被招标人接受并与其签订承包合同的当事人。</w:t>
      </w:r>
    </w:p>
    <w:p>
      <w:pPr>
        <w:pStyle w:val="5"/>
        <w:spacing w:after="0"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rPr>
        <w:t>（4）“招标文件”指由招标代理发出的本文件（包括全部章节、附件）及招标答疑会会议纪要和招标文件的澄清与修改文件。</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（5）“投标文件”指投标人根据本项目招标文件向招标人提交的全部文件。</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（6）“书面形式”指打字或印刷的文件和数据电文（包括电报、电传、传真、电子数据交换和电子邮件）。</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2、招标说明</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2.2工程名称、建设地点、建设规模、承包方式、质量标准、招标范围、工期要求等均在投标须知前附表中列明。</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2.3设计说明：详见招标图纸。</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2.4工程施工特点：详见招标图纸。</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3．资金来源</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3.1本招标工程项目资金来源见投标须知前附表第9项</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4．合格投标人的条件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4.1详见本项目招标公告</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5．踏勘现场</w:t>
      </w:r>
    </w:p>
    <w:p>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5.3 经招标人允许，投标人可为踏勘目的进入招标人的项目现场。在考察过程中，投标人及其代表必须承担那些进入现场后，由于他们的行为所造成的人身伤害（不管是否致命）、财产损失或损坏，以及其他任何原因造成的损失、损坏或费用，投标人不得因此使招标人承担有关的责任和蒙受损失。</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6．投标费用</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6.1不论投标结果如何，投标人应承担自身因投标文件编制、递交及其他参加本招标活动所涉及的一切费用，招标人对上述费用不负任何责任。</w:t>
      </w:r>
    </w:p>
    <w:p>
      <w:pPr>
        <w:pStyle w:val="9"/>
        <w:spacing w:before="156" w:beforeAutospacing="0" w:after="156" w:afterAutospacing="0"/>
        <w:rPr>
          <w:b/>
          <w:bCs/>
          <w:color w:val="auto"/>
          <w:highlight w:val="none"/>
        </w:rPr>
      </w:pPr>
      <w:bookmarkStart w:id="16" w:name="_Toc130979521"/>
      <w:bookmarkStart w:id="17" w:name="_Toc130979456"/>
      <w:bookmarkStart w:id="18" w:name="_Toc127815765"/>
      <w:r>
        <w:rPr>
          <w:rFonts w:hint="eastAsia"/>
          <w:b/>
          <w:bCs/>
          <w:color w:val="auto"/>
          <w:highlight w:val="none"/>
        </w:rPr>
        <w:t>（二）招标文件</w:t>
      </w:r>
      <w:bookmarkEnd w:id="16"/>
      <w:bookmarkEnd w:id="17"/>
      <w:bookmarkEnd w:id="18"/>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7.招标文件的组成</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7.1本招标文件包括下列文件，以及所有按本须知第8条发出的招标答疑会会议纪要和按本须知第9条发出的澄清或修改：</w:t>
      </w:r>
    </w:p>
    <w:p>
      <w:pPr>
        <w:pStyle w:val="5"/>
        <w:spacing w:after="0" w:line="360" w:lineRule="auto"/>
        <w:ind w:left="-2" w:firstLine="480" w:firstLineChars="200"/>
        <w:rPr>
          <w:rFonts w:ascii="宋体"/>
          <w:color w:val="auto"/>
          <w:sz w:val="24"/>
          <w:szCs w:val="24"/>
          <w:highlight w:val="none"/>
        </w:rPr>
      </w:pPr>
      <w:r>
        <w:rPr>
          <w:rFonts w:hint="eastAsia" w:ascii="宋体" w:hAnsi="宋体"/>
          <w:color w:val="auto"/>
          <w:sz w:val="24"/>
          <w:szCs w:val="24"/>
          <w:highlight w:val="none"/>
        </w:rPr>
        <w:t>第一章  投标须知</w:t>
      </w:r>
    </w:p>
    <w:p>
      <w:pPr>
        <w:pStyle w:val="5"/>
        <w:spacing w:after="0" w:line="360" w:lineRule="auto"/>
        <w:ind w:left="-2" w:firstLine="480" w:firstLineChars="200"/>
        <w:rPr>
          <w:rFonts w:ascii="宋体"/>
          <w:color w:val="auto"/>
          <w:sz w:val="24"/>
          <w:szCs w:val="24"/>
          <w:highlight w:val="none"/>
        </w:rPr>
      </w:pPr>
      <w:r>
        <w:rPr>
          <w:rFonts w:hint="eastAsia" w:ascii="宋体" w:hAnsi="宋体"/>
          <w:color w:val="auto"/>
          <w:sz w:val="24"/>
          <w:szCs w:val="24"/>
          <w:highlight w:val="none"/>
        </w:rPr>
        <w:t>第二章  开标、评标及定标办法</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第三章  合同条款</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第四章  投标文件格式</w:t>
      </w:r>
    </w:p>
    <w:p>
      <w:pPr>
        <w:pStyle w:val="5"/>
        <w:spacing w:after="0" w:line="360" w:lineRule="auto"/>
        <w:ind w:left="-2" w:firstLine="480" w:firstLineChars="200"/>
        <w:rPr>
          <w:rFonts w:ascii="宋体"/>
          <w:color w:val="auto"/>
          <w:sz w:val="24"/>
          <w:szCs w:val="24"/>
          <w:highlight w:val="none"/>
        </w:rPr>
      </w:pPr>
      <w:r>
        <w:rPr>
          <w:rFonts w:hint="eastAsia" w:ascii="宋体" w:hAnsi="宋体"/>
          <w:color w:val="auto"/>
          <w:sz w:val="24"/>
          <w:szCs w:val="24"/>
          <w:highlight w:val="none"/>
        </w:rPr>
        <w:t>第五章  技术条件（工程建设标准）（另册）</w:t>
      </w:r>
    </w:p>
    <w:p>
      <w:pPr>
        <w:pStyle w:val="5"/>
        <w:spacing w:after="0" w:line="360" w:lineRule="auto"/>
        <w:ind w:left="-2" w:firstLine="480" w:firstLineChars="200"/>
        <w:rPr>
          <w:rFonts w:ascii="宋体"/>
          <w:color w:val="auto"/>
          <w:sz w:val="24"/>
          <w:szCs w:val="24"/>
          <w:highlight w:val="none"/>
        </w:rPr>
      </w:pPr>
      <w:r>
        <w:rPr>
          <w:rFonts w:hint="eastAsia" w:ascii="宋体" w:hAnsi="宋体"/>
          <w:color w:val="auto"/>
          <w:sz w:val="24"/>
          <w:szCs w:val="24"/>
          <w:highlight w:val="none"/>
        </w:rPr>
        <w:t>第六章  图纸及勘察资料（另册）</w:t>
      </w:r>
    </w:p>
    <w:p>
      <w:pPr>
        <w:pStyle w:val="5"/>
        <w:spacing w:after="0" w:line="360" w:lineRule="auto"/>
        <w:ind w:left="-2" w:firstLine="480" w:firstLineChars="200"/>
        <w:rPr>
          <w:rFonts w:ascii="宋体"/>
          <w:color w:val="auto"/>
          <w:sz w:val="24"/>
          <w:szCs w:val="24"/>
          <w:highlight w:val="none"/>
        </w:rPr>
      </w:pPr>
      <w:r>
        <w:rPr>
          <w:rFonts w:hint="eastAsia" w:ascii="宋体" w:hAnsi="宋体"/>
          <w:color w:val="auto"/>
          <w:sz w:val="24"/>
          <w:szCs w:val="24"/>
          <w:highlight w:val="none"/>
        </w:rPr>
        <w:t>第七章  招标工程量清单（另册）</w:t>
      </w:r>
    </w:p>
    <w:p>
      <w:pPr>
        <w:pStyle w:val="5"/>
        <w:spacing w:after="0" w:line="360" w:lineRule="auto"/>
        <w:ind w:left="-2" w:firstLine="480" w:firstLineChars="200"/>
        <w:rPr>
          <w:rFonts w:ascii="宋体" w:hAnsi="宋体"/>
          <w:color w:val="auto"/>
          <w:sz w:val="24"/>
          <w:szCs w:val="24"/>
          <w:highlight w:val="none"/>
        </w:rPr>
      </w:pPr>
      <w:r>
        <w:rPr>
          <w:rFonts w:hint="eastAsia" w:ascii="宋体" w:hAnsi="宋体"/>
          <w:color w:val="auto"/>
          <w:sz w:val="24"/>
          <w:szCs w:val="24"/>
          <w:highlight w:val="none"/>
        </w:rPr>
        <w:t>第八章  最高投标限价</w:t>
      </w:r>
    </w:p>
    <w:p>
      <w:pPr>
        <w:pStyle w:val="5"/>
        <w:spacing w:line="360" w:lineRule="auto"/>
        <w:ind w:left="-2" w:firstLine="482" w:firstLineChars="200"/>
        <w:rPr>
          <w:rFonts w:ascii="宋体"/>
          <w:color w:val="auto"/>
          <w:sz w:val="24"/>
          <w:szCs w:val="24"/>
          <w:highlight w:val="none"/>
        </w:rPr>
      </w:pPr>
      <w:r>
        <w:rPr>
          <w:rFonts w:hint="eastAsia" w:ascii="宋体"/>
          <w:b/>
          <w:bCs/>
          <w:color w:val="auto"/>
          <w:sz w:val="24"/>
          <w:szCs w:val="24"/>
          <w:highlight w:val="none"/>
        </w:rPr>
        <w:t>注：招标人应在技术条件（工程建设标准）中明确施工现场建筑垃圾源头减量的具体要求和建筑垃圾综合利用产品的使用要求。</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7.3 投标人一旦中标，招标文件的内容对招标人和中标人双方均有约束力。</w:t>
      </w:r>
    </w:p>
    <w:p>
      <w:pPr>
        <w:pStyle w:val="5"/>
        <w:spacing w:after="0"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8．招标答疑</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8.1 投标人若对招标文件（包括招标图纸）中有疑问，可以书面形式通过交易平台提交给招标人或招标代理人，提交形式见本须知前附表第16项。</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8.2招标答疑会会议纪要将在提交投标文件截止时间</w:t>
      </w:r>
      <w:r>
        <w:rPr>
          <w:rFonts w:hint="eastAsia" w:ascii="宋体"/>
          <w:color w:val="auto"/>
          <w:sz w:val="24"/>
          <w:szCs w:val="24"/>
          <w:highlight w:val="none"/>
        </w:rPr>
        <w:t>15日前在</w:t>
      </w:r>
      <w:r>
        <w:rPr>
          <w:rFonts w:hint="eastAsia" w:ascii="宋体" w:hAnsi="宋体"/>
          <w:color w:val="auto"/>
          <w:sz w:val="24"/>
          <w:szCs w:val="24"/>
          <w:highlight w:val="none"/>
        </w:rPr>
        <w:t>交易平台</w:t>
      </w:r>
      <w:r>
        <w:rPr>
          <w:rFonts w:hint="eastAsia" w:ascii="宋体"/>
          <w:color w:val="auto"/>
          <w:sz w:val="24"/>
          <w:szCs w:val="24"/>
          <w:highlight w:val="none"/>
        </w:rPr>
        <w:t xml:space="preserve"> “项目答疑纪要”专区公开发布。答疑纪要一经在</w:t>
      </w:r>
      <w:r>
        <w:rPr>
          <w:rFonts w:hint="eastAsia" w:ascii="宋体" w:hAnsi="宋体"/>
          <w:color w:val="auto"/>
          <w:sz w:val="24"/>
          <w:szCs w:val="24"/>
          <w:highlight w:val="none"/>
        </w:rPr>
        <w:t>交易平台发布，视作已发放给所有投标人。</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8.3答疑会会议纪要为招标文件的一部分。</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8.4若招标答疑会会议纪要与招标文件有矛盾，以答疑会议纪要最后发出的书面形式的文件为准。</w:t>
      </w:r>
    </w:p>
    <w:p>
      <w:pPr>
        <w:pStyle w:val="5"/>
        <w:spacing w:after="0"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9.招标文件的澄清与修改</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9.1招标文件发出后</w:t>
      </w:r>
      <w:r>
        <w:rPr>
          <w:rFonts w:hint="eastAsia" w:ascii="宋体"/>
          <w:color w:val="auto"/>
          <w:sz w:val="24"/>
          <w:szCs w:val="24"/>
          <w:highlight w:val="none"/>
        </w:rPr>
        <w:t>,</w:t>
      </w:r>
      <w:r>
        <w:rPr>
          <w:rFonts w:hint="eastAsia" w:ascii="宋体" w:hAnsi="宋体"/>
          <w:color w:val="auto"/>
          <w:sz w:val="24"/>
          <w:szCs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9.2招标文件的澄清或修改将在交易平台</w:t>
      </w:r>
      <w:r>
        <w:rPr>
          <w:rFonts w:hint="eastAsia" w:ascii="宋体"/>
          <w:color w:val="auto"/>
          <w:sz w:val="24"/>
          <w:szCs w:val="24"/>
          <w:highlight w:val="none"/>
        </w:rPr>
        <w:t>“项目答疑纪要”专区公开发布。答疑纪要一经在</w:t>
      </w:r>
      <w:r>
        <w:rPr>
          <w:rFonts w:hint="eastAsia" w:ascii="宋体" w:hAnsi="宋体"/>
          <w:color w:val="auto"/>
          <w:sz w:val="24"/>
          <w:szCs w:val="24"/>
          <w:highlight w:val="none"/>
        </w:rPr>
        <w:t>交易平台发布，视作已发放给所有投标人，以交易平台上网发布时间作为送达时间。</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9.3招标文件的修改内容为招标文件的组成部分。</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9.4招标文件的澄清或修改均以书面形式明确的内容为准。当招标文件的澄清、修改、补充等在同一内容的表述不一致时，以最后发出的书面形式的文件为准。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9"/>
        <w:spacing w:before="156" w:beforeAutospacing="0" w:after="156" w:afterAutospacing="0"/>
        <w:rPr>
          <w:b/>
          <w:bCs/>
          <w:color w:val="auto"/>
          <w:highlight w:val="none"/>
        </w:rPr>
      </w:pPr>
      <w:bookmarkStart w:id="19" w:name="_Toc127815766"/>
      <w:bookmarkStart w:id="20" w:name="_Toc130979457"/>
      <w:bookmarkStart w:id="21" w:name="_Toc130979522"/>
      <w:r>
        <w:rPr>
          <w:rFonts w:hint="eastAsia"/>
          <w:b/>
          <w:bCs/>
          <w:color w:val="auto"/>
          <w:highlight w:val="none"/>
        </w:rPr>
        <w:t>（三）投标文件的编制</w:t>
      </w:r>
      <w:bookmarkEnd w:id="19"/>
      <w:bookmarkEnd w:id="20"/>
      <w:bookmarkEnd w:id="21"/>
    </w:p>
    <w:p>
      <w:pPr>
        <w:pStyle w:val="5"/>
        <w:spacing w:after="0"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10．投标文件的语言及度量衡单位</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10.1 投标文件和与投标有关的所有文件均应使用中文。</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10.2 除工程规范另有规定外，投标文件使用的度量衡单位，均采用中华人民共和国法定计量单位。</w:t>
      </w:r>
    </w:p>
    <w:p>
      <w:pPr>
        <w:pStyle w:val="5"/>
        <w:spacing w:after="0"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11．投标文件的组成</w:t>
      </w:r>
    </w:p>
    <w:p>
      <w:pPr>
        <w:pStyle w:val="5"/>
        <w:spacing w:after="0" w:line="360" w:lineRule="auto"/>
        <w:ind w:firstLine="480" w:firstLineChars="200"/>
        <w:rPr>
          <w:rFonts w:ascii="宋体"/>
          <w:b/>
          <w:bCs/>
          <w:color w:val="auto"/>
          <w:sz w:val="24"/>
          <w:szCs w:val="24"/>
          <w:highlight w:val="none"/>
        </w:rPr>
      </w:pPr>
      <w:r>
        <w:rPr>
          <w:rFonts w:hint="eastAsia" w:ascii="宋体" w:hAnsi="宋体"/>
          <w:color w:val="auto"/>
          <w:sz w:val="24"/>
          <w:szCs w:val="24"/>
          <w:highlight w:val="none"/>
        </w:rPr>
        <w:t>11.1 投标文件由技术部分（含资格审查文件）和经济部分二部分投标文件组成</w:t>
      </w:r>
      <w:r>
        <w:rPr>
          <w:rFonts w:hint="eastAsia" w:ascii="宋体" w:hAnsi="宋体"/>
          <w:b/>
          <w:bCs/>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11.2投标文件技术标部分主要包括下列内容:</w:t>
      </w:r>
    </w:p>
    <w:p>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11.2.1 技术投标文件</w:t>
      </w:r>
      <w:r>
        <w:rPr>
          <w:rFonts w:hint="eastAsia" w:ascii="宋体" w:hAnsi="宋体"/>
          <w:color w:val="auto"/>
          <w:sz w:val="24"/>
          <w:szCs w:val="24"/>
          <w:highlight w:val="none"/>
        </w:rPr>
        <w:t>(按招标文件的要求填写)；</w:t>
      </w:r>
    </w:p>
    <w:p>
      <w:pPr>
        <w:spacing w:line="360" w:lineRule="auto"/>
        <w:ind w:firstLine="480" w:firstLineChars="200"/>
        <w:rPr>
          <w:rFonts w:ascii="宋体"/>
          <w:color w:val="auto"/>
          <w:sz w:val="24"/>
          <w:szCs w:val="24"/>
          <w:highlight w:val="none"/>
        </w:rPr>
      </w:pPr>
      <w:r>
        <w:rPr>
          <w:rFonts w:hint="eastAsia" w:ascii="宋体"/>
          <w:color w:val="auto"/>
          <w:sz w:val="24"/>
          <w:szCs w:val="24"/>
          <w:highlight w:val="none"/>
        </w:rPr>
        <w:t>11.2.2 资格审查文件：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color w:val="auto"/>
          <w:sz w:val="24"/>
          <w:szCs w:val="24"/>
          <w:highlight w:val="none"/>
        </w:rPr>
        <w:t xml:space="preserve">1）投标人声明； </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color w:val="auto"/>
          <w:sz w:val="24"/>
          <w:szCs w:val="24"/>
          <w:highlight w:val="none"/>
        </w:rPr>
        <w:t>2）法定代表人证明书、法定代表人签字或盖章的本投标文件授权委托证明书；</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color w:val="auto"/>
          <w:sz w:val="24"/>
          <w:szCs w:val="24"/>
          <w:highlight w:val="none"/>
        </w:rPr>
        <w:t>3）企业营业执照（取自平台内上传件）；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color w:val="auto"/>
          <w:sz w:val="24"/>
          <w:szCs w:val="24"/>
          <w:highlight w:val="none"/>
        </w:rPr>
        <w:t>4）企业资质证书（取自平台内上传件）；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color w:val="auto"/>
          <w:sz w:val="24"/>
          <w:szCs w:val="24"/>
          <w:highlight w:val="none"/>
        </w:rPr>
        <w:t>5）建筑施工企业安全生产许可证（取自平台内上传件）；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color w:val="auto"/>
          <w:sz w:val="24"/>
          <w:szCs w:val="24"/>
          <w:highlight w:val="none"/>
        </w:rPr>
        <w:t>6）</w:t>
      </w:r>
      <w:r>
        <w:rPr>
          <w:rFonts w:hint="eastAsia" w:ascii="宋体" w:hAnsi="宋体"/>
          <w:color w:val="auto"/>
          <w:sz w:val="24"/>
          <w:szCs w:val="24"/>
          <w:highlight w:val="none"/>
        </w:rPr>
        <w:t>项目负责人（按网上投标登记时选择拟投标的项目负责人）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（7）专职安全员（按网上投标登记时选择拟投标的专职安全员）</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color w:val="auto"/>
          <w:sz w:val="24"/>
          <w:szCs w:val="24"/>
          <w:highlight w:val="none"/>
        </w:rPr>
        <w:t>8）拟委托技术负责人的相关证书、资料（具体要求由招标人明确）</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color w:val="auto"/>
          <w:sz w:val="24"/>
          <w:szCs w:val="24"/>
          <w:highlight w:val="none"/>
        </w:rPr>
        <w:t xml:space="preserve">9）拟委派项目负责人的建造师注册证书或小型项目负责人相关证明（取自平台内上传件）； </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color w:val="auto"/>
          <w:sz w:val="24"/>
          <w:szCs w:val="24"/>
          <w:highlight w:val="none"/>
        </w:rPr>
        <w:t>10）项目负责人安全培训考核合格证明或在有效期内的安全考核合格证书（B类）或建筑施工企业项目负责人安全生产考核合格证书（取自平台内上传件）</w:t>
      </w:r>
      <w:r>
        <w:rPr>
          <w:rFonts w:hint="eastAsia" w:ascii="宋体" w:hAnsi="宋体"/>
          <w:color w:val="auto"/>
          <w:sz w:val="24"/>
          <w:szCs w:val="24"/>
          <w:highlight w:val="none"/>
        </w:rPr>
        <w:t>；</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color w:val="auto"/>
          <w:sz w:val="24"/>
          <w:szCs w:val="24"/>
          <w:highlight w:val="none"/>
        </w:rPr>
        <w:t>11）专职安全员须具有在有效期内的安全考核合格证书（C类）或建筑施工企业专职安全生产管理人员安全生产考核合格证书</w:t>
      </w:r>
      <w:r>
        <w:rPr>
          <w:rFonts w:hint="eastAsia" w:ascii="宋体" w:hAnsi="宋体"/>
          <w:color w:val="auto"/>
          <w:sz w:val="24"/>
          <w:szCs w:val="24"/>
          <w:highlight w:val="none"/>
        </w:rPr>
        <w:t>（取自平台内上传件）；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color w:val="auto"/>
          <w:sz w:val="24"/>
          <w:szCs w:val="24"/>
          <w:highlight w:val="none"/>
        </w:rPr>
        <w:t>12）</w:t>
      </w:r>
      <w:r>
        <w:rPr>
          <w:rFonts w:hint="eastAsia" w:ascii="宋体" w:hAnsi="宋体"/>
          <w:color w:val="auto"/>
          <w:sz w:val="24"/>
          <w:szCs w:val="24"/>
          <w:highlight w:val="none"/>
        </w:rPr>
        <w:t>用于资格审查的业绩（设置业绩要求时选择此项，投标人须提供类似工程业绩的项目名称及项目编号，具体格式由招标人自定）；</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w:t>
      </w:r>
      <w:r>
        <w:rPr>
          <w:rFonts w:hint="eastAsia" w:ascii="宋体"/>
          <w:color w:val="auto"/>
          <w:sz w:val="24"/>
          <w:szCs w:val="24"/>
          <w:highlight w:val="none"/>
        </w:rPr>
        <w:t>13）资格审查前，投标人须在广州市住房和城乡建设局建立企业</w:t>
      </w:r>
      <w:r>
        <w:rPr>
          <w:rFonts w:hint="eastAsia" w:ascii="宋体" w:hAnsi="宋体"/>
          <w:color w:val="auto"/>
          <w:sz w:val="24"/>
          <w:szCs w:val="24"/>
          <w:highlight w:val="none"/>
        </w:rPr>
        <w:t>信用档案，拟担任本工程项目负责人、专职安全员须是本企业信用档案中的在册人员。</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11.2.3项目管理机构配备。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（1）投标人应列出该项目工程的施工组织机构构成和画出机构框架图及其负责人；</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（3）其他辅助说明资料。</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11.2.4投标人在广州市可使用适合本工程的机械设备（附：机械设备为自有或租赁的说明；及承诺机械设备如属于租赁的，其租赁是不属于重复租赁）。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11.2.5施工组织设计或施工方案。</w:t>
      </w:r>
      <w:r>
        <w:rPr>
          <w:rFonts w:hint="eastAsia" w:ascii="宋体" w:hAnsi="宋体"/>
          <w:bCs/>
          <w:color w:val="auto"/>
          <w:sz w:val="24"/>
          <w:szCs w:val="24"/>
          <w:highlight w:val="none"/>
        </w:rPr>
        <w:t>（</w:t>
      </w:r>
      <w:r>
        <w:rPr>
          <w:rFonts w:hint="eastAsia" w:ascii="宋体" w:hAnsi="宋体"/>
          <w:b/>
          <w:bCs/>
          <w:color w:val="auto"/>
          <w:sz w:val="24"/>
          <w:szCs w:val="24"/>
          <w:highlight w:val="none"/>
        </w:rPr>
        <w:t>投标人在编制施工组织设计或施工方案时应按照招标人提出的施工现场建筑垃圾源头减量的具体要求以及建筑垃圾综合利用产品的使用要求提供相应措施。</w:t>
      </w:r>
      <w:r>
        <w:rPr>
          <w:rFonts w:hint="eastAsia" w:ascii="宋体" w:hAnsi="宋体"/>
          <w:bCs/>
          <w:color w:val="auto"/>
          <w:sz w:val="24"/>
          <w:szCs w:val="24"/>
          <w:highlight w:val="none"/>
        </w:rPr>
        <w:t>）</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11.2.6按照招标文件要求填写的《参与编制技术标投标文件人员名单》。</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11.3 经济部分投标文件主要包括下列内容：</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11.3.1 经济投标文件(按招标文件的要求填写)。</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（2）总说明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（17）人工、主要材料和设备一览表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11.3.3按照招标文件要求填写的《参与编制经济标投标文件人员名单》。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12．投标文件格式</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12.1 投标文件包括本须知第11条中规定的内容，投标人提交的投标文件应当使用招标文件所提供的投标文件全部格式（表格可以按同样格式扩展）。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12.3 投标文件应按照交易平台关于全流程电子化项目的相关指南进行编制，详见：。               </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13．投标报价及造价承包和变更结算方式</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13.1 本工程的投标报价采用投标须知前附表第12项所规定的方式。投标报价（含单价及总价）精确到“分”。</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13.5.1中标的投标文件工程量清单中已有相同项目的适用综合单价，则沿用；</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13.5.3 中标的投标文件工程量清单中没有相同项目或类似项目的，如可套取相关定额，则以相关定额为基数下浮计算单价</w:t>
      </w:r>
      <w:r>
        <w:rPr>
          <w:rFonts w:hint="eastAsia" w:ascii="宋体"/>
          <w:color w:val="auto"/>
          <w:sz w:val="24"/>
          <w:szCs w:val="24"/>
          <w:highlight w:val="none"/>
        </w:rPr>
        <w:t>,</w:t>
      </w:r>
      <w:r>
        <w:rPr>
          <w:rFonts w:hint="eastAsia" w:ascii="宋体" w:hAnsi="宋体"/>
          <w:color w:val="auto"/>
          <w:sz w:val="24"/>
          <w:szCs w:val="24"/>
          <w:highlight w:val="none"/>
        </w:rPr>
        <w:t>下浮率为中标价相对于最高投标限价的下浮率（下浮率=(最高投标限价</w:t>
      </w:r>
      <w:r>
        <w:rPr>
          <w:rFonts w:hint="eastAsia" w:ascii="宋体"/>
          <w:color w:val="auto"/>
          <w:sz w:val="24"/>
          <w:szCs w:val="24"/>
          <w:highlight w:val="none"/>
        </w:rPr>
        <w:t>-</w:t>
      </w:r>
      <w:r>
        <w:rPr>
          <w:rFonts w:hint="eastAsia" w:ascii="宋体" w:hAnsi="宋体"/>
          <w:color w:val="auto"/>
          <w:sz w:val="24"/>
          <w:szCs w:val="24"/>
          <w:highlight w:val="none"/>
        </w:rPr>
        <w:t>中标价)/ 最高投标限价）。</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13.5.4 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13.6暂列金额、暂估价</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13.8属于承包人自行采购的主要材料、设备，招标人应当在招标文件中提出材料、设备的技术标准或者质量要求，或者提出不少于3个同等档次品牌或分包商供投标人报价时选择</w:t>
      </w:r>
      <w:r>
        <w:rPr>
          <w:rFonts w:hint="eastAsia" w:ascii="宋体"/>
          <w:color w:val="auto"/>
          <w:sz w:val="24"/>
          <w:szCs w:val="24"/>
          <w:highlight w:val="none"/>
        </w:rPr>
        <w:t>,</w:t>
      </w:r>
      <w:r>
        <w:rPr>
          <w:rFonts w:hint="eastAsia" w:ascii="宋体" w:hAnsi="宋体"/>
          <w:color w:val="auto"/>
          <w:sz w:val="24"/>
          <w:szCs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14．投标货币</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14.1 本工程投标报价采用的币种为人民币。</w:t>
      </w:r>
    </w:p>
    <w:p>
      <w:pPr>
        <w:pStyle w:val="5"/>
        <w:spacing w:after="0" w:line="360" w:lineRule="auto"/>
        <w:ind w:firstLine="482" w:firstLineChars="200"/>
        <w:rPr>
          <w:rFonts w:ascii="宋体"/>
          <w:color w:val="auto"/>
          <w:sz w:val="24"/>
          <w:szCs w:val="24"/>
          <w:highlight w:val="none"/>
        </w:rPr>
      </w:pPr>
      <w:r>
        <w:rPr>
          <w:rFonts w:hint="eastAsia" w:ascii="宋体" w:hAnsi="宋体"/>
          <w:b/>
          <w:bCs/>
          <w:color w:val="auto"/>
          <w:sz w:val="24"/>
          <w:szCs w:val="24"/>
          <w:highlight w:val="none"/>
        </w:rPr>
        <w:t>15．投标有效期</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15.1 投标有效期见投标须知前附表第13项所规定的期限，在此期限内，凡符合本招标文件要求的投标文件均保持有效。</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5"/>
        <w:spacing w:after="0"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16．投标保证金</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16.3投标保证金应依据法律法规的相关规定退还。</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16.4.1因投标人原因造成投标文件未解密的；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16.4.2投标人在投标有效期内撤销投标文件；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16.4.3中标人未能在规定期限内按要求提交履约担保；</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16.4.4中标人未能在规定期限内签署合同协议。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16.5.3按招标文件要求免于提供投标保证金的投标人存在16.4条款所列情形的。</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注：16.5.3款由招标人二选一，需在招标文件中明确。</w:t>
      </w:r>
    </w:p>
    <w:p>
      <w:pPr>
        <w:pStyle w:val="5"/>
        <w:spacing w:after="0"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17．投标文件的签署</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pPr>
        <w:pStyle w:val="9"/>
        <w:spacing w:before="156" w:beforeAutospacing="0" w:after="156" w:afterAutospacing="0"/>
        <w:rPr>
          <w:b/>
          <w:bCs/>
          <w:color w:val="auto"/>
          <w:highlight w:val="none"/>
        </w:rPr>
      </w:pPr>
      <w:bookmarkStart w:id="22" w:name="_Toc130979458"/>
      <w:bookmarkStart w:id="23" w:name="_Toc127815767"/>
      <w:bookmarkStart w:id="24" w:name="_Toc130979523"/>
      <w:r>
        <w:rPr>
          <w:rFonts w:hint="eastAsia"/>
          <w:b/>
          <w:bCs/>
          <w:color w:val="auto"/>
          <w:highlight w:val="none"/>
        </w:rPr>
        <w:t>（四）投标文件的提交</w:t>
      </w:r>
      <w:bookmarkEnd w:id="22"/>
      <w:bookmarkEnd w:id="23"/>
      <w:bookmarkEnd w:id="24"/>
    </w:p>
    <w:p>
      <w:pPr>
        <w:pStyle w:val="5"/>
        <w:spacing w:after="0"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18．投标文件的密封和标记</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18.1递交的电子投标文件（不含备用光盘）必须进行加密。按照交易平台关于全流程电子化项目的相关指南进行操作。详见：。</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18.2未按要求加密的投标文件，交易平台将予以拒收。</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19．投标文件的递交和接收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19.1投标人通过交易平台递交电子投标文件。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19.2投标人完成电子投标文件上传后，交易平台即时向投标人发出递交回执通知。递交时间以递交回执通知载明的传输完成时间为准。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19.3逾期送达的电子投标文件，交易平台将予以拒收。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19.4 投标截止前，招标人拒绝接收符合条件的投标文件，投标人可向招标投标监督机构投诉。</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19.5如技术标和经济标先后分别开启，交易平台将按招标文件规定的时间分别开启技术标和经济标。</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20．投标文件提交的截止时间</w:t>
      </w:r>
    </w:p>
    <w:p>
      <w:pPr>
        <w:spacing w:line="360" w:lineRule="auto"/>
        <w:ind w:firstLine="480" w:firstLineChars="200"/>
        <w:rPr>
          <w:rFonts w:ascii="宋体"/>
          <w:b/>
          <w:bCs/>
          <w:color w:val="auto"/>
          <w:sz w:val="24"/>
          <w:szCs w:val="24"/>
          <w:highlight w:val="none"/>
        </w:rPr>
      </w:pPr>
      <w:r>
        <w:rPr>
          <w:rFonts w:hint="eastAsia" w:ascii="宋体" w:hAnsi="宋体"/>
          <w:color w:val="auto"/>
          <w:sz w:val="24"/>
          <w:szCs w:val="24"/>
          <w:highlight w:val="none"/>
        </w:rPr>
        <w:t>20.1投标人应在投标须知前附表第17项所述的时间前提交投标文件。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20.3 到投标截止时间止，招标人收到的投标文件少于3家的，招标人将重新组织招标（当N个标段同时招标且不允许兼中时，若有效投标人不足N+2家，则重新组织招标）。</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21．迟交的投标文件</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21.1 本须知前附表第17项规定的投标截止时间后送达的电子投标文件，交易平台将予以拒收。</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22．投标文件的修改与撤回</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22.1在规定的投标截止时间前，投标人可以修改或撤回已递交的投标文件，但应以书面形式通知招标人。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22.2</w:t>
      </w:r>
      <w:r>
        <w:rPr>
          <w:rFonts w:ascii="宋体" w:hAnsi="宋体"/>
          <w:color w:val="auto"/>
          <w:sz w:val="24"/>
          <w:szCs w:val="24"/>
          <w:highlight w:val="none"/>
        </w:rPr>
        <w:t>投标人修改或撤回已递交</w:t>
      </w:r>
      <w:r>
        <w:rPr>
          <w:rFonts w:hint="eastAsia" w:ascii="宋体" w:hAnsi="宋体"/>
          <w:color w:val="auto"/>
          <w:sz w:val="24"/>
          <w:szCs w:val="24"/>
          <w:highlight w:val="none"/>
        </w:rPr>
        <w:t>的</w:t>
      </w:r>
      <w:r>
        <w:rPr>
          <w:rFonts w:ascii="宋体" w:hAnsi="宋体"/>
          <w:color w:val="auto"/>
          <w:sz w:val="24"/>
          <w:szCs w:val="24"/>
          <w:highlight w:val="none"/>
        </w:rPr>
        <w:t>投标文件</w:t>
      </w:r>
      <w:r>
        <w:rPr>
          <w:rFonts w:hint="eastAsia" w:ascii="宋体" w:hAnsi="宋体"/>
          <w:color w:val="auto"/>
          <w:sz w:val="24"/>
          <w:szCs w:val="24"/>
          <w:highlight w:val="none"/>
        </w:rPr>
        <w:t>，需在交易平台发出修改或撤回</w:t>
      </w:r>
      <w:r>
        <w:rPr>
          <w:rFonts w:ascii="宋体" w:hAnsi="宋体"/>
          <w:color w:val="auto"/>
          <w:sz w:val="24"/>
          <w:szCs w:val="24"/>
          <w:highlight w:val="none"/>
        </w:rPr>
        <w:t>通知，</w:t>
      </w:r>
      <w:r>
        <w:rPr>
          <w:rFonts w:hint="eastAsia" w:ascii="宋体" w:hAnsi="宋体"/>
          <w:color w:val="auto"/>
          <w:sz w:val="24"/>
          <w:szCs w:val="24"/>
          <w:highlight w:val="none"/>
        </w:rPr>
        <w:t>并按</w:t>
      </w:r>
      <w:r>
        <w:rPr>
          <w:rFonts w:ascii="宋体" w:hAnsi="宋体"/>
          <w:color w:val="auto"/>
          <w:sz w:val="24"/>
          <w:szCs w:val="24"/>
          <w:highlight w:val="none"/>
        </w:rPr>
        <w:t>要求加盖电子印章。电子招标投标交易平台收到通知后，即时向投标人发出确认回执通知。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22.3修改后再次递交的，按</w:t>
      </w:r>
      <w:r>
        <w:rPr>
          <w:rFonts w:hint="eastAsia"/>
          <w:color w:val="auto"/>
          <w:sz w:val="24"/>
          <w:szCs w:val="24"/>
          <w:highlight w:val="none"/>
        </w:rPr>
        <w:t>19</w:t>
      </w:r>
      <w:r>
        <w:rPr>
          <w:rFonts w:hint="eastAsia" w:ascii="宋体" w:hAnsi="宋体"/>
          <w:color w:val="auto"/>
          <w:sz w:val="24"/>
          <w:szCs w:val="24"/>
          <w:highlight w:val="none"/>
        </w:rPr>
        <w:t>点的规定执行。</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22.4 在投标截止时间之后，投标人不得补充、修改和更换投标文件。</w:t>
      </w:r>
    </w:p>
    <w:p>
      <w:pPr>
        <w:pStyle w:val="9"/>
        <w:spacing w:before="156" w:beforeAutospacing="0" w:after="156" w:afterAutospacing="0"/>
        <w:rPr>
          <w:b/>
          <w:bCs/>
          <w:color w:val="auto"/>
          <w:highlight w:val="none"/>
        </w:rPr>
      </w:pPr>
      <w:bookmarkStart w:id="25" w:name="_Toc130979459"/>
      <w:bookmarkStart w:id="26" w:name="_Toc130979524"/>
      <w:bookmarkStart w:id="27" w:name="_Toc127815768"/>
      <w:r>
        <w:rPr>
          <w:rFonts w:hint="eastAsia"/>
          <w:b/>
          <w:bCs/>
          <w:color w:val="auto"/>
          <w:highlight w:val="none"/>
        </w:rPr>
        <w:t>（五）开标、评标、定标及合同签定</w:t>
      </w:r>
      <w:bookmarkEnd w:id="25"/>
      <w:bookmarkEnd w:id="26"/>
      <w:bookmarkEnd w:id="27"/>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23、开标。</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详见第二章开标、评标及定标办法</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24．评标过程的保密</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25．投标文件的澄清，计算错误的修正</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详见招标文件第二章开标、评标及定标办法</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26．投标文件的评审、比较和否决</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详见招标文件第二章开标、评标及定标办法。</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27．中标通知书</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27.1招标人将在交易平台、广东省招标投标监管网和中国招标投标公共服务平台公示中标候选人，公示期为三天。</w:t>
      </w:r>
    </w:p>
    <w:p>
      <w:pPr>
        <w:spacing w:line="360" w:lineRule="auto"/>
        <w:ind w:firstLine="480" w:firstLineChars="200"/>
        <w:rPr>
          <w:rFonts w:ascii="仿宋_GB2312" w:hAnsi="宋体" w:eastAsia="仿宋_GB2312"/>
          <w:color w:val="auto"/>
          <w:sz w:val="24"/>
          <w:szCs w:val="24"/>
          <w:highlight w:val="none"/>
        </w:rPr>
      </w:pPr>
      <w:r>
        <w:rPr>
          <w:rFonts w:hint="eastAsia" w:ascii="宋体" w:hAnsi="宋体"/>
          <w:color w:val="auto"/>
          <w:sz w:val="24"/>
          <w:szCs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27.3中标人必须在收到中标通知书后24小时之内以书面形式回复招标人，确认收到。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27.4在产生中标候选人后，招标人将中标候选人的投标文件商务部分文件的所有内容（包括报价清单、人员、业绩、奖项等资料）在交易平台和广东省招标投标监管网公开。</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28．合同协议书的签订</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28.4招标人支付工程款时，中标人应按规定开具发票。</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29．履约担保</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29.1 在收到中标通知书后的</w:t>
      </w:r>
      <w:r>
        <w:rPr>
          <w:rFonts w:hint="eastAsia" w:ascii="宋体" w:hAnsi="宋体"/>
          <w:b/>
          <w:bCs/>
          <w:color w:val="auto"/>
          <w:sz w:val="24"/>
          <w:szCs w:val="24"/>
          <w:highlight w:val="none"/>
        </w:rPr>
        <w:t>15日</w:t>
      </w:r>
      <w:r>
        <w:rPr>
          <w:rFonts w:hint="eastAsia" w:ascii="宋体" w:hAnsi="宋体"/>
          <w:color w:val="auto"/>
          <w:sz w:val="24"/>
          <w:szCs w:val="24"/>
          <w:highlight w:val="none"/>
        </w:rPr>
        <w:t>内，中标人应按本须知前附表第20项的规定向招标人提交履约担保。</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30．合同生效</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30.1在合同双方全权代表在合同协议书上签字，并分别加盖双方单位的公章后，合同正式生效。</w:t>
      </w:r>
    </w:p>
    <w:p>
      <w:pPr>
        <w:spacing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31．其它费用</w:t>
      </w:r>
    </w:p>
    <w:p>
      <w:pPr>
        <w:pStyle w:val="5"/>
        <w:spacing w:after="0" w:line="360" w:lineRule="auto"/>
        <w:ind w:firstLine="482" w:firstLineChars="200"/>
        <w:rPr>
          <w:rFonts w:ascii="宋体"/>
          <w:b/>
          <w:bCs/>
          <w:color w:val="auto"/>
          <w:sz w:val="24"/>
          <w:szCs w:val="24"/>
          <w:highlight w:val="none"/>
        </w:rPr>
      </w:pPr>
      <w:r>
        <w:rPr>
          <w:rFonts w:hint="eastAsia" w:ascii="宋体" w:hAnsi="宋体"/>
          <w:b/>
          <w:bCs/>
          <w:color w:val="auto"/>
          <w:sz w:val="24"/>
          <w:szCs w:val="24"/>
          <w:highlight w:val="none"/>
        </w:rPr>
        <w:t>32．腐败与欺诈行为</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32．1对本条款的规定，特定义如下词汇：</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1）、“腐败行为”是指在招标或合同执行期间，通过提供、给予、接受或索要任何有价值的东西，从而影响招标人有关人员工作的行为；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32．2如果投标人被认定在本招标的竞争中有腐败或欺诈行为，则会被取消投标资格。</w:t>
      </w:r>
    </w:p>
    <w:p>
      <w:pPr>
        <w:pStyle w:val="5"/>
        <w:spacing w:after="0" w:line="360" w:lineRule="auto"/>
        <w:ind w:firstLine="480" w:firstLineChars="200"/>
        <w:rPr>
          <w:rFonts w:ascii="宋体"/>
          <w:b/>
          <w:bCs/>
          <w:color w:val="auto"/>
          <w:sz w:val="24"/>
          <w:szCs w:val="24"/>
          <w:highlight w:val="none"/>
        </w:rPr>
      </w:pPr>
      <w:r>
        <w:rPr>
          <w:rFonts w:hint="eastAsia" w:ascii="宋体"/>
          <w:color w:val="auto"/>
          <w:sz w:val="24"/>
          <w:szCs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宋体" w:hAnsi="宋体"/>
          <w:b/>
          <w:bCs/>
          <w:color w:val="auto"/>
          <w:sz w:val="24"/>
          <w:szCs w:val="24"/>
          <w:highlight w:val="none"/>
        </w:rPr>
      </w:pPr>
      <w:r>
        <w:rPr>
          <w:rFonts w:hint="eastAsia" w:ascii="宋体"/>
          <w:b/>
          <w:bCs/>
          <w:color w:val="auto"/>
          <w:sz w:val="24"/>
          <w:szCs w:val="24"/>
          <w:highlight w:val="none"/>
        </w:rPr>
        <w:t>33.</w:t>
      </w:r>
      <w:r>
        <w:rPr>
          <w:rFonts w:hint="eastAsia" w:ascii="宋体" w:hAnsi="宋体"/>
          <w:b/>
          <w:bCs/>
          <w:color w:val="auto"/>
          <w:sz w:val="24"/>
          <w:szCs w:val="24"/>
          <w:highlight w:val="none"/>
        </w:rPr>
        <w:t xml:space="preserve"> 投标人信誉的要求</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存在下列情形之一的，招标人可以限制其投标（需在招标文件中明确评定方法）</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（1）被住房城乡建设行政主管部门在全国建筑市场监管一体化工作平台列入建筑市场主体“黑名单”；</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（2）被发改委、人力资源社会保障、质检总局等有关部门、单位在“信用中国”网站中列入联合惩戒失信黑名单。</w:t>
      </w:r>
    </w:p>
    <w:p>
      <w:pPr>
        <w:pStyle w:val="8"/>
        <w:rPr>
          <w:color w:val="auto"/>
          <w:highlight w:val="none"/>
        </w:rPr>
      </w:pPr>
    </w:p>
    <w:p>
      <w:pPr>
        <w:pStyle w:val="5"/>
        <w:spacing w:line="460" w:lineRule="exact"/>
        <w:ind w:firstLine="480" w:firstLineChars="200"/>
        <w:rPr>
          <w:rFonts w:ascii="宋体" w:hAnsi="宋体"/>
          <w:color w:val="auto"/>
          <w:sz w:val="24"/>
          <w:highlight w:val="none"/>
        </w:rPr>
      </w:pPr>
    </w:p>
    <w:p>
      <w:pPr>
        <w:spacing w:line="480" w:lineRule="auto"/>
        <w:rPr>
          <w:color w:val="auto"/>
          <w:highlight w:val="none"/>
        </w:rPr>
      </w:pPr>
    </w:p>
    <w:p>
      <w:pPr>
        <w:spacing w:line="480" w:lineRule="auto"/>
        <w:rPr>
          <w:color w:val="auto"/>
          <w:highlight w:val="none"/>
        </w:rPr>
      </w:pPr>
    </w:p>
    <w:p>
      <w:pPr>
        <w:spacing w:line="480" w:lineRule="auto"/>
        <w:rPr>
          <w:color w:val="auto"/>
          <w:highlight w:val="none"/>
        </w:rPr>
      </w:pPr>
    </w:p>
    <w:p>
      <w:pPr>
        <w:spacing w:line="480" w:lineRule="auto"/>
        <w:rPr>
          <w:color w:val="auto"/>
          <w:highlight w:val="none"/>
        </w:rPr>
      </w:pPr>
    </w:p>
    <w:p>
      <w:pPr>
        <w:spacing w:line="480" w:lineRule="auto"/>
        <w:rPr>
          <w:color w:val="auto"/>
          <w:highlight w:val="none"/>
        </w:rPr>
      </w:pPr>
    </w:p>
    <w:p>
      <w:pPr>
        <w:pStyle w:val="5"/>
        <w:rPr>
          <w:color w:val="auto"/>
          <w:highlight w:val="none"/>
        </w:rPr>
      </w:pPr>
    </w:p>
    <w:p>
      <w:pPr>
        <w:pStyle w:val="5"/>
        <w:rPr>
          <w:color w:val="auto"/>
          <w:highlight w:val="none"/>
        </w:rPr>
      </w:pPr>
    </w:p>
    <w:p>
      <w:pPr>
        <w:pStyle w:val="3"/>
        <w:rPr>
          <w:rFonts w:ascii="宋体" w:hAnsi="宋体"/>
          <w:color w:val="auto"/>
          <w:highlight w:val="none"/>
        </w:rPr>
      </w:pPr>
      <w:bookmarkStart w:id="28" w:name="_Toc130979525"/>
      <w:r>
        <w:rPr>
          <w:rFonts w:hint="eastAsia" w:ascii="宋体" w:hAnsi="宋体"/>
          <w:color w:val="auto"/>
          <w:highlight w:val="none"/>
        </w:rPr>
        <w:t>第二章开标、评标及定标办法</w:t>
      </w:r>
      <w:bookmarkEnd w:id="28"/>
    </w:p>
    <w:p>
      <w:pPr>
        <w:pStyle w:val="7"/>
        <w:rPr>
          <w:color w:val="auto"/>
          <w:highlight w:val="none"/>
        </w:rPr>
      </w:pPr>
      <w:bookmarkStart w:id="29" w:name="_Toc130979526"/>
      <w:bookmarkStart w:id="30" w:name="_Toc60818623"/>
      <w:r>
        <w:rPr>
          <w:rFonts w:hint="eastAsia"/>
          <w:color w:val="auto"/>
          <w:sz w:val="28"/>
          <w:szCs w:val="28"/>
          <w:highlight w:val="none"/>
        </w:rPr>
        <w:t>一、</w:t>
      </w:r>
      <w:r>
        <w:rPr>
          <w:rFonts w:hint="eastAsia"/>
          <w:color w:val="auto"/>
          <w:highlight w:val="none"/>
        </w:rPr>
        <w:t>开标、评标及定标办法修改表</w:t>
      </w:r>
      <w:bookmarkEnd w:id="29"/>
      <w:bookmarkEnd w:id="30"/>
    </w:p>
    <w:p>
      <w:pPr>
        <w:pStyle w:val="5"/>
        <w:spacing w:line="360" w:lineRule="auto"/>
        <w:rPr>
          <w:rFonts w:ascii="宋体" w:hAnsi="宋体"/>
          <w:b/>
          <w:color w:val="auto"/>
          <w:szCs w:val="21"/>
          <w:highlight w:val="none"/>
        </w:rPr>
      </w:pPr>
      <w:r>
        <w:rPr>
          <w:rFonts w:hint="eastAsia" w:ascii="宋体" w:hAnsi="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Fonts w:ascii="宋体" w:hAnsi="宋体"/>
          <w:b/>
          <w:color w:val="auto"/>
          <w:szCs w:val="21"/>
          <w:highlight w:val="none"/>
          <w:u w:val="single"/>
        </w:rPr>
        <w:t>http://zfcj.gz.gov.cn/</w:t>
      </w:r>
      <w:r>
        <w:rPr>
          <w:rFonts w:hint="eastAsia" w:ascii="宋体" w:hAnsi="宋体"/>
          <w:b/>
          <w:color w:val="auto"/>
          <w:szCs w:val="21"/>
          <w:highlight w:val="none"/>
        </w:rPr>
        <w:t>）下载GZZB2018-3范本查阅。</w:t>
      </w:r>
    </w:p>
    <w:p>
      <w:pPr>
        <w:spacing w:line="48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条款号：（二）开标评标办法程序和细则修改类型：删除</w:t>
      </w:r>
    </w:p>
    <w:p>
      <w:pPr>
        <w:pBdr>
          <w:bottom w:val="single" w:color="auto" w:sz="6" w:space="1"/>
        </w:pBd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可选办法一（适合综合评分法一，技术标与经济标先后分别开启）</w:t>
      </w:r>
    </w:p>
    <w:p>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可选办法二（适合综合评分法一，技术标与经济标同时开启）</w:t>
      </w:r>
    </w:p>
    <w:p>
      <w:pPr>
        <w:pBdr>
          <w:bottom w:val="single" w:color="auto" w:sz="6" w:space="1"/>
        </w:pBd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可选办法三（适合综合评分法二，技术标与经济标先后分别开启）</w:t>
      </w:r>
    </w:p>
    <w:p>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可选办法四（适合综合评分法二，技术标与经济标同时开启）</w:t>
      </w:r>
    </w:p>
    <w:p>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可选办法五（适合综合评分法三，技术标与经济标先后分别开启）</w:t>
      </w:r>
    </w:p>
    <w:p>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可选办法六（适合综合评分法三，技术标与经济标同时开启）</w:t>
      </w:r>
    </w:p>
    <w:p>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可选办法八（适合经评审的最低投标价法，技术标与经济标同时开启）</w:t>
      </w:r>
    </w:p>
    <w:p>
      <w:pPr>
        <w:spacing w:line="360" w:lineRule="auto"/>
        <w:ind w:firstLine="566" w:firstLineChars="235"/>
        <w:rPr>
          <w:rFonts w:ascii="宋体" w:hAnsi="宋体"/>
          <w:b/>
          <w:color w:val="auto"/>
          <w:sz w:val="24"/>
          <w:szCs w:val="24"/>
          <w:highlight w:val="none"/>
        </w:rPr>
      </w:pPr>
      <w:r>
        <w:rPr>
          <w:rFonts w:hint="eastAsia" w:ascii="宋体" w:hAnsi="宋体"/>
          <w:b/>
          <w:color w:val="auto"/>
          <w:sz w:val="24"/>
          <w:szCs w:val="24"/>
          <w:highlight w:val="none"/>
        </w:rPr>
        <w:t>条款号：35.10                修改类型：增加</w:t>
      </w:r>
    </w:p>
    <w:p>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b/>
          <w:color w:val="auto"/>
          <w:sz w:val="24"/>
          <w:szCs w:val="24"/>
          <w:highlight w:val="none"/>
        </w:rPr>
        <w:t>现文：35.10本项目采用评定分离定标办法。</w:t>
      </w:r>
    </w:p>
    <w:p>
      <w:pPr>
        <w:spacing w:line="360" w:lineRule="auto"/>
        <w:ind w:firstLine="566" w:firstLineChars="235"/>
        <w:rPr>
          <w:rFonts w:ascii="宋体" w:hAnsi="宋体"/>
          <w:b/>
          <w:color w:val="auto"/>
          <w:sz w:val="24"/>
          <w:szCs w:val="24"/>
          <w:highlight w:val="none"/>
        </w:rPr>
      </w:pPr>
      <w:r>
        <w:rPr>
          <w:rFonts w:hint="eastAsia" w:ascii="宋体" w:hAnsi="宋体"/>
          <w:b/>
          <w:color w:val="auto"/>
          <w:sz w:val="24"/>
          <w:szCs w:val="24"/>
          <w:highlight w:val="none"/>
        </w:rPr>
        <w:t>条款号：36.1            修改类型：修改</w:t>
      </w:r>
    </w:p>
    <w:p>
      <w:pPr>
        <w:spacing w:line="360" w:lineRule="auto"/>
        <w:ind w:firstLine="566" w:firstLineChars="235"/>
        <w:rPr>
          <w:rFonts w:ascii="宋体" w:hAnsi="宋体"/>
          <w:bCs/>
          <w:color w:val="auto"/>
          <w:sz w:val="24"/>
          <w:szCs w:val="24"/>
          <w:highlight w:val="none"/>
        </w:rPr>
      </w:pPr>
      <w:r>
        <w:rPr>
          <w:rFonts w:hint="eastAsia" w:ascii="宋体" w:hAnsi="宋体"/>
          <w:b/>
          <w:color w:val="auto"/>
          <w:sz w:val="24"/>
          <w:szCs w:val="24"/>
          <w:highlight w:val="none"/>
        </w:rPr>
        <w:t>原文：</w:t>
      </w:r>
      <w:r>
        <w:rPr>
          <w:rFonts w:hint="eastAsia" w:ascii="宋体" w:hAnsi="宋体"/>
          <w:bCs/>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66" w:firstLineChars="235"/>
        <w:rPr>
          <w:rFonts w:ascii="宋体" w:hAnsi="宋体"/>
          <w:b/>
          <w:color w:val="auto"/>
          <w:sz w:val="24"/>
          <w:szCs w:val="24"/>
          <w:highlight w:val="none"/>
        </w:rPr>
      </w:pPr>
      <w:r>
        <w:rPr>
          <w:rFonts w:hint="eastAsia" w:ascii="宋体" w:hAnsi="宋体"/>
          <w:b/>
          <w:color w:val="auto"/>
          <w:sz w:val="24"/>
          <w:szCs w:val="24"/>
          <w:highlight w:val="none"/>
        </w:rPr>
        <w:t>现文：</w:t>
      </w:r>
      <w:r>
        <w:rPr>
          <w:rFonts w:hint="eastAsia" w:ascii="宋体" w:hAnsi="宋体"/>
          <w:bCs/>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bCs/>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566" w:firstLineChars="235"/>
        <w:rPr>
          <w:rFonts w:ascii="宋体" w:hAnsi="宋体"/>
          <w:b/>
          <w:color w:val="auto"/>
          <w:sz w:val="24"/>
          <w:szCs w:val="24"/>
          <w:highlight w:val="none"/>
        </w:rPr>
      </w:pPr>
      <w:r>
        <w:rPr>
          <w:rFonts w:hint="eastAsia" w:ascii="宋体" w:hAnsi="宋体"/>
          <w:b/>
          <w:color w:val="auto"/>
          <w:sz w:val="24"/>
          <w:szCs w:val="24"/>
          <w:highlight w:val="none"/>
        </w:rPr>
        <w:t>条款号：36.3 修改类型：删除</w:t>
      </w:r>
    </w:p>
    <w:p>
      <w:pPr>
        <w:pBdr>
          <w:bottom w:val="single" w:color="auto" w:sz="6" w:space="1"/>
        </w:pBdr>
        <w:spacing w:line="360" w:lineRule="auto"/>
        <w:ind w:firstLine="566" w:firstLineChars="235"/>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 xml:space="preserve"> 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566" w:firstLineChars="235"/>
        <w:rPr>
          <w:rFonts w:ascii="宋体" w:hAnsi="宋体"/>
          <w:b/>
          <w:color w:val="auto"/>
          <w:sz w:val="24"/>
          <w:szCs w:val="24"/>
          <w:highlight w:val="none"/>
        </w:rPr>
      </w:pPr>
      <w:r>
        <w:rPr>
          <w:rFonts w:hint="eastAsia" w:ascii="宋体" w:hAnsi="宋体"/>
          <w:b/>
          <w:color w:val="auto"/>
          <w:sz w:val="24"/>
          <w:szCs w:val="24"/>
          <w:highlight w:val="none"/>
        </w:rPr>
        <w:t>条款号</w:t>
      </w:r>
      <w:r>
        <w:rPr>
          <w:rFonts w:hint="eastAsia" w:ascii="宋体" w:hAnsi="宋体"/>
          <w:color w:val="auto"/>
          <w:sz w:val="24"/>
          <w:szCs w:val="24"/>
          <w:highlight w:val="none"/>
        </w:rPr>
        <w:t>：</w:t>
      </w:r>
      <w:r>
        <w:rPr>
          <w:rFonts w:hint="eastAsia" w:ascii="宋体" w:hAnsi="宋体"/>
          <w:b/>
          <w:color w:val="auto"/>
          <w:sz w:val="24"/>
          <w:szCs w:val="24"/>
          <w:highlight w:val="none"/>
        </w:rPr>
        <w:t>36.5.1修改类型：修改</w:t>
      </w:r>
    </w:p>
    <w:p>
      <w:pPr>
        <w:spacing w:line="360" w:lineRule="auto"/>
        <w:ind w:firstLine="566" w:firstLineChars="235"/>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66" w:firstLineChars="235"/>
        <w:rPr>
          <w:rFonts w:ascii="宋体" w:hAnsi="宋体"/>
          <w:color w:val="auto"/>
          <w:sz w:val="24"/>
          <w:szCs w:val="24"/>
          <w:highlight w:val="none"/>
        </w:rPr>
      </w:pPr>
      <w:r>
        <w:rPr>
          <w:rFonts w:hint="eastAsia" w:ascii="宋体" w:hAnsi="宋体"/>
          <w:b/>
          <w:color w:val="auto"/>
          <w:sz w:val="24"/>
          <w:szCs w:val="24"/>
          <w:highlight w:val="none"/>
        </w:rPr>
        <w:t>现文：</w:t>
      </w:r>
      <w:r>
        <w:rPr>
          <w:rFonts w:hint="eastAsia" w:ascii="宋体" w:hAnsi="宋体"/>
          <w:color w:val="auto"/>
          <w:sz w:val="24"/>
          <w:szCs w:val="24"/>
          <w:highlight w:val="none"/>
        </w:rPr>
        <w:t>36.5.1在投标截止时间后半小时内，投标人通过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交易平台对已递交的电子投标文件进行解密。投标人完成解密后，再由</w:t>
      </w:r>
      <w:r>
        <w:rPr>
          <w:rFonts w:hint="eastAsia" w:ascii="宋体" w:hAnsi="宋体"/>
          <w:color w:val="auto"/>
          <w:sz w:val="24"/>
          <w:szCs w:val="24"/>
          <w:highlight w:val="none"/>
          <w:u w:val="single"/>
        </w:rPr>
        <w:t>招标人或招标代理</w:t>
      </w:r>
      <w:r>
        <w:rPr>
          <w:rFonts w:hint="eastAsia" w:ascii="宋体" w:hAnsi="宋体"/>
          <w:color w:val="auto"/>
          <w:sz w:val="24"/>
          <w:szCs w:val="24"/>
          <w:highlight w:val="none"/>
        </w:rPr>
        <w:t>进行解密。解密完成后，公布招标项目名称、投标人名称、投标保证金的递交情况、投标报价、工期及其他内容；</w:t>
      </w:r>
    </w:p>
    <w:p>
      <w:pPr>
        <w:spacing w:line="360" w:lineRule="auto"/>
        <w:ind w:firstLine="540" w:firstLineChars="224"/>
        <w:rPr>
          <w:rFonts w:ascii="宋体" w:hAnsi="宋体"/>
          <w:b/>
          <w:bCs/>
          <w:color w:val="auto"/>
          <w:sz w:val="24"/>
          <w:szCs w:val="24"/>
          <w:highlight w:val="none"/>
        </w:rPr>
      </w:pPr>
      <w:r>
        <w:rPr>
          <w:rFonts w:hint="eastAsia" w:ascii="宋体" w:hAnsi="宋体"/>
          <w:b/>
          <w:bCs/>
          <w:color w:val="auto"/>
          <w:sz w:val="24"/>
          <w:szCs w:val="24"/>
          <w:highlight w:val="none"/>
        </w:rPr>
        <w:t xml:space="preserve">条款号： </w:t>
      </w:r>
      <w:r>
        <w:rPr>
          <w:rFonts w:hint="eastAsia" w:ascii="宋体" w:hAnsi="宋体"/>
          <w:color w:val="auto"/>
          <w:sz w:val="24"/>
          <w:szCs w:val="24"/>
          <w:highlight w:val="none"/>
        </w:rPr>
        <w:t>36.5.3</w:t>
      </w:r>
      <w:r>
        <w:rPr>
          <w:rFonts w:hint="eastAsia" w:ascii="宋体" w:hAnsi="宋体"/>
          <w:b/>
          <w:bCs/>
          <w:color w:val="auto"/>
          <w:sz w:val="24"/>
          <w:szCs w:val="24"/>
          <w:highlight w:val="none"/>
        </w:rPr>
        <w:t xml:space="preserve">           修改类型：修改</w:t>
      </w:r>
    </w:p>
    <w:p>
      <w:pPr>
        <w:spacing w:line="360" w:lineRule="auto"/>
        <w:ind w:firstLine="566" w:firstLineChars="235"/>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36.5.3投标人代表、招标人代表、监标人、记录人等有关人员在开标记录上签字确认；若有关人员不签字的，不影响开标程序；</w:t>
      </w:r>
    </w:p>
    <w:p>
      <w:pPr>
        <w:pBdr>
          <w:bottom w:val="single" w:color="auto" w:sz="6" w:space="1"/>
        </w:pBdr>
        <w:spacing w:line="360" w:lineRule="auto"/>
        <w:ind w:firstLine="566" w:firstLineChars="235"/>
        <w:rPr>
          <w:rFonts w:ascii="宋体" w:hAnsi="宋体"/>
          <w:b/>
          <w:bCs/>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36.5.3投标人代表、招标人代表、监标人、记录人等有关人员在开标记录上签字确认；若有关人员不签字的，不影响开标程序；</w:t>
      </w:r>
      <w:r>
        <w:rPr>
          <w:rFonts w:hint="eastAsia" w:ascii="宋体" w:hAnsi="宋体"/>
          <w:color w:val="auto"/>
          <w:sz w:val="24"/>
          <w:szCs w:val="24"/>
          <w:highlight w:val="none"/>
          <w:u w:val="single"/>
        </w:rPr>
        <w:t>若投标人不参加开标会的，或不签字确认的，视同该投标人认可开标结果。</w:t>
      </w:r>
    </w:p>
    <w:p>
      <w:pPr>
        <w:spacing w:line="360" w:lineRule="auto"/>
        <w:ind w:firstLine="590" w:firstLineChars="245"/>
        <w:rPr>
          <w:rFonts w:ascii="宋体" w:hAnsi="宋体"/>
          <w:b/>
          <w:color w:val="auto"/>
          <w:sz w:val="24"/>
          <w:szCs w:val="24"/>
          <w:highlight w:val="none"/>
        </w:rPr>
      </w:pPr>
      <w:r>
        <w:rPr>
          <w:rFonts w:hint="eastAsia" w:ascii="宋体" w:hAnsi="宋体"/>
          <w:b/>
          <w:color w:val="auto"/>
          <w:sz w:val="24"/>
          <w:szCs w:val="24"/>
          <w:highlight w:val="none"/>
        </w:rPr>
        <w:t>条款号：37.2.2           修改类型：修改</w:t>
      </w:r>
    </w:p>
    <w:p>
      <w:pPr>
        <w:pStyle w:val="2"/>
        <w:ind w:firstLine="567"/>
        <w:rPr>
          <w:rFonts w:hAnsi="宋体"/>
          <w:color w:val="auto"/>
          <w:kern w:val="2"/>
          <w:sz w:val="24"/>
          <w:szCs w:val="24"/>
          <w:highlight w:val="none"/>
        </w:rPr>
      </w:pPr>
      <w:r>
        <w:rPr>
          <w:rFonts w:hint="eastAsia" w:hAnsi="宋体"/>
          <w:b/>
          <w:color w:val="auto"/>
          <w:kern w:val="2"/>
          <w:sz w:val="24"/>
          <w:szCs w:val="24"/>
          <w:highlight w:val="none"/>
        </w:rPr>
        <w:t>原文：</w:t>
      </w:r>
      <w:r>
        <w:rPr>
          <w:rFonts w:hint="eastAsia" w:hAnsi="宋体"/>
          <w:color w:val="auto"/>
          <w:kern w:val="2"/>
          <w:sz w:val="24"/>
          <w:szCs w:val="24"/>
          <w:highlight w:val="none"/>
        </w:rPr>
        <w:t>37.2.2 向招标人报告评审意见，推荐合格的中标候选人。</w:t>
      </w:r>
    </w:p>
    <w:p>
      <w:pPr>
        <w:pBdr>
          <w:bottom w:val="single" w:color="auto" w:sz="6" w:space="1"/>
        </w:pBdr>
        <w:spacing w:line="360" w:lineRule="auto"/>
        <w:ind w:firstLine="566" w:firstLineChars="235"/>
        <w:rPr>
          <w:rFonts w:ascii="宋体" w:hAnsi="宋体"/>
          <w:color w:val="auto"/>
          <w:sz w:val="24"/>
          <w:szCs w:val="24"/>
          <w:highlight w:val="none"/>
        </w:rPr>
      </w:pPr>
      <w:r>
        <w:rPr>
          <w:rFonts w:hint="eastAsia" w:ascii="宋体" w:hAnsi="宋体"/>
          <w:b/>
          <w:color w:val="auto"/>
          <w:sz w:val="24"/>
          <w:szCs w:val="24"/>
          <w:highlight w:val="none"/>
        </w:rPr>
        <w:t>现文：</w:t>
      </w:r>
      <w:r>
        <w:rPr>
          <w:rFonts w:hint="eastAsia" w:ascii="宋体" w:hAnsi="宋体"/>
          <w:color w:val="auto"/>
          <w:sz w:val="24"/>
          <w:szCs w:val="24"/>
          <w:highlight w:val="none"/>
        </w:rPr>
        <w:t>37.2.2 向招标人报告评审意见，推荐定标候选人【不排序】。</w:t>
      </w:r>
    </w:p>
    <w:p>
      <w:pPr>
        <w:spacing w:line="360" w:lineRule="auto"/>
        <w:ind w:firstLine="590" w:firstLineChars="245"/>
        <w:rPr>
          <w:rFonts w:ascii="宋体" w:hAnsi="宋体"/>
          <w:b/>
          <w:color w:val="auto"/>
          <w:sz w:val="24"/>
          <w:szCs w:val="24"/>
          <w:highlight w:val="none"/>
        </w:rPr>
      </w:pPr>
      <w:r>
        <w:rPr>
          <w:rFonts w:hint="eastAsia" w:ascii="宋体" w:hAnsi="宋体"/>
          <w:b/>
          <w:color w:val="auto"/>
          <w:sz w:val="24"/>
          <w:szCs w:val="24"/>
          <w:highlight w:val="none"/>
        </w:rPr>
        <w:t>条款号：37.3           修改类型：修改</w:t>
      </w:r>
    </w:p>
    <w:p>
      <w:pPr>
        <w:pStyle w:val="2"/>
        <w:ind w:firstLine="567"/>
        <w:rPr>
          <w:rFonts w:hAnsi="宋体"/>
          <w:color w:val="auto"/>
          <w:kern w:val="2"/>
          <w:sz w:val="24"/>
          <w:szCs w:val="24"/>
          <w:highlight w:val="none"/>
        </w:rPr>
      </w:pPr>
      <w:r>
        <w:rPr>
          <w:rFonts w:hint="eastAsia" w:hAnsi="宋体"/>
          <w:b/>
          <w:color w:val="auto"/>
          <w:kern w:val="2"/>
          <w:sz w:val="24"/>
          <w:szCs w:val="24"/>
          <w:highlight w:val="none"/>
        </w:rPr>
        <w:t>原文：</w:t>
      </w:r>
      <w:r>
        <w:rPr>
          <w:rFonts w:hint="eastAsia" w:hAnsi="宋体"/>
          <w:color w:val="auto"/>
          <w:kern w:val="2"/>
          <w:sz w:val="24"/>
          <w:szCs w:val="24"/>
          <w:highlight w:val="none"/>
        </w:rPr>
        <w:t>37.3 评标结束后，评标委员会递交评标报告并依法推荐中标候选人。</w:t>
      </w:r>
    </w:p>
    <w:p>
      <w:pPr>
        <w:pBdr>
          <w:bottom w:val="single" w:color="auto" w:sz="6" w:space="1"/>
        </w:pBdr>
        <w:spacing w:line="360" w:lineRule="auto"/>
        <w:ind w:firstLine="569" w:firstLineChars="236"/>
        <w:rPr>
          <w:rFonts w:ascii="宋体" w:hAnsi="宋体"/>
          <w:color w:val="auto"/>
          <w:sz w:val="24"/>
          <w:szCs w:val="24"/>
          <w:highlight w:val="none"/>
        </w:rPr>
      </w:pPr>
      <w:r>
        <w:rPr>
          <w:rFonts w:hint="eastAsia" w:ascii="宋体" w:hAnsi="宋体"/>
          <w:b/>
          <w:color w:val="auto"/>
          <w:sz w:val="24"/>
          <w:szCs w:val="24"/>
          <w:highlight w:val="none"/>
        </w:rPr>
        <w:t>现文：</w:t>
      </w:r>
      <w:r>
        <w:rPr>
          <w:rFonts w:hint="eastAsia" w:ascii="宋体" w:hAnsi="宋体"/>
          <w:color w:val="auto"/>
          <w:sz w:val="24"/>
          <w:szCs w:val="24"/>
          <w:highlight w:val="none"/>
        </w:rPr>
        <w:t>37.3 评标结束后，评标委员会递交资格审查报告和评标报告并依法推荐定标候选人【不排序】。</w:t>
      </w:r>
    </w:p>
    <w:p>
      <w:pPr>
        <w:spacing w:line="360" w:lineRule="auto"/>
        <w:ind w:firstLine="590" w:firstLineChars="245"/>
        <w:rPr>
          <w:rFonts w:ascii="宋体" w:hAnsi="宋体"/>
          <w:b/>
          <w:color w:val="auto"/>
          <w:sz w:val="24"/>
          <w:szCs w:val="24"/>
          <w:highlight w:val="none"/>
        </w:rPr>
      </w:pPr>
      <w:r>
        <w:rPr>
          <w:rFonts w:hint="eastAsia" w:ascii="宋体" w:hAnsi="宋体"/>
          <w:b/>
          <w:color w:val="auto"/>
          <w:sz w:val="24"/>
          <w:szCs w:val="24"/>
          <w:highlight w:val="none"/>
        </w:rPr>
        <w:t>条款号：39.定标                修改类型：删除</w:t>
      </w:r>
    </w:p>
    <w:p>
      <w:pPr>
        <w:spacing w:line="360" w:lineRule="auto"/>
        <w:ind w:firstLine="590" w:firstLineChars="245"/>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39.1 招标人根据评标委员会递交的评标报告，最终审定中标人。</w:t>
      </w:r>
    </w:p>
    <w:p>
      <w:pPr>
        <w:spacing w:line="360" w:lineRule="auto"/>
        <w:ind w:firstLine="588" w:firstLineChars="245"/>
        <w:rPr>
          <w:rFonts w:ascii="宋体" w:hAnsi="宋体"/>
          <w:color w:val="auto"/>
          <w:sz w:val="24"/>
          <w:szCs w:val="24"/>
          <w:highlight w:val="none"/>
        </w:rPr>
      </w:pPr>
      <w:r>
        <w:rPr>
          <w:rFonts w:hint="eastAsia" w:ascii="宋体" w:hAnsi="宋体"/>
          <w:color w:val="auto"/>
          <w:sz w:val="24"/>
          <w:szCs w:val="24"/>
          <w:highlight w:val="none"/>
        </w:rPr>
        <w:t>39.2 依法必须进行公开招标的项目，招标人应当确定排名第一的中标候选人为中标人。</w:t>
      </w:r>
    </w:p>
    <w:p>
      <w:pPr>
        <w:spacing w:line="360" w:lineRule="auto"/>
        <w:ind w:firstLine="588" w:firstLineChars="245"/>
        <w:rPr>
          <w:rFonts w:ascii="宋体" w:hAnsi="宋体"/>
          <w:color w:val="auto"/>
          <w:sz w:val="24"/>
          <w:szCs w:val="24"/>
          <w:highlight w:val="none"/>
        </w:rPr>
      </w:pPr>
      <w:r>
        <w:rPr>
          <w:rFonts w:hint="eastAsia" w:ascii="宋体" w:hAnsi="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588" w:firstLineChars="245"/>
        <w:rPr>
          <w:rFonts w:ascii="宋体" w:hAnsi="宋体"/>
          <w:color w:val="auto"/>
          <w:sz w:val="24"/>
          <w:szCs w:val="24"/>
          <w:highlight w:val="none"/>
        </w:rPr>
      </w:pPr>
      <w:r>
        <w:rPr>
          <w:rFonts w:hint="eastAsia" w:ascii="宋体" w:hAnsi="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pBdr>
          <w:bottom w:val="single" w:color="auto" w:sz="6" w:space="1"/>
        </w:pBdr>
        <w:spacing w:line="360" w:lineRule="auto"/>
        <w:ind w:firstLine="470" w:firstLineChars="196"/>
        <w:rPr>
          <w:rFonts w:ascii="宋体" w:hAnsi="宋体"/>
          <w:b/>
          <w:color w:val="auto"/>
          <w:sz w:val="24"/>
          <w:szCs w:val="24"/>
          <w:highlight w:val="none"/>
          <w:u w:val="singl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spacing w:line="360" w:lineRule="auto"/>
        <w:ind w:firstLine="566" w:firstLineChars="235"/>
        <w:rPr>
          <w:rFonts w:ascii="宋体" w:hAnsi="宋体"/>
          <w:b/>
          <w:color w:val="auto"/>
          <w:sz w:val="24"/>
          <w:szCs w:val="24"/>
          <w:highlight w:val="none"/>
        </w:rPr>
      </w:pPr>
      <w:r>
        <w:rPr>
          <w:rFonts w:hint="eastAsia" w:ascii="宋体" w:hAnsi="宋体"/>
          <w:b/>
          <w:color w:val="auto"/>
          <w:sz w:val="24"/>
          <w:szCs w:val="24"/>
          <w:highlight w:val="none"/>
        </w:rPr>
        <w:t>条款号： 40.修改类型：修改</w:t>
      </w:r>
    </w:p>
    <w:p>
      <w:pPr>
        <w:snapToGrid w:val="0"/>
        <w:spacing w:line="360" w:lineRule="auto"/>
        <w:ind w:firstLine="566" w:firstLineChars="235"/>
        <w:rPr>
          <w:rFonts w:asci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40.5经济标详细审查评分；</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40.7经济标投标文件有效性审查；</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40.8评标委员会按排序向招标人推荐中标候选人名单，并递交资格审查报告及评标报告。</w:t>
      </w:r>
    </w:p>
    <w:p>
      <w:pPr>
        <w:snapToGrid w:val="0"/>
        <w:spacing w:line="360" w:lineRule="auto"/>
        <w:ind w:firstLine="482" w:firstLineChars="200"/>
        <w:rPr>
          <w:rFonts w:ascii="宋体" w:hAnsi="宋体"/>
          <w:color w:val="auto"/>
          <w:sz w:val="24"/>
          <w:szCs w:val="24"/>
          <w:highlight w:val="none"/>
          <w:u w:val="single"/>
        </w:rPr>
      </w:pPr>
      <w:r>
        <w:rPr>
          <w:rFonts w:hint="eastAsia" w:ascii="宋体" w:hAnsi="宋体"/>
          <w:b/>
          <w:color w:val="auto"/>
          <w:sz w:val="24"/>
          <w:szCs w:val="24"/>
          <w:highlight w:val="none"/>
        </w:rPr>
        <w:t>现文：</w:t>
      </w:r>
      <w:r>
        <w:rPr>
          <w:rFonts w:hint="eastAsia" w:ascii="宋体" w:hAnsi="宋体"/>
          <w:color w:val="auto"/>
          <w:sz w:val="24"/>
          <w:szCs w:val="24"/>
          <w:highlight w:val="none"/>
        </w:rPr>
        <w:t>40.开标、</w:t>
      </w:r>
      <w:r>
        <w:rPr>
          <w:rFonts w:hint="eastAsia" w:ascii="宋体" w:hAnsi="宋体"/>
          <w:color w:val="auto"/>
          <w:sz w:val="24"/>
          <w:szCs w:val="24"/>
          <w:highlight w:val="none"/>
          <w:u w:val="single"/>
        </w:rPr>
        <w:t>评标及定标程序</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40.1技术标（含资格审查文件）、</w:t>
      </w:r>
      <w:r>
        <w:rPr>
          <w:rFonts w:hint="eastAsia" w:ascii="宋体" w:hAnsi="宋体"/>
          <w:color w:val="auto"/>
          <w:sz w:val="24"/>
          <w:szCs w:val="24"/>
          <w:highlight w:val="none"/>
          <w:u w:val="single"/>
        </w:rPr>
        <w:t>经济标投标文件与定标文件</w:t>
      </w:r>
      <w:r>
        <w:rPr>
          <w:rFonts w:hint="eastAsia" w:ascii="宋体" w:hAnsi="宋体"/>
          <w:color w:val="auto"/>
          <w:sz w:val="24"/>
          <w:szCs w:val="24"/>
          <w:highlight w:val="none"/>
        </w:rPr>
        <w:t>同时公开开标；</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40.3技术标投标文件有效性审查；</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40.4技术标详细审查评分；</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40.5经济标详细审查评分； </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40.6</w:t>
      </w:r>
      <w:r>
        <w:rPr>
          <w:color w:val="auto"/>
          <w:sz w:val="24"/>
          <w:szCs w:val="24"/>
          <w:highlight w:val="none"/>
        </w:rPr>
        <w:t>评标委员会按照投标人总得分由高至低排序；</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40.7经济标投标文件有效性审查；</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40.8评标委员会向招标人推荐进入</w:t>
      </w:r>
      <w:r>
        <w:rPr>
          <w:rFonts w:hint="eastAsia" w:ascii="宋体" w:hAnsi="宋体"/>
          <w:color w:val="auto"/>
          <w:sz w:val="24"/>
          <w:szCs w:val="24"/>
          <w:highlight w:val="none"/>
          <w:u w:val="single"/>
        </w:rPr>
        <w:t>定标阶段的定标候选人名单【不排序】</w:t>
      </w:r>
      <w:r>
        <w:rPr>
          <w:rFonts w:hint="eastAsia" w:ascii="宋体" w:hAnsi="宋体"/>
          <w:color w:val="auto"/>
          <w:sz w:val="24"/>
          <w:szCs w:val="24"/>
          <w:highlight w:val="none"/>
        </w:rPr>
        <w:t>，并递交资格审查报告及评标报告；</w:t>
      </w:r>
    </w:p>
    <w:p>
      <w:pPr>
        <w:pBdr>
          <w:bottom w:val="single" w:color="auto" w:sz="6" w:space="1"/>
        </w:pBdr>
        <w:spacing w:line="360" w:lineRule="auto"/>
        <w:ind w:firstLine="470" w:firstLineChars="196"/>
        <w:rPr>
          <w:rFonts w:ascii="宋体" w:hAnsi="宋体"/>
          <w:b/>
          <w:color w:val="auto"/>
          <w:sz w:val="24"/>
          <w:szCs w:val="24"/>
          <w:highlight w:val="none"/>
          <w:u w:val="single"/>
        </w:rPr>
      </w:pPr>
      <w:r>
        <w:rPr>
          <w:rFonts w:hint="eastAsia" w:ascii="宋体" w:hAnsi="宋体"/>
          <w:color w:val="auto"/>
          <w:sz w:val="24"/>
          <w:szCs w:val="24"/>
          <w:highlight w:val="none"/>
          <w:u w:val="single"/>
        </w:rPr>
        <w:t>40.9定标委员会对评标委员会推荐的定标候选人进行投票，根据票数情况推荐中标候选人，并向招标人递交定标报告。</w:t>
      </w:r>
    </w:p>
    <w:p>
      <w:pPr>
        <w:spacing w:line="360" w:lineRule="auto"/>
        <w:ind w:firstLine="590" w:firstLineChars="245"/>
        <w:rPr>
          <w:rFonts w:ascii="宋体" w:hAnsi="宋体"/>
          <w:b/>
          <w:color w:val="auto"/>
          <w:sz w:val="24"/>
          <w:szCs w:val="24"/>
          <w:highlight w:val="none"/>
        </w:rPr>
      </w:pPr>
      <w:r>
        <w:rPr>
          <w:rFonts w:hint="eastAsia" w:ascii="宋体" w:hAnsi="宋体"/>
          <w:b/>
          <w:color w:val="auto"/>
          <w:sz w:val="24"/>
          <w:szCs w:val="24"/>
          <w:highlight w:val="none"/>
        </w:rPr>
        <w:t>条款号：41.1修改类型：修改</w:t>
      </w:r>
    </w:p>
    <w:p>
      <w:pPr>
        <w:snapToGrid w:val="0"/>
        <w:spacing w:line="360" w:lineRule="auto"/>
        <w:ind w:firstLine="590" w:firstLineChars="245"/>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开标由招标人主持；</w:t>
      </w:r>
    </w:p>
    <w:p>
      <w:pPr>
        <w:pBdr>
          <w:bottom w:val="single" w:color="auto" w:sz="6" w:space="1"/>
        </w:pBdr>
        <w:spacing w:line="360" w:lineRule="auto"/>
        <w:ind w:firstLine="590" w:firstLineChars="245"/>
        <w:rPr>
          <w:rFonts w:ascii="宋体" w:hAnsi="宋体"/>
          <w:b/>
          <w:color w:val="auto"/>
          <w:sz w:val="24"/>
          <w:szCs w:val="24"/>
          <w:highlight w:val="none"/>
        </w:rPr>
      </w:pPr>
      <w:r>
        <w:rPr>
          <w:rFonts w:hint="eastAsia" w:ascii="宋体" w:hAnsi="宋体"/>
          <w:b/>
          <w:color w:val="auto"/>
          <w:sz w:val="24"/>
          <w:szCs w:val="24"/>
          <w:highlight w:val="none"/>
        </w:rPr>
        <w:t>现文：</w:t>
      </w:r>
      <w:r>
        <w:rPr>
          <w:rFonts w:hint="eastAsia" w:ascii="宋体" w:hAnsi="宋体"/>
          <w:color w:val="auto"/>
          <w:sz w:val="24"/>
          <w:szCs w:val="24"/>
          <w:highlight w:val="none"/>
          <w:u w:val="single"/>
        </w:rPr>
        <w:t>开标由招标人或招标代理主持；</w:t>
      </w:r>
    </w:p>
    <w:p>
      <w:pPr>
        <w:spacing w:line="360" w:lineRule="auto"/>
        <w:ind w:firstLine="540" w:firstLineChars="224"/>
        <w:rPr>
          <w:rFonts w:ascii="宋体" w:hAnsi="宋体"/>
          <w:b/>
          <w:color w:val="auto"/>
          <w:sz w:val="24"/>
          <w:szCs w:val="24"/>
          <w:highlight w:val="none"/>
        </w:rPr>
      </w:pPr>
      <w:r>
        <w:rPr>
          <w:rFonts w:hint="eastAsia" w:ascii="宋体" w:hAnsi="宋体"/>
          <w:b/>
          <w:color w:val="auto"/>
          <w:sz w:val="24"/>
          <w:szCs w:val="24"/>
          <w:highlight w:val="none"/>
        </w:rPr>
        <w:t>条款号：41.2.1修改类型：修改</w:t>
      </w:r>
    </w:p>
    <w:p>
      <w:pPr>
        <w:pBdr>
          <w:bottom w:val="single" w:color="auto" w:sz="6" w:space="1"/>
        </w:pBdr>
        <w:spacing w:line="360" w:lineRule="auto"/>
        <w:ind w:firstLine="540" w:firstLineChars="224"/>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投标截止期前，各投标人递交投标文件（包括技术标投标文件、经济标投标文件）至交易平台。有关投标文件提交的事项详见第一章投标须知。</w:t>
      </w:r>
    </w:p>
    <w:p>
      <w:pPr>
        <w:pBdr>
          <w:bottom w:val="single" w:color="auto" w:sz="6" w:space="1"/>
        </w:pBdr>
        <w:spacing w:line="360" w:lineRule="auto"/>
        <w:ind w:firstLine="540" w:firstLineChars="224"/>
        <w:rPr>
          <w:rFonts w:ascii="宋体" w:hAnsi="宋体"/>
          <w:color w:val="auto"/>
          <w:sz w:val="24"/>
          <w:szCs w:val="24"/>
          <w:highlight w:val="none"/>
        </w:rPr>
      </w:pPr>
      <w:r>
        <w:rPr>
          <w:rFonts w:ascii="宋体" w:hAnsi="宋体"/>
          <w:b/>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-5080</wp:posOffset>
                </wp:positionH>
                <wp:positionV relativeFrom="paragraph">
                  <wp:posOffset>869950</wp:posOffset>
                </wp:positionV>
                <wp:extent cx="5800725"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58007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4pt;margin-top:68.5pt;height:0pt;width:456.75pt;z-index:251667456;mso-width-relative:page;mso-height-relative:page;" filled="f" stroked="t" coordsize="21600,21600" o:gfxdata="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fxmVHWAAAACQEAAA8AAAAAAAAAAQAgAAAAIgAAAGRycy9kb3du&#10;cmV2LnhtbFBLAQIUABQAAAAIAIdO4kAG+jRYAQIAAPwDAAAOAAAAAAAAAAEAIAAAACUBAABkcnMv&#10;ZTJvRG9jLnhtbFBLBQYAAAAABgAGAFkBAACYBQAAAAA=&#10;">
                <v:fill on="f" focussize="0,0"/>
                <v:stroke color="#000000" joinstyle="round"/>
                <v:imagedata o:title=""/>
                <o:lock v:ext="edit" aspectratio="f"/>
              </v:shape>
            </w:pict>
          </mc:Fallback>
        </mc:AlternateContent>
      </w:r>
      <w:r>
        <w:rPr>
          <w:rFonts w:hint="eastAsia" w:ascii="宋体" w:hAnsi="宋体"/>
          <w:b/>
          <w:color w:val="auto"/>
          <w:sz w:val="24"/>
          <w:szCs w:val="24"/>
          <w:highlight w:val="none"/>
        </w:rPr>
        <w:t>现文：</w:t>
      </w:r>
      <w:r>
        <w:rPr>
          <w:rFonts w:hint="eastAsia" w:ascii="宋体" w:hAnsi="宋体"/>
          <w:color w:val="auto"/>
          <w:sz w:val="24"/>
          <w:szCs w:val="24"/>
          <w:highlight w:val="none"/>
        </w:rPr>
        <w:t>投标截止期前，各投标人递交投标文件（包括技术标投标文件、经济标投标文件</w:t>
      </w:r>
      <w:r>
        <w:rPr>
          <w:rFonts w:hint="eastAsia" w:ascii="宋体" w:hAnsi="宋体"/>
          <w:color w:val="auto"/>
          <w:sz w:val="24"/>
          <w:szCs w:val="24"/>
          <w:highlight w:val="none"/>
          <w:u w:val="single"/>
        </w:rPr>
        <w:t>、定标文件</w:t>
      </w:r>
      <w:r>
        <w:rPr>
          <w:rFonts w:hint="eastAsia" w:ascii="宋体" w:hAnsi="宋体"/>
          <w:color w:val="auto"/>
          <w:sz w:val="24"/>
          <w:szCs w:val="24"/>
          <w:highlight w:val="none"/>
        </w:rPr>
        <w:t>）至</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交易平台。有关投标文件提交的事项详见第一章投标须知。</w:t>
      </w:r>
    </w:p>
    <w:p>
      <w:pPr>
        <w:pBdr>
          <w:bottom w:val="single" w:color="auto" w:sz="6" w:space="1"/>
        </w:pBdr>
        <w:spacing w:line="360" w:lineRule="auto"/>
        <w:ind w:firstLine="540" w:firstLineChars="224"/>
        <w:rPr>
          <w:rFonts w:ascii="宋体" w:hAnsi="宋体" w:cs="宋体"/>
          <w:b/>
          <w:color w:val="auto"/>
          <w:sz w:val="24"/>
          <w:szCs w:val="21"/>
          <w:highlight w:val="none"/>
        </w:rPr>
      </w:pPr>
      <w:r>
        <w:rPr>
          <w:rFonts w:hint="eastAsia" w:ascii="宋体" w:hAnsi="宋体" w:cs="宋体"/>
          <w:b/>
          <w:color w:val="auto"/>
          <w:sz w:val="24"/>
          <w:szCs w:val="21"/>
          <w:highlight w:val="none"/>
        </w:rPr>
        <w:t>条款号：</w:t>
      </w:r>
      <w:r>
        <w:rPr>
          <w:rFonts w:hint="eastAsia" w:ascii="宋体" w:hAnsi="宋体" w:cs="宋体"/>
          <w:b/>
          <w:bCs/>
          <w:color w:val="auto"/>
          <w:sz w:val="24"/>
          <w:szCs w:val="21"/>
          <w:highlight w:val="none"/>
        </w:rPr>
        <w:t xml:space="preserve">41.2.2 </w:t>
      </w:r>
      <w:r>
        <w:rPr>
          <w:rFonts w:hint="eastAsia" w:ascii="宋体" w:hAnsi="宋体" w:cs="宋体"/>
          <w:b/>
          <w:color w:val="auto"/>
          <w:sz w:val="24"/>
          <w:szCs w:val="21"/>
          <w:highlight w:val="none"/>
        </w:rPr>
        <w:t xml:space="preserve">           修改类型：删除</w:t>
      </w:r>
    </w:p>
    <w:p>
      <w:pPr>
        <w:pBdr>
          <w:bottom w:val="single" w:color="auto" w:sz="6" w:space="1"/>
        </w:pBdr>
        <w:spacing w:line="480" w:lineRule="auto"/>
        <w:ind w:firstLine="540" w:firstLineChars="224"/>
        <w:rPr>
          <w:rFonts w:ascii="宋体" w:hAnsi="宋体" w:cs="宋体"/>
          <w:b/>
          <w:color w:val="auto"/>
          <w:sz w:val="24"/>
          <w:szCs w:val="21"/>
          <w:highlight w:val="none"/>
        </w:rPr>
      </w:pPr>
      <w:r>
        <w:rPr>
          <w:rFonts w:hint="eastAsia" w:ascii="宋体" w:hAnsi="宋体" w:cs="宋体"/>
          <w:b/>
          <w:color w:val="auto"/>
          <w:sz w:val="24"/>
          <w:szCs w:val="21"/>
          <w:highlight w:val="none"/>
        </w:rPr>
        <w:t>原文：</w:t>
      </w:r>
      <w:r>
        <w:rPr>
          <w:rFonts w:hint="eastAsia" w:ascii="宋体" w:hAnsi="宋体" w:cs="宋体"/>
          <w:bCs/>
          <w:color w:val="auto"/>
          <w:sz w:val="24"/>
          <w:szCs w:val="21"/>
          <w:highlight w:val="none"/>
        </w:rPr>
        <w:t>开标前，首先由招标人随机抽取确定该工程计算评标参考价的等分点值X。</w:t>
      </w:r>
    </w:p>
    <w:p>
      <w:pPr>
        <w:spacing w:line="360" w:lineRule="auto"/>
        <w:ind w:firstLine="590" w:firstLineChars="245"/>
        <w:rPr>
          <w:rFonts w:ascii="宋体" w:hAnsi="宋体"/>
          <w:b/>
          <w:color w:val="auto"/>
          <w:sz w:val="24"/>
          <w:szCs w:val="24"/>
          <w:highlight w:val="none"/>
        </w:rPr>
      </w:pPr>
      <w:r>
        <w:rPr>
          <w:rFonts w:hint="eastAsia" w:ascii="宋体" w:hAnsi="宋体" w:cs="宋体"/>
          <w:b/>
          <w:color w:val="auto"/>
          <w:sz w:val="24"/>
          <w:szCs w:val="21"/>
          <w:highlight w:val="none"/>
        </w:rPr>
        <w:t>条款号：</w:t>
      </w:r>
      <w:r>
        <w:rPr>
          <w:rFonts w:hint="eastAsia" w:ascii="宋体" w:hAnsi="宋体" w:cs="宋体"/>
          <w:b/>
          <w:bCs/>
          <w:color w:val="auto"/>
          <w:sz w:val="24"/>
          <w:szCs w:val="21"/>
          <w:highlight w:val="none"/>
        </w:rPr>
        <w:t xml:space="preserve">41.2.4           </w:t>
      </w:r>
      <w:r>
        <w:rPr>
          <w:rFonts w:hint="eastAsia" w:ascii="宋体" w:hAnsi="宋体"/>
          <w:b/>
          <w:color w:val="auto"/>
          <w:sz w:val="24"/>
          <w:szCs w:val="24"/>
          <w:highlight w:val="none"/>
        </w:rPr>
        <w:t>修改类型：修改</w:t>
      </w:r>
    </w:p>
    <w:p>
      <w:pPr>
        <w:pStyle w:val="8"/>
        <w:spacing w:line="360" w:lineRule="auto"/>
        <w:ind w:firstLine="602" w:firstLineChars="250"/>
        <w:rPr>
          <w:rFonts w:ascii="宋体" w:hAnsi="宋体"/>
          <w:color w:val="auto"/>
          <w:sz w:val="24"/>
          <w:szCs w:val="24"/>
          <w:highlight w:val="none"/>
        </w:rPr>
      </w:pPr>
      <w:r>
        <w:rPr>
          <w:rFonts w:hint="eastAsia" w:ascii="宋体" w:hAnsi="宋体"/>
          <w:b/>
          <w:color w:val="auto"/>
          <w:sz w:val="24"/>
          <w:szCs w:val="24"/>
          <w:highlight w:val="none"/>
        </w:rPr>
        <w:t>原文：</w:t>
      </w:r>
      <w:r>
        <w:rPr>
          <w:rFonts w:hint="eastAsia"/>
          <w:color w:val="auto"/>
          <w:highlight w:val="none"/>
        </w:rPr>
        <w:t>开</w:t>
      </w:r>
      <w:r>
        <w:rPr>
          <w:rFonts w:hint="eastAsia" w:ascii="宋体" w:hAnsi="宋体"/>
          <w:color w:val="auto"/>
          <w:sz w:val="24"/>
          <w:szCs w:val="24"/>
          <w:highlight w:val="none"/>
        </w:rPr>
        <w:t>标时，投标人代表有权出席开标会，也可以自主决定不参加开标会，若投标人代表对开标过程提出异议，该投标人代表须同时出示本人身份证原件。</w:t>
      </w:r>
    </w:p>
    <w:p>
      <w:pPr>
        <w:pBdr>
          <w:bottom w:val="single" w:color="auto" w:sz="6" w:space="1"/>
        </w:pBdr>
        <w:spacing w:line="480" w:lineRule="auto"/>
        <w:ind w:firstLine="540" w:firstLineChars="224"/>
        <w:rPr>
          <w:rFonts w:ascii="宋体" w:hAnsi="宋体"/>
          <w:color w:val="auto"/>
          <w:sz w:val="24"/>
          <w:szCs w:val="24"/>
          <w:highlight w:val="none"/>
        </w:rPr>
      </w:pPr>
      <w:r>
        <w:rPr>
          <w:rFonts w:hint="eastAsia" w:ascii="宋体" w:hAnsi="宋体"/>
          <w:b/>
          <w:color w:val="auto"/>
          <w:sz w:val="24"/>
          <w:szCs w:val="24"/>
          <w:highlight w:val="none"/>
        </w:rPr>
        <w:t>现文：</w:t>
      </w:r>
      <w:r>
        <w:rPr>
          <w:rFonts w:hint="eastAsia" w:ascii="宋体" w:hAnsi="宋体" w:cs="宋体"/>
          <w:bCs/>
          <w:color w:val="auto"/>
          <w:kern w:val="0"/>
          <w:sz w:val="24"/>
          <w:szCs w:val="24"/>
          <w:highlight w:val="none"/>
        </w:rPr>
        <w:t>开标时，投标人代表有权</w:t>
      </w:r>
      <w:r>
        <w:rPr>
          <w:rFonts w:hint="eastAsia" w:ascii="宋体" w:hAnsi="宋体" w:cs="宋体"/>
          <w:bCs/>
          <w:color w:val="auto"/>
          <w:kern w:val="0"/>
          <w:sz w:val="24"/>
          <w:szCs w:val="24"/>
          <w:highlight w:val="none"/>
          <w:u w:val="single"/>
        </w:rPr>
        <w:t>参加现场开标或</w:t>
      </w:r>
      <w:r>
        <w:rPr>
          <w:rFonts w:hint="eastAsia" w:ascii="宋体" w:hAnsi="宋体" w:cs="宋体"/>
          <w:b/>
          <w:bCs/>
          <w:color w:val="auto"/>
          <w:kern w:val="0"/>
          <w:sz w:val="24"/>
          <w:szCs w:val="24"/>
          <w:highlight w:val="none"/>
          <w:u w:val="single"/>
        </w:rPr>
        <w:t>在线开标</w:t>
      </w:r>
      <w:r>
        <w:rPr>
          <w:rFonts w:hint="eastAsia" w:ascii="宋体" w:hAnsi="宋体" w:cs="宋体"/>
          <w:bCs/>
          <w:color w:val="auto"/>
          <w:kern w:val="0"/>
          <w:sz w:val="24"/>
          <w:szCs w:val="24"/>
          <w:highlight w:val="none"/>
        </w:rPr>
        <w:t>，也可以自主决定不参加开标，若投标人代表对开标过程有异议的，</w:t>
      </w:r>
      <w:r>
        <w:rPr>
          <w:rFonts w:hint="eastAsia" w:ascii="宋体" w:hAnsi="宋体" w:cs="宋体"/>
          <w:b/>
          <w:bCs/>
          <w:color w:val="auto"/>
          <w:kern w:val="0"/>
          <w:sz w:val="24"/>
          <w:szCs w:val="24"/>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590" w:firstLineChars="245"/>
        <w:rPr>
          <w:rFonts w:ascii="宋体" w:hAnsi="宋体"/>
          <w:b/>
          <w:color w:val="auto"/>
          <w:sz w:val="24"/>
          <w:szCs w:val="24"/>
          <w:highlight w:val="none"/>
        </w:rPr>
      </w:pPr>
      <w:r>
        <w:rPr>
          <w:rFonts w:hint="eastAsia" w:ascii="宋体" w:hAnsi="宋体"/>
          <w:b/>
          <w:color w:val="auto"/>
          <w:sz w:val="24"/>
          <w:szCs w:val="24"/>
          <w:highlight w:val="none"/>
        </w:rPr>
        <w:t>条款号：42.2修改类型：修改</w:t>
      </w:r>
    </w:p>
    <w:p>
      <w:pPr>
        <w:spacing w:line="360" w:lineRule="auto"/>
        <w:ind w:firstLine="600" w:firstLineChars="249"/>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评标委员会的组成：方式。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方式一：评标委员会为综合评标委员会，负责资格审查及评标工作。</w:t>
      </w:r>
    </w:p>
    <w:p>
      <w:pPr>
        <w:spacing w:line="360" w:lineRule="auto"/>
        <w:ind w:firstLine="480" w:firstLineChars="200"/>
        <w:rPr>
          <w:rFonts w:ascii="宋体" w:hAnsi="宋体"/>
          <w:b/>
          <w:color w:val="auto"/>
          <w:sz w:val="24"/>
          <w:szCs w:val="24"/>
          <w:highlight w:val="none"/>
        </w:rPr>
      </w:pPr>
      <w:r>
        <w:rPr>
          <w:rFonts w:hint="eastAsia" w:ascii="宋体" w:hAnsi="宋体"/>
          <w:color w:val="auto"/>
          <w:sz w:val="24"/>
          <w:szCs w:val="24"/>
          <w:highlight w:val="none"/>
        </w:rPr>
        <w:t>方式二：</w:t>
      </w:r>
      <w:r>
        <w:rPr>
          <w:rFonts w:hint="eastAsia" w:ascii="宋体"/>
          <w:color w:val="auto"/>
          <w:sz w:val="24"/>
          <w:szCs w:val="24"/>
          <w:highlight w:val="none"/>
        </w:rPr>
        <w:t>评标委员会由技术评审组和经济评审组组成。其中：资格审查及技术评审由技术评标组负责，经济评审由经济评审组负责</w:t>
      </w:r>
      <w:r>
        <w:rPr>
          <w:rFonts w:hint="eastAsia" w:ascii="宋体" w:hAnsi="宋体"/>
          <w:color w:val="auto"/>
          <w:sz w:val="24"/>
          <w:szCs w:val="24"/>
          <w:highlight w:val="none"/>
        </w:rPr>
        <w:t>。</w:t>
      </w:r>
    </w:p>
    <w:p>
      <w:pPr>
        <w:spacing w:line="360" w:lineRule="auto"/>
        <w:ind w:firstLine="600" w:firstLineChars="249"/>
        <w:rPr>
          <w:rFonts w:ascii="宋体" w:hAnsi="宋体"/>
          <w:color w:val="auto"/>
          <w:sz w:val="24"/>
          <w:szCs w:val="24"/>
          <w:highlight w:val="none"/>
        </w:rPr>
      </w:pPr>
      <w:r>
        <w:rPr>
          <w:rFonts w:hint="eastAsia" w:ascii="宋体" w:hAnsi="宋体"/>
          <w:b/>
          <w:color w:val="auto"/>
          <w:sz w:val="24"/>
          <w:szCs w:val="24"/>
          <w:highlight w:val="none"/>
        </w:rPr>
        <w:t>现文：</w:t>
      </w:r>
      <w:r>
        <w:rPr>
          <w:rFonts w:hint="eastAsia" w:ascii="宋体" w:hAnsi="宋体"/>
          <w:color w:val="auto"/>
          <w:sz w:val="24"/>
          <w:szCs w:val="24"/>
          <w:highlight w:val="none"/>
        </w:rPr>
        <w:t>评标委员会的组成：方式</w:t>
      </w:r>
      <w:r>
        <w:rPr>
          <w:rFonts w:hint="eastAsia" w:ascii="宋体" w:hAnsi="宋体"/>
          <w:color w:val="auto"/>
          <w:sz w:val="24"/>
          <w:szCs w:val="24"/>
          <w:highlight w:val="none"/>
          <w:u w:val="single"/>
        </w:rPr>
        <w:t xml:space="preserve"> 一  </w:t>
      </w:r>
      <w:r>
        <w:rPr>
          <w:rFonts w:hint="eastAsia" w:ascii="宋体" w:hAnsi="宋体"/>
          <w:color w:val="auto"/>
          <w:sz w:val="24"/>
          <w:szCs w:val="24"/>
          <w:highlight w:val="none"/>
        </w:rPr>
        <w:t>。</w:t>
      </w:r>
    </w:p>
    <w:p>
      <w:pPr>
        <w:pBdr>
          <w:bottom w:val="single" w:color="auto" w:sz="6" w:space="1"/>
        </w:pBdr>
        <w:spacing w:line="360" w:lineRule="auto"/>
        <w:ind w:firstLine="537" w:firstLineChars="224"/>
        <w:rPr>
          <w:rFonts w:ascii="宋体" w:hAnsi="宋体" w:cs="宋体"/>
          <w:bCs/>
          <w:color w:val="auto"/>
          <w:sz w:val="24"/>
          <w:szCs w:val="21"/>
          <w:highlight w:val="none"/>
        </w:rPr>
      </w:pPr>
      <w:r>
        <w:rPr>
          <w:rFonts w:hint="eastAsia" w:ascii="宋体" w:hAnsi="宋体" w:cs="宋体"/>
          <w:bCs/>
          <w:color w:val="auto"/>
          <w:sz w:val="24"/>
          <w:szCs w:val="21"/>
          <w:highlight w:val="none"/>
        </w:rPr>
        <w:t>方式一：评标委员会为综合评标委员会，负责资格审查及评标工作。</w:t>
      </w:r>
    </w:p>
    <w:p>
      <w:pPr>
        <w:spacing w:line="360" w:lineRule="auto"/>
        <w:ind w:firstLine="566" w:firstLineChars="235"/>
        <w:rPr>
          <w:rFonts w:ascii="宋体" w:hAnsi="宋体"/>
          <w:b/>
          <w:bCs/>
          <w:color w:val="auto"/>
          <w:sz w:val="24"/>
          <w:szCs w:val="24"/>
          <w:highlight w:val="none"/>
        </w:rPr>
      </w:pPr>
      <w:r>
        <w:rPr>
          <w:rFonts w:hint="eastAsia" w:ascii="宋体" w:hAnsi="宋体"/>
          <w:b/>
          <w:bCs/>
          <w:color w:val="auto"/>
          <w:sz w:val="24"/>
          <w:szCs w:val="24"/>
          <w:highlight w:val="none"/>
        </w:rPr>
        <w:t>条款号： 42.3            修改类型：增加</w:t>
      </w:r>
    </w:p>
    <w:p>
      <w:pPr>
        <w:pBdr>
          <w:bottom w:val="single" w:color="auto" w:sz="6" w:space="1"/>
        </w:pBdr>
        <w:spacing w:line="360" w:lineRule="auto"/>
        <w:ind w:firstLine="566" w:firstLineChars="235"/>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u w:val="single"/>
        </w:rPr>
        <w:t>定标委员会的组成：由招标人依法依规组建，负责定标环节。</w:t>
      </w:r>
    </w:p>
    <w:p>
      <w:pPr>
        <w:pBdr>
          <w:bottom w:val="single" w:color="auto" w:sz="6" w:space="1"/>
        </w:pBdr>
        <w:spacing w:line="360" w:lineRule="auto"/>
        <w:ind w:firstLine="514" w:firstLineChars="245"/>
        <w:rPr>
          <w:rFonts w:ascii="宋体" w:hAnsi="宋体"/>
          <w:b/>
          <w:color w:val="auto"/>
          <w:sz w:val="24"/>
          <w:szCs w:val="24"/>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11430</wp:posOffset>
                </wp:positionV>
                <wp:extent cx="5800725" cy="0"/>
                <wp:effectExtent l="0" t="0" r="0" b="0"/>
                <wp:wrapNone/>
                <wp:docPr id="20" name="直接箭头连接符 20"/>
                <wp:cNvGraphicFramePr/>
                <a:graphic xmlns:a="http://schemas.openxmlformats.org/drawingml/2006/main">
                  <a:graphicData uri="http://schemas.microsoft.com/office/word/2010/wordprocessingShape">
                    <wps:wsp>
                      <wps:cNvCnPr/>
                      <wps:spPr>
                        <a:xfrm>
                          <a:off x="0" y="0"/>
                          <a:ext cx="58007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4pt;margin-top:0.9pt;height:0pt;width:456.75pt;z-index:251664384;mso-width-relative:page;mso-height-relative:page;" filled="f" stroked="t" coordsize="21600,21600" o:gfxdata="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wU0NIAAAAFAQAADwAAAAAAAAABACAAAAAiAAAAZHJzL2Rvd25yZXYu&#10;eG1sUEsBAhQAFAAAAAgAh07iQG3ntLcBAgAA/AMAAA4AAAAAAAAAAQAgAAAAIQEAAGRycy9lMm9E&#10;b2MueG1sUEsFBgAAAAAGAAYAWQEAAJQFAAAAAA==&#10;">
                <v:fill on="f" focussize="0,0"/>
                <v:stroke color="#000000" joinstyle="round"/>
                <v:imagedata o:title=""/>
                <o:lock v:ext="edit" aspectratio="f"/>
              </v:shape>
            </w:pict>
          </mc:Fallback>
        </mc:AlternateContent>
      </w:r>
      <w:r>
        <w:rPr>
          <w:rFonts w:hint="eastAsia" w:ascii="宋体" w:hAnsi="宋体"/>
          <w:b/>
          <w:color w:val="auto"/>
          <w:sz w:val="24"/>
          <w:szCs w:val="24"/>
          <w:highlight w:val="none"/>
        </w:rPr>
        <w:t>条款号：</w:t>
      </w:r>
      <w:r>
        <w:rPr>
          <w:rFonts w:ascii="宋体" w:hAnsi="宋体"/>
          <w:b/>
          <w:color w:val="auto"/>
          <w:sz w:val="24"/>
          <w:szCs w:val="24"/>
          <w:highlight w:val="none"/>
        </w:rPr>
        <w:t xml:space="preserve">43.1            </w:t>
      </w:r>
      <w:r>
        <w:rPr>
          <w:rFonts w:hint="eastAsia" w:ascii="宋体" w:hAnsi="宋体"/>
          <w:b/>
          <w:color w:val="auto"/>
          <w:sz w:val="24"/>
          <w:szCs w:val="24"/>
          <w:highlight w:val="none"/>
        </w:rPr>
        <w:t>修改类型：修改</w:t>
      </w:r>
    </w:p>
    <w:p>
      <w:pPr>
        <w:pBdr>
          <w:bottom w:val="single" w:color="auto" w:sz="6" w:space="1"/>
        </w:pBdr>
        <w:spacing w:line="360" w:lineRule="auto"/>
        <w:ind w:firstLine="566" w:firstLineChars="235"/>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360" w:lineRule="auto"/>
        <w:ind w:firstLine="590" w:firstLineChars="245"/>
        <w:rPr>
          <w:rFonts w:ascii="宋体" w:hAnsi="宋体"/>
          <w:color w:val="auto"/>
          <w:sz w:val="24"/>
          <w:szCs w:val="24"/>
          <w:highlight w:val="none"/>
          <w:u w:val="single"/>
        </w:rPr>
      </w:pPr>
      <w:r>
        <w:rPr>
          <w:rFonts w:hint="eastAsia" w:ascii="宋体" w:hAnsi="宋体"/>
          <w:b/>
          <w:color w:val="auto"/>
          <w:sz w:val="24"/>
          <w:szCs w:val="24"/>
          <w:highlight w:val="none"/>
        </w:rPr>
        <w:t>现文：</w:t>
      </w:r>
      <w:r>
        <w:rPr>
          <w:rFonts w:hint="eastAsia" w:ascii="宋体" w:hAnsi="宋体"/>
          <w:color w:val="auto"/>
          <w:sz w:val="24"/>
          <w:szCs w:val="24"/>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b/>
          <w:color w:val="auto"/>
          <w:sz w:val="24"/>
          <w:szCs w:val="24"/>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590" w:firstLineChars="245"/>
        <w:rPr>
          <w:rFonts w:ascii="宋体" w:hAnsi="宋体"/>
          <w:color w:val="auto"/>
          <w:sz w:val="24"/>
          <w:szCs w:val="24"/>
          <w:highlight w:val="none"/>
        </w:rPr>
      </w:pPr>
      <w:r>
        <w:rPr>
          <w:rFonts w:hint="eastAsia" w:ascii="宋体" w:hAnsi="宋体"/>
          <w:b/>
          <w:color w:val="auto"/>
          <w:sz w:val="24"/>
          <w:szCs w:val="24"/>
          <w:highlight w:val="none"/>
        </w:rPr>
        <w:t>条款号：</w:t>
      </w:r>
      <w:r>
        <w:rPr>
          <w:rFonts w:ascii="宋体" w:hAnsi="宋体"/>
          <w:b/>
          <w:color w:val="auto"/>
          <w:sz w:val="24"/>
          <w:szCs w:val="24"/>
          <w:highlight w:val="none"/>
        </w:rPr>
        <w:t>4</w:t>
      </w:r>
      <w:r>
        <w:rPr>
          <w:rFonts w:hint="eastAsia" w:ascii="宋体" w:hAnsi="宋体"/>
          <w:b/>
          <w:color w:val="auto"/>
          <w:sz w:val="24"/>
          <w:szCs w:val="24"/>
          <w:highlight w:val="none"/>
        </w:rPr>
        <w:t>4</w:t>
      </w:r>
      <w:r>
        <w:rPr>
          <w:rFonts w:ascii="宋体" w:hAnsi="宋体"/>
          <w:b/>
          <w:color w:val="auto"/>
          <w:sz w:val="24"/>
          <w:szCs w:val="24"/>
          <w:highlight w:val="none"/>
        </w:rPr>
        <w:t xml:space="preserve">.1            </w:t>
      </w:r>
      <w:r>
        <w:rPr>
          <w:rFonts w:hint="eastAsia" w:ascii="宋体" w:hAnsi="宋体"/>
          <w:b/>
          <w:color w:val="auto"/>
          <w:sz w:val="24"/>
          <w:szCs w:val="24"/>
          <w:highlight w:val="none"/>
        </w:rPr>
        <w:t>修改类型：修改</w:t>
      </w:r>
    </w:p>
    <w:p>
      <w:pPr>
        <w:spacing w:line="360" w:lineRule="auto"/>
        <w:ind w:firstLine="602" w:firstLineChars="250"/>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spacing w:line="360" w:lineRule="auto"/>
        <w:ind w:firstLine="602" w:firstLineChars="250"/>
        <w:rPr>
          <w:rFonts w:ascii="宋体" w:hAnsi="宋体"/>
          <w:b/>
          <w:color w:val="auto"/>
          <w:sz w:val="24"/>
          <w:szCs w:val="24"/>
          <w:highlight w:val="none"/>
          <w:u w:val="single"/>
        </w:rPr>
      </w:pPr>
      <w:r>
        <w:rPr>
          <w:rFonts w:hint="eastAsia" w:ascii="宋体" w:hAnsi="宋体"/>
          <w:b/>
          <w:color w:val="auto"/>
          <w:sz w:val="24"/>
          <w:szCs w:val="24"/>
          <w:highlight w:val="none"/>
        </w:rPr>
        <w:t>现文：</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color w:val="auto"/>
          <w:sz w:val="24"/>
          <w:szCs w:val="24"/>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590" w:firstLineChars="245"/>
        <w:rPr>
          <w:rFonts w:ascii="宋体" w:hAnsi="宋体"/>
          <w:b/>
          <w:color w:val="auto"/>
          <w:sz w:val="24"/>
          <w:szCs w:val="24"/>
          <w:highlight w:val="none"/>
        </w:rPr>
      </w:pPr>
      <w:r>
        <w:rPr>
          <w:rFonts w:ascii="宋体" w:hAnsi="宋体"/>
          <w:b/>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23495</wp:posOffset>
                </wp:positionH>
                <wp:positionV relativeFrom="paragraph">
                  <wp:posOffset>62865</wp:posOffset>
                </wp:positionV>
                <wp:extent cx="5800725" cy="0"/>
                <wp:effectExtent l="0" t="0" r="0" b="0"/>
                <wp:wrapNone/>
                <wp:docPr id="21" name="直接箭头连接符 21"/>
                <wp:cNvGraphicFramePr/>
                <a:graphic xmlns:a="http://schemas.openxmlformats.org/drawingml/2006/main">
                  <a:graphicData uri="http://schemas.microsoft.com/office/word/2010/wordprocessingShape">
                    <wps:wsp>
                      <wps:cNvCnPr/>
                      <wps:spPr>
                        <a:xfrm>
                          <a:off x="0" y="0"/>
                          <a:ext cx="580072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85pt;margin-top:4.95pt;height:0pt;width:456.75pt;z-index:251665408;mso-width-relative:page;mso-height-relative:page;" filled="f" stroked="t" coordsize="21600,21600" o:gfxdata="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x2OidQAAAAFAQAADwAAAAAAAAABACAAAAAiAAAAZHJzL2Rvd25y&#10;ZXYueG1sUEsBAhQAFAAAAAgAh07iQA9GTnsCAgAA/AMAAA4AAAAAAAAAAQAgAAAAIwEAAGRycy9l&#10;Mm9Eb2MueG1sUEsFBgAAAAAGAAYAWQEAAJcFAAAAAA==&#10;">
                <v:fill on="f" focussize="0,0"/>
                <v:stroke color="#000000" joinstyle="round"/>
                <v:imagedata o:title=""/>
                <o:lock v:ext="edit" aspectratio="f"/>
              </v:shape>
            </w:pict>
          </mc:Fallback>
        </mc:AlternateContent>
      </w:r>
      <w:r>
        <w:rPr>
          <w:rFonts w:hint="eastAsia" w:ascii="宋体" w:hAnsi="宋体"/>
          <w:b/>
          <w:color w:val="auto"/>
          <w:sz w:val="24"/>
          <w:szCs w:val="24"/>
          <w:highlight w:val="none"/>
        </w:rPr>
        <w:t>条款号：45.       修改类型：修改</w:t>
      </w:r>
    </w:p>
    <w:p>
      <w:pPr>
        <w:pStyle w:val="5"/>
        <w:tabs>
          <w:tab w:val="left" w:pos="7380"/>
        </w:tabs>
        <w:snapToGrid w:val="0"/>
        <w:spacing w:after="0" w:line="360" w:lineRule="auto"/>
        <w:ind w:firstLine="600" w:firstLineChars="249"/>
        <w:rPr>
          <w:rFonts w:ascii="宋体" w:hAnsi="宋体" w:cs="仿宋"/>
          <w:b/>
          <w:color w:val="auto"/>
          <w:sz w:val="24"/>
          <w:szCs w:val="24"/>
          <w:highlight w:val="none"/>
        </w:rPr>
      </w:pPr>
      <w:r>
        <w:rPr>
          <w:rFonts w:hint="eastAsia" w:ascii="宋体" w:hAnsi="宋体" w:cs="仿宋"/>
          <w:b/>
          <w:color w:val="auto"/>
          <w:sz w:val="24"/>
          <w:szCs w:val="24"/>
          <w:highlight w:val="none"/>
        </w:rPr>
        <w:t>原文：</w:t>
      </w:r>
      <w:r>
        <w:rPr>
          <w:rFonts w:hint="eastAsia" w:ascii="宋体" w:hAnsi="宋体" w:cs="仿宋"/>
          <w:color w:val="auto"/>
          <w:sz w:val="24"/>
          <w:szCs w:val="24"/>
          <w:highlight w:val="none"/>
        </w:rPr>
        <w:t>45.经济标评审和得分汇总</w:t>
      </w:r>
    </w:p>
    <w:p>
      <w:pPr>
        <w:pStyle w:val="5"/>
        <w:tabs>
          <w:tab w:val="left" w:pos="7380"/>
        </w:tabs>
        <w:snapToGrid w:val="0"/>
        <w:spacing w:after="0"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5"/>
        <w:tabs>
          <w:tab w:val="left" w:pos="7380"/>
        </w:tabs>
        <w:snapToGrid w:val="0"/>
        <w:spacing w:after="0" w:line="360" w:lineRule="auto"/>
        <w:ind w:firstLine="600" w:firstLineChars="250"/>
        <w:rPr>
          <w:rFonts w:ascii="宋体"/>
          <w:color w:val="auto"/>
          <w:sz w:val="24"/>
          <w:szCs w:val="24"/>
          <w:highlight w:val="none"/>
        </w:rPr>
      </w:pPr>
      <w:r>
        <w:rPr>
          <w:rFonts w:hint="eastAsia" w:ascii="宋体" w:hAnsi="宋体"/>
          <w:color w:val="auto"/>
          <w:sz w:val="24"/>
          <w:szCs w:val="24"/>
          <w:highlight w:val="none"/>
        </w:rPr>
        <w:t>45.2按方法计算评标参考价：</w:t>
      </w:r>
    </w:p>
    <w:p>
      <w:pPr>
        <w:widowControl/>
        <w:spacing w:line="360" w:lineRule="auto"/>
        <w:ind w:firstLine="600" w:firstLineChars="249"/>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600" w:firstLineChars="25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600" w:firstLineChars="25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600" w:firstLineChars="25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highlight w:val="none"/>
        </w:rPr>
        <w:drawing>
          <wp:inline distT="0" distB="0" distL="114300" distR="114300">
            <wp:extent cx="382905" cy="446405"/>
            <wp:effectExtent l="0" t="0" r="17145" b="10795"/>
            <wp:docPr id="22" name="图片 1" descr="wpsD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wpsDE1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2905" cy="44640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highlight w:val="none"/>
        </w:rPr>
        <w:drawing>
          <wp:inline distT="0" distB="0" distL="114300" distR="114300">
            <wp:extent cx="382905" cy="446405"/>
            <wp:effectExtent l="0" t="0" r="17145" b="10795"/>
            <wp:docPr id="23" name="图片 2" descr="wpsD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descr="wpsDE1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2905" cy="44640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highlight w:val="none"/>
        </w:rPr>
        <w:drawing>
          <wp:inline distT="0" distB="0" distL="114300" distR="114300">
            <wp:extent cx="318770" cy="403860"/>
            <wp:effectExtent l="0" t="0" r="5080" b="15240"/>
            <wp:docPr id="24" name="图片 3" descr="wpsD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descr="wpsDE2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highlight w:val="none"/>
        </w:rPr>
        <w:drawing>
          <wp:inline distT="0" distB="0" distL="114300" distR="114300">
            <wp:extent cx="318770" cy="403860"/>
            <wp:effectExtent l="0" t="0" r="5080" b="15240"/>
            <wp:docPr id="2" name="图片 4" descr="wpsD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wpsDE2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highlight w:val="none"/>
        </w:rPr>
        <w:drawing>
          <wp:inline distT="0" distB="0" distL="114300" distR="114300">
            <wp:extent cx="318770" cy="403860"/>
            <wp:effectExtent l="0" t="0" r="5080" b="15875"/>
            <wp:docPr id="1" name="图片 5" descr="wpsD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wpsDE2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highlight w:val="none"/>
        </w:rPr>
        <w:drawing>
          <wp:inline distT="0" distB="0" distL="114300" distR="114300">
            <wp:extent cx="318770" cy="403860"/>
            <wp:effectExtent l="0" t="0" r="5080" b="15875"/>
            <wp:docPr id="3" name="图片 6" descr="wpsD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wpsDE2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600" w:firstLineChars="249"/>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600" w:firstLineChars="25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600" w:firstLineChars="25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600" w:firstLineChars="25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600" w:firstLineChars="25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600" w:firstLineChars="25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600" w:firstLineChars="25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经济得分×经济得分权重）×（1-综合诚信评价分数权重）+（综合诚信评价排名得分×综合诚信评价分数权重）。技术、经济得分权重按投标须知前附表的规定执行。总得分四舍五入保留两位小数</w:t>
      </w:r>
      <w:r>
        <w:rPr>
          <w:rFonts w:hint="eastAsia" w:ascii="宋体" w:hAnsi="宋体"/>
          <w:color w:val="auto"/>
          <w:sz w:val="24"/>
          <w:szCs w:val="24"/>
          <w:highlight w:val="none"/>
        </w:rPr>
        <w:t>。</w:t>
      </w:r>
    </w:p>
    <w:p>
      <w:pPr>
        <w:pStyle w:val="5"/>
        <w:tabs>
          <w:tab w:val="left" w:pos="7380"/>
        </w:tabs>
        <w:snapToGrid w:val="0"/>
        <w:spacing w:after="0" w:line="360" w:lineRule="auto"/>
        <w:ind w:firstLine="600" w:firstLineChars="249"/>
        <w:rPr>
          <w:rFonts w:ascii="宋体" w:hAnsi="宋体" w:cs="仿宋"/>
          <w:b/>
          <w:color w:val="auto"/>
          <w:sz w:val="24"/>
          <w:szCs w:val="24"/>
          <w:highlight w:val="none"/>
        </w:rPr>
      </w:pPr>
    </w:p>
    <w:p>
      <w:pPr>
        <w:pStyle w:val="5"/>
        <w:tabs>
          <w:tab w:val="left" w:pos="7380"/>
        </w:tabs>
        <w:snapToGrid w:val="0"/>
        <w:spacing w:after="0" w:line="360" w:lineRule="auto"/>
        <w:ind w:firstLine="600" w:firstLineChars="249"/>
        <w:rPr>
          <w:rFonts w:ascii="宋体" w:hAnsi="宋体" w:cs="仿宋"/>
          <w:b/>
          <w:color w:val="auto"/>
          <w:sz w:val="24"/>
          <w:szCs w:val="24"/>
          <w:highlight w:val="none"/>
        </w:rPr>
      </w:pPr>
      <w:r>
        <w:rPr>
          <w:rFonts w:hint="eastAsia" w:ascii="宋体" w:hAnsi="宋体" w:cs="仿宋"/>
          <w:b/>
          <w:color w:val="auto"/>
          <w:sz w:val="24"/>
          <w:szCs w:val="24"/>
          <w:highlight w:val="none"/>
        </w:rPr>
        <w:t>现文：</w:t>
      </w:r>
      <w:r>
        <w:rPr>
          <w:rFonts w:hint="eastAsia" w:ascii="宋体" w:hAnsi="宋体" w:cs="仿宋"/>
          <w:color w:val="auto"/>
          <w:sz w:val="24"/>
          <w:szCs w:val="24"/>
          <w:highlight w:val="none"/>
        </w:rPr>
        <w:t>45.经济标评审和得分汇总</w:t>
      </w:r>
    </w:p>
    <w:p>
      <w:pPr>
        <w:pStyle w:val="5"/>
        <w:tabs>
          <w:tab w:val="left" w:pos="7380"/>
        </w:tabs>
        <w:snapToGrid w:val="0"/>
        <w:spacing w:after="0"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 xml:space="preserve">45.1若通过技术标有效性审查的投标人中所有投标报价均大于等于最高投标限价*D%（D的取值范围为[94,100],由招标人自主确定， </w:t>
      </w:r>
      <w:r>
        <w:rPr>
          <w:rFonts w:hint="eastAsia" w:ascii="宋体" w:hAnsi="宋体"/>
          <w:bCs/>
          <w:color w:val="auto"/>
          <w:sz w:val="24"/>
          <w:szCs w:val="24"/>
          <w:highlight w:val="none"/>
          <w:u w:val="single"/>
        </w:rPr>
        <w:t>本项目D值取100</w:t>
      </w:r>
      <w:r>
        <w:rPr>
          <w:rFonts w:hint="eastAsia" w:ascii="宋体" w:hAnsi="宋体"/>
          <w:color w:val="auto"/>
          <w:sz w:val="24"/>
          <w:szCs w:val="24"/>
          <w:highlight w:val="none"/>
        </w:rPr>
        <w:t>）的（具体金额为：</w:t>
      </w:r>
      <w:r>
        <w:rPr>
          <w:rFonts w:hint="eastAsia" w:ascii="宋体" w:hAnsi="宋体"/>
          <w:bCs/>
          <w:color w:val="auto"/>
          <w:sz w:val="24"/>
          <w:szCs w:val="24"/>
          <w:highlight w:val="none"/>
          <w:u w:val="single"/>
          <w:lang w:eastAsia="zh-CN"/>
        </w:rPr>
        <w:t>30220519.01</w:t>
      </w:r>
      <w:r>
        <w:rPr>
          <w:rFonts w:ascii="宋体" w:hAnsi="宋体"/>
          <w:bCs/>
          <w:color w:val="auto"/>
          <w:sz w:val="24"/>
          <w:szCs w:val="24"/>
          <w:highlight w:val="none"/>
          <w:u w:val="single"/>
        </w:rPr>
        <w:t>元</w:t>
      </w:r>
      <w:r>
        <w:rPr>
          <w:rFonts w:hint="eastAsia" w:ascii="宋体" w:hAnsi="宋体"/>
          <w:bCs/>
          <w:color w:val="auto"/>
          <w:sz w:val="24"/>
          <w:szCs w:val="24"/>
          <w:highlight w:val="none"/>
        </w:rPr>
        <w:t>）</w:t>
      </w:r>
      <w:r>
        <w:rPr>
          <w:rFonts w:hint="eastAsia" w:ascii="宋体" w:hAnsi="宋体"/>
          <w:color w:val="auto"/>
          <w:sz w:val="24"/>
          <w:szCs w:val="24"/>
          <w:highlight w:val="none"/>
        </w:rPr>
        <w:t>，则本项目招标失败，由招标人依法重新招标。</w:t>
      </w:r>
    </w:p>
    <w:p>
      <w:pPr>
        <w:pStyle w:val="5"/>
        <w:tabs>
          <w:tab w:val="left" w:pos="7380"/>
        </w:tabs>
        <w:snapToGrid w:val="0"/>
        <w:spacing w:after="0" w:line="360" w:lineRule="auto"/>
        <w:ind w:firstLine="600" w:firstLineChars="250"/>
        <w:rPr>
          <w:rFonts w:ascii="宋体"/>
          <w:color w:val="auto"/>
          <w:sz w:val="24"/>
          <w:szCs w:val="24"/>
          <w:highlight w:val="none"/>
        </w:rPr>
      </w:pPr>
      <w:r>
        <w:rPr>
          <w:rFonts w:hint="eastAsia" w:ascii="宋体" w:hAnsi="宋体"/>
          <w:color w:val="auto"/>
          <w:sz w:val="24"/>
          <w:szCs w:val="24"/>
          <w:highlight w:val="none"/>
        </w:rPr>
        <w:t>45.2按方法</w:t>
      </w:r>
      <w:r>
        <w:rPr>
          <w:rFonts w:hint="eastAsia" w:ascii="宋体" w:hAnsi="宋体"/>
          <w:color w:val="auto"/>
          <w:sz w:val="24"/>
          <w:szCs w:val="24"/>
          <w:highlight w:val="none"/>
          <w:u w:val="single"/>
        </w:rPr>
        <w:t>一</w:t>
      </w:r>
      <w:r>
        <w:rPr>
          <w:rFonts w:hint="eastAsia" w:ascii="宋体" w:hAnsi="宋体"/>
          <w:color w:val="auto"/>
          <w:sz w:val="24"/>
          <w:szCs w:val="24"/>
          <w:highlight w:val="none"/>
        </w:rPr>
        <w:t>计算评标参考价：</w:t>
      </w:r>
    </w:p>
    <w:p>
      <w:pPr>
        <w:widowControl/>
        <w:spacing w:line="360" w:lineRule="auto"/>
        <w:ind w:firstLine="600" w:firstLineChars="249"/>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600" w:firstLineChars="250"/>
        <w:rPr>
          <w:rFonts w:ascii="宋体" w:hAnsi="宋体" w:cs="仿宋"/>
          <w:color w:val="auto"/>
          <w:sz w:val="24"/>
          <w:szCs w:val="24"/>
          <w:highlight w:val="none"/>
        </w:rPr>
      </w:pPr>
      <w:r>
        <w:rPr>
          <w:rFonts w:hint="eastAsia" w:ascii="宋体" w:hAnsi="宋体" w:cs="仿宋"/>
          <w:color w:val="auto"/>
          <w:sz w:val="24"/>
          <w:szCs w:val="24"/>
          <w:highlight w:val="none"/>
          <w:u w:val="single"/>
        </w:rPr>
        <w:t>技术标得分前N名（</w:t>
      </w:r>
      <w:r>
        <w:rPr>
          <w:rStyle w:val="27"/>
          <w:rFonts w:hint="eastAsia" w:ascii="宋体" w:hAnsi="宋体" w:cs="宋体"/>
          <w:color w:val="auto"/>
          <w:sz w:val="24"/>
          <w:szCs w:val="24"/>
          <w:highlight w:val="none"/>
          <w:u w:val="single"/>
        </w:rPr>
        <w:t>N=5；若通过技术标有效性审查投标人小于5家时，N=通过技术标有效性审查的投标人家数</w:t>
      </w:r>
      <w:r>
        <w:rPr>
          <w:rFonts w:hint="eastAsia" w:ascii="宋体" w:hAnsi="宋体" w:cs="仿宋"/>
          <w:color w:val="auto"/>
          <w:sz w:val="24"/>
          <w:szCs w:val="24"/>
          <w:highlight w:val="none"/>
          <w:u w:val="single"/>
        </w:rPr>
        <w:t>）的经济报价加权平均，计算评标参考价。</w:t>
      </w:r>
      <w:r>
        <w:rPr>
          <w:rFonts w:hint="eastAsia" w:ascii="宋体" w:hAnsi="宋体" w:cs="仿宋"/>
          <w:color w:val="auto"/>
          <w:sz w:val="24"/>
          <w:szCs w:val="24"/>
          <w:highlight w:val="none"/>
        </w:rPr>
        <w:t>公式如下：</w:t>
      </w:r>
    </w:p>
    <w:p>
      <w:pPr>
        <w:spacing w:line="360" w:lineRule="auto"/>
        <w:ind w:firstLine="600" w:firstLineChars="25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600" w:firstLineChars="25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highlight w:val="none"/>
        </w:rPr>
        <w:drawing>
          <wp:inline distT="0" distB="0" distL="114300" distR="114300">
            <wp:extent cx="382905" cy="446405"/>
            <wp:effectExtent l="0" t="0" r="17145" b="10795"/>
            <wp:docPr id="4" name="图片 7" descr="wpsD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wpsDE1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2905" cy="44640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highlight w:val="none"/>
        </w:rPr>
        <w:drawing>
          <wp:inline distT="0" distB="0" distL="114300" distR="114300">
            <wp:extent cx="382905" cy="446405"/>
            <wp:effectExtent l="0" t="0" r="17145" b="10795"/>
            <wp:docPr id="5" name="图片 8" descr="wpsD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wpsDE1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2905" cy="44640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highlight w:val="none"/>
        </w:rPr>
        <w:drawing>
          <wp:inline distT="0" distB="0" distL="114300" distR="114300">
            <wp:extent cx="318770" cy="403860"/>
            <wp:effectExtent l="0" t="0" r="5080" b="15240"/>
            <wp:docPr id="6" name="图片 9" descr="wpsD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wpsDE2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highlight w:val="none"/>
        </w:rPr>
        <w:drawing>
          <wp:inline distT="0" distB="0" distL="114300" distR="114300">
            <wp:extent cx="318770" cy="403860"/>
            <wp:effectExtent l="0" t="0" r="5080" b="15240"/>
            <wp:docPr id="15" name="图片 10" descr="wpsD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descr="wpsDE2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highlight w:val="none"/>
        </w:rPr>
        <w:drawing>
          <wp:inline distT="0" distB="0" distL="114300" distR="114300">
            <wp:extent cx="318770" cy="403860"/>
            <wp:effectExtent l="0" t="0" r="5080" b="15875"/>
            <wp:docPr id="13" name="图片 11" descr="wpsD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wpsDE2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highlight w:val="none"/>
        </w:rPr>
        <w:drawing>
          <wp:inline distT="0" distB="0" distL="114300" distR="114300">
            <wp:extent cx="318770" cy="403860"/>
            <wp:effectExtent l="0" t="0" r="5080" b="15875"/>
            <wp:docPr id="11" name="图片 12" descr="wpsD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wpsDE2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18770" cy="40386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spacing w:line="360" w:lineRule="auto"/>
        <w:ind w:firstLine="600" w:firstLineChars="250"/>
        <w:rPr>
          <w:rFonts w:ascii="宋体" w:hAnsi="宋体" w:cs="仿宋"/>
          <w:color w:val="auto"/>
          <w:sz w:val="24"/>
          <w:szCs w:val="24"/>
          <w:highlight w:val="none"/>
          <w:u w:val="single"/>
        </w:rPr>
      </w:pPr>
      <w:r>
        <w:rPr>
          <w:rFonts w:hint="eastAsia" w:ascii="宋体" w:hAnsi="宋体" w:cs="仿宋"/>
          <w:color w:val="auto"/>
          <w:sz w:val="24"/>
          <w:szCs w:val="24"/>
          <w:highlight w:val="none"/>
          <w:u w:val="single"/>
        </w:rPr>
        <w:t>注：技术标得分相同的，以报价较低的排前；技术标得分与报价均相同的投标人，由评标委员会采用记名投票方式，确定投标人的排序。</w:t>
      </w:r>
    </w:p>
    <w:p>
      <w:pPr>
        <w:spacing w:line="360" w:lineRule="auto"/>
        <w:ind w:firstLine="600" w:firstLineChars="250"/>
        <w:rPr>
          <w:rFonts w:ascii="宋体" w:hAnsi="宋体"/>
          <w:color w:val="auto"/>
          <w:sz w:val="24"/>
          <w:szCs w:val="24"/>
          <w:highlight w:val="none"/>
          <w:u w:val="singl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u w:val="single"/>
        </w:rPr>
        <w:t>当标价等于评标参考价时得</w:t>
      </w:r>
      <w:r>
        <w:rPr>
          <w:rFonts w:ascii="宋体" w:hAnsi="宋体"/>
          <w:color w:val="auto"/>
          <w:sz w:val="24"/>
          <w:szCs w:val="24"/>
          <w:highlight w:val="none"/>
          <w:u w:val="single"/>
        </w:rPr>
        <w:t>100</w:t>
      </w:r>
      <w:r>
        <w:rPr>
          <w:rFonts w:hint="eastAsia" w:ascii="宋体" w:hAnsi="宋体"/>
          <w:color w:val="auto"/>
          <w:sz w:val="24"/>
          <w:szCs w:val="24"/>
          <w:highlight w:val="none"/>
          <w:u w:val="single"/>
        </w:rPr>
        <w:t>分，标价每高于评标参考价</w:t>
      </w:r>
      <w:r>
        <w:rPr>
          <w:rFonts w:ascii="宋体" w:hAnsi="宋体"/>
          <w:color w:val="auto"/>
          <w:sz w:val="24"/>
          <w:szCs w:val="24"/>
          <w:highlight w:val="none"/>
          <w:u w:val="single"/>
        </w:rPr>
        <w:t>1%</w:t>
      </w:r>
      <w:r>
        <w:rPr>
          <w:rFonts w:hint="eastAsia" w:ascii="宋体" w:hAnsi="宋体"/>
          <w:color w:val="auto"/>
          <w:sz w:val="24"/>
          <w:szCs w:val="24"/>
          <w:highlight w:val="none"/>
          <w:u w:val="single"/>
        </w:rPr>
        <w:t>，扣0.5分，每低于评标参考价</w:t>
      </w:r>
      <w:r>
        <w:rPr>
          <w:rFonts w:ascii="宋体" w:hAnsi="宋体"/>
          <w:color w:val="auto"/>
          <w:sz w:val="24"/>
          <w:szCs w:val="24"/>
          <w:highlight w:val="none"/>
          <w:u w:val="single"/>
        </w:rPr>
        <w:t>1%</w:t>
      </w:r>
      <w:r>
        <w:rPr>
          <w:rFonts w:hint="eastAsia" w:ascii="宋体" w:hAnsi="宋体"/>
          <w:color w:val="auto"/>
          <w:sz w:val="24"/>
          <w:szCs w:val="24"/>
          <w:highlight w:val="none"/>
          <w:u w:val="single"/>
        </w:rPr>
        <w:t>，扣0.3分，扣至</w:t>
      </w:r>
      <w:r>
        <w:rPr>
          <w:rFonts w:ascii="宋体" w:hAnsi="宋体"/>
          <w:color w:val="auto"/>
          <w:sz w:val="24"/>
          <w:szCs w:val="24"/>
          <w:highlight w:val="none"/>
          <w:u w:val="single"/>
        </w:rPr>
        <w:t>0</w:t>
      </w:r>
      <w:r>
        <w:rPr>
          <w:rFonts w:hint="eastAsia" w:ascii="宋体" w:hAnsi="宋体"/>
          <w:color w:val="auto"/>
          <w:sz w:val="24"/>
          <w:szCs w:val="24"/>
          <w:highlight w:val="none"/>
          <w:u w:val="single"/>
        </w:rPr>
        <w:t>分为止，得出经济分，精确到小数点后两位。</w:t>
      </w:r>
    </w:p>
    <w:p>
      <w:pPr>
        <w:pBdr>
          <w:bottom w:val="single" w:color="auto" w:sz="6" w:space="1"/>
        </w:pBd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 xml:space="preserve">     45.4</w:t>
      </w:r>
      <w:r>
        <w:rPr>
          <w:rFonts w:hint="eastAsia" w:ascii="宋体"/>
          <w:color w:val="auto"/>
          <w:sz w:val="24"/>
          <w:szCs w:val="24"/>
          <w:highlight w:val="none"/>
        </w:rPr>
        <w:t>计算通过技术标有效性审查的投标人总得分。</w:t>
      </w:r>
      <w:r>
        <w:rPr>
          <w:rFonts w:hint="eastAsia" w:ascii="宋体"/>
          <w:color w:val="auto"/>
          <w:sz w:val="24"/>
          <w:szCs w:val="24"/>
          <w:highlight w:val="none"/>
          <w:u w:val="single"/>
        </w:rPr>
        <w:t>投标人总得分=技术得分（满分100分）×20%＋经济得分（满分100分）×80%</w:t>
      </w:r>
      <w:r>
        <w:rPr>
          <w:rFonts w:hint="eastAsia" w:ascii="宋体"/>
          <w:color w:val="auto"/>
          <w:sz w:val="24"/>
          <w:szCs w:val="24"/>
          <w:highlight w:val="none"/>
        </w:rPr>
        <w:t>。总得分四舍五入保留两位小数</w:t>
      </w:r>
      <w:r>
        <w:rPr>
          <w:rFonts w:hint="eastAsia" w:ascii="宋体" w:hAnsi="宋体"/>
          <w:color w:val="auto"/>
          <w:sz w:val="24"/>
          <w:szCs w:val="24"/>
          <w:highlight w:val="none"/>
        </w:rPr>
        <w:t>。总得分相同的投标文件，以报价较低的排前；如仍存在相同情况，则对具有相同情况的投标人，由评标委员会采用记名投票方式，确定投标人的排序。</w:t>
      </w:r>
    </w:p>
    <w:p>
      <w:pPr>
        <w:spacing w:line="360" w:lineRule="auto"/>
        <w:ind w:firstLine="590" w:firstLineChars="245"/>
        <w:rPr>
          <w:rFonts w:ascii="宋体" w:hAnsi="宋体"/>
          <w:b/>
          <w:color w:val="auto"/>
          <w:sz w:val="24"/>
          <w:szCs w:val="24"/>
          <w:highlight w:val="none"/>
        </w:rPr>
      </w:pPr>
      <w:r>
        <w:rPr>
          <w:rFonts w:hint="eastAsia" w:ascii="宋体" w:hAnsi="宋体"/>
          <w:b/>
          <w:color w:val="auto"/>
          <w:sz w:val="24"/>
          <w:szCs w:val="24"/>
          <w:highlight w:val="none"/>
        </w:rPr>
        <w:t>条款号：46.1       修改类型：修改</w:t>
      </w:r>
    </w:p>
    <w:p>
      <w:pPr>
        <w:spacing w:line="360" w:lineRule="auto"/>
        <w:ind w:firstLine="482" w:firstLineChars="200"/>
        <w:rPr>
          <w:color w:val="auto"/>
          <w:highlight w:val="none"/>
        </w:rPr>
      </w:pPr>
      <w:r>
        <w:rPr>
          <w:rFonts w:hint="eastAsia" w:cs="宋体"/>
          <w:b/>
          <w:color w:val="auto"/>
          <w:sz w:val="24"/>
          <w:szCs w:val="24"/>
          <w:highlight w:val="none"/>
        </w:rPr>
        <w:t>原文：</w:t>
      </w:r>
      <w:r>
        <w:rPr>
          <w:rFonts w:hint="eastAsia" w:cs="宋体"/>
          <w:color w:val="auto"/>
          <w:sz w:val="24"/>
          <w:szCs w:val="24"/>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82" w:firstLineChars="200"/>
        <w:rPr>
          <w:rFonts w:cs="宋体"/>
          <w:b/>
          <w:color w:val="auto"/>
          <w:sz w:val="24"/>
          <w:szCs w:val="24"/>
          <w:highlight w:val="none"/>
          <w:u w:val="single"/>
        </w:rPr>
      </w:pPr>
      <w:r>
        <w:rPr>
          <w:rFonts w:hint="eastAsia" w:cs="宋体"/>
          <w:b/>
          <w:color w:val="auto"/>
          <w:sz w:val="24"/>
          <w:szCs w:val="24"/>
          <w:highlight w:val="none"/>
        </w:rPr>
        <w:t>现文：</w:t>
      </w:r>
      <w:r>
        <w:rPr>
          <w:rFonts w:hint="eastAsia" w:cs="宋体"/>
          <w:color w:val="auto"/>
          <w:sz w:val="24"/>
          <w:szCs w:val="24"/>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cs="宋体"/>
          <w:b/>
          <w:color w:val="auto"/>
          <w:sz w:val="24"/>
          <w:szCs w:val="24"/>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cs="宋体"/>
          <w:color w:val="auto"/>
          <w:sz w:val="24"/>
          <w:szCs w:val="24"/>
          <w:highlight w:val="none"/>
        </w:rPr>
      </w:pPr>
      <w:r>
        <w:rPr>
          <w:rFonts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ragraph">
                  <wp:posOffset>80645</wp:posOffset>
                </wp:positionV>
                <wp:extent cx="579120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57912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35pt;margin-top:6.35pt;height:0pt;width:456pt;z-index:251666432;mso-width-relative:page;mso-height-relative:page;" filled="f" stroked="t" coordsize="21600,21600" o:gfxdata="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bDv9TSAAAABgEAAA8AAAAAAAAAAQAgAAAAIgAAAGRycy9kb3ducmV2&#10;LnhtbFBLAQIUABQAAAAIAIdO4kDh/vxkAgIAAPwDAAAOAAAAAAAAAAEAIAAAACEBAABkcnMvZTJv&#10;RG9jLnhtbFBLBQYAAAAABgAGAFkBAACVBQAAAAA=&#10;">
                <v:fill on="f" focussize="0,0"/>
                <v:stroke color="#000000" joinstyle="round"/>
                <v:imagedata o:title=""/>
                <o:lock v:ext="edit" aspectratio="f"/>
              </v:shape>
            </w:pict>
          </mc:Fallback>
        </mc:AlternateContent>
      </w:r>
    </w:p>
    <w:p>
      <w:pPr>
        <w:spacing w:line="360" w:lineRule="auto"/>
        <w:ind w:firstLine="590" w:firstLineChars="245"/>
        <w:rPr>
          <w:rFonts w:ascii="宋体" w:hAnsi="宋体"/>
          <w:b/>
          <w:color w:val="auto"/>
          <w:sz w:val="24"/>
          <w:szCs w:val="24"/>
          <w:highlight w:val="none"/>
        </w:rPr>
      </w:pPr>
      <w:r>
        <w:rPr>
          <w:rFonts w:hint="eastAsia" w:ascii="宋体" w:hAnsi="宋体"/>
          <w:b/>
          <w:color w:val="auto"/>
          <w:sz w:val="24"/>
          <w:szCs w:val="24"/>
          <w:highlight w:val="none"/>
        </w:rPr>
        <w:t>条款号：47.、</w:t>
      </w:r>
      <w:r>
        <w:rPr>
          <w:rFonts w:hint="eastAsia" w:ascii="宋体" w:hAnsi="宋体"/>
          <w:b/>
          <w:color w:val="auto"/>
          <w:kern w:val="0"/>
          <w:sz w:val="24"/>
          <w:szCs w:val="24"/>
          <w:highlight w:val="none"/>
        </w:rPr>
        <w:t>48.</w:t>
      </w:r>
      <w:r>
        <w:rPr>
          <w:rFonts w:hint="eastAsia" w:ascii="宋体" w:hAnsi="宋体"/>
          <w:b/>
          <w:color w:val="auto"/>
          <w:sz w:val="24"/>
          <w:szCs w:val="24"/>
          <w:highlight w:val="none"/>
        </w:rPr>
        <w:t xml:space="preserve">        修改类型：修改</w:t>
      </w:r>
    </w:p>
    <w:p>
      <w:pPr>
        <w:spacing w:line="360" w:lineRule="auto"/>
        <w:ind w:firstLine="595" w:firstLineChars="247"/>
        <w:rPr>
          <w:rFonts w:ascii="宋体" w:hAnsi="宋体"/>
          <w:b/>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592" w:firstLineChars="247"/>
        <w:rPr>
          <w:rFonts w:ascii="宋体" w:hAnsi="宋体"/>
          <w:color w:val="auto"/>
          <w:sz w:val="24"/>
          <w:szCs w:val="24"/>
          <w:highlight w:val="none"/>
        </w:rPr>
      </w:pPr>
      <w:r>
        <w:rPr>
          <w:rFonts w:hint="eastAsia" w:ascii="宋体" w:hAnsi="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595" w:firstLineChars="247"/>
        <w:rPr>
          <w:rFonts w:ascii="宋体" w:hAnsi="宋体"/>
          <w:color w:val="auto"/>
          <w:sz w:val="24"/>
          <w:szCs w:val="24"/>
          <w:highlight w:val="none"/>
        </w:rPr>
      </w:pPr>
      <w:r>
        <w:rPr>
          <w:rFonts w:hint="eastAsia" w:ascii="宋体" w:hAnsi="宋体"/>
          <w:b/>
          <w:color w:val="auto"/>
          <w:sz w:val="24"/>
          <w:szCs w:val="24"/>
          <w:highlight w:val="none"/>
        </w:rPr>
        <w:t>现文：</w:t>
      </w:r>
      <w:r>
        <w:rPr>
          <w:rFonts w:hint="eastAsia" w:ascii="宋体" w:hAnsi="宋体"/>
          <w:color w:val="auto"/>
          <w:sz w:val="24"/>
          <w:szCs w:val="24"/>
          <w:highlight w:val="none"/>
          <w:u w:val="singl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w:t>
      </w:r>
    </w:p>
    <w:p>
      <w:pPr>
        <w:pBdr>
          <w:bottom w:val="single" w:color="auto" w:sz="6" w:space="1"/>
        </w:pBdr>
        <w:spacing w:line="360" w:lineRule="auto"/>
        <w:ind w:firstLine="480" w:firstLineChars="200"/>
        <w:rPr>
          <w:rFonts w:ascii="宋体" w:hAnsi="宋体" w:cs="仿宋"/>
          <w:color w:val="auto"/>
          <w:sz w:val="24"/>
          <w:szCs w:val="24"/>
          <w:highlight w:val="none"/>
        </w:rPr>
      </w:pPr>
      <w:r>
        <w:rPr>
          <w:rFonts w:hint="eastAsia" w:ascii="宋体" w:hAnsi="宋体"/>
          <w:color w:val="auto"/>
          <w:sz w:val="24"/>
          <w:szCs w:val="24"/>
          <w:highlight w:val="none"/>
          <w:u w:val="single"/>
        </w:rPr>
        <w:t>48.若通过技术标及经济标有效性审查的合格投标人大于等于3家且少于等于7家的，则推荐全部合格的投标人不排序进入定标阶段。若通过技术标及经济标有效性审查的合格投标人大于7家的，按投标人总得分由高至低推荐7名不排序的定标候选人进入定标阶段，并编制评标报告。</w:t>
      </w:r>
    </w:p>
    <w:p>
      <w:pPr>
        <w:spacing w:line="360" w:lineRule="auto"/>
        <w:ind w:firstLine="590" w:firstLineChars="245"/>
        <w:rPr>
          <w:rFonts w:ascii="宋体" w:hAnsi="宋体"/>
          <w:color w:val="auto"/>
          <w:sz w:val="24"/>
          <w:szCs w:val="24"/>
          <w:highlight w:val="none"/>
          <w:u w:val="single"/>
        </w:rPr>
      </w:pPr>
      <w:r>
        <w:rPr>
          <w:rFonts w:hint="eastAsia" w:ascii="宋体" w:hAnsi="宋体"/>
          <w:b/>
          <w:color w:val="auto"/>
          <w:sz w:val="24"/>
          <w:szCs w:val="24"/>
          <w:highlight w:val="none"/>
        </w:rPr>
        <w:t>条款号：50           修改类型：增加</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50.定标</w:t>
      </w:r>
    </w:p>
    <w:p>
      <w:pPr>
        <w:spacing w:line="360" w:lineRule="auto"/>
        <w:ind w:firstLine="480" w:firstLineChars="200"/>
        <w:rPr>
          <w:rFonts w:cs="宋体"/>
          <w:bCs/>
          <w:color w:val="auto"/>
          <w:sz w:val="24"/>
          <w:szCs w:val="24"/>
          <w:highlight w:val="none"/>
          <w:u w:val="single"/>
        </w:rPr>
      </w:pPr>
      <w:r>
        <w:rPr>
          <w:rFonts w:hint="eastAsia"/>
          <w:bCs/>
          <w:color w:val="auto"/>
          <w:sz w:val="24"/>
          <w:szCs w:val="24"/>
          <w:highlight w:val="none"/>
          <w:u w:val="single"/>
        </w:rPr>
        <w:t xml:space="preserve">50.1 </w:t>
      </w:r>
      <w:r>
        <w:rPr>
          <w:rFonts w:hint="eastAsia" w:ascii="宋体" w:hAnsi="宋体"/>
          <w:bCs/>
          <w:color w:val="auto"/>
          <w:sz w:val="24"/>
          <w:szCs w:val="24"/>
          <w:highlight w:val="none"/>
          <w:u w:val="single"/>
        </w:rPr>
        <w:t>定标由招标人依法组建的定标委员会负责，成员数量为</w:t>
      </w:r>
      <w:r>
        <w:rPr>
          <w:rFonts w:hint="eastAsia"/>
          <w:bCs/>
          <w:color w:val="auto"/>
          <w:sz w:val="24"/>
          <w:szCs w:val="24"/>
          <w:highlight w:val="none"/>
          <w:u w:val="single"/>
        </w:rPr>
        <w:t>5</w:t>
      </w:r>
      <w:r>
        <w:rPr>
          <w:rFonts w:hint="eastAsia" w:ascii="宋体" w:hAnsi="宋体"/>
          <w:bCs/>
          <w:color w:val="auto"/>
          <w:sz w:val="24"/>
          <w:szCs w:val="24"/>
          <w:highlight w:val="none"/>
          <w:u w:val="single"/>
        </w:rPr>
        <w:t>人或以上单数。定标委员会应推荐一人为定标委员会组长，主持当次定标会议。</w:t>
      </w:r>
    </w:p>
    <w:p>
      <w:pPr>
        <w:spacing w:line="360" w:lineRule="auto"/>
        <w:ind w:firstLine="480" w:firstLineChars="200"/>
        <w:rPr>
          <w:rFonts w:cs="宋体"/>
          <w:bCs/>
          <w:color w:val="auto"/>
          <w:sz w:val="24"/>
          <w:szCs w:val="24"/>
          <w:highlight w:val="none"/>
          <w:u w:val="single"/>
        </w:rPr>
      </w:pPr>
      <w:r>
        <w:rPr>
          <w:rFonts w:hint="eastAsia"/>
          <w:bCs/>
          <w:color w:val="auto"/>
          <w:sz w:val="24"/>
          <w:szCs w:val="24"/>
          <w:highlight w:val="none"/>
          <w:u w:val="single"/>
        </w:rPr>
        <w:t xml:space="preserve">50.2 </w:t>
      </w:r>
      <w:r>
        <w:rPr>
          <w:rFonts w:hint="eastAsia" w:ascii="宋体" w:hAnsi="宋体"/>
          <w:bCs/>
          <w:color w:val="auto"/>
          <w:sz w:val="24"/>
          <w:szCs w:val="24"/>
          <w:highlight w:val="none"/>
          <w:u w:val="single"/>
        </w:rPr>
        <w:t>招标人在评标结束后</w:t>
      </w:r>
      <w:r>
        <w:rPr>
          <w:rFonts w:hint="eastAsia"/>
          <w:bCs/>
          <w:color w:val="auto"/>
          <w:sz w:val="24"/>
          <w:szCs w:val="24"/>
          <w:highlight w:val="none"/>
          <w:u w:val="single"/>
        </w:rPr>
        <w:t>7</w:t>
      </w:r>
      <w:r>
        <w:rPr>
          <w:rFonts w:hint="eastAsia" w:ascii="宋体" w:hAnsi="宋体"/>
          <w:bCs/>
          <w:color w:val="auto"/>
          <w:sz w:val="24"/>
          <w:szCs w:val="24"/>
          <w:highlight w:val="none"/>
          <w:u w:val="single"/>
        </w:rPr>
        <w:t>日内在广州交易集团有限公司（广州公共资源交易中心）举行定标会议。</w:t>
      </w:r>
    </w:p>
    <w:p>
      <w:pPr>
        <w:spacing w:line="360" w:lineRule="auto"/>
        <w:ind w:firstLine="480" w:firstLineChars="200"/>
        <w:rPr>
          <w:rFonts w:cs="宋体"/>
          <w:bCs/>
          <w:color w:val="auto"/>
          <w:sz w:val="24"/>
          <w:szCs w:val="24"/>
          <w:highlight w:val="none"/>
          <w:u w:val="single"/>
        </w:rPr>
      </w:pPr>
      <w:r>
        <w:rPr>
          <w:rFonts w:hint="eastAsia"/>
          <w:bCs/>
          <w:color w:val="auto"/>
          <w:sz w:val="24"/>
          <w:szCs w:val="24"/>
          <w:highlight w:val="none"/>
          <w:u w:val="single"/>
        </w:rPr>
        <w:t>50.3</w:t>
      </w:r>
      <w:r>
        <w:rPr>
          <w:rFonts w:hint="eastAsia" w:ascii="宋体" w:hAnsi="宋体"/>
          <w:bCs/>
          <w:color w:val="auto"/>
          <w:sz w:val="24"/>
          <w:szCs w:val="24"/>
          <w:highlight w:val="none"/>
          <w:u w:val="single"/>
        </w:rPr>
        <w:t>定标规则及程序：</w:t>
      </w:r>
    </w:p>
    <w:p>
      <w:pPr>
        <w:spacing w:line="360" w:lineRule="auto"/>
        <w:ind w:firstLine="480" w:firstLineChars="200"/>
        <w:rPr>
          <w:rFonts w:cs="宋体"/>
          <w:bCs/>
          <w:color w:val="auto"/>
          <w:sz w:val="24"/>
          <w:szCs w:val="24"/>
          <w:highlight w:val="none"/>
          <w:u w:val="single"/>
        </w:rPr>
      </w:pPr>
      <w:r>
        <w:rPr>
          <w:rFonts w:hint="eastAsia"/>
          <w:bCs/>
          <w:color w:val="auto"/>
          <w:sz w:val="24"/>
          <w:szCs w:val="24"/>
          <w:highlight w:val="none"/>
          <w:u w:val="single"/>
        </w:rPr>
        <w:t>50.3.1</w:t>
      </w:r>
      <w:r>
        <w:rPr>
          <w:rFonts w:hint="eastAsia" w:ascii="宋体" w:hAnsi="宋体"/>
          <w:bCs/>
          <w:color w:val="auto"/>
          <w:sz w:val="24"/>
          <w:szCs w:val="24"/>
          <w:highlight w:val="none"/>
          <w:u w:val="single"/>
        </w:rPr>
        <w:t>本项目采用介绍答辩评定法</w:t>
      </w:r>
      <w:r>
        <w:rPr>
          <w:rFonts w:hint="eastAsia"/>
          <w:bCs/>
          <w:color w:val="auto"/>
          <w:sz w:val="24"/>
          <w:szCs w:val="24"/>
          <w:highlight w:val="none"/>
          <w:u w:val="single"/>
        </w:rPr>
        <w:t>+</w:t>
      </w:r>
      <w:r>
        <w:rPr>
          <w:rFonts w:hint="eastAsia" w:ascii="宋体" w:hAnsi="宋体"/>
          <w:bCs/>
          <w:color w:val="auto"/>
          <w:sz w:val="24"/>
          <w:szCs w:val="24"/>
          <w:highlight w:val="none"/>
          <w:u w:val="single"/>
        </w:rPr>
        <w:t>票决定标法。</w:t>
      </w:r>
    </w:p>
    <w:p>
      <w:pPr>
        <w:spacing w:line="360" w:lineRule="auto"/>
        <w:ind w:firstLine="480" w:firstLineChars="200"/>
        <w:rPr>
          <w:rFonts w:cs="宋体"/>
          <w:bCs/>
          <w:color w:val="auto"/>
          <w:sz w:val="24"/>
          <w:szCs w:val="24"/>
          <w:highlight w:val="none"/>
          <w:u w:val="single"/>
        </w:rPr>
      </w:pPr>
      <w:r>
        <w:rPr>
          <w:rFonts w:hint="eastAsia"/>
          <w:bCs/>
          <w:color w:val="auto"/>
          <w:sz w:val="24"/>
          <w:szCs w:val="24"/>
          <w:highlight w:val="none"/>
          <w:u w:val="single"/>
        </w:rPr>
        <w:t>50.3.2</w:t>
      </w:r>
      <w:r>
        <w:rPr>
          <w:rFonts w:hint="eastAsia" w:ascii="宋体" w:hAnsi="宋体"/>
          <w:bCs/>
          <w:color w:val="auto"/>
          <w:sz w:val="24"/>
          <w:szCs w:val="24"/>
          <w:highlight w:val="none"/>
          <w:u w:val="single"/>
        </w:rPr>
        <w:t>定标工作开始后，由定标委员会组长发放选票，定标委员会参考定标因素（投标人对拟派团队履约能力与履约水平等情况的介绍，对定标委员会提出的问题进行答辩的情况）及定标辅助资料进行投票排名。</w:t>
      </w:r>
    </w:p>
    <w:p>
      <w:pPr>
        <w:spacing w:line="360" w:lineRule="auto"/>
        <w:ind w:firstLine="480" w:firstLineChars="200"/>
        <w:rPr>
          <w:rFonts w:cs="宋体"/>
          <w:bCs/>
          <w:color w:val="auto"/>
          <w:sz w:val="24"/>
          <w:szCs w:val="24"/>
          <w:highlight w:val="none"/>
          <w:u w:val="single"/>
        </w:rPr>
      </w:pPr>
      <w:r>
        <w:rPr>
          <w:rFonts w:hint="eastAsia"/>
          <w:bCs/>
          <w:color w:val="auto"/>
          <w:sz w:val="24"/>
          <w:szCs w:val="24"/>
          <w:highlight w:val="none"/>
          <w:u w:val="single"/>
        </w:rPr>
        <w:t>50.3.3</w:t>
      </w:r>
      <w:r>
        <w:rPr>
          <w:rFonts w:hint="eastAsia" w:ascii="宋体" w:hAnsi="宋体"/>
          <w:bCs/>
          <w:color w:val="auto"/>
          <w:sz w:val="24"/>
          <w:szCs w:val="24"/>
          <w:highlight w:val="none"/>
          <w:u w:val="single"/>
        </w:rPr>
        <w:t>定标辅助资料为评标阶段的评标报告、投标人提交的投标文件定标部分（定标文件）。</w:t>
      </w:r>
    </w:p>
    <w:p>
      <w:pPr>
        <w:spacing w:line="360" w:lineRule="auto"/>
        <w:ind w:firstLine="480" w:firstLineChars="200"/>
        <w:rPr>
          <w:rFonts w:cs="宋体"/>
          <w:bCs/>
          <w:color w:val="auto"/>
          <w:sz w:val="24"/>
          <w:szCs w:val="24"/>
          <w:highlight w:val="none"/>
          <w:u w:val="single"/>
        </w:rPr>
      </w:pPr>
      <w:r>
        <w:rPr>
          <w:rFonts w:hint="eastAsia"/>
          <w:bCs/>
          <w:color w:val="auto"/>
          <w:sz w:val="24"/>
          <w:szCs w:val="24"/>
          <w:highlight w:val="none"/>
          <w:u w:val="single"/>
        </w:rPr>
        <w:t>50.4</w:t>
      </w:r>
      <w:r>
        <w:rPr>
          <w:rFonts w:hint="eastAsia" w:ascii="宋体" w:hAnsi="宋体"/>
          <w:bCs/>
          <w:color w:val="auto"/>
          <w:sz w:val="24"/>
          <w:szCs w:val="24"/>
          <w:highlight w:val="none"/>
          <w:u w:val="single"/>
        </w:rPr>
        <w:t>投票规则：定标委员会根据定标因素及定标辅助资料，对进入定标阶段的</w:t>
      </w:r>
      <w:r>
        <w:rPr>
          <w:rFonts w:hint="eastAsia"/>
          <w:bCs/>
          <w:color w:val="auto"/>
          <w:sz w:val="24"/>
          <w:szCs w:val="24"/>
          <w:highlight w:val="none"/>
          <w:u w:val="single"/>
        </w:rPr>
        <w:t>N</w:t>
      </w:r>
      <w:r>
        <w:rPr>
          <w:rFonts w:hint="eastAsia" w:ascii="宋体" w:hAnsi="宋体"/>
          <w:bCs/>
          <w:color w:val="auto"/>
          <w:sz w:val="24"/>
          <w:szCs w:val="24"/>
          <w:highlight w:val="none"/>
          <w:u w:val="single"/>
        </w:rPr>
        <w:t>名定标候选人进行综合比较后，进行三轮一次性票决并排序，每位定标委员会成员每轮只有</w:t>
      </w:r>
      <w:r>
        <w:rPr>
          <w:rFonts w:hint="eastAsia"/>
          <w:bCs/>
          <w:color w:val="auto"/>
          <w:sz w:val="24"/>
          <w:szCs w:val="24"/>
          <w:highlight w:val="none"/>
          <w:u w:val="single"/>
        </w:rPr>
        <w:t>1</w:t>
      </w:r>
      <w:r>
        <w:rPr>
          <w:rFonts w:hint="eastAsia" w:ascii="宋体" w:hAnsi="宋体"/>
          <w:bCs/>
          <w:color w:val="auto"/>
          <w:sz w:val="24"/>
          <w:szCs w:val="24"/>
          <w:highlight w:val="none"/>
          <w:u w:val="single"/>
        </w:rPr>
        <w:t>票表决权（即只能对其中一家投标人投票），第一轮得票数最多的投标人将被推荐为第一中标候选人，第二轮得票数最多的投标人将被推荐为第二中标候选人，第三轮得票数最多的投标人将被推荐为第三中标候选人。若出现票数相同且无法决出排名时，票数相同的再进行一次性票决，直至决出前三名投标人。</w:t>
      </w:r>
    </w:p>
    <w:p>
      <w:pPr>
        <w:spacing w:line="360" w:lineRule="auto"/>
        <w:ind w:firstLine="480" w:firstLineChars="200"/>
        <w:rPr>
          <w:rFonts w:ascii="宋体" w:hAnsi="宋体"/>
          <w:color w:val="auto"/>
          <w:sz w:val="24"/>
          <w:szCs w:val="24"/>
          <w:highlight w:val="none"/>
          <w:u w:val="single"/>
        </w:rPr>
      </w:pPr>
      <w:r>
        <w:rPr>
          <w:rFonts w:hint="eastAsia" w:ascii="宋体" w:hAnsi="宋体"/>
          <w:bCs/>
          <w:color w:val="auto"/>
          <w:sz w:val="24"/>
          <w:szCs w:val="24"/>
          <w:highlight w:val="none"/>
          <w:u w:val="single"/>
        </w:rPr>
        <w:t>注：每轮得票数最多的投标人将不参与其它轮次的投票。</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50.5定标委员会中的各定标委员应独立投票，可以弃权，当弃权票数达到定标委员会人数50%或以上时，本次定标会无效，招标人应重新招标。</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50.6定标委员会根据选票情况向招标人推荐第一中标候选人至第三中标候选人后，撰写、签署定标报告。定标报告由定标委员会全体成员签字，对定标结论持有异议的评委应以书面方式阐述其不同意见和理由。</w:t>
      </w:r>
    </w:p>
    <w:p>
      <w:pPr>
        <w:spacing w:line="360" w:lineRule="auto"/>
        <w:ind w:firstLine="480" w:firstLineChars="200"/>
        <w:rPr>
          <w:rStyle w:val="28"/>
          <w:rFonts w:ascii="宋体" w:hAnsi="宋体"/>
          <w:color w:val="auto"/>
          <w:kern w:val="0"/>
          <w:highlight w:val="none"/>
        </w:rPr>
      </w:pPr>
      <w:r>
        <w:rPr>
          <w:rFonts w:hint="eastAsia" w:ascii="宋体" w:hAnsi="宋体"/>
          <w:color w:val="auto"/>
          <w:sz w:val="24"/>
          <w:szCs w:val="24"/>
          <w:highlight w:val="none"/>
          <w:u w:val="single"/>
        </w:rPr>
        <w:t>50.7定标委员会向招标人提交书面定标报告后即解散，定标过程中使用的文件、表格以及其他资料不得私自带离。</w:t>
      </w:r>
    </w:p>
    <w:p>
      <w:pPr>
        <w:spacing w:line="360" w:lineRule="auto"/>
        <w:ind w:firstLine="480" w:firstLineChars="200"/>
        <w:rPr>
          <w:color w:val="auto"/>
          <w:sz w:val="24"/>
          <w:szCs w:val="24"/>
          <w:highlight w:val="none"/>
          <w:u w:val="single"/>
        </w:rPr>
      </w:pPr>
      <w:r>
        <w:rPr>
          <w:rFonts w:hint="eastAsia"/>
          <w:color w:val="auto"/>
          <w:sz w:val="24"/>
          <w:szCs w:val="24"/>
          <w:highlight w:val="none"/>
          <w:u w:val="single"/>
        </w:rPr>
        <w:t>50.8</w:t>
      </w:r>
      <w:r>
        <w:rPr>
          <w:rFonts w:hint="eastAsia" w:ascii="宋体" w:hAnsi="宋体"/>
          <w:color w:val="auto"/>
          <w:sz w:val="24"/>
          <w:szCs w:val="24"/>
          <w:highlight w:val="none"/>
          <w:u w:val="single"/>
        </w:rPr>
        <w:t>依法必须进行公开招标的项目，招标人应当确定定标排名第一的中标候选人为中标人。</w:t>
      </w:r>
    </w:p>
    <w:p>
      <w:pPr>
        <w:spacing w:line="360" w:lineRule="auto"/>
        <w:ind w:firstLine="480" w:firstLineChars="200"/>
        <w:rPr>
          <w:rFonts w:ascii="宋体" w:hAnsi="宋体"/>
          <w:color w:val="auto"/>
          <w:sz w:val="24"/>
          <w:szCs w:val="24"/>
          <w:highlight w:val="none"/>
          <w:u w:val="single"/>
        </w:rPr>
      </w:pPr>
      <w:r>
        <w:rPr>
          <w:rFonts w:hint="eastAsia"/>
          <w:color w:val="auto"/>
          <w:sz w:val="24"/>
          <w:szCs w:val="24"/>
          <w:highlight w:val="none"/>
          <w:u w:val="single"/>
        </w:rPr>
        <w:t>50.9</w:t>
      </w:r>
      <w:r>
        <w:rPr>
          <w:rFonts w:hint="eastAsia" w:ascii="宋体" w:hAnsi="宋体"/>
          <w:color w:val="auto"/>
          <w:sz w:val="24"/>
          <w:szCs w:val="24"/>
          <w:highlight w:val="none"/>
          <w:u w:val="single"/>
        </w:rPr>
        <w:t>排名第一的中标候选人放弃中标、或被取消中标资格，或因不可抗力提出不能履行合同，或者招标文件规定应当提交履约担保而在规定的期限内未能提交，或委派的项目负责人在其他在建项目中任职的，招标人可以按照中标候选人顺序依次上升替补，或依法重新招标，以此类推。</w:t>
      </w:r>
    </w:p>
    <w:p>
      <w:pPr>
        <w:spacing w:line="360" w:lineRule="auto"/>
        <w:ind w:firstLine="480" w:firstLineChars="200"/>
        <w:rPr>
          <w:color w:val="auto"/>
          <w:szCs w:val="21"/>
          <w:highlight w:val="none"/>
        </w:rPr>
      </w:pPr>
      <w:r>
        <w:rPr>
          <w:rFonts w:hint="eastAsia"/>
          <w:color w:val="auto"/>
          <w:sz w:val="24"/>
          <w:szCs w:val="24"/>
          <w:highlight w:val="none"/>
          <w:u w:val="single"/>
        </w:rPr>
        <w:t>50.10</w:t>
      </w:r>
      <w:r>
        <w:rPr>
          <w:rFonts w:hint="eastAsia" w:ascii="宋体" w:hAnsi="宋体"/>
          <w:color w:val="auto"/>
          <w:sz w:val="24"/>
          <w:szCs w:val="24"/>
          <w:highlight w:val="none"/>
          <w:u w:val="single"/>
        </w:rPr>
        <w:t>若所有中标候选人都不能成为中标人，则招标失败，招标人依法重新招标。</w:t>
      </w:r>
    </w:p>
    <w:p>
      <w:pPr>
        <w:pBdr>
          <w:bottom w:val="single" w:color="auto" w:sz="6" w:space="1"/>
        </w:pBd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50.11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pPr>
        <w:spacing w:line="360" w:lineRule="auto"/>
        <w:ind w:firstLine="482" w:firstLineChars="200"/>
        <w:rPr>
          <w:rFonts w:cs="宋体"/>
          <w:b/>
          <w:color w:val="auto"/>
          <w:sz w:val="24"/>
          <w:szCs w:val="24"/>
          <w:highlight w:val="none"/>
        </w:rPr>
      </w:pPr>
      <w:r>
        <w:rPr>
          <w:rFonts w:hint="eastAsia" w:cs="宋体"/>
          <w:b/>
          <w:color w:val="auto"/>
          <w:sz w:val="24"/>
          <w:szCs w:val="24"/>
          <w:highlight w:val="none"/>
        </w:rPr>
        <w:t>条款号：附表一：《资格审查表》    附表二：《技术标有效性审查表》   附表三：《经济标有效性审查表》   附表四：《技术标详细审查评分表》 修改类型：修改</w:t>
      </w:r>
    </w:p>
    <w:p>
      <w:pPr>
        <w:pBdr>
          <w:bottom w:val="single" w:color="auto" w:sz="6" w:space="1"/>
        </w:pBdr>
        <w:spacing w:line="360" w:lineRule="auto"/>
        <w:ind w:firstLine="482" w:firstLineChars="200"/>
        <w:rPr>
          <w:rFonts w:cs="宋体"/>
          <w:color w:val="auto"/>
          <w:sz w:val="24"/>
          <w:szCs w:val="24"/>
          <w:highlight w:val="none"/>
        </w:rPr>
      </w:pPr>
      <w:r>
        <w:rPr>
          <w:rFonts w:hint="eastAsia" w:cs="宋体"/>
          <w:b/>
          <w:color w:val="auto"/>
          <w:sz w:val="24"/>
          <w:szCs w:val="24"/>
          <w:highlight w:val="none"/>
        </w:rPr>
        <w:t>原文：</w:t>
      </w:r>
      <w:r>
        <w:rPr>
          <w:rFonts w:hint="eastAsia" w:cs="宋体"/>
          <w:color w:val="auto"/>
          <w:sz w:val="24"/>
          <w:szCs w:val="24"/>
          <w:highlight w:val="none"/>
        </w:rPr>
        <w:t>详见原范本附表一：《资格审查表》    附表二：《技术标有效性审查表》   附表三：《经济标有效性审查表》   附表四：《技术标详细审查评分表》。</w:t>
      </w:r>
    </w:p>
    <w:p>
      <w:pPr>
        <w:pBdr>
          <w:bottom w:val="single" w:color="auto" w:sz="6" w:space="1"/>
        </w:pBdr>
        <w:spacing w:line="360" w:lineRule="auto"/>
        <w:ind w:firstLine="482" w:firstLineChars="200"/>
        <w:rPr>
          <w:rFonts w:cs="宋体"/>
          <w:color w:val="auto"/>
          <w:sz w:val="24"/>
          <w:szCs w:val="24"/>
          <w:highlight w:val="none"/>
          <w:u w:val="single"/>
        </w:rPr>
      </w:pPr>
      <w:r>
        <w:rPr>
          <w:rFonts w:hint="eastAsia" w:cs="宋体"/>
          <w:b/>
          <w:color w:val="auto"/>
          <w:sz w:val="24"/>
          <w:szCs w:val="24"/>
          <w:highlight w:val="none"/>
        </w:rPr>
        <w:t>现文：</w:t>
      </w:r>
      <w:r>
        <w:rPr>
          <w:rFonts w:hint="eastAsia" w:cs="宋体"/>
          <w:color w:val="auto"/>
          <w:sz w:val="24"/>
          <w:szCs w:val="24"/>
          <w:highlight w:val="none"/>
          <w:u w:val="single"/>
        </w:rPr>
        <w:t>详见本招标文件附表一：《资格审查表》 ， 附表二：《技术标有效性审查表》 ， 附表三：《经济标有效性审查表》， 附表四：《技术标详细审查评分表》。</w:t>
      </w:r>
    </w:p>
    <w:p>
      <w:pPr>
        <w:spacing w:line="360" w:lineRule="auto"/>
        <w:ind w:firstLine="482" w:firstLineChars="200"/>
        <w:rPr>
          <w:rFonts w:cs="宋体"/>
          <w:b/>
          <w:color w:val="auto"/>
          <w:sz w:val="24"/>
          <w:szCs w:val="24"/>
          <w:highlight w:val="none"/>
        </w:rPr>
      </w:pPr>
      <w:r>
        <w:rPr>
          <w:rFonts w:hint="eastAsia" w:cs="宋体"/>
          <w:b/>
          <w:color w:val="auto"/>
          <w:sz w:val="24"/>
          <w:szCs w:val="24"/>
          <w:highlight w:val="none"/>
        </w:rPr>
        <w:t>招标文件 附表五：《经济标评分表》（区间抽取法）    修改类型：删除</w:t>
      </w:r>
    </w:p>
    <w:p>
      <w:pPr>
        <w:pBdr>
          <w:bottom w:val="single" w:color="auto" w:sz="6" w:space="1"/>
        </w:pBdr>
        <w:spacing w:line="360" w:lineRule="auto"/>
        <w:ind w:firstLine="482" w:firstLineChars="200"/>
        <w:rPr>
          <w:rFonts w:cs="宋体"/>
          <w:b/>
          <w:color w:val="auto"/>
          <w:sz w:val="24"/>
          <w:szCs w:val="24"/>
          <w:highlight w:val="none"/>
        </w:rPr>
      </w:pPr>
      <w:r>
        <w:rPr>
          <w:rFonts w:hint="eastAsia" w:cs="宋体"/>
          <w:b/>
          <w:color w:val="auto"/>
          <w:sz w:val="24"/>
          <w:szCs w:val="24"/>
          <w:highlight w:val="none"/>
        </w:rPr>
        <w:t>原文：详见原范本</w:t>
      </w:r>
    </w:p>
    <w:p>
      <w:pPr>
        <w:spacing w:line="360" w:lineRule="auto"/>
        <w:ind w:firstLine="540" w:firstLineChars="224"/>
        <w:rPr>
          <w:rFonts w:ascii="宋体" w:hAnsi="宋体"/>
          <w:b/>
          <w:color w:val="auto"/>
          <w:sz w:val="24"/>
          <w:szCs w:val="24"/>
          <w:highlight w:val="none"/>
        </w:rPr>
      </w:pPr>
      <w:r>
        <w:rPr>
          <w:rFonts w:hint="eastAsia" w:ascii="宋体" w:hAnsi="宋体"/>
          <w:b/>
          <w:color w:val="auto"/>
          <w:sz w:val="24"/>
          <w:szCs w:val="24"/>
          <w:highlight w:val="none"/>
        </w:rPr>
        <w:t>条款号： 附表七                                    修改类型：增加</w:t>
      </w:r>
    </w:p>
    <w:p>
      <w:pPr>
        <w:pBdr>
          <w:bottom w:val="single" w:color="auto" w:sz="6" w:space="1"/>
        </w:pBdr>
        <w:spacing w:line="360" w:lineRule="auto"/>
        <w:ind w:firstLine="482" w:firstLineChars="200"/>
        <w:rPr>
          <w:rFonts w:cs="宋体"/>
          <w:color w:val="auto"/>
          <w:sz w:val="24"/>
          <w:szCs w:val="24"/>
          <w:highlight w:val="none"/>
          <w:u w:val="single"/>
        </w:rPr>
      </w:pPr>
      <w:r>
        <w:rPr>
          <w:rFonts w:hint="eastAsia" w:ascii="宋体" w:hAnsi="宋体"/>
          <w:b/>
          <w:color w:val="auto"/>
          <w:sz w:val="24"/>
          <w:szCs w:val="24"/>
          <w:highlight w:val="none"/>
        </w:rPr>
        <w:t>现文：《定标因素表（定标阶段用表）》及相关表格</w:t>
      </w:r>
    </w:p>
    <w:p>
      <w:pPr>
        <w:spacing w:line="360" w:lineRule="auto"/>
        <w:ind w:firstLine="103" w:firstLineChars="49"/>
        <w:rPr>
          <w:rFonts w:ascii="宋体" w:hAnsi="宋体"/>
          <w:b/>
          <w:color w:val="auto"/>
          <w:szCs w:val="21"/>
          <w:highlight w:val="none"/>
        </w:rPr>
      </w:pPr>
      <w:r>
        <w:rPr>
          <w:rFonts w:hint="eastAsia" w:ascii="宋体" w:hAnsi="宋体"/>
          <w:b/>
          <w:color w:val="auto"/>
          <w:szCs w:val="21"/>
          <w:highlight w:val="none"/>
        </w:rPr>
        <w:t>注：以上修改，仅限于本范本中有可供选择条款的情形。</w:t>
      </w:r>
    </w:p>
    <w:p>
      <w:pPr>
        <w:spacing w:line="360" w:lineRule="auto"/>
        <w:rPr>
          <w:rFonts w:ascii="宋体" w:hAnsi="宋体"/>
          <w:b/>
          <w:color w:val="auto"/>
          <w:szCs w:val="21"/>
          <w:highlight w:val="none"/>
        </w:rPr>
      </w:pPr>
      <w:r>
        <w:rPr>
          <w:rFonts w:hint="eastAsia" w:ascii="宋体" w:hAnsi="宋体"/>
          <w:b/>
          <w:color w:val="auto"/>
          <w:szCs w:val="21"/>
          <w:highlight w:val="none"/>
        </w:rPr>
        <w:t>（以下无正文）</w:t>
      </w:r>
    </w:p>
    <w:p>
      <w:pPr>
        <w:pStyle w:val="2"/>
        <w:spacing w:line="360" w:lineRule="auto"/>
        <w:rPr>
          <w:color w:val="auto"/>
          <w:highlight w:val="none"/>
        </w:rPr>
      </w:pPr>
    </w:p>
    <w:p>
      <w:pPr>
        <w:pStyle w:val="7"/>
        <w:rPr>
          <w:color w:val="auto"/>
          <w:szCs w:val="30"/>
          <w:highlight w:val="none"/>
        </w:rPr>
      </w:pPr>
      <w:bookmarkStart w:id="31" w:name="_Toc130979527"/>
      <w:bookmarkStart w:id="32" w:name="_Toc60818624"/>
      <w:bookmarkStart w:id="33" w:name="_Toc100770810"/>
      <w:bookmarkStart w:id="34" w:name="_Toc127815771"/>
      <w:r>
        <w:rPr>
          <w:rFonts w:hint="eastAsia"/>
          <w:color w:val="auto"/>
          <w:highlight w:val="none"/>
        </w:rPr>
        <w:t>二、开标、评标及定标办法</w:t>
      </w:r>
      <w:r>
        <w:rPr>
          <w:rFonts w:hint="eastAsia"/>
          <w:color w:val="auto"/>
          <w:szCs w:val="30"/>
          <w:highlight w:val="none"/>
        </w:rPr>
        <w:t>通用条款</w:t>
      </w:r>
      <w:bookmarkEnd w:id="31"/>
      <w:bookmarkEnd w:id="32"/>
      <w:bookmarkEnd w:id="33"/>
      <w:bookmarkEnd w:id="34"/>
    </w:p>
    <w:p>
      <w:pPr>
        <w:pStyle w:val="9"/>
        <w:spacing w:before="156" w:beforeAutospacing="0" w:after="156" w:afterAutospacing="0"/>
        <w:ind w:firstLine="542" w:firstLineChars="200"/>
        <w:rPr>
          <w:b/>
          <w:bCs/>
          <w:color w:val="auto"/>
          <w:highlight w:val="none"/>
        </w:rPr>
      </w:pPr>
      <w:bookmarkStart w:id="35" w:name="_Toc130979463"/>
      <w:bookmarkStart w:id="36" w:name="_Toc127815772"/>
      <w:bookmarkStart w:id="37" w:name="_Toc130979528"/>
      <w:bookmarkStart w:id="38" w:name="_Toc3896651"/>
      <w:r>
        <w:rPr>
          <w:rFonts w:hint="eastAsia"/>
          <w:b/>
          <w:bCs/>
          <w:color w:val="auto"/>
          <w:highlight w:val="none"/>
        </w:rPr>
        <w:t>（一）总则</w:t>
      </w:r>
      <w:bookmarkEnd w:id="35"/>
      <w:bookmarkEnd w:id="36"/>
      <w:bookmarkEnd w:id="37"/>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35 开标、评标及定标所依据的规则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35.1《中华人民共和国招标投标法》；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35.2《中华人民共和国招标投标法实施条例》；</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35.3《评标委员会和评标方法暂行规定》（七部委第12号令）</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35.4《工程建设项目施工招标投标办法》（七部委2003年第30号令）</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35.5《广东省实施〈中华人民共和国招标投标法〉办法》；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35.6《房屋建筑和市政基础设施工程施工招标投标管理办法》（建设部令第89号）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35.7《广东省加强建设工程招标投标监督管理的若干规定》（粤发[2004]4号）；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36.5按下列程序进行开标：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36.5.2备用光盘的读取按投标须知前附表第36项的规定执行；</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36.5.4开标结束。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37．评标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37.1评标委员会由招标人依法组建。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37.2评标委员会的职责及守则：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37.2.1根据评标细则，对投标文件进行认真评审，完成评审报告；</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37.2.2向招标人报告评审意见，推荐合格的中标候选人。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37.2.3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37.2.4全体参与评标人员：</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37.2.4.1 必须遵守评标纪律、不得泄密；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37.2.4.2 必须公正、不得循私；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37.2.4.3 必须科学、不得草率；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37.2.4.4 必须客观、不得带有成见；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37.2.4.5 必须平等、不得强加于人；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37.2.4.6 必须严谨、不得随意马虎。</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37.3 评标结束后，评标委员会递交评标报告并依法推荐中标候选人。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38．投标文件的澄清</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39．定标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39.1 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39.2 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9"/>
        <w:spacing w:before="156" w:beforeAutospacing="0" w:after="156" w:afterAutospacing="0"/>
        <w:ind w:firstLine="542" w:firstLineChars="200"/>
        <w:rPr>
          <w:b/>
          <w:bCs/>
          <w:color w:val="auto"/>
          <w:highlight w:val="none"/>
        </w:rPr>
      </w:pPr>
      <w:bookmarkStart w:id="39" w:name="_Toc130979529"/>
      <w:bookmarkStart w:id="40" w:name="_Toc127815773"/>
      <w:bookmarkStart w:id="41" w:name="_Toc130979464"/>
      <w:r>
        <w:rPr>
          <w:rFonts w:hint="eastAsia"/>
          <w:b/>
          <w:bCs/>
          <w:color w:val="auto"/>
          <w:highlight w:val="none"/>
        </w:rPr>
        <w:t>（二）开标评标办法程序和细则</w:t>
      </w:r>
      <w:bookmarkEnd w:id="39"/>
      <w:bookmarkEnd w:id="40"/>
      <w:bookmarkEnd w:id="41"/>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注：以下七种评标办法所述企业综合诚信评价分数即投标截止当日广州市工程招标代理行业协会网站上公布的企业综合诚信评价60日诚信分。</w:t>
      </w:r>
    </w:p>
    <w:p>
      <w:pPr>
        <w:pStyle w:val="9"/>
        <w:spacing w:before="156" w:beforeAutospacing="0" w:after="156" w:afterAutospacing="0"/>
        <w:ind w:firstLine="420" w:firstLineChars="200"/>
        <w:rPr>
          <w:b/>
          <w:bCs/>
          <w:color w:val="auto"/>
          <w:highlight w:val="none"/>
        </w:rPr>
      </w:pPr>
      <w:r>
        <w:rPr>
          <w:color w:val="auto"/>
          <w:sz w:val="21"/>
          <w:szCs w:val="21"/>
          <w:highlight w:val="none"/>
        </w:rPr>
        <w:br w:type="page"/>
      </w:r>
      <w:bookmarkEnd w:id="38"/>
      <w:bookmarkStart w:id="42" w:name="_Toc2272564"/>
      <w:bookmarkEnd w:id="42"/>
      <w:bookmarkStart w:id="43" w:name="_Toc130979465"/>
      <w:bookmarkStart w:id="44" w:name="_Toc127815774"/>
      <w:bookmarkStart w:id="45" w:name="_Toc21525509"/>
      <w:bookmarkStart w:id="46" w:name="_Toc130979530"/>
      <w:r>
        <w:rPr>
          <w:rFonts w:hint="eastAsia"/>
          <w:b/>
          <w:bCs/>
          <w:color w:val="auto"/>
          <w:highlight w:val="none"/>
        </w:rPr>
        <w:t>可选办法七（适合综合评分法四，技术标与经济标同时开启）</w:t>
      </w:r>
      <w:bookmarkEnd w:id="43"/>
      <w:bookmarkEnd w:id="44"/>
      <w:bookmarkEnd w:id="45"/>
      <w:bookmarkEnd w:id="46"/>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40.5经济标详细审查评分；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hAnsi="宋体"/>
          <w:color w:val="auto"/>
          <w:sz w:val="24"/>
          <w:szCs w:val="24"/>
          <w:highlight w:val="none"/>
        </w:rPr>
        <w:t>交易平台。有关投标文件提交的事项详见第一章投标须知。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41.2.3开标时，投标人代表有权出席</w:t>
      </w:r>
      <w:r>
        <w:rPr>
          <w:rFonts w:hint="eastAsia" w:ascii="宋体" w:hAnsi="宋体"/>
          <w:color w:val="auto"/>
          <w:sz w:val="24"/>
          <w:szCs w:val="24"/>
          <w:highlight w:val="none"/>
        </w:rPr>
        <w:t>开标会，也可以自主决定不参加开标会，若投标人代表对开标过程提出异议</w:t>
      </w:r>
      <w:r>
        <w:rPr>
          <w:rFonts w:hint="eastAsia" w:ascii="宋体" w:hAnsi="宋体"/>
          <w:b/>
          <w:bCs/>
          <w:color w:val="auto"/>
          <w:sz w:val="24"/>
          <w:szCs w:val="24"/>
          <w:highlight w:val="none"/>
        </w:rPr>
        <w:t>，</w:t>
      </w:r>
      <w:r>
        <w:rPr>
          <w:rFonts w:hint="eastAsia" w:ascii="宋体" w:hAnsi="宋体"/>
          <w:color w:val="auto"/>
          <w:sz w:val="24"/>
          <w:szCs w:val="24"/>
          <w:highlight w:val="none"/>
        </w:rPr>
        <w:t>该投标人代表须同时出示本人身份证原件。</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szCs w:val="24"/>
          <w:highlight w:val="none"/>
        </w:rPr>
        <w:t>投标文件密封情况；</w:t>
      </w:r>
      <w:r>
        <w:rPr>
          <w:rFonts w:hint="eastAsia" w:ascii="宋体"/>
          <w:color w:val="auto"/>
          <w:sz w:val="24"/>
          <w:szCs w:val="24"/>
          <w:highlight w:val="none"/>
        </w:rPr>
        <w:t>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hAns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方式一：评标委员会为综合评标委员会，负责资格审查及评标工作。</w:t>
      </w:r>
    </w:p>
    <w:p>
      <w:pPr>
        <w:pStyle w:val="5"/>
        <w:snapToGrid w:val="0"/>
        <w:spacing w:after="0" w:line="360" w:lineRule="auto"/>
        <w:rPr>
          <w:rFonts w:ascii="宋体"/>
          <w:color w:val="auto"/>
          <w:sz w:val="24"/>
          <w:szCs w:val="24"/>
          <w:highlight w:val="none"/>
        </w:rPr>
      </w:pPr>
      <w:r>
        <w:rPr>
          <w:rFonts w:hint="eastAsia" w:ascii="宋体" w:hAnsi="宋体"/>
          <w:color w:val="auto"/>
          <w:sz w:val="24"/>
          <w:szCs w:val="24"/>
          <w:highlight w:val="none"/>
        </w:rPr>
        <w:t>方式二：评标委员会由技术评审组和经济评审组组成。其中：资格审查及技术评审由技术评标组负责，经济评审由经济评审组负责。</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Pr>
          <w:rFonts w:hint="eastAsia" w:ascii="宋体"/>
          <w:b/>
          <w:bCs/>
          <w:color w:val="auto"/>
          <w:sz w:val="24"/>
          <w:szCs w:val="24"/>
          <w:highlight w:val="none"/>
        </w:rPr>
        <w:t>3名</w:t>
      </w:r>
      <w:r>
        <w:rPr>
          <w:rFonts w:hint="eastAsia" w:ascii="宋体"/>
          <w:color w:val="auto"/>
          <w:sz w:val="24"/>
          <w:szCs w:val="24"/>
          <w:highlight w:val="none"/>
        </w:rPr>
        <w:t>（当N个标段同时招标且不允许兼中时，若通过技术标有效性审查投标人不足N+2名），则本项目招标失败。</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5"/>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5"/>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45.2按方法计算评标参考价：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技术标或技术标加诚信得分（具体由招标人自定）前N名（N≥5，具体由招标人自定）的经济报价加权平均，计算评标参考价。公式如下：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评标参考价=Σ（投标人的投标报价*报价权重）。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其中：报价权重的计算方法为：将N名投标人按技术分由高至低进行排序，第一名投标人的权重为（</w:t>
      </w:r>
      <w:r>
        <w:rPr>
          <w:color w:val="auto"/>
          <w:highlight w:val="none"/>
        </w:rPr>
        <w:drawing>
          <wp:inline distT="0" distB="0" distL="114300" distR="114300">
            <wp:extent cx="381000" cy="447040"/>
            <wp:effectExtent l="0" t="0" r="0" b="10160"/>
            <wp:docPr id="14" name="图片 13" descr="wpsD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wpsDE11"/>
                    <pic:cNvPicPr>
                      <a:picLocks noChangeAspect="1"/>
                    </pic:cNvPicPr>
                  </pic:nvPicPr>
                  <pic:blipFill>
                    <a:blip r:embed="rId14"/>
                    <a:stretch>
                      <a:fillRect/>
                    </a:stretch>
                  </pic:blipFill>
                  <pic:spPr>
                    <a:xfrm>
                      <a:off x="0" y="0"/>
                      <a:ext cx="381000" cy="447040"/>
                    </a:xfrm>
                    <a:prstGeom prst="rect">
                      <a:avLst/>
                    </a:prstGeom>
                    <a:noFill/>
                    <a:ln>
                      <a:noFill/>
                    </a:ln>
                  </pic:spPr>
                </pic:pic>
              </a:graphicData>
            </a:graphic>
          </wp:inline>
        </w:drawing>
      </w:r>
      <w:r>
        <w:rPr>
          <w:rFonts w:hint="eastAsia" w:ascii="宋体" w:hAnsi="宋体" w:cs="仿宋"/>
          <w:color w:val="auto"/>
          <w:sz w:val="24"/>
          <w:szCs w:val="24"/>
          <w:highlight w:val="none"/>
        </w:rPr>
        <w:t>），第二名投标人的权重为（</w:t>
      </w:r>
      <w:r>
        <w:rPr>
          <w:color w:val="auto"/>
          <w:highlight w:val="none"/>
        </w:rPr>
        <w:drawing>
          <wp:inline distT="0" distB="0" distL="114300" distR="114300">
            <wp:extent cx="323850" cy="400685"/>
            <wp:effectExtent l="0" t="0" r="0" b="18415"/>
            <wp:docPr id="16" name="图片 14" descr="wpsD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descr="wpsDE22"/>
                    <pic:cNvPicPr>
                      <a:picLocks noChangeAspect="1"/>
                    </pic:cNvPicPr>
                  </pic:nvPicPr>
                  <pic:blipFill>
                    <a:blip r:embed="rId15"/>
                    <a:stretch>
                      <a:fillRect/>
                    </a:stretch>
                  </pic:blipFill>
                  <pic:spPr>
                    <a:xfrm>
                      <a:off x="0" y="0"/>
                      <a:ext cx="323850" cy="400685"/>
                    </a:xfrm>
                    <a:prstGeom prst="rect">
                      <a:avLst/>
                    </a:prstGeom>
                    <a:noFill/>
                    <a:ln>
                      <a:noFill/>
                    </a:ln>
                  </pic:spPr>
                </pic:pic>
              </a:graphicData>
            </a:graphic>
          </wp:inline>
        </w:drawing>
      </w:r>
      <w:r>
        <w:rPr>
          <w:rFonts w:hint="eastAsia" w:ascii="宋体" w:hAnsi="宋体" w:cs="仿宋"/>
          <w:color w:val="auto"/>
          <w:sz w:val="24"/>
          <w:szCs w:val="24"/>
          <w:highlight w:val="none"/>
        </w:rPr>
        <w:t>），以此类推，最后一名投标人的权重为（</w:t>
      </w:r>
      <w:r>
        <w:rPr>
          <w:color w:val="auto"/>
          <w:highlight w:val="none"/>
        </w:rPr>
        <w:drawing>
          <wp:inline distT="0" distB="0" distL="114300" distR="114300">
            <wp:extent cx="323850" cy="400685"/>
            <wp:effectExtent l="0" t="0" r="0" b="18415"/>
            <wp:docPr id="7" name="图片 15" descr="wpsD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wpsDE24"/>
                    <pic:cNvPicPr>
                      <a:picLocks noChangeAspect="1"/>
                    </pic:cNvPicPr>
                  </pic:nvPicPr>
                  <pic:blipFill>
                    <a:blip r:embed="rId16"/>
                    <a:stretch>
                      <a:fillRect/>
                    </a:stretch>
                  </pic:blipFill>
                  <pic:spPr>
                    <a:xfrm>
                      <a:off x="0" y="0"/>
                      <a:ext cx="323850" cy="400685"/>
                    </a:xfrm>
                    <a:prstGeom prst="rect">
                      <a:avLst/>
                    </a:prstGeom>
                    <a:noFill/>
                    <a:ln>
                      <a:noFill/>
                    </a:ln>
                  </pic:spPr>
                </pic:pic>
              </a:graphicData>
            </a:graphic>
          </wp:inline>
        </w:drawing>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评标参考价=（Q</w:t>
      </w:r>
      <w:r>
        <w:rPr>
          <w:rFonts w:hint="eastAsia" w:ascii="宋体" w:hAnsi="宋体" w:cs="仿宋"/>
          <w:color w:val="auto"/>
          <w:kern w:val="0"/>
          <w:sz w:val="24"/>
          <w:szCs w:val="24"/>
          <w:highlight w:val="none"/>
          <w:vertAlign w:val="subscript"/>
        </w:rPr>
        <w:t>高</w:t>
      </w:r>
      <w:r>
        <w:rPr>
          <w:rFonts w:hint="eastAsia"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）/100*Ｘ+Q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：为（最高投标限价*D%）（D的取值范围为[94,100],由招标人自定）</w:t>
      </w:r>
    </w:p>
    <w:p>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X:为等分点值，在开标前从[0,100]整数中随机抽取</w:t>
      </w:r>
    </w:p>
    <w:p>
      <w:pPr>
        <w:spacing w:line="360" w:lineRule="auto"/>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45.3</w:t>
      </w:r>
      <w:r>
        <w:rPr>
          <w:rFonts w:hint="eastAsia" w:ascii="宋体" w:hAnsi="宋体"/>
          <w:color w:val="auto"/>
          <w:sz w:val="24"/>
          <w:szCs w:val="24"/>
          <w:highlight w:val="none"/>
        </w:rPr>
        <w:t>当标价等于评标参考价时得100分，标价每高于评标参考价1%，扣1.5分，每低于评标参考价1%，扣1分，扣至0分为止，得出经济分，精确到小数点后两位。</w:t>
      </w:r>
    </w:p>
    <w:p>
      <w:pPr>
        <w:pStyle w:val="5"/>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45.4计算通过技术标有效性审查的投标人总得分。投标人总得分</w:t>
      </w:r>
      <w:r>
        <w:rPr>
          <w:rFonts w:hint="eastAsia" w:ascii="宋体"/>
          <w:color w:val="auto"/>
          <w:sz w:val="24"/>
          <w:szCs w:val="24"/>
          <w:highlight w:val="none"/>
        </w:rPr>
        <w:t>=（技术得分×技术得分权重</w:t>
      </w:r>
      <w:r>
        <w:rPr>
          <w:rFonts w:hint="eastAsia" w:ascii="宋体" w:hAnsi="宋体"/>
          <w:color w:val="auto"/>
          <w:sz w:val="24"/>
          <w:szCs w:val="24"/>
          <w:highlight w:val="none"/>
        </w:rPr>
        <w:t>＋经济得分</w:t>
      </w:r>
      <w:r>
        <w:rPr>
          <w:rFonts w:hint="eastAsia" w:ascii="宋体"/>
          <w:color w:val="auto"/>
          <w:sz w:val="24"/>
          <w:szCs w:val="24"/>
          <w:highlight w:val="none"/>
        </w:rPr>
        <w:t>×经济得分权重）×（1-综合诚信评价分数权重）</w:t>
      </w:r>
      <w:r>
        <w:rPr>
          <w:rFonts w:hint="eastAsia" w:ascii="宋体" w:hAnsi="宋体"/>
          <w:color w:val="auto"/>
          <w:sz w:val="24"/>
          <w:szCs w:val="24"/>
          <w:highlight w:val="none"/>
        </w:rPr>
        <w:t>＋综合诚信评价排名得分</w:t>
      </w:r>
      <w:r>
        <w:rPr>
          <w:rFonts w:hint="eastAsia" w:ascii="宋体"/>
          <w:color w:val="auto"/>
          <w:sz w:val="24"/>
          <w:szCs w:val="24"/>
          <w:highlight w:val="none"/>
        </w:rPr>
        <w:t>×综合诚信评价分数权重）。技术、经济得分权重按投标须知前附表的规定执行。总得分四舍五入保留两位小数。</w:t>
      </w:r>
    </w:p>
    <w:p>
      <w:pPr>
        <w:pStyle w:val="5"/>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46.2经济标的算术校核。评标委员会对进行经济标有效性审查的投标文件投标报价按照就低不就高的原则进行算术校核，具体标准如下：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46.2.2经算术复核的投标人报价与其投标报价不一致时，按就低不就高原则确定其最终报价；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46.2.4当合价、金额累加错误时，按就低不就高原则，如果累加修正值小于原累加值，则按累加修正值；如果累加修正值大于原累加值，则按原累加值；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49.若通过经济标有效性审查的投标人不足三家，应当依法重新招标。（当N个标段同时招标且不允许兼中时，若有效投标人不足N+2家，应当依法重新招标）</w:t>
      </w:r>
    </w:p>
    <w:p>
      <w:pPr>
        <w:spacing w:line="360" w:lineRule="auto"/>
        <w:ind w:firstLine="480" w:firstLineChars="200"/>
        <w:rPr>
          <w:rFonts w:ascii="宋体" w:hAnsi="宋体"/>
          <w:color w:val="auto"/>
          <w:sz w:val="24"/>
          <w:szCs w:val="24"/>
          <w:highlight w:val="none"/>
        </w:rPr>
      </w:pPr>
    </w:p>
    <w:p>
      <w:pPr>
        <w:widowControl/>
        <w:snapToGrid w:val="0"/>
        <w:spacing w:line="360" w:lineRule="auto"/>
        <w:ind w:right="102"/>
        <w:jc w:val="left"/>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b/>
          <w:color w:val="auto"/>
          <w:szCs w:val="21"/>
          <w:highlight w:val="none"/>
        </w:rPr>
        <w:t>附表一</w:t>
      </w:r>
    </w:p>
    <w:p>
      <w:pPr>
        <w:jc w:val="center"/>
        <w:rPr>
          <w:rFonts w:ascii="宋体" w:hAnsi="宋体"/>
          <w:b/>
          <w:color w:val="auto"/>
          <w:sz w:val="32"/>
          <w:szCs w:val="32"/>
          <w:highlight w:val="none"/>
        </w:rPr>
      </w:pPr>
      <w:r>
        <w:rPr>
          <w:rFonts w:hint="eastAsia" w:ascii="宋体" w:hAnsi="宋体"/>
          <w:b/>
          <w:color w:val="auto"/>
          <w:sz w:val="32"/>
          <w:szCs w:val="32"/>
          <w:highlight w:val="none"/>
        </w:rPr>
        <w:t>资格审查表</w:t>
      </w:r>
    </w:p>
    <w:p>
      <w:pPr>
        <w:spacing w:line="480" w:lineRule="auto"/>
        <w:rPr>
          <w:rFonts w:ascii="宋体" w:hAnsi="宋体"/>
          <w:color w:val="auto"/>
          <w:sz w:val="24"/>
          <w:szCs w:val="24"/>
          <w:highlight w:val="none"/>
        </w:rPr>
      </w:pPr>
      <w:r>
        <w:rPr>
          <w:rFonts w:hint="eastAsia" w:ascii="宋体" w:hAnsi="宋体"/>
          <w:color w:val="auto"/>
          <w:sz w:val="24"/>
          <w:szCs w:val="24"/>
          <w:highlight w:val="none"/>
        </w:rPr>
        <w:t xml:space="preserve">工程名称：                                               </w:t>
      </w:r>
    </w:p>
    <w:tbl>
      <w:tblPr>
        <w:tblStyle w:val="20"/>
        <w:tblW w:w="935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17"/>
        <w:gridCol w:w="38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b/>
                <w:bCs/>
                <w:color w:val="auto"/>
                <w:highlight w:val="none"/>
              </w:rPr>
            </w:pPr>
            <w:r>
              <w:rPr>
                <w:rFonts w:hint="eastAsia" w:ascii="宋体" w:hAnsi="宋体"/>
                <w:b/>
                <w:bCs/>
                <w:color w:val="auto"/>
                <w:highlight w:val="none"/>
              </w:rPr>
              <w:t>序号</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b/>
                <w:bCs/>
                <w:color w:val="auto"/>
                <w:highlight w:val="none"/>
              </w:rPr>
            </w:pPr>
            <w:r>
              <w:rPr>
                <w:rFonts w:hint="eastAsia" w:ascii="宋体" w:hAnsi="宋体"/>
                <w:b/>
                <w:bCs/>
                <w:color w:val="auto"/>
                <w:highlight w:val="none"/>
              </w:rPr>
              <w:t>审查项目</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b/>
                <w:bCs/>
                <w:color w:val="auto"/>
                <w:highlight w:val="none"/>
              </w:rPr>
            </w:pPr>
            <w:r>
              <w:rPr>
                <w:rFonts w:hint="eastAsia" w:ascii="宋体" w:hAnsi="宋体"/>
                <w:b/>
                <w:bCs/>
                <w:color w:val="auto"/>
                <w:highlight w:val="none"/>
              </w:rPr>
              <w:t>须审查的资料</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b/>
                <w:bCs/>
                <w:color w:val="auto"/>
                <w:highlight w:val="none"/>
              </w:rPr>
            </w:pPr>
            <w:r>
              <w:rPr>
                <w:rFonts w:hint="eastAsia" w:ascii="宋体" w:hAnsi="宋体"/>
                <w:b/>
                <w:bCs/>
                <w:color w:val="auto"/>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1</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投标人参加投标的意思表达清楚，投标人代表被授权有效</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投标人声明、法定代表人证明书；委托投标的还应提供法人授权委托证明书</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2</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投标人均具有独立法人资格，按国家法律经营</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u w:val="single"/>
              </w:rPr>
            </w:pPr>
            <w:r>
              <w:rPr>
                <w:rFonts w:hint="eastAsia" w:ascii="宋体" w:hAnsi="宋体"/>
                <w:color w:val="auto"/>
                <w:szCs w:val="21"/>
                <w:highlight w:val="none"/>
                <w:u w:val="single"/>
              </w:rPr>
              <w:t>营业执照的原件扫描件</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3</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投标人持有建设行政主管部门颁发的企业资质证书及安全生产许可证；投标人资质符合公告要求</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u w:val="single"/>
              </w:rPr>
            </w:pPr>
            <w:r>
              <w:rPr>
                <w:rFonts w:hint="eastAsia" w:ascii="宋体" w:hAnsi="宋体" w:cs="宋体"/>
                <w:color w:val="auto"/>
                <w:kern w:val="0"/>
                <w:szCs w:val="21"/>
                <w:highlight w:val="none"/>
                <w:u w:val="single"/>
              </w:rPr>
              <w:t>资质证书及安全生产许可证</w:t>
            </w:r>
            <w:r>
              <w:rPr>
                <w:rFonts w:hint="eastAsia" w:ascii="宋体" w:hAnsi="宋体"/>
                <w:color w:val="auto"/>
                <w:szCs w:val="21"/>
                <w:highlight w:val="none"/>
                <w:u w:val="single"/>
              </w:rPr>
              <w:t>的原件扫描件</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4</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投标人拟担任本工程项目负责人符合公告要求</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hAnsi="宋体"/>
                <w:bCs/>
                <w:color w:val="auto"/>
                <w:szCs w:val="21"/>
                <w:highlight w:val="none"/>
                <w:u w:val="single"/>
              </w:rPr>
            </w:pPr>
            <w:r>
              <w:rPr>
                <w:rFonts w:hint="eastAsia" w:ascii="宋体" w:hAnsi="宋体"/>
                <w:bCs/>
                <w:color w:val="auto"/>
                <w:szCs w:val="21"/>
                <w:highlight w:val="none"/>
                <w:u w:val="single"/>
              </w:rPr>
              <w:t>使用有效期内的注册建造师注册证书</w:t>
            </w:r>
          </w:p>
          <w:p>
            <w:pPr>
              <w:spacing w:before="120" w:after="60"/>
              <w:jc w:val="center"/>
              <w:rPr>
                <w:rFonts w:ascii="宋体" w:hAnsi="宋体"/>
                <w:color w:val="auto"/>
                <w:szCs w:val="21"/>
                <w:highlight w:val="none"/>
                <w:u w:val="single"/>
              </w:rPr>
            </w:pPr>
            <w:r>
              <w:rPr>
                <w:rFonts w:hint="eastAsia" w:ascii="宋体" w:hAnsi="宋体"/>
                <w:bCs/>
                <w:color w:val="auto"/>
                <w:szCs w:val="21"/>
                <w:highlight w:val="none"/>
                <w:u w:val="single"/>
              </w:rPr>
              <w:t>（注：打印建造师电子证书后，应在个人签名处手写本人签名，扫描件未手写签名或与签名图像笔迹不一致的，该电子证书无效。）</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5</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bCs/>
                <w:color w:val="auto"/>
                <w:highlight w:val="none"/>
              </w:rPr>
              <w:t>持有项目负责人安全</w:t>
            </w:r>
            <w:r>
              <w:rPr>
                <w:rFonts w:hint="eastAsia" w:ascii="宋体" w:hAnsi="宋体"/>
                <w:b/>
                <w:bCs/>
                <w:color w:val="auto"/>
                <w:highlight w:val="none"/>
              </w:rPr>
              <w:t>生产</w:t>
            </w:r>
            <w:r>
              <w:rPr>
                <w:rFonts w:hint="eastAsia" w:ascii="宋体" w:hAnsi="宋体"/>
                <w:bCs/>
                <w:color w:val="auto"/>
                <w:highlight w:val="none"/>
              </w:rPr>
              <w:t>考核合格证（B类）或</w:t>
            </w:r>
            <w:r>
              <w:rPr>
                <w:rFonts w:hint="eastAsia" w:ascii="宋体" w:hAnsi="宋体"/>
                <w:color w:val="auto"/>
                <w:highlight w:val="none"/>
              </w:rPr>
              <w:t>建筑施工企业项目负责人安全生产考核合格证</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hAnsi="宋体"/>
                <w:color w:val="auto"/>
                <w:highlight w:val="none"/>
                <w:u w:val="single"/>
              </w:rPr>
            </w:pPr>
            <w:r>
              <w:rPr>
                <w:rFonts w:hint="eastAsia" w:ascii="宋体" w:hAnsi="宋体"/>
                <w:bCs/>
                <w:color w:val="auto"/>
                <w:highlight w:val="none"/>
                <w:u w:val="single"/>
              </w:rPr>
              <w:t>项目负责人安全</w:t>
            </w:r>
            <w:r>
              <w:rPr>
                <w:rFonts w:hint="eastAsia" w:ascii="宋体" w:hAnsi="宋体"/>
                <w:b/>
                <w:bCs/>
                <w:color w:val="auto"/>
                <w:highlight w:val="none"/>
                <w:u w:val="single"/>
              </w:rPr>
              <w:t>生产</w:t>
            </w:r>
            <w:r>
              <w:rPr>
                <w:rFonts w:hint="eastAsia" w:ascii="宋体" w:hAnsi="宋体"/>
                <w:bCs/>
                <w:color w:val="auto"/>
                <w:highlight w:val="none"/>
                <w:u w:val="single"/>
              </w:rPr>
              <w:t>考核合格证（B</w:t>
            </w:r>
            <w:r>
              <w:rPr>
                <w:rFonts w:hint="eastAsia" w:ascii="宋体" w:hAnsi="宋体"/>
                <w:color w:val="auto"/>
                <w:highlight w:val="none"/>
                <w:u w:val="single"/>
              </w:rPr>
              <w:t>类</w:t>
            </w:r>
            <w:r>
              <w:rPr>
                <w:rFonts w:hint="eastAsia" w:ascii="宋体" w:hAnsi="宋体"/>
                <w:bCs/>
                <w:color w:val="auto"/>
                <w:highlight w:val="none"/>
                <w:u w:val="single"/>
              </w:rPr>
              <w:t>）</w:t>
            </w:r>
            <w:r>
              <w:rPr>
                <w:rFonts w:hint="eastAsia" w:ascii="宋体" w:hAnsi="宋体"/>
                <w:color w:val="auto"/>
                <w:highlight w:val="none"/>
                <w:u w:val="single"/>
              </w:rPr>
              <w:t>或建筑施工企业项目负责人安全生产考核合格证的原件扫描件</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6</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投标人拟担任本工程技术负责人符合公告要求</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szCs w:val="21"/>
                <w:highlight w:val="none"/>
              </w:rPr>
              <w:t>拟委派技术负责人职称证书扫描件</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7</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专职安全员须具有安全生产考核合格证（C证）或</w:t>
            </w:r>
            <w:r>
              <w:rPr>
                <w:rFonts w:hint="eastAsia" w:ascii="宋体" w:hAnsi="宋体" w:cs="宋体"/>
                <w:bCs/>
                <w:color w:val="auto"/>
                <w:szCs w:val="21"/>
                <w:highlight w:val="none"/>
              </w:rPr>
              <w:t>建筑施工企业专职安全生产管理人员安全生产考核合格证（C3）</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专职安全员的安全生产考核合格证（C证）或</w:t>
            </w:r>
            <w:r>
              <w:rPr>
                <w:rFonts w:hint="eastAsia" w:ascii="宋体" w:hAnsi="宋体" w:cs="宋体"/>
                <w:bCs/>
                <w:color w:val="auto"/>
                <w:szCs w:val="21"/>
                <w:highlight w:val="none"/>
              </w:rPr>
              <w:t>建筑施工企业专职安全生产管理人员安全生产考核合格证（C3）的原件扫描件</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8</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投标人提供的《投标人声明》符合公告要求</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投标人声明</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9</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投标人声明中签字的项目负责人和技术负责人与本项目拟派的项目负责人和技术负责人一致</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网上投标时选择拟投标的项目负责人、资格审查文件中拟委派的技术负责人及投标人声明</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10</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u w:val="single"/>
              </w:rPr>
            </w:pPr>
            <w:r>
              <w:rPr>
                <w:rFonts w:hint="eastAsia" w:ascii="宋体"/>
                <w:color w:val="auto"/>
                <w:highlight w:val="none"/>
                <w:u w:val="single"/>
              </w:rPr>
              <w:t>本项目不接受联合体投标</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color w:val="auto"/>
                <w:highlight w:val="none"/>
              </w:rPr>
              <w:t>/</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hAnsi="宋体"/>
                <w:color w:val="auto"/>
                <w:highlight w:val="none"/>
              </w:rPr>
            </w:pPr>
            <w:r>
              <w:rPr>
                <w:rFonts w:hint="eastAsia" w:ascii="宋体" w:hAnsi="宋体"/>
                <w:color w:val="auto"/>
                <w:highlight w:val="none"/>
              </w:rPr>
              <w:t>11</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hAnsi="宋体"/>
                <w:color w:val="auto"/>
                <w:highlight w:val="none"/>
              </w:rPr>
            </w:pPr>
            <w:r>
              <w:rPr>
                <w:rFonts w:hint="eastAsia" w:ascii="宋体" w:hAnsi="宋体"/>
                <w:color w:val="auto"/>
                <w:highlight w:val="none"/>
              </w:rPr>
              <w:t>资格审查前，投标人已在广州交易集团有限公司（广州公共资源交易中心）企业库办理企业信息登记，拟担任本工程项目负责人、专职安全员是本企业在广州交易集团有限公司（广州公共资源交易中心）企业信息登记中的在册人员</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投标人在广州交易集团有限公司（广州公共资源交易中心）企业库内登记的企业和人员信息</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12</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投标人未出现以下情形：与其它投标人的单位负责人为同一人或者存在控股、管理关系的（按投标人提供的《投标人声明》第八条内容进行评审）</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r>
              <w:rPr>
                <w:rFonts w:hint="eastAsia" w:ascii="宋体" w:hAnsi="宋体"/>
                <w:color w:val="auto"/>
                <w:highlight w:val="none"/>
              </w:rPr>
              <w:t>投标人声明</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noWrap/>
            <w:vAlign w:val="center"/>
          </w:tcPr>
          <w:p>
            <w:pPr>
              <w:spacing w:before="120" w:after="60"/>
              <w:jc w:val="center"/>
              <w:rPr>
                <w:rFonts w:ascii="宋体" w:hAnsi="宋体"/>
                <w:color w:val="auto"/>
                <w:highlight w:val="none"/>
              </w:rPr>
            </w:pPr>
            <w:r>
              <w:rPr>
                <w:rFonts w:hint="eastAsia" w:ascii="宋体" w:hAnsi="宋体"/>
                <w:color w:val="auto"/>
                <w:highlight w:val="none"/>
              </w:rPr>
              <w:t>13</w:t>
            </w:r>
          </w:p>
        </w:tc>
        <w:tc>
          <w:tcPr>
            <w:tcW w:w="411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hAnsi="宋体"/>
                <w:color w:val="auto"/>
                <w:highlight w:val="none"/>
              </w:rPr>
            </w:pPr>
            <w:r>
              <w:rPr>
                <w:rFonts w:hint="eastAsia" w:ascii="宋体" w:hAnsi="宋体"/>
                <w:b/>
                <w:bCs/>
                <w:color w:val="auto"/>
                <w:highlight w:val="none"/>
              </w:rPr>
              <w:t>未被列入拖欠农民工工资失信联合惩戒对象名单</w:t>
            </w:r>
          </w:p>
        </w:tc>
        <w:tc>
          <w:tcPr>
            <w:tcW w:w="3827"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hAnsi="宋体"/>
                <w:color w:val="auto"/>
                <w:highlight w:val="none"/>
              </w:rPr>
            </w:pPr>
            <w:r>
              <w:rPr>
                <w:rFonts w:hint="eastAsia" w:ascii="宋体" w:hAnsi="宋体"/>
                <w:color w:val="auto"/>
                <w:szCs w:val="21"/>
                <w:highlight w:val="none"/>
              </w:rPr>
              <w:t>投标人无需提供资料，按交易系统比对的结果进行评审</w:t>
            </w:r>
          </w:p>
        </w:tc>
        <w:tc>
          <w:tcPr>
            <w:tcW w:w="708" w:type="dxa"/>
            <w:tcBorders>
              <w:top w:val="single" w:color="auto" w:sz="4" w:space="0"/>
              <w:left w:val="nil"/>
              <w:bottom w:val="single" w:color="auto" w:sz="4" w:space="0"/>
              <w:right w:val="single" w:color="auto" w:sz="4" w:space="0"/>
            </w:tcBorders>
            <w:noWrap/>
            <w:vAlign w:val="center"/>
          </w:tcPr>
          <w:p>
            <w:pPr>
              <w:spacing w:before="120" w:after="60"/>
              <w:jc w:val="center"/>
              <w:rPr>
                <w:rFonts w:ascii="宋体"/>
                <w:color w:val="auto"/>
                <w:highlight w:val="none"/>
              </w:rPr>
            </w:pPr>
          </w:p>
        </w:tc>
      </w:tr>
    </w:tbl>
    <w:p>
      <w:pPr>
        <w:rPr>
          <w:rFonts w:ascii="宋体" w:hAnsi="宋体"/>
          <w:bCs/>
          <w:color w:val="auto"/>
          <w:szCs w:val="21"/>
          <w:highlight w:val="none"/>
        </w:rPr>
      </w:pPr>
      <w:r>
        <w:rPr>
          <w:rFonts w:hint="eastAsia" w:ascii="宋体" w:hAnsi="宋体"/>
          <w:bCs/>
          <w:color w:val="auto"/>
          <w:szCs w:val="21"/>
          <w:highlight w:val="none"/>
        </w:rPr>
        <w:t>备注：</w:t>
      </w:r>
    </w:p>
    <w:p>
      <w:pPr>
        <w:rPr>
          <w:rFonts w:ascii="宋体" w:hAnsi="宋体"/>
          <w:bCs/>
          <w:color w:val="auto"/>
          <w:szCs w:val="21"/>
          <w:highlight w:val="none"/>
        </w:rPr>
      </w:pPr>
      <w:r>
        <w:rPr>
          <w:rFonts w:hint="eastAsia" w:ascii="宋体" w:hAnsi="宋体"/>
          <w:bCs/>
          <w:color w:val="auto"/>
          <w:szCs w:val="21"/>
          <w:highlight w:val="none"/>
        </w:rPr>
        <w:t xml:space="preserve">1、每一项目符合的打“○”，不符合的打“×”； </w:t>
      </w:r>
    </w:p>
    <w:p>
      <w:pPr>
        <w:rPr>
          <w:rFonts w:ascii="宋体" w:hAnsi="宋体"/>
          <w:bCs/>
          <w:color w:val="auto"/>
          <w:szCs w:val="21"/>
          <w:highlight w:val="none"/>
        </w:rPr>
      </w:pPr>
      <w:r>
        <w:rPr>
          <w:rFonts w:hint="eastAsia" w:ascii="宋体" w:hAnsi="宋体"/>
          <w:bCs/>
          <w:color w:val="auto"/>
          <w:szCs w:val="21"/>
          <w:highlight w:val="none"/>
        </w:rPr>
        <w:t>2、若评委意见不一致时，则按少数服从多数的原则，作出评审结论。汇总后，出现一个“×”的结论为“不通过”。</w:t>
      </w:r>
    </w:p>
    <w:p>
      <w:pPr>
        <w:rPr>
          <w:rFonts w:ascii="宋体" w:hAnsi="宋体"/>
          <w:color w:val="auto"/>
          <w:szCs w:val="21"/>
          <w:highlight w:val="none"/>
          <w:u w:val="single"/>
        </w:rPr>
      </w:pPr>
      <w:r>
        <w:rPr>
          <w:rFonts w:hint="eastAsia" w:ascii="宋体" w:hAnsi="宋体"/>
          <w:b/>
          <w:color w:val="auto"/>
          <w:szCs w:val="21"/>
          <w:highlight w:val="none"/>
          <w:u w:val="single"/>
        </w:rPr>
        <w:t>3.</w:t>
      </w:r>
      <w:r>
        <w:rPr>
          <w:rFonts w:hint="eastAsia" w:ascii="宋体" w:hAnsi="宋体"/>
          <w:b/>
          <w:bCs/>
          <w:color w:val="auto"/>
          <w:szCs w:val="21"/>
          <w:highlight w:val="none"/>
          <w:u w:val="singl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olor w:val="auto"/>
          <w:highlight w:val="none"/>
        </w:rPr>
        <w:sectPr>
          <w:footerReference r:id="rId6" w:type="first"/>
          <w:footerReference r:id="rId4" w:type="default"/>
          <w:headerReference r:id="rId3" w:type="even"/>
          <w:footerReference r:id="rId5" w:type="even"/>
          <w:endnotePr>
            <w:numFmt w:val="decimal"/>
          </w:endnotePr>
          <w:pgSz w:w="11906" w:h="16838"/>
          <w:pgMar w:top="1134" w:right="1418" w:bottom="993" w:left="1418" w:header="851" w:footer="519" w:gutter="0"/>
          <w:cols w:space="720" w:num="1"/>
          <w:titlePg/>
          <w:docGrid w:type="lines" w:linePitch="312" w:charSpace="0"/>
        </w:sectPr>
      </w:pPr>
    </w:p>
    <w:p>
      <w:pPr>
        <w:rPr>
          <w:rFonts w:ascii="宋体" w:hAnsi="宋体"/>
          <w:b/>
          <w:color w:val="auto"/>
          <w:szCs w:val="21"/>
          <w:highlight w:val="none"/>
        </w:rPr>
      </w:pPr>
      <w:r>
        <w:rPr>
          <w:rFonts w:hint="eastAsia" w:ascii="宋体" w:hAnsi="宋体"/>
          <w:b/>
          <w:color w:val="auto"/>
          <w:szCs w:val="21"/>
          <w:highlight w:val="none"/>
        </w:rPr>
        <w:t>附表二</w:t>
      </w:r>
    </w:p>
    <w:p>
      <w:pPr>
        <w:jc w:val="center"/>
        <w:rPr>
          <w:b/>
          <w:bCs/>
          <w:color w:val="auto"/>
          <w:sz w:val="36"/>
          <w:szCs w:val="36"/>
          <w:highlight w:val="none"/>
        </w:rPr>
      </w:pPr>
      <w:r>
        <w:rPr>
          <w:rFonts w:hint="eastAsia" w:ascii="宋体" w:hAnsi="宋体"/>
          <w:b/>
          <w:bCs/>
          <w:color w:val="auto"/>
          <w:sz w:val="36"/>
          <w:szCs w:val="36"/>
          <w:highlight w:val="none"/>
        </w:rPr>
        <w:t>技术标有效性审查表</w:t>
      </w:r>
    </w:p>
    <w:p>
      <w:pPr>
        <w:rPr>
          <w:rFonts w:ascii="宋体" w:hAnsi="宋体"/>
          <w:color w:val="auto"/>
          <w:highlight w:val="none"/>
        </w:rPr>
      </w:pPr>
      <w:r>
        <w:rPr>
          <w:rFonts w:hint="eastAsia" w:ascii="宋体" w:hAnsi="宋体"/>
          <w:color w:val="auto"/>
          <w:highlight w:val="none"/>
        </w:rPr>
        <w:t>工程名称：</w:t>
      </w:r>
    </w:p>
    <w:tbl>
      <w:tblPr>
        <w:tblStyle w:val="20"/>
        <w:tblW w:w="146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977"/>
        <w:gridCol w:w="1275"/>
        <w:gridCol w:w="1380"/>
        <w:gridCol w:w="1630"/>
        <w:gridCol w:w="1630"/>
        <w:gridCol w:w="163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序号</w:t>
            </w:r>
          </w:p>
        </w:tc>
        <w:tc>
          <w:tcPr>
            <w:tcW w:w="4977" w:type="dxa"/>
            <w:tcBorders>
              <w:top w:val="single" w:color="auto" w:sz="4" w:space="0"/>
              <w:left w:val="nil"/>
              <w:bottom w:val="single" w:color="auto" w:sz="4" w:space="0"/>
              <w:right w:val="single" w:color="auto" w:sz="4" w:space="0"/>
            </w:tcBorders>
            <w:noWrap/>
          </w:tcPr>
          <w:p>
            <w:pPr>
              <w:ind w:firstLine="3990" w:firstLineChars="1900"/>
              <w:rPr>
                <w:rFonts w:ascii="宋体" w:hAnsi="宋体"/>
                <w:color w:val="auto"/>
                <w:highlight w:val="none"/>
              </w:rPr>
            </w:pPr>
            <w:r>
              <w:rPr>
                <w:rFonts w:hint="eastAsia" w:ascii="宋体" w:hAnsi="宋体"/>
                <w:color w:val="auto"/>
                <w:highlight w:val="none"/>
              </w:rPr>
              <w:t>投标人</w:t>
            </w:r>
          </w:p>
          <w:p>
            <w:pPr>
              <w:rPr>
                <w:rFonts w:ascii="宋体" w:hAnsi="宋体"/>
                <w:color w:val="auto"/>
                <w:highlight w:val="none"/>
              </w:rPr>
            </w:pPr>
            <w:r>
              <w:rPr>
                <w:rFonts w:hint="eastAsia" w:ascii="宋体" w:hAnsi="宋体"/>
                <w:color w:val="auto"/>
                <w:highlight w:val="none"/>
              </w:rPr>
              <w:t>评审内容</w:t>
            </w:r>
          </w:p>
        </w:tc>
        <w:tc>
          <w:tcPr>
            <w:tcW w:w="1275"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1</w:t>
            </w:r>
          </w:p>
        </w:tc>
        <w:tc>
          <w:tcPr>
            <w:tcW w:w="4977" w:type="dxa"/>
            <w:tcBorders>
              <w:top w:val="single" w:color="auto" w:sz="4" w:space="0"/>
              <w:left w:val="nil"/>
              <w:bottom w:val="single" w:color="auto" w:sz="4" w:space="0"/>
              <w:right w:val="single" w:color="auto" w:sz="4" w:space="0"/>
            </w:tcBorders>
            <w:noWrap/>
          </w:tcPr>
          <w:p>
            <w:pPr>
              <w:rPr>
                <w:rFonts w:ascii="宋体" w:hAnsi="宋体"/>
                <w:color w:val="auto"/>
                <w:highlight w:val="none"/>
              </w:rPr>
            </w:pPr>
            <w:r>
              <w:rPr>
                <w:rFonts w:hint="eastAsia" w:ascii="宋体" w:hAnsi="宋体"/>
                <w:color w:val="auto"/>
                <w:szCs w:val="21"/>
                <w:highlight w:val="none"/>
                <w:u w:val="single"/>
              </w:rPr>
              <w:t>《广州建设工程施工招标投标书》中的</w:t>
            </w:r>
            <w:r>
              <w:rPr>
                <w:rFonts w:hint="eastAsia" w:ascii="宋体" w:hAnsi="宋体" w:cs="宋体"/>
                <w:color w:val="auto"/>
                <w:szCs w:val="21"/>
                <w:highlight w:val="none"/>
                <w:u w:val="single"/>
              </w:rPr>
              <w:t>工期</w:t>
            </w:r>
            <w:r>
              <w:rPr>
                <w:rFonts w:hint="eastAsia" w:ascii="宋体" w:hAnsi="宋体"/>
                <w:color w:val="auto"/>
                <w:highlight w:val="none"/>
              </w:rPr>
              <w:t>不能满足完成投标项目工期的；</w:t>
            </w:r>
          </w:p>
        </w:tc>
        <w:tc>
          <w:tcPr>
            <w:tcW w:w="1275"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2</w:t>
            </w:r>
          </w:p>
        </w:tc>
        <w:tc>
          <w:tcPr>
            <w:tcW w:w="4977" w:type="dxa"/>
            <w:tcBorders>
              <w:top w:val="single" w:color="auto" w:sz="4" w:space="0"/>
              <w:left w:val="nil"/>
              <w:bottom w:val="single" w:color="auto" w:sz="4" w:space="0"/>
              <w:right w:val="single" w:color="auto" w:sz="4" w:space="0"/>
            </w:tcBorders>
            <w:noWrap/>
          </w:tcPr>
          <w:p>
            <w:pPr>
              <w:adjustRightInd w:val="0"/>
              <w:rPr>
                <w:rFonts w:ascii="宋体" w:hAnsi="宋体"/>
                <w:color w:val="auto"/>
                <w:szCs w:val="21"/>
                <w:highlight w:val="none"/>
                <w:u w:val="single"/>
              </w:rPr>
            </w:pPr>
            <w:r>
              <w:rPr>
                <w:rFonts w:hint="eastAsia" w:ascii="宋体" w:hAnsi="宋体"/>
                <w:color w:val="auto"/>
                <w:szCs w:val="21"/>
                <w:highlight w:val="none"/>
                <w:u w:val="single"/>
              </w:rPr>
              <w:t>《广州建设工程施工招标投标书》中的工程质量标准不符合招标文件要求的；</w:t>
            </w:r>
          </w:p>
        </w:tc>
        <w:tc>
          <w:tcPr>
            <w:tcW w:w="1275"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3</w:t>
            </w:r>
          </w:p>
        </w:tc>
        <w:tc>
          <w:tcPr>
            <w:tcW w:w="4977" w:type="dxa"/>
            <w:tcBorders>
              <w:top w:val="single" w:color="auto" w:sz="4" w:space="0"/>
              <w:left w:val="nil"/>
              <w:bottom w:val="single" w:color="auto" w:sz="4" w:space="0"/>
              <w:right w:val="single" w:color="auto" w:sz="4" w:space="0"/>
            </w:tcBorders>
            <w:noWrap/>
          </w:tcPr>
          <w:p>
            <w:pPr>
              <w:rPr>
                <w:rFonts w:ascii="宋体" w:hAnsi="宋体"/>
                <w:color w:val="auto"/>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275"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4</w:t>
            </w:r>
          </w:p>
        </w:tc>
        <w:tc>
          <w:tcPr>
            <w:tcW w:w="4977" w:type="dxa"/>
            <w:tcBorders>
              <w:top w:val="single" w:color="auto" w:sz="4" w:space="0"/>
              <w:left w:val="nil"/>
              <w:bottom w:val="single" w:color="auto" w:sz="4" w:space="0"/>
              <w:right w:val="single" w:color="auto" w:sz="4" w:space="0"/>
            </w:tcBorders>
            <w:noWrap/>
          </w:tcPr>
          <w:p>
            <w:pPr>
              <w:rPr>
                <w:rFonts w:ascii="宋体" w:hAnsi="宋体"/>
                <w:color w:val="auto"/>
                <w:highlight w:val="none"/>
              </w:rPr>
            </w:pPr>
            <w:r>
              <w:rPr>
                <w:rFonts w:hint="eastAsia" w:ascii="宋体" w:hAnsi="宋体"/>
                <w:color w:val="auto"/>
                <w:szCs w:val="21"/>
                <w:highlight w:val="none"/>
              </w:rPr>
              <w:t>投标文件未按规定的格式</w:t>
            </w:r>
            <w:r>
              <w:rPr>
                <w:rFonts w:hint="eastAsia" w:ascii="宋体" w:hAnsi="宋体"/>
                <w:color w:val="auto"/>
                <w:szCs w:val="21"/>
                <w:highlight w:val="none"/>
                <w:u w:val="single"/>
              </w:rPr>
              <w:t>（</w:t>
            </w:r>
            <w:r>
              <w:rPr>
                <w:rFonts w:hint="eastAsia" w:ascii="宋体" w:hAnsi="宋体"/>
                <w:color w:val="auto"/>
                <w:highlight w:val="none"/>
                <w:u w:val="single"/>
              </w:rPr>
              <w:t>招标文件第四章格式一、格式二《一、参与编制技术标投标文件人员名单》</w:t>
            </w:r>
            <w:r>
              <w:rPr>
                <w:rFonts w:hint="eastAsia" w:ascii="宋体" w:hAnsi="宋体"/>
                <w:color w:val="auto"/>
                <w:szCs w:val="21"/>
                <w:highlight w:val="none"/>
                <w:u w:val="single"/>
              </w:rPr>
              <w:t>）</w:t>
            </w:r>
            <w:r>
              <w:rPr>
                <w:rFonts w:hint="eastAsia" w:ascii="宋体" w:hAnsi="宋体"/>
                <w:color w:val="auto"/>
                <w:szCs w:val="21"/>
                <w:highlight w:val="none"/>
              </w:rPr>
              <w:t>填写，或主要内容不全，或关键字迹模糊、无法辨认的；</w:t>
            </w:r>
          </w:p>
        </w:tc>
        <w:tc>
          <w:tcPr>
            <w:tcW w:w="1275"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5</w:t>
            </w:r>
          </w:p>
        </w:tc>
        <w:tc>
          <w:tcPr>
            <w:tcW w:w="4977" w:type="dxa"/>
            <w:tcBorders>
              <w:top w:val="single" w:color="auto" w:sz="4" w:space="0"/>
              <w:left w:val="nil"/>
              <w:bottom w:val="single" w:color="auto" w:sz="4" w:space="0"/>
              <w:right w:val="single" w:color="auto" w:sz="4" w:space="0"/>
            </w:tcBorders>
            <w:noWrap/>
          </w:tcPr>
          <w:p>
            <w:pPr>
              <w:rPr>
                <w:rFonts w:ascii="宋体" w:hAnsi="宋体"/>
                <w:color w:val="auto"/>
                <w:highlight w:val="none"/>
              </w:rPr>
            </w:pPr>
            <w:r>
              <w:rPr>
                <w:rFonts w:hint="eastAsia" w:ascii="宋体" w:hAnsi="宋体"/>
                <w:color w:val="auto"/>
                <w:highlight w:val="none"/>
              </w:rPr>
              <w:t>投标人之间存在《广东省实施&lt;中华人民共和国招标投标法&gt;》第十六条所禁止的情形的；</w:t>
            </w:r>
          </w:p>
        </w:tc>
        <w:tc>
          <w:tcPr>
            <w:tcW w:w="1275"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6</w:t>
            </w:r>
          </w:p>
        </w:tc>
        <w:tc>
          <w:tcPr>
            <w:tcW w:w="4977" w:type="dxa"/>
            <w:tcBorders>
              <w:top w:val="single" w:color="auto" w:sz="4" w:space="0"/>
              <w:left w:val="nil"/>
              <w:bottom w:val="single" w:color="auto" w:sz="4" w:space="0"/>
              <w:right w:val="single" w:color="auto" w:sz="4" w:space="0"/>
            </w:tcBorders>
            <w:noWrap/>
          </w:tcPr>
          <w:p>
            <w:pPr>
              <w:rPr>
                <w:rFonts w:ascii="宋体" w:hAnsi="宋体"/>
                <w:color w:val="auto"/>
                <w:highlight w:val="none"/>
              </w:rPr>
            </w:pPr>
            <w:r>
              <w:rPr>
                <w:rFonts w:hint="eastAsia" w:ascii="宋体" w:hAnsi="宋体"/>
                <w:color w:val="auto"/>
                <w:highlight w:val="none"/>
              </w:rPr>
              <w:t>无《参与编制技术标投标文件人员名单》的；</w:t>
            </w:r>
          </w:p>
        </w:tc>
        <w:tc>
          <w:tcPr>
            <w:tcW w:w="1275"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2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7</w:t>
            </w:r>
          </w:p>
        </w:tc>
        <w:tc>
          <w:tcPr>
            <w:tcW w:w="4977" w:type="dxa"/>
            <w:tcBorders>
              <w:top w:val="single" w:color="auto" w:sz="4" w:space="0"/>
              <w:left w:val="nil"/>
              <w:bottom w:val="single" w:color="auto" w:sz="4" w:space="0"/>
              <w:right w:val="single" w:color="auto" w:sz="4" w:space="0"/>
            </w:tcBorders>
            <w:noWrap/>
          </w:tcPr>
          <w:p>
            <w:pPr>
              <w:rPr>
                <w:rFonts w:ascii="宋体" w:hAnsi="宋体"/>
                <w:color w:val="auto"/>
                <w:highlight w:val="none"/>
                <w:u w:val="single"/>
              </w:rPr>
            </w:pPr>
            <w:r>
              <w:rPr>
                <w:rFonts w:hint="eastAsia" w:ascii="宋体" w:hAnsi="宋体"/>
                <w:color w:val="auto"/>
                <w:szCs w:val="21"/>
                <w:highlight w:val="none"/>
              </w:rPr>
              <w:t>投标人与</w:t>
            </w:r>
            <w:r>
              <w:rPr>
                <w:rFonts w:hint="eastAsia" w:ascii="宋体" w:hAnsi="宋体"/>
                <w:color w:val="auto"/>
                <w:szCs w:val="21"/>
                <w:highlight w:val="none"/>
                <w:u w:val="single"/>
              </w:rPr>
              <w:t>本项目</w:t>
            </w:r>
            <w:r>
              <w:rPr>
                <w:rFonts w:hint="eastAsia" w:ascii="宋体" w:hAnsi="宋体"/>
                <w:color w:val="auto"/>
                <w:szCs w:val="21"/>
                <w:highlight w:val="none"/>
              </w:rPr>
              <w:t>其他投标人加密打包投标文件电脑机器特征码一致的(以</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1275"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noWrap/>
          </w:tcPr>
          <w:p>
            <w:pPr>
              <w:rPr>
                <w:rFonts w:ascii="宋体"/>
                <w:color w:val="auto"/>
                <w:highlight w:val="none"/>
              </w:rPr>
            </w:pPr>
          </w:p>
        </w:tc>
      </w:tr>
    </w:tbl>
    <w:p>
      <w:pPr>
        <w:rPr>
          <w:rFonts w:ascii="宋体" w:hAnsi="宋体"/>
          <w:bCs/>
          <w:color w:val="auto"/>
          <w:highlight w:val="none"/>
        </w:rPr>
      </w:pPr>
      <w:r>
        <w:rPr>
          <w:rFonts w:hint="eastAsia" w:ascii="宋体" w:hAnsi="宋体"/>
          <w:bCs/>
          <w:color w:val="auto"/>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bCs/>
          <w:color w:val="auto"/>
          <w:highlight w:val="none"/>
          <w:u w:val="single"/>
        </w:rPr>
      </w:pPr>
      <w:r>
        <w:rPr>
          <w:rFonts w:hint="eastAsia" w:ascii="宋体" w:hAnsi="宋体"/>
          <w:bCs/>
          <w:color w:val="auto"/>
          <w:highlight w:val="none"/>
        </w:rPr>
        <w:t>2.</w:t>
      </w:r>
      <w:r>
        <w:rPr>
          <w:rFonts w:hint="eastAsia" w:ascii="宋体" w:hAnsi="宋体"/>
          <w:b/>
          <w:bCs/>
          <w:color w:val="auto"/>
          <w:highlight w:val="none"/>
          <w:u w:val="singl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bCs/>
          <w:color w:val="auto"/>
          <w:highlight w:val="none"/>
          <w:u w:val="single"/>
        </w:rPr>
        <w:t>若出现评标委员会否决投标的，应在评标报告中载明否决投标的具体情形、原因；</w:t>
      </w:r>
    </w:p>
    <w:p>
      <w:pPr>
        <w:rPr>
          <w:rFonts w:ascii="宋体" w:hAnsi="宋体"/>
          <w:bCs/>
          <w:color w:val="auto"/>
          <w:highlight w:val="none"/>
        </w:rPr>
      </w:pPr>
      <w:r>
        <w:rPr>
          <w:rFonts w:hint="eastAsia" w:ascii="宋体" w:hAnsi="宋体"/>
          <w:bCs/>
          <w:color w:val="auto"/>
          <w:highlight w:val="none"/>
        </w:rPr>
        <w:t>3.凡出现以上任何一项情形，结论均为无效，否则就为有效。</w:t>
      </w:r>
    </w:p>
    <w:p>
      <w:pPr>
        <w:rPr>
          <w:rFonts w:ascii="宋体" w:hAnsi="宋体"/>
          <w:color w:val="auto"/>
          <w:highlight w:val="none"/>
        </w:rPr>
      </w:pPr>
      <w:r>
        <w:rPr>
          <w:rFonts w:hint="eastAsia" w:ascii="宋体" w:hAnsi="宋体"/>
          <w:bCs/>
          <w:color w:val="auto"/>
          <w:highlight w:val="none"/>
        </w:rPr>
        <w:t>4.如对本表中某种情形的评审意见不一致时，以评标委员会过半数成员的意见作为评标委员会对该情形的认定结论。</w:t>
      </w:r>
    </w:p>
    <w:p>
      <w:pPr>
        <w:rPr>
          <w:rFonts w:ascii="宋体"/>
          <w:color w:val="auto"/>
          <w:highlight w:val="none"/>
        </w:rPr>
      </w:pPr>
      <w:r>
        <w:rPr>
          <w:rFonts w:hint="eastAsia" w:ascii="宋体" w:hAnsi="宋体"/>
          <w:color w:val="auto"/>
          <w:highlight w:val="none"/>
        </w:rPr>
        <w:t>评委签名：</w:t>
      </w:r>
    </w:p>
    <w:p>
      <w:pPr>
        <w:rPr>
          <w:rFonts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附表三</w:t>
      </w:r>
    </w:p>
    <w:p>
      <w:pPr>
        <w:jc w:val="center"/>
        <w:rPr>
          <w:rFonts w:ascii="宋体" w:hAnsi="宋体"/>
          <w:b/>
          <w:color w:val="auto"/>
          <w:sz w:val="36"/>
          <w:szCs w:val="36"/>
          <w:highlight w:val="none"/>
        </w:rPr>
      </w:pPr>
      <w:r>
        <w:rPr>
          <w:rFonts w:hint="eastAsia" w:ascii="宋体" w:hAnsi="宋体"/>
          <w:b/>
          <w:color w:val="auto"/>
          <w:sz w:val="36"/>
          <w:szCs w:val="36"/>
          <w:highlight w:val="none"/>
        </w:rPr>
        <w:t>经济标有效性审查表</w:t>
      </w:r>
    </w:p>
    <w:p>
      <w:pPr>
        <w:rPr>
          <w:rFonts w:ascii="宋体" w:hAnsi="宋体"/>
          <w:color w:val="auto"/>
          <w:szCs w:val="21"/>
          <w:highlight w:val="none"/>
        </w:rPr>
      </w:pPr>
      <w:r>
        <w:rPr>
          <w:rFonts w:hint="eastAsia" w:ascii="宋体" w:hAnsi="宋体"/>
          <w:color w:val="auto"/>
          <w:szCs w:val="21"/>
          <w:highlight w:val="none"/>
        </w:rPr>
        <w:t>工程名称：</w:t>
      </w:r>
    </w:p>
    <w:tbl>
      <w:tblPr>
        <w:tblStyle w:val="20"/>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noWrap/>
          </w:tcPr>
          <w:p>
            <w:pPr>
              <w:rPr>
                <w:rFonts w:ascii="宋体" w:hAnsi="宋体"/>
                <w:color w:val="auto"/>
                <w:szCs w:val="21"/>
                <w:highlight w:val="none"/>
              </w:rPr>
            </w:pP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投标文件未按规定的格式</w:t>
            </w:r>
            <w:r>
              <w:rPr>
                <w:rFonts w:hint="eastAsia" w:ascii="宋体" w:hAnsi="宋体"/>
                <w:color w:val="auto"/>
                <w:szCs w:val="21"/>
                <w:highlight w:val="none"/>
                <w:u w:val="single"/>
              </w:rPr>
              <w:t>（招标文件第四章格式一、格式二《二、参与编制经济标投标文件人员名单》、格式三）</w:t>
            </w:r>
            <w:r>
              <w:rPr>
                <w:rFonts w:hint="eastAsia" w:ascii="宋体" w:hAnsi="宋体"/>
                <w:color w:val="auto"/>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投标人之间存在《广东省实施&lt;中华人民共和国招标投标法&gt;办法》第十六条所禁止的情形的；</w:t>
            </w: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10</w:t>
            </w:r>
          </w:p>
        </w:tc>
        <w:tc>
          <w:tcPr>
            <w:tcW w:w="6102"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u w:val="single"/>
              </w:rPr>
            </w:pPr>
            <w:r>
              <w:rPr>
                <w:rFonts w:hint="eastAsia" w:ascii="宋体" w:hAnsi="宋体"/>
                <w:color w:val="auto"/>
                <w:szCs w:val="21"/>
                <w:highlight w:val="none"/>
                <w:u w:val="single"/>
              </w:rPr>
              <w:t>投标人与本项目其他投标人的投标文件工程量清单编制机器硬件信息一致的（以广州交易集团有限公司（广州公共资源交易中心）交易平台评标系统的检索信息为准）</w:t>
            </w: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tcPr>
          <w:p>
            <w:pPr>
              <w:rPr>
                <w:rFonts w:ascii="宋体" w:hAnsi="宋体"/>
                <w:color w:val="auto"/>
                <w:szCs w:val="21"/>
                <w:highlight w:val="none"/>
              </w:rPr>
            </w:pPr>
          </w:p>
        </w:tc>
      </w:tr>
    </w:tbl>
    <w:p>
      <w:pPr>
        <w:pStyle w:val="5"/>
        <w:spacing w:after="0"/>
        <w:ind w:firstLine="458"/>
        <w:rPr>
          <w:rFonts w:ascii="宋体" w:hAnsi="宋体"/>
          <w:bCs/>
          <w:color w:val="auto"/>
          <w:szCs w:val="21"/>
          <w:highlight w:val="none"/>
        </w:rPr>
      </w:pPr>
      <w:r>
        <w:rPr>
          <w:rFonts w:hint="eastAsia" w:ascii="宋体" w:hAnsi="宋体"/>
          <w:bCs/>
          <w:color w:val="auto"/>
          <w:szCs w:val="21"/>
          <w:highlight w:val="none"/>
        </w:rPr>
        <w:t>注：1.本表使用GZZB2018-3招标文件范本，与范本内容不同之处均以下划线标明。</w:t>
      </w:r>
    </w:p>
    <w:p>
      <w:pPr>
        <w:pStyle w:val="5"/>
        <w:spacing w:after="0"/>
        <w:ind w:firstLine="458"/>
        <w:rPr>
          <w:rFonts w:ascii="宋体" w:hAnsi="宋体"/>
          <w:bCs/>
          <w:color w:val="auto"/>
          <w:szCs w:val="21"/>
          <w:highlight w:val="none"/>
        </w:rPr>
      </w:pPr>
      <w:r>
        <w:rPr>
          <w:rFonts w:hint="eastAsia" w:ascii="宋体" w:hAnsi="宋体"/>
          <w:bCs/>
          <w:color w:val="auto"/>
          <w:szCs w:val="21"/>
          <w:highlight w:val="none"/>
        </w:rPr>
        <w:t>2.凡出现以上任何一项情形，结论均为无效，否则就为有效。</w:t>
      </w:r>
    </w:p>
    <w:p>
      <w:pPr>
        <w:pStyle w:val="5"/>
        <w:spacing w:after="0"/>
        <w:ind w:firstLine="458"/>
        <w:rPr>
          <w:rFonts w:ascii="宋体" w:hAnsi="宋体"/>
          <w:bCs/>
          <w:color w:val="auto"/>
          <w:szCs w:val="21"/>
          <w:highlight w:val="none"/>
        </w:rPr>
      </w:pPr>
      <w:r>
        <w:rPr>
          <w:rFonts w:hint="eastAsia" w:ascii="宋体" w:hAnsi="宋体"/>
          <w:bCs/>
          <w:color w:val="auto"/>
          <w:szCs w:val="21"/>
          <w:highlight w:val="none"/>
        </w:rPr>
        <w:t>3.如对本表中某种情形的评审意见不一致时，以评标委员会过半数成员的意见作为评标委员会对该情形的认定结论。</w:t>
      </w:r>
    </w:p>
    <w:p>
      <w:pPr>
        <w:pStyle w:val="5"/>
        <w:spacing w:after="0"/>
        <w:ind w:firstLine="458"/>
        <w:rPr>
          <w:rFonts w:ascii="宋体" w:hAnsi="宋体"/>
          <w:color w:val="auto"/>
          <w:szCs w:val="21"/>
          <w:highlight w:val="none"/>
          <w:u w:val="single"/>
        </w:rPr>
      </w:pPr>
      <w:r>
        <w:rPr>
          <w:rFonts w:hint="eastAsia" w:ascii="宋体" w:hAnsi="宋体"/>
          <w:color w:val="auto"/>
          <w:szCs w:val="21"/>
          <w:highlight w:val="none"/>
          <w:u w:val="single"/>
        </w:rPr>
        <w:t>4.</w:t>
      </w:r>
      <w:r>
        <w:rPr>
          <w:rFonts w:hint="eastAsia" w:ascii="宋体" w:hAnsi="宋体"/>
          <w:b/>
          <w:bCs/>
          <w:color w:val="auto"/>
          <w:szCs w:val="21"/>
          <w:highlight w:val="none"/>
          <w:u w:val="single"/>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spacing w:after="0"/>
        <w:ind w:firstLine="458"/>
        <w:rPr>
          <w:rFonts w:ascii="宋体" w:hAnsi="宋体"/>
          <w:color w:val="auto"/>
          <w:szCs w:val="21"/>
          <w:highlight w:val="none"/>
        </w:rPr>
        <w:sectPr>
          <w:endnotePr>
            <w:numFmt w:val="decimal"/>
          </w:endnotePr>
          <w:pgSz w:w="16838" w:h="11906" w:orient="landscape"/>
          <w:pgMar w:top="993" w:right="1247" w:bottom="567" w:left="1134" w:header="851" w:footer="907" w:gutter="0"/>
          <w:cols w:space="720" w:num="1"/>
          <w:titlePg/>
          <w:docGrid w:type="lines" w:linePitch="312" w:charSpace="0"/>
        </w:sectPr>
      </w:pPr>
      <w:r>
        <w:rPr>
          <w:rFonts w:hint="eastAsia" w:ascii="宋体" w:hAnsi="宋体"/>
          <w:color w:val="auto"/>
          <w:szCs w:val="21"/>
          <w:highlight w:val="none"/>
        </w:rPr>
        <w:t>评委签名：</w:t>
      </w:r>
    </w:p>
    <w:p>
      <w:pPr>
        <w:rPr>
          <w:rFonts w:ascii="宋体" w:hAnsi="宋体"/>
          <w:b/>
          <w:bCs/>
          <w:color w:val="auto"/>
          <w:sz w:val="24"/>
          <w:szCs w:val="24"/>
          <w:highlight w:val="none"/>
        </w:rPr>
      </w:pPr>
      <w:r>
        <w:rPr>
          <w:rFonts w:hint="eastAsia" w:ascii="宋体" w:hAnsi="宋体"/>
          <w:b/>
          <w:bCs/>
          <w:color w:val="auto"/>
          <w:sz w:val="24"/>
          <w:szCs w:val="24"/>
          <w:highlight w:val="none"/>
        </w:rPr>
        <w:t>附表四</w:t>
      </w:r>
    </w:p>
    <w:p>
      <w:pPr>
        <w:jc w:val="center"/>
        <w:rPr>
          <w:rFonts w:ascii="宋体" w:hAnsi="宋体"/>
          <w:b/>
          <w:color w:val="auto"/>
          <w:sz w:val="28"/>
          <w:szCs w:val="28"/>
          <w:highlight w:val="none"/>
        </w:rPr>
      </w:pPr>
      <w:r>
        <w:rPr>
          <w:rFonts w:hint="eastAsia" w:ascii="宋体" w:hAnsi="宋体"/>
          <w:b/>
          <w:color w:val="auto"/>
          <w:sz w:val="28"/>
          <w:szCs w:val="28"/>
          <w:highlight w:val="none"/>
        </w:rPr>
        <w:t>技术标详细审查评分表</w:t>
      </w:r>
    </w:p>
    <w:tbl>
      <w:tblPr>
        <w:tblStyle w:val="20"/>
        <w:tblW w:w="15780" w:type="dxa"/>
        <w:jc w:val="center"/>
        <w:tblLayout w:type="fixed"/>
        <w:tblCellMar>
          <w:top w:w="0" w:type="dxa"/>
          <w:left w:w="108" w:type="dxa"/>
          <w:bottom w:w="0" w:type="dxa"/>
          <w:right w:w="108" w:type="dxa"/>
        </w:tblCellMar>
      </w:tblPr>
      <w:tblGrid>
        <w:gridCol w:w="929"/>
        <w:gridCol w:w="1569"/>
        <w:gridCol w:w="654"/>
        <w:gridCol w:w="12628"/>
      </w:tblGrid>
      <w:tr>
        <w:tblPrEx>
          <w:tblCellMar>
            <w:top w:w="0" w:type="dxa"/>
            <w:left w:w="108" w:type="dxa"/>
            <w:bottom w:w="0" w:type="dxa"/>
            <w:right w:w="108" w:type="dxa"/>
          </w:tblCellMar>
        </w:tblPrEx>
        <w:trPr>
          <w:trHeight w:val="434" w:hRule="atLeast"/>
          <w:tblHeader/>
          <w:jc w:val="center"/>
        </w:trPr>
        <w:tc>
          <w:tcPr>
            <w:tcW w:w="929" w:type="dxa"/>
            <w:tcBorders>
              <w:top w:val="single" w:color="auto" w:sz="8" w:space="0"/>
              <w:left w:val="single" w:color="auto" w:sz="8" w:space="0"/>
              <w:bottom w:val="single" w:color="auto" w:sz="4" w:space="0"/>
              <w:right w:val="single" w:color="auto" w:sz="4" w:space="0"/>
            </w:tcBorders>
            <w:noWrap/>
            <w:vAlign w:val="center"/>
          </w:tcPr>
          <w:p>
            <w:pPr>
              <w:widowControl/>
              <w:adjustRightInd w:val="0"/>
              <w:snapToGrid w:val="0"/>
              <w:jc w:val="center"/>
              <w:rPr>
                <w:rFonts w:ascii="宋体" w:hAnsi="宋体"/>
                <w:b/>
                <w:bCs/>
                <w:color w:val="auto"/>
                <w:szCs w:val="21"/>
                <w:highlight w:val="none"/>
              </w:rPr>
            </w:pPr>
            <w:r>
              <w:rPr>
                <w:rFonts w:hint="eastAsia" w:ascii="宋体" w:hAnsi="宋体"/>
                <w:b/>
                <w:bCs/>
                <w:color w:val="auto"/>
                <w:highlight w:val="none"/>
              </w:rPr>
              <w:t>评分</w:t>
            </w:r>
          </w:p>
          <w:p>
            <w:pPr>
              <w:widowControl/>
              <w:adjustRightInd w:val="0"/>
              <w:snapToGrid w:val="0"/>
              <w:jc w:val="center"/>
              <w:rPr>
                <w:rFonts w:ascii="宋体" w:hAnsi="宋体"/>
                <w:b/>
                <w:bCs/>
                <w:color w:val="auto"/>
                <w:szCs w:val="21"/>
                <w:highlight w:val="none"/>
              </w:rPr>
            </w:pPr>
            <w:r>
              <w:rPr>
                <w:rFonts w:hint="eastAsia" w:ascii="宋体" w:hAnsi="宋体"/>
                <w:b/>
                <w:bCs/>
                <w:color w:val="auto"/>
                <w:highlight w:val="none"/>
              </w:rPr>
              <w:t>项目</w:t>
            </w:r>
          </w:p>
        </w:tc>
        <w:tc>
          <w:tcPr>
            <w:tcW w:w="1569" w:type="dxa"/>
            <w:tcBorders>
              <w:top w:val="single" w:color="auto" w:sz="8" w:space="0"/>
              <w:left w:val="nil"/>
              <w:bottom w:val="single" w:color="auto" w:sz="4" w:space="0"/>
              <w:right w:val="single" w:color="auto" w:sz="4" w:space="0"/>
            </w:tcBorders>
            <w:noWrap/>
            <w:vAlign w:val="center"/>
          </w:tcPr>
          <w:p>
            <w:pPr>
              <w:widowControl/>
              <w:adjustRightInd w:val="0"/>
              <w:snapToGrid w:val="0"/>
              <w:jc w:val="center"/>
              <w:rPr>
                <w:rFonts w:ascii="宋体" w:hAnsi="宋体"/>
                <w:b/>
                <w:bCs/>
                <w:color w:val="auto"/>
                <w:szCs w:val="21"/>
                <w:highlight w:val="none"/>
              </w:rPr>
            </w:pPr>
            <w:r>
              <w:rPr>
                <w:rFonts w:hint="eastAsia" w:ascii="宋体" w:hAnsi="宋体"/>
                <w:b/>
                <w:bCs/>
                <w:color w:val="auto"/>
                <w:highlight w:val="none"/>
              </w:rPr>
              <w:t>评分内容</w:t>
            </w:r>
          </w:p>
        </w:tc>
        <w:tc>
          <w:tcPr>
            <w:tcW w:w="654" w:type="dxa"/>
            <w:tcBorders>
              <w:top w:val="single" w:color="auto" w:sz="8" w:space="0"/>
              <w:left w:val="nil"/>
              <w:bottom w:val="single" w:color="auto" w:sz="4" w:space="0"/>
              <w:right w:val="single" w:color="auto" w:sz="4" w:space="0"/>
            </w:tcBorders>
            <w:noWrap/>
            <w:vAlign w:val="center"/>
          </w:tcPr>
          <w:p>
            <w:pPr>
              <w:widowControl/>
              <w:adjustRightInd w:val="0"/>
              <w:snapToGrid w:val="0"/>
              <w:jc w:val="center"/>
              <w:rPr>
                <w:rFonts w:ascii="宋体" w:hAnsi="宋体"/>
                <w:b/>
                <w:bCs/>
                <w:color w:val="auto"/>
                <w:szCs w:val="21"/>
                <w:highlight w:val="none"/>
              </w:rPr>
            </w:pPr>
            <w:r>
              <w:rPr>
                <w:rFonts w:hint="eastAsia" w:ascii="宋体" w:hAnsi="宋体"/>
                <w:b/>
                <w:bCs/>
                <w:color w:val="auto"/>
                <w:highlight w:val="none"/>
              </w:rPr>
              <w:t>分值</w:t>
            </w:r>
          </w:p>
        </w:tc>
        <w:tc>
          <w:tcPr>
            <w:tcW w:w="12628" w:type="dxa"/>
            <w:tcBorders>
              <w:top w:val="single" w:color="auto" w:sz="8" w:space="0"/>
              <w:left w:val="nil"/>
              <w:bottom w:val="single" w:color="auto" w:sz="4" w:space="0"/>
              <w:right w:val="single" w:color="auto" w:sz="4" w:space="0"/>
            </w:tcBorders>
            <w:noWrap/>
            <w:vAlign w:val="center"/>
          </w:tcPr>
          <w:p>
            <w:pPr>
              <w:widowControl/>
              <w:adjustRightInd w:val="0"/>
              <w:snapToGrid w:val="0"/>
              <w:jc w:val="center"/>
              <w:rPr>
                <w:rFonts w:ascii="宋体" w:hAnsi="宋体"/>
                <w:b/>
                <w:bCs/>
                <w:color w:val="auto"/>
                <w:szCs w:val="21"/>
                <w:highlight w:val="none"/>
              </w:rPr>
            </w:pPr>
            <w:r>
              <w:rPr>
                <w:rFonts w:hint="eastAsia" w:ascii="宋体" w:hAnsi="宋体"/>
                <w:b/>
                <w:bCs/>
                <w:color w:val="auto"/>
                <w:highlight w:val="none"/>
              </w:rPr>
              <w:t>评审标准</w:t>
            </w:r>
          </w:p>
        </w:tc>
      </w:tr>
      <w:tr>
        <w:tblPrEx>
          <w:tblCellMar>
            <w:top w:w="0" w:type="dxa"/>
            <w:left w:w="108" w:type="dxa"/>
            <w:bottom w:w="0" w:type="dxa"/>
            <w:right w:w="108" w:type="dxa"/>
          </w:tblCellMar>
        </w:tblPrEx>
        <w:trPr>
          <w:cantSplit/>
          <w:trHeight w:val="448" w:hRule="atLeast"/>
          <w:jc w:val="center"/>
        </w:trPr>
        <w:tc>
          <w:tcPr>
            <w:tcW w:w="929" w:type="dxa"/>
            <w:vMerge w:val="restart"/>
            <w:tcBorders>
              <w:top w:val="nil"/>
              <w:left w:val="single" w:color="auto" w:sz="8" w:space="0"/>
              <w:bottom w:val="single" w:color="auto" w:sz="4" w:space="0"/>
              <w:right w:val="single" w:color="auto" w:sz="4" w:space="0"/>
            </w:tcBorders>
            <w:noWrap/>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一、项目管理机构能力（70分）</w:t>
            </w:r>
          </w:p>
        </w:tc>
        <w:tc>
          <w:tcPr>
            <w:tcW w:w="1569" w:type="dxa"/>
            <w:tcBorders>
              <w:top w:val="single" w:color="auto" w:sz="4" w:space="0"/>
              <w:left w:val="nil"/>
              <w:bottom w:val="single" w:color="auto" w:sz="4" w:space="0"/>
              <w:right w:val="single" w:color="auto" w:sz="4" w:space="0"/>
            </w:tcBorders>
            <w:noWrap/>
            <w:vAlign w:val="center"/>
          </w:tcPr>
          <w:p>
            <w:pPr>
              <w:snapToGrid w:val="0"/>
              <w:spacing w:line="280" w:lineRule="exact"/>
              <w:rPr>
                <w:rFonts w:ascii="宋体" w:hAnsi="宋体"/>
                <w:color w:val="auto"/>
                <w:szCs w:val="21"/>
                <w:highlight w:val="none"/>
              </w:rPr>
            </w:pPr>
            <w:r>
              <w:rPr>
                <w:rFonts w:hint="eastAsia" w:ascii="宋体" w:hAnsi="宋体" w:cs="Arial Unicode MS"/>
                <w:color w:val="auto"/>
                <w:szCs w:val="21"/>
                <w:highlight w:val="none"/>
              </w:rPr>
              <w:t>项目负责人</w:t>
            </w:r>
          </w:p>
        </w:tc>
        <w:tc>
          <w:tcPr>
            <w:tcW w:w="654" w:type="dxa"/>
            <w:tcBorders>
              <w:top w:val="single" w:color="auto" w:sz="4" w:space="0"/>
              <w:left w:val="nil"/>
              <w:bottom w:val="single" w:color="auto" w:sz="4" w:space="0"/>
              <w:right w:val="single" w:color="auto" w:sz="4" w:space="0"/>
            </w:tcBorders>
            <w:noWrap/>
            <w:vAlign w:val="center"/>
          </w:tcPr>
          <w:p>
            <w:pPr>
              <w:snapToGrid w:val="0"/>
              <w:jc w:val="center"/>
              <w:rPr>
                <w:rFonts w:ascii="宋体" w:hAnsi="宋体"/>
                <w:color w:val="auto"/>
                <w:szCs w:val="21"/>
                <w:highlight w:val="none"/>
              </w:rPr>
            </w:pPr>
            <w:r>
              <w:rPr>
                <w:rFonts w:ascii="宋体" w:hAnsi="宋体"/>
                <w:color w:val="auto"/>
                <w:szCs w:val="21"/>
                <w:highlight w:val="none"/>
              </w:rPr>
              <w:t>20</w:t>
            </w:r>
          </w:p>
        </w:tc>
        <w:tc>
          <w:tcPr>
            <w:tcW w:w="12628" w:type="dxa"/>
            <w:tcBorders>
              <w:top w:val="single" w:color="auto" w:sz="4" w:space="0"/>
              <w:left w:val="nil"/>
              <w:bottom w:val="single" w:color="auto" w:sz="4" w:space="0"/>
              <w:right w:val="single" w:color="auto" w:sz="4" w:space="0"/>
            </w:tcBorders>
            <w:noWrap/>
            <w:vAlign w:val="center"/>
          </w:tcPr>
          <w:p>
            <w:pPr>
              <w:spacing w:line="420" w:lineRule="exact"/>
              <w:ind w:right="134" w:rightChars="64"/>
              <w:rPr>
                <w:rFonts w:ascii="宋体" w:hAnsi="宋体"/>
                <w:color w:val="auto"/>
                <w:szCs w:val="21"/>
                <w:highlight w:val="none"/>
              </w:rPr>
            </w:pPr>
            <w:r>
              <w:rPr>
                <w:rFonts w:hint="eastAsia" w:ascii="宋体" w:hAnsi="宋体"/>
                <w:color w:val="auto"/>
                <w:szCs w:val="21"/>
                <w:highlight w:val="none"/>
              </w:rPr>
              <w:t>1）拟委派的项目负责人具有中级或以上技术职称的，得10分；其它不得分；</w:t>
            </w:r>
          </w:p>
          <w:p>
            <w:pPr>
              <w:spacing w:line="420" w:lineRule="exact"/>
              <w:ind w:right="134" w:rightChars="64"/>
              <w:rPr>
                <w:rFonts w:ascii="宋体" w:hAnsi="宋体"/>
                <w:color w:val="auto"/>
                <w:szCs w:val="21"/>
                <w:highlight w:val="none"/>
              </w:rPr>
            </w:pPr>
            <w:r>
              <w:rPr>
                <w:rFonts w:hint="eastAsia" w:ascii="宋体" w:hAnsi="宋体"/>
                <w:color w:val="auto"/>
                <w:szCs w:val="21"/>
                <w:highlight w:val="none"/>
              </w:rPr>
              <w:t>2）项目负责人具备管理经验5年（不含）以上的，得10分；3年≤管理经验≤5年，得5分；其它不得分；</w:t>
            </w:r>
          </w:p>
          <w:p>
            <w:pPr>
              <w:spacing w:line="420" w:lineRule="exact"/>
              <w:ind w:right="134" w:rightChars="64"/>
              <w:rPr>
                <w:rFonts w:ascii="宋体" w:hAnsi="宋体" w:cs="Arial Unicode MS"/>
                <w:color w:val="auto"/>
                <w:szCs w:val="21"/>
                <w:highlight w:val="none"/>
              </w:rPr>
            </w:pPr>
            <w:r>
              <w:rPr>
                <w:rFonts w:hint="eastAsia" w:ascii="宋体" w:hAnsi="宋体" w:cs="Arial Unicode MS"/>
                <w:color w:val="auto"/>
                <w:szCs w:val="21"/>
                <w:highlight w:val="none"/>
              </w:rPr>
              <w:t>备注：1</w:t>
            </w:r>
            <w:r>
              <w:rPr>
                <w:rFonts w:ascii="宋体" w:hAnsi="宋体" w:cs="Arial Unicode MS"/>
                <w:color w:val="auto"/>
                <w:szCs w:val="21"/>
                <w:highlight w:val="none"/>
              </w:rPr>
              <w:t>.</w:t>
            </w:r>
            <w:r>
              <w:rPr>
                <w:rFonts w:hint="eastAsia" w:ascii="宋体" w:hAnsi="宋体" w:cs="Arial Unicode MS"/>
                <w:color w:val="auto"/>
                <w:szCs w:val="21"/>
                <w:highlight w:val="none"/>
              </w:rPr>
              <w:t>本项最多得20分。2</w:t>
            </w:r>
            <w:r>
              <w:rPr>
                <w:rFonts w:ascii="宋体" w:hAnsi="宋体" w:cs="Arial Unicode MS"/>
                <w:color w:val="auto"/>
                <w:szCs w:val="21"/>
                <w:highlight w:val="none"/>
              </w:rPr>
              <w:t>.</w:t>
            </w:r>
            <w:r>
              <w:rPr>
                <w:rFonts w:hint="eastAsia" w:ascii="宋体" w:hAnsi="宋体" w:cs="Arial Unicode MS"/>
                <w:color w:val="auto"/>
                <w:szCs w:val="21"/>
                <w:highlight w:val="none"/>
              </w:rPr>
              <w:t>须提供职称证、大学专科或以上学历毕业证扫描件。3</w:t>
            </w:r>
            <w:r>
              <w:rPr>
                <w:rFonts w:ascii="宋体" w:hAnsi="宋体" w:cs="Arial Unicode MS"/>
                <w:color w:val="auto"/>
                <w:szCs w:val="21"/>
                <w:highlight w:val="none"/>
              </w:rPr>
              <w:t>.</w:t>
            </w:r>
            <w:r>
              <w:rPr>
                <w:rFonts w:hint="eastAsia" w:ascii="宋体" w:hAnsi="宋体" w:cs="Arial Unicode MS"/>
                <w:color w:val="auto"/>
                <w:szCs w:val="21"/>
                <w:highlight w:val="none"/>
              </w:rPr>
              <w:t>项目负责人管理经验年限以大学专科或以上学历毕业证的颁发日期开始计算至投标截止时间止。</w:t>
            </w:r>
          </w:p>
        </w:tc>
      </w:tr>
      <w:tr>
        <w:tblPrEx>
          <w:tblCellMar>
            <w:top w:w="0" w:type="dxa"/>
            <w:left w:w="108" w:type="dxa"/>
            <w:bottom w:w="0" w:type="dxa"/>
            <w:right w:w="108" w:type="dxa"/>
          </w:tblCellMar>
        </w:tblPrEx>
        <w:trPr>
          <w:cantSplit/>
          <w:trHeight w:val="1139" w:hRule="atLeast"/>
          <w:jc w:val="center"/>
        </w:trPr>
        <w:tc>
          <w:tcPr>
            <w:tcW w:w="929" w:type="dxa"/>
            <w:vMerge w:val="continue"/>
            <w:tcBorders>
              <w:top w:val="nil"/>
              <w:left w:val="single" w:color="auto" w:sz="8" w:space="0"/>
              <w:bottom w:val="single" w:color="auto" w:sz="4" w:space="0"/>
              <w:right w:val="single" w:color="auto" w:sz="4" w:space="0"/>
            </w:tcBorders>
            <w:noWrap/>
            <w:vAlign w:val="center"/>
          </w:tcPr>
          <w:p>
            <w:pPr>
              <w:adjustRightInd w:val="0"/>
              <w:snapToGrid w:val="0"/>
              <w:spacing w:line="360" w:lineRule="exact"/>
              <w:jc w:val="center"/>
              <w:rPr>
                <w:rFonts w:ascii="宋体" w:hAnsi="宋体"/>
                <w:color w:val="auto"/>
                <w:szCs w:val="21"/>
                <w:highlight w:val="none"/>
              </w:rPr>
            </w:pPr>
          </w:p>
        </w:tc>
        <w:tc>
          <w:tcPr>
            <w:tcW w:w="1569" w:type="dxa"/>
            <w:tcBorders>
              <w:top w:val="single" w:color="auto" w:sz="4" w:space="0"/>
              <w:left w:val="nil"/>
              <w:bottom w:val="single" w:color="auto" w:sz="4" w:space="0"/>
              <w:right w:val="single" w:color="auto" w:sz="4" w:space="0"/>
            </w:tcBorders>
            <w:noWrap/>
            <w:vAlign w:val="center"/>
          </w:tcPr>
          <w:p>
            <w:pPr>
              <w:snapToGrid w:val="0"/>
              <w:spacing w:line="280" w:lineRule="exact"/>
              <w:rPr>
                <w:rFonts w:ascii="宋体" w:hAnsi="宋体" w:cs="Arial Unicode MS"/>
                <w:color w:val="auto"/>
                <w:szCs w:val="21"/>
                <w:highlight w:val="none"/>
              </w:rPr>
            </w:pPr>
            <w:r>
              <w:rPr>
                <w:rFonts w:hint="eastAsia" w:ascii="宋体" w:hAnsi="宋体" w:cs="Arial Unicode MS"/>
                <w:color w:val="auto"/>
                <w:szCs w:val="21"/>
                <w:highlight w:val="none"/>
              </w:rPr>
              <w:t>技术</w:t>
            </w:r>
            <w:r>
              <w:rPr>
                <w:rFonts w:ascii="宋体" w:hAnsi="宋体" w:cs="Arial Unicode MS"/>
                <w:color w:val="auto"/>
                <w:szCs w:val="21"/>
                <w:highlight w:val="none"/>
              </w:rPr>
              <w:t>负责人</w:t>
            </w:r>
          </w:p>
        </w:tc>
        <w:tc>
          <w:tcPr>
            <w:tcW w:w="654" w:type="dxa"/>
            <w:tcBorders>
              <w:top w:val="single" w:color="auto" w:sz="4" w:space="0"/>
              <w:left w:val="nil"/>
              <w:bottom w:val="single" w:color="auto" w:sz="4" w:space="0"/>
              <w:right w:val="single" w:color="auto" w:sz="4" w:space="0"/>
            </w:tcBorders>
            <w:noWrap/>
            <w:vAlign w:val="center"/>
          </w:tcPr>
          <w:p>
            <w:pPr>
              <w:snapToGrid w:val="0"/>
              <w:jc w:val="center"/>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w:t>
            </w:r>
          </w:p>
        </w:tc>
        <w:tc>
          <w:tcPr>
            <w:tcW w:w="12628" w:type="dxa"/>
            <w:tcBorders>
              <w:top w:val="single" w:color="auto" w:sz="4" w:space="0"/>
              <w:left w:val="nil"/>
              <w:bottom w:val="single" w:color="auto" w:sz="4" w:space="0"/>
              <w:right w:val="single" w:color="auto" w:sz="4" w:space="0"/>
            </w:tcBorders>
            <w:noWrap/>
            <w:vAlign w:val="center"/>
          </w:tcPr>
          <w:p>
            <w:pPr>
              <w:spacing w:line="420" w:lineRule="exact"/>
              <w:ind w:right="134" w:rightChars="64"/>
              <w:rPr>
                <w:rFonts w:ascii="宋体" w:hAnsi="宋体" w:cs="Arial Unicode MS"/>
                <w:color w:val="auto"/>
                <w:szCs w:val="21"/>
                <w:highlight w:val="none"/>
              </w:rPr>
            </w:pPr>
            <w:r>
              <w:rPr>
                <w:rFonts w:hint="eastAsia" w:ascii="宋体" w:hAnsi="宋体" w:cs="Arial Unicode MS"/>
                <w:color w:val="auto"/>
                <w:szCs w:val="21"/>
                <w:highlight w:val="none"/>
              </w:rPr>
              <w:t>技术负责人取得高级</w:t>
            </w:r>
            <w:r>
              <w:rPr>
                <w:rFonts w:hint="eastAsia" w:ascii="宋体" w:hAnsi="宋体"/>
                <w:color w:val="auto"/>
                <w:szCs w:val="21"/>
                <w:highlight w:val="none"/>
              </w:rPr>
              <w:t>或以上技术</w:t>
            </w:r>
            <w:r>
              <w:rPr>
                <w:rFonts w:hint="eastAsia" w:ascii="宋体" w:hAnsi="宋体" w:cs="Arial Unicode MS"/>
                <w:color w:val="auto"/>
                <w:szCs w:val="21"/>
                <w:highlight w:val="none"/>
              </w:rPr>
              <w:t>职称的年限10年（含10年）以上的，得20分；取得高级</w:t>
            </w:r>
            <w:r>
              <w:rPr>
                <w:rFonts w:hint="eastAsia" w:ascii="宋体" w:hAnsi="宋体"/>
                <w:color w:val="auto"/>
                <w:szCs w:val="21"/>
                <w:highlight w:val="none"/>
              </w:rPr>
              <w:t>或以上技术</w:t>
            </w:r>
            <w:r>
              <w:rPr>
                <w:rFonts w:hint="eastAsia" w:ascii="宋体" w:hAnsi="宋体" w:cs="Arial Unicode MS"/>
                <w:color w:val="auto"/>
                <w:szCs w:val="21"/>
                <w:highlight w:val="none"/>
              </w:rPr>
              <w:t>职称的年限5（含）-10（不含）年的，得10分；取得高级</w:t>
            </w:r>
            <w:r>
              <w:rPr>
                <w:rFonts w:hint="eastAsia" w:ascii="宋体" w:hAnsi="宋体"/>
                <w:color w:val="auto"/>
                <w:szCs w:val="21"/>
                <w:highlight w:val="none"/>
              </w:rPr>
              <w:t>或以上技术</w:t>
            </w:r>
            <w:r>
              <w:rPr>
                <w:rFonts w:hint="eastAsia" w:ascii="宋体" w:hAnsi="宋体" w:cs="Arial Unicode MS"/>
                <w:color w:val="auto"/>
                <w:szCs w:val="21"/>
                <w:highlight w:val="none"/>
              </w:rPr>
              <w:t>职称的年限1（含）-5（不含）年的，得5分；其他不得分。</w:t>
            </w:r>
          </w:p>
          <w:p>
            <w:pPr>
              <w:spacing w:line="420" w:lineRule="exact"/>
              <w:ind w:right="134" w:rightChars="64"/>
              <w:rPr>
                <w:rFonts w:ascii="宋体" w:hAnsi="宋体" w:cs="Arial Unicode MS"/>
                <w:color w:val="auto"/>
                <w:szCs w:val="21"/>
                <w:highlight w:val="none"/>
              </w:rPr>
            </w:pPr>
            <w:r>
              <w:rPr>
                <w:rFonts w:hint="eastAsia" w:ascii="宋体" w:hAnsi="宋体" w:cs="Arial Unicode MS"/>
                <w:color w:val="auto"/>
                <w:szCs w:val="21"/>
                <w:highlight w:val="none"/>
              </w:rPr>
              <w:t>备注：须提供职称证扫描件，年限以职称证的发证日期开始计算至投标截止时间止。</w:t>
            </w:r>
          </w:p>
        </w:tc>
      </w:tr>
      <w:tr>
        <w:tblPrEx>
          <w:tblCellMar>
            <w:top w:w="0" w:type="dxa"/>
            <w:left w:w="108" w:type="dxa"/>
            <w:bottom w:w="0" w:type="dxa"/>
            <w:right w:w="108" w:type="dxa"/>
          </w:tblCellMar>
        </w:tblPrEx>
        <w:trPr>
          <w:cantSplit/>
          <w:trHeight w:val="1258" w:hRule="atLeast"/>
          <w:jc w:val="center"/>
        </w:trPr>
        <w:tc>
          <w:tcPr>
            <w:tcW w:w="929" w:type="dxa"/>
            <w:vMerge w:val="continue"/>
            <w:tcBorders>
              <w:top w:val="nil"/>
              <w:left w:val="single" w:color="auto" w:sz="8" w:space="0"/>
              <w:bottom w:val="single" w:color="auto" w:sz="4" w:space="0"/>
              <w:right w:val="single" w:color="auto" w:sz="4" w:space="0"/>
            </w:tcBorders>
            <w:noWrap/>
            <w:vAlign w:val="center"/>
          </w:tcPr>
          <w:p>
            <w:pPr>
              <w:widowControl/>
              <w:jc w:val="left"/>
              <w:rPr>
                <w:rFonts w:ascii="宋体" w:hAnsi="宋体"/>
                <w:color w:val="auto"/>
                <w:szCs w:val="21"/>
                <w:highlight w:val="none"/>
              </w:rPr>
            </w:pPr>
          </w:p>
        </w:tc>
        <w:tc>
          <w:tcPr>
            <w:tcW w:w="1569" w:type="dxa"/>
            <w:tcBorders>
              <w:top w:val="single" w:color="auto" w:sz="4" w:space="0"/>
              <w:left w:val="nil"/>
              <w:bottom w:val="single" w:color="auto" w:sz="4" w:space="0"/>
              <w:right w:val="single" w:color="auto" w:sz="4" w:space="0"/>
            </w:tcBorders>
            <w:noWrap/>
            <w:vAlign w:val="center"/>
          </w:tcPr>
          <w:p>
            <w:pPr>
              <w:snapToGrid w:val="0"/>
              <w:spacing w:line="280" w:lineRule="exact"/>
              <w:rPr>
                <w:rFonts w:ascii="宋体" w:hAnsi="宋体" w:cs="Arial Unicode MS"/>
                <w:color w:val="auto"/>
                <w:szCs w:val="21"/>
                <w:highlight w:val="none"/>
              </w:rPr>
            </w:pPr>
            <w:r>
              <w:rPr>
                <w:rFonts w:hint="eastAsia" w:ascii="宋体" w:hAnsi="宋体" w:cs="Arial Unicode MS"/>
                <w:color w:val="auto"/>
                <w:szCs w:val="21"/>
                <w:highlight w:val="none"/>
              </w:rPr>
              <w:t>安全负责人（与专职安全员不为同一人）</w:t>
            </w:r>
          </w:p>
        </w:tc>
        <w:tc>
          <w:tcPr>
            <w:tcW w:w="654" w:type="dxa"/>
            <w:tcBorders>
              <w:top w:val="single" w:color="auto" w:sz="4" w:space="0"/>
              <w:left w:val="nil"/>
              <w:bottom w:val="single" w:color="auto" w:sz="4" w:space="0"/>
              <w:right w:val="single" w:color="auto" w:sz="4" w:space="0"/>
            </w:tcBorders>
            <w:noWrap/>
            <w:vAlign w:val="center"/>
          </w:tcPr>
          <w:p>
            <w:pPr>
              <w:snapToGrid w:val="0"/>
              <w:jc w:val="center"/>
              <w:rPr>
                <w:rFonts w:ascii="宋体" w:hAnsi="宋体"/>
                <w:color w:val="auto"/>
                <w:szCs w:val="21"/>
                <w:highlight w:val="none"/>
              </w:rPr>
            </w:pPr>
            <w:r>
              <w:rPr>
                <w:rFonts w:ascii="宋体" w:hAnsi="宋体"/>
                <w:color w:val="auto"/>
                <w:szCs w:val="21"/>
                <w:highlight w:val="none"/>
              </w:rPr>
              <w:t>15</w:t>
            </w:r>
          </w:p>
        </w:tc>
        <w:tc>
          <w:tcPr>
            <w:tcW w:w="12628" w:type="dxa"/>
            <w:tcBorders>
              <w:top w:val="single" w:color="auto" w:sz="4" w:space="0"/>
              <w:left w:val="nil"/>
              <w:bottom w:val="single" w:color="auto" w:sz="4" w:space="0"/>
              <w:right w:val="single" w:color="auto" w:sz="4" w:space="0"/>
            </w:tcBorders>
            <w:noWrap/>
            <w:vAlign w:val="center"/>
          </w:tcPr>
          <w:p>
            <w:pPr>
              <w:spacing w:line="420" w:lineRule="exact"/>
              <w:rPr>
                <w:rFonts w:ascii="宋体" w:hAnsi="宋体"/>
                <w:bCs/>
                <w:color w:val="auto"/>
                <w:szCs w:val="21"/>
                <w:highlight w:val="none"/>
                <w:lang w:val="zh-TW" w:eastAsia="zh-TW"/>
              </w:rPr>
            </w:pPr>
            <w:r>
              <w:rPr>
                <w:rFonts w:hint="eastAsia" w:ascii="宋体" w:hAnsi="宋体"/>
                <w:bCs/>
                <w:color w:val="auto"/>
                <w:szCs w:val="21"/>
                <w:highlight w:val="none"/>
                <w:lang w:val="zh-TW" w:eastAsia="zh-TW"/>
              </w:rPr>
              <w:t>1）拟委派的安全负责人具有高级</w:t>
            </w:r>
            <w:r>
              <w:rPr>
                <w:rFonts w:hint="eastAsia" w:ascii="宋体" w:hAnsi="宋体"/>
                <w:color w:val="auto"/>
                <w:szCs w:val="21"/>
                <w:highlight w:val="none"/>
              </w:rPr>
              <w:t>或以上技术</w:t>
            </w:r>
            <w:r>
              <w:rPr>
                <w:rFonts w:hint="eastAsia" w:ascii="宋体" w:hAnsi="宋体"/>
                <w:bCs/>
                <w:color w:val="auto"/>
                <w:szCs w:val="21"/>
                <w:highlight w:val="none"/>
                <w:lang w:val="zh-TW" w:eastAsia="zh-TW"/>
              </w:rPr>
              <w:t>职称的，得10分；具有</w:t>
            </w:r>
            <w:r>
              <w:rPr>
                <w:rFonts w:hint="eastAsia" w:ascii="宋体" w:hAnsi="宋体"/>
                <w:bCs/>
                <w:color w:val="auto"/>
                <w:szCs w:val="21"/>
                <w:highlight w:val="none"/>
                <w:lang w:val="zh-TW"/>
              </w:rPr>
              <w:t>中级</w:t>
            </w:r>
            <w:r>
              <w:rPr>
                <w:rFonts w:hint="eastAsia" w:ascii="宋体" w:hAnsi="宋体"/>
                <w:color w:val="auto"/>
                <w:szCs w:val="21"/>
                <w:highlight w:val="none"/>
              </w:rPr>
              <w:t>技术</w:t>
            </w:r>
            <w:r>
              <w:rPr>
                <w:rFonts w:hint="eastAsia" w:ascii="宋体" w:hAnsi="宋体"/>
                <w:bCs/>
                <w:color w:val="auto"/>
                <w:szCs w:val="21"/>
                <w:highlight w:val="none"/>
                <w:lang w:val="zh-TW" w:eastAsia="zh-TW"/>
              </w:rPr>
              <w:t>职称的，得5分；其它不得分；</w:t>
            </w:r>
          </w:p>
          <w:p>
            <w:pPr>
              <w:spacing w:line="420" w:lineRule="exact"/>
              <w:rPr>
                <w:rFonts w:ascii="宋体" w:hAnsi="宋体" w:eastAsia="PMingLiU"/>
                <w:bCs/>
                <w:color w:val="auto"/>
                <w:szCs w:val="21"/>
                <w:highlight w:val="none"/>
                <w:lang w:val="zh-TW" w:eastAsia="zh-TW"/>
              </w:rPr>
            </w:pPr>
            <w:r>
              <w:rPr>
                <w:rFonts w:hint="eastAsia" w:ascii="宋体" w:hAnsi="宋体"/>
                <w:bCs/>
                <w:color w:val="auto"/>
                <w:szCs w:val="21"/>
                <w:highlight w:val="none"/>
                <w:lang w:val="zh-TW" w:eastAsia="zh-TW"/>
              </w:rPr>
              <w:t>2）拟委派的安全负责人具有</w:t>
            </w:r>
            <w:r>
              <w:rPr>
                <w:rFonts w:hint="eastAsia" w:ascii="宋体" w:hAnsi="宋体"/>
                <w:bCs/>
                <w:color w:val="auto"/>
                <w:szCs w:val="21"/>
                <w:highlight w:val="none"/>
                <w:lang w:val="zh-TW"/>
              </w:rPr>
              <w:t>有效期内</w:t>
            </w:r>
            <w:r>
              <w:rPr>
                <w:rFonts w:hint="eastAsia" w:ascii="宋体" w:hAnsi="宋体"/>
                <w:bCs/>
                <w:color w:val="auto"/>
                <w:szCs w:val="21"/>
                <w:highlight w:val="none"/>
                <w:lang w:val="zh-TW" w:eastAsia="zh-TW"/>
              </w:rPr>
              <w:t>注册安全工程师</w:t>
            </w:r>
            <w:r>
              <w:rPr>
                <w:rFonts w:hint="eastAsia" w:ascii="宋体" w:hAnsi="宋体"/>
                <w:bCs/>
                <w:color w:val="auto"/>
                <w:szCs w:val="21"/>
                <w:highlight w:val="none"/>
              </w:rPr>
              <w:t>注册</w:t>
            </w:r>
            <w:r>
              <w:rPr>
                <w:rFonts w:hint="eastAsia" w:ascii="宋体" w:hAnsi="宋体"/>
                <w:bCs/>
                <w:color w:val="auto"/>
                <w:szCs w:val="21"/>
                <w:highlight w:val="none"/>
                <w:lang w:val="zh-TW" w:eastAsia="zh-TW"/>
              </w:rPr>
              <w:t>证书的得5分，其它不得分；</w:t>
            </w:r>
          </w:p>
          <w:p>
            <w:pPr>
              <w:spacing w:line="420" w:lineRule="exact"/>
              <w:rPr>
                <w:rFonts w:ascii="宋体" w:hAnsi="宋体"/>
                <w:color w:val="auto"/>
                <w:szCs w:val="21"/>
                <w:highlight w:val="none"/>
              </w:rPr>
            </w:pPr>
            <w:r>
              <w:rPr>
                <w:rFonts w:hint="eastAsia" w:ascii="宋体" w:hAnsi="宋体"/>
                <w:bCs/>
                <w:color w:val="auto"/>
                <w:szCs w:val="21"/>
                <w:highlight w:val="none"/>
                <w:lang w:val="zh-TW" w:eastAsia="zh-TW"/>
              </w:rPr>
              <w:t>备注：</w:t>
            </w:r>
            <w:r>
              <w:rPr>
                <w:rFonts w:hint="eastAsia" w:ascii="宋体" w:hAnsi="宋体"/>
                <w:bCs/>
                <w:color w:val="auto"/>
                <w:szCs w:val="21"/>
                <w:highlight w:val="none"/>
                <w:lang w:val="zh-TW"/>
              </w:rPr>
              <w:t>1</w:t>
            </w:r>
            <w:r>
              <w:rPr>
                <w:rFonts w:ascii="宋体" w:hAnsi="宋体"/>
                <w:bCs/>
                <w:color w:val="auto"/>
                <w:szCs w:val="21"/>
                <w:highlight w:val="none"/>
                <w:lang w:val="zh-TW"/>
              </w:rPr>
              <w:t>.</w:t>
            </w:r>
            <w:r>
              <w:rPr>
                <w:rFonts w:hint="eastAsia" w:ascii="宋体" w:hAnsi="宋体" w:cs="Arial Unicode MS"/>
                <w:color w:val="auto"/>
                <w:szCs w:val="21"/>
                <w:highlight w:val="none"/>
              </w:rPr>
              <w:t>本项最多得</w:t>
            </w:r>
            <w:r>
              <w:rPr>
                <w:rFonts w:ascii="宋体" w:hAnsi="宋体" w:cs="Arial Unicode MS"/>
                <w:color w:val="auto"/>
                <w:szCs w:val="21"/>
                <w:highlight w:val="none"/>
              </w:rPr>
              <w:t>15</w:t>
            </w:r>
            <w:r>
              <w:rPr>
                <w:rFonts w:hint="eastAsia" w:ascii="宋体" w:hAnsi="宋体" w:cs="Arial Unicode MS"/>
                <w:color w:val="auto"/>
                <w:szCs w:val="21"/>
                <w:highlight w:val="none"/>
              </w:rPr>
              <w:t>分。</w:t>
            </w:r>
            <w:r>
              <w:rPr>
                <w:rFonts w:ascii="宋体" w:hAnsi="宋体" w:eastAsia="PMingLiU"/>
                <w:bCs/>
                <w:color w:val="auto"/>
                <w:szCs w:val="21"/>
                <w:highlight w:val="none"/>
                <w:lang w:val="zh-TW" w:eastAsia="zh-TW"/>
              </w:rPr>
              <w:t>2.</w:t>
            </w:r>
            <w:r>
              <w:rPr>
                <w:rFonts w:hint="eastAsia" w:ascii="宋体" w:hAnsi="宋体"/>
                <w:bCs/>
                <w:color w:val="auto"/>
                <w:szCs w:val="21"/>
                <w:highlight w:val="none"/>
                <w:lang w:val="zh-TW"/>
              </w:rPr>
              <w:t>须</w:t>
            </w:r>
            <w:r>
              <w:rPr>
                <w:rFonts w:hint="eastAsia" w:ascii="宋体" w:hAnsi="宋体"/>
                <w:bCs/>
                <w:color w:val="auto"/>
                <w:szCs w:val="21"/>
                <w:highlight w:val="none"/>
                <w:lang w:val="zh-TW" w:eastAsia="zh-TW"/>
              </w:rPr>
              <w:t>提供</w:t>
            </w:r>
            <w:r>
              <w:rPr>
                <w:rFonts w:hint="eastAsia" w:ascii="宋体" w:hAnsi="宋体"/>
                <w:bCs/>
                <w:color w:val="auto"/>
                <w:szCs w:val="21"/>
                <w:highlight w:val="none"/>
                <w:lang w:val="zh-TW"/>
              </w:rPr>
              <w:t>注册安全工程师</w:t>
            </w:r>
            <w:r>
              <w:rPr>
                <w:rFonts w:hint="eastAsia" w:ascii="宋体" w:hAnsi="宋体"/>
                <w:bCs/>
                <w:color w:val="auto"/>
                <w:szCs w:val="21"/>
                <w:highlight w:val="none"/>
              </w:rPr>
              <w:t>注册</w:t>
            </w:r>
            <w:r>
              <w:rPr>
                <w:rFonts w:hint="eastAsia" w:ascii="宋体" w:hAnsi="宋体"/>
                <w:bCs/>
                <w:color w:val="auto"/>
                <w:szCs w:val="21"/>
                <w:highlight w:val="none"/>
                <w:lang w:val="zh-TW"/>
              </w:rPr>
              <w:t>证书、</w:t>
            </w:r>
            <w:r>
              <w:rPr>
                <w:rFonts w:hint="eastAsia" w:ascii="宋体" w:hAnsi="宋体"/>
                <w:bCs/>
                <w:color w:val="auto"/>
                <w:szCs w:val="21"/>
                <w:highlight w:val="none"/>
                <w:lang w:val="zh-TW" w:eastAsia="zh-TW"/>
              </w:rPr>
              <w:t>职称证书</w:t>
            </w:r>
            <w:r>
              <w:rPr>
                <w:rFonts w:hint="eastAsia" w:ascii="宋体" w:hAnsi="宋体"/>
                <w:bCs/>
                <w:color w:val="auto"/>
                <w:szCs w:val="21"/>
                <w:highlight w:val="none"/>
                <w:lang w:val="zh-TW"/>
              </w:rPr>
              <w:t>扫描件。</w:t>
            </w:r>
            <w:r>
              <w:rPr>
                <w:rFonts w:hint="eastAsia" w:ascii="宋体" w:hAnsi="宋体" w:cs="Arial Unicode MS"/>
                <w:color w:val="auto"/>
                <w:szCs w:val="21"/>
                <w:highlight w:val="none"/>
              </w:rPr>
              <w:t>职称证书按最高级别计分，不累计计算</w:t>
            </w:r>
            <w:r>
              <w:rPr>
                <w:rFonts w:ascii="宋体" w:hAnsi="宋体" w:cs="Arial Unicode MS"/>
                <w:color w:val="auto"/>
                <w:szCs w:val="21"/>
                <w:highlight w:val="none"/>
              </w:rPr>
              <w:t>。</w:t>
            </w:r>
            <w:r>
              <w:rPr>
                <w:rFonts w:hint="eastAsia" w:ascii="宋体" w:hAnsi="宋体" w:cs="Arial Unicode MS"/>
                <w:color w:val="auto"/>
                <w:szCs w:val="21"/>
                <w:highlight w:val="none"/>
              </w:rPr>
              <w:t>3</w:t>
            </w:r>
            <w:r>
              <w:rPr>
                <w:rFonts w:ascii="宋体" w:hAnsi="宋体" w:cs="Arial Unicode MS"/>
                <w:color w:val="auto"/>
                <w:szCs w:val="21"/>
                <w:highlight w:val="none"/>
              </w:rPr>
              <w:t>.</w:t>
            </w:r>
            <w:r>
              <w:rPr>
                <w:rFonts w:hint="eastAsia" w:ascii="宋体" w:hAnsi="宋体" w:cs="Arial Unicode MS"/>
                <w:color w:val="auto"/>
                <w:szCs w:val="21"/>
                <w:highlight w:val="none"/>
              </w:rPr>
              <w:t>注册安全工程师还需同时提供“http://rmocse.chinasafety.ac.cn/注册安全工程师注册管理系统”或“中华人民共和国应急管理部”（https://zwfw.mem.gov.cn/zwthlw/pages/hlwmh/yyfw/zcaqgcscx/index.html）查询结果网页截图，过期的、不提供的不计分。</w:t>
            </w:r>
          </w:p>
        </w:tc>
      </w:tr>
      <w:tr>
        <w:tblPrEx>
          <w:tblCellMar>
            <w:top w:w="0" w:type="dxa"/>
            <w:left w:w="108" w:type="dxa"/>
            <w:bottom w:w="0" w:type="dxa"/>
            <w:right w:w="108" w:type="dxa"/>
          </w:tblCellMar>
        </w:tblPrEx>
        <w:trPr>
          <w:trHeight w:val="379" w:hRule="atLeast"/>
          <w:jc w:val="center"/>
        </w:trPr>
        <w:tc>
          <w:tcPr>
            <w:tcW w:w="929" w:type="dxa"/>
            <w:vMerge w:val="continue"/>
            <w:tcBorders>
              <w:top w:val="nil"/>
              <w:left w:val="single" w:color="auto" w:sz="8" w:space="0"/>
              <w:bottom w:val="single" w:color="auto" w:sz="4" w:space="0"/>
              <w:right w:val="single" w:color="auto" w:sz="4" w:space="0"/>
            </w:tcBorders>
            <w:noWrap/>
            <w:vAlign w:val="center"/>
          </w:tcPr>
          <w:p>
            <w:pPr>
              <w:widowControl/>
              <w:jc w:val="left"/>
              <w:rPr>
                <w:rFonts w:ascii="宋体" w:hAnsi="宋体"/>
                <w:color w:val="auto"/>
                <w:szCs w:val="21"/>
                <w:highlight w:val="none"/>
              </w:rPr>
            </w:pPr>
          </w:p>
        </w:tc>
        <w:tc>
          <w:tcPr>
            <w:tcW w:w="1569" w:type="dxa"/>
            <w:tcBorders>
              <w:top w:val="single" w:color="auto" w:sz="4" w:space="0"/>
              <w:left w:val="nil"/>
              <w:bottom w:val="single" w:color="auto" w:sz="4" w:space="0"/>
              <w:right w:val="single" w:color="auto" w:sz="4" w:space="0"/>
            </w:tcBorders>
            <w:noWrap/>
            <w:vAlign w:val="center"/>
          </w:tcPr>
          <w:p>
            <w:pPr>
              <w:snapToGrid w:val="0"/>
              <w:spacing w:line="280" w:lineRule="exact"/>
              <w:rPr>
                <w:rFonts w:ascii="宋体" w:hAnsi="宋体" w:cs="Arial Unicode MS"/>
                <w:color w:val="auto"/>
                <w:szCs w:val="21"/>
                <w:highlight w:val="none"/>
              </w:rPr>
            </w:pPr>
            <w:r>
              <w:rPr>
                <w:rFonts w:hint="eastAsia" w:ascii="宋体" w:hAnsi="宋体" w:cs="Arial Unicode MS"/>
                <w:color w:val="auto"/>
                <w:szCs w:val="21"/>
                <w:highlight w:val="none"/>
              </w:rPr>
              <w:t>造价负责人</w:t>
            </w:r>
          </w:p>
        </w:tc>
        <w:tc>
          <w:tcPr>
            <w:tcW w:w="654" w:type="dxa"/>
            <w:tcBorders>
              <w:top w:val="single" w:color="auto" w:sz="4" w:space="0"/>
              <w:left w:val="nil"/>
              <w:bottom w:val="single" w:color="auto" w:sz="4" w:space="0"/>
              <w:right w:val="single" w:color="auto" w:sz="4" w:space="0"/>
            </w:tcBorders>
            <w:noWrap/>
            <w:vAlign w:val="center"/>
          </w:tcPr>
          <w:p>
            <w:pPr>
              <w:snapToGrid w:val="0"/>
              <w:jc w:val="center"/>
              <w:rPr>
                <w:rFonts w:ascii="宋体" w:hAnsi="宋体"/>
                <w:color w:val="auto"/>
                <w:szCs w:val="21"/>
                <w:highlight w:val="none"/>
              </w:rPr>
            </w:pPr>
            <w:r>
              <w:rPr>
                <w:rFonts w:ascii="宋体" w:hAnsi="宋体"/>
                <w:color w:val="auto"/>
                <w:szCs w:val="21"/>
                <w:highlight w:val="none"/>
              </w:rPr>
              <w:t>15</w:t>
            </w:r>
          </w:p>
        </w:tc>
        <w:tc>
          <w:tcPr>
            <w:tcW w:w="12628" w:type="dxa"/>
            <w:tcBorders>
              <w:top w:val="single" w:color="auto" w:sz="4" w:space="0"/>
              <w:left w:val="nil"/>
              <w:bottom w:val="single" w:color="auto" w:sz="4" w:space="0"/>
              <w:right w:val="single" w:color="auto" w:sz="4" w:space="0"/>
            </w:tcBorders>
            <w:noWrap/>
            <w:vAlign w:val="center"/>
          </w:tcPr>
          <w:p>
            <w:pPr>
              <w:spacing w:line="420" w:lineRule="exact"/>
              <w:rPr>
                <w:rFonts w:ascii="宋体" w:hAnsi="宋体" w:cs="Arial Unicode MS"/>
                <w:color w:val="auto"/>
                <w:szCs w:val="21"/>
                <w:highlight w:val="none"/>
                <w:lang w:val="zh-TW"/>
              </w:rPr>
            </w:pPr>
            <w:r>
              <w:rPr>
                <w:rFonts w:hint="eastAsia" w:ascii="宋体" w:hAnsi="宋体"/>
                <w:bCs/>
                <w:color w:val="auto"/>
                <w:szCs w:val="21"/>
                <w:highlight w:val="none"/>
                <w:lang w:val="zh-TW" w:eastAsia="zh-TW"/>
              </w:rPr>
              <w:t>1）</w:t>
            </w:r>
            <w:r>
              <w:rPr>
                <w:rFonts w:hint="eastAsia" w:ascii="宋体" w:hAnsi="宋体" w:cs="Arial Unicode MS"/>
                <w:color w:val="auto"/>
                <w:szCs w:val="21"/>
                <w:highlight w:val="none"/>
                <w:lang w:val="zh-TW"/>
              </w:rPr>
              <w:t>拟委派的造价负责人具有造价类专业高级</w:t>
            </w:r>
            <w:r>
              <w:rPr>
                <w:rFonts w:hint="eastAsia" w:ascii="宋体" w:hAnsi="宋体"/>
                <w:color w:val="auto"/>
                <w:szCs w:val="21"/>
                <w:highlight w:val="none"/>
              </w:rPr>
              <w:t>或以上技术</w:t>
            </w:r>
            <w:r>
              <w:rPr>
                <w:rFonts w:hint="eastAsia" w:ascii="宋体" w:hAnsi="宋体" w:cs="Arial Unicode MS"/>
                <w:color w:val="auto"/>
                <w:szCs w:val="21"/>
                <w:highlight w:val="none"/>
                <w:lang w:val="zh-TW"/>
              </w:rPr>
              <w:t>职称的，得</w:t>
            </w:r>
            <w:r>
              <w:rPr>
                <w:rFonts w:hint="eastAsia" w:ascii="宋体" w:hAnsi="宋体" w:cs="Arial Unicode MS"/>
                <w:color w:val="auto"/>
                <w:szCs w:val="21"/>
                <w:highlight w:val="none"/>
              </w:rPr>
              <w:t>5</w:t>
            </w:r>
            <w:r>
              <w:rPr>
                <w:rFonts w:hint="eastAsia" w:ascii="宋体" w:hAnsi="宋体" w:cs="Arial Unicode MS"/>
                <w:color w:val="auto"/>
                <w:szCs w:val="21"/>
                <w:highlight w:val="none"/>
                <w:lang w:val="zh-TW"/>
              </w:rPr>
              <w:t>分；具有造价类专业中级</w:t>
            </w:r>
            <w:r>
              <w:rPr>
                <w:rFonts w:hint="eastAsia" w:ascii="宋体" w:hAnsi="宋体"/>
                <w:color w:val="auto"/>
                <w:szCs w:val="21"/>
                <w:highlight w:val="none"/>
              </w:rPr>
              <w:t>技术</w:t>
            </w:r>
            <w:r>
              <w:rPr>
                <w:rFonts w:hint="eastAsia" w:ascii="宋体" w:hAnsi="宋体" w:cs="Arial Unicode MS"/>
                <w:color w:val="auto"/>
                <w:szCs w:val="21"/>
                <w:highlight w:val="none"/>
                <w:lang w:val="zh-TW"/>
              </w:rPr>
              <w:t>职称的，得</w:t>
            </w:r>
            <w:r>
              <w:rPr>
                <w:rFonts w:hint="eastAsia" w:ascii="宋体" w:hAnsi="宋体" w:cs="Arial Unicode MS"/>
                <w:color w:val="auto"/>
                <w:szCs w:val="21"/>
                <w:highlight w:val="none"/>
              </w:rPr>
              <w:t>3</w:t>
            </w:r>
            <w:r>
              <w:rPr>
                <w:rFonts w:hint="eastAsia" w:ascii="宋体" w:hAnsi="宋体" w:cs="Arial Unicode MS"/>
                <w:color w:val="auto"/>
                <w:szCs w:val="21"/>
                <w:highlight w:val="none"/>
                <w:lang w:val="zh-TW"/>
              </w:rPr>
              <w:t>分；其它不得分；</w:t>
            </w:r>
          </w:p>
          <w:p>
            <w:pPr>
              <w:spacing w:line="420" w:lineRule="exact"/>
              <w:rPr>
                <w:rFonts w:ascii="宋体" w:hAnsi="宋体" w:cs="Arial Unicode MS"/>
                <w:color w:val="auto"/>
                <w:szCs w:val="21"/>
                <w:highlight w:val="none"/>
              </w:rPr>
            </w:pPr>
            <w:r>
              <w:rPr>
                <w:rFonts w:hint="eastAsia" w:ascii="宋体" w:hAnsi="宋体" w:cs="Arial Unicode MS"/>
                <w:color w:val="auto"/>
                <w:szCs w:val="21"/>
                <w:highlight w:val="none"/>
              </w:rPr>
              <w:t>2）拟委派的造价负责人具有一级注册造价师注册证书的，得5分，</w:t>
            </w:r>
            <w:r>
              <w:rPr>
                <w:rFonts w:hint="eastAsia" w:ascii="宋体" w:hAnsi="宋体" w:cs="Arial Unicode MS"/>
                <w:color w:val="auto"/>
                <w:szCs w:val="21"/>
                <w:highlight w:val="none"/>
                <w:lang w:val="zh-TW"/>
              </w:rPr>
              <w:t>其它不得分；</w:t>
            </w:r>
          </w:p>
          <w:p>
            <w:pPr>
              <w:spacing w:line="420" w:lineRule="exact"/>
              <w:rPr>
                <w:rFonts w:ascii="宋体" w:hAnsi="宋体" w:cs="Arial Unicode MS"/>
                <w:color w:val="auto"/>
                <w:szCs w:val="21"/>
                <w:highlight w:val="none"/>
                <w:lang w:val="zh-TW"/>
              </w:rPr>
            </w:pPr>
            <w:r>
              <w:rPr>
                <w:rFonts w:hint="eastAsia" w:ascii="宋体" w:hAnsi="宋体" w:cs="Arial Unicode MS"/>
                <w:color w:val="auto"/>
                <w:szCs w:val="21"/>
                <w:highlight w:val="none"/>
              </w:rPr>
              <w:t>3</w:t>
            </w:r>
            <w:r>
              <w:rPr>
                <w:rFonts w:hint="eastAsia" w:ascii="宋体" w:hAnsi="宋体" w:cs="Arial Unicode MS"/>
                <w:color w:val="auto"/>
                <w:szCs w:val="21"/>
                <w:highlight w:val="none"/>
                <w:lang w:val="zh-TW"/>
              </w:rPr>
              <w:t>）</w:t>
            </w:r>
            <w:r>
              <w:rPr>
                <w:rFonts w:hint="eastAsia" w:ascii="宋体" w:hAnsi="宋体" w:cs="Arial Unicode MS"/>
                <w:color w:val="auto"/>
                <w:szCs w:val="21"/>
                <w:highlight w:val="none"/>
              </w:rPr>
              <w:t>取得造价类专业高级</w:t>
            </w:r>
            <w:r>
              <w:rPr>
                <w:rFonts w:hint="eastAsia" w:ascii="宋体" w:hAnsi="宋体"/>
                <w:color w:val="auto"/>
                <w:szCs w:val="21"/>
                <w:highlight w:val="none"/>
              </w:rPr>
              <w:t>或以上技术</w:t>
            </w:r>
            <w:r>
              <w:rPr>
                <w:rFonts w:hint="eastAsia" w:ascii="宋体" w:hAnsi="宋体" w:cs="Arial Unicode MS"/>
                <w:color w:val="auto"/>
                <w:szCs w:val="21"/>
                <w:highlight w:val="none"/>
              </w:rPr>
              <w:t>职称的年限10年（含10年）以上的，得5分；取得造价类专业高级</w:t>
            </w:r>
            <w:r>
              <w:rPr>
                <w:rFonts w:hint="eastAsia" w:ascii="宋体" w:hAnsi="宋体"/>
                <w:color w:val="auto"/>
                <w:szCs w:val="21"/>
                <w:highlight w:val="none"/>
              </w:rPr>
              <w:t>或以上技术</w:t>
            </w:r>
            <w:r>
              <w:rPr>
                <w:rFonts w:hint="eastAsia" w:ascii="宋体" w:hAnsi="宋体" w:cs="Arial Unicode MS"/>
                <w:color w:val="auto"/>
                <w:szCs w:val="21"/>
                <w:highlight w:val="none"/>
              </w:rPr>
              <w:t>职称的年限5（含）-10（不含)年的，得3分；取得造价类专业高级</w:t>
            </w:r>
            <w:r>
              <w:rPr>
                <w:rFonts w:hint="eastAsia" w:ascii="宋体" w:hAnsi="宋体"/>
                <w:color w:val="auto"/>
                <w:szCs w:val="21"/>
                <w:highlight w:val="none"/>
              </w:rPr>
              <w:t>或以上技术</w:t>
            </w:r>
            <w:r>
              <w:rPr>
                <w:rFonts w:hint="eastAsia" w:ascii="宋体" w:hAnsi="宋体" w:cs="Arial Unicode MS"/>
                <w:color w:val="auto"/>
                <w:szCs w:val="21"/>
                <w:highlight w:val="none"/>
              </w:rPr>
              <w:t>职称的年限1（含）-5（不含）年的，得1分；其他不得分。</w:t>
            </w:r>
          </w:p>
          <w:p>
            <w:pPr>
              <w:spacing w:line="420" w:lineRule="exact"/>
              <w:rPr>
                <w:rFonts w:ascii="宋体" w:hAnsi="宋体"/>
                <w:bCs/>
                <w:color w:val="auto"/>
                <w:szCs w:val="21"/>
                <w:highlight w:val="none"/>
                <w:lang w:val="zh-TW" w:eastAsia="zh-TW"/>
              </w:rPr>
            </w:pPr>
            <w:r>
              <w:rPr>
                <w:rFonts w:hint="eastAsia" w:ascii="宋体" w:hAnsi="宋体" w:cs="Arial Unicode MS"/>
                <w:color w:val="auto"/>
                <w:szCs w:val="21"/>
                <w:highlight w:val="none"/>
                <w:lang w:val="zh-TW"/>
              </w:rPr>
              <w:t>备注：1.本项最多得15分。2.须提供</w:t>
            </w:r>
            <w:r>
              <w:rPr>
                <w:rFonts w:hint="eastAsia" w:ascii="宋体" w:hAnsi="宋体" w:cs="Arial Unicode MS"/>
                <w:color w:val="auto"/>
                <w:szCs w:val="21"/>
                <w:highlight w:val="none"/>
              </w:rPr>
              <w:t>注册造价师注册证书、</w:t>
            </w:r>
            <w:r>
              <w:rPr>
                <w:rFonts w:hint="eastAsia" w:ascii="宋体" w:hAnsi="宋体" w:cs="Arial Unicode MS"/>
                <w:color w:val="auto"/>
                <w:szCs w:val="21"/>
                <w:highlight w:val="none"/>
                <w:lang w:val="zh-TW"/>
              </w:rPr>
              <w:t>职称证书扫描件。</w:t>
            </w:r>
            <w:r>
              <w:rPr>
                <w:rFonts w:hint="eastAsia" w:ascii="宋体" w:hAnsi="宋体" w:cs="Arial Unicode MS"/>
                <w:color w:val="auto"/>
                <w:szCs w:val="21"/>
                <w:highlight w:val="none"/>
              </w:rPr>
              <w:t>年限以职称证的发证日期开始计算至投标截止时间止。</w:t>
            </w:r>
            <w:r>
              <w:rPr>
                <w:rFonts w:hint="eastAsia" w:ascii="宋体" w:hAnsi="宋体" w:cs="Arial Unicode MS"/>
                <w:color w:val="auto"/>
                <w:szCs w:val="21"/>
                <w:highlight w:val="none"/>
                <w:lang w:val="zh-TW"/>
              </w:rPr>
              <w:t>职称证书按最高级别计分，不累计计算。</w:t>
            </w:r>
          </w:p>
        </w:tc>
      </w:tr>
      <w:tr>
        <w:tblPrEx>
          <w:tblCellMar>
            <w:top w:w="0" w:type="dxa"/>
            <w:left w:w="108" w:type="dxa"/>
            <w:bottom w:w="0" w:type="dxa"/>
            <w:right w:w="108" w:type="dxa"/>
          </w:tblCellMar>
        </w:tblPrEx>
        <w:trPr>
          <w:cantSplit/>
          <w:trHeight w:val="570" w:hRule="atLeast"/>
          <w:jc w:val="center"/>
        </w:trPr>
        <w:tc>
          <w:tcPr>
            <w:tcW w:w="929" w:type="dxa"/>
            <w:vMerge w:val="restart"/>
            <w:tcBorders>
              <w:top w:val="nil"/>
              <w:left w:val="single" w:color="auto" w:sz="8" w:space="0"/>
              <w:right w:val="single" w:color="auto" w:sz="4" w:space="0"/>
            </w:tcBorders>
            <w:noWrap/>
            <w:vAlign w:val="center"/>
          </w:tcPr>
          <w:p>
            <w:pPr>
              <w:adjustRightInd w:val="0"/>
              <w:snapToGrid w:val="0"/>
              <w:spacing w:line="360" w:lineRule="exact"/>
              <w:jc w:val="center"/>
              <w:rPr>
                <w:rFonts w:ascii="宋体" w:hAnsi="宋体"/>
                <w:color w:val="auto"/>
                <w:szCs w:val="21"/>
                <w:highlight w:val="none"/>
              </w:rPr>
            </w:pPr>
            <w:r>
              <w:rPr>
                <w:rFonts w:hint="eastAsia" w:ascii="宋体" w:hAnsi="宋体"/>
                <w:color w:val="auto"/>
                <w:szCs w:val="21"/>
                <w:highlight w:val="none"/>
              </w:rPr>
              <w:t>二、企业资信（30分）</w:t>
            </w:r>
          </w:p>
        </w:tc>
        <w:tc>
          <w:tcPr>
            <w:tcW w:w="1569" w:type="dxa"/>
            <w:tcBorders>
              <w:top w:val="single" w:color="auto" w:sz="4" w:space="0"/>
              <w:left w:val="nil"/>
              <w:bottom w:val="single" w:color="auto" w:sz="4" w:space="0"/>
              <w:right w:val="single" w:color="auto" w:sz="4" w:space="0"/>
            </w:tcBorders>
            <w:noWrap/>
            <w:vAlign w:val="center"/>
          </w:tcPr>
          <w:p>
            <w:pPr>
              <w:widowControl/>
              <w:snapToGrid w:val="0"/>
              <w:jc w:val="center"/>
              <w:rPr>
                <w:rFonts w:ascii="宋体" w:hAnsi="宋体" w:cs="Arial Unicode MS"/>
                <w:color w:val="auto"/>
                <w:szCs w:val="21"/>
                <w:highlight w:val="none"/>
              </w:rPr>
            </w:pPr>
            <w:r>
              <w:rPr>
                <w:rFonts w:hint="eastAsia" w:ascii="宋体" w:hAnsi="宋体" w:cs="Arial Unicode MS"/>
                <w:color w:val="auto"/>
                <w:szCs w:val="21"/>
                <w:highlight w:val="none"/>
              </w:rPr>
              <w:t>企业业绩</w:t>
            </w:r>
          </w:p>
        </w:tc>
        <w:tc>
          <w:tcPr>
            <w:tcW w:w="654" w:type="dxa"/>
            <w:tcBorders>
              <w:top w:val="single" w:color="auto" w:sz="4" w:space="0"/>
              <w:left w:val="nil"/>
              <w:bottom w:val="single" w:color="auto" w:sz="4" w:space="0"/>
              <w:right w:val="single" w:color="auto" w:sz="4" w:space="0"/>
            </w:tcBorders>
            <w:noWrap/>
            <w:vAlign w:val="center"/>
          </w:tcPr>
          <w:p>
            <w:pPr>
              <w:snapToGrid w:val="0"/>
              <w:spacing w:line="360" w:lineRule="exact"/>
              <w:jc w:val="center"/>
              <w:rPr>
                <w:rFonts w:ascii="宋体" w:hAnsi="宋体" w:cs="Arial Unicode MS"/>
                <w:color w:val="auto"/>
                <w:szCs w:val="21"/>
                <w:highlight w:val="none"/>
              </w:rPr>
            </w:pPr>
            <w:r>
              <w:rPr>
                <w:rFonts w:hint="eastAsia" w:ascii="宋体" w:hAnsi="宋体" w:cs="Arial Unicode MS"/>
                <w:color w:val="auto"/>
                <w:szCs w:val="21"/>
                <w:highlight w:val="none"/>
              </w:rPr>
              <w:t>8</w:t>
            </w:r>
          </w:p>
        </w:tc>
        <w:tc>
          <w:tcPr>
            <w:tcW w:w="12628" w:type="dxa"/>
            <w:tcBorders>
              <w:top w:val="single" w:color="auto" w:sz="4" w:space="0"/>
              <w:left w:val="nil"/>
              <w:bottom w:val="single" w:color="auto" w:sz="4" w:space="0"/>
              <w:right w:val="single" w:color="auto" w:sz="4" w:space="0"/>
            </w:tcBorders>
            <w:noWrap/>
            <w:vAlign w:val="center"/>
          </w:tcPr>
          <w:p>
            <w:pPr>
              <w:autoSpaceDN w:val="0"/>
              <w:adjustRightInd w:val="0"/>
              <w:snapToGrid w:val="0"/>
              <w:spacing w:line="420" w:lineRule="exact"/>
              <w:rPr>
                <w:rFonts w:cs="宋体"/>
                <w:color w:val="auto"/>
                <w:szCs w:val="21"/>
                <w:highlight w:val="none"/>
              </w:rPr>
            </w:pPr>
            <w:r>
              <w:rPr>
                <w:rFonts w:hint="eastAsia" w:cs="宋体"/>
                <w:color w:val="auto"/>
                <w:szCs w:val="21"/>
                <w:highlight w:val="none"/>
              </w:rPr>
              <w:t>投标人自2020年1月1日至投标截止时间止完成过质量合格且中标金额大于或等于2000万元的</w:t>
            </w:r>
            <w:r>
              <w:rPr>
                <w:rFonts w:hint="eastAsia" w:ascii="宋体" w:hAnsi="宋体"/>
                <w:color w:val="auto"/>
                <w:highlight w:val="none"/>
              </w:rPr>
              <w:t>市政公用工程施工总承包项目业绩</w:t>
            </w:r>
            <w:r>
              <w:rPr>
                <w:rFonts w:hint="eastAsia" w:cs="宋体"/>
                <w:color w:val="auto"/>
                <w:szCs w:val="21"/>
                <w:highlight w:val="none"/>
              </w:rPr>
              <w:t>，每项得0.5分，最高得8分。</w:t>
            </w:r>
          </w:p>
        </w:tc>
      </w:tr>
      <w:tr>
        <w:tblPrEx>
          <w:tblCellMar>
            <w:top w:w="0" w:type="dxa"/>
            <w:left w:w="108" w:type="dxa"/>
            <w:bottom w:w="0" w:type="dxa"/>
            <w:right w:w="108" w:type="dxa"/>
          </w:tblCellMar>
        </w:tblPrEx>
        <w:trPr>
          <w:cantSplit/>
          <w:trHeight w:val="927" w:hRule="atLeast"/>
          <w:jc w:val="center"/>
        </w:trPr>
        <w:tc>
          <w:tcPr>
            <w:tcW w:w="929" w:type="dxa"/>
            <w:vMerge w:val="continue"/>
            <w:tcBorders>
              <w:left w:val="single" w:color="auto" w:sz="8" w:space="0"/>
              <w:right w:val="single" w:color="auto" w:sz="4" w:space="0"/>
            </w:tcBorders>
            <w:noWrap/>
            <w:vAlign w:val="center"/>
          </w:tcPr>
          <w:p>
            <w:pPr>
              <w:widowControl/>
              <w:jc w:val="left"/>
              <w:rPr>
                <w:rFonts w:ascii="宋体" w:hAnsi="宋体"/>
                <w:color w:val="auto"/>
                <w:szCs w:val="21"/>
                <w:highlight w:val="none"/>
              </w:rPr>
            </w:pPr>
          </w:p>
        </w:tc>
        <w:tc>
          <w:tcPr>
            <w:tcW w:w="1569" w:type="dxa"/>
            <w:tcBorders>
              <w:top w:val="single" w:color="auto" w:sz="4" w:space="0"/>
              <w:left w:val="nil"/>
              <w:right w:val="single" w:color="auto" w:sz="4" w:space="0"/>
            </w:tcBorders>
            <w:noWrap/>
            <w:vAlign w:val="center"/>
          </w:tcPr>
          <w:p>
            <w:pPr>
              <w:jc w:val="center"/>
              <w:rPr>
                <w:rFonts w:ascii="宋体" w:hAnsi="宋体" w:cs="宋体"/>
                <w:color w:val="auto"/>
                <w:szCs w:val="21"/>
                <w:highlight w:val="none"/>
              </w:rPr>
            </w:pPr>
            <w:r>
              <w:rPr>
                <w:rFonts w:hint="eastAsia" w:ascii="宋体" w:hAnsi="宋体"/>
                <w:color w:val="auto"/>
                <w:szCs w:val="21"/>
                <w:highlight w:val="none"/>
              </w:rPr>
              <w:t>企业获奖</w:t>
            </w:r>
          </w:p>
        </w:tc>
        <w:tc>
          <w:tcPr>
            <w:tcW w:w="654"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262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ind w:right="134" w:rightChars="64"/>
              <w:rPr>
                <w:rFonts w:cs="宋体"/>
                <w:color w:val="auto"/>
                <w:szCs w:val="21"/>
                <w:highlight w:val="none"/>
              </w:rPr>
            </w:pPr>
            <w:r>
              <w:rPr>
                <w:rFonts w:hint="eastAsia" w:cs="宋体"/>
                <w:color w:val="auto"/>
                <w:szCs w:val="21"/>
                <w:highlight w:val="none"/>
              </w:rPr>
              <w:t>投标人自2020年1月1日至投标截止时间止承接的</w:t>
            </w:r>
            <w:r>
              <w:rPr>
                <w:rFonts w:hint="eastAsia" w:ascii="宋体" w:hAnsi="宋体"/>
                <w:color w:val="auto"/>
                <w:highlight w:val="none"/>
              </w:rPr>
              <w:t>市政公用工程项目</w:t>
            </w:r>
            <w:r>
              <w:rPr>
                <w:rFonts w:hint="eastAsia" w:cs="宋体"/>
                <w:color w:val="auto"/>
                <w:szCs w:val="21"/>
                <w:highlight w:val="none"/>
              </w:rPr>
              <w:t>获得过国家级工程质量奖项每个得2分，省级工程质量奖项每个得</w:t>
            </w:r>
            <w:r>
              <w:rPr>
                <w:rFonts w:hint="eastAsia" w:cs="宋体"/>
                <w:color w:val="auto"/>
                <w:szCs w:val="21"/>
                <w:highlight w:val="none"/>
                <w:lang w:val="en-US" w:eastAsia="zh-CN"/>
              </w:rPr>
              <w:t>1</w:t>
            </w:r>
            <w:r>
              <w:rPr>
                <w:rFonts w:hint="eastAsia" w:cs="宋体"/>
                <w:color w:val="auto"/>
                <w:szCs w:val="21"/>
                <w:highlight w:val="none"/>
              </w:rPr>
              <w:t>分，市级（含副省级）工程质量奖项每个得</w:t>
            </w:r>
            <w:r>
              <w:rPr>
                <w:rFonts w:hint="eastAsia" w:cs="宋体"/>
                <w:color w:val="auto"/>
                <w:szCs w:val="21"/>
                <w:highlight w:val="none"/>
                <w:lang w:val="en-US" w:eastAsia="zh-CN"/>
              </w:rPr>
              <w:t>0.5</w:t>
            </w:r>
            <w:r>
              <w:rPr>
                <w:rFonts w:hint="eastAsia" w:cs="宋体"/>
                <w:color w:val="auto"/>
                <w:szCs w:val="21"/>
                <w:highlight w:val="none"/>
              </w:rPr>
              <w:t>分。本项累计最多得</w:t>
            </w:r>
            <w:r>
              <w:rPr>
                <w:rFonts w:hint="eastAsia" w:cs="宋体"/>
                <w:color w:val="auto"/>
                <w:szCs w:val="21"/>
                <w:highlight w:val="none"/>
                <w:lang w:val="en-US" w:eastAsia="zh-CN"/>
              </w:rPr>
              <w:t>5</w:t>
            </w:r>
            <w:r>
              <w:rPr>
                <w:rFonts w:hint="eastAsia" w:cs="宋体"/>
                <w:color w:val="auto"/>
                <w:szCs w:val="21"/>
                <w:highlight w:val="none"/>
              </w:rPr>
              <w:t>分。</w:t>
            </w:r>
          </w:p>
        </w:tc>
      </w:tr>
      <w:tr>
        <w:tblPrEx>
          <w:tblCellMar>
            <w:top w:w="0" w:type="dxa"/>
            <w:left w:w="108" w:type="dxa"/>
            <w:bottom w:w="0" w:type="dxa"/>
            <w:right w:w="108" w:type="dxa"/>
          </w:tblCellMar>
        </w:tblPrEx>
        <w:trPr>
          <w:cantSplit/>
          <w:trHeight w:val="363" w:hRule="atLeast"/>
          <w:jc w:val="center"/>
        </w:trPr>
        <w:tc>
          <w:tcPr>
            <w:tcW w:w="929" w:type="dxa"/>
            <w:vMerge w:val="continue"/>
            <w:tcBorders>
              <w:left w:val="single" w:color="auto" w:sz="8" w:space="0"/>
              <w:right w:val="single" w:color="auto" w:sz="4" w:space="0"/>
            </w:tcBorders>
            <w:noWrap/>
            <w:vAlign w:val="center"/>
          </w:tcPr>
          <w:p>
            <w:pPr>
              <w:widowControl/>
              <w:jc w:val="left"/>
              <w:rPr>
                <w:rFonts w:ascii="宋体" w:hAnsi="宋体"/>
                <w:color w:val="auto"/>
                <w:szCs w:val="21"/>
                <w:highlight w:val="none"/>
              </w:rPr>
            </w:pPr>
          </w:p>
        </w:tc>
        <w:tc>
          <w:tcPr>
            <w:tcW w:w="1569" w:type="dxa"/>
            <w:vMerge w:val="restart"/>
            <w:tcBorders>
              <w:top w:val="single" w:color="auto" w:sz="4" w:space="0"/>
              <w:left w:val="nil"/>
              <w:right w:val="single" w:color="auto" w:sz="4" w:space="0"/>
            </w:tcBorders>
            <w:noWrap/>
            <w:vAlign w:val="center"/>
          </w:tcPr>
          <w:p>
            <w:pPr>
              <w:widowControl/>
              <w:snapToGrid w:val="0"/>
              <w:jc w:val="center"/>
              <w:rPr>
                <w:rFonts w:ascii="宋体" w:hAnsi="宋体"/>
                <w:color w:val="auto"/>
                <w:szCs w:val="21"/>
                <w:highlight w:val="none"/>
              </w:rPr>
            </w:pPr>
            <w:r>
              <w:rPr>
                <w:rFonts w:hint="eastAsia" w:ascii="宋体" w:hAnsi="宋体"/>
                <w:color w:val="auto"/>
                <w:szCs w:val="21"/>
                <w:highlight w:val="none"/>
              </w:rPr>
              <w:t>工程研发能力</w:t>
            </w:r>
          </w:p>
        </w:tc>
        <w:tc>
          <w:tcPr>
            <w:tcW w:w="654" w:type="dxa"/>
            <w:vMerge w:val="restart"/>
            <w:tcBorders>
              <w:top w:val="single" w:color="auto" w:sz="4" w:space="0"/>
              <w:left w:val="nil"/>
              <w:right w:val="single" w:color="auto" w:sz="4" w:space="0"/>
            </w:tcBorders>
            <w:noWrap/>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7</w:t>
            </w:r>
          </w:p>
        </w:tc>
        <w:tc>
          <w:tcPr>
            <w:tcW w:w="12628" w:type="dxa"/>
            <w:tcBorders>
              <w:top w:val="single" w:color="auto" w:sz="4" w:space="0"/>
              <w:left w:val="nil"/>
              <w:right w:val="single" w:color="auto" w:sz="4" w:space="0"/>
            </w:tcBorders>
            <w:noWrap/>
            <w:vAlign w:val="center"/>
          </w:tcPr>
          <w:p>
            <w:pPr>
              <w:adjustRightInd w:val="0"/>
              <w:snapToGrid w:val="0"/>
              <w:spacing w:line="360" w:lineRule="exact"/>
              <w:ind w:right="134" w:rightChars="64"/>
              <w:rPr>
                <w:rFonts w:cs="宋体"/>
                <w:color w:val="auto"/>
                <w:szCs w:val="21"/>
                <w:highlight w:val="none"/>
              </w:rPr>
            </w:pPr>
            <w:r>
              <w:rPr>
                <w:rFonts w:hint="eastAsia" w:cs="宋体"/>
                <w:color w:val="auto"/>
                <w:szCs w:val="21"/>
                <w:highlight w:val="none"/>
              </w:rPr>
              <w:t>（1）投标人自2020年1月1日至投标截止时间止获得过</w:t>
            </w:r>
            <w:r>
              <w:rPr>
                <w:rFonts w:hint="eastAsia" w:cs="宋体"/>
                <w:color w:val="auto"/>
                <w:szCs w:val="21"/>
                <w:highlight w:val="none"/>
                <w:lang w:val="en-US" w:eastAsia="zh-CN"/>
              </w:rPr>
              <w:t>省</w:t>
            </w:r>
            <w:r>
              <w:rPr>
                <w:rFonts w:hint="eastAsia" w:cs="宋体"/>
                <w:color w:val="auto"/>
                <w:szCs w:val="21"/>
                <w:highlight w:val="none"/>
              </w:rPr>
              <w:t>级或以上科学技术奖，每项得0.5分。本项最高得4分。</w:t>
            </w:r>
          </w:p>
        </w:tc>
      </w:tr>
      <w:tr>
        <w:tblPrEx>
          <w:tblCellMar>
            <w:top w:w="0" w:type="dxa"/>
            <w:left w:w="108" w:type="dxa"/>
            <w:bottom w:w="0" w:type="dxa"/>
            <w:right w:w="108" w:type="dxa"/>
          </w:tblCellMar>
        </w:tblPrEx>
        <w:trPr>
          <w:cantSplit/>
          <w:trHeight w:val="363" w:hRule="atLeast"/>
          <w:jc w:val="center"/>
        </w:trPr>
        <w:tc>
          <w:tcPr>
            <w:tcW w:w="929" w:type="dxa"/>
            <w:vMerge w:val="continue"/>
            <w:tcBorders>
              <w:left w:val="single" w:color="auto" w:sz="8" w:space="0"/>
              <w:right w:val="single" w:color="auto" w:sz="4" w:space="0"/>
            </w:tcBorders>
            <w:noWrap/>
            <w:vAlign w:val="center"/>
          </w:tcPr>
          <w:p>
            <w:pPr>
              <w:adjustRightInd w:val="0"/>
              <w:snapToGrid w:val="0"/>
              <w:spacing w:line="360" w:lineRule="exact"/>
              <w:ind w:right="134" w:rightChars="64"/>
              <w:rPr>
                <w:color w:val="auto"/>
                <w:highlight w:val="none"/>
              </w:rPr>
            </w:pPr>
          </w:p>
        </w:tc>
        <w:tc>
          <w:tcPr>
            <w:tcW w:w="1569" w:type="dxa"/>
            <w:vMerge w:val="continue"/>
            <w:tcBorders>
              <w:left w:val="nil"/>
              <w:right w:val="single" w:color="auto" w:sz="4" w:space="0"/>
            </w:tcBorders>
            <w:noWrap/>
            <w:vAlign w:val="center"/>
          </w:tcPr>
          <w:p>
            <w:pPr>
              <w:adjustRightInd w:val="0"/>
              <w:snapToGrid w:val="0"/>
              <w:spacing w:line="360" w:lineRule="exact"/>
              <w:ind w:right="134" w:rightChars="64"/>
              <w:rPr>
                <w:color w:val="auto"/>
                <w:highlight w:val="none"/>
              </w:rPr>
            </w:pPr>
          </w:p>
        </w:tc>
        <w:tc>
          <w:tcPr>
            <w:tcW w:w="654" w:type="dxa"/>
            <w:vMerge w:val="continue"/>
            <w:tcBorders>
              <w:left w:val="nil"/>
              <w:right w:val="single" w:color="auto" w:sz="4" w:space="0"/>
            </w:tcBorders>
            <w:noWrap/>
            <w:vAlign w:val="center"/>
          </w:tcPr>
          <w:p>
            <w:pPr>
              <w:adjustRightInd w:val="0"/>
              <w:snapToGrid w:val="0"/>
              <w:spacing w:line="360" w:lineRule="exact"/>
              <w:ind w:right="134" w:rightChars="64"/>
              <w:rPr>
                <w:color w:val="auto"/>
                <w:highlight w:val="none"/>
              </w:rPr>
            </w:pPr>
          </w:p>
        </w:tc>
        <w:tc>
          <w:tcPr>
            <w:tcW w:w="12628" w:type="dxa"/>
            <w:tcBorders>
              <w:top w:val="single" w:color="auto" w:sz="4" w:space="0"/>
              <w:left w:val="nil"/>
              <w:right w:val="single" w:color="auto" w:sz="4" w:space="0"/>
            </w:tcBorders>
            <w:noWrap/>
            <w:vAlign w:val="center"/>
          </w:tcPr>
          <w:p>
            <w:pPr>
              <w:adjustRightInd w:val="0"/>
              <w:snapToGrid w:val="0"/>
              <w:spacing w:line="360" w:lineRule="exact"/>
              <w:ind w:right="134" w:rightChars="64"/>
              <w:rPr>
                <w:rFonts w:cs="宋体"/>
                <w:color w:val="auto"/>
                <w:szCs w:val="21"/>
                <w:highlight w:val="none"/>
              </w:rPr>
            </w:pPr>
            <w:r>
              <w:rPr>
                <w:rFonts w:hint="eastAsia" w:cs="宋体"/>
                <w:color w:val="auto"/>
                <w:szCs w:val="21"/>
                <w:highlight w:val="none"/>
              </w:rPr>
              <w:t>（2）投标人自2020年1月1日至投标截止时间止获得过省级或以上工程类高新技术产品证书的，每项得1分。本项最高得3分。</w:t>
            </w:r>
          </w:p>
        </w:tc>
      </w:tr>
      <w:tr>
        <w:tblPrEx>
          <w:tblCellMar>
            <w:top w:w="0" w:type="dxa"/>
            <w:left w:w="108" w:type="dxa"/>
            <w:bottom w:w="0" w:type="dxa"/>
            <w:right w:w="108" w:type="dxa"/>
          </w:tblCellMar>
        </w:tblPrEx>
        <w:trPr>
          <w:cantSplit/>
          <w:trHeight w:val="717" w:hRule="atLeast"/>
          <w:jc w:val="center"/>
        </w:trPr>
        <w:tc>
          <w:tcPr>
            <w:tcW w:w="929" w:type="dxa"/>
            <w:vMerge w:val="continue"/>
            <w:tcBorders>
              <w:left w:val="single" w:color="auto" w:sz="8" w:space="0"/>
              <w:right w:val="single" w:color="auto" w:sz="4" w:space="0"/>
            </w:tcBorders>
            <w:noWrap/>
            <w:vAlign w:val="center"/>
          </w:tcPr>
          <w:p>
            <w:pPr>
              <w:widowControl/>
              <w:jc w:val="left"/>
              <w:rPr>
                <w:rFonts w:ascii="宋体" w:hAnsi="宋体"/>
                <w:color w:val="auto"/>
                <w:szCs w:val="21"/>
                <w:highlight w:val="none"/>
              </w:rPr>
            </w:pPr>
          </w:p>
        </w:tc>
        <w:tc>
          <w:tcPr>
            <w:tcW w:w="1569" w:type="dxa"/>
            <w:tcBorders>
              <w:top w:val="single" w:color="auto" w:sz="4" w:space="0"/>
              <w:left w:val="nil"/>
              <w:right w:val="single" w:color="auto" w:sz="4" w:space="0"/>
            </w:tcBorders>
            <w:noWrap/>
            <w:vAlign w:val="center"/>
          </w:tcPr>
          <w:p>
            <w:pPr>
              <w:widowControl/>
              <w:snapToGrid w:val="0"/>
              <w:jc w:val="center"/>
              <w:rPr>
                <w:rFonts w:ascii="宋体" w:hAnsi="宋体"/>
                <w:color w:val="auto"/>
                <w:szCs w:val="21"/>
                <w:highlight w:val="none"/>
              </w:rPr>
            </w:pPr>
            <w:r>
              <w:rPr>
                <w:rFonts w:hint="eastAsia" w:ascii="宋体" w:hAnsi="宋体"/>
                <w:color w:val="auto"/>
                <w:szCs w:val="21"/>
                <w:highlight w:val="none"/>
              </w:rPr>
              <w:t>企业财务状况</w:t>
            </w:r>
          </w:p>
        </w:tc>
        <w:tc>
          <w:tcPr>
            <w:tcW w:w="654" w:type="dxa"/>
            <w:tcBorders>
              <w:top w:val="single" w:color="auto" w:sz="4" w:space="0"/>
              <w:left w:val="nil"/>
              <w:right w:val="single" w:color="auto" w:sz="4" w:space="0"/>
            </w:tcBorders>
            <w:noWrap/>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6</w:t>
            </w:r>
          </w:p>
        </w:tc>
        <w:tc>
          <w:tcPr>
            <w:tcW w:w="12628" w:type="dxa"/>
            <w:tcBorders>
              <w:top w:val="single" w:color="auto" w:sz="4" w:space="0"/>
              <w:left w:val="nil"/>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投标人2022年度的资产负债率在60%以下（含60%）的，得6分；资产负债率在60%以上（不含60%）70%以下（含70%）的，得3分；资产负债率在70%以上（不含70%）80%以下（含80%）的，得1分；不满足的不得分。本项最高得6分。</w:t>
            </w:r>
          </w:p>
          <w:p>
            <w:pPr>
              <w:adjustRightInd w:val="0"/>
              <w:snapToGrid w:val="0"/>
              <w:spacing w:line="360" w:lineRule="exact"/>
              <w:ind w:right="134" w:rightChars="64"/>
              <w:rPr>
                <w:rFonts w:cs="宋体"/>
                <w:color w:val="auto"/>
                <w:szCs w:val="21"/>
                <w:highlight w:val="none"/>
              </w:rPr>
            </w:pPr>
            <w:r>
              <w:rPr>
                <w:rFonts w:hint="eastAsia" w:ascii="宋体" w:hAnsi="宋体"/>
                <w:color w:val="auto"/>
                <w:szCs w:val="21"/>
                <w:highlight w:val="none"/>
              </w:rPr>
              <w:t>注：需提供经会计事务所或审计机构审计的2022年度审计报告及附表（包括资产负债表、利润表、现金流量表等，财务报表附注可不提供）扫描件并加盖投标人电子印章。资产负债率计算公式：资产负债率X=期（年）末负债总额/期（年）末资产总额×100%。</w:t>
            </w:r>
          </w:p>
        </w:tc>
      </w:tr>
      <w:tr>
        <w:tblPrEx>
          <w:tblCellMar>
            <w:top w:w="0" w:type="dxa"/>
            <w:left w:w="108" w:type="dxa"/>
            <w:bottom w:w="0" w:type="dxa"/>
            <w:right w:w="108" w:type="dxa"/>
          </w:tblCellMar>
        </w:tblPrEx>
        <w:trPr>
          <w:cantSplit/>
          <w:trHeight w:val="421" w:hRule="atLeast"/>
          <w:jc w:val="center"/>
        </w:trPr>
        <w:tc>
          <w:tcPr>
            <w:tcW w:w="929" w:type="dxa"/>
            <w:vMerge w:val="continue"/>
            <w:tcBorders>
              <w:left w:val="single" w:color="auto" w:sz="8" w:space="0"/>
              <w:right w:val="single" w:color="auto" w:sz="4" w:space="0"/>
            </w:tcBorders>
            <w:noWrap/>
            <w:vAlign w:val="center"/>
          </w:tcPr>
          <w:p>
            <w:pPr>
              <w:widowControl/>
              <w:jc w:val="left"/>
              <w:rPr>
                <w:rFonts w:ascii="宋体" w:hAnsi="宋体"/>
                <w:color w:val="auto"/>
                <w:szCs w:val="21"/>
                <w:highlight w:val="none"/>
              </w:rPr>
            </w:pPr>
          </w:p>
        </w:tc>
        <w:tc>
          <w:tcPr>
            <w:tcW w:w="1569" w:type="dxa"/>
            <w:vMerge w:val="restart"/>
            <w:tcBorders>
              <w:top w:val="single" w:color="auto" w:sz="4" w:space="0"/>
              <w:left w:val="nil"/>
              <w:right w:val="single" w:color="auto" w:sz="4" w:space="0"/>
            </w:tcBorders>
            <w:noWrap/>
            <w:vAlign w:val="center"/>
          </w:tcPr>
          <w:p>
            <w:pPr>
              <w:widowControl/>
              <w:snapToGrid w:val="0"/>
              <w:jc w:val="center"/>
              <w:rPr>
                <w:rFonts w:ascii="宋体" w:hAnsi="宋体"/>
                <w:color w:val="auto"/>
                <w:szCs w:val="21"/>
                <w:highlight w:val="none"/>
              </w:rPr>
            </w:pPr>
            <w:r>
              <w:rPr>
                <w:rFonts w:hint="eastAsia" w:ascii="宋体" w:hAnsi="宋体"/>
                <w:color w:val="auto"/>
                <w:szCs w:val="21"/>
                <w:highlight w:val="none"/>
              </w:rPr>
              <w:t>第三方评价</w:t>
            </w:r>
          </w:p>
        </w:tc>
        <w:tc>
          <w:tcPr>
            <w:tcW w:w="654" w:type="dxa"/>
            <w:vMerge w:val="restart"/>
            <w:tcBorders>
              <w:top w:val="single" w:color="auto" w:sz="4" w:space="0"/>
              <w:left w:val="nil"/>
              <w:right w:val="single" w:color="auto" w:sz="4" w:space="0"/>
            </w:tcBorders>
            <w:noWrap/>
            <w:vAlign w:val="center"/>
          </w:tcPr>
          <w:p>
            <w:pPr>
              <w:snapToGrid w:val="0"/>
              <w:spacing w:line="3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1262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ind w:right="134" w:rightChars="64"/>
              <w:rPr>
                <w:rFonts w:cs="宋体"/>
                <w:color w:val="auto"/>
                <w:szCs w:val="21"/>
                <w:highlight w:val="none"/>
              </w:rPr>
            </w:pPr>
            <w:r>
              <w:rPr>
                <w:rFonts w:hint="eastAsia" w:cs="宋体"/>
                <w:color w:val="auto"/>
                <w:szCs w:val="21"/>
                <w:highlight w:val="none"/>
              </w:rPr>
              <w:t>至投标截止时间（须包含2022年度），投标人连续被评为“纳税信用A级纳税人”的年限：连续5年或以上的，得</w:t>
            </w:r>
            <w:r>
              <w:rPr>
                <w:rFonts w:hint="eastAsia" w:cs="宋体"/>
                <w:color w:val="auto"/>
                <w:szCs w:val="21"/>
                <w:highlight w:val="none"/>
                <w:lang w:val="en-US" w:eastAsia="zh-CN"/>
              </w:rPr>
              <w:t>4</w:t>
            </w:r>
            <w:r>
              <w:rPr>
                <w:rFonts w:hint="eastAsia" w:cs="宋体"/>
                <w:color w:val="auto"/>
                <w:szCs w:val="21"/>
                <w:highlight w:val="none"/>
              </w:rPr>
              <w:t>分；连续3-4年的，得</w:t>
            </w:r>
            <w:r>
              <w:rPr>
                <w:rFonts w:hint="eastAsia" w:cs="宋体"/>
                <w:color w:val="auto"/>
                <w:szCs w:val="21"/>
                <w:highlight w:val="none"/>
                <w:lang w:val="en-US" w:eastAsia="zh-CN"/>
              </w:rPr>
              <w:t>2</w:t>
            </w:r>
            <w:r>
              <w:rPr>
                <w:rFonts w:hint="eastAsia" w:cs="宋体"/>
                <w:color w:val="auto"/>
                <w:szCs w:val="21"/>
                <w:highlight w:val="none"/>
              </w:rPr>
              <w:t>分；连续1-2年的，得</w:t>
            </w:r>
            <w:r>
              <w:rPr>
                <w:rFonts w:hint="eastAsia" w:cs="宋体"/>
                <w:color w:val="auto"/>
                <w:szCs w:val="21"/>
                <w:highlight w:val="none"/>
                <w:lang w:val="en-US" w:eastAsia="zh-CN"/>
              </w:rPr>
              <w:t>1</w:t>
            </w:r>
            <w:r>
              <w:rPr>
                <w:rFonts w:hint="eastAsia" w:cs="宋体"/>
                <w:color w:val="auto"/>
                <w:szCs w:val="21"/>
                <w:highlight w:val="none"/>
              </w:rPr>
              <w:t>分；其余不得分。本项最高得</w:t>
            </w:r>
            <w:r>
              <w:rPr>
                <w:rFonts w:hint="eastAsia" w:cs="宋体"/>
                <w:color w:val="auto"/>
                <w:szCs w:val="21"/>
                <w:highlight w:val="none"/>
                <w:lang w:val="en-US" w:eastAsia="zh-CN"/>
              </w:rPr>
              <w:t>4</w:t>
            </w:r>
            <w:r>
              <w:rPr>
                <w:rFonts w:hint="eastAsia" w:cs="宋体"/>
                <w:color w:val="auto"/>
                <w:szCs w:val="21"/>
                <w:highlight w:val="none"/>
              </w:rPr>
              <w:t>分。</w:t>
            </w:r>
          </w:p>
        </w:tc>
      </w:tr>
      <w:tr>
        <w:tblPrEx>
          <w:tblCellMar>
            <w:top w:w="0" w:type="dxa"/>
            <w:left w:w="108" w:type="dxa"/>
            <w:bottom w:w="0" w:type="dxa"/>
            <w:right w:w="108" w:type="dxa"/>
          </w:tblCellMar>
        </w:tblPrEx>
        <w:trPr>
          <w:cantSplit/>
          <w:trHeight w:val="470" w:hRule="atLeast"/>
          <w:jc w:val="center"/>
        </w:trPr>
        <w:tc>
          <w:tcPr>
            <w:tcW w:w="2498" w:type="dxa"/>
            <w:gridSpan w:val="2"/>
            <w:tcBorders>
              <w:top w:val="single" w:color="auto" w:sz="4" w:space="0"/>
              <w:left w:val="single" w:color="auto" w:sz="8" w:space="0"/>
              <w:bottom w:val="single" w:color="auto" w:sz="4" w:space="0"/>
              <w:right w:val="single" w:color="auto" w:sz="4" w:space="0"/>
            </w:tcBorders>
            <w:noWrap/>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合计（一+二）</w:t>
            </w:r>
          </w:p>
        </w:tc>
        <w:tc>
          <w:tcPr>
            <w:tcW w:w="654" w:type="dxa"/>
            <w:tcBorders>
              <w:top w:val="single" w:color="auto" w:sz="4" w:space="0"/>
              <w:left w:val="nil"/>
              <w:bottom w:val="single" w:color="auto" w:sz="4" w:space="0"/>
              <w:right w:val="single" w:color="auto" w:sz="4" w:space="0"/>
            </w:tcBorders>
            <w:noWrap/>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100</w:t>
            </w:r>
          </w:p>
        </w:tc>
        <w:tc>
          <w:tcPr>
            <w:tcW w:w="12628"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szCs w:val="21"/>
                <w:highlight w:val="none"/>
              </w:rPr>
            </w:pPr>
          </w:p>
        </w:tc>
      </w:tr>
    </w:tbl>
    <w:p>
      <w:pPr>
        <w:widowControl/>
        <w:textAlignment w:val="center"/>
        <w:rPr>
          <w:rFonts w:ascii="宋体" w:hAnsi="宋体"/>
          <w:color w:val="auto"/>
          <w:szCs w:val="21"/>
          <w:highlight w:val="none"/>
        </w:rPr>
      </w:pPr>
      <w:r>
        <w:rPr>
          <w:rFonts w:hint="eastAsia" w:ascii="宋体" w:hAnsi="宋体"/>
          <w:color w:val="auto"/>
          <w:szCs w:val="21"/>
          <w:highlight w:val="none"/>
        </w:rPr>
        <w:t>备注：</w:t>
      </w:r>
    </w:p>
    <w:p>
      <w:pPr>
        <w:widowControl/>
        <w:textAlignment w:val="center"/>
        <w:rPr>
          <w:rFonts w:ascii="宋体" w:hAnsi="宋体"/>
          <w:color w:val="auto"/>
          <w:szCs w:val="21"/>
          <w:highlight w:val="none"/>
        </w:rPr>
      </w:pPr>
      <w:r>
        <w:rPr>
          <w:rFonts w:hint="eastAsia" w:ascii="宋体" w:hAnsi="宋体"/>
          <w:color w:val="auto"/>
          <w:szCs w:val="21"/>
          <w:highlight w:val="none"/>
        </w:rPr>
        <w:t>1、【项目管理机构能力】：上述人员均不得兼任，除须提供职称证、注册证书等相关证明资料扫描件并加盖投标人电子印章外，还须提供近一个月（即2023年8月）在投标人单位（仅指投标人自身人员，含分公司，不含子、母公司。如投标申请人为集团公司，则不含集团下属子公司，专指集团本部人员，同样下属子公司也不得使用集团公司的人员。）的社保缴纳记录证明扫描件并加盖投标人电子印章。按照《造价工程师职业资格制度规定》的规定，根据原人事部、原建设部发布的《造价工程师执业资格制度暂行规定》（人发〔1996〕77号）取得的造价工程师执业资格，并经注册且在有效期内的，等同于一级注册造价工程师。一级注册造价工程师需同时提供“造价师注册信息查询”网页截图并加盖投标人电子印章。未提供或所提供的证明资料不符合要求的，则该评分节点不予得分。</w:t>
      </w:r>
    </w:p>
    <w:p>
      <w:pPr>
        <w:widowControl/>
        <w:textAlignment w:val="center"/>
        <w:rPr>
          <w:rFonts w:ascii="宋体" w:hAnsi="宋体"/>
          <w:color w:val="auto"/>
          <w:szCs w:val="21"/>
          <w:highlight w:val="none"/>
        </w:rPr>
      </w:pPr>
      <w:r>
        <w:rPr>
          <w:rFonts w:hint="eastAsia" w:ascii="宋体" w:hAnsi="宋体"/>
          <w:color w:val="auto"/>
          <w:szCs w:val="21"/>
          <w:highlight w:val="none"/>
        </w:rPr>
        <w:t>2、【</w:t>
      </w:r>
      <w:r>
        <w:rPr>
          <w:rFonts w:hint="eastAsia" w:ascii="宋体" w:hAnsi="宋体" w:cs="Arial Unicode MS"/>
          <w:color w:val="auto"/>
          <w:szCs w:val="21"/>
          <w:highlight w:val="none"/>
        </w:rPr>
        <w:t>企业</w:t>
      </w:r>
      <w:r>
        <w:rPr>
          <w:rFonts w:hint="eastAsia" w:ascii="宋体" w:hAnsi="宋体"/>
          <w:color w:val="auto"/>
          <w:szCs w:val="21"/>
          <w:highlight w:val="none"/>
        </w:rPr>
        <w:t>业绩】：</w:t>
      </w:r>
    </w:p>
    <w:p>
      <w:pPr>
        <w:widowControl/>
        <w:textAlignment w:val="center"/>
        <w:rPr>
          <w:rFonts w:ascii="宋体" w:hAnsi="宋体"/>
          <w:color w:val="auto"/>
          <w:szCs w:val="21"/>
          <w:highlight w:val="none"/>
        </w:rPr>
      </w:pPr>
      <w:r>
        <w:rPr>
          <w:rFonts w:hint="eastAsia" w:ascii="宋体" w:hAnsi="宋体"/>
          <w:color w:val="auto"/>
          <w:szCs w:val="21"/>
          <w:highlight w:val="none"/>
        </w:rPr>
        <w:t xml:space="preserve">类似工程业绩需同时提供中标通知书（或免招标证明）、施工合同、竣工验收文件扫描件并加盖投标人电子印章。   </w:t>
      </w:r>
    </w:p>
    <w:p>
      <w:pPr>
        <w:widowControl/>
        <w:textAlignment w:val="center"/>
        <w:rPr>
          <w:rFonts w:ascii="宋体" w:hAnsi="宋体"/>
          <w:color w:val="auto"/>
          <w:szCs w:val="21"/>
          <w:highlight w:val="none"/>
        </w:rPr>
      </w:pPr>
      <w:r>
        <w:rPr>
          <w:rFonts w:hint="eastAsia" w:ascii="宋体" w:hAnsi="宋体"/>
          <w:color w:val="auto"/>
          <w:szCs w:val="21"/>
          <w:highlight w:val="none"/>
        </w:rPr>
        <w:t>（1）金额以中标通知书为准，中标通知书上没有金额或免招标的，以施工（或设计施工）合同（不含补充合同）为准。</w:t>
      </w:r>
    </w:p>
    <w:p>
      <w:pPr>
        <w:widowControl/>
        <w:textAlignment w:val="center"/>
        <w:rPr>
          <w:rFonts w:ascii="宋体" w:hAnsi="宋体"/>
          <w:color w:val="auto"/>
          <w:szCs w:val="21"/>
          <w:highlight w:val="none"/>
        </w:rPr>
      </w:pPr>
      <w:r>
        <w:rPr>
          <w:rFonts w:hint="eastAsia" w:ascii="宋体" w:hAnsi="宋体"/>
          <w:color w:val="auto"/>
          <w:szCs w:val="21"/>
          <w:highlight w:val="none"/>
        </w:rPr>
        <w:t>（2）完成时间以竣工验收文件为准。验收文件至少具有建设单位、设计、施工和监理单位盖章。</w:t>
      </w:r>
    </w:p>
    <w:p>
      <w:pPr>
        <w:widowControl/>
        <w:textAlignment w:val="center"/>
        <w:rPr>
          <w:rFonts w:ascii="宋体" w:hAnsi="宋体"/>
          <w:color w:val="auto"/>
          <w:szCs w:val="21"/>
          <w:highlight w:val="none"/>
        </w:rPr>
      </w:pPr>
      <w:r>
        <w:rPr>
          <w:rFonts w:hint="eastAsia" w:ascii="宋体" w:hAnsi="宋体"/>
          <w:color w:val="auto"/>
          <w:szCs w:val="21"/>
          <w:highlight w:val="none"/>
        </w:rPr>
        <w:t>（3）市政公用工程是指：城市道路工程、城市桥梁工程、环境卫生工程（如垃圾填埋场等）、给排水工程（如污水处理系统等）、燃气工程、城市隧道工程、公共交通工程、轨道交通工程、照明工程、绿化工程等。</w:t>
      </w:r>
    </w:p>
    <w:p>
      <w:pPr>
        <w:widowControl/>
        <w:textAlignment w:val="center"/>
        <w:rPr>
          <w:rFonts w:ascii="宋体" w:hAnsi="宋体"/>
          <w:color w:val="auto"/>
          <w:szCs w:val="21"/>
          <w:highlight w:val="none"/>
        </w:rPr>
      </w:pPr>
      <w:r>
        <w:rPr>
          <w:rFonts w:hint="eastAsia" w:ascii="宋体" w:hAnsi="宋体"/>
          <w:color w:val="auto"/>
          <w:szCs w:val="21"/>
          <w:highlight w:val="none"/>
        </w:rPr>
        <w:t>（4）未提供或所提供的证明资料不符合要求的，则该评分节点不予得分。</w:t>
      </w:r>
    </w:p>
    <w:p>
      <w:pPr>
        <w:widowControl/>
        <w:textAlignment w:val="center"/>
        <w:rPr>
          <w:rFonts w:ascii="宋体" w:hAnsi="宋体"/>
          <w:color w:val="auto"/>
          <w:szCs w:val="21"/>
          <w:highlight w:val="none"/>
        </w:rPr>
      </w:pPr>
      <w:r>
        <w:rPr>
          <w:rFonts w:hint="eastAsia" w:ascii="宋体" w:hAnsi="宋体"/>
          <w:color w:val="auto"/>
          <w:szCs w:val="21"/>
          <w:highlight w:val="none"/>
        </w:rPr>
        <w:t>3、【企业获奖】：</w:t>
      </w:r>
    </w:p>
    <w:p>
      <w:pPr>
        <w:widowControl/>
        <w:textAlignment w:val="center"/>
        <w:rPr>
          <w:rFonts w:ascii="宋体" w:hAnsi="宋体"/>
          <w:color w:val="auto"/>
          <w:szCs w:val="21"/>
          <w:highlight w:val="none"/>
        </w:rPr>
      </w:pPr>
      <w:r>
        <w:rPr>
          <w:rFonts w:hint="eastAsia" w:ascii="宋体" w:hAnsi="宋体"/>
          <w:color w:val="auto"/>
          <w:szCs w:val="21"/>
          <w:highlight w:val="none"/>
        </w:rPr>
        <w:t>工程奖项须提供获奖证书扫描件并加盖投标人电子印章。国家级质量奖包括：鲁班奖、国家优质工程金质奖、国家优质工程奖、中国土木工程詹天佑奖；省市级工程质量奖项是指由省市级建设行政主管部门或行业协会颁发（行业协会须在民政部门备案）的工程质量奖项。同一项目获得多个奖项的，按最高级别只计算一次分数，不得重复计算（不含安全文明、技术类奖项，参建项目不得分）；获奖时间以发证时间为准；若发证机构为学会或协会的，须在中国社会组织政务服务平台（https://chinanpo.mca.gov.cn/）查询到为有效（附网页截图）；获奖单位须为投标单位，子分公司均不计算在内。未提供或所提供的证明资料不符合要求的，则该评分节点不予得分。</w:t>
      </w:r>
    </w:p>
    <w:p>
      <w:pPr>
        <w:widowControl/>
        <w:textAlignment w:val="center"/>
        <w:rPr>
          <w:rFonts w:ascii="宋体" w:hAnsi="宋体"/>
          <w:color w:val="auto"/>
          <w:szCs w:val="21"/>
          <w:highlight w:val="none"/>
        </w:rPr>
      </w:pPr>
      <w:r>
        <w:rPr>
          <w:rFonts w:hint="eastAsia" w:ascii="宋体" w:hAnsi="宋体"/>
          <w:color w:val="auto"/>
          <w:szCs w:val="21"/>
          <w:highlight w:val="none"/>
        </w:rPr>
        <w:t>4、【工程研发能力】：（1）科学技术奖包括</w:t>
      </w:r>
      <w:r>
        <w:rPr>
          <w:color w:val="auto"/>
          <w:highlight w:val="none"/>
        </w:rPr>
        <w:fldChar w:fldCharType="begin"/>
      </w:r>
      <w:r>
        <w:rPr>
          <w:color w:val="auto"/>
          <w:highlight w:val="none"/>
        </w:rPr>
        <w:instrText xml:space="preserve"> HYPERLINK "https://baike.so.com/" </w:instrText>
      </w:r>
      <w:r>
        <w:rPr>
          <w:color w:val="auto"/>
          <w:highlight w:val="none"/>
        </w:rPr>
        <w:fldChar w:fldCharType="separate"/>
      </w:r>
      <w:r>
        <w:rPr>
          <w:rFonts w:hint="eastAsia" w:ascii="宋体" w:hAnsi="宋体"/>
          <w:color w:val="auto"/>
          <w:szCs w:val="21"/>
          <w:highlight w:val="none"/>
        </w:rPr>
        <w:t>自然科学奖</w:t>
      </w:r>
      <w:r>
        <w:rPr>
          <w:rFonts w:hint="eastAsia" w:ascii="宋体" w:hAnsi="宋体"/>
          <w:color w:val="auto"/>
          <w:szCs w:val="21"/>
          <w:highlight w:val="none"/>
        </w:rPr>
        <w:fldChar w:fldCharType="end"/>
      </w:r>
      <w:r>
        <w:rPr>
          <w:rFonts w:hint="eastAsia" w:ascii="宋体" w:hAnsi="宋体"/>
          <w:color w:val="auto"/>
          <w:szCs w:val="21"/>
          <w:highlight w:val="none"/>
        </w:rPr>
        <w:t>、</w:t>
      </w:r>
      <w:r>
        <w:rPr>
          <w:color w:val="auto"/>
          <w:highlight w:val="none"/>
        </w:rPr>
        <w:fldChar w:fldCharType="begin"/>
      </w:r>
      <w:r>
        <w:rPr>
          <w:color w:val="auto"/>
          <w:highlight w:val="none"/>
        </w:rPr>
        <w:instrText xml:space="preserve"> HYPERLINK "https://baike.so.com/" </w:instrText>
      </w:r>
      <w:r>
        <w:rPr>
          <w:color w:val="auto"/>
          <w:highlight w:val="none"/>
        </w:rPr>
        <w:fldChar w:fldCharType="separate"/>
      </w:r>
      <w:r>
        <w:rPr>
          <w:rFonts w:hint="eastAsia" w:ascii="宋体" w:hAnsi="宋体"/>
          <w:color w:val="auto"/>
          <w:szCs w:val="21"/>
          <w:highlight w:val="none"/>
        </w:rPr>
        <w:t>技术发明奖</w:t>
      </w:r>
      <w:r>
        <w:rPr>
          <w:rFonts w:hint="eastAsia" w:ascii="宋体" w:hAnsi="宋体"/>
          <w:color w:val="auto"/>
          <w:szCs w:val="21"/>
          <w:highlight w:val="none"/>
        </w:rPr>
        <w:fldChar w:fldCharType="end"/>
      </w:r>
      <w:r>
        <w:rPr>
          <w:rFonts w:hint="eastAsia" w:ascii="宋体" w:hAnsi="宋体"/>
          <w:color w:val="auto"/>
          <w:szCs w:val="21"/>
          <w:highlight w:val="none"/>
        </w:rPr>
        <w:t>、</w:t>
      </w:r>
      <w:r>
        <w:rPr>
          <w:color w:val="auto"/>
          <w:highlight w:val="none"/>
        </w:rPr>
        <w:fldChar w:fldCharType="begin"/>
      </w:r>
      <w:r>
        <w:rPr>
          <w:color w:val="auto"/>
          <w:highlight w:val="none"/>
        </w:rPr>
        <w:instrText xml:space="preserve"> HYPERLINK "https://baike.so.com/" </w:instrText>
      </w:r>
      <w:r>
        <w:rPr>
          <w:color w:val="auto"/>
          <w:highlight w:val="none"/>
        </w:rPr>
        <w:fldChar w:fldCharType="separate"/>
      </w:r>
      <w:r>
        <w:rPr>
          <w:rFonts w:hint="eastAsia" w:ascii="宋体" w:hAnsi="宋体"/>
          <w:color w:val="auto"/>
          <w:szCs w:val="21"/>
          <w:highlight w:val="none"/>
        </w:rPr>
        <w:t>科学技术进步奖</w:t>
      </w:r>
      <w:r>
        <w:rPr>
          <w:rFonts w:hint="eastAsia" w:ascii="宋体" w:hAnsi="宋体"/>
          <w:color w:val="auto"/>
          <w:szCs w:val="21"/>
          <w:highlight w:val="none"/>
        </w:rPr>
        <w:fldChar w:fldCharType="end"/>
      </w:r>
      <w:r>
        <w:rPr>
          <w:rFonts w:hint="eastAsia" w:ascii="宋体" w:hAnsi="宋体"/>
          <w:color w:val="auto"/>
          <w:szCs w:val="21"/>
          <w:highlight w:val="none"/>
        </w:rPr>
        <w:t>等。投标人须提供由</w:t>
      </w:r>
      <w:r>
        <w:rPr>
          <w:rFonts w:hint="eastAsia" w:ascii="宋体" w:hAnsi="宋体"/>
          <w:color w:val="auto"/>
          <w:szCs w:val="21"/>
          <w:highlight w:val="none"/>
          <w:lang w:val="en-US" w:eastAsia="zh-CN"/>
        </w:rPr>
        <w:t>省</w:t>
      </w:r>
      <w:r>
        <w:rPr>
          <w:rFonts w:hint="eastAsia" w:ascii="宋体" w:hAnsi="宋体"/>
          <w:color w:val="auto"/>
          <w:szCs w:val="21"/>
          <w:highlight w:val="none"/>
        </w:rPr>
        <w:t>级或以上人民政府或行政部门或行业</w:t>
      </w:r>
      <w:r>
        <w:rPr>
          <w:rFonts w:hint="eastAsia" w:ascii="宋体" w:hAnsi="宋体"/>
          <w:color w:val="auto"/>
          <w:szCs w:val="21"/>
          <w:highlight w:val="none"/>
          <w:lang w:val="en-US" w:eastAsia="zh-CN"/>
        </w:rPr>
        <w:t>学会或行业</w:t>
      </w:r>
      <w:r>
        <w:rPr>
          <w:rFonts w:hint="eastAsia" w:ascii="宋体" w:hAnsi="宋体"/>
          <w:color w:val="auto"/>
          <w:szCs w:val="21"/>
          <w:highlight w:val="none"/>
        </w:rPr>
        <w:t>协会颁发的证书原件扫描件或网上查询路径查询结果截图并加盖投标单位电子印章。时间以证书颁发日期或网上查询结果为准。若发证机构为学会或协会的，须在中国社会组织政务服务平台（https://chinanpo.mca.gov.cn/）查询到为有效（附网页截图）。未提供或所提供的证明资料不符合要求的，则该评分节点不予得分。同一技术获多个奖项的，按最高级别只计一次得分。</w:t>
      </w:r>
    </w:p>
    <w:p>
      <w:pPr>
        <w:pStyle w:val="2"/>
        <w:rPr>
          <w:rFonts w:hAnsi="宋体"/>
          <w:color w:val="auto"/>
          <w:kern w:val="2"/>
          <w:sz w:val="21"/>
          <w:szCs w:val="21"/>
          <w:highlight w:val="none"/>
        </w:rPr>
      </w:pPr>
      <w:r>
        <w:rPr>
          <w:rFonts w:hint="eastAsia" w:ascii="宋体" w:hAnsi="宋体"/>
          <w:color w:val="auto"/>
          <w:kern w:val="2"/>
          <w:sz w:val="21"/>
          <w:szCs w:val="21"/>
          <w:highlight w:val="none"/>
        </w:rPr>
        <w:t>（</w:t>
      </w:r>
      <w:r>
        <w:rPr>
          <w:rFonts w:ascii="宋体" w:hAnsi="宋体"/>
          <w:color w:val="auto"/>
          <w:kern w:val="2"/>
          <w:sz w:val="21"/>
          <w:szCs w:val="21"/>
          <w:highlight w:val="none"/>
        </w:rPr>
        <w:t>2</w:t>
      </w:r>
      <w:r>
        <w:rPr>
          <w:rFonts w:hint="eastAsia" w:ascii="宋体" w:hAnsi="宋体"/>
          <w:color w:val="auto"/>
          <w:kern w:val="2"/>
          <w:sz w:val="21"/>
          <w:szCs w:val="21"/>
          <w:highlight w:val="none"/>
        </w:rPr>
        <w:t>）</w:t>
      </w:r>
      <w:r>
        <w:rPr>
          <w:rFonts w:hint="eastAsia" w:hAnsi="宋体"/>
          <w:color w:val="auto"/>
          <w:kern w:val="2"/>
          <w:sz w:val="21"/>
          <w:szCs w:val="21"/>
          <w:highlight w:val="none"/>
        </w:rPr>
        <w:t>投标人须提供高新技术产品证书扫描件加盖投标人电子印章，其产品证书名称需能体现工程类相关内容（若其产品证书名称不能体现，须同时提供高新技术产品相关申报资料证明）。时间以证书颁发日期为准。若发证机构为学会或协会的，须在中国社会组织政务服务平台（https://chinanpo.mca.gov.cn/）查询到为有效（附网页截图）。不符合条件或无法提供相关资料的的不计分。</w:t>
      </w:r>
    </w:p>
    <w:p>
      <w:pPr>
        <w:widowControl/>
        <w:textAlignment w:val="center"/>
        <w:rPr>
          <w:rFonts w:ascii="宋体" w:hAnsi="宋体"/>
          <w:color w:val="auto"/>
          <w:szCs w:val="21"/>
          <w:highlight w:val="none"/>
        </w:rPr>
      </w:pPr>
      <w:r>
        <w:rPr>
          <w:rFonts w:hint="eastAsia" w:ascii="宋体" w:hAnsi="宋体"/>
          <w:color w:val="auto"/>
          <w:szCs w:val="21"/>
          <w:highlight w:val="none"/>
        </w:rPr>
        <w:t>5、【第三方评价】：</w:t>
      </w:r>
    </w:p>
    <w:p>
      <w:pPr>
        <w:widowControl/>
        <w:textAlignment w:val="center"/>
        <w:rPr>
          <w:rFonts w:ascii="宋体" w:hAnsi="宋体"/>
          <w:color w:val="auto"/>
          <w:szCs w:val="21"/>
          <w:highlight w:val="none"/>
        </w:rPr>
      </w:pPr>
      <w:r>
        <w:rPr>
          <w:rFonts w:hint="eastAsia" w:ascii="宋体" w:hAnsi="宋体"/>
          <w:color w:val="auto"/>
          <w:szCs w:val="21"/>
          <w:highlight w:val="none"/>
        </w:rPr>
        <w:t>“纳税信用A级”证书须包含2022年度，只计算投标人自身（不含投标人的子公司或分公司）。投标人须同时提供税务部门颁发的“纳税信用A级”证书扫描件以及提供省级或以上税务局网站查询结果网页截图加盖投标人电子印章；评定时间以证书上注明的评价（评定）年度为准。未提供或所提供的证明资料不符合要求的，则该评分节点不予得分。</w:t>
      </w:r>
    </w:p>
    <w:p>
      <w:pPr>
        <w:widowControl/>
        <w:textAlignment w:val="center"/>
        <w:rPr>
          <w:rFonts w:ascii="宋体" w:hAnsi="宋体"/>
          <w:color w:val="auto"/>
          <w:szCs w:val="21"/>
          <w:highlight w:val="none"/>
        </w:rPr>
      </w:pPr>
      <w:r>
        <w:rPr>
          <w:rFonts w:hint="eastAsia" w:ascii="宋体" w:hAnsi="宋体"/>
          <w:color w:val="auto"/>
          <w:szCs w:val="21"/>
          <w:highlight w:val="none"/>
        </w:rPr>
        <w:t>6、投标人得分为各评委评分的算术平均值（若分数出现小数点时，保留小数点后二位，第三位小数四舍五入）。</w:t>
      </w:r>
    </w:p>
    <w:p>
      <w:pPr>
        <w:widowControl/>
        <w:textAlignment w:val="center"/>
        <w:rPr>
          <w:rFonts w:cs="宋体"/>
          <w:b/>
          <w:color w:val="auto"/>
          <w:sz w:val="36"/>
          <w:szCs w:val="36"/>
          <w:highlight w:val="none"/>
        </w:rPr>
      </w:pPr>
      <w:r>
        <w:rPr>
          <w:rFonts w:hint="eastAsia" w:cs="等线"/>
          <w:color w:val="auto"/>
          <w:kern w:val="0"/>
          <w:sz w:val="32"/>
          <w:szCs w:val="32"/>
          <w:highlight w:val="none"/>
        </w:rPr>
        <w:br w:type="page"/>
      </w:r>
      <w:r>
        <w:rPr>
          <w:rFonts w:hint="eastAsia" w:ascii="宋体" w:hAnsi="宋体"/>
          <w:color w:val="auto"/>
          <w:highlight w:val="none"/>
        </w:rPr>
        <w:t>附表五</w:t>
      </w:r>
      <w:r>
        <w:rPr>
          <w:rFonts w:hint="eastAsia"/>
          <w:color w:val="auto"/>
          <w:szCs w:val="21"/>
          <w:highlight w:val="none"/>
        </w:rPr>
        <w:t>（适用于加权平均法）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025"/>
        <w:gridCol w:w="12"/>
        <w:gridCol w:w="1051"/>
        <w:gridCol w:w="1050"/>
        <w:gridCol w:w="1050"/>
        <w:gridCol w:w="1050"/>
        <w:gridCol w:w="1050"/>
        <w:gridCol w:w="1050"/>
        <w:gridCol w:w="1050"/>
        <w:gridCol w:w="1050"/>
        <w:gridCol w:w="1050"/>
        <w:gridCol w:w="105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8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37"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7"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2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63"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587" w:type="dxa"/>
            <w:gridSpan w:val="13"/>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7"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7"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7"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37"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auto"/>
                <w:szCs w:val="21"/>
                <w:highlight w:val="none"/>
              </w:rPr>
            </w:pPr>
          </w:p>
        </w:tc>
      </w:tr>
    </w:tbl>
    <w:p>
      <w:pPr>
        <w:rPr>
          <w:b/>
          <w:bCs/>
          <w:color w:val="auto"/>
          <w:highlight w:val="none"/>
        </w:rPr>
      </w:pPr>
      <w:r>
        <w:rPr>
          <w:rFonts w:hint="eastAsia"/>
          <w:color w:val="auto"/>
          <w:szCs w:val="21"/>
          <w:highlight w:val="none"/>
        </w:rPr>
        <w:t>评委签名：</w:t>
      </w:r>
      <w:r>
        <w:rPr>
          <w:b/>
          <w:color w:val="auto"/>
          <w:sz w:val="36"/>
          <w:szCs w:val="36"/>
          <w:highlight w:val="none"/>
        </w:rPr>
        <w:br w:type="page"/>
      </w:r>
      <w:r>
        <w:rPr>
          <w:rFonts w:hint="eastAsia" w:ascii="宋体" w:hAnsi="宋体"/>
          <w:color w:val="auto"/>
          <w:highlight w:val="none"/>
        </w:rPr>
        <w:t>附表六</w:t>
      </w:r>
    </w:p>
    <w:p>
      <w:pPr>
        <w:jc w:val="center"/>
        <w:rPr>
          <w:b/>
          <w:bCs/>
          <w:color w:val="auto"/>
          <w:sz w:val="36"/>
          <w:szCs w:val="36"/>
          <w:highlight w:val="none"/>
        </w:rPr>
      </w:pPr>
      <w:r>
        <w:rPr>
          <w:rFonts w:hint="eastAsia" w:ascii="宋体" w:hAnsi="宋体"/>
          <w:b/>
          <w:bCs/>
          <w:color w:val="auto"/>
          <w:sz w:val="36"/>
          <w:szCs w:val="36"/>
          <w:highlight w:val="none"/>
        </w:rPr>
        <w:t>算术复核表</w:t>
      </w:r>
    </w:p>
    <w:p>
      <w:pPr>
        <w:rPr>
          <w:rFonts w:ascii="宋体"/>
          <w:color w:val="auto"/>
          <w:kern w:val="0"/>
          <w:highlight w:val="none"/>
        </w:rPr>
      </w:pPr>
      <w:r>
        <w:rPr>
          <w:rFonts w:hint="eastAsia" w:ascii="宋体" w:hAnsi="宋体"/>
          <w:color w:val="auto"/>
          <w:kern w:val="0"/>
          <w:highlight w:val="none"/>
        </w:rPr>
        <w:t>工程名称：投标人:                                                  单位：元</w:t>
      </w:r>
    </w:p>
    <w:tbl>
      <w:tblPr>
        <w:tblStyle w:val="20"/>
        <w:tblW w:w="0" w:type="auto"/>
        <w:tblInd w:w="108"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编号</w:t>
            </w:r>
          </w:p>
        </w:tc>
        <w:tc>
          <w:tcPr>
            <w:tcW w:w="4488" w:type="dxa"/>
            <w:tcBorders>
              <w:top w:val="single" w:color="auto" w:sz="4" w:space="0"/>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算术校核项目</w:t>
            </w:r>
          </w:p>
        </w:tc>
        <w:tc>
          <w:tcPr>
            <w:tcW w:w="1602" w:type="dxa"/>
            <w:tcBorders>
              <w:top w:val="single" w:color="auto" w:sz="4" w:space="0"/>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修正前投标</w:t>
            </w:r>
          </w:p>
          <w:p>
            <w:pPr>
              <w:rPr>
                <w:rFonts w:ascii="宋体"/>
                <w:color w:val="auto"/>
                <w:kern w:val="0"/>
                <w:highlight w:val="none"/>
              </w:rPr>
            </w:pPr>
            <w:r>
              <w:rPr>
                <w:rFonts w:hint="eastAsia" w:ascii="宋体" w:hAnsi="宋体"/>
                <w:color w:val="auto"/>
                <w:kern w:val="0"/>
                <w:highlight w:val="none"/>
              </w:rPr>
              <w:t>报价A</w:t>
            </w:r>
          </w:p>
        </w:tc>
        <w:tc>
          <w:tcPr>
            <w:tcW w:w="1575" w:type="dxa"/>
            <w:tcBorders>
              <w:top w:val="single" w:color="auto" w:sz="4" w:space="0"/>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修正后投标</w:t>
            </w:r>
          </w:p>
          <w:p>
            <w:pPr>
              <w:rPr>
                <w:rFonts w:ascii="宋体"/>
                <w:color w:val="auto"/>
                <w:kern w:val="0"/>
                <w:highlight w:val="none"/>
              </w:rPr>
            </w:pPr>
            <w:r>
              <w:rPr>
                <w:rFonts w:hint="eastAsia" w:ascii="宋体" w:hAnsi="宋体"/>
                <w:color w:val="auto"/>
                <w:kern w:val="0"/>
                <w:highlight w:val="none"/>
              </w:rPr>
              <w:t>报价B</w:t>
            </w:r>
          </w:p>
        </w:tc>
        <w:tc>
          <w:tcPr>
            <w:tcW w:w="1575" w:type="dxa"/>
            <w:tcBorders>
              <w:top w:val="single" w:color="auto" w:sz="4" w:space="0"/>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修正率</w:t>
            </w:r>
            <w:r>
              <w:rPr>
                <w:rFonts w:hint="eastAsia" w:ascii="宋体"/>
                <w:color w:val="auto"/>
                <w:kern w:val="0"/>
                <w:highlight w:val="none"/>
              </w:rPr>
              <w:br w:type="textWrapping"/>
            </w:r>
            <w:r>
              <w:rPr>
                <w:rFonts w:hint="eastAsia" w:ascii="宋体" w:hAnsi="宋体"/>
                <w:color w:val="auto"/>
                <w:kern w:val="0"/>
                <w:highlight w:val="none"/>
              </w:rPr>
              <w:t>r=|A-B|/A*100%</w:t>
            </w:r>
          </w:p>
        </w:tc>
        <w:tc>
          <w:tcPr>
            <w:tcW w:w="1470" w:type="dxa"/>
            <w:tcBorders>
              <w:top w:val="single" w:color="auto" w:sz="4" w:space="0"/>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经评审的最终投标报价</w:t>
            </w:r>
          </w:p>
        </w:tc>
        <w:tc>
          <w:tcPr>
            <w:tcW w:w="3465" w:type="dxa"/>
            <w:tcBorders>
              <w:top w:val="single" w:color="auto" w:sz="4" w:space="0"/>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1</w:t>
            </w:r>
          </w:p>
        </w:tc>
        <w:tc>
          <w:tcPr>
            <w:tcW w:w="4488"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[单位工程1]</w:t>
            </w:r>
          </w:p>
        </w:tc>
        <w:tc>
          <w:tcPr>
            <w:tcW w:w="1602"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470"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3465" w:type="dxa"/>
            <w:tcBorders>
              <w:top w:val="single" w:color="auto" w:sz="4" w:space="0"/>
              <w:left w:val="nil"/>
              <w:bottom w:val="single" w:color="auto" w:sz="4" w:space="0"/>
              <w:right w:val="single" w:color="auto" w:sz="4" w:space="0"/>
            </w:tcBorders>
            <w:noWrap/>
            <w:vAlign w:val="center"/>
          </w:tcPr>
          <w:p>
            <w:pPr>
              <w:rPr>
                <w:rFonts w:ascii="宋体"/>
                <w:color w:val="auto"/>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2</w:t>
            </w:r>
          </w:p>
        </w:tc>
        <w:tc>
          <w:tcPr>
            <w:tcW w:w="4488"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[单位工程2]</w:t>
            </w:r>
          </w:p>
        </w:tc>
        <w:tc>
          <w:tcPr>
            <w:tcW w:w="1602"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470"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3465" w:type="dxa"/>
            <w:tcBorders>
              <w:top w:val="single" w:color="auto" w:sz="4" w:space="0"/>
              <w:left w:val="nil"/>
              <w:bottom w:val="single" w:color="auto" w:sz="4" w:space="0"/>
              <w:right w:val="single" w:color="auto" w:sz="4" w:space="0"/>
            </w:tcBorders>
            <w:noWrap/>
            <w:vAlign w:val="center"/>
          </w:tcPr>
          <w:p>
            <w:pPr>
              <w:rPr>
                <w:rFonts w:ascii="宋体"/>
                <w:color w:val="auto"/>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w:t>
            </w:r>
          </w:p>
        </w:tc>
        <w:tc>
          <w:tcPr>
            <w:tcW w:w="4488"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w:t>
            </w:r>
          </w:p>
        </w:tc>
        <w:tc>
          <w:tcPr>
            <w:tcW w:w="1602"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470"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3465" w:type="dxa"/>
            <w:tcBorders>
              <w:top w:val="single" w:color="auto" w:sz="4" w:space="0"/>
              <w:left w:val="nil"/>
              <w:bottom w:val="single" w:color="auto" w:sz="4" w:space="0"/>
              <w:right w:val="single" w:color="auto" w:sz="4" w:space="0"/>
            </w:tcBorders>
            <w:noWrap/>
            <w:vAlign w:val="center"/>
          </w:tcPr>
          <w:p>
            <w:pPr>
              <w:rPr>
                <w:rFonts w:ascii="宋体"/>
                <w:color w:val="auto"/>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w:t>
            </w:r>
          </w:p>
        </w:tc>
        <w:tc>
          <w:tcPr>
            <w:tcW w:w="4488"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w:t>
            </w:r>
          </w:p>
        </w:tc>
        <w:tc>
          <w:tcPr>
            <w:tcW w:w="1602"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470"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3465" w:type="dxa"/>
            <w:tcBorders>
              <w:top w:val="single" w:color="auto" w:sz="4" w:space="0"/>
              <w:left w:val="nil"/>
              <w:bottom w:val="single" w:color="auto" w:sz="4" w:space="0"/>
              <w:right w:val="single" w:color="auto" w:sz="4" w:space="0"/>
            </w:tcBorders>
            <w:noWrap/>
            <w:vAlign w:val="center"/>
          </w:tcPr>
          <w:p>
            <w:pPr>
              <w:rPr>
                <w:rFonts w:ascii="宋体"/>
                <w:color w:val="auto"/>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w:t>
            </w:r>
          </w:p>
        </w:tc>
        <w:tc>
          <w:tcPr>
            <w:tcW w:w="4488"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w:t>
            </w:r>
          </w:p>
        </w:tc>
        <w:tc>
          <w:tcPr>
            <w:tcW w:w="1602"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470"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3465" w:type="dxa"/>
            <w:tcBorders>
              <w:top w:val="single" w:color="auto" w:sz="4" w:space="0"/>
              <w:left w:val="nil"/>
              <w:bottom w:val="single" w:color="auto" w:sz="4" w:space="0"/>
              <w:right w:val="single" w:color="auto" w:sz="4" w:space="0"/>
            </w:tcBorders>
            <w:noWrap/>
            <w:vAlign w:val="center"/>
          </w:tcPr>
          <w:p>
            <w:pPr>
              <w:rPr>
                <w:rFonts w:ascii="宋体"/>
                <w:color w:val="auto"/>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n</w:t>
            </w:r>
          </w:p>
        </w:tc>
        <w:tc>
          <w:tcPr>
            <w:tcW w:w="4488"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[单位工程n]</w:t>
            </w:r>
          </w:p>
        </w:tc>
        <w:tc>
          <w:tcPr>
            <w:tcW w:w="1602"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470"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3465" w:type="dxa"/>
            <w:tcBorders>
              <w:top w:val="single" w:color="auto" w:sz="4" w:space="0"/>
              <w:left w:val="nil"/>
              <w:bottom w:val="single" w:color="auto" w:sz="4" w:space="0"/>
              <w:right w:val="single" w:color="auto" w:sz="4" w:space="0"/>
            </w:tcBorders>
            <w:noWrap/>
            <w:vAlign w:val="center"/>
          </w:tcPr>
          <w:p>
            <w:pPr>
              <w:rPr>
                <w:rFonts w:ascii="宋体"/>
                <w:color w:val="auto"/>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w:t>
            </w:r>
          </w:p>
        </w:tc>
        <w:tc>
          <w:tcPr>
            <w:tcW w:w="4488"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投标总报价</w:t>
            </w:r>
          </w:p>
        </w:tc>
        <w:tc>
          <w:tcPr>
            <w:tcW w:w="1602"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575"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1470" w:type="dxa"/>
            <w:tcBorders>
              <w:top w:val="nil"/>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　</w:t>
            </w:r>
          </w:p>
        </w:tc>
        <w:tc>
          <w:tcPr>
            <w:tcW w:w="3465" w:type="dxa"/>
            <w:tcBorders>
              <w:top w:val="single" w:color="auto" w:sz="4" w:space="0"/>
              <w:left w:val="nil"/>
              <w:bottom w:val="single" w:color="auto" w:sz="4" w:space="0"/>
              <w:right w:val="single" w:color="auto" w:sz="4" w:space="0"/>
            </w:tcBorders>
            <w:noWrap/>
            <w:vAlign w:val="center"/>
          </w:tcPr>
          <w:p>
            <w:pPr>
              <w:rPr>
                <w:rFonts w:ascii="宋体"/>
                <w:color w:val="auto"/>
                <w:kern w:val="0"/>
                <w:highlight w:val="none"/>
              </w:rPr>
            </w:pPr>
            <w:r>
              <w:rPr>
                <w:rFonts w:hint="eastAsia" w:ascii="宋体" w:hAnsi="宋体"/>
                <w:color w:val="auto"/>
                <w:kern w:val="0"/>
                <w:highlight w:val="none"/>
              </w:rPr>
              <w:t>∑A=A</w:t>
            </w:r>
            <w:r>
              <w:rPr>
                <w:rFonts w:hint="eastAsia" w:ascii="宋体" w:hAnsi="宋体"/>
                <w:color w:val="auto"/>
                <w:kern w:val="0"/>
                <w:highlight w:val="none"/>
                <w:vertAlign w:val="subscript"/>
              </w:rPr>
              <w:t>1</w:t>
            </w:r>
            <w:r>
              <w:rPr>
                <w:rFonts w:hint="eastAsia" w:ascii="宋体" w:hAnsi="宋体"/>
                <w:color w:val="auto"/>
                <w:kern w:val="0"/>
                <w:highlight w:val="none"/>
              </w:rPr>
              <w:t>+A</w:t>
            </w:r>
            <w:r>
              <w:rPr>
                <w:rFonts w:hint="eastAsia" w:ascii="宋体" w:hAnsi="宋体"/>
                <w:color w:val="auto"/>
                <w:kern w:val="0"/>
                <w:highlight w:val="none"/>
                <w:vertAlign w:val="subscript"/>
              </w:rPr>
              <w:t>2</w:t>
            </w:r>
            <w:r>
              <w:rPr>
                <w:rFonts w:hint="eastAsia" w:ascii="宋体" w:hAnsi="宋体"/>
                <w:color w:val="auto"/>
                <w:kern w:val="0"/>
                <w:highlight w:val="none"/>
              </w:rPr>
              <w:t>+…An；∑B=B</w:t>
            </w:r>
            <w:r>
              <w:rPr>
                <w:rFonts w:hint="eastAsia" w:ascii="宋体" w:hAnsi="宋体"/>
                <w:color w:val="auto"/>
                <w:kern w:val="0"/>
                <w:highlight w:val="none"/>
                <w:vertAlign w:val="subscript"/>
              </w:rPr>
              <w:t>1</w:t>
            </w:r>
            <w:r>
              <w:rPr>
                <w:rFonts w:hint="eastAsia" w:ascii="宋体" w:hAnsi="宋体"/>
                <w:color w:val="auto"/>
                <w:kern w:val="0"/>
                <w:highlight w:val="none"/>
              </w:rPr>
              <w:t>+B</w:t>
            </w:r>
            <w:r>
              <w:rPr>
                <w:rFonts w:hint="eastAsia" w:ascii="宋体" w:hAnsi="宋体"/>
                <w:color w:val="auto"/>
                <w:kern w:val="0"/>
                <w:highlight w:val="none"/>
                <w:vertAlign w:val="subscript"/>
              </w:rPr>
              <w:t>2</w:t>
            </w:r>
            <w:r>
              <w:rPr>
                <w:rFonts w:hint="eastAsia" w:ascii="宋体" w:hAnsi="宋体"/>
                <w:color w:val="auto"/>
                <w:kern w:val="0"/>
                <w:highlight w:val="none"/>
              </w:rPr>
              <w:t>+…Bn</w:t>
            </w:r>
          </w:p>
        </w:tc>
      </w:tr>
    </w:tbl>
    <w:p>
      <w:pPr>
        <w:rPr>
          <w:rFonts w:cs="宋体"/>
          <w:color w:val="auto"/>
          <w:kern w:val="0"/>
          <w:highlight w:val="none"/>
        </w:rPr>
      </w:pPr>
      <w:r>
        <w:rPr>
          <w:rFonts w:hint="eastAsia" w:ascii="宋体" w:hAnsi="宋体"/>
          <w:color w:val="auto"/>
          <w:kern w:val="0"/>
          <w:highlight w:val="none"/>
        </w:rPr>
        <w:t>修正原则：</w:t>
      </w:r>
      <w:r>
        <w:rPr>
          <w:rFonts w:hint="eastAsia" w:ascii="宋体" w:hAnsi="宋体"/>
          <w:color w:val="auto"/>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highlight w:val="none"/>
        </w:rPr>
        <w:tab/>
      </w:r>
    </w:p>
    <w:p>
      <w:pPr>
        <w:rPr>
          <w:color w:val="auto"/>
          <w:kern w:val="0"/>
          <w:highlight w:val="none"/>
        </w:rPr>
      </w:pPr>
      <w:r>
        <w:rPr>
          <w:rFonts w:hint="eastAsia" w:ascii="宋体" w:hAnsi="宋体"/>
          <w:color w:val="auto"/>
          <w:kern w:val="0"/>
          <w:highlight w:val="none"/>
        </w:rPr>
        <w:t>评委签名：</w:t>
      </w:r>
      <w:r>
        <w:rPr>
          <w:color w:val="auto"/>
          <w:kern w:val="0"/>
          <w:highlight w:val="none"/>
        </w:rPr>
        <w:tab/>
      </w:r>
      <w:r>
        <w:rPr>
          <w:color w:val="auto"/>
          <w:kern w:val="0"/>
          <w:highlight w:val="none"/>
        </w:rPr>
        <w:tab/>
      </w:r>
      <w:r>
        <w:rPr>
          <w:color w:val="auto"/>
          <w:kern w:val="0"/>
          <w:highlight w:val="none"/>
        </w:rPr>
        <w:tab/>
      </w:r>
      <w:r>
        <w:rPr>
          <w:color w:val="auto"/>
          <w:kern w:val="0"/>
          <w:highlight w:val="none"/>
        </w:rPr>
        <w:tab/>
      </w:r>
      <w:r>
        <w:rPr>
          <w:color w:val="auto"/>
          <w:kern w:val="0"/>
          <w:highlight w:val="none"/>
        </w:rPr>
        <w:tab/>
      </w:r>
      <w:r>
        <w:rPr>
          <w:rFonts w:hint="eastAsia" w:ascii="宋体" w:hAnsi="宋体"/>
          <w:color w:val="auto"/>
          <w:kern w:val="0"/>
          <w:highlight w:val="none"/>
        </w:rPr>
        <w:t>日期：</w:t>
      </w:r>
    </w:p>
    <w:p>
      <w:pPr>
        <w:rPr>
          <w:color w:val="auto"/>
          <w:highlight w:val="none"/>
        </w:rPr>
      </w:pPr>
    </w:p>
    <w:p>
      <w:pPr>
        <w:jc w:val="center"/>
        <w:rPr>
          <w:b/>
          <w:bCs/>
          <w:color w:val="auto"/>
          <w:sz w:val="36"/>
          <w:szCs w:val="36"/>
          <w:highlight w:val="none"/>
        </w:rPr>
      </w:pPr>
      <w:r>
        <w:rPr>
          <w:color w:val="auto"/>
          <w:highlight w:val="none"/>
        </w:rPr>
        <w:br w:type="page"/>
      </w:r>
      <w:r>
        <w:rPr>
          <w:rFonts w:hint="eastAsia" w:ascii="宋体" w:hAnsi="宋体"/>
          <w:b/>
          <w:bCs/>
          <w:color w:val="auto"/>
          <w:sz w:val="36"/>
          <w:szCs w:val="36"/>
          <w:highlight w:val="none"/>
        </w:rPr>
        <w:t>算术复核表</w:t>
      </w:r>
    </w:p>
    <w:p>
      <w:pPr>
        <w:rPr>
          <w:color w:val="auto"/>
          <w:highlight w:val="none"/>
        </w:rPr>
      </w:pPr>
      <w:r>
        <w:rPr>
          <w:rFonts w:hint="eastAsia" w:ascii="宋体" w:hAnsi="宋体"/>
          <w:color w:val="auto"/>
          <w:highlight w:val="none"/>
        </w:rPr>
        <w:t>工程名称：</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tcPr>
          <w:p>
            <w:pPr>
              <w:rPr>
                <w:b/>
                <w:bCs/>
                <w:color w:val="auto"/>
                <w:sz w:val="28"/>
                <w:szCs w:val="28"/>
                <w:highlight w:val="none"/>
              </w:rPr>
            </w:pPr>
            <w:r>
              <w:rPr>
                <w:rFonts w:hint="eastAsia"/>
                <w:b/>
                <w:bCs/>
                <w:color w:val="auto"/>
                <w:sz w:val="28"/>
                <w:szCs w:val="28"/>
                <w:highlight w:val="none"/>
              </w:rPr>
              <w:t>编号</w:t>
            </w:r>
          </w:p>
        </w:tc>
        <w:tc>
          <w:tcPr>
            <w:tcW w:w="4297" w:type="dxa"/>
            <w:tcBorders>
              <w:top w:val="single" w:color="auto" w:sz="4" w:space="0"/>
              <w:left w:val="nil"/>
              <w:bottom w:val="single" w:color="auto" w:sz="4" w:space="0"/>
              <w:right w:val="single" w:color="auto" w:sz="4" w:space="0"/>
            </w:tcBorders>
            <w:noWrap/>
          </w:tcPr>
          <w:p>
            <w:pPr>
              <w:rPr>
                <w:b/>
                <w:bCs/>
                <w:color w:val="auto"/>
                <w:sz w:val="28"/>
                <w:szCs w:val="28"/>
                <w:highlight w:val="none"/>
              </w:rPr>
            </w:pPr>
            <w:r>
              <w:rPr>
                <w:rFonts w:hint="eastAsia"/>
                <w:b/>
                <w:bCs/>
                <w:color w:val="auto"/>
                <w:sz w:val="28"/>
                <w:szCs w:val="28"/>
                <w:highlight w:val="none"/>
              </w:rPr>
              <w:t>投标人名称</w:t>
            </w:r>
          </w:p>
        </w:tc>
        <w:tc>
          <w:tcPr>
            <w:tcW w:w="2330" w:type="dxa"/>
            <w:tcBorders>
              <w:top w:val="single" w:color="auto" w:sz="4" w:space="0"/>
              <w:left w:val="nil"/>
              <w:bottom w:val="single" w:color="auto" w:sz="4" w:space="0"/>
              <w:right w:val="single" w:color="auto" w:sz="4" w:space="0"/>
            </w:tcBorders>
            <w:noWrap/>
          </w:tcPr>
          <w:p>
            <w:pPr>
              <w:rPr>
                <w:b/>
                <w:bCs/>
                <w:color w:val="auto"/>
                <w:sz w:val="28"/>
                <w:szCs w:val="28"/>
                <w:highlight w:val="none"/>
              </w:rPr>
            </w:pPr>
            <w:r>
              <w:rPr>
                <w:rFonts w:hint="eastAsia"/>
                <w:b/>
                <w:bCs/>
                <w:color w:val="auto"/>
                <w:sz w:val="28"/>
                <w:szCs w:val="28"/>
                <w:highlight w:val="none"/>
              </w:rPr>
              <w:t>原投标报价（</w:t>
            </w:r>
            <w:r>
              <w:rPr>
                <w:b/>
                <w:bCs/>
                <w:color w:val="auto"/>
                <w:sz w:val="28"/>
                <w:szCs w:val="28"/>
                <w:highlight w:val="none"/>
              </w:rPr>
              <w:t>A</w:t>
            </w:r>
            <w:r>
              <w:rPr>
                <w:rFonts w:hint="eastAsia"/>
                <w:b/>
                <w:bCs/>
                <w:color w:val="auto"/>
                <w:sz w:val="28"/>
                <w:szCs w:val="28"/>
                <w:highlight w:val="none"/>
              </w:rPr>
              <w:t>）</w:t>
            </w:r>
          </w:p>
        </w:tc>
        <w:tc>
          <w:tcPr>
            <w:tcW w:w="3101" w:type="dxa"/>
            <w:tcBorders>
              <w:top w:val="single" w:color="auto" w:sz="4" w:space="0"/>
              <w:left w:val="nil"/>
              <w:bottom w:val="single" w:color="auto" w:sz="4" w:space="0"/>
              <w:right w:val="single" w:color="auto" w:sz="4" w:space="0"/>
            </w:tcBorders>
            <w:noWrap/>
          </w:tcPr>
          <w:p>
            <w:pPr>
              <w:rPr>
                <w:b/>
                <w:bCs/>
                <w:color w:val="auto"/>
                <w:sz w:val="28"/>
                <w:szCs w:val="28"/>
                <w:highlight w:val="none"/>
              </w:rPr>
            </w:pPr>
            <w:r>
              <w:rPr>
                <w:rFonts w:hint="eastAsia"/>
                <w:b/>
                <w:bCs/>
                <w:color w:val="auto"/>
                <w:sz w:val="28"/>
                <w:szCs w:val="28"/>
                <w:highlight w:val="none"/>
              </w:rPr>
              <w:t>算数复核后投标报价（</w:t>
            </w:r>
            <w:r>
              <w:rPr>
                <w:b/>
                <w:bCs/>
                <w:color w:val="auto"/>
                <w:sz w:val="28"/>
                <w:szCs w:val="28"/>
                <w:highlight w:val="none"/>
              </w:rPr>
              <w:t>B</w:t>
            </w:r>
            <w:r>
              <w:rPr>
                <w:rFonts w:hint="eastAsia"/>
                <w:b/>
                <w:bCs/>
                <w:color w:val="auto"/>
                <w:sz w:val="28"/>
                <w:szCs w:val="28"/>
                <w:highlight w:val="none"/>
              </w:rPr>
              <w:t>）</w:t>
            </w:r>
          </w:p>
        </w:tc>
        <w:tc>
          <w:tcPr>
            <w:tcW w:w="3423" w:type="dxa"/>
            <w:tcBorders>
              <w:top w:val="single" w:color="auto" w:sz="4" w:space="0"/>
              <w:left w:val="nil"/>
              <w:bottom w:val="single" w:color="auto" w:sz="4" w:space="0"/>
              <w:right w:val="single" w:color="auto" w:sz="4" w:space="0"/>
            </w:tcBorders>
            <w:noWrap/>
          </w:tcPr>
          <w:p>
            <w:pPr>
              <w:rPr>
                <w:b/>
                <w:bCs/>
                <w:color w:val="auto"/>
                <w:sz w:val="28"/>
                <w:szCs w:val="28"/>
                <w:highlight w:val="none"/>
              </w:rPr>
            </w:pPr>
            <w:r>
              <w:rPr>
                <w:rFonts w:hint="eastAsia"/>
                <w:b/>
                <w:bCs/>
                <w:color w:val="auto"/>
                <w:sz w:val="28"/>
                <w:szCs w:val="28"/>
                <w:highlight w:val="none"/>
              </w:rPr>
              <w:t>误差率（</w:t>
            </w:r>
            <w:r>
              <w:rPr>
                <w:b/>
                <w:bCs/>
                <w:color w:val="auto"/>
                <w:sz w:val="28"/>
                <w:szCs w:val="28"/>
                <w:highlight w:val="none"/>
              </w:rPr>
              <w:t>r=|A-B|/A*100%</w:t>
            </w:r>
            <w:r>
              <w:rPr>
                <w:rFonts w:hint="eastAsia"/>
                <w:b/>
                <w:bCs/>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tcPr>
          <w:p>
            <w:pPr>
              <w:rPr>
                <w:color w:val="auto"/>
                <w:sz w:val="36"/>
                <w:szCs w:val="36"/>
                <w:highlight w:val="none"/>
              </w:rPr>
            </w:pPr>
          </w:p>
        </w:tc>
        <w:tc>
          <w:tcPr>
            <w:tcW w:w="4297"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2330"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101"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423" w:type="dxa"/>
            <w:tcBorders>
              <w:top w:val="single" w:color="auto" w:sz="4" w:space="0"/>
              <w:left w:val="nil"/>
              <w:bottom w:val="single" w:color="auto" w:sz="4" w:space="0"/>
              <w:right w:val="single" w:color="auto" w:sz="4" w:space="0"/>
            </w:tcBorders>
            <w:noWra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tcPr>
          <w:p>
            <w:pPr>
              <w:rPr>
                <w:color w:val="auto"/>
                <w:sz w:val="36"/>
                <w:szCs w:val="36"/>
                <w:highlight w:val="none"/>
              </w:rPr>
            </w:pPr>
          </w:p>
        </w:tc>
        <w:tc>
          <w:tcPr>
            <w:tcW w:w="4297"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2330"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101"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423" w:type="dxa"/>
            <w:tcBorders>
              <w:top w:val="single" w:color="auto" w:sz="4" w:space="0"/>
              <w:left w:val="nil"/>
              <w:bottom w:val="single" w:color="auto" w:sz="4" w:space="0"/>
              <w:right w:val="single" w:color="auto" w:sz="4" w:space="0"/>
            </w:tcBorders>
            <w:noWra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tcPr>
          <w:p>
            <w:pPr>
              <w:rPr>
                <w:color w:val="auto"/>
                <w:sz w:val="36"/>
                <w:szCs w:val="36"/>
                <w:highlight w:val="none"/>
              </w:rPr>
            </w:pPr>
          </w:p>
        </w:tc>
        <w:tc>
          <w:tcPr>
            <w:tcW w:w="4297"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2330"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101"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423" w:type="dxa"/>
            <w:tcBorders>
              <w:top w:val="single" w:color="auto" w:sz="4" w:space="0"/>
              <w:left w:val="nil"/>
              <w:bottom w:val="single" w:color="auto" w:sz="4" w:space="0"/>
              <w:right w:val="single" w:color="auto" w:sz="4" w:space="0"/>
            </w:tcBorders>
            <w:noWra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tcPr>
          <w:p>
            <w:pPr>
              <w:rPr>
                <w:color w:val="auto"/>
                <w:sz w:val="36"/>
                <w:szCs w:val="36"/>
                <w:highlight w:val="none"/>
              </w:rPr>
            </w:pPr>
          </w:p>
        </w:tc>
        <w:tc>
          <w:tcPr>
            <w:tcW w:w="4297"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2330"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101"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423" w:type="dxa"/>
            <w:tcBorders>
              <w:top w:val="single" w:color="auto" w:sz="4" w:space="0"/>
              <w:left w:val="nil"/>
              <w:bottom w:val="single" w:color="auto" w:sz="4" w:space="0"/>
              <w:right w:val="single" w:color="auto" w:sz="4" w:space="0"/>
            </w:tcBorders>
            <w:noWra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tcPr>
          <w:p>
            <w:pPr>
              <w:rPr>
                <w:color w:val="auto"/>
                <w:sz w:val="36"/>
                <w:szCs w:val="36"/>
                <w:highlight w:val="none"/>
              </w:rPr>
            </w:pPr>
          </w:p>
        </w:tc>
        <w:tc>
          <w:tcPr>
            <w:tcW w:w="4297"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2330"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101"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423" w:type="dxa"/>
            <w:tcBorders>
              <w:top w:val="single" w:color="auto" w:sz="4" w:space="0"/>
              <w:left w:val="nil"/>
              <w:bottom w:val="single" w:color="auto" w:sz="4" w:space="0"/>
              <w:right w:val="single" w:color="auto" w:sz="4" w:space="0"/>
            </w:tcBorders>
            <w:noWra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tcPr>
          <w:p>
            <w:pPr>
              <w:rPr>
                <w:color w:val="auto"/>
                <w:sz w:val="36"/>
                <w:szCs w:val="36"/>
                <w:highlight w:val="none"/>
              </w:rPr>
            </w:pPr>
          </w:p>
        </w:tc>
        <w:tc>
          <w:tcPr>
            <w:tcW w:w="4297"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2330"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101"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423" w:type="dxa"/>
            <w:tcBorders>
              <w:top w:val="single" w:color="auto" w:sz="4" w:space="0"/>
              <w:left w:val="nil"/>
              <w:bottom w:val="single" w:color="auto" w:sz="4" w:space="0"/>
              <w:right w:val="single" w:color="auto" w:sz="4" w:space="0"/>
            </w:tcBorders>
            <w:noWra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tcPr>
          <w:p>
            <w:pPr>
              <w:rPr>
                <w:color w:val="auto"/>
                <w:sz w:val="36"/>
                <w:szCs w:val="36"/>
                <w:highlight w:val="none"/>
              </w:rPr>
            </w:pPr>
          </w:p>
        </w:tc>
        <w:tc>
          <w:tcPr>
            <w:tcW w:w="4297"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2330"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101"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423" w:type="dxa"/>
            <w:tcBorders>
              <w:top w:val="single" w:color="auto" w:sz="4" w:space="0"/>
              <w:left w:val="nil"/>
              <w:bottom w:val="single" w:color="auto" w:sz="4" w:space="0"/>
              <w:right w:val="single" w:color="auto" w:sz="4" w:space="0"/>
            </w:tcBorders>
            <w:noWra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tcPr>
          <w:p>
            <w:pPr>
              <w:rPr>
                <w:color w:val="auto"/>
                <w:sz w:val="36"/>
                <w:szCs w:val="36"/>
                <w:highlight w:val="none"/>
              </w:rPr>
            </w:pPr>
          </w:p>
        </w:tc>
        <w:tc>
          <w:tcPr>
            <w:tcW w:w="4297"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2330"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101" w:type="dxa"/>
            <w:tcBorders>
              <w:top w:val="single" w:color="auto" w:sz="4" w:space="0"/>
              <w:left w:val="nil"/>
              <w:bottom w:val="single" w:color="auto" w:sz="4" w:space="0"/>
              <w:right w:val="single" w:color="auto" w:sz="4" w:space="0"/>
            </w:tcBorders>
            <w:noWrap/>
          </w:tcPr>
          <w:p>
            <w:pPr>
              <w:rPr>
                <w:color w:val="auto"/>
                <w:sz w:val="36"/>
                <w:szCs w:val="36"/>
                <w:highlight w:val="none"/>
              </w:rPr>
            </w:pPr>
          </w:p>
        </w:tc>
        <w:tc>
          <w:tcPr>
            <w:tcW w:w="3423" w:type="dxa"/>
            <w:tcBorders>
              <w:top w:val="single" w:color="auto" w:sz="4" w:space="0"/>
              <w:left w:val="nil"/>
              <w:bottom w:val="single" w:color="auto" w:sz="4" w:space="0"/>
              <w:right w:val="single" w:color="auto" w:sz="4" w:space="0"/>
            </w:tcBorders>
            <w:noWrap/>
          </w:tcPr>
          <w:p>
            <w:pPr>
              <w:rPr>
                <w:color w:val="auto"/>
                <w:sz w:val="36"/>
                <w:szCs w:val="36"/>
                <w:highlight w:val="none"/>
              </w:rPr>
            </w:pPr>
          </w:p>
        </w:tc>
      </w:tr>
    </w:tbl>
    <w:p>
      <w:pPr>
        <w:spacing w:line="360" w:lineRule="auto"/>
        <w:rPr>
          <w:rFonts w:ascii="宋体" w:hAnsi="宋体"/>
          <w:color w:val="auto"/>
          <w:highlight w:val="none"/>
        </w:rPr>
      </w:pPr>
      <w:r>
        <w:rPr>
          <w:rFonts w:hint="eastAsia" w:ascii="宋体" w:hAnsi="宋体"/>
          <w:color w:val="auto"/>
          <w:highlight w:val="none"/>
        </w:rPr>
        <w:t>评委签名：</w:t>
      </w:r>
    </w:p>
    <w:p>
      <w:pPr>
        <w:pStyle w:val="8"/>
        <w:rPr>
          <w:rFonts w:ascii="宋体" w:hAnsi="宋体"/>
          <w:color w:val="auto"/>
          <w:highlight w:val="none"/>
        </w:rPr>
      </w:pPr>
    </w:p>
    <w:p>
      <w:pPr>
        <w:rPr>
          <w:rFonts w:ascii="宋体" w:hAnsi="宋体"/>
          <w:color w:val="auto"/>
          <w:highlight w:val="none"/>
        </w:rPr>
      </w:pPr>
    </w:p>
    <w:p>
      <w:pPr>
        <w:pStyle w:val="8"/>
        <w:rPr>
          <w:rFonts w:ascii="宋体" w:hAnsi="宋体"/>
          <w:color w:val="auto"/>
          <w:highlight w:val="none"/>
        </w:rPr>
      </w:pPr>
    </w:p>
    <w:p>
      <w:pPr>
        <w:rPr>
          <w:color w:val="auto"/>
          <w:highlight w:val="none"/>
        </w:rPr>
      </w:pPr>
    </w:p>
    <w:p>
      <w:pPr>
        <w:rPr>
          <w:color w:val="auto"/>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18" w:right="1247" w:bottom="1418" w:left="1134" w:header="851" w:footer="907" w:gutter="0"/>
          <w:cols w:space="720" w:num="1"/>
          <w:titlePg/>
          <w:docGrid w:type="lines" w:linePitch="312" w:charSpace="0"/>
        </w:sectPr>
      </w:pPr>
    </w:p>
    <w:p>
      <w:pPr>
        <w:widowControl/>
        <w:jc w:val="left"/>
        <w:rPr>
          <w:rFonts w:ascii="仿宋" w:hAnsi="仿宋"/>
          <w:b/>
          <w:bCs/>
          <w:color w:val="auto"/>
          <w:highlight w:val="none"/>
        </w:rPr>
      </w:pPr>
      <w:r>
        <w:rPr>
          <w:rFonts w:hint="eastAsia" w:ascii="宋体" w:hAnsi="宋体"/>
          <w:color w:val="auto"/>
          <w:highlight w:val="none"/>
        </w:rPr>
        <w:t>附表七</w:t>
      </w:r>
    </w:p>
    <w:p>
      <w:pPr>
        <w:jc w:val="center"/>
        <w:rPr>
          <w:color w:val="auto"/>
          <w:highlight w:val="none"/>
        </w:rPr>
      </w:pPr>
      <w:r>
        <w:rPr>
          <w:rFonts w:hint="eastAsia" w:ascii="宋体" w:hAnsi="宋体"/>
          <w:b/>
          <w:color w:val="auto"/>
          <w:sz w:val="32"/>
          <w:szCs w:val="32"/>
          <w:highlight w:val="none"/>
        </w:rPr>
        <w:t>定标因素表（定标阶段用表）</w:t>
      </w:r>
    </w:p>
    <w:p>
      <w:pPr>
        <w:rPr>
          <w:rFonts w:ascii="宋体" w:hAnsi="宋体"/>
          <w:color w:val="auto"/>
          <w:sz w:val="24"/>
          <w:szCs w:val="24"/>
          <w:highlight w:val="none"/>
        </w:rPr>
      </w:pPr>
      <w:r>
        <w:rPr>
          <w:rFonts w:hint="eastAsia" w:ascii="宋体" w:hAnsi="宋体"/>
          <w:color w:val="auto"/>
          <w:sz w:val="24"/>
          <w:szCs w:val="24"/>
          <w:highlight w:val="none"/>
        </w:rPr>
        <w:t>工程名称：</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578"/>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auto"/>
                <w:sz w:val="22"/>
                <w:highlight w:val="none"/>
              </w:rPr>
            </w:pPr>
            <w:r>
              <w:rPr>
                <w:rFonts w:hint="eastAsia" w:ascii="宋体" w:hAnsi="宋体"/>
                <w:color w:val="auto"/>
                <w:sz w:val="22"/>
                <w:highlight w:val="none"/>
              </w:rPr>
              <w:t>序号</w:t>
            </w:r>
          </w:p>
        </w:tc>
        <w:tc>
          <w:tcPr>
            <w:tcW w:w="157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auto"/>
                <w:sz w:val="22"/>
                <w:highlight w:val="none"/>
              </w:rPr>
            </w:pPr>
            <w:r>
              <w:rPr>
                <w:rFonts w:hint="eastAsia" w:ascii="宋体" w:hAnsi="宋体"/>
                <w:color w:val="auto"/>
                <w:sz w:val="22"/>
                <w:highlight w:val="none"/>
              </w:rPr>
              <w:t>评价项目</w:t>
            </w:r>
          </w:p>
        </w:tc>
        <w:tc>
          <w:tcPr>
            <w:tcW w:w="722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auto"/>
                <w:sz w:val="22"/>
                <w:highlight w:val="none"/>
              </w:rPr>
            </w:pPr>
            <w:r>
              <w:rPr>
                <w:rFonts w:hint="eastAsia" w:ascii="宋体" w:hAnsi="宋体"/>
                <w:color w:val="auto"/>
                <w:sz w:val="22"/>
                <w:highlight w:val="none"/>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auto"/>
                <w:sz w:val="22"/>
                <w:highlight w:val="none"/>
              </w:rPr>
            </w:pPr>
            <w:r>
              <w:rPr>
                <w:rFonts w:hint="eastAsia" w:ascii="宋体" w:hAnsi="宋体"/>
                <w:color w:val="auto"/>
                <w:sz w:val="22"/>
                <w:highlight w:val="none"/>
              </w:rPr>
              <w:t>1</w:t>
            </w:r>
          </w:p>
        </w:tc>
        <w:tc>
          <w:tcPr>
            <w:tcW w:w="157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auto"/>
                <w:sz w:val="22"/>
                <w:highlight w:val="none"/>
              </w:rPr>
            </w:pPr>
            <w:r>
              <w:rPr>
                <w:rFonts w:hint="eastAsia" w:ascii="宋体" w:hAnsi="宋体"/>
                <w:color w:val="auto"/>
                <w:sz w:val="22"/>
                <w:highlight w:val="none"/>
              </w:rPr>
              <w:t>定标候选人</w:t>
            </w:r>
            <w:r>
              <w:rPr>
                <w:rFonts w:hint="eastAsia" w:ascii="宋体" w:hAnsi="宋体"/>
                <w:color w:val="auto"/>
                <w:sz w:val="22"/>
                <w:highlight w:val="none"/>
                <w:lang w:val="zh-CN"/>
              </w:rPr>
              <w:t>对项目的理解能力及履约能力</w:t>
            </w:r>
          </w:p>
        </w:tc>
        <w:tc>
          <w:tcPr>
            <w:tcW w:w="7229"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40" w:firstLineChars="200"/>
              <w:rPr>
                <w:rFonts w:ascii="宋体" w:hAnsi="宋体"/>
                <w:color w:val="auto"/>
                <w:sz w:val="22"/>
                <w:highlight w:val="none"/>
              </w:rPr>
            </w:pPr>
            <w:r>
              <w:rPr>
                <w:rFonts w:hint="eastAsia" w:ascii="宋体" w:hAnsi="宋体"/>
                <w:color w:val="auto"/>
                <w:sz w:val="22"/>
                <w:highlight w:val="none"/>
              </w:rPr>
              <w:t>定标候选人的拟派项目负责人或技术负责人对拟派团队履约能力与履约水平的介绍，介绍时间不得超过10分钟，定标委员会根据定标候选人代表介绍对其进行提问；介绍内容包括但不限于：公司简介、项目管理班子人员及施工资源需求计划，施工总平面布置规划，施工安全、工期、质量及造价管理、对工程施工重点和难点的应对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auto"/>
                <w:sz w:val="22"/>
                <w:highlight w:val="none"/>
              </w:rPr>
            </w:pPr>
            <w:r>
              <w:rPr>
                <w:rFonts w:hint="eastAsia" w:ascii="宋体" w:hAnsi="宋体"/>
                <w:color w:val="auto"/>
                <w:sz w:val="22"/>
                <w:highlight w:val="none"/>
              </w:rPr>
              <w:t>2</w:t>
            </w:r>
          </w:p>
        </w:tc>
        <w:tc>
          <w:tcPr>
            <w:tcW w:w="157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auto"/>
                <w:sz w:val="22"/>
                <w:highlight w:val="none"/>
              </w:rPr>
            </w:pPr>
            <w:r>
              <w:rPr>
                <w:rFonts w:hint="eastAsia" w:ascii="宋体" w:hAnsi="宋体"/>
                <w:color w:val="auto"/>
                <w:sz w:val="22"/>
                <w:highlight w:val="none"/>
              </w:rPr>
              <w:t>定标候选人对项目的重视程度</w:t>
            </w:r>
          </w:p>
        </w:tc>
        <w:tc>
          <w:tcPr>
            <w:tcW w:w="7229"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40" w:firstLineChars="200"/>
              <w:rPr>
                <w:rStyle w:val="24"/>
                <w:rFonts w:ascii="宋体" w:hAnsi="宋体"/>
                <w:color w:val="auto"/>
                <w:kern w:val="0"/>
                <w:sz w:val="22"/>
                <w:szCs w:val="22"/>
                <w:highlight w:val="none"/>
              </w:rPr>
            </w:pPr>
            <w:r>
              <w:rPr>
                <w:rFonts w:hint="eastAsia" w:ascii="宋体" w:hAnsi="宋体"/>
                <w:color w:val="auto"/>
                <w:sz w:val="22"/>
                <w:highlight w:val="none"/>
              </w:rPr>
              <w:t>定标候选人的拟派项目负责人或技术负责人对项目的重视程度进行介绍，定标委员会根据定标候选人代表介绍对其进行提问。</w:t>
            </w:r>
          </w:p>
          <w:p>
            <w:pPr>
              <w:spacing w:line="360" w:lineRule="auto"/>
              <w:ind w:firstLine="440" w:firstLineChars="200"/>
              <w:rPr>
                <w:rFonts w:ascii="宋体" w:hAnsi="宋体"/>
                <w:color w:val="auto"/>
                <w:sz w:val="22"/>
                <w:highlight w:val="none"/>
              </w:rPr>
            </w:pPr>
            <w:r>
              <w:rPr>
                <w:rFonts w:hint="eastAsia" w:ascii="宋体" w:hAnsi="宋体"/>
                <w:color w:val="auto"/>
                <w:sz w:val="22"/>
                <w:highlight w:val="none"/>
              </w:rPr>
              <w:t>【优】投标人管理人员、职称人员、专业技术人员配备齐全，人员技术水平最高，管理人员履职切实到位。</w:t>
            </w:r>
          </w:p>
          <w:p>
            <w:pPr>
              <w:spacing w:line="360" w:lineRule="auto"/>
              <w:ind w:firstLine="440" w:firstLineChars="200"/>
              <w:rPr>
                <w:rFonts w:ascii="宋体" w:hAnsi="宋体"/>
                <w:color w:val="auto"/>
                <w:sz w:val="22"/>
                <w:highlight w:val="none"/>
              </w:rPr>
            </w:pPr>
            <w:r>
              <w:rPr>
                <w:rFonts w:hint="eastAsia" w:ascii="宋体" w:hAnsi="宋体"/>
                <w:color w:val="auto"/>
                <w:sz w:val="22"/>
                <w:highlight w:val="none"/>
                <w:lang w:val="zh-CN"/>
              </w:rPr>
              <w:t>【良】</w:t>
            </w:r>
            <w:r>
              <w:rPr>
                <w:rFonts w:hint="eastAsia" w:ascii="宋体" w:hAnsi="宋体"/>
                <w:color w:val="auto"/>
                <w:sz w:val="22"/>
                <w:highlight w:val="none"/>
              </w:rPr>
              <w:t>投标人管理人员、职称人员、专业技术人员配备较齐全，人员技术水平较高，管理人员履职到位保障措施较好。</w:t>
            </w:r>
          </w:p>
          <w:p>
            <w:pPr>
              <w:spacing w:line="360" w:lineRule="auto"/>
              <w:ind w:firstLine="440" w:firstLineChars="200"/>
              <w:rPr>
                <w:rFonts w:ascii="宋体" w:hAnsi="宋体"/>
                <w:color w:val="auto"/>
                <w:sz w:val="22"/>
                <w:highlight w:val="none"/>
              </w:rPr>
            </w:pPr>
            <w:r>
              <w:rPr>
                <w:rFonts w:hint="eastAsia" w:ascii="宋体" w:hAnsi="宋体"/>
                <w:color w:val="auto"/>
                <w:sz w:val="22"/>
                <w:highlight w:val="none"/>
                <w:lang w:val="zh-CN"/>
              </w:rPr>
              <w:t>【中】</w:t>
            </w:r>
            <w:r>
              <w:rPr>
                <w:rFonts w:hint="eastAsia" w:ascii="宋体" w:hAnsi="宋体"/>
                <w:color w:val="auto"/>
                <w:sz w:val="22"/>
                <w:highlight w:val="none"/>
              </w:rPr>
              <w:t>投标人管理人员、职称人员、专业技术人员配备不齐全，人员技术水平一般，管理人员履职到位保障措施一般。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auto"/>
                <w:sz w:val="22"/>
                <w:highlight w:val="none"/>
              </w:rPr>
            </w:pPr>
            <w:r>
              <w:rPr>
                <w:rFonts w:hint="eastAsia" w:ascii="宋体" w:hAnsi="宋体"/>
                <w:color w:val="auto"/>
                <w:sz w:val="22"/>
                <w:highlight w:val="none"/>
              </w:rPr>
              <w:t>3</w:t>
            </w:r>
          </w:p>
        </w:tc>
        <w:tc>
          <w:tcPr>
            <w:tcW w:w="157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auto"/>
                <w:sz w:val="22"/>
                <w:highlight w:val="none"/>
              </w:rPr>
            </w:pPr>
            <w:r>
              <w:rPr>
                <w:rFonts w:hint="eastAsia" w:ascii="宋体" w:hAnsi="宋体"/>
                <w:color w:val="auto"/>
                <w:sz w:val="22"/>
                <w:highlight w:val="none"/>
                <w:lang w:val="zh-CN"/>
              </w:rPr>
              <w:t>定标候选人施工能力</w:t>
            </w:r>
            <w:r>
              <w:rPr>
                <w:rFonts w:hint="eastAsia" w:ascii="宋体" w:hAnsi="宋体"/>
                <w:color w:val="auto"/>
                <w:sz w:val="22"/>
                <w:highlight w:val="none"/>
              </w:rPr>
              <w:t>服务保障能力</w:t>
            </w:r>
          </w:p>
        </w:tc>
        <w:tc>
          <w:tcPr>
            <w:tcW w:w="7229"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40" w:firstLineChars="200"/>
              <w:rPr>
                <w:rFonts w:ascii="宋体" w:hAnsi="宋体"/>
                <w:color w:val="auto"/>
                <w:sz w:val="22"/>
                <w:highlight w:val="none"/>
              </w:rPr>
            </w:pPr>
            <w:r>
              <w:rPr>
                <w:rFonts w:hint="eastAsia" w:ascii="宋体" w:hAnsi="宋体"/>
                <w:color w:val="auto"/>
                <w:sz w:val="22"/>
                <w:highlight w:val="none"/>
              </w:rPr>
              <w:t>定标候选人的拟派项目负责人或技术负责人对</w:t>
            </w:r>
            <w:r>
              <w:rPr>
                <w:rFonts w:hint="eastAsia" w:ascii="宋体" w:hAnsi="宋体"/>
                <w:color w:val="auto"/>
                <w:sz w:val="22"/>
                <w:highlight w:val="none"/>
                <w:lang w:val="zh-CN"/>
              </w:rPr>
              <w:t>施工能力</w:t>
            </w:r>
            <w:r>
              <w:rPr>
                <w:rFonts w:hint="eastAsia" w:ascii="宋体" w:hAnsi="宋体"/>
                <w:color w:val="auto"/>
                <w:sz w:val="22"/>
                <w:highlight w:val="none"/>
              </w:rPr>
              <w:t>服务保障能力进行介绍，定标委员会根据定标候选人代表介绍对其进行提问。</w:t>
            </w:r>
          </w:p>
          <w:p>
            <w:pPr>
              <w:spacing w:line="360" w:lineRule="auto"/>
              <w:ind w:firstLine="440" w:firstLineChars="200"/>
              <w:rPr>
                <w:rFonts w:ascii="宋体" w:hAnsi="宋体"/>
                <w:color w:val="auto"/>
                <w:sz w:val="22"/>
                <w:highlight w:val="none"/>
                <w:lang w:val="zh-CN"/>
              </w:rPr>
            </w:pPr>
            <w:r>
              <w:rPr>
                <w:rFonts w:hint="eastAsia" w:ascii="宋体" w:hAnsi="宋体"/>
                <w:color w:val="auto"/>
                <w:sz w:val="22"/>
                <w:highlight w:val="none"/>
                <w:lang w:val="zh-CN"/>
              </w:rPr>
              <w:t>【优】</w:t>
            </w:r>
            <w:r>
              <w:rPr>
                <w:rFonts w:hint="eastAsia" w:ascii="宋体" w:hAnsi="宋体"/>
                <w:color w:val="auto"/>
                <w:sz w:val="22"/>
                <w:highlight w:val="none"/>
              </w:rPr>
              <w:t>投标人履约能力强，信用好，社会评价好，对本工程服务保障能力强，服务保障措施切实到位。</w:t>
            </w:r>
          </w:p>
          <w:p>
            <w:pPr>
              <w:spacing w:line="360" w:lineRule="auto"/>
              <w:ind w:firstLine="440" w:firstLineChars="200"/>
              <w:rPr>
                <w:rFonts w:ascii="宋体" w:hAnsi="宋体"/>
                <w:color w:val="auto"/>
                <w:sz w:val="22"/>
                <w:highlight w:val="none"/>
                <w:lang w:val="zh-CN"/>
              </w:rPr>
            </w:pPr>
            <w:r>
              <w:rPr>
                <w:rFonts w:hint="eastAsia" w:ascii="宋体" w:hAnsi="宋体"/>
                <w:color w:val="auto"/>
                <w:sz w:val="22"/>
                <w:highlight w:val="none"/>
                <w:lang w:val="zh-CN"/>
              </w:rPr>
              <w:t>【良】</w:t>
            </w:r>
            <w:r>
              <w:rPr>
                <w:rFonts w:hint="eastAsia" w:ascii="宋体" w:hAnsi="宋体"/>
                <w:color w:val="auto"/>
                <w:sz w:val="22"/>
                <w:highlight w:val="none"/>
              </w:rPr>
              <w:t>投标人履约能力较好，信用较好，社会评价较好，对本工程服务保障能力较强，服务保障措施确定性较强。</w:t>
            </w:r>
          </w:p>
          <w:p>
            <w:pPr>
              <w:spacing w:line="360" w:lineRule="auto"/>
              <w:ind w:firstLine="440" w:firstLineChars="200"/>
              <w:rPr>
                <w:rFonts w:ascii="宋体" w:hAnsi="宋体"/>
                <w:color w:val="auto"/>
                <w:sz w:val="22"/>
                <w:highlight w:val="none"/>
              </w:rPr>
            </w:pPr>
            <w:r>
              <w:rPr>
                <w:rFonts w:hint="eastAsia" w:ascii="宋体" w:hAnsi="宋体"/>
                <w:color w:val="auto"/>
                <w:sz w:val="22"/>
                <w:highlight w:val="none"/>
                <w:lang w:val="zh-CN"/>
              </w:rPr>
              <w:t>【中】</w:t>
            </w:r>
            <w:r>
              <w:rPr>
                <w:rFonts w:hint="eastAsia" w:ascii="宋体" w:hAnsi="宋体"/>
                <w:color w:val="auto"/>
                <w:sz w:val="22"/>
                <w:highlight w:val="none"/>
              </w:rPr>
              <w:t>投标人履约能力一般，信用一般，社会评价一般，对本工程服务保障能力一般，服务保障措施确定性一般。</w:t>
            </w:r>
          </w:p>
        </w:tc>
      </w:tr>
    </w:tbl>
    <w:p>
      <w:pPr>
        <w:spacing w:line="360" w:lineRule="auto"/>
        <w:rPr>
          <w:rFonts w:ascii="宋体"/>
          <w:color w:val="auto"/>
          <w:sz w:val="24"/>
          <w:szCs w:val="24"/>
          <w:highlight w:val="none"/>
        </w:rPr>
      </w:pPr>
      <w:r>
        <w:rPr>
          <w:rFonts w:hint="eastAsia" w:ascii="宋体" w:hAnsi="宋体"/>
          <w:color w:val="auto"/>
          <w:sz w:val="24"/>
          <w:szCs w:val="24"/>
          <w:highlight w:val="none"/>
        </w:rPr>
        <w:t>备注：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1、各定标候选人拟派项目负责人或技术负责人（至少一人出席介绍及答辩）必须携带本单位法定代表人证明书原件、法定代表人授权委托证明书原件，本人身份证原件；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2、答辩进场顺序：按拟派项目负责人或技术负责人签到顺序各自抽取答辩顺序号，按答辩顺序号由小至大依次进场答辩。</w:t>
      </w:r>
    </w:p>
    <w:p>
      <w:pPr>
        <w:rPr>
          <w:color w:val="auto"/>
          <w:szCs w:val="21"/>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shd w:val="clear" w:color="auto" w:fill="FFFFFF"/>
        <w:spacing w:line="500" w:lineRule="exact"/>
        <w:ind w:right="-164" w:rightChars="-78" w:firstLine="560" w:firstLineChars="200"/>
        <w:rPr>
          <w:rFonts w:ascii="仿宋" w:hAnsi="仿宋" w:eastAsia="仿宋" w:cs="宋体"/>
          <w:bCs/>
          <w:color w:val="auto"/>
          <w:sz w:val="28"/>
          <w:szCs w:val="28"/>
          <w:highlight w:val="none"/>
        </w:rPr>
      </w:pPr>
    </w:p>
    <w:p>
      <w:pPr>
        <w:shd w:val="clear" w:color="auto" w:fill="FFFFFF"/>
        <w:spacing w:line="500" w:lineRule="exact"/>
        <w:ind w:right="-164" w:rightChars="-78" w:firstLine="560" w:firstLineChars="200"/>
        <w:rPr>
          <w:rFonts w:ascii="仿宋" w:hAnsi="仿宋" w:eastAsia="仿宋" w:cs="宋体"/>
          <w:bCs/>
          <w:color w:val="auto"/>
          <w:sz w:val="28"/>
          <w:szCs w:val="28"/>
          <w:highlight w:val="none"/>
        </w:rPr>
      </w:pPr>
    </w:p>
    <w:p>
      <w:pPr>
        <w:shd w:val="clear" w:color="auto" w:fill="FFFFFF"/>
        <w:spacing w:line="500" w:lineRule="exact"/>
        <w:ind w:right="-164" w:rightChars="-78" w:firstLine="560" w:firstLineChars="200"/>
        <w:rPr>
          <w:rFonts w:ascii="仿宋" w:hAnsi="仿宋" w:eastAsia="仿宋" w:cs="宋体"/>
          <w:bCs/>
          <w:color w:val="auto"/>
          <w:sz w:val="28"/>
          <w:szCs w:val="28"/>
          <w:highlight w:val="none"/>
        </w:rPr>
      </w:pPr>
    </w:p>
    <w:p>
      <w:pPr>
        <w:shd w:val="clear" w:color="auto" w:fill="FFFFFF"/>
        <w:spacing w:line="500" w:lineRule="exact"/>
        <w:ind w:right="-164" w:rightChars="-78" w:firstLine="560" w:firstLineChars="200"/>
        <w:rPr>
          <w:rFonts w:ascii="仿宋" w:hAnsi="仿宋" w:eastAsia="仿宋" w:cs="宋体"/>
          <w:bCs/>
          <w:color w:val="auto"/>
          <w:sz w:val="28"/>
          <w:szCs w:val="28"/>
          <w:highlight w:val="none"/>
        </w:rPr>
      </w:pPr>
    </w:p>
    <w:p>
      <w:pPr>
        <w:shd w:val="clear" w:color="auto" w:fill="FFFFFF"/>
        <w:spacing w:line="500" w:lineRule="exact"/>
        <w:ind w:right="-164" w:rightChars="-78" w:firstLine="560" w:firstLineChars="200"/>
        <w:rPr>
          <w:rFonts w:ascii="仿宋" w:hAnsi="仿宋" w:eastAsia="仿宋" w:cs="宋体"/>
          <w:bCs/>
          <w:color w:val="auto"/>
          <w:sz w:val="28"/>
          <w:szCs w:val="28"/>
          <w:highlight w:val="none"/>
        </w:rPr>
      </w:pPr>
      <w:r>
        <w:rPr>
          <w:rFonts w:hint="eastAsia" w:ascii="仿宋" w:hAnsi="仿宋" w:eastAsia="仿宋" w:cs="宋体"/>
          <w:bCs/>
          <w:color w:val="auto"/>
          <w:sz w:val="28"/>
          <w:szCs w:val="28"/>
          <w:highlight w:val="none"/>
        </w:rPr>
        <w:br w:type="page"/>
      </w:r>
      <w:r>
        <w:rPr>
          <w:rFonts w:hint="eastAsia" w:ascii="仿宋" w:hAnsi="仿宋" w:eastAsia="仿宋" w:cs="宋体"/>
          <w:bCs/>
          <w:color w:val="auto"/>
          <w:sz w:val="28"/>
          <w:szCs w:val="28"/>
          <w:highlight w:val="none"/>
        </w:rPr>
        <w:t>附表7-1</w:t>
      </w:r>
    </w:p>
    <w:p>
      <w:pPr>
        <w:pStyle w:val="7"/>
        <w:rPr>
          <w:color w:val="auto"/>
          <w:highlight w:val="none"/>
        </w:rPr>
      </w:pPr>
    </w:p>
    <w:p>
      <w:pPr>
        <w:jc w:val="center"/>
        <w:rPr>
          <w:b/>
          <w:color w:val="auto"/>
          <w:sz w:val="36"/>
          <w:szCs w:val="36"/>
          <w:highlight w:val="none"/>
        </w:rPr>
      </w:pPr>
      <w:r>
        <w:rPr>
          <w:rFonts w:hint="eastAsia" w:ascii="宋体" w:hAnsi="宋体"/>
          <w:b/>
          <w:color w:val="auto"/>
          <w:sz w:val="36"/>
          <w:szCs w:val="36"/>
          <w:highlight w:val="none"/>
        </w:rPr>
        <w:t>直接票决定标选票表（定标阶段</w:t>
      </w:r>
      <w:r>
        <w:rPr>
          <w:rFonts w:hint="eastAsia"/>
          <w:b/>
          <w:color w:val="auto"/>
          <w:sz w:val="36"/>
          <w:szCs w:val="36"/>
          <w:highlight w:val="none"/>
        </w:rPr>
        <w:t>-</w:t>
      </w:r>
      <w:r>
        <w:rPr>
          <w:rFonts w:hint="eastAsia" w:ascii="宋体" w:hAnsi="宋体"/>
          <w:b/>
          <w:color w:val="auto"/>
          <w:sz w:val="36"/>
          <w:szCs w:val="36"/>
          <w:highlight w:val="none"/>
        </w:rPr>
        <w:t>第  轮）</w:t>
      </w:r>
    </w:p>
    <w:p>
      <w:pPr>
        <w:adjustRightInd w:val="0"/>
        <w:snapToGrid w:val="0"/>
        <w:spacing w:line="360" w:lineRule="auto"/>
        <w:rPr>
          <w:rFonts w:ascii="仿宋" w:hAnsi="仿宋" w:eastAsia="仿宋" w:cs="宋体"/>
          <w:color w:val="auto"/>
          <w:kern w:val="0"/>
          <w:szCs w:val="21"/>
          <w:highlight w:val="none"/>
        </w:rPr>
      </w:pPr>
      <w:r>
        <w:rPr>
          <w:rFonts w:hint="eastAsia" w:ascii="仿宋" w:hAnsi="仿宋" w:eastAsia="仿宋" w:cs="宋体"/>
          <w:color w:val="auto"/>
          <w:kern w:val="0"/>
          <w:sz w:val="28"/>
          <w:szCs w:val="28"/>
          <w:highlight w:val="none"/>
        </w:rPr>
        <w:t>工程名称：</w:t>
      </w:r>
    </w:p>
    <w:tbl>
      <w:tblPr>
        <w:tblStyle w:val="2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支持的投标人名称</w:t>
            </w:r>
          </w:p>
        </w:tc>
        <w:tc>
          <w:tcPr>
            <w:tcW w:w="299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 w:val="24"/>
                <w:szCs w:val="24"/>
                <w:highlight w:val="none"/>
              </w:rPr>
            </w:pPr>
          </w:p>
        </w:tc>
        <w:tc>
          <w:tcPr>
            <w:tcW w:w="299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 w:val="24"/>
                <w:szCs w:val="24"/>
                <w:highlight w:val="none"/>
              </w:rPr>
            </w:pPr>
          </w:p>
        </w:tc>
      </w:tr>
    </w:tbl>
    <w:p>
      <w:pPr>
        <w:spacing w:line="600" w:lineRule="exact"/>
        <w:ind w:right="-9"/>
        <w:jc w:val="center"/>
        <w:rPr>
          <w:rFonts w:ascii="宋体"/>
          <w:color w:val="auto"/>
          <w:sz w:val="24"/>
          <w:szCs w:val="24"/>
          <w:highlight w:val="none"/>
        </w:rPr>
      </w:pPr>
    </w:p>
    <w:p>
      <w:pPr>
        <w:adjustRightInd w:val="0"/>
        <w:snapToGrid w:val="0"/>
        <w:spacing w:line="360" w:lineRule="auto"/>
        <w:rPr>
          <w:rFonts w:ascii="仿宋" w:hAnsi="仿宋" w:eastAsia="仿宋" w:cs="宋体"/>
          <w:color w:val="auto"/>
          <w:kern w:val="0"/>
          <w:szCs w:val="21"/>
          <w:highlight w:val="none"/>
        </w:rPr>
      </w:pPr>
      <w:r>
        <w:rPr>
          <w:rFonts w:hint="eastAsia" w:ascii="宋体" w:hAnsi="宋体"/>
          <w:color w:val="auto"/>
          <w:sz w:val="24"/>
          <w:szCs w:val="24"/>
          <w:highlight w:val="none"/>
        </w:rPr>
        <w:t>定标委员签名：                                            日期：</w:t>
      </w:r>
    </w:p>
    <w:p>
      <w:pPr>
        <w:adjustRightInd w:val="0"/>
        <w:snapToGrid w:val="0"/>
        <w:spacing w:line="360" w:lineRule="auto"/>
        <w:rPr>
          <w:rFonts w:ascii="仿宋" w:hAnsi="仿宋" w:eastAsia="仿宋" w:cs="宋体"/>
          <w:color w:val="auto"/>
          <w:kern w:val="0"/>
          <w:highlight w:val="none"/>
        </w:rPr>
      </w:pPr>
    </w:p>
    <w:p>
      <w:pPr>
        <w:rPr>
          <w:rFonts w:ascii="宋体"/>
          <w:color w:val="auto"/>
          <w:sz w:val="24"/>
          <w:szCs w:val="24"/>
          <w:highlight w:val="none"/>
        </w:rPr>
      </w:pPr>
      <w:r>
        <w:rPr>
          <w:rFonts w:hint="eastAsia" w:ascii="宋体" w:hAnsi="宋体"/>
          <w:b/>
          <w:bCs/>
          <w:color w:val="auto"/>
          <w:sz w:val="24"/>
          <w:szCs w:val="24"/>
          <w:highlight w:val="none"/>
        </w:rPr>
        <w:t>注：由定标委员会成员进行投票，各定标委员会成员只能支持一家投标人。</w:t>
      </w:r>
    </w:p>
    <w:p>
      <w:pPr>
        <w:spacing w:line="360" w:lineRule="auto"/>
        <w:rPr>
          <w:rFonts w:ascii="宋体"/>
          <w:color w:val="auto"/>
          <w:sz w:val="24"/>
          <w:szCs w:val="24"/>
          <w:highlight w:val="none"/>
        </w:rPr>
      </w:pPr>
    </w:p>
    <w:p>
      <w:pPr>
        <w:spacing w:line="360" w:lineRule="auto"/>
        <w:rPr>
          <w:rFonts w:ascii="宋体"/>
          <w:color w:val="auto"/>
          <w:sz w:val="24"/>
          <w:szCs w:val="24"/>
          <w:highlight w:val="none"/>
        </w:rPr>
      </w:pPr>
    </w:p>
    <w:p>
      <w:pPr>
        <w:spacing w:line="360" w:lineRule="auto"/>
        <w:rPr>
          <w:rFonts w:ascii="宋体"/>
          <w:color w:val="auto"/>
          <w:sz w:val="24"/>
          <w:szCs w:val="24"/>
          <w:highlight w:val="none"/>
        </w:rPr>
      </w:pPr>
    </w:p>
    <w:p>
      <w:pPr>
        <w:spacing w:line="360" w:lineRule="auto"/>
        <w:ind w:left="480" w:hanging="480" w:hangingChars="150"/>
        <w:rPr>
          <w:rFonts w:ascii="宋体" w:hAnsi="宋体"/>
          <w:color w:val="auto"/>
          <w:sz w:val="28"/>
          <w:szCs w:val="28"/>
          <w:highlight w:val="none"/>
        </w:rPr>
      </w:pPr>
      <w:r>
        <w:rPr>
          <w:rFonts w:hint="eastAsia" w:ascii="仿宋_GB2312" w:eastAsia="仿宋_GB2312"/>
          <w:color w:val="auto"/>
          <w:sz w:val="32"/>
          <w:szCs w:val="32"/>
          <w:highlight w:val="none"/>
        </w:rPr>
        <w:br w:type="page"/>
      </w:r>
    </w:p>
    <w:p>
      <w:pPr>
        <w:spacing w:line="360" w:lineRule="auto"/>
        <w:ind w:left="420" w:hanging="420" w:hangingChars="150"/>
        <w:rPr>
          <w:rFonts w:ascii="仿宋" w:hAnsi="仿宋" w:eastAsia="仿宋" w:cs="宋体"/>
          <w:color w:val="auto"/>
          <w:highlight w:val="none"/>
        </w:rPr>
      </w:pPr>
      <w:r>
        <w:rPr>
          <w:rFonts w:hint="eastAsia" w:ascii="仿宋" w:hAnsi="仿宋" w:eastAsia="仿宋" w:cs="宋体"/>
          <w:bCs/>
          <w:color w:val="auto"/>
          <w:sz w:val="28"/>
          <w:szCs w:val="28"/>
          <w:highlight w:val="none"/>
        </w:rPr>
        <w:t>附表7-2</w:t>
      </w:r>
    </w:p>
    <w:p>
      <w:pPr>
        <w:jc w:val="center"/>
        <w:rPr>
          <w:b/>
          <w:color w:val="auto"/>
          <w:sz w:val="36"/>
          <w:szCs w:val="36"/>
          <w:highlight w:val="none"/>
        </w:rPr>
      </w:pPr>
      <w:r>
        <w:rPr>
          <w:rFonts w:hint="eastAsia" w:ascii="宋体" w:hAnsi="宋体"/>
          <w:b/>
          <w:color w:val="auto"/>
          <w:sz w:val="36"/>
          <w:szCs w:val="36"/>
          <w:highlight w:val="none"/>
        </w:rPr>
        <w:t>直接票决定标选票汇总表（定标阶段）</w:t>
      </w:r>
    </w:p>
    <w:p>
      <w:pPr>
        <w:adjustRightInd w:val="0"/>
        <w:snapToGrid w:val="0"/>
        <w:spacing w:line="360" w:lineRule="auto"/>
        <w:rPr>
          <w:rFonts w:ascii="仿宋" w:hAnsi="仿宋" w:eastAsia="仿宋" w:cs="宋体"/>
          <w:color w:val="auto"/>
          <w:kern w:val="0"/>
          <w:szCs w:val="21"/>
          <w:highlight w:val="none"/>
        </w:rPr>
      </w:pPr>
      <w:r>
        <w:rPr>
          <w:rFonts w:hint="eastAsia" w:ascii="仿宋" w:hAnsi="仿宋" w:eastAsia="仿宋" w:cs="宋体"/>
          <w:color w:val="auto"/>
          <w:kern w:val="0"/>
          <w:sz w:val="28"/>
          <w:szCs w:val="28"/>
          <w:highlight w:val="none"/>
        </w:rPr>
        <w:t>工程名称：</w:t>
      </w:r>
    </w:p>
    <w:tbl>
      <w:tblPr>
        <w:tblStyle w:val="20"/>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96"/>
        <w:gridCol w:w="2028"/>
        <w:gridCol w:w="2028"/>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896" w:type="dxa"/>
            <w:tcBorders>
              <w:top w:val="single" w:color="auto" w:sz="4"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投标人名称</w:t>
            </w:r>
          </w:p>
        </w:tc>
        <w:tc>
          <w:tcPr>
            <w:tcW w:w="2028" w:type="dxa"/>
            <w:tcBorders>
              <w:top w:val="single" w:color="auto" w:sz="4"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第一轮得票数</w:t>
            </w:r>
          </w:p>
        </w:tc>
        <w:tc>
          <w:tcPr>
            <w:tcW w:w="2028" w:type="dxa"/>
            <w:tcBorders>
              <w:top w:val="single" w:color="auto" w:sz="4"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第二轮得票数</w:t>
            </w:r>
          </w:p>
        </w:tc>
        <w:tc>
          <w:tcPr>
            <w:tcW w:w="2027" w:type="dxa"/>
            <w:tcBorders>
              <w:top w:val="single" w:color="auto" w:sz="4"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第三轮得票数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2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896"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c>
          <w:tcPr>
            <w:tcW w:w="2028"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c>
          <w:tcPr>
            <w:tcW w:w="2028"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c>
          <w:tcPr>
            <w:tcW w:w="2027"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2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896"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c>
          <w:tcPr>
            <w:tcW w:w="2028"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c>
          <w:tcPr>
            <w:tcW w:w="2028"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c>
          <w:tcPr>
            <w:tcW w:w="2027"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2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896"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c>
          <w:tcPr>
            <w:tcW w:w="2028"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c>
          <w:tcPr>
            <w:tcW w:w="2028"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c>
          <w:tcPr>
            <w:tcW w:w="2027"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2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c>
          <w:tcPr>
            <w:tcW w:w="1896"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c>
          <w:tcPr>
            <w:tcW w:w="2028"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c>
          <w:tcPr>
            <w:tcW w:w="2028"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c>
          <w:tcPr>
            <w:tcW w:w="2027" w:type="dxa"/>
            <w:tcBorders>
              <w:top w:val="single" w:color="auto" w:sz="6" w:space="0"/>
              <w:left w:val="nil"/>
              <w:bottom w:val="single" w:color="auto" w:sz="6" w:space="0"/>
              <w:right w:val="single" w:color="auto" w:sz="6" w:space="0"/>
            </w:tcBorders>
            <w:noWrap/>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2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w:t>
            </w:r>
          </w:p>
        </w:tc>
        <w:tc>
          <w:tcPr>
            <w:tcW w:w="1896" w:type="dxa"/>
            <w:tcBorders>
              <w:top w:val="single" w:color="auto" w:sz="6" w:space="0"/>
              <w:left w:val="nil"/>
              <w:bottom w:val="single" w:color="auto" w:sz="4" w:space="0"/>
              <w:right w:val="single" w:color="auto" w:sz="6" w:space="0"/>
            </w:tcBorders>
            <w:noWrap/>
            <w:vAlign w:val="center"/>
          </w:tcPr>
          <w:p>
            <w:pPr>
              <w:jc w:val="center"/>
              <w:rPr>
                <w:rFonts w:ascii="宋体" w:hAnsi="宋体"/>
                <w:color w:val="auto"/>
                <w:sz w:val="24"/>
                <w:szCs w:val="24"/>
                <w:highlight w:val="none"/>
              </w:rPr>
            </w:pPr>
          </w:p>
        </w:tc>
        <w:tc>
          <w:tcPr>
            <w:tcW w:w="2028" w:type="dxa"/>
            <w:tcBorders>
              <w:top w:val="single" w:color="auto" w:sz="6" w:space="0"/>
              <w:left w:val="nil"/>
              <w:bottom w:val="single" w:color="auto" w:sz="4" w:space="0"/>
              <w:right w:val="single" w:color="auto" w:sz="6" w:space="0"/>
            </w:tcBorders>
            <w:noWrap/>
            <w:vAlign w:val="center"/>
          </w:tcPr>
          <w:p>
            <w:pPr>
              <w:jc w:val="center"/>
              <w:rPr>
                <w:rFonts w:ascii="宋体" w:hAnsi="宋体"/>
                <w:color w:val="auto"/>
                <w:sz w:val="24"/>
                <w:szCs w:val="24"/>
                <w:highlight w:val="none"/>
              </w:rPr>
            </w:pPr>
          </w:p>
        </w:tc>
        <w:tc>
          <w:tcPr>
            <w:tcW w:w="2028" w:type="dxa"/>
            <w:tcBorders>
              <w:top w:val="single" w:color="auto" w:sz="6" w:space="0"/>
              <w:left w:val="nil"/>
              <w:bottom w:val="single" w:color="auto" w:sz="4" w:space="0"/>
              <w:right w:val="single" w:color="auto" w:sz="6" w:space="0"/>
            </w:tcBorders>
            <w:noWrap/>
            <w:vAlign w:val="center"/>
          </w:tcPr>
          <w:p>
            <w:pPr>
              <w:jc w:val="center"/>
              <w:rPr>
                <w:rFonts w:ascii="宋体" w:hAnsi="宋体"/>
                <w:color w:val="auto"/>
                <w:sz w:val="24"/>
                <w:szCs w:val="24"/>
                <w:highlight w:val="none"/>
              </w:rPr>
            </w:pPr>
          </w:p>
        </w:tc>
        <w:tc>
          <w:tcPr>
            <w:tcW w:w="2027" w:type="dxa"/>
            <w:tcBorders>
              <w:top w:val="single" w:color="auto" w:sz="6" w:space="0"/>
              <w:left w:val="nil"/>
              <w:bottom w:val="single" w:color="auto" w:sz="4" w:space="0"/>
              <w:right w:val="single" w:color="auto" w:sz="6" w:space="0"/>
            </w:tcBorders>
            <w:noWrap/>
            <w:vAlign w:val="center"/>
          </w:tcPr>
          <w:p>
            <w:pPr>
              <w:jc w:val="center"/>
              <w:rPr>
                <w:rFonts w:ascii="宋体" w:hAnsi="宋体"/>
                <w:color w:val="auto"/>
                <w:sz w:val="24"/>
                <w:szCs w:val="24"/>
                <w:highlight w:val="none"/>
              </w:rPr>
            </w:pPr>
          </w:p>
        </w:tc>
      </w:tr>
    </w:tbl>
    <w:p>
      <w:pPr>
        <w:spacing w:line="360" w:lineRule="auto"/>
        <w:ind w:left="314" w:hanging="314" w:hangingChars="131"/>
        <w:rPr>
          <w:rFonts w:ascii="宋体"/>
          <w:color w:val="auto"/>
          <w:sz w:val="24"/>
          <w:szCs w:val="24"/>
          <w:highlight w:val="none"/>
        </w:rPr>
      </w:pPr>
    </w:p>
    <w:p>
      <w:pPr>
        <w:spacing w:line="360" w:lineRule="auto"/>
        <w:ind w:left="314" w:hanging="314" w:hangingChars="131"/>
        <w:rPr>
          <w:rFonts w:ascii="宋体"/>
          <w:color w:val="auto"/>
          <w:sz w:val="24"/>
          <w:szCs w:val="24"/>
          <w:highlight w:val="none"/>
        </w:rPr>
      </w:pPr>
    </w:p>
    <w:p>
      <w:pPr>
        <w:spacing w:line="360" w:lineRule="auto"/>
        <w:ind w:left="314" w:hanging="314" w:hangingChars="131"/>
        <w:rPr>
          <w:rFonts w:ascii="宋体"/>
          <w:color w:val="auto"/>
          <w:sz w:val="24"/>
          <w:szCs w:val="24"/>
          <w:highlight w:val="none"/>
        </w:rPr>
      </w:pPr>
      <w:r>
        <w:rPr>
          <w:rFonts w:hint="eastAsia" w:ascii="宋体" w:hAnsi="宋体"/>
          <w:color w:val="auto"/>
          <w:sz w:val="24"/>
          <w:szCs w:val="24"/>
          <w:highlight w:val="none"/>
        </w:rPr>
        <w:t>定标委员会签名：</w:t>
      </w:r>
    </w:p>
    <w:p>
      <w:pPr>
        <w:spacing w:line="360" w:lineRule="auto"/>
        <w:ind w:left="314" w:hanging="314" w:hangingChars="131"/>
        <w:rPr>
          <w:rFonts w:ascii="宋体"/>
          <w:color w:val="auto"/>
          <w:sz w:val="24"/>
          <w:szCs w:val="24"/>
          <w:highlight w:val="none"/>
        </w:rPr>
      </w:pPr>
    </w:p>
    <w:p>
      <w:pPr>
        <w:spacing w:line="360" w:lineRule="auto"/>
        <w:ind w:left="314" w:right="960" w:hanging="314" w:hangingChars="131"/>
        <w:jc w:val="center"/>
        <w:rPr>
          <w:rFonts w:ascii="宋体"/>
          <w:color w:val="auto"/>
          <w:sz w:val="24"/>
          <w:szCs w:val="24"/>
          <w:highlight w:val="none"/>
        </w:rPr>
      </w:pPr>
      <w:r>
        <w:rPr>
          <w:rFonts w:hint="eastAsia" w:ascii="宋体" w:hAnsi="宋体"/>
          <w:color w:val="auto"/>
          <w:sz w:val="24"/>
          <w:szCs w:val="24"/>
          <w:highlight w:val="none"/>
        </w:rPr>
        <w:t xml:space="preserve">                                     日期：   年   月  日</w:t>
      </w:r>
    </w:p>
    <w:p>
      <w:pPr>
        <w:widowControl/>
        <w:jc w:val="left"/>
        <w:rPr>
          <w:rFonts w:ascii="宋体" w:hAnsi="宋体"/>
          <w:color w:val="auto"/>
          <w:sz w:val="28"/>
          <w:szCs w:val="28"/>
          <w:highlight w:val="none"/>
        </w:rPr>
      </w:pPr>
      <w:r>
        <w:rPr>
          <w:rFonts w:hint="eastAsia" w:ascii="宋体" w:hAnsi="宋体"/>
          <w:color w:val="auto"/>
          <w:sz w:val="28"/>
          <w:szCs w:val="28"/>
          <w:highlight w:val="none"/>
        </w:rPr>
        <w:br w:type="page"/>
      </w:r>
      <w:r>
        <w:rPr>
          <w:rFonts w:hint="eastAsia" w:ascii="仿宋" w:hAnsi="仿宋" w:eastAsia="仿宋" w:cs="宋体"/>
          <w:bCs/>
          <w:color w:val="auto"/>
          <w:sz w:val="28"/>
          <w:szCs w:val="28"/>
          <w:highlight w:val="none"/>
        </w:rPr>
        <w:t>附表7-3</w:t>
      </w:r>
    </w:p>
    <w:p>
      <w:pPr>
        <w:rPr>
          <w:b/>
          <w:color w:val="auto"/>
          <w:szCs w:val="21"/>
          <w:highlight w:val="none"/>
        </w:rPr>
      </w:pPr>
    </w:p>
    <w:p>
      <w:pPr>
        <w:rPr>
          <w:b/>
          <w:color w:val="auto"/>
          <w:highlight w:val="none"/>
        </w:rPr>
      </w:pPr>
    </w:p>
    <w:p>
      <w:pPr>
        <w:jc w:val="center"/>
        <w:rPr>
          <w:b/>
          <w:color w:val="auto"/>
          <w:sz w:val="36"/>
          <w:szCs w:val="36"/>
          <w:highlight w:val="none"/>
        </w:rPr>
      </w:pPr>
      <w:r>
        <w:rPr>
          <w:rFonts w:hint="eastAsia" w:ascii="宋体" w:hAnsi="宋体"/>
          <w:b/>
          <w:color w:val="auto"/>
          <w:sz w:val="36"/>
          <w:szCs w:val="36"/>
          <w:highlight w:val="none"/>
        </w:rPr>
        <w:t>第 轮附加直接票决定标选票表</w:t>
      </w:r>
    </w:p>
    <w:p>
      <w:pPr>
        <w:jc w:val="center"/>
        <w:rPr>
          <w:b/>
          <w:color w:val="auto"/>
          <w:sz w:val="36"/>
          <w:szCs w:val="36"/>
          <w:highlight w:val="none"/>
        </w:rPr>
      </w:pPr>
      <w:r>
        <w:rPr>
          <w:rFonts w:hint="eastAsia" w:ascii="宋体" w:hAnsi="宋体"/>
          <w:b/>
          <w:color w:val="auto"/>
          <w:sz w:val="36"/>
          <w:szCs w:val="36"/>
          <w:highlight w:val="none"/>
        </w:rPr>
        <w:t>（定标阶段</w:t>
      </w:r>
      <w:r>
        <w:rPr>
          <w:rFonts w:hint="eastAsia"/>
          <w:b/>
          <w:color w:val="auto"/>
          <w:sz w:val="36"/>
          <w:szCs w:val="36"/>
          <w:highlight w:val="none"/>
        </w:rPr>
        <w:t>-</w:t>
      </w:r>
      <w:r>
        <w:rPr>
          <w:rFonts w:hint="eastAsia" w:ascii="宋体" w:hAnsi="宋体"/>
          <w:b/>
          <w:color w:val="auto"/>
          <w:sz w:val="36"/>
          <w:szCs w:val="36"/>
          <w:highlight w:val="none"/>
        </w:rPr>
        <w:t>票数相同时定标委员会个人用表）</w:t>
      </w:r>
    </w:p>
    <w:p>
      <w:pPr>
        <w:jc w:val="center"/>
        <w:rPr>
          <w:rFonts w:ascii="宋体"/>
          <w:b/>
          <w:color w:val="auto"/>
          <w:sz w:val="30"/>
          <w:szCs w:val="30"/>
          <w:highlight w:val="none"/>
        </w:rPr>
      </w:pPr>
    </w:p>
    <w:p>
      <w:pPr>
        <w:rPr>
          <w:color w:val="auto"/>
          <w:sz w:val="24"/>
          <w:szCs w:val="24"/>
          <w:highlight w:val="none"/>
        </w:rPr>
      </w:pPr>
      <w:r>
        <w:rPr>
          <w:rFonts w:hint="eastAsia" w:ascii="宋体" w:hAnsi="宋体"/>
          <w:color w:val="auto"/>
          <w:sz w:val="24"/>
          <w:szCs w:val="24"/>
          <w:highlight w:val="none"/>
        </w:rPr>
        <w:t>工程名称：</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180"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宋体"/>
                <w:color w:val="auto"/>
                <w:sz w:val="24"/>
                <w:szCs w:val="24"/>
                <w:highlight w:val="none"/>
              </w:rPr>
            </w:pPr>
            <w:r>
              <w:rPr>
                <w:rFonts w:hint="eastAsia" w:ascii="宋体" w:hAnsi="宋体"/>
                <w:color w:val="auto"/>
                <w:sz w:val="24"/>
                <w:szCs w:val="24"/>
                <w:highlight w:val="none"/>
              </w:rPr>
              <w:t>投标人</w:t>
            </w:r>
          </w:p>
        </w:tc>
        <w:tc>
          <w:tcPr>
            <w:tcW w:w="1930" w:type="dxa"/>
            <w:tcBorders>
              <w:top w:val="single" w:color="auto" w:sz="4" w:space="0"/>
              <w:left w:val="nil"/>
              <w:bottom w:val="single" w:color="auto" w:sz="4" w:space="0"/>
              <w:right w:val="single" w:color="auto" w:sz="4" w:space="0"/>
            </w:tcBorders>
            <w:noWrap/>
            <w:vAlign w:val="center"/>
          </w:tcPr>
          <w:p>
            <w:pPr>
              <w:spacing w:line="600" w:lineRule="exact"/>
              <w:jc w:val="center"/>
              <w:rPr>
                <w:rFonts w:ascii="宋体"/>
                <w:color w:val="auto"/>
                <w:sz w:val="24"/>
                <w:szCs w:val="24"/>
                <w:highlight w:val="none"/>
              </w:rPr>
            </w:pPr>
          </w:p>
        </w:tc>
        <w:tc>
          <w:tcPr>
            <w:tcW w:w="2206" w:type="dxa"/>
            <w:tcBorders>
              <w:top w:val="single" w:color="auto" w:sz="4" w:space="0"/>
              <w:left w:val="nil"/>
              <w:bottom w:val="single" w:color="auto" w:sz="4" w:space="0"/>
              <w:right w:val="single" w:color="auto" w:sz="4" w:space="0"/>
            </w:tcBorders>
            <w:noWrap/>
          </w:tcPr>
          <w:p>
            <w:pPr>
              <w:spacing w:line="600" w:lineRule="exact"/>
              <w:jc w:val="center"/>
              <w:rPr>
                <w:rFonts w:ascii="宋体"/>
                <w:color w:val="auto"/>
                <w:sz w:val="24"/>
                <w:szCs w:val="24"/>
                <w:highlight w:val="none"/>
              </w:rPr>
            </w:pPr>
          </w:p>
        </w:tc>
        <w:tc>
          <w:tcPr>
            <w:tcW w:w="2206" w:type="dxa"/>
            <w:tcBorders>
              <w:top w:val="single" w:color="auto" w:sz="4" w:space="0"/>
              <w:left w:val="nil"/>
              <w:bottom w:val="single" w:color="auto" w:sz="4" w:space="0"/>
              <w:right w:val="single" w:color="auto" w:sz="4" w:space="0"/>
            </w:tcBorders>
            <w:noWrap/>
            <w:vAlign w:val="center"/>
          </w:tcPr>
          <w:p>
            <w:pPr>
              <w:spacing w:line="600" w:lineRule="exact"/>
              <w:jc w:val="center"/>
              <w:rPr>
                <w:rFonts w:ascii="宋体"/>
                <w:color w:val="auto"/>
                <w:sz w:val="24"/>
                <w:szCs w:val="24"/>
                <w:highlight w:val="none"/>
              </w:rPr>
            </w:pPr>
            <w:r>
              <w:rPr>
                <w:rFonts w:hint="eastAsia" w:ascii="宋体" w:hAnsi="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180"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宋体"/>
                <w:color w:val="auto"/>
                <w:sz w:val="24"/>
                <w:szCs w:val="24"/>
                <w:highlight w:val="none"/>
              </w:rPr>
            </w:pPr>
            <w:r>
              <w:rPr>
                <w:rFonts w:hint="eastAsia" w:ascii="宋体" w:hAnsi="宋体"/>
                <w:color w:val="auto"/>
                <w:sz w:val="24"/>
                <w:szCs w:val="24"/>
                <w:highlight w:val="none"/>
              </w:rPr>
              <w:t>票决意见</w:t>
            </w:r>
          </w:p>
        </w:tc>
        <w:tc>
          <w:tcPr>
            <w:tcW w:w="1930" w:type="dxa"/>
            <w:tcBorders>
              <w:top w:val="single" w:color="auto" w:sz="4" w:space="0"/>
              <w:left w:val="nil"/>
              <w:bottom w:val="single" w:color="auto" w:sz="4" w:space="0"/>
              <w:right w:val="single" w:color="auto" w:sz="4" w:space="0"/>
            </w:tcBorders>
            <w:noWrap/>
            <w:vAlign w:val="center"/>
          </w:tcPr>
          <w:p>
            <w:pPr>
              <w:spacing w:line="600" w:lineRule="exact"/>
              <w:jc w:val="center"/>
              <w:rPr>
                <w:rFonts w:ascii="宋体"/>
                <w:color w:val="auto"/>
                <w:sz w:val="24"/>
                <w:szCs w:val="24"/>
                <w:highlight w:val="none"/>
              </w:rPr>
            </w:pPr>
          </w:p>
        </w:tc>
        <w:tc>
          <w:tcPr>
            <w:tcW w:w="2206" w:type="dxa"/>
            <w:tcBorders>
              <w:top w:val="single" w:color="auto" w:sz="4" w:space="0"/>
              <w:left w:val="nil"/>
              <w:bottom w:val="single" w:color="auto" w:sz="4" w:space="0"/>
              <w:right w:val="single" w:color="auto" w:sz="4" w:space="0"/>
            </w:tcBorders>
            <w:noWrap/>
          </w:tcPr>
          <w:p>
            <w:pPr>
              <w:spacing w:line="600" w:lineRule="exact"/>
              <w:jc w:val="center"/>
              <w:rPr>
                <w:rFonts w:ascii="宋体"/>
                <w:color w:val="auto"/>
                <w:sz w:val="24"/>
                <w:szCs w:val="24"/>
                <w:highlight w:val="none"/>
              </w:rPr>
            </w:pPr>
          </w:p>
        </w:tc>
        <w:tc>
          <w:tcPr>
            <w:tcW w:w="2206" w:type="dxa"/>
            <w:tcBorders>
              <w:top w:val="single" w:color="auto" w:sz="4" w:space="0"/>
              <w:left w:val="nil"/>
              <w:bottom w:val="single" w:color="auto" w:sz="4" w:space="0"/>
              <w:right w:val="single" w:color="auto" w:sz="4" w:space="0"/>
            </w:tcBorders>
            <w:noWrap/>
            <w:vAlign w:val="center"/>
          </w:tcPr>
          <w:p>
            <w:pPr>
              <w:spacing w:line="600" w:lineRule="exact"/>
              <w:jc w:val="center"/>
              <w:rPr>
                <w:rFonts w:ascii="宋体"/>
                <w:color w:val="auto"/>
                <w:sz w:val="24"/>
                <w:szCs w:val="24"/>
                <w:highlight w:val="none"/>
              </w:rPr>
            </w:pPr>
          </w:p>
        </w:tc>
      </w:tr>
    </w:tbl>
    <w:p>
      <w:pPr>
        <w:spacing w:line="360" w:lineRule="auto"/>
        <w:ind w:right="420"/>
        <w:rPr>
          <w:rFonts w:ascii="宋体"/>
          <w:color w:val="auto"/>
          <w:sz w:val="24"/>
          <w:szCs w:val="24"/>
          <w:highlight w:val="none"/>
        </w:rPr>
      </w:pPr>
    </w:p>
    <w:p>
      <w:pPr>
        <w:spacing w:line="360" w:lineRule="auto"/>
        <w:ind w:right="420"/>
        <w:rPr>
          <w:rFonts w:ascii="宋体"/>
          <w:color w:val="auto"/>
          <w:sz w:val="24"/>
          <w:szCs w:val="24"/>
          <w:highlight w:val="none"/>
        </w:rPr>
      </w:pPr>
      <w:r>
        <w:rPr>
          <w:rFonts w:hint="eastAsia" w:ascii="宋体" w:hAnsi="宋体"/>
          <w:color w:val="auto"/>
          <w:sz w:val="24"/>
          <w:szCs w:val="24"/>
          <w:highlight w:val="none"/>
        </w:rPr>
        <w:t>备注：</w:t>
      </w:r>
    </w:p>
    <w:p>
      <w:pPr>
        <w:spacing w:line="360" w:lineRule="auto"/>
        <w:ind w:left="420" w:hanging="420" w:hangingChars="175"/>
        <w:rPr>
          <w:color w:val="auto"/>
          <w:sz w:val="24"/>
          <w:szCs w:val="24"/>
          <w:highlight w:val="none"/>
        </w:rPr>
      </w:pPr>
      <w:r>
        <w:rPr>
          <w:rFonts w:hint="eastAsia" w:ascii="宋体" w:hAnsi="宋体"/>
          <w:color w:val="auto"/>
          <w:sz w:val="24"/>
          <w:szCs w:val="24"/>
          <w:highlight w:val="none"/>
        </w:rPr>
        <w:t>1、本表用于第一轮至第三轮中，投票出现票数相同的情况。</w:t>
      </w:r>
    </w:p>
    <w:p>
      <w:pPr>
        <w:spacing w:line="360" w:lineRule="auto"/>
        <w:ind w:left="420" w:hanging="420" w:hangingChars="175"/>
        <w:rPr>
          <w:rFonts w:ascii="宋体"/>
          <w:color w:val="auto"/>
          <w:sz w:val="24"/>
          <w:szCs w:val="24"/>
          <w:highlight w:val="none"/>
        </w:rPr>
      </w:pPr>
      <w:r>
        <w:rPr>
          <w:rFonts w:hint="eastAsia" w:ascii="宋体" w:hAnsi="宋体"/>
          <w:color w:val="auto"/>
          <w:sz w:val="24"/>
          <w:szCs w:val="24"/>
          <w:highlight w:val="none"/>
        </w:rPr>
        <w:t>2、由定标委员会成员进行附加投票，票决意见分别为“投票”或“不投票”，各定标委员会成员只有1票表决权（即只能对其中一名投标人“投票”），票决意见为“投票”的，用“○”表示；票决意见为“不投票”，用“×”表示。</w:t>
      </w:r>
    </w:p>
    <w:p>
      <w:pPr>
        <w:rPr>
          <w:rFonts w:ascii="宋体"/>
          <w:color w:val="auto"/>
          <w:sz w:val="24"/>
          <w:szCs w:val="24"/>
          <w:highlight w:val="none"/>
        </w:rPr>
      </w:pPr>
    </w:p>
    <w:p>
      <w:pPr>
        <w:rPr>
          <w:rFonts w:ascii="宋体"/>
          <w:color w:val="auto"/>
          <w:sz w:val="24"/>
          <w:szCs w:val="24"/>
          <w:highlight w:val="none"/>
        </w:rPr>
      </w:pPr>
    </w:p>
    <w:p>
      <w:pPr>
        <w:pStyle w:val="7"/>
        <w:rPr>
          <w:color w:val="auto"/>
          <w:highlight w:val="none"/>
        </w:rPr>
      </w:pPr>
    </w:p>
    <w:p>
      <w:pPr>
        <w:rPr>
          <w:color w:val="auto"/>
          <w:highlight w:val="none"/>
        </w:rPr>
      </w:pPr>
      <w:r>
        <w:rPr>
          <w:rFonts w:hint="eastAsia" w:ascii="宋体" w:hAnsi="宋体"/>
          <w:color w:val="auto"/>
          <w:highlight w:val="none"/>
        </w:rPr>
        <w:t>定标委员签名：</w:t>
      </w:r>
    </w:p>
    <w:p>
      <w:pPr>
        <w:wordWrap w:val="0"/>
        <w:jc w:val="right"/>
        <w:rPr>
          <w:color w:val="auto"/>
          <w:highlight w:val="none"/>
        </w:rPr>
      </w:pPr>
      <w:r>
        <w:rPr>
          <w:rFonts w:hint="eastAsia" w:ascii="宋体" w:hAnsi="宋体"/>
          <w:color w:val="auto"/>
          <w:sz w:val="24"/>
          <w:szCs w:val="24"/>
          <w:highlight w:val="none"/>
        </w:rPr>
        <w:t>日期：   年   月  日</w:t>
      </w:r>
    </w:p>
    <w:p>
      <w:pPr>
        <w:jc w:val="right"/>
        <w:rPr>
          <w:color w:val="auto"/>
          <w:sz w:val="24"/>
          <w:szCs w:val="24"/>
          <w:highlight w:val="none"/>
        </w:rPr>
      </w:pPr>
    </w:p>
    <w:p>
      <w:pPr>
        <w:rPr>
          <w:rFonts w:ascii="宋体" w:hAnsi="宋体"/>
          <w:color w:val="auto"/>
          <w:sz w:val="28"/>
          <w:szCs w:val="28"/>
          <w:highlight w:val="none"/>
        </w:rPr>
      </w:pPr>
      <w:r>
        <w:rPr>
          <w:rFonts w:hint="eastAsia" w:ascii="宋体" w:hAnsi="宋体"/>
          <w:color w:val="auto"/>
          <w:sz w:val="28"/>
          <w:szCs w:val="28"/>
          <w:highlight w:val="none"/>
        </w:rPr>
        <w:br w:type="page"/>
      </w:r>
      <w:r>
        <w:rPr>
          <w:rFonts w:hint="eastAsia" w:ascii="仿宋" w:hAnsi="仿宋" w:eastAsia="仿宋" w:cs="宋体"/>
          <w:bCs/>
          <w:color w:val="auto"/>
          <w:sz w:val="28"/>
          <w:szCs w:val="28"/>
          <w:highlight w:val="none"/>
        </w:rPr>
        <w:t>附表7-4</w:t>
      </w:r>
    </w:p>
    <w:p>
      <w:pPr>
        <w:widowControl/>
        <w:jc w:val="left"/>
        <w:rPr>
          <w:rFonts w:ascii="宋体" w:hAnsi="宋体"/>
          <w:color w:val="auto"/>
          <w:sz w:val="28"/>
          <w:szCs w:val="28"/>
          <w:highlight w:val="none"/>
        </w:rPr>
      </w:pPr>
    </w:p>
    <w:p>
      <w:pPr>
        <w:rPr>
          <w:b/>
          <w:color w:val="auto"/>
          <w:szCs w:val="21"/>
          <w:highlight w:val="none"/>
        </w:rPr>
      </w:pPr>
    </w:p>
    <w:p>
      <w:pPr>
        <w:jc w:val="center"/>
        <w:rPr>
          <w:b/>
          <w:color w:val="auto"/>
          <w:sz w:val="36"/>
          <w:szCs w:val="36"/>
          <w:highlight w:val="none"/>
        </w:rPr>
      </w:pPr>
      <w:r>
        <w:rPr>
          <w:rFonts w:hint="eastAsia" w:ascii="宋体" w:hAnsi="宋体"/>
          <w:b/>
          <w:color w:val="auto"/>
          <w:sz w:val="36"/>
          <w:szCs w:val="36"/>
          <w:highlight w:val="none"/>
        </w:rPr>
        <w:t>第 轮附加直接票决定标选票汇总表</w:t>
      </w:r>
    </w:p>
    <w:p>
      <w:pPr>
        <w:jc w:val="center"/>
        <w:rPr>
          <w:b/>
          <w:color w:val="auto"/>
          <w:sz w:val="36"/>
          <w:szCs w:val="36"/>
          <w:highlight w:val="none"/>
        </w:rPr>
      </w:pPr>
      <w:r>
        <w:rPr>
          <w:rFonts w:hint="eastAsia" w:ascii="宋体" w:hAnsi="宋体"/>
          <w:b/>
          <w:color w:val="auto"/>
          <w:sz w:val="36"/>
          <w:szCs w:val="36"/>
          <w:highlight w:val="none"/>
        </w:rPr>
        <w:t>（定标阶段</w:t>
      </w:r>
      <w:r>
        <w:rPr>
          <w:rFonts w:hint="eastAsia"/>
          <w:b/>
          <w:color w:val="auto"/>
          <w:sz w:val="36"/>
          <w:szCs w:val="36"/>
          <w:highlight w:val="none"/>
        </w:rPr>
        <w:t>-</w:t>
      </w:r>
      <w:r>
        <w:rPr>
          <w:rFonts w:hint="eastAsia" w:ascii="宋体" w:hAnsi="宋体"/>
          <w:b/>
          <w:color w:val="auto"/>
          <w:sz w:val="36"/>
          <w:szCs w:val="36"/>
          <w:highlight w:val="none"/>
        </w:rPr>
        <w:t>票数相同时定标委员会汇总用表）</w:t>
      </w:r>
    </w:p>
    <w:p>
      <w:pPr>
        <w:jc w:val="center"/>
        <w:rPr>
          <w:rFonts w:ascii="宋体"/>
          <w:b/>
          <w:color w:val="auto"/>
          <w:sz w:val="30"/>
          <w:szCs w:val="30"/>
          <w:highlight w:val="none"/>
        </w:rPr>
      </w:pPr>
    </w:p>
    <w:p>
      <w:pPr>
        <w:rPr>
          <w:color w:val="auto"/>
          <w:sz w:val="24"/>
          <w:szCs w:val="24"/>
          <w:highlight w:val="none"/>
        </w:rPr>
      </w:pPr>
      <w:r>
        <w:rPr>
          <w:rFonts w:hint="eastAsia" w:ascii="宋体" w:hAnsi="宋体"/>
          <w:color w:val="auto"/>
          <w:sz w:val="24"/>
          <w:szCs w:val="24"/>
          <w:highlight w:val="none"/>
        </w:rPr>
        <w:t>工程名称：</w:t>
      </w:r>
    </w:p>
    <w:tbl>
      <w:tblPr>
        <w:tblStyle w:val="20"/>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4034"/>
        <w:gridCol w:w="1754"/>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序号</w:t>
            </w:r>
          </w:p>
        </w:tc>
        <w:tc>
          <w:tcPr>
            <w:tcW w:w="4034"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投标人</w:t>
            </w:r>
          </w:p>
        </w:tc>
        <w:tc>
          <w:tcPr>
            <w:tcW w:w="1754"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Cs w:val="21"/>
                <w:highlight w:val="none"/>
              </w:rPr>
            </w:pPr>
            <w:r>
              <w:rPr>
                <w:rFonts w:hint="eastAsia" w:ascii="仿宋" w:hAnsi="仿宋" w:eastAsia="仿宋" w:cs="宋体"/>
                <w:color w:val="auto"/>
                <w:highlight w:val="none"/>
              </w:rPr>
              <w:t>票数</w:t>
            </w:r>
          </w:p>
        </w:tc>
        <w:tc>
          <w:tcPr>
            <w:tcW w:w="1758"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Cs w:val="21"/>
                <w:highlight w:val="none"/>
              </w:rPr>
            </w:pPr>
            <w:r>
              <w:rPr>
                <w:rFonts w:hint="eastAsia" w:ascii="仿宋" w:hAnsi="仿宋" w:eastAsia="仿宋" w:cs="宋体"/>
                <w:color w:val="auto"/>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5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w:t>
            </w:r>
          </w:p>
        </w:tc>
        <w:tc>
          <w:tcPr>
            <w:tcW w:w="4034"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1754"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1758"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5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w:t>
            </w:r>
          </w:p>
        </w:tc>
        <w:tc>
          <w:tcPr>
            <w:tcW w:w="4034"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1754"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1758"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5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w:t>
            </w:r>
          </w:p>
        </w:tc>
        <w:tc>
          <w:tcPr>
            <w:tcW w:w="4034"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1754"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1758"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r>
    </w:tbl>
    <w:p>
      <w:pPr>
        <w:rPr>
          <w:b/>
          <w:color w:val="auto"/>
          <w:szCs w:val="21"/>
          <w:highlight w:val="none"/>
        </w:rPr>
      </w:pPr>
    </w:p>
    <w:p>
      <w:pPr>
        <w:pStyle w:val="26"/>
        <w:rPr>
          <w:color w:val="auto"/>
          <w:highlight w:val="none"/>
        </w:rPr>
      </w:pPr>
    </w:p>
    <w:p>
      <w:pPr>
        <w:pStyle w:val="26"/>
        <w:rPr>
          <w:rFonts w:ascii="宋体" w:hAnsi="宋体"/>
          <w:color w:val="auto"/>
          <w:sz w:val="24"/>
          <w:szCs w:val="24"/>
          <w:highlight w:val="none"/>
        </w:rPr>
      </w:pPr>
      <w:r>
        <w:rPr>
          <w:rFonts w:hint="eastAsia" w:ascii="宋体" w:hAnsi="宋体"/>
          <w:color w:val="auto"/>
          <w:sz w:val="24"/>
          <w:szCs w:val="24"/>
          <w:highlight w:val="none"/>
        </w:rPr>
        <w:t>定标委员签名：</w:t>
      </w:r>
    </w:p>
    <w:p>
      <w:pPr>
        <w:spacing w:line="360" w:lineRule="auto"/>
        <w:ind w:right="420"/>
        <w:rPr>
          <w:color w:val="auto"/>
          <w:szCs w:val="21"/>
          <w:highlight w:val="none"/>
        </w:rPr>
      </w:pPr>
    </w:p>
    <w:p>
      <w:pPr>
        <w:spacing w:line="360" w:lineRule="auto"/>
        <w:ind w:right="420"/>
        <w:rPr>
          <w:color w:val="auto"/>
          <w:highlight w:val="none"/>
        </w:rPr>
      </w:pPr>
    </w:p>
    <w:p>
      <w:pPr>
        <w:spacing w:line="600" w:lineRule="exact"/>
        <w:ind w:right="-9"/>
        <w:jc w:val="center"/>
        <w:rPr>
          <w:rFonts w:ascii="宋体"/>
          <w:color w:val="auto"/>
          <w:sz w:val="24"/>
          <w:szCs w:val="24"/>
          <w:highlight w:val="none"/>
        </w:rPr>
      </w:pPr>
      <w:r>
        <w:rPr>
          <w:rFonts w:hint="eastAsia" w:ascii="宋体" w:hAnsi="宋体"/>
          <w:color w:val="auto"/>
          <w:sz w:val="24"/>
          <w:szCs w:val="24"/>
          <w:highlight w:val="none"/>
        </w:rPr>
        <w:t xml:space="preserve">                                        日期：   年  月  日</w:t>
      </w:r>
    </w:p>
    <w:p>
      <w:pPr>
        <w:spacing w:line="600" w:lineRule="exact"/>
        <w:ind w:right="-9"/>
        <w:jc w:val="center"/>
        <w:rPr>
          <w:rFonts w:ascii="宋体"/>
          <w:color w:val="auto"/>
          <w:sz w:val="24"/>
          <w:szCs w:val="24"/>
          <w:highlight w:val="none"/>
        </w:rPr>
      </w:pPr>
    </w:p>
    <w:p>
      <w:pPr>
        <w:spacing w:line="600" w:lineRule="exact"/>
        <w:ind w:right="-9"/>
        <w:jc w:val="center"/>
        <w:rPr>
          <w:rFonts w:ascii="宋体"/>
          <w:color w:val="auto"/>
          <w:sz w:val="24"/>
          <w:szCs w:val="24"/>
          <w:highlight w:val="none"/>
        </w:rPr>
      </w:pPr>
    </w:p>
    <w:p>
      <w:pPr>
        <w:spacing w:line="600" w:lineRule="exact"/>
        <w:ind w:right="-9"/>
        <w:jc w:val="center"/>
        <w:rPr>
          <w:rFonts w:ascii="宋体"/>
          <w:color w:val="auto"/>
          <w:sz w:val="24"/>
          <w:szCs w:val="24"/>
          <w:highlight w:val="none"/>
        </w:rPr>
      </w:pPr>
    </w:p>
    <w:p>
      <w:pPr>
        <w:jc w:val="right"/>
        <w:rPr>
          <w:color w:val="auto"/>
          <w:sz w:val="24"/>
          <w:szCs w:val="24"/>
          <w:highlight w:val="none"/>
        </w:rPr>
      </w:pPr>
    </w:p>
    <w:p>
      <w:pPr>
        <w:jc w:val="right"/>
        <w:rPr>
          <w:color w:val="auto"/>
          <w:sz w:val="24"/>
          <w:szCs w:val="24"/>
          <w:highlight w:val="none"/>
        </w:rPr>
      </w:pPr>
    </w:p>
    <w:p>
      <w:pPr>
        <w:widowControl/>
        <w:jc w:val="left"/>
        <w:rPr>
          <w:rFonts w:ascii="宋体" w:hAnsi="宋体"/>
          <w:color w:val="auto"/>
          <w:sz w:val="28"/>
          <w:szCs w:val="28"/>
          <w:highlight w:val="none"/>
        </w:rPr>
      </w:pPr>
      <w:r>
        <w:rPr>
          <w:rFonts w:hint="eastAsia" w:ascii="宋体" w:hAnsi="宋体"/>
          <w:color w:val="auto"/>
          <w:sz w:val="28"/>
          <w:szCs w:val="28"/>
          <w:highlight w:val="none"/>
        </w:rPr>
        <w:br w:type="page"/>
      </w:r>
      <w:r>
        <w:rPr>
          <w:rFonts w:hint="eastAsia" w:ascii="仿宋" w:hAnsi="仿宋" w:eastAsia="仿宋" w:cs="宋体"/>
          <w:bCs/>
          <w:color w:val="auto"/>
          <w:sz w:val="28"/>
          <w:szCs w:val="28"/>
          <w:highlight w:val="none"/>
        </w:rPr>
        <w:t>附表7-5</w:t>
      </w:r>
    </w:p>
    <w:p>
      <w:pPr>
        <w:rPr>
          <w:b/>
          <w:color w:val="auto"/>
          <w:szCs w:val="21"/>
          <w:highlight w:val="none"/>
        </w:rPr>
      </w:pPr>
    </w:p>
    <w:p>
      <w:pPr>
        <w:jc w:val="center"/>
        <w:rPr>
          <w:rFonts w:ascii="宋体"/>
          <w:b/>
          <w:color w:val="auto"/>
          <w:sz w:val="30"/>
          <w:szCs w:val="30"/>
          <w:highlight w:val="none"/>
        </w:rPr>
      </w:pPr>
      <w:r>
        <w:rPr>
          <w:rFonts w:hint="eastAsia" w:ascii="宋体" w:hAnsi="宋体"/>
          <w:b/>
          <w:color w:val="auto"/>
          <w:sz w:val="36"/>
          <w:szCs w:val="36"/>
          <w:highlight w:val="none"/>
        </w:rPr>
        <w:t>直接票决定标排名汇总表（定标阶段）</w:t>
      </w:r>
    </w:p>
    <w:p>
      <w:pPr>
        <w:rPr>
          <w:color w:val="auto"/>
          <w:sz w:val="24"/>
          <w:szCs w:val="24"/>
          <w:highlight w:val="none"/>
        </w:rPr>
      </w:pPr>
      <w:r>
        <w:rPr>
          <w:rFonts w:hint="eastAsia" w:ascii="宋体" w:hAnsi="宋体"/>
          <w:color w:val="auto"/>
          <w:sz w:val="24"/>
          <w:szCs w:val="24"/>
          <w:highlight w:val="none"/>
        </w:rPr>
        <w:t>工程名称：</w:t>
      </w:r>
    </w:p>
    <w:tbl>
      <w:tblPr>
        <w:tblStyle w:val="2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127"/>
        <w:gridCol w:w="1629"/>
        <w:gridCol w:w="2718"/>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b/>
                <w:color w:val="auto"/>
                <w:szCs w:val="21"/>
                <w:highlight w:val="none"/>
              </w:rPr>
            </w:pPr>
            <w:r>
              <w:rPr>
                <w:rFonts w:hint="eastAsia" w:ascii="仿宋" w:hAnsi="仿宋" w:eastAsia="仿宋" w:cs="宋体"/>
                <w:b/>
                <w:color w:val="auto"/>
                <w:highlight w:val="none"/>
              </w:rPr>
              <w:t>序号</w:t>
            </w:r>
          </w:p>
        </w:tc>
        <w:tc>
          <w:tcPr>
            <w:tcW w:w="3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b/>
                <w:color w:val="auto"/>
                <w:szCs w:val="21"/>
                <w:highlight w:val="none"/>
              </w:rPr>
            </w:pPr>
            <w:r>
              <w:rPr>
                <w:rFonts w:hint="eastAsia" w:ascii="仿宋" w:hAnsi="仿宋" w:eastAsia="仿宋" w:cs="宋体"/>
                <w:b/>
                <w:color w:val="auto"/>
                <w:highlight w:val="none"/>
              </w:rPr>
              <w:t>投标人名称</w:t>
            </w:r>
          </w:p>
        </w:tc>
        <w:tc>
          <w:tcPr>
            <w:tcW w:w="1629"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b/>
                <w:color w:val="auto"/>
                <w:szCs w:val="21"/>
                <w:highlight w:val="none"/>
              </w:rPr>
            </w:pPr>
            <w:r>
              <w:rPr>
                <w:rFonts w:hint="eastAsia" w:ascii="仿宋" w:hAnsi="仿宋" w:eastAsia="仿宋" w:cs="宋体"/>
                <w:b/>
                <w:color w:val="auto"/>
                <w:highlight w:val="none"/>
              </w:rPr>
              <w:t>投票结果排名</w:t>
            </w:r>
          </w:p>
        </w:tc>
        <w:tc>
          <w:tcPr>
            <w:tcW w:w="2718"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b/>
                <w:color w:val="auto"/>
                <w:szCs w:val="21"/>
                <w:highlight w:val="none"/>
              </w:rPr>
            </w:pPr>
            <w:r>
              <w:rPr>
                <w:rFonts w:hint="eastAsia" w:ascii="仿宋" w:hAnsi="仿宋" w:eastAsia="仿宋" w:cs="宋体"/>
                <w:b/>
                <w:color w:val="auto"/>
                <w:highlight w:val="none"/>
              </w:rPr>
              <w:t>是否被推荐为中标候选人</w:t>
            </w:r>
          </w:p>
        </w:tc>
        <w:tc>
          <w:tcPr>
            <w:tcW w:w="643"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b/>
                <w:color w:val="auto"/>
                <w:szCs w:val="21"/>
                <w:highlight w:val="none"/>
              </w:rPr>
            </w:pPr>
            <w:r>
              <w:rPr>
                <w:rFonts w:hint="eastAsia" w:ascii="仿宋" w:hAnsi="仿宋" w:eastAsia="仿宋" w:cs="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w:t>
            </w:r>
          </w:p>
        </w:tc>
        <w:tc>
          <w:tcPr>
            <w:tcW w:w="3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1629"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2718"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643" w:type="dxa"/>
            <w:tcBorders>
              <w:top w:val="single" w:color="auto" w:sz="4" w:space="0"/>
              <w:left w:val="nil"/>
              <w:bottom w:val="single" w:color="auto" w:sz="4" w:space="0"/>
              <w:right w:val="single" w:color="auto" w:sz="4" w:space="0"/>
            </w:tcBorders>
            <w:noWrap/>
          </w:tcPr>
          <w:p>
            <w:pPr>
              <w:jc w:val="center"/>
              <w:rPr>
                <w:rFonts w:ascii="仿宋" w:hAnsi="仿宋" w:eastAsia="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w:t>
            </w:r>
          </w:p>
        </w:tc>
        <w:tc>
          <w:tcPr>
            <w:tcW w:w="3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1629"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2718"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643" w:type="dxa"/>
            <w:tcBorders>
              <w:top w:val="single" w:color="auto" w:sz="4" w:space="0"/>
              <w:left w:val="nil"/>
              <w:bottom w:val="single" w:color="auto" w:sz="4" w:space="0"/>
              <w:right w:val="single" w:color="auto" w:sz="4" w:space="0"/>
            </w:tcBorders>
            <w:noWrap/>
          </w:tcPr>
          <w:p>
            <w:pPr>
              <w:jc w:val="center"/>
              <w:rPr>
                <w:rFonts w:ascii="仿宋" w:hAnsi="仿宋" w:eastAsia="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w:t>
            </w:r>
          </w:p>
        </w:tc>
        <w:tc>
          <w:tcPr>
            <w:tcW w:w="3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1629"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2718"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643" w:type="dxa"/>
            <w:tcBorders>
              <w:top w:val="single" w:color="auto" w:sz="4" w:space="0"/>
              <w:left w:val="nil"/>
              <w:bottom w:val="single" w:color="auto" w:sz="4" w:space="0"/>
              <w:right w:val="single" w:color="auto" w:sz="4" w:space="0"/>
            </w:tcBorders>
            <w:noWrap/>
          </w:tcPr>
          <w:p>
            <w:pPr>
              <w:jc w:val="center"/>
              <w:rPr>
                <w:rFonts w:ascii="仿宋" w:hAnsi="仿宋" w:eastAsia="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w:t>
            </w:r>
          </w:p>
        </w:tc>
        <w:tc>
          <w:tcPr>
            <w:tcW w:w="3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1629"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2718"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643" w:type="dxa"/>
            <w:tcBorders>
              <w:top w:val="single" w:color="auto" w:sz="4" w:space="0"/>
              <w:left w:val="nil"/>
              <w:bottom w:val="single" w:color="auto" w:sz="4" w:space="0"/>
              <w:right w:val="single" w:color="auto" w:sz="4" w:space="0"/>
            </w:tcBorders>
            <w:noWrap/>
          </w:tcPr>
          <w:p>
            <w:pPr>
              <w:jc w:val="center"/>
              <w:rPr>
                <w:rFonts w:ascii="仿宋" w:hAnsi="仿宋" w:eastAsia="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w:t>
            </w:r>
          </w:p>
        </w:tc>
        <w:tc>
          <w:tcPr>
            <w:tcW w:w="3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1629"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2718"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643" w:type="dxa"/>
            <w:tcBorders>
              <w:top w:val="single" w:color="auto" w:sz="4" w:space="0"/>
              <w:left w:val="nil"/>
              <w:bottom w:val="single" w:color="auto" w:sz="4" w:space="0"/>
              <w:right w:val="single" w:color="auto" w:sz="4" w:space="0"/>
            </w:tcBorders>
            <w:noWrap/>
          </w:tcPr>
          <w:p>
            <w:pPr>
              <w:jc w:val="center"/>
              <w:rPr>
                <w:rFonts w:ascii="仿宋" w:hAnsi="仿宋" w:eastAsia="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w:t>
            </w:r>
          </w:p>
        </w:tc>
        <w:tc>
          <w:tcPr>
            <w:tcW w:w="3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1629"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2718"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643" w:type="dxa"/>
            <w:tcBorders>
              <w:top w:val="single" w:color="auto" w:sz="4" w:space="0"/>
              <w:left w:val="nil"/>
              <w:bottom w:val="single" w:color="auto" w:sz="4" w:space="0"/>
              <w:right w:val="single" w:color="auto" w:sz="4" w:space="0"/>
            </w:tcBorders>
            <w:noWrap/>
          </w:tcPr>
          <w:p>
            <w:pPr>
              <w:jc w:val="center"/>
              <w:rPr>
                <w:rFonts w:ascii="仿宋" w:hAnsi="仿宋" w:eastAsia="仿宋"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8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7</w:t>
            </w:r>
          </w:p>
        </w:tc>
        <w:tc>
          <w:tcPr>
            <w:tcW w:w="3127"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1629"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2718"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宋体"/>
                <w:color w:val="auto"/>
                <w:sz w:val="24"/>
                <w:szCs w:val="24"/>
                <w:highlight w:val="none"/>
              </w:rPr>
            </w:pPr>
          </w:p>
        </w:tc>
        <w:tc>
          <w:tcPr>
            <w:tcW w:w="643" w:type="dxa"/>
            <w:tcBorders>
              <w:top w:val="single" w:color="auto" w:sz="4" w:space="0"/>
              <w:left w:val="nil"/>
              <w:bottom w:val="single" w:color="auto" w:sz="4" w:space="0"/>
              <w:right w:val="single" w:color="auto" w:sz="4" w:space="0"/>
            </w:tcBorders>
            <w:noWrap/>
          </w:tcPr>
          <w:p>
            <w:pPr>
              <w:jc w:val="center"/>
              <w:rPr>
                <w:rFonts w:ascii="仿宋" w:hAnsi="仿宋" w:eastAsia="仿宋" w:cs="宋体"/>
                <w:color w:val="auto"/>
                <w:sz w:val="24"/>
                <w:szCs w:val="24"/>
                <w:highlight w:val="none"/>
              </w:rPr>
            </w:pPr>
          </w:p>
        </w:tc>
      </w:tr>
    </w:tbl>
    <w:p>
      <w:pPr>
        <w:rPr>
          <w:b/>
          <w:color w:val="auto"/>
          <w:szCs w:val="21"/>
          <w:highlight w:val="none"/>
        </w:rPr>
      </w:pPr>
    </w:p>
    <w:p>
      <w:pPr>
        <w:rPr>
          <w:b/>
          <w:color w:val="auto"/>
          <w:highlight w:val="none"/>
        </w:rPr>
      </w:pPr>
      <w:r>
        <w:rPr>
          <w:rFonts w:hint="eastAsia" w:ascii="宋体" w:hAnsi="宋体"/>
          <w:color w:val="auto"/>
          <w:sz w:val="24"/>
          <w:szCs w:val="24"/>
          <w:highlight w:val="none"/>
        </w:rPr>
        <w:t>注：定标委员会成员须根据每轮的投票结果，第一轮得票数最多的定标候选人为第一中标候选人、第二轮得票数最多的定标候选人为第二中标候选人、第三轮得票数最多的定标候选人为第三中标候选人。</w:t>
      </w:r>
    </w:p>
    <w:p>
      <w:pPr>
        <w:pStyle w:val="26"/>
        <w:rPr>
          <w:color w:val="auto"/>
          <w:highlight w:val="none"/>
        </w:rPr>
      </w:pPr>
    </w:p>
    <w:p>
      <w:pPr>
        <w:pStyle w:val="26"/>
        <w:rPr>
          <w:rFonts w:ascii="宋体" w:hAnsi="宋体"/>
          <w:color w:val="auto"/>
          <w:sz w:val="24"/>
          <w:szCs w:val="24"/>
          <w:highlight w:val="none"/>
        </w:rPr>
      </w:pPr>
    </w:p>
    <w:p>
      <w:pPr>
        <w:pStyle w:val="26"/>
        <w:rPr>
          <w:rFonts w:ascii="宋体" w:hAnsi="宋体"/>
          <w:color w:val="auto"/>
          <w:sz w:val="24"/>
          <w:szCs w:val="24"/>
          <w:highlight w:val="none"/>
        </w:rPr>
      </w:pPr>
      <w:r>
        <w:rPr>
          <w:rFonts w:hint="eastAsia" w:ascii="宋体" w:hAnsi="宋体"/>
          <w:color w:val="auto"/>
          <w:sz w:val="24"/>
          <w:szCs w:val="24"/>
          <w:highlight w:val="none"/>
        </w:rPr>
        <w:t>定标委员签名：</w:t>
      </w:r>
    </w:p>
    <w:p>
      <w:pPr>
        <w:pStyle w:val="26"/>
        <w:rPr>
          <w:rFonts w:ascii="宋体" w:hAnsi="宋体"/>
          <w:color w:val="auto"/>
          <w:sz w:val="24"/>
          <w:szCs w:val="24"/>
          <w:highlight w:val="none"/>
        </w:rPr>
      </w:pPr>
    </w:p>
    <w:p>
      <w:pPr>
        <w:pStyle w:val="26"/>
        <w:rPr>
          <w:rFonts w:ascii="宋体" w:hAnsi="宋体"/>
          <w:color w:val="auto"/>
          <w:sz w:val="24"/>
          <w:szCs w:val="24"/>
          <w:highlight w:val="none"/>
        </w:rPr>
      </w:pPr>
    </w:p>
    <w:p>
      <w:pPr>
        <w:pStyle w:val="26"/>
        <w:rPr>
          <w:rFonts w:ascii="宋体" w:hAnsi="宋体"/>
          <w:color w:val="auto"/>
          <w:sz w:val="24"/>
          <w:szCs w:val="24"/>
          <w:highlight w:val="none"/>
        </w:rPr>
      </w:pPr>
      <w:r>
        <w:rPr>
          <w:rFonts w:hint="eastAsia" w:ascii="宋体" w:hAnsi="宋体"/>
          <w:color w:val="auto"/>
          <w:sz w:val="24"/>
          <w:szCs w:val="24"/>
          <w:highlight w:val="none"/>
        </w:rPr>
        <w:t xml:space="preserve">                                                日期：   年  月  日</w:t>
      </w:r>
    </w:p>
    <w:p>
      <w:pPr>
        <w:pStyle w:val="26"/>
        <w:rPr>
          <w:color w:val="auto"/>
          <w:highlight w:val="none"/>
        </w:rPr>
      </w:pPr>
      <w:r>
        <w:rPr>
          <w:color w:val="auto"/>
          <w:highlight w:val="none"/>
        </w:rPr>
        <w:br w:type="page"/>
      </w:r>
    </w:p>
    <w:p>
      <w:pPr>
        <w:pStyle w:val="3"/>
        <w:rPr>
          <w:rFonts w:ascii="宋体" w:hAnsi="宋体"/>
          <w:color w:val="auto"/>
          <w:highlight w:val="none"/>
        </w:rPr>
      </w:pPr>
      <w:bookmarkStart w:id="47" w:name="_Toc130979531"/>
      <w:r>
        <w:rPr>
          <w:rFonts w:hint="eastAsia" w:ascii="宋体" w:hAnsi="宋体"/>
          <w:color w:val="auto"/>
          <w:highlight w:val="none"/>
        </w:rPr>
        <w:t>第三章合同条款</w:t>
      </w:r>
      <w:bookmarkEnd w:id="47"/>
    </w:p>
    <w:p>
      <w:pPr>
        <w:jc w:val="center"/>
        <w:rPr>
          <w:rFonts w:ascii="宋体" w:hAnsi="宋体"/>
          <w:b/>
          <w:color w:val="auto"/>
          <w:sz w:val="24"/>
          <w:szCs w:val="24"/>
          <w:highlight w:val="none"/>
        </w:rPr>
      </w:pPr>
      <w:r>
        <w:rPr>
          <w:rFonts w:hint="eastAsia" w:ascii="宋体" w:hAnsi="宋体"/>
          <w:color w:val="auto"/>
          <w:sz w:val="24"/>
          <w:szCs w:val="24"/>
          <w:highlight w:val="none"/>
        </w:rPr>
        <w:t>注：另册。</w:t>
      </w:r>
    </w:p>
    <w:p>
      <w:pPr>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5"/>
        <w:spacing w:line="360" w:lineRule="auto"/>
        <w:rPr>
          <w:rFonts w:ascii="宋体" w:hAnsi="宋体"/>
          <w:color w:val="auto"/>
          <w:sz w:val="24"/>
          <w:szCs w:val="24"/>
          <w:highlight w:val="none"/>
        </w:rPr>
      </w:pPr>
    </w:p>
    <w:p>
      <w:pPr>
        <w:pStyle w:val="2"/>
        <w:spacing w:line="360" w:lineRule="auto"/>
        <w:rPr>
          <w:rFonts w:hAnsi="宋体"/>
          <w:color w:val="auto"/>
          <w:sz w:val="24"/>
          <w:szCs w:val="24"/>
          <w:highlight w:val="none"/>
        </w:rPr>
      </w:pPr>
    </w:p>
    <w:p>
      <w:pPr>
        <w:pStyle w:val="2"/>
        <w:spacing w:line="360" w:lineRule="auto"/>
        <w:rPr>
          <w:rFonts w:hAnsi="宋体"/>
          <w:color w:val="auto"/>
          <w:sz w:val="24"/>
          <w:szCs w:val="24"/>
          <w:highlight w:val="none"/>
        </w:rPr>
      </w:pPr>
      <w:r>
        <w:rPr>
          <w:rFonts w:hAnsi="宋体"/>
          <w:color w:val="auto"/>
          <w:sz w:val="24"/>
          <w:szCs w:val="24"/>
          <w:highlight w:val="none"/>
        </w:rPr>
        <w:br w:type="page"/>
      </w:r>
    </w:p>
    <w:p>
      <w:pPr>
        <w:pStyle w:val="3"/>
        <w:rPr>
          <w:rFonts w:ascii="宋体" w:hAnsi="宋体"/>
          <w:color w:val="auto"/>
          <w:highlight w:val="none"/>
        </w:rPr>
      </w:pPr>
      <w:bookmarkStart w:id="48" w:name="_Toc130979532"/>
      <w:r>
        <w:rPr>
          <w:rFonts w:hint="eastAsia" w:ascii="宋体" w:hAnsi="宋体"/>
          <w:color w:val="auto"/>
          <w:highlight w:val="none"/>
        </w:rPr>
        <w:t>第四章投标文件格式</w:t>
      </w:r>
      <w:bookmarkEnd w:id="48"/>
    </w:p>
    <w:p>
      <w:pPr>
        <w:autoSpaceDE w:val="0"/>
        <w:autoSpaceDN w:val="0"/>
        <w:adjustRightInd w:val="0"/>
        <w:rPr>
          <w:rFonts w:ascii="宋体" w:hAnsi="宋体"/>
          <w:color w:val="auto"/>
          <w:sz w:val="24"/>
          <w:szCs w:val="24"/>
          <w:highlight w:val="none"/>
        </w:rPr>
      </w:pPr>
    </w:p>
    <w:p>
      <w:pPr>
        <w:autoSpaceDE w:val="0"/>
        <w:autoSpaceDN w:val="0"/>
        <w:adjustRightInd w:val="0"/>
        <w:rPr>
          <w:rFonts w:ascii="宋体" w:hAnsi="宋体"/>
          <w:color w:val="auto"/>
          <w:sz w:val="24"/>
          <w:szCs w:val="24"/>
          <w:highlight w:val="none"/>
        </w:rPr>
      </w:pPr>
    </w:p>
    <w:p>
      <w:pPr>
        <w:pStyle w:val="25"/>
        <w:ind w:firstLine="496"/>
        <w:rPr>
          <w:rFonts w:ascii="宋体" w:hAnsi="宋体"/>
          <w:color w:val="auto"/>
          <w:highlight w:val="none"/>
        </w:rPr>
      </w:pPr>
    </w:p>
    <w:p>
      <w:pPr>
        <w:pStyle w:val="29"/>
        <w:spacing w:before="156" w:after="156"/>
        <w:rPr>
          <w:rFonts w:ascii="宋体" w:eastAsia="宋体"/>
          <w:bCs/>
          <w:color w:val="auto"/>
          <w:szCs w:val="21"/>
          <w:highlight w:val="none"/>
        </w:rPr>
      </w:pPr>
      <w:r>
        <w:rPr>
          <w:rFonts w:ascii="宋体" w:eastAsia="宋体"/>
          <w:b w:val="0"/>
          <w:color w:val="auto"/>
          <w:highlight w:val="none"/>
        </w:rPr>
        <w:br w:type="page"/>
      </w:r>
      <w:bookmarkStart w:id="49" w:name="_Toc130979533"/>
      <w:bookmarkStart w:id="50" w:name="_Toc100770813"/>
      <w:bookmarkStart w:id="51" w:name="_Toc130979468"/>
      <w:bookmarkStart w:id="52" w:name="_Toc127815777"/>
      <w:bookmarkStart w:id="53" w:name="_Toc60818632"/>
      <w:r>
        <w:rPr>
          <w:rFonts w:hint="eastAsia" w:ascii="宋体" w:eastAsia="宋体"/>
          <w:bCs/>
          <w:color w:val="auto"/>
          <w:szCs w:val="21"/>
          <w:highlight w:val="none"/>
        </w:rPr>
        <w:t>格式一</w:t>
      </w:r>
      <w:bookmarkEnd w:id="49"/>
      <w:bookmarkEnd w:id="50"/>
      <w:bookmarkEnd w:id="51"/>
      <w:bookmarkEnd w:id="52"/>
      <w:bookmarkEnd w:id="53"/>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929" w:firstLineChars="257"/>
        <w:jc w:val="center"/>
        <w:rPr>
          <w:rFonts w:ascii="宋体" w:hAnsi="宋体"/>
          <w:b/>
          <w:bCs/>
          <w:color w:val="auto"/>
          <w:sz w:val="36"/>
          <w:szCs w:val="32"/>
          <w:highlight w:val="none"/>
        </w:rPr>
      </w:pPr>
      <w:r>
        <w:rPr>
          <w:rFonts w:hint="eastAsia" w:ascii="宋体" w:hAnsi="宋体" w:cs="宋体"/>
          <w:b/>
          <w:bCs/>
          <w:color w:val="auto"/>
          <w:sz w:val="36"/>
          <w:szCs w:val="32"/>
          <w:highlight w:val="none"/>
          <w:lang w:val="zh-CN"/>
        </w:rPr>
        <w:t>广州建设工程施工招标投标书</w:t>
      </w:r>
    </w:p>
    <w:tbl>
      <w:tblPr>
        <w:tblStyle w:val="20"/>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8"/>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353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3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3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3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353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3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保修期限</w:t>
            </w:r>
          </w:p>
        </w:tc>
        <w:tc>
          <w:tcPr>
            <w:tcW w:w="3538" w:type="dxa"/>
            <w:tcBorders>
              <w:top w:val="single" w:color="auto" w:sz="4" w:space="0"/>
              <w:left w:val="single" w:color="auto" w:sz="4" w:space="0"/>
              <w:bottom w:val="single" w:color="auto" w:sz="4" w:space="0"/>
              <w:right w:val="single" w:color="auto" w:sz="4" w:space="0"/>
            </w:tcBorders>
            <w:noWrap/>
          </w:tcPr>
          <w:p>
            <w:pPr>
              <w:autoSpaceDE w:val="0"/>
              <w:autoSpaceDN w:val="0"/>
              <w:adjustRightInd w:val="0"/>
              <w:rPr>
                <w:rFonts w:ascii="宋体" w:hAnsi="宋体" w:cs="宋体"/>
                <w:b/>
                <w:bCs/>
                <w:color w:val="auto"/>
                <w:sz w:val="24"/>
                <w:szCs w:val="24"/>
                <w:highlight w:val="none"/>
                <w:lang w:val="zh-CN"/>
              </w:rPr>
            </w:pPr>
          </w:p>
        </w:tc>
      </w:tr>
    </w:tbl>
    <w:p>
      <w:pPr>
        <w:tabs>
          <w:tab w:val="left" w:pos="720"/>
        </w:tabs>
        <w:snapToGrid w:val="0"/>
        <w:spacing w:line="360" w:lineRule="auto"/>
        <w:rPr>
          <w:rFonts w:ascii="宋体" w:hAnsi="宋体"/>
          <w:color w:val="auto"/>
          <w:sz w:val="24"/>
          <w:szCs w:val="24"/>
          <w:highlight w:val="none"/>
        </w:rPr>
      </w:pPr>
    </w:p>
    <w:p>
      <w:pPr>
        <w:spacing w:before="156" w:after="156"/>
        <w:rPr>
          <w:rFonts w:ascii="宋体"/>
          <w:b/>
          <w:color w:val="auto"/>
          <w:highlight w:val="none"/>
        </w:rPr>
      </w:pPr>
      <w:r>
        <w:rPr>
          <w:rFonts w:ascii="宋体" w:hAnsi="宋体"/>
          <w:color w:val="auto"/>
          <w:highlight w:val="none"/>
        </w:rPr>
        <w:br w:type="page"/>
      </w:r>
      <w:bookmarkStart w:id="54" w:name="_Toc60818633"/>
      <w:bookmarkStart w:id="55" w:name="_Toc100770814"/>
      <w:r>
        <w:rPr>
          <w:rFonts w:hint="eastAsia" w:ascii="宋体"/>
          <w:b/>
          <w:color w:val="auto"/>
          <w:highlight w:val="none"/>
        </w:rPr>
        <w:t>格式二</w:t>
      </w:r>
    </w:p>
    <w:p>
      <w:pPr>
        <w:pStyle w:val="29"/>
        <w:spacing w:beforeLines="0" w:afterLines="0" w:line="360" w:lineRule="auto"/>
        <w:jc w:val="center"/>
        <w:rPr>
          <w:rFonts w:ascii="宋体" w:eastAsia="宋体"/>
          <w:color w:val="auto"/>
          <w:sz w:val="32"/>
          <w:highlight w:val="none"/>
        </w:rPr>
      </w:pPr>
      <w:bookmarkStart w:id="56" w:name="_Toc130979469"/>
      <w:bookmarkStart w:id="57" w:name="_Toc127815778"/>
      <w:bookmarkStart w:id="58" w:name="_Toc130979534"/>
      <w:r>
        <w:rPr>
          <w:rFonts w:hint="eastAsia" w:ascii="宋体" w:eastAsia="宋体"/>
          <w:color w:val="auto"/>
          <w:sz w:val="32"/>
          <w:highlight w:val="none"/>
        </w:rPr>
        <w:t>投标文件编制人员名单</w:t>
      </w:r>
      <w:bookmarkEnd w:id="54"/>
      <w:bookmarkEnd w:id="55"/>
      <w:bookmarkEnd w:id="56"/>
      <w:bookmarkEnd w:id="57"/>
      <w:bookmarkEnd w:id="58"/>
    </w:p>
    <w:p>
      <w:pPr>
        <w:tabs>
          <w:tab w:val="left" w:pos="720"/>
        </w:tabs>
        <w:snapToGrid w:val="0"/>
        <w:spacing w:line="360" w:lineRule="auto"/>
        <w:jc w:val="center"/>
        <w:rPr>
          <w:rFonts w:ascii="宋体" w:hAnsi="宋体" w:cs="宋体"/>
          <w:color w:val="auto"/>
          <w:szCs w:val="21"/>
          <w:highlight w:val="none"/>
        </w:rPr>
      </w:pPr>
      <w:bookmarkStart w:id="59" w:name="_Toc60818636"/>
      <w:r>
        <w:rPr>
          <w:rFonts w:hint="eastAsia" w:ascii="宋体" w:hAnsi="宋体" w:cs="宋体"/>
          <w:color w:val="auto"/>
          <w:szCs w:val="21"/>
          <w:highlight w:val="none"/>
        </w:rPr>
        <w:t>一、参与编制技术标投标文件人员名单</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bl>
    <w:p>
      <w:pPr>
        <w:tabs>
          <w:tab w:val="left" w:pos="720"/>
        </w:tabs>
        <w:snapToGrid w:val="0"/>
        <w:spacing w:line="360" w:lineRule="auto"/>
        <w:rPr>
          <w:rFonts w:ascii="宋体" w:hAnsi="宋体" w:cs="宋体"/>
          <w:color w:val="auto"/>
          <w:sz w:val="24"/>
          <w:szCs w:val="24"/>
          <w:highlight w:val="none"/>
        </w:rPr>
      </w:pPr>
    </w:p>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二、参与编制经济标投标文件人员名单</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ign w:val="center"/>
          </w:tcPr>
          <w:p>
            <w:pPr>
              <w:tabs>
                <w:tab w:val="left" w:pos="720"/>
              </w:tabs>
              <w:snapToGrid w:val="0"/>
              <w:spacing w:line="360" w:lineRule="auto"/>
              <w:jc w:val="center"/>
              <w:rPr>
                <w:rFonts w:ascii="宋体" w:hAnsi="宋体" w:cs="宋体"/>
                <w:color w:val="auto"/>
                <w:szCs w:val="21"/>
                <w:highlight w:val="none"/>
              </w:rPr>
            </w:pPr>
          </w:p>
        </w:tc>
      </w:tr>
    </w:tbl>
    <w:p>
      <w:pPr>
        <w:tabs>
          <w:tab w:val="left" w:pos="720"/>
        </w:tabs>
        <w:snapToGrid w:val="0"/>
        <w:spacing w:line="360" w:lineRule="auto"/>
        <w:rPr>
          <w:rFonts w:ascii="宋体" w:hAnsi="宋体" w:cs="宋体"/>
          <w:color w:val="auto"/>
          <w:sz w:val="24"/>
          <w:szCs w:val="24"/>
          <w:highlight w:val="none"/>
        </w:rPr>
      </w:pPr>
    </w:p>
    <w:p>
      <w:pPr>
        <w:pStyle w:val="5"/>
        <w:spacing w:after="0" w:line="360" w:lineRule="auto"/>
        <w:ind w:left="-2" w:leftChars="-1" w:firstLine="350" w:firstLineChars="175"/>
        <w:jc w:val="left"/>
        <w:rPr>
          <w:rFonts w:ascii="宋体" w:hAnsi="宋体" w:cs="宋体"/>
          <w:color w:val="auto"/>
          <w:szCs w:val="21"/>
          <w:highlight w:val="none"/>
        </w:rPr>
      </w:pPr>
      <w:r>
        <w:rPr>
          <w:rFonts w:hint="eastAsia" w:ascii="宋体" w:hAnsi="宋体" w:cs="宋体"/>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8"/>
        <w:ind w:firstLine="350"/>
        <w:rPr>
          <w:color w:val="auto"/>
          <w:highlight w:val="none"/>
        </w:rPr>
      </w:pPr>
    </w:p>
    <w:p>
      <w:pPr>
        <w:ind w:firstLine="350"/>
        <w:rPr>
          <w:rFonts w:cs="Calibri"/>
          <w:color w:val="auto"/>
          <w:highlight w:val="none"/>
        </w:rPr>
      </w:pPr>
    </w:p>
    <w:bookmarkEnd w:id="59"/>
    <w:p>
      <w:pPr>
        <w:autoSpaceDE w:val="0"/>
        <w:autoSpaceDN w:val="0"/>
        <w:adjustRightInd w:val="0"/>
        <w:rPr>
          <w:rFonts w:ascii="宋体" w:hAnsi="宋体" w:cs="宋体"/>
          <w:b/>
          <w:bCs/>
          <w:color w:val="auto"/>
          <w:sz w:val="24"/>
          <w:szCs w:val="24"/>
          <w:highlight w:val="none"/>
        </w:rPr>
      </w:pPr>
      <w:r>
        <w:rPr>
          <w:rFonts w:hint="eastAsia" w:ascii="宋体" w:hAnsi="宋体" w:cs="宋体"/>
          <w:b/>
          <w:bCs/>
          <w:color w:val="auto"/>
          <w:sz w:val="24"/>
          <w:szCs w:val="24"/>
          <w:highlight w:val="none"/>
        </w:rPr>
        <w:t>格式三</w:t>
      </w:r>
    </w:p>
    <w:p>
      <w:pPr>
        <w:pStyle w:val="5"/>
        <w:spacing w:after="0" w:line="360" w:lineRule="auto"/>
        <w:ind w:firstLine="0"/>
        <w:jc w:val="center"/>
        <w:rPr>
          <w:rFonts w:ascii="宋体" w:hAnsi="宋体" w:cs="宋体"/>
          <w:color w:val="auto"/>
          <w:sz w:val="32"/>
          <w:szCs w:val="32"/>
          <w:highlight w:val="none"/>
        </w:rPr>
      </w:pPr>
      <w:r>
        <w:rPr>
          <w:rFonts w:hint="eastAsia" w:ascii="宋体" w:hAnsi="宋体" w:cs="宋体"/>
          <w:b/>
          <w:color w:val="auto"/>
          <w:sz w:val="32"/>
          <w:szCs w:val="32"/>
          <w:highlight w:val="none"/>
        </w:rPr>
        <w:t>对投标文件编制的承诺</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 附件：《投标文件编制情况》</w:t>
      </w:r>
    </w:p>
    <w:p>
      <w:pPr>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p>
    <w:p>
      <w:pPr>
        <w:spacing w:line="360" w:lineRule="auto"/>
        <w:ind w:firstLine="2160" w:firstLineChars="9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p>
    <w:p>
      <w:pPr>
        <w:spacing w:line="360" w:lineRule="auto"/>
        <w:ind w:firstLine="4440" w:firstLineChars="18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日期：      年   月   日 </w:t>
      </w:r>
    </w:p>
    <w:p>
      <w:pPr>
        <w:pStyle w:val="5"/>
        <w:spacing w:after="0" w:line="360" w:lineRule="auto"/>
        <w:ind w:firstLine="0"/>
        <w:rPr>
          <w:rFonts w:ascii="宋体" w:hAnsi="宋体" w:cs="宋体"/>
          <w:b/>
          <w:color w:val="auto"/>
          <w:sz w:val="32"/>
          <w:szCs w:val="32"/>
          <w:highlight w:val="none"/>
        </w:rPr>
      </w:pPr>
    </w:p>
    <w:p>
      <w:pPr>
        <w:pStyle w:val="5"/>
        <w:spacing w:after="0" w:line="360" w:lineRule="auto"/>
        <w:ind w:firstLine="643" w:firstLineChars="200"/>
        <w:jc w:val="center"/>
        <w:rPr>
          <w:rFonts w:ascii="宋体" w:hAnsi="宋体" w:cs="宋体"/>
          <w:color w:val="auto"/>
          <w:sz w:val="18"/>
          <w:szCs w:val="18"/>
          <w:highlight w:val="none"/>
        </w:rPr>
      </w:pPr>
      <w:r>
        <w:rPr>
          <w:rFonts w:hint="eastAsia" w:ascii="宋体" w:hAnsi="宋体" w:cs="宋体"/>
          <w:b/>
          <w:color w:val="auto"/>
          <w:sz w:val="32"/>
          <w:szCs w:val="32"/>
          <w:highlight w:val="none"/>
        </w:rPr>
        <w:t>投标文件编制情况</w:t>
      </w:r>
    </w:p>
    <w:p>
      <w:pPr>
        <w:pStyle w:val="5"/>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20"/>
        <w:tblW w:w="0" w:type="auto"/>
        <w:tblInd w:w="108" w:type="dxa"/>
        <w:tblLayout w:type="fixed"/>
        <w:tblCellMar>
          <w:top w:w="0" w:type="dxa"/>
          <w:left w:w="108" w:type="dxa"/>
          <w:bottom w:w="0" w:type="dxa"/>
          <w:right w:w="108" w:type="dxa"/>
        </w:tblCellMar>
      </w:tblPr>
      <w:tblGrid>
        <w:gridCol w:w="8461"/>
      </w:tblGrid>
      <w:tr>
        <w:tblPrEx>
          <w:tblCellMar>
            <w:top w:w="0" w:type="dxa"/>
            <w:left w:w="108" w:type="dxa"/>
            <w:bottom w:w="0" w:type="dxa"/>
            <w:right w:w="108" w:type="dxa"/>
          </w:tblCellMar>
        </w:tblPrEx>
        <w:trPr>
          <w:trHeight w:val="2819" w:hRule="atLeast"/>
        </w:trPr>
        <w:tc>
          <w:tcPr>
            <w:tcW w:w="8461" w:type="dxa"/>
            <w:noWrap/>
          </w:tcPr>
          <w:p>
            <w:pPr>
              <w:pStyle w:val="5"/>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投标文件加密打包的电脑     自有    □      外包    □     其他    □</w:t>
            </w:r>
          </w:p>
          <w:p>
            <w:pPr>
              <w:pStyle w:val="5"/>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电脑类型</w:t>
            </w:r>
          </w:p>
          <w:p>
            <w:pPr>
              <w:pStyle w:val="5"/>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电脑所属单位</w:t>
            </w:r>
          </w:p>
          <w:p>
            <w:pPr>
              <w:pStyle w:val="5"/>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电脑所在地址        （如××市××区(县) ××街（路）××号××大厦××房）</w:t>
            </w:r>
          </w:p>
        </w:tc>
      </w:tr>
    </w:tbl>
    <w:p>
      <w:pPr>
        <w:autoSpaceDE w:val="0"/>
        <w:autoSpaceDN w:val="0"/>
        <w:adjustRightInd w:val="0"/>
        <w:rPr>
          <w:rFonts w:ascii="宋体"/>
          <w:b/>
          <w:color w:val="auto"/>
          <w:sz w:val="24"/>
          <w:szCs w:val="24"/>
          <w:highlight w:val="none"/>
        </w:rPr>
      </w:pPr>
      <w:bookmarkStart w:id="60" w:name="_Toc7101"/>
      <w:bookmarkStart w:id="61" w:name="_Toc100770815"/>
      <w:bookmarkStart w:id="62" w:name="_Toc243833744"/>
      <w:bookmarkStart w:id="63" w:name="_Toc8203404"/>
      <w:bookmarkStart w:id="64" w:name="_Toc13854"/>
    </w:p>
    <w:p>
      <w:pPr>
        <w:autoSpaceDE w:val="0"/>
        <w:autoSpaceDN w:val="0"/>
        <w:adjustRightInd w:val="0"/>
        <w:rPr>
          <w:rFonts w:ascii="宋体"/>
          <w:b/>
          <w:color w:val="auto"/>
          <w:sz w:val="24"/>
          <w:szCs w:val="24"/>
          <w:highlight w:val="none"/>
        </w:rPr>
      </w:pPr>
    </w:p>
    <w:p>
      <w:pPr>
        <w:autoSpaceDE w:val="0"/>
        <w:autoSpaceDN w:val="0"/>
        <w:adjustRightInd w:val="0"/>
        <w:rPr>
          <w:rFonts w:ascii="宋体"/>
          <w:b/>
          <w:color w:val="auto"/>
          <w:sz w:val="24"/>
          <w:szCs w:val="24"/>
          <w:highlight w:val="none"/>
        </w:rPr>
      </w:pPr>
    </w:p>
    <w:p>
      <w:pPr>
        <w:autoSpaceDE w:val="0"/>
        <w:autoSpaceDN w:val="0"/>
        <w:adjustRightInd w:val="0"/>
        <w:rPr>
          <w:rFonts w:ascii="宋体"/>
          <w:b/>
          <w:color w:val="auto"/>
          <w:sz w:val="24"/>
          <w:szCs w:val="24"/>
          <w:highlight w:val="none"/>
        </w:rPr>
      </w:pPr>
      <w:r>
        <w:rPr>
          <w:rFonts w:hint="eastAsia" w:ascii="宋体"/>
          <w:b/>
          <w:color w:val="auto"/>
          <w:sz w:val="24"/>
          <w:szCs w:val="24"/>
          <w:highlight w:val="none"/>
        </w:rPr>
        <w:t>格式四（参考格式）</w:t>
      </w:r>
    </w:p>
    <w:p>
      <w:pPr>
        <w:pStyle w:val="25"/>
        <w:ind w:firstLine="2738" w:firstLineChars="1100"/>
        <w:rPr>
          <w:b/>
          <w:color w:val="auto"/>
          <w:highlight w:val="none"/>
        </w:rPr>
      </w:pPr>
      <w:r>
        <w:rPr>
          <w:rFonts w:hint="eastAsia"/>
          <w:b/>
          <w:color w:val="auto"/>
          <w:highlight w:val="none"/>
        </w:rPr>
        <w:t>法定代表人身份证明书</w:t>
      </w:r>
      <w:bookmarkEnd w:id="60"/>
      <w:bookmarkEnd w:id="61"/>
      <w:bookmarkEnd w:id="62"/>
      <w:bookmarkEnd w:id="63"/>
      <w:bookmarkEnd w:id="64"/>
    </w:p>
    <w:p>
      <w:pPr>
        <w:pStyle w:val="25"/>
        <w:ind w:firstLine="480"/>
        <w:jc w:val="right"/>
        <w:rPr>
          <w:rFonts w:ascii="宋体" w:hAnsi="宋体"/>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-440055</wp:posOffset>
                </wp:positionH>
                <wp:positionV relativeFrom="paragraph">
                  <wp:posOffset>285115</wp:posOffset>
                </wp:positionV>
                <wp:extent cx="5861685" cy="2687320"/>
                <wp:effectExtent l="4445" t="4445" r="20320" b="13335"/>
                <wp:wrapNone/>
                <wp:docPr id="8" name="文本框 8"/>
                <wp:cNvGraphicFramePr/>
                <a:graphic xmlns:a="http://schemas.openxmlformats.org/drawingml/2006/main">
                  <a:graphicData uri="http://schemas.microsoft.com/office/word/2010/wordprocessingShape">
                    <wps:wsp>
                      <wps:cNvSpPr txBox="1"/>
                      <wps:spPr>
                        <a:xfrm>
                          <a:off x="0" y="0"/>
                          <a:ext cx="5800725"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Lines="50"/>
                              <w:rPr>
                                <w:rFonts w:ascii="宋体" w:hAnsi="宋体" w:cs="宋体"/>
                                <w:sz w:val="28"/>
                                <w:szCs w:val="28"/>
                              </w:rPr>
                            </w:pPr>
                            <w:r>
                              <w:rPr>
                                <w:rFonts w:hint="eastAsia"/>
                                <w:sz w:val="28"/>
                                <w:szCs w:val="28"/>
                              </w:rPr>
                              <w:t>　　</w:t>
                            </w:r>
                            <w:r>
                              <w:rPr>
                                <w:rFonts w:hint="eastAsia" w:ascii="宋体" w:hAnsi="宋体" w:cs="宋体"/>
                                <w:sz w:val="28"/>
                                <w:szCs w:val="28"/>
                                <w:u w:val="single"/>
                              </w:rPr>
                              <w:t>　　　　　　</w:t>
                            </w:r>
                            <w:r>
                              <w:rPr>
                                <w:rFonts w:hint="eastAsia" w:ascii="宋体" w:hAnsi="宋体" w:cs="宋体"/>
                                <w:sz w:val="28"/>
                                <w:szCs w:val="28"/>
                              </w:rPr>
                              <w:t>现任我单位</w:t>
                            </w:r>
                            <w:r>
                              <w:rPr>
                                <w:rFonts w:hint="eastAsia" w:ascii="宋体" w:hAnsi="宋体" w:cs="宋体"/>
                                <w:sz w:val="28"/>
                                <w:szCs w:val="28"/>
                                <w:u w:val="single"/>
                              </w:rPr>
                              <w:t>　　　　　</w:t>
                            </w:r>
                            <w:r>
                              <w:rPr>
                                <w:rFonts w:hint="eastAsia" w:ascii="宋体" w:hAnsi="宋体" w:cs="宋体"/>
                                <w:sz w:val="28"/>
                                <w:szCs w:val="28"/>
                              </w:rPr>
                              <w:t>职务，为法定代表人（负责人），</w:t>
                            </w:r>
                          </w:p>
                          <w:p>
                            <w:pPr>
                              <w:snapToGrid w:val="0"/>
                              <w:spacing w:line="480" w:lineRule="atLeast"/>
                              <w:rPr>
                                <w:rFonts w:ascii="宋体" w:hAnsi="宋体" w:cs="宋体"/>
                                <w:sz w:val="28"/>
                                <w:szCs w:val="28"/>
                              </w:rPr>
                            </w:pPr>
                            <w:r>
                              <w:rPr>
                                <w:rFonts w:hint="eastAsia" w:ascii="宋体" w:hAnsi="宋体" w:cs="宋体"/>
                                <w:sz w:val="28"/>
                                <w:szCs w:val="28"/>
                              </w:rPr>
                              <w:t>特此证明。</w:t>
                            </w:r>
                          </w:p>
                          <w:p>
                            <w:pPr>
                              <w:snapToGrid w:val="0"/>
                              <w:spacing w:line="480" w:lineRule="atLeast"/>
                              <w:rPr>
                                <w:rFonts w:ascii="宋体" w:hAnsi="宋体" w:cs="宋体"/>
                                <w:sz w:val="28"/>
                                <w:szCs w:val="28"/>
                                <w:u w:val="single"/>
                              </w:rPr>
                            </w:pPr>
                            <w:r>
                              <w:rPr>
                                <w:rFonts w:hint="eastAsia" w:ascii="宋体" w:hAnsi="宋体" w:cs="宋体"/>
                                <w:sz w:val="28"/>
                                <w:szCs w:val="28"/>
                              </w:rPr>
                              <w:t>有效期限：</w:t>
                            </w:r>
                          </w:p>
                          <w:p>
                            <w:pPr>
                              <w:snapToGrid w:val="0"/>
                              <w:spacing w:line="480" w:lineRule="atLeast"/>
                              <w:rPr>
                                <w:rFonts w:ascii="宋体" w:hAnsi="宋体" w:cs="宋体"/>
                                <w:sz w:val="28"/>
                                <w:szCs w:val="28"/>
                                <w:u w:val="single"/>
                              </w:rPr>
                            </w:pPr>
                            <w:r>
                              <w:rPr>
                                <w:rFonts w:hint="eastAsia" w:ascii="宋体" w:hAnsi="宋体" w:cs="宋体"/>
                                <w:sz w:val="28"/>
                                <w:szCs w:val="28"/>
                              </w:rPr>
                              <w:t>附：法定代表人（负责人）性别：</w:t>
                            </w:r>
                            <w:r>
                              <w:rPr>
                                <w:rFonts w:hint="eastAsia" w:ascii="宋体" w:hAnsi="宋体" w:cs="宋体"/>
                                <w:sz w:val="28"/>
                                <w:szCs w:val="28"/>
                                <w:u w:val="single"/>
                              </w:rPr>
                              <w:t>　　</w:t>
                            </w:r>
                            <w:r>
                              <w:rPr>
                                <w:rFonts w:hint="eastAsia" w:ascii="宋体" w:hAnsi="宋体" w:cs="宋体"/>
                                <w:sz w:val="28"/>
                                <w:szCs w:val="28"/>
                              </w:rPr>
                              <w:t>年龄：</w:t>
                            </w:r>
                            <w:r>
                              <w:rPr>
                                <w:rFonts w:hint="eastAsia" w:ascii="宋体" w:hAnsi="宋体" w:cs="宋体"/>
                                <w:sz w:val="28"/>
                                <w:szCs w:val="28"/>
                                <w:u w:val="single"/>
                              </w:rPr>
                              <w:t>　　</w:t>
                            </w:r>
                            <w:r>
                              <w:rPr>
                                <w:rFonts w:hint="eastAsia" w:ascii="宋体" w:hAnsi="宋体" w:cs="宋体"/>
                                <w:sz w:val="28"/>
                                <w:szCs w:val="28"/>
                              </w:rPr>
                              <w:t>身份证号码：</w:t>
                            </w:r>
                          </w:p>
                          <w:p>
                            <w:pPr>
                              <w:snapToGrid w:val="0"/>
                              <w:spacing w:line="480" w:lineRule="atLeast"/>
                              <w:ind w:firstLine="570"/>
                              <w:rPr>
                                <w:rFonts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w:t>
                            </w:r>
                            <w:r>
                              <w:rPr>
                                <w:rFonts w:hint="eastAsia" w:ascii="宋体" w:hAnsi="宋体" w:cs="宋体"/>
                                <w:sz w:val="28"/>
                                <w:szCs w:val="28"/>
                              </w:rPr>
                              <w:t>企业类型：</w:t>
                            </w:r>
                          </w:p>
                          <w:p>
                            <w:pPr>
                              <w:snapToGrid w:val="0"/>
                              <w:spacing w:line="480" w:lineRule="atLeast"/>
                              <w:ind w:firstLine="570"/>
                              <w:rPr>
                                <w:rFonts w:ascii="宋体" w:hAnsi="宋体" w:cs="宋体"/>
                                <w:sz w:val="28"/>
                                <w:szCs w:val="28"/>
                                <w:u w:val="single"/>
                              </w:rPr>
                            </w:pPr>
                            <w:r>
                              <w:rPr>
                                <w:rFonts w:hint="eastAsia" w:ascii="宋体" w:hAnsi="宋体" w:cs="宋体"/>
                                <w:sz w:val="28"/>
                                <w:szCs w:val="28"/>
                              </w:rPr>
                              <w:t>经营范围：</w:t>
                            </w:r>
                          </w:p>
                          <w:p>
                            <w:pPr>
                              <w:snapToGrid w:val="0"/>
                              <w:spacing w:line="480" w:lineRule="atLeast"/>
                              <w:ind w:firstLine="570"/>
                              <w:rPr>
                                <w:rFonts w:ascii="宋体" w:hAnsi="宋体" w:cs="宋体"/>
                                <w:sz w:val="28"/>
                                <w:szCs w:val="28"/>
                              </w:rPr>
                            </w:pPr>
                            <w:r>
                              <w:rPr>
                                <w:rFonts w:hint="eastAsia" w:ascii="宋体" w:hAnsi="宋体" w:cs="宋体"/>
                                <w:sz w:val="28"/>
                                <w:szCs w:val="28"/>
                              </w:rPr>
                              <w:t>　　　　　　　　　　　　　　　　单位：</w:t>
                            </w:r>
                            <w:r>
                              <w:rPr>
                                <w:rFonts w:hint="eastAsia" w:ascii="宋体" w:hAnsi="宋体" w:cs="宋体"/>
                                <w:sz w:val="28"/>
                                <w:szCs w:val="28"/>
                                <w:u w:val="single"/>
                              </w:rPr>
                              <w:t>　　    　</w:t>
                            </w:r>
                            <w:r>
                              <w:rPr>
                                <w:rFonts w:hint="eastAsia" w:ascii="宋体" w:hAnsi="宋体" w:cs="宋体"/>
                                <w:sz w:val="28"/>
                                <w:szCs w:val="28"/>
                              </w:rPr>
                              <w:t>（盖章）</w:t>
                            </w:r>
                          </w:p>
                          <w:p>
                            <w:pPr>
                              <w:snapToGrid w:val="0"/>
                              <w:spacing w:after="100" w:afterAutospacing="1" w:line="480" w:lineRule="atLeast"/>
                              <w:ind w:firstLine="573"/>
                              <w:rPr>
                                <w:rFonts w:ascii="宋体" w:hAnsi="宋体" w:cs="宋体"/>
                                <w:sz w:val="28"/>
                                <w:szCs w:val="28"/>
                              </w:rPr>
                            </w:pPr>
                            <w:r>
                              <w:rPr>
                                <w:rFonts w:hint="eastAsia" w:ascii="宋体" w:hAnsi="宋体" w:cs="宋体"/>
                                <w:sz w:val="28"/>
                                <w:szCs w:val="28"/>
                              </w:rPr>
                              <w:t>　　　　　　　　　　　　　　　　　　　　　    年　月　　日</w:t>
                            </w:r>
                          </w:p>
                        </w:txbxContent>
                      </wps:txbx>
                      <wps:bodyPr upright="1"/>
                    </wps:wsp>
                  </a:graphicData>
                </a:graphic>
              </wp:anchor>
            </w:drawing>
          </mc:Choice>
          <mc:Fallback>
            <w:pict>
              <v:shape id="_x0000_s1026" o:spid="_x0000_s1026" o:spt="202" type="#_x0000_t202" style="position:absolute;left:0pt;margin-left:-34.65pt;margin-top:22.45pt;height:211.6pt;width:461.55pt;z-index:251661312;mso-width-relative:page;mso-height-relative:page;" fillcolor="#FFFFFF" filled="t" stroked="t" coordsize="21600,21600" o:gfxdata="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MXH59kAAAAKAQAADwAAAAAA&#10;AAABACAAAAAiAAAAZHJzL2Rvd25yZXYueG1sUEsBAhQAFAAAAAgAh07iQN4dWfESAgAARQQAAA4A&#10;AAAAAAAAAQAgAAAAKAEAAGRycy9lMm9Eb2MueG1sUEsFBgAAAAAGAAYAWQEAAKwFAAAAAA==&#10;">
                <v:fill on="t" focussize="0,0"/>
                <v:stroke color="#000000" joinstyle="miter"/>
                <v:imagedata o:title=""/>
                <o:lock v:ext="edit" aspectratio="f"/>
                <v:textbox>
                  <w:txbxContent>
                    <w:p>
                      <w:pPr>
                        <w:spacing w:beforeLines="50"/>
                        <w:rPr>
                          <w:rFonts w:ascii="宋体" w:hAnsi="宋体" w:cs="宋体"/>
                          <w:sz w:val="28"/>
                          <w:szCs w:val="28"/>
                        </w:rPr>
                      </w:pPr>
                      <w:r>
                        <w:rPr>
                          <w:rFonts w:hint="eastAsia"/>
                          <w:sz w:val="28"/>
                          <w:szCs w:val="28"/>
                        </w:rPr>
                        <w:t>　　</w:t>
                      </w:r>
                      <w:r>
                        <w:rPr>
                          <w:rFonts w:hint="eastAsia" w:ascii="宋体" w:hAnsi="宋体" w:cs="宋体"/>
                          <w:sz w:val="28"/>
                          <w:szCs w:val="28"/>
                          <w:u w:val="single"/>
                        </w:rPr>
                        <w:t>　　　　　　</w:t>
                      </w:r>
                      <w:r>
                        <w:rPr>
                          <w:rFonts w:hint="eastAsia" w:ascii="宋体" w:hAnsi="宋体" w:cs="宋体"/>
                          <w:sz w:val="28"/>
                          <w:szCs w:val="28"/>
                        </w:rPr>
                        <w:t>现任我单位</w:t>
                      </w:r>
                      <w:r>
                        <w:rPr>
                          <w:rFonts w:hint="eastAsia" w:ascii="宋体" w:hAnsi="宋体" w:cs="宋体"/>
                          <w:sz w:val="28"/>
                          <w:szCs w:val="28"/>
                          <w:u w:val="single"/>
                        </w:rPr>
                        <w:t>　　　　　</w:t>
                      </w:r>
                      <w:r>
                        <w:rPr>
                          <w:rFonts w:hint="eastAsia" w:ascii="宋体" w:hAnsi="宋体" w:cs="宋体"/>
                          <w:sz w:val="28"/>
                          <w:szCs w:val="28"/>
                        </w:rPr>
                        <w:t>职务，为法定代表人（负责人），</w:t>
                      </w:r>
                    </w:p>
                    <w:p>
                      <w:pPr>
                        <w:snapToGrid w:val="0"/>
                        <w:spacing w:line="480" w:lineRule="atLeast"/>
                        <w:rPr>
                          <w:rFonts w:ascii="宋体" w:hAnsi="宋体" w:cs="宋体"/>
                          <w:sz w:val="28"/>
                          <w:szCs w:val="28"/>
                        </w:rPr>
                      </w:pPr>
                      <w:r>
                        <w:rPr>
                          <w:rFonts w:hint="eastAsia" w:ascii="宋体" w:hAnsi="宋体" w:cs="宋体"/>
                          <w:sz w:val="28"/>
                          <w:szCs w:val="28"/>
                        </w:rPr>
                        <w:t>特此证明。</w:t>
                      </w:r>
                    </w:p>
                    <w:p>
                      <w:pPr>
                        <w:snapToGrid w:val="0"/>
                        <w:spacing w:line="480" w:lineRule="atLeast"/>
                        <w:rPr>
                          <w:rFonts w:ascii="宋体" w:hAnsi="宋体" w:cs="宋体"/>
                          <w:sz w:val="28"/>
                          <w:szCs w:val="28"/>
                          <w:u w:val="single"/>
                        </w:rPr>
                      </w:pPr>
                      <w:r>
                        <w:rPr>
                          <w:rFonts w:hint="eastAsia" w:ascii="宋体" w:hAnsi="宋体" w:cs="宋体"/>
                          <w:sz w:val="28"/>
                          <w:szCs w:val="28"/>
                        </w:rPr>
                        <w:t>有效期限：</w:t>
                      </w:r>
                    </w:p>
                    <w:p>
                      <w:pPr>
                        <w:snapToGrid w:val="0"/>
                        <w:spacing w:line="480" w:lineRule="atLeast"/>
                        <w:rPr>
                          <w:rFonts w:ascii="宋体" w:hAnsi="宋体" w:cs="宋体"/>
                          <w:sz w:val="28"/>
                          <w:szCs w:val="28"/>
                          <w:u w:val="single"/>
                        </w:rPr>
                      </w:pPr>
                      <w:r>
                        <w:rPr>
                          <w:rFonts w:hint="eastAsia" w:ascii="宋体" w:hAnsi="宋体" w:cs="宋体"/>
                          <w:sz w:val="28"/>
                          <w:szCs w:val="28"/>
                        </w:rPr>
                        <w:t>附：法定代表人（负责人）性别：</w:t>
                      </w:r>
                      <w:r>
                        <w:rPr>
                          <w:rFonts w:hint="eastAsia" w:ascii="宋体" w:hAnsi="宋体" w:cs="宋体"/>
                          <w:sz w:val="28"/>
                          <w:szCs w:val="28"/>
                          <w:u w:val="single"/>
                        </w:rPr>
                        <w:t>　　</w:t>
                      </w:r>
                      <w:r>
                        <w:rPr>
                          <w:rFonts w:hint="eastAsia" w:ascii="宋体" w:hAnsi="宋体" w:cs="宋体"/>
                          <w:sz w:val="28"/>
                          <w:szCs w:val="28"/>
                        </w:rPr>
                        <w:t>年龄：</w:t>
                      </w:r>
                      <w:r>
                        <w:rPr>
                          <w:rFonts w:hint="eastAsia" w:ascii="宋体" w:hAnsi="宋体" w:cs="宋体"/>
                          <w:sz w:val="28"/>
                          <w:szCs w:val="28"/>
                          <w:u w:val="single"/>
                        </w:rPr>
                        <w:t>　　</w:t>
                      </w:r>
                      <w:r>
                        <w:rPr>
                          <w:rFonts w:hint="eastAsia" w:ascii="宋体" w:hAnsi="宋体" w:cs="宋体"/>
                          <w:sz w:val="28"/>
                          <w:szCs w:val="28"/>
                        </w:rPr>
                        <w:t>身份证号码：</w:t>
                      </w:r>
                    </w:p>
                    <w:p>
                      <w:pPr>
                        <w:snapToGrid w:val="0"/>
                        <w:spacing w:line="480" w:lineRule="atLeast"/>
                        <w:ind w:firstLine="570"/>
                        <w:rPr>
                          <w:rFonts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w:t>
                      </w:r>
                      <w:r>
                        <w:rPr>
                          <w:rFonts w:hint="eastAsia" w:ascii="宋体" w:hAnsi="宋体" w:cs="宋体"/>
                          <w:sz w:val="28"/>
                          <w:szCs w:val="28"/>
                        </w:rPr>
                        <w:t>企业类型：</w:t>
                      </w:r>
                    </w:p>
                    <w:p>
                      <w:pPr>
                        <w:snapToGrid w:val="0"/>
                        <w:spacing w:line="480" w:lineRule="atLeast"/>
                        <w:ind w:firstLine="570"/>
                        <w:rPr>
                          <w:rFonts w:ascii="宋体" w:hAnsi="宋体" w:cs="宋体"/>
                          <w:sz w:val="28"/>
                          <w:szCs w:val="28"/>
                          <w:u w:val="single"/>
                        </w:rPr>
                      </w:pPr>
                      <w:r>
                        <w:rPr>
                          <w:rFonts w:hint="eastAsia" w:ascii="宋体" w:hAnsi="宋体" w:cs="宋体"/>
                          <w:sz w:val="28"/>
                          <w:szCs w:val="28"/>
                        </w:rPr>
                        <w:t>经营范围：</w:t>
                      </w:r>
                    </w:p>
                    <w:p>
                      <w:pPr>
                        <w:snapToGrid w:val="0"/>
                        <w:spacing w:line="480" w:lineRule="atLeast"/>
                        <w:ind w:firstLine="570"/>
                        <w:rPr>
                          <w:rFonts w:ascii="宋体" w:hAnsi="宋体" w:cs="宋体"/>
                          <w:sz w:val="28"/>
                          <w:szCs w:val="28"/>
                        </w:rPr>
                      </w:pPr>
                      <w:r>
                        <w:rPr>
                          <w:rFonts w:hint="eastAsia" w:ascii="宋体" w:hAnsi="宋体" w:cs="宋体"/>
                          <w:sz w:val="28"/>
                          <w:szCs w:val="28"/>
                        </w:rPr>
                        <w:t>　　　　　　　　　　　　　　　　单位：</w:t>
                      </w:r>
                      <w:r>
                        <w:rPr>
                          <w:rFonts w:hint="eastAsia" w:ascii="宋体" w:hAnsi="宋体" w:cs="宋体"/>
                          <w:sz w:val="28"/>
                          <w:szCs w:val="28"/>
                          <w:u w:val="single"/>
                        </w:rPr>
                        <w:t>　　    　</w:t>
                      </w:r>
                      <w:r>
                        <w:rPr>
                          <w:rFonts w:hint="eastAsia" w:ascii="宋体" w:hAnsi="宋体" w:cs="宋体"/>
                          <w:sz w:val="28"/>
                          <w:szCs w:val="28"/>
                        </w:rPr>
                        <w:t>（盖章）</w:t>
                      </w:r>
                    </w:p>
                    <w:p>
                      <w:pPr>
                        <w:snapToGrid w:val="0"/>
                        <w:spacing w:after="100" w:afterAutospacing="1" w:line="480" w:lineRule="atLeast"/>
                        <w:ind w:firstLine="573"/>
                        <w:rPr>
                          <w:rFonts w:ascii="宋体" w:hAnsi="宋体" w:cs="宋体"/>
                          <w:sz w:val="28"/>
                          <w:szCs w:val="28"/>
                        </w:rPr>
                      </w:pPr>
                      <w:r>
                        <w:rPr>
                          <w:rFonts w:hint="eastAsia" w:ascii="宋体" w:hAnsi="宋体" w:cs="宋体"/>
                          <w:sz w:val="28"/>
                          <w:szCs w:val="28"/>
                        </w:rPr>
                        <w:t>　　　　　　　　　　　　　　　　　　　　　    年　月　　日</w:t>
                      </w:r>
                    </w:p>
                  </w:txbxContent>
                </v:textbox>
              </v:shape>
            </w:pict>
          </mc:Fallback>
        </mc:AlternateContent>
      </w:r>
    </w:p>
    <w:p>
      <w:pPr>
        <w:pStyle w:val="7"/>
        <w:rPr>
          <w:color w:val="auto"/>
          <w:highlight w:val="none"/>
        </w:rPr>
      </w:pPr>
    </w:p>
    <w:p>
      <w:pPr>
        <w:spacing w:line="360" w:lineRule="auto"/>
        <w:jc w:val="center"/>
        <w:rPr>
          <w:rFonts w:ascii="宋体" w:hAnsi="宋体"/>
          <w:color w:val="auto"/>
          <w:sz w:val="30"/>
          <w:szCs w:val="21"/>
          <w:highlight w:val="none"/>
        </w:rPr>
      </w:pPr>
    </w:p>
    <w:p>
      <w:pPr>
        <w:spacing w:line="360" w:lineRule="auto"/>
        <w:jc w:val="center"/>
        <w:rPr>
          <w:rFonts w:ascii="宋体" w:hAnsi="宋体"/>
          <w:color w:val="auto"/>
          <w:sz w:val="30"/>
          <w:szCs w:val="21"/>
          <w:highlight w:val="none"/>
        </w:rPr>
      </w:pPr>
    </w:p>
    <w:p>
      <w:pPr>
        <w:pStyle w:val="8"/>
        <w:rPr>
          <w:color w:val="auto"/>
          <w:highlight w:val="none"/>
        </w:rPr>
      </w:pPr>
    </w:p>
    <w:p>
      <w:pPr>
        <w:rPr>
          <w:color w:val="auto"/>
          <w:highlight w:val="none"/>
        </w:rPr>
      </w:pPr>
    </w:p>
    <w:p>
      <w:pPr>
        <w:pStyle w:val="8"/>
        <w:rPr>
          <w:color w:val="auto"/>
          <w:highlight w:val="none"/>
        </w:rPr>
      </w:pPr>
    </w:p>
    <w:p>
      <w:pPr>
        <w:rPr>
          <w:color w:val="auto"/>
          <w:highlight w:val="none"/>
        </w:rPr>
      </w:pPr>
    </w:p>
    <w:p>
      <w:pPr>
        <w:pStyle w:val="8"/>
        <w:rPr>
          <w:color w:val="auto"/>
          <w:highlight w:val="none"/>
        </w:rPr>
      </w:pPr>
    </w:p>
    <w:p>
      <w:pPr>
        <w:pStyle w:val="7"/>
        <w:jc w:val="both"/>
        <w:rPr>
          <w:color w:val="auto"/>
          <w:highlight w:val="none"/>
        </w:rPr>
      </w:pPr>
      <w:bookmarkStart w:id="65" w:name="_Toc8987"/>
      <w:bookmarkStart w:id="66" w:name="_Toc27051"/>
      <w:bookmarkStart w:id="67" w:name="_Toc243833745"/>
    </w:p>
    <w:p>
      <w:pPr>
        <w:pStyle w:val="25"/>
        <w:ind w:firstLine="3224" w:firstLineChars="1295"/>
        <w:rPr>
          <w:color w:val="auto"/>
          <w:highlight w:val="none"/>
        </w:rPr>
      </w:pPr>
      <w:bookmarkStart w:id="68" w:name="_Toc8203405"/>
      <w:bookmarkStart w:id="69" w:name="_Toc100770816"/>
      <w:r>
        <w:rPr>
          <w:rFonts w:hint="eastAsia"/>
          <w:b/>
          <w:bCs/>
          <w:color w:val="auto"/>
          <w:highlight w:val="none"/>
        </w:rPr>
        <w:t>授权委托证明书</w:t>
      </w:r>
      <w:bookmarkEnd w:id="65"/>
      <w:bookmarkEnd w:id="66"/>
      <w:bookmarkEnd w:id="67"/>
      <w:bookmarkEnd w:id="68"/>
      <w:bookmarkEnd w:id="69"/>
    </w:p>
    <w:p>
      <w:pPr>
        <w:pStyle w:val="25"/>
        <w:ind w:firstLine="480"/>
        <w:jc w:val="right"/>
        <w:rPr>
          <w:rFonts w:ascii="宋体" w:hAnsi="宋体"/>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-511175</wp:posOffset>
                </wp:positionH>
                <wp:positionV relativeFrom="paragraph">
                  <wp:posOffset>207010</wp:posOffset>
                </wp:positionV>
                <wp:extent cx="5932805" cy="3592830"/>
                <wp:effectExtent l="4445" t="4445" r="6350" b="22225"/>
                <wp:wrapNone/>
                <wp:docPr id="9" name="文本框 9"/>
                <wp:cNvGraphicFramePr/>
                <a:graphic xmlns:a="http://schemas.openxmlformats.org/drawingml/2006/main">
                  <a:graphicData uri="http://schemas.microsoft.com/office/word/2010/wordprocessingShape">
                    <wps:wsp>
                      <wps:cNvSpPr txBox="1"/>
                      <wps:spPr>
                        <a:xfrm>
                          <a:off x="0" y="0"/>
                          <a:ext cx="5829300" cy="323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Lines="50"/>
                              <w:ind w:firstLine="560" w:firstLineChars="200"/>
                              <w:rPr>
                                <w:rFonts w:ascii="宋体" w:hAnsi="宋体" w:cs="宋体"/>
                                <w:sz w:val="28"/>
                                <w:szCs w:val="28"/>
                                <w:u w:val="single"/>
                              </w:rPr>
                            </w:pPr>
                            <w:r>
                              <w:rPr>
                                <w:rFonts w:hint="eastAsia" w:ascii="宋体" w:hAnsi="宋体" w:cs="宋体"/>
                                <w:sz w:val="28"/>
                                <w:szCs w:val="28"/>
                              </w:rPr>
                              <w:t>兹授权为我方委托代理人，其权限是：</w:t>
                            </w:r>
                          </w:p>
                          <w:p>
                            <w:pPr>
                              <w:spacing w:beforeLines="50"/>
                              <w:rPr>
                                <w:rFonts w:ascii="宋体" w:hAnsi="宋体" w:cs="宋体"/>
                                <w:sz w:val="28"/>
                                <w:szCs w:val="28"/>
                                <w:u w:val="single"/>
                              </w:rPr>
                            </w:pPr>
                          </w:p>
                          <w:p>
                            <w:pPr>
                              <w:spacing w:beforeLines="50"/>
                              <w:rPr>
                                <w:rFonts w:ascii="宋体" w:hAnsi="宋体" w:cs="宋体"/>
                                <w:sz w:val="28"/>
                                <w:szCs w:val="28"/>
                                <w:u w:val="single"/>
                              </w:rPr>
                            </w:pPr>
                            <w:r>
                              <w:rPr>
                                <w:rFonts w:hint="eastAsia" w:ascii="宋体" w:hAnsi="宋体" w:cs="宋体"/>
                                <w:sz w:val="28"/>
                                <w:szCs w:val="28"/>
                              </w:rPr>
                              <w:t>有效期限：</w:t>
                            </w:r>
                          </w:p>
                          <w:p>
                            <w:pPr>
                              <w:snapToGrid w:val="0"/>
                              <w:spacing w:line="480" w:lineRule="exact"/>
                              <w:rPr>
                                <w:rFonts w:ascii="宋体" w:hAnsi="宋体" w:cs="宋体"/>
                                <w:sz w:val="28"/>
                                <w:szCs w:val="28"/>
                                <w:u w:val="single"/>
                              </w:rPr>
                            </w:pPr>
                            <w:r>
                              <w:rPr>
                                <w:rFonts w:hint="eastAsia" w:ascii="宋体" w:hAnsi="宋体" w:cs="宋体"/>
                                <w:sz w:val="28"/>
                                <w:szCs w:val="28"/>
                              </w:rPr>
                              <w:t>附：代理人性别：年龄：身份证号码：</w:t>
                            </w:r>
                          </w:p>
                          <w:p>
                            <w:pPr>
                              <w:snapToGrid w:val="0"/>
                              <w:spacing w:line="480" w:lineRule="exact"/>
                              <w:ind w:firstLine="560" w:firstLineChars="200"/>
                              <w:rPr>
                                <w:rFonts w:ascii="宋体" w:hAnsi="宋体" w:cs="宋体"/>
                                <w:sz w:val="28"/>
                                <w:szCs w:val="28"/>
                                <w:u w:val="single"/>
                              </w:rPr>
                            </w:pPr>
                            <w:r>
                              <w:rPr>
                                <w:rFonts w:hint="eastAsia" w:ascii="宋体" w:hAnsi="宋体" w:cs="宋体"/>
                                <w:sz w:val="28"/>
                                <w:szCs w:val="28"/>
                              </w:rPr>
                              <w:t>注册号码：企业类型：</w:t>
                            </w:r>
                          </w:p>
                          <w:p>
                            <w:pPr>
                              <w:snapToGrid w:val="0"/>
                              <w:spacing w:line="480" w:lineRule="exact"/>
                              <w:ind w:firstLine="560" w:firstLineChars="200"/>
                              <w:rPr>
                                <w:rFonts w:ascii="宋体" w:hAnsi="宋体" w:cs="宋体"/>
                                <w:sz w:val="28"/>
                                <w:szCs w:val="28"/>
                                <w:u w:val="single"/>
                              </w:rPr>
                            </w:pPr>
                            <w:r>
                              <w:rPr>
                                <w:rFonts w:hint="eastAsia" w:ascii="宋体" w:hAnsi="宋体" w:cs="宋体"/>
                                <w:sz w:val="28"/>
                                <w:szCs w:val="28"/>
                              </w:rPr>
                              <w:t>经营范围：</w:t>
                            </w:r>
                          </w:p>
                          <w:p>
                            <w:pPr>
                              <w:snapToGrid w:val="0"/>
                              <w:spacing w:line="480" w:lineRule="exact"/>
                              <w:ind w:firstLine="560" w:firstLineChars="200"/>
                              <w:rPr>
                                <w:rFonts w:ascii="宋体" w:hAnsi="宋体" w:cs="宋体"/>
                                <w:sz w:val="28"/>
                                <w:szCs w:val="28"/>
                              </w:rPr>
                            </w:pPr>
                            <w:r>
                              <w:rPr>
                                <w:rFonts w:hint="eastAsia" w:ascii="宋体" w:hAnsi="宋体" w:cs="宋体"/>
                                <w:sz w:val="28"/>
                                <w:szCs w:val="28"/>
                              </w:rPr>
                              <w:t>法定代表人（负责人）：（签名）</w:t>
                            </w:r>
                          </w:p>
                          <w:p>
                            <w:pPr>
                              <w:snapToGrid w:val="0"/>
                              <w:spacing w:line="480" w:lineRule="exact"/>
                              <w:ind w:firstLine="560" w:firstLineChars="200"/>
                              <w:rPr>
                                <w:rFonts w:ascii="宋体" w:hAnsi="宋体" w:cs="宋体"/>
                                <w:sz w:val="28"/>
                                <w:szCs w:val="28"/>
                                <w:u w:val="single"/>
                              </w:rPr>
                            </w:pPr>
                            <w:r>
                              <w:rPr>
                                <w:rFonts w:hint="eastAsia" w:ascii="宋体" w:hAnsi="宋体" w:cs="宋体"/>
                                <w:sz w:val="28"/>
                                <w:szCs w:val="28"/>
                              </w:rPr>
                              <w:t>授权单位：（盖章）</w:t>
                            </w:r>
                          </w:p>
                          <w:p>
                            <w:pPr>
                              <w:ind w:firstLine="7000" w:firstLineChars="2500"/>
                            </w:pPr>
                            <w:r>
                              <w:rPr>
                                <w:rFonts w:hint="eastAsia"/>
                                <w:sz w:val="28"/>
                                <w:szCs w:val="28"/>
                              </w:rPr>
                              <w:t>年月日</w:t>
                            </w:r>
                          </w:p>
                        </w:txbxContent>
                      </wps:txbx>
                      <wps:bodyPr upright="1"/>
                    </wps:wsp>
                  </a:graphicData>
                </a:graphic>
              </wp:anchor>
            </w:drawing>
          </mc:Choice>
          <mc:Fallback>
            <w:pict>
              <v:shape id="_x0000_s1026" o:spid="_x0000_s1026" o:spt="202" type="#_x0000_t202" style="position:absolute;left:0pt;margin-left:-40.25pt;margin-top:16.3pt;height:282.9pt;width:467.15pt;z-index:251659264;mso-width-relative:page;mso-height-relative:page;" fillcolor="#FFFFFF" filled="t" stroked="t" coordsize="21600,21600" o:gfxdata="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OPRtraAAAACgEAAA8AAAAA&#10;AAAAAQAgAAAAIgAAAGRycy9kb3ducmV2LnhtbFBLAQIUABQAAAAIAIdO4kCPCFC+EgIAAEUEAAAO&#10;AAAAAAAAAAEAIAAAACkBAABkcnMvZTJvRG9jLnhtbFBLBQYAAAAABgAGAFkBAACtBQAAAAA=&#10;">
                <v:fill on="t" focussize="0,0"/>
                <v:stroke color="#000000" joinstyle="miter"/>
                <v:imagedata o:title=""/>
                <o:lock v:ext="edit" aspectratio="f"/>
                <v:textbox>
                  <w:txbxContent>
                    <w:p>
                      <w:pPr>
                        <w:spacing w:beforeLines="50"/>
                        <w:ind w:firstLine="560" w:firstLineChars="200"/>
                        <w:rPr>
                          <w:rFonts w:ascii="宋体" w:hAnsi="宋体" w:cs="宋体"/>
                          <w:sz w:val="28"/>
                          <w:szCs w:val="28"/>
                          <w:u w:val="single"/>
                        </w:rPr>
                      </w:pPr>
                      <w:r>
                        <w:rPr>
                          <w:rFonts w:hint="eastAsia" w:ascii="宋体" w:hAnsi="宋体" w:cs="宋体"/>
                          <w:sz w:val="28"/>
                          <w:szCs w:val="28"/>
                        </w:rPr>
                        <w:t>兹授权为我方委托代理人，其权限是：</w:t>
                      </w:r>
                    </w:p>
                    <w:p>
                      <w:pPr>
                        <w:spacing w:beforeLines="50"/>
                        <w:rPr>
                          <w:rFonts w:ascii="宋体" w:hAnsi="宋体" w:cs="宋体"/>
                          <w:sz w:val="28"/>
                          <w:szCs w:val="28"/>
                          <w:u w:val="single"/>
                        </w:rPr>
                      </w:pPr>
                    </w:p>
                    <w:p>
                      <w:pPr>
                        <w:spacing w:beforeLines="50"/>
                        <w:rPr>
                          <w:rFonts w:ascii="宋体" w:hAnsi="宋体" w:cs="宋体"/>
                          <w:sz w:val="28"/>
                          <w:szCs w:val="28"/>
                          <w:u w:val="single"/>
                        </w:rPr>
                      </w:pPr>
                      <w:r>
                        <w:rPr>
                          <w:rFonts w:hint="eastAsia" w:ascii="宋体" w:hAnsi="宋体" w:cs="宋体"/>
                          <w:sz w:val="28"/>
                          <w:szCs w:val="28"/>
                        </w:rPr>
                        <w:t>有效期限：</w:t>
                      </w:r>
                    </w:p>
                    <w:p>
                      <w:pPr>
                        <w:snapToGrid w:val="0"/>
                        <w:spacing w:line="480" w:lineRule="exact"/>
                        <w:rPr>
                          <w:rFonts w:ascii="宋体" w:hAnsi="宋体" w:cs="宋体"/>
                          <w:sz w:val="28"/>
                          <w:szCs w:val="28"/>
                          <w:u w:val="single"/>
                        </w:rPr>
                      </w:pPr>
                      <w:r>
                        <w:rPr>
                          <w:rFonts w:hint="eastAsia" w:ascii="宋体" w:hAnsi="宋体" w:cs="宋体"/>
                          <w:sz w:val="28"/>
                          <w:szCs w:val="28"/>
                        </w:rPr>
                        <w:t>附：代理人性别：年龄：身份证号码：</w:t>
                      </w:r>
                    </w:p>
                    <w:p>
                      <w:pPr>
                        <w:snapToGrid w:val="0"/>
                        <w:spacing w:line="480" w:lineRule="exact"/>
                        <w:ind w:firstLine="560" w:firstLineChars="200"/>
                        <w:rPr>
                          <w:rFonts w:ascii="宋体" w:hAnsi="宋体" w:cs="宋体"/>
                          <w:sz w:val="28"/>
                          <w:szCs w:val="28"/>
                          <w:u w:val="single"/>
                        </w:rPr>
                      </w:pPr>
                      <w:r>
                        <w:rPr>
                          <w:rFonts w:hint="eastAsia" w:ascii="宋体" w:hAnsi="宋体" w:cs="宋体"/>
                          <w:sz w:val="28"/>
                          <w:szCs w:val="28"/>
                        </w:rPr>
                        <w:t>注册号码：企业类型：</w:t>
                      </w:r>
                    </w:p>
                    <w:p>
                      <w:pPr>
                        <w:snapToGrid w:val="0"/>
                        <w:spacing w:line="480" w:lineRule="exact"/>
                        <w:ind w:firstLine="560" w:firstLineChars="200"/>
                        <w:rPr>
                          <w:rFonts w:ascii="宋体" w:hAnsi="宋体" w:cs="宋体"/>
                          <w:sz w:val="28"/>
                          <w:szCs w:val="28"/>
                          <w:u w:val="single"/>
                        </w:rPr>
                      </w:pPr>
                      <w:r>
                        <w:rPr>
                          <w:rFonts w:hint="eastAsia" w:ascii="宋体" w:hAnsi="宋体" w:cs="宋体"/>
                          <w:sz w:val="28"/>
                          <w:szCs w:val="28"/>
                        </w:rPr>
                        <w:t>经营范围：</w:t>
                      </w:r>
                    </w:p>
                    <w:p>
                      <w:pPr>
                        <w:snapToGrid w:val="0"/>
                        <w:spacing w:line="480" w:lineRule="exact"/>
                        <w:ind w:firstLine="560" w:firstLineChars="200"/>
                        <w:rPr>
                          <w:rFonts w:ascii="宋体" w:hAnsi="宋体" w:cs="宋体"/>
                          <w:sz w:val="28"/>
                          <w:szCs w:val="28"/>
                        </w:rPr>
                      </w:pPr>
                      <w:r>
                        <w:rPr>
                          <w:rFonts w:hint="eastAsia" w:ascii="宋体" w:hAnsi="宋体" w:cs="宋体"/>
                          <w:sz w:val="28"/>
                          <w:szCs w:val="28"/>
                        </w:rPr>
                        <w:t>法定代表人（负责人）：（签名）</w:t>
                      </w:r>
                    </w:p>
                    <w:p>
                      <w:pPr>
                        <w:snapToGrid w:val="0"/>
                        <w:spacing w:line="480" w:lineRule="exact"/>
                        <w:ind w:firstLine="560" w:firstLineChars="200"/>
                        <w:rPr>
                          <w:rFonts w:ascii="宋体" w:hAnsi="宋体" w:cs="宋体"/>
                          <w:sz w:val="28"/>
                          <w:szCs w:val="28"/>
                          <w:u w:val="single"/>
                        </w:rPr>
                      </w:pPr>
                      <w:r>
                        <w:rPr>
                          <w:rFonts w:hint="eastAsia" w:ascii="宋体" w:hAnsi="宋体" w:cs="宋体"/>
                          <w:sz w:val="28"/>
                          <w:szCs w:val="28"/>
                        </w:rPr>
                        <w:t>授权单位：（盖章）</w:t>
                      </w:r>
                    </w:p>
                    <w:p>
                      <w:pPr>
                        <w:ind w:firstLine="7000" w:firstLineChars="2500"/>
                      </w:pPr>
                      <w:r>
                        <w:rPr>
                          <w:rFonts w:hint="eastAsia"/>
                          <w:sz w:val="28"/>
                          <w:szCs w:val="28"/>
                        </w:rPr>
                        <w:t>年月日</w:t>
                      </w:r>
                    </w:p>
                  </w:txbxContent>
                </v:textbox>
              </v:shape>
            </w:pict>
          </mc:Fallback>
        </mc:AlternateContent>
      </w:r>
    </w:p>
    <w:p>
      <w:pPr>
        <w:widowControl/>
        <w:spacing w:beforeAutospacing="1" w:afterAutospacing="1"/>
        <w:jc w:val="left"/>
        <w:rPr>
          <w:color w:val="auto"/>
          <w:highlight w:val="none"/>
        </w:rPr>
        <w:sectPr>
          <w:pgSz w:w="11906" w:h="16838"/>
          <w:pgMar w:top="1440" w:right="1800" w:bottom="1440" w:left="1800" w:header="851" w:footer="992" w:gutter="0"/>
          <w:cols w:space="720" w:num="1"/>
          <w:docGrid w:type="lines" w:linePitch="312" w:charSpace="0"/>
        </w:sectPr>
      </w:pPr>
    </w:p>
    <w:p>
      <w:pPr>
        <w:pStyle w:val="7"/>
        <w:jc w:val="left"/>
        <w:rPr>
          <w:rFonts w:ascii="宋体" w:hAnsi="宋体" w:cs="宋体"/>
          <w:color w:val="auto"/>
          <w:highlight w:val="none"/>
        </w:rPr>
      </w:pPr>
      <w:bookmarkStart w:id="70" w:name="_Toc226209008"/>
      <w:bookmarkStart w:id="71" w:name="_Toc4610208"/>
      <w:bookmarkStart w:id="72" w:name="_Toc352240528"/>
      <w:bookmarkStart w:id="73" w:name="_Toc358370583"/>
      <w:bookmarkStart w:id="74" w:name="_Toc464131229"/>
      <w:bookmarkStart w:id="75" w:name="_Toc369536775"/>
      <w:bookmarkStart w:id="76" w:name="_Toc29645"/>
      <w:bookmarkStart w:id="77" w:name="_Toc318924500"/>
      <w:bookmarkStart w:id="78" w:name="_Toc352623426"/>
      <w:bookmarkStart w:id="79" w:name="_Toc337720096"/>
      <w:bookmarkStart w:id="80" w:name="_Toc449308425"/>
      <w:bookmarkStart w:id="81" w:name="_Toc7659"/>
      <w:bookmarkStart w:id="82" w:name="_Toc163337625"/>
      <w:bookmarkStart w:id="83" w:name="_Toc395261104"/>
      <w:bookmarkStart w:id="84" w:name="_Toc239216036"/>
      <w:bookmarkStart w:id="85" w:name="_Toc239311751"/>
      <w:bookmarkStart w:id="86" w:name="_Toc127815779"/>
      <w:bookmarkStart w:id="87" w:name="_Toc130979470"/>
      <w:bookmarkStart w:id="88" w:name="_Toc130979535"/>
      <w:r>
        <w:rPr>
          <w:rFonts w:hint="eastAsia" w:ascii="宋体" w:hAnsi="宋体" w:cs="宋体"/>
          <w:color w:val="auto"/>
          <w:highlight w:val="none"/>
        </w:rPr>
        <w:t>格式五：投入主要人员汇总表</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color w:val="auto"/>
          <w:highlight w:val="none"/>
        </w:rPr>
        <w:t>（参考格式）</w:t>
      </w:r>
      <w:bookmarkEnd w:id="86"/>
      <w:bookmarkEnd w:id="87"/>
      <w:bookmarkEnd w:id="88"/>
    </w:p>
    <w:tbl>
      <w:tblPr>
        <w:tblStyle w:val="20"/>
        <w:tblW w:w="0" w:type="auto"/>
        <w:tblInd w:w="98" w:type="dxa"/>
        <w:tblLayout w:type="fixed"/>
        <w:tblCellMar>
          <w:top w:w="0" w:type="dxa"/>
          <w:left w:w="108" w:type="dxa"/>
          <w:bottom w:w="0" w:type="dxa"/>
          <w:right w:w="108" w:type="dxa"/>
        </w:tblCellMar>
      </w:tblPr>
      <w:tblGrid>
        <w:gridCol w:w="1000"/>
        <w:gridCol w:w="1562"/>
        <w:gridCol w:w="2126"/>
        <w:gridCol w:w="1701"/>
        <w:gridCol w:w="2450"/>
      </w:tblGrid>
      <w:tr>
        <w:tblPrEx>
          <w:tblCellMar>
            <w:top w:w="0" w:type="dxa"/>
            <w:left w:w="108" w:type="dxa"/>
            <w:bottom w:w="0" w:type="dxa"/>
            <w:right w:w="108" w:type="dxa"/>
          </w:tblCellMar>
        </w:tblPrEx>
        <w:trPr>
          <w:trHeight w:val="375" w:hRule="atLeast"/>
        </w:trPr>
        <w:tc>
          <w:tcPr>
            <w:tcW w:w="10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序号</w:t>
            </w:r>
          </w:p>
        </w:tc>
        <w:tc>
          <w:tcPr>
            <w:tcW w:w="156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姓名</w:t>
            </w:r>
          </w:p>
        </w:tc>
        <w:tc>
          <w:tcPr>
            <w:tcW w:w="212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岗位</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职称</w:t>
            </w:r>
          </w:p>
        </w:tc>
        <w:tc>
          <w:tcPr>
            <w:tcW w:w="24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b/>
                <w:bCs/>
                <w:color w:val="auto"/>
                <w:kern w:val="0"/>
                <w:sz w:val="24"/>
                <w:szCs w:val="24"/>
                <w:highlight w:val="none"/>
              </w:rPr>
            </w:pPr>
            <w:r>
              <w:rPr>
                <w:rFonts w:hint="eastAsia" w:ascii="仿宋" w:hAnsi="仿宋" w:eastAsia="仿宋"/>
                <w:b/>
                <w:bCs/>
                <w:color w:val="auto"/>
                <w:kern w:val="0"/>
                <w:sz w:val="24"/>
                <w:szCs w:val="24"/>
                <w:highlight w:val="none"/>
              </w:rPr>
              <w:t>职称证书或资格证书编号</w:t>
            </w:r>
          </w:p>
        </w:tc>
      </w:tr>
      <w:tr>
        <w:tblPrEx>
          <w:tblCellMar>
            <w:top w:w="0" w:type="dxa"/>
            <w:left w:w="108" w:type="dxa"/>
            <w:bottom w:w="0" w:type="dxa"/>
            <w:right w:w="108" w:type="dxa"/>
          </w:tblCellMar>
        </w:tblPrEx>
        <w:trPr>
          <w:trHeight w:val="615" w:hRule="atLeast"/>
        </w:trPr>
        <w:tc>
          <w:tcPr>
            <w:tcW w:w="10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w:t>
            </w:r>
          </w:p>
        </w:tc>
        <w:tc>
          <w:tcPr>
            <w:tcW w:w="1562"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w:t>
            </w: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项目负责人</w:t>
            </w:r>
          </w:p>
        </w:tc>
        <w:tc>
          <w:tcPr>
            <w:tcW w:w="1701" w:type="dxa"/>
            <w:tcBorders>
              <w:top w:val="single" w:color="auto" w:sz="4" w:space="0"/>
              <w:left w:val="nil"/>
              <w:bottom w:val="single" w:color="auto" w:sz="4" w:space="0"/>
              <w:right w:val="single" w:color="auto" w:sz="4" w:space="0"/>
            </w:tcBorders>
            <w:noWrap/>
            <w:vAlign w:val="center"/>
          </w:tcPr>
          <w:p>
            <w:pPr>
              <w:widowControl/>
              <w:spacing w:line="300" w:lineRule="exact"/>
              <w:jc w:val="center"/>
              <w:rPr>
                <w:rFonts w:ascii="宋体" w:hAnsi="宋体" w:cs="宋体"/>
                <w:color w:val="auto"/>
                <w:kern w:val="0"/>
                <w:sz w:val="24"/>
                <w:szCs w:val="24"/>
                <w:highlight w:val="none"/>
              </w:rPr>
            </w:pPr>
          </w:p>
        </w:tc>
        <w:tc>
          <w:tcPr>
            <w:tcW w:w="245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w:t>
            </w:r>
          </w:p>
        </w:tc>
        <w:tc>
          <w:tcPr>
            <w:tcW w:w="1562"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p>
        </w:tc>
        <w:tc>
          <w:tcPr>
            <w:tcW w:w="2126"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技术负责人</w:t>
            </w:r>
          </w:p>
        </w:tc>
        <w:tc>
          <w:tcPr>
            <w:tcW w:w="1701"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auto"/>
                <w:kern w:val="0"/>
                <w:sz w:val="24"/>
                <w:szCs w:val="24"/>
                <w:highlight w:val="none"/>
              </w:rPr>
            </w:pPr>
          </w:p>
        </w:tc>
        <w:tc>
          <w:tcPr>
            <w:tcW w:w="2450"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w:t>
            </w:r>
          </w:p>
        </w:tc>
        <w:tc>
          <w:tcPr>
            <w:tcW w:w="1562"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w:t>
            </w:r>
          </w:p>
        </w:tc>
        <w:tc>
          <w:tcPr>
            <w:tcW w:w="2126"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ascii="仿宋" w:hAnsi="仿宋" w:eastAsia="仿宋"/>
                <w:color w:val="auto"/>
                <w:kern w:val="0"/>
                <w:sz w:val="28"/>
                <w:szCs w:val="28"/>
                <w:highlight w:val="none"/>
              </w:rPr>
              <w:t>造价</w:t>
            </w:r>
            <w:r>
              <w:rPr>
                <w:rFonts w:hint="eastAsia" w:ascii="仿宋" w:hAnsi="仿宋" w:eastAsia="仿宋"/>
                <w:color w:val="auto"/>
                <w:kern w:val="0"/>
                <w:sz w:val="28"/>
                <w:szCs w:val="28"/>
                <w:highlight w:val="none"/>
              </w:rPr>
              <w:t>负责人</w:t>
            </w:r>
          </w:p>
        </w:tc>
        <w:tc>
          <w:tcPr>
            <w:tcW w:w="1701" w:type="dxa"/>
            <w:tcBorders>
              <w:top w:val="nil"/>
              <w:left w:val="nil"/>
              <w:bottom w:val="single" w:color="auto" w:sz="4" w:space="0"/>
              <w:right w:val="single" w:color="auto" w:sz="4" w:space="0"/>
            </w:tcBorders>
            <w:noWrap/>
            <w:vAlign w:val="center"/>
          </w:tcPr>
          <w:p>
            <w:pPr>
              <w:widowControl/>
              <w:spacing w:line="300" w:lineRule="exact"/>
              <w:jc w:val="center"/>
              <w:rPr>
                <w:rFonts w:ascii="宋体" w:hAnsi="宋体" w:cs="宋体"/>
                <w:color w:val="auto"/>
                <w:kern w:val="0"/>
                <w:sz w:val="24"/>
                <w:szCs w:val="24"/>
                <w:highlight w:val="none"/>
              </w:rPr>
            </w:pPr>
          </w:p>
        </w:tc>
        <w:tc>
          <w:tcPr>
            <w:tcW w:w="2450"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noWrap/>
            <w:vAlign w:val="center"/>
          </w:tcPr>
          <w:p>
            <w:pPr>
              <w:rPr>
                <w:color w:val="auto"/>
                <w:highlight w:val="none"/>
              </w:rPr>
            </w:pPr>
          </w:p>
        </w:tc>
        <w:tc>
          <w:tcPr>
            <w:tcW w:w="1562" w:type="dxa"/>
            <w:tcBorders>
              <w:top w:val="nil"/>
              <w:left w:val="nil"/>
              <w:bottom w:val="single" w:color="auto" w:sz="4" w:space="0"/>
              <w:right w:val="single" w:color="auto" w:sz="4" w:space="0"/>
            </w:tcBorders>
            <w:noWrap/>
            <w:vAlign w:val="center"/>
          </w:tcPr>
          <w:p>
            <w:pPr>
              <w:rPr>
                <w:color w:val="auto"/>
                <w:highlight w:val="none"/>
              </w:rPr>
            </w:pPr>
          </w:p>
        </w:tc>
        <w:tc>
          <w:tcPr>
            <w:tcW w:w="2126" w:type="dxa"/>
            <w:tcBorders>
              <w:top w:val="nil"/>
              <w:left w:val="nil"/>
              <w:bottom w:val="single" w:color="auto" w:sz="4" w:space="0"/>
              <w:right w:val="single" w:color="auto" w:sz="4" w:space="0"/>
            </w:tcBorders>
            <w:noWrap/>
            <w:vAlign w:val="center"/>
          </w:tcPr>
          <w:p>
            <w:pPr>
              <w:rPr>
                <w:color w:val="auto"/>
                <w:highlight w:val="none"/>
              </w:rPr>
            </w:pPr>
          </w:p>
        </w:tc>
        <w:tc>
          <w:tcPr>
            <w:tcW w:w="1701" w:type="dxa"/>
            <w:tcBorders>
              <w:top w:val="nil"/>
              <w:left w:val="nil"/>
              <w:bottom w:val="single" w:color="auto" w:sz="4" w:space="0"/>
              <w:right w:val="single" w:color="auto" w:sz="4" w:space="0"/>
            </w:tcBorders>
            <w:noWrap/>
            <w:vAlign w:val="center"/>
          </w:tcPr>
          <w:p>
            <w:pPr>
              <w:rPr>
                <w:color w:val="auto"/>
                <w:highlight w:val="none"/>
              </w:rPr>
            </w:pPr>
          </w:p>
        </w:tc>
        <w:tc>
          <w:tcPr>
            <w:tcW w:w="2450" w:type="dxa"/>
            <w:tcBorders>
              <w:top w:val="nil"/>
              <w:left w:val="nil"/>
              <w:bottom w:val="single" w:color="auto" w:sz="4" w:space="0"/>
              <w:right w:val="single" w:color="auto" w:sz="4" w:space="0"/>
            </w:tcBorders>
            <w:noWrap/>
            <w:vAlign w:val="center"/>
          </w:tcPr>
          <w:p>
            <w:pPr>
              <w:rPr>
                <w:color w:val="auto"/>
                <w:highlight w:val="none"/>
              </w:rPr>
            </w:pP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w:t>
            </w:r>
          </w:p>
        </w:tc>
        <w:tc>
          <w:tcPr>
            <w:tcW w:w="1562"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w:t>
            </w:r>
          </w:p>
        </w:tc>
        <w:tc>
          <w:tcPr>
            <w:tcW w:w="2126"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ascii="仿宋" w:hAnsi="仿宋" w:eastAsia="仿宋"/>
                <w:color w:val="auto"/>
                <w:kern w:val="0"/>
                <w:sz w:val="28"/>
                <w:szCs w:val="28"/>
                <w:highlight w:val="none"/>
              </w:rPr>
              <w:t>安全</w:t>
            </w:r>
            <w:r>
              <w:rPr>
                <w:rFonts w:hint="eastAsia" w:ascii="仿宋" w:hAnsi="仿宋" w:eastAsia="仿宋"/>
                <w:color w:val="auto"/>
                <w:kern w:val="0"/>
                <w:sz w:val="28"/>
                <w:szCs w:val="28"/>
                <w:highlight w:val="none"/>
              </w:rPr>
              <w:t>负责人</w:t>
            </w:r>
          </w:p>
        </w:tc>
        <w:tc>
          <w:tcPr>
            <w:tcW w:w="170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w:t>
            </w:r>
          </w:p>
        </w:tc>
        <w:tc>
          <w:tcPr>
            <w:tcW w:w="2450"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　</w:t>
            </w:r>
          </w:p>
        </w:tc>
        <w:tc>
          <w:tcPr>
            <w:tcW w:w="1562"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w:t>
            </w:r>
          </w:p>
        </w:tc>
        <w:tc>
          <w:tcPr>
            <w:tcW w:w="2126" w:type="dxa"/>
            <w:tcBorders>
              <w:top w:val="nil"/>
              <w:left w:val="nil"/>
              <w:bottom w:val="single" w:color="auto" w:sz="4" w:space="0"/>
              <w:right w:val="single" w:color="auto" w:sz="4" w:space="0"/>
            </w:tcBorders>
            <w:noWrap/>
            <w:vAlign w:val="center"/>
          </w:tcPr>
          <w:p>
            <w:pPr>
              <w:widowControl/>
              <w:jc w:val="center"/>
              <w:rPr>
                <w:rFonts w:ascii="仿宋" w:hAnsi="仿宋" w:eastAsia="仿宋"/>
                <w:strike/>
                <w:color w:val="auto"/>
                <w:kern w:val="0"/>
                <w:sz w:val="28"/>
                <w:szCs w:val="28"/>
                <w:highlight w:val="none"/>
              </w:rPr>
            </w:pPr>
            <w:r>
              <w:rPr>
                <w:rFonts w:hint="eastAsia" w:ascii="仿宋" w:hAnsi="仿宋" w:eastAsia="仿宋"/>
                <w:color w:val="auto"/>
                <w:kern w:val="0"/>
                <w:sz w:val="28"/>
                <w:szCs w:val="28"/>
                <w:highlight w:val="none"/>
              </w:rPr>
              <w:t>专职安全员</w:t>
            </w:r>
          </w:p>
        </w:tc>
        <w:tc>
          <w:tcPr>
            <w:tcW w:w="170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w:t>
            </w:r>
          </w:p>
        </w:tc>
        <w:tc>
          <w:tcPr>
            <w:tcW w:w="2450"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p>
        </w:tc>
        <w:tc>
          <w:tcPr>
            <w:tcW w:w="1562"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w:t>
            </w:r>
          </w:p>
        </w:tc>
        <w:tc>
          <w:tcPr>
            <w:tcW w:w="2126"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w:t>
            </w:r>
          </w:p>
        </w:tc>
        <w:tc>
          <w:tcPr>
            <w:tcW w:w="1701"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w:t>
            </w:r>
          </w:p>
        </w:tc>
        <w:tc>
          <w:tcPr>
            <w:tcW w:w="2450" w:type="dxa"/>
            <w:tcBorders>
              <w:top w:val="nil"/>
              <w:left w:val="nil"/>
              <w:bottom w:val="single" w:color="auto" w:sz="4" w:space="0"/>
              <w:right w:val="single" w:color="auto" w:sz="4" w:space="0"/>
            </w:tcBorders>
            <w:noWrap/>
            <w:vAlign w:val="center"/>
          </w:tcPr>
          <w:p>
            <w:pPr>
              <w:widowControl/>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w:t>
            </w:r>
          </w:p>
        </w:tc>
      </w:tr>
    </w:tbl>
    <w:p>
      <w:pPr>
        <w:spacing w:line="240" w:lineRule="exact"/>
        <w:rPr>
          <w:rFonts w:ascii="宋体" w:hAnsi="宋体" w:cs="宋体"/>
          <w:dstrike/>
          <w:color w:val="auto"/>
          <w:kern w:val="0"/>
          <w:sz w:val="18"/>
          <w:szCs w:val="18"/>
          <w:highlight w:val="none"/>
        </w:rPr>
      </w:pPr>
    </w:p>
    <w:p>
      <w:pPr>
        <w:widowControl/>
        <w:spacing w:line="380" w:lineRule="exact"/>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注：按技术标评分标准及说明的要求附相关证明材料。</w:t>
      </w:r>
    </w:p>
    <w:p>
      <w:pPr>
        <w:pStyle w:val="25"/>
        <w:ind w:firstLine="2726" w:firstLineChars="1450"/>
        <w:rPr>
          <w:color w:val="auto"/>
          <w:sz w:val="18"/>
          <w:szCs w:val="18"/>
          <w:highlight w:val="none"/>
        </w:rPr>
      </w:pPr>
    </w:p>
    <w:p>
      <w:pPr>
        <w:pStyle w:val="25"/>
        <w:ind w:firstLine="3596" w:firstLineChars="1450"/>
        <w:rPr>
          <w:rFonts w:ascii="宋体" w:hAnsi="宋体" w:cs="宋体"/>
          <w:color w:val="auto"/>
          <w:highlight w:val="none"/>
        </w:rPr>
      </w:pPr>
    </w:p>
    <w:p>
      <w:pPr>
        <w:pStyle w:val="25"/>
        <w:ind w:firstLine="3596" w:firstLineChars="1450"/>
        <w:rPr>
          <w:rFonts w:ascii="宋体" w:hAnsi="宋体" w:cs="宋体"/>
          <w:color w:val="auto"/>
          <w:highlight w:val="none"/>
        </w:rPr>
      </w:pPr>
    </w:p>
    <w:p>
      <w:pPr>
        <w:pStyle w:val="25"/>
        <w:ind w:firstLine="3596" w:firstLineChars="1450"/>
        <w:rPr>
          <w:rFonts w:ascii="宋体" w:hAnsi="宋体" w:cs="宋体"/>
          <w:color w:val="auto"/>
          <w:highlight w:val="none"/>
        </w:rPr>
      </w:pPr>
    </w:p>
    <w:p>
      <w:pPr>
        <w:keepNext/>
        <w:keepLines/>
        <w:spacing w:before="120" w:after="120" w:line="360" w:lineRule="auto"/>
        <w:jc w:val="center"/>
        <w:outlineLvl w:val="0"/>
        <w:rPr>
          <w:rFonts w:ascii="宋体" w:hAnsi="宋体" w:cs="宋体"/>
          <w:color w:val="auto"/>
          <w:sz w:val="24"/>
          <w:szCs w:val="24"/>
          <w:highlight w:val="none"/>
        </w:rPr>
      </w:pPr>
    </w:p>
    <w:p>
      <w:pPr>
        <w:pStyle w:val="2"/>
        <w:rPr>
          <w:color w:val="auto"/>
          <w:highlight w:val="none"/>
        </w:rPr>
      </w:pPr>
    </w:p>
    <w:p>
      <w:pPr>
        <w:pStyle w:val="8"/>
        <w:spacing w:before="120" w:after="120"/>
        <w:rPr>
          <w:color w:val="auto"/>
          <w:highlight w:val="none"/>
        </w:rPr>
      </w:pPr>
    </w:p>
    <w:p>
      <w:pPr>
        <w:rPr>
          <w:color w:val="auto"/>
          <w:highlight w:val="none"/>
        </w:rPr>
      </w:pPr>
    </w:p>
    <w:p>
      <w:pPr>
        <w:pStyle w:val="8"/>
        <w:spacing w:before="120" w:after="120"/>
        <w:rPr>
          <w:color w:val="auto"/>
          <w:highlight w:val="none"/>
        </w:rPr>
      </w:pPr>
    </w:p>
    <w:p>
      <w:pPr>
        <w:rPr>
          <w:color w:val="auto"/>
          <w:highlight w:val="none"/>
        </w:rPr>
      </w:pPr>
    </w:p>
    <w:p>
      <w:pPr>
        <w:pStyle w:val="8"/>
        <w:spacing w:before="120" w:after="120"/>
        <w:rPr>
          <w:color w:val="auto"/>
          <w:highlight w:val="none"/>
        </w:rPr>
      </w:pPr>
    </w:p>
    <w:p>
      <w:pPr>
        <w:keepNext/>
        <w:keepLines/>
        <w:spacing w:before="120" w:after="120" w:line="360" w:lineRule="auto"/>
        <w:jc w:val="center"/>
        <w:outlineLvl w:val="0"/>
        <w:rPr>
          <w:rFonts w:ascii="宋体" w:hAnsi="宋体"/>
          <w:b/>
          <w:bCs/>
          <w:color w:val="auto"/>
          <w:kern w:val="44"/>
          <w:sz w:val="28"/>
          <w:szCs w:val="28"/>
          <w:highlight w:val="none"/>
        </w:rPr>
      </w:pPr>
    </w:p>
    <w:p>
      <w:pPr>
        <w:pStyle w:val="8"/>
        <w:rPr>
          <w:color w:val="auto"/>
          <w:highlight w:val="none"/>
        </w:rPr>
      </w:pPr>
    </w:p>
    <w:p>
      <w:pPr>
        <w:pStyle w:val="8"/>
        <w:spacing w:before="120" w:after="120"/>
        <w:rPr>
          <w:color w:val="auto"/>
          <w:highlight w:val="none"/>
        </w:rPr>
      </w:pPr>
    </w:p>
    <w:p>
      <w:pPr>
        <w:keepNext/>
        <w:keepLines/>
        <w:spacing w:before="120" w:after="120" w:line="360" w:lineRule="auto"/>
        <w:jc w:val="center"/>
        <w:outlineLvl w:val="0"/>
        <w:rPr>
          <w:rFonts w:ascii="宋体" w:hAnsi="宋体"/>
          <w:b/>
          <w:bCs/>
          <w:color w:val="auto"/>
          <w:kern w:val="44"/>
          <w:sz w:val="28"/>
          <w:szCs w:val="28"/>
          <w:highlight w:val="none"/>
        </w:rPr>
      </w:pPr>
      <w:bookmarkStart w:id="89" w:name="_Toc130979536"/>
      <w:r>
        <w:rPr>
          <w:rFonts w:hint="eastAsia" w:ascii="宋体" w:hAnsi="宋体"/>
          <w:b/>
          <w:bCs/>
          <w:color w:val="auto"/>
          <w:kern w:val="44"/>
          <w:sz w:val="28"/>
          <w:szCs w:val="28"/>
          <w:highlight w:val="none"/>
        </w:rPr>
        <w:br w:type="page"/>
      </w:r>
      <w:r>
        <w:rPr>
          <w:rFonts w:hint="eastAsia" w:ascii="宋体" w:hAnsi="宋体"/>
          <w:b/>
          <w:bCs/>
          <w:color w:val="auto"/>
          <w:kern w:val="44"/>
          <w:sz w:val="28"/>
          <w:szCs w:val="28"/>
          <w:highlight w:val="none"/>
        </w:rPr>
        <w:t>第五章  技术条件（工程建设标准）</w:t>
      </w:r>
      <w:bookmarkEnd w:id="89"/>
    </w:p>
    <w:p>
      <w:pPr>
        <w:keepNext/>
        <w:keepLines/>
        <w:widowControl/>
        <w:spacing w:before="120" w:after="120" w:line="360" w:lineRule="auto"/>
        <w:jc w:val="left"/>
        <w:outlineLvl w:val="0"/>
        <w:rPr>
          <w:rFonts w:ascii="宋体" w:hAnsi="宋体"/>
          <w:b/>
          <w:bCs/>
          <w:color w:val="auto"/>
          <w:kern w:val="44"/>
          <w:sz w:val="28"/>
          <w:szCs w:val="28"/>
          <w:highlight w:val="none"/>
        </w:rPr>
      </w:pPr>
      <w:bookmarkStart w:id="90" w:name="_Toc130979537"/>
      <w:bookmarkStart w:id="91" w:name="_Toc130979472"/>
      <w:bookmarkStart w:id="92" w:name="_Toc127815781"/>
      <w:r>
        <w:rPr>
          <w:rFonts w:hint="eastAsia" w:ascii="宋体" w:hAnsi="宋体"/>
          <w:b/>
          <w:bCs/>
          <w:color w:val="auto"/>
          <w:kern w:val="44"/>
          <w:sz w:val="28"/>
          <w:szCs w:val="28"/>
          <w:highlight w:val="none"/>
        </w:rPr>
        <w:t>一、项目概况</w:t>
      </w:r>
      <w:bookmarkEnd w:id="90"/>
      <w:bookmarkEnd w:id="91"/>
      <w:bookmarkEnd w:id="92"/>
    </w:p>
    <w:p>
      <w:pPr>
        <w:spacing w:line="360" w:lineRule="auto"/>
        <w:ind w:firstLine="537" w:firstLineChars="224"/>
        <w:rPr>
          <w:rFonts w:ascii="宋体" w:hAnsi="宋体"/>
          <w:color w:val="auto"/>
          <w:sz w:val="24"/>
          <w:highlight w:val="none"/>
        </w:rPr>
      </w:pPr>
      <w:r>
        <w:rPr>
          <w:rFonts w:hint="eastAsia" w:ascii="宋体" w:hAnsi="宋体"/>
          <w:color w:val="auto"/>
          <w:sz w:val="24"/>
          <w:highlight w:val="none"/>
        </w:rPr>
        <w:t>本工程改造道路总长约1455.41米，道路均按规划红线实施，道路等级为城市次干道。其中叠景路（广州大道-逸景翠园北门段）长1102.61米，宽26-36米；华盛南路（逸景路-叠景路段）长352.80米，宽40-50米。</w:t>
      </w:r>
    </w:p>
    <w:p>
      <w:pPr>
        <w:keepNext/>
        <w:keepLines/>
        <w:widowControl/>
        <w:spacing w:before="120" w:after="120" w:line="360" w:lineRule="auto"/>
        <w:jc w:val="left"/>
        <w:outlineLvl w:val="0"/>
        <w:rPr>
          <w:rFonts w:ascii="宋体" w:hAnsi="宋体"/>
          <w:b/>
          <w:bCs/>
          <w:color w:val="auto"/>
          <w:kern w:val="44"/>
          <w:sz w:val="28"/>
          <w:szCs w:val="28"/>
          <w:highlight w:val="none"/>
        </w:rPr>
      </w:pPr>
      <w:bookmarkStart w:id="93" w:name="_Toc127815782"/>
      <w:bookmarkStart w:id="94" w:name="_Toc130979473"/>
      <w:bookmarkStart w:id="95" w:name="_Toc130979538"/>
      <w:r>
        <w:rPr>
          <w:rFonts w:hint="eastAsia" w:ascii="宋体" w:hAnsi="宋体"/>
          <w:b/>
          <w:bCs/>
          <w:color w:val="auto"/>
          <w:kern w:val="44"/>
          <w:sz w:val="28"/>
          <w:szCs w:val="28"/>
          <w:highlight w:val="none"/>
        </w:rPr>
        <w:t>二、工程概要</w:t>
      </w:r>
      <w:bookmarkEnd w:id="93"/>
      <w:bookmarkEnd w:id="94"/>
      <w:bookmarkEnd w:id="95"/>
    </w:p>
    <w:p>
      <w:pPr>
        <w:keepNext/>
        <w:keepLines/>
        <w:widowControl/>
        <w:spacing w:before="120" w:after="120" w:line="360" w:lineRule="auto"/>
        <w:jc w:val="left"/>
        <w:outlineLvl w:val="0"/>
        <w:rPr>
          <w:rFonts w:ascii="宋体" w:hAnsi="宋体"/>
          <w:b/>
          <w:bCs/>
          <w:color w:val="auto"/>
          <w:kern w:val="44"/>
          <w:sz w:val="24"/>
          <w:szCs w:val="24"/>
          <w:highlight w:val="none"/>
        </w:rPr>
      </w:pPr>
      <w:bookmarkStart w:id="96" w:name="_Toc127815783"/>
      <w:bookmarkStart w:id="97" w:name="_Toc130979474"/>
      <w:bookmarkStart w:id="98" w:name="_Toc130979539"/>
      <w:r>
        <w:rPr>
          <w:rFonts w:hint="eastAsia" w:ascii="宋体" w:hAnsi="宋体"/>
          <w:b/>
          <w:bCs/>
          <w:color w:val="auto"/>
          <w:kern w:val="44"/>
          <w:sz w:val="24"/>
          <w:szCs w:val="24"/>
          <w:highlight w:val="none"/>
        </w:rPr>
        <w:t>2.1路线走向</w:t>
      </w:r>
      <w:bookmarkEnd w:id="96"/>
      <w:bookmarkEnd w:id="97"/>
      <w:bookmarkEnd w:id="98"/>
    </w:p>
    <w:p>
      <w:pPr>
        <w:widowControl/>
        <w:spacing w:line="360" w:lineRule="auto"/>
        <w:ind w:firstLine="420" w:firstLineChars="175"/>
        <w:jc w:val="left"/>
        <w:rPr>
          <w:color w:val="auto"/>
          <w:highlight w:val="none"/>
        </w:rPr>
      </w:pPr>
      <w:r>
        <w:rPr>
          <w:rFonts w:hint="eastAsia" w:ascii="宋体" w:hAnsi="宋体"/>
          <w:color w:val="auto"/>
          <w:kern w:val="0"/>
          <w:sz w:val="24"/>
          <w:szCs w:val="24"/>
          <w:highlight w:val="none"/>
        </w:rPr>
        <w:t>本项目以叠景路与敦和涌交汇处为核心。叠景路为东西走向，现状路宽约16m，在和丰国际大厦附近与敦和涌交汇，路中线与敦和涌水道中线呈约24°角，该处设有一明涵跨越敦和涌，明涵跨度为2×6.1m，采用现浇混凝土结构。该处南北走向有一</w:t>
      </w:r>
      <w:bookmarkStart w:id="99" w:name="OLE_LINK26"/>
      <w:r>
        <w:rPr>
          <w:rFonts w:hint="eastAsia" w:ascii="宋体" w:hAnsi="宋体"/>
          <w:color w:val="auto"/>
          <w:kern w:val="0"/>
          <w:sz w:val="24"/>
          <w:szCs w:val="24"/>
          <w:highlight w:val="none"/>
        </w:rPr>
        <w:t>鹭江东约新街</w:t>
      </w:r>
      <w:bookmarkEnd w:id="99"/>
      <w:r>
        <w:rPr>
          <w:rFonts w:hint="eastAsia" w:ascii="宋体" w:hAnsi="宋体"/>
          <w:color w:val="auto"/>
          <w:kern w:val="0"/>
          <w:sz w:val="24"/>
          <w:szCs w:val="24"/>
          <w:highlight w:val="none"/>
        </w:rPr>
        <w:t xml:space="preserve">与叠景路连接，接口处狭窄，单车道通行且未直接连接敦和涌明涵。该交汇处现状路宽约12.05m。 </w:t>
      </w:r>
    </w:p>
    <w:p>
      <w:pPr>
        <w:keepNext/>
        <w:keepLines/>
        <w:widowControl/>
        <w:spacing w:before="120" w:after="120" w:line="360" w:lineRule="auto"/>
        <w:jc w:val="left"/>
        <w:outlineLvl w:val="0"/>
        <w:rPr>
          <w:color w:val="auto"/>
          <w:szCs w:val="21"/>
          <w:highlight w:val="none"/>
        </w:rPr>
      </w:pPr>
      <w:bookmarkStart w:id="100" w:name="_Toc130979540"/>
      <w:bookmarkStart w:id="101" w:name="_Toc130979475"/>
      <w:bookmarkStart w:id="102" w:name="_Toc127815784"/>
      <w:r>
        <w:rPr>
          <w:rFonts w:hint="eastAsia" w:ascii="宋体" w:hAnsi="宋体"/>
          <w:b/>
          <w:bCs/>
          <w:color w:val="auto"/>
          <w:kern w:val="44"/>
          <w:sz w:val="24"/>
          <w:szCs w:val="24"/>
          <w:highlight w:val="none"/>
        </w:rPr>
        <w:t>2.2 技术标准</w:t>
      </w:r>
      <w:bookmarkEnd w:id="100"/>
      <w:bookmarkEnd w:id="101"/>
      <w:bookmarkEnd w:id="102"/>
    </w:p>
    <w:p>
      <w:pPr>
        <w:widowControl/>
        <w:jc w:val="center"/>
        <w:rPr>
          <w:rFonts w:ascii="宋体" w:hAnsi="宋体"/>
          <w:b/>
          <w:bCs/>
          <w:color w:val="auto"/>
          <w:kern w:val="0"/>
          <w:sz w:val="24"/>
          <w:szCs w:val="24"/>
          <w:highlight w:val="none"/>
        </w:rPr>
      </w:pPr>
    </w:p>
    <w:p>
      <w:pPr>
        <w:widowControl/>
        <w:jc w:val="center"/>
        <w:rPr>
          <w:rFonts w:ascii="宋体" w:hAnsi="宋体"/>
          <w:b/>
          <w:bCs/>
          <w:color w:val="auto"/>
          <w:kern w:val="0"/>
          <w:sz w:val="24"/>
          <w:szCs w:val="24"/>
          <w:highlight w:val="none"/>
        </w:rPr>
      </w:pPr>
      <w:r>
        <w:rPr>
          <w:rFonts w:hint="eastAsia" w:ascii="宋体" w:hAnsi="宋体"/>
          <w:b/>
          <w:bCs/>
          <w:color w:val="auto"/>
          <w:kern w:val="0"/>
          <w:sz w:val="24"/>
          <w:szCs w:val="24"/>
          <w:highlight w:val="none"/>
        </w:rPr>
        <w:t>主要技术指标表及采用情况表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885"/>
        <w:gridCol w:w="866"/>
        <w:gridCol w:w="18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675" w:type="dxa"/>
            <w:noWrap/>
            <w:vAlign w:val="center"/>
          </w:tcPr>
          <w:p>
            <w:pPr>
              <w:pStyle w:val="30"/>
              <w:rPr>
                <w:color w:val="auto"/>
                <w:highlight w:val="none"/>
              </w:rPr>
            </w:pPr>
            <w:r>
              <w:rPr>
                <w:rFonts w:hint="eastAsia"/>
                <w:color w:val="auto"/>
                <w:highlight w:val="none"/>
              </w:rPr>
              <w:t>序号</w:t>
            </w:r>
          </w:p>
        </w:tc>
        <w:tc>
          <w:tcPr>
            <w:tcW w:w="3885" w:type="dxa"/>
            <w:noWrap/>
            <w:vAlign w:val="center"/>
          </w:tcPr>
          <w:p>
            <w:pPr>
              <w:pStyle w:val="30"/>
              <w:rPr>
                <w:color w:val="auto"/>
                <w:highlight w:val="none"/>
              </w:rPr>
            </w:pPr>
            <w:r>
              <w:rPr>
                <w:rFonts w:hint="eastAsia"/>
                <w:color w:val="auto"/>
                <w:highlight w:val="none"/>
              </w:rPr>
              <w:t>项目</w:t>
            </w:r>
          </w:p>
        </w:tc>
        <w:tc>
          <w:tcPr>
            <w:tcW w:w="866" w:type="dxa"/>
            <w:noWrap/>
            <w:vAlign w:val="center"/>
          </w:tcPr>
          <w:p>
            <w:pPr>
              <w:pStyle w:val="30"/>
              <w:rPr>
                <w:color w:val="auto"/>
                <w:highlight w:val="none"/>
              </w:rPr>
            </w:pPr>
            <w:r>
              <w:rPr>
                <w:rFonts w:hint="eastAsia"/>
                <w:color w:val="auto"/>
                <w:highlight w:val="none"/>
              </w:rPr>
              <w:t>单位</w:t>
            </w:r>
          </w:p>
        </w:tc>
        <w:tc>
          <w:tcPr>
            <w:tcW w:w="1853" w:type="dxa"/>
            <w:noWrap/>
            <w:vAlign w:val="center"/>
          </w:tcPr>
          <w:p>
            <w:pPr>
              <w:pStyle w:val="30"/>
              <w:rPr>
                <w:color w:val="auto"/>
                <w:highlight w:val="none"/>
              </w:rPr>
            </w:pPr>
            <w:r>
              <w:rPr>
                <w:rFonts w:hint="eastAsia"/>
                <w:color w:val="auto"/>
                <w:highlight w:val="none"/>
              </w:rPr>
              <w:t>规范值</w:t>
            </w:r>
          </w:p>
        </w:tc>
        <w:tc>
          <w:tcPr>
            <w:tcW w:w="1705" w:type="dxa"/>
            <w:noWrap/>
            <w:vAlign w:val="center"/>
          </w:tcPr>
          <w:p>
            <w:pPr>
              <w:pStyle w:val="30"/>
              <w:rPr>
                <w:color w:val="auto"/>
                <w:highlight w:val="none"/>
              </w:rPr>
            </w:pPr>
            <w:r>
              <w:rPr>
                <w:rFonts w:hint="eastAsia"/>
                <w:color w:val="auto"/>
                <w:highlight w:val="none"/>
              </w:rPr>
              <w:t>设计取值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shd w:val="clear" w:color="auto" w:fill="FFFFFF"/>
            <w:noWrap/>
            <w:vAlign w:val="center"/>
          </w:tcPr>
          <w:p>
            <w:pPr>
              <w:pStyle w:val="30"/>
              <w:rPr>
                <w:color w:val="auto"/>
                <w:highlight w:val="none"/>
              </w:rPr>
            </w:pPr>
            <w:r>
              <w:rPr>
                <w:rFonts w:hint="eastAsia"/>
                <w:color w:val="auto"/>
                <w:highlight w:val="none"/>
              </w:rPr>
              <w:t>1</w:t>
            </w:r>
          </w:p>
        </w:tc>
        <w:tc>
          <w:tcPr>
            <w:tcW w:w="3885" w:type="dxa"/>
            <w:shd w:val="clear" w:color="auto" w:fill="FFFFFF"/>
            <w:noWrap/>
            <w:vAlign w:val="center"/>
          </w:tcPr>
          <w:p>
            <w:pPr>
              <w:pStyle w:val="30"/>
              <w:rPr>
                <w:color w:val="auto"/>
                <w:highlight w:val="none"/>
              </w:rPr>
            </w:pPr>
            <w:r>
              <w:rPr>
                <w:rFonts w:hint="eastAsia"/>
                <w:color w:val="auto"/>
                <w:highlight w:val="none"/>
              </w:rPr>
              <w:t>道路等级</w:t>
            </w:r>
          </w:p>
        </w:tc>
        <w:tc>
          <w:tcPr>
            <w:tcW w:w="866" w:type="dxa"/>
            <w:shd w:val="clear" w:color="auto" w:fill="FFFFFF"/>
            <w:noWrap/>
            <w:vAlign w:val="center"/>
          </w:tcPr>
          <w:p>
            <w:pPr>
              <w:pStyle w:val="30"/>
              <w:rPr>
                <w:color w:val="auto"/>
                <w:highlight w:val="none"/>
              </w:rPr>
            </w:pPr>
            <w:r>
              <w:rPr>
                <w:rFonts w:hint="eastAsia"/>
                <w:color w:val="auto"/>
                <w:highlight w:val="none"/>
              </w:rPr>
              <w:t>/</w:t>
            </w:r>
          </w:p>
        </w:tc>
        <w:tc>
          <w:tcPr>
            <w:tcW w:w="1853" w:type="dxa"/>
            <w:shd w:val="clear" w:color="auto" w:fill="FFFFFF"/>
            <w:noWrap/>
            <w:vAlign w:val="center"/>
          </w:tcPr>
          <w:p>
            <w:pPr>
              <w:pStyle w:val="30"/>
              <w:rPr>
                <w:color w:val="auto"/>
                <w:highlight w:val="none"/>
              </w:rPr>
            </w:pPr>
            <w:r>
              <w:rPr>
                <w:rFonts w:hint="eastAsia"/>
                <w:color w:val="auto"/>
                <w:highlight w:val="none"/>
              </w:rPr>
              <w:t>城市次干路</w:t>
            </w:r>
          </w:p>
        </w:tc>
        <w:tc>
          <w:tcPr>
            <w:tcW w:w="1705" w:type="dxa"/>
            <w:shd w:val="clear" w:color="auto" w:fill="FFFFFF"/>
            <w:noWrap/>
            <w:vAlign w:val="center"/>
          </w:tcPr>
          <w:p>
            <w:pPr>
              <w:pStyle w:val="30"/>
              <w:rPr>
                <w:color w:val="auto"/>
                <w:highlight w:val="none"/>
              </w:rPr>
            </w:pPr>
            <w:r>
              <w:rPr>
                <w:rFonts w:hint="eastAsia"/>
                <w:color w:val="auto"/>
                <w:highlight w:val="none"/>
              </w:rPr>
              <w:t>城市次干路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shd w:val="clear" w:color="auto" w:fill="FFFFFF"/>
            <w:noWrap/>
            <w:vAlign w:val="center"/>
          </w:tcPr>
          <w:p>
            <w:pPr>
              <w:pStyle w:val="30"/>
              <w:rPr>
                <w:color w:val="auto"/>
                <w:highlight w:val="none"/>
              </w:rPr>
            </w:pPr>
            <w:r>
              <w:rPr>
                <w:rFonts w:hint="eastAsia"/>
                <w:color w:val="auto"/>
                <w:highlight w:val="none"/>
              </w:rPr>
              <w:t>2</w:t>
            </w:r>
          </w:p>
        </w:tc>
        <w:tc>
          <w:tcPr>
            <w:tcW w:w="3885" w:type="dxa"/>
            <w:shd w:val="clear" w:color="auto" w:fill="FFFFFF"/>
            <w:noWrap/>
            <w:vAlign w:val="center"/>
          </w:tcPr>
          <w:p>
            <w:pPr>
              <w:pStyle w:val="30"/>
              <w:rPr>
                <w:color w:val="auto"/>
                <w:highlight w:val="none"/>
              </w:rPr>
            </w:pPr>
            <w:r>
              <w:rPr>
                <w:rFonts w:hint="eastAsia"/>
                <w:color w:val="auto"/>
                <w:highlight w:val="none"/>
              </w:rPr>
              <w:t>计算行车速度</w:t>
            </w:r>
          </w:p>
        </w:tc>
        <w:tc>
          <w:tcPr>
            <w:tcW w:w="866" w:type="dxa"/>
            <w:shd w:val="clear" w:color="auto" w:fill="FFFFFF"/>
            <w:noWrap/>
            <w:vAlign w:val="center"/>
          </w:tcPr>
          <w:p>
            <w:pPr>
              <w:pStyle w:val="30"/>
              <w:rPr>
                <w:color w:val="auto"/>
                <w:highlight w:val="none"/>
              </w:rPr>
            </w:pPr>
            <w:r>
              <w:rPr>
                <w:color w:val="auto"/>
                <w:highlight w:val="none"/>
              </w:rPr>
              <w:t>K</w:t>
            </w:r>
            <w:r>
              <w:rPr>
                <w:rFonts w:hint="eastAsia"/>
                <w:color w:val="auto"/>
                <w:highlight w:val="none"/>
              </w:rPr>
              <w:t>m/h</w:t>
            </w:r>
          </w:p>
        </w:tc>
        <w:tc>
          <w:tcPr>
            <w:tcW w:w="1853" w:type="dxa"/>
            <w:shd w:val="clear" w:color="auto" w:fill="FFFFFF"/>
            <w:noWrap/>
            <w:vAlign w:val="center"/>
          </w:tcPr>
          <w:p>
            <w:pPr>
              <w:pStyle w:val="30"/>
              <w:rPr>
                <w:color w:val="auto"/>
                <w:highlight w:val="none"/>
              </w:rPr>
            </w:pPr>
            <w:r>
              <w:rPr>
                <w:rFonts w:hint="eastAsia"/>
                <w:color w:val="auto"/>
                <w:highlight w:val="none"/>
              </w:rPr>
              <w:t>50/40/30</w:t>
            </w:r>
          </w:p>
        </w:tc>
        <w:tc>
          <w:tcPr>
            <w:tcW w:w="1705" w:type="dxa"/>
            <w:shd w:val="clear" w:color="auto" w:fill="FFFFFF"/>
            <w:noWrap/>
            <w:vAlign w:val="center"/>
          </w:tcPr>
          <w:p>
            <w:pPr>
              <w:pStyle w:val="30"/>
              <w:rPr>
                <w:color w:val="auto"/>
                <w:highlight w:val="none"/>
              </w:rPr>
            </w:pPr>
            <w:r>
              <w:rPr>
                <w:rFonts w:hint="eastAsia"/>
                <w:color w:val="auto"/>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shd w:val="clear" w:color="auto" w:fill="FFFFFF"/>
            <w:noWrap/>
            <w:vAlign w:val="center"/>
          </w:tcPr>
          <w:p>
            <w:pPr>
              <w:pStyle w:val="30"/>
              <w:rPr>
                <w:color w:val="auto"/>
                <w:highlight w:val="none"/>
              </w:rPr>
            </w:pPr>
            <w:r>
              <w:rPr>
                <w:rFonts w:hint="eastAsia"/>
                <w:color w:val="auto"/>
                <w:highlight w:val="none"/>
              </w:rPr>
              <w:t>3</w:t>
            </w:r>
          </w:p>
        </w:tc>
        <w:tc>
          <w:tcPr>
            <w:tcW w:w="3885" w:type="dxa"/>
            <w:shd w:val="clear" w:color="auto" w:fill="FFFFFF"/>
            <w:noWrap/>
            <w:vAlign w:val="center"/>
          </w:tcPr>
          <w:p>
            <w:pPr>
              <w:pStyle w:val="30"/>
              <w:rPr>
                <w:color w:val="auto"/>
                <w:highlight w:val="none"/>
              </w:rPr>
            </w:pPr>
            <w:r>
              <w:rPr>
                <w:rFonts w:hint="eastAsia"/>
                <w:color w:val="auto"/>
                <w:highlight w:val="none"/>
              </w:rPr>
              <w:t>道路交通量设计年限</w:t>
            </w:r>
          </w:p>
        </w:tc>
        <w:tc>
          <w:tcPr>
            <w:tcW w:w="866" w:type="dxa"/>
            <w:shd w:val="clear" w:color="auto" w:fill="FFFFFF"/>
            <w:noWrap/>
            <w:vAlign w:val="center"/>
          </w:tcPr>
          <w:p>
            <w:pPr>
              <w:pStyle w:val="30"/>
              <w:rPr>
                <w:color w:val="auto"/>
                <w:highlight w:val="none"/>
              </w:rPr>
            </w:pPr>
            <w:r>
              <w:rPr>
                <w:rFonts w:hint="eastAsia"/>
                <w:color w:val="auto"/>
                <w:highlight w:val="none"/>
              </w:rPr>
              <w:t>年</w:t>
            </w:r>
          </w:p>
        </w:tc>
        <w:tc>
          <w:tcPr>
            <w:tcW w:w="1853" w:type="dxa"/>
            <w:shd w:val="clear" w:color="auto" w:fill="FFFFFF"/>
            <w:noWrap/>
            <w:vAlign w:val="center"/>
          </w:tcPr>
          <w:p>
            <w:pPr>
              <w:pStyle w:val="30"/>
              <w:rPr>
                <w:color w:val="auto"/>
                <w:highlight w:val="none"/>
              </w:rPr>
            </w:pPr>
            <w:r>
              <w:rPr>
                <w:rFonts w:hint="eastAsia"/>
                <w:color w:val="auto"/>
                <w:highlight w:val="none"/>
              </w:rPr>
              <w:t>15</w:t>
            </w:r>
          </w:p>
        </w:tc>
        <w:tc>
          <w:tcPr>
            <w:tcW w:w="1705" w:type="dxa"/>
            <w:shd w:val="clear" w:color="auto" w:fill="FFFFFF"/>
            <w:noWrap/>
            <w:vAlign w:val="center"/>
          </w:tcPr>
          <w:p>
            <w:pPr>
              <w:pStyle w:val="30"/>
              <w:rPr>
                <w:color w:val="auto"/>
                <w:highlight w:val="none"/>
              </w:rPr>
            </w:pPr>
            <w:r>
              <w:rPr>
                <w:rFonts w:hint="eastAsia"/>
                <w:color w:val="auto"/>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shd w:val="clear" w:color="auto" w:fill="FFFFFF"/>
            <w:noWrap/>
            <w:vAlign w:val="center"/>
          </w:tcPr>
          <w:p>
            <w:pPr>
              <w:pStyle w:val="30"/>
              <w:rPr>
                <w:color w:val="auto"/>
                <w:highlight w:val="none"/>
              </w:rPr>
            </w:pPr>
            <w:r>
              <w:rPr>
                <w:rFonts w:hint="eastAsia"/>
                <w:color w:val="auto"/>
                <w:highlight w:val="none"/>
              </w:rPr>
              <w:t>4</w:t>
            </w:r>
          </w:p>
        </w:tc>
        <w:tc>
          <w:tcPr>
            <w:tcW w:w="3885" w:type="dxa"/>
            <w:shd w:val="clear" w:color="auto" w:fill="FFFFFF"/>
            <w:noWrap/>
            <w:vAlign w:val="center"/>
          </w:tcPr>
          <w:p>
            <w:pPr>
              <w:pStyle w:val="30"/>
              <w:rPr>
                <w:color w:val="auto"/>
                <w:highlight w:val="none"/>
              </w:rPr>
            </w:pPr>
            <w:r>
              <w:rPr>
                <w:rFonts w:hint="eastAsia"/>
                <w:color w:val="auto"/>
                <w:highlight w:val="none"/>
              </w:rPr>
              <w:t>路面结构设计年限</w:t>
            </w:r>
          </w:p>
        </w:tc>
        <w:tc>
          <w:tcPr>
            <w:tcW w:w="866" w:type="dxa"/>
            <w:shd w:val="clear" w:color="auto" w:fill="FFFFFF"/>
            <w:noWrap/>
            <w:vAlign w:val="center"/>
          </w:tcPr>
          <w:p>
            <w:pPr>
              <w:pStyle w:val="30"/>
              <w:rPr>
                <w:color w:val="auto"/>
                <w:highlight w:val="none"/>
              </w:rPr>
            </w:pPr>
            <w:r>
              <w:rPr>
                <w:rFonts w:hint="eastAsia"/>
                <w:color w:val="auto"/>
                <w:highlight w:val="none"/>
              </w:rPr>
              <w:t>年</w:t>
            </w:r>
          </w:p>
        </w:tc>
        <w:tc>
          <w:tcPr>
            <w:tcW w:w="1853" w:type="dxa"/>
            <w:shd w:val="clear" w:color="auto" w:fill="FFFFFF"/>
            <w:noWrap/>
            <w:vAlign w:val="center"/>
          </w:tcPr>
          <w:p>
            <w:pPr>
              <w:pStyle w:val="30"/>
              <w:rPr>
                <w:color w:val="auto"/>
                <w:highlight w:val="none"/>
              </w:rPr>
            </w:pPr>
            <w:r>
              <w:rPr>
                <w:rFonts w:hint="eastAsia"/>
                <w:color w:val="auto"/>
                <w:highlight w:val="none"/>
              </w:rPr>
              <w:t>15</w:t>
            </w:r>
          </w:p>
        </w:tc>
        <w:tc>
          <w:tcPr>
            <w:tcW w:w="1705" w:type="dxa"/>
            <w:shd w:val="clear" w:color="auto" w:fill="FFFFFF"/>
            <w:noWrap/>
            <w:vAlign w:val="center"/>
          </w:tcPr>
          <w:p>
            <w:pPr>
              <w:pStyle w:val="30"/>
              <w:rPr>
                <w:color w:val="auto"/>
                <w:highlight w:val="none"/>
              </w:rPr>
            </w:pPr>
            <w:r>
              <w:rPr>
                <w:rFonts w:hint="eastAsia"/>
                <w:color w:val="auto"/>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shd w:val="clear" w:color="auto" w:fill="FFFFFF"/>
            <w:noWrap/>
            <w:vAlign w:val="center"/>
          </w:tcPr>
          <w:p>
            <w:pPr>
              <w:pStyle w:val="30"/>
              <w:rPr>
                <w:color w:val="auto"/>
                <w:highlight w:val="none"/>
              </w:rPr>
            </w:pPr>
            <w:r>
              <w:rPr>
                <w:color w:val="auto"/>
                <w:szCs w:val="21"/>
                <w:highlight w:val="none"/>
              </w:rPr>
              <w:t>5</w:t>
            </w:r>
          </w:p>
        </w:tc>
        <w:tc>
          <w:tcPr>
            <w:tcW w:w="3885" w:type="dxa"/>
            <w:shd w:val="clear" w:color="auto" w:fill="FFFFFF"/>
            <w:noWrap/>
            <w:vAlign w:val="center"/>
          </w:tcPr>
          <w:p>
            <w:pPr>
              <w:pStyle w:val="30"/>
              <w:rPr>
                <w:color w:val="auto"/>
                <w:highlight w:val="none"/>
              </w:rPr>
            </w:pPr>
            <w:r>
              <w:rPr>
                <w:rFonts w:hint="eastAsia"/>
                <w:color w:val="auto"/>
                <w:highlight w:val="none"/>
              </w:rPr>
              <w:t>道路防洪标高</w:t>
            </w:r>
          </w:p>
        </w:tc>
        <w:tc>
          <w:tcPr>
            <w:tcW w:w="866" w:type="dxa"/>
            <w:shd w:val="clear" w:color="auto" w:fill="FFFFFF"/>
            <w:noWrap/>
            <w:vAlign w:val="center"/>
          </w:tcPr>
          <w:p>
            <w:pPr>
              <w:pStyle w:val="30"/>
              <w:rPr>
                <w:color w:val="auto"/>
                <w:highlight w:val="none"/>
              </w:rPr>
            </w:pPr>
            <w:r>
              <w:rPr>
                <w:rFonts w:hint="eastAsia"/>
                <w:color w:val="auto"/>
                <w:highlight w:val="none"/>
              </w:rPr>
              <w:t>m</w:t>
            </w:r>
          </w:p>
        </w:tc>
        <w:tc>
          <w:tcPr>
            <w:tcW w:w="1853" w:type="dxa"/>
            <w:shd w:val="clear" w:color="auto" w:fill="FFFFFF"/>
            <w:noWrap/>
            <w:vAlign w:val="center"/>
          </w:tcPr>
          <w:p>
            <w:pPr>
              <w:pStyle w:val="30"/>
              <w:rPr>
                <w:color w:val="auto"/>
                <w:highlight w:val="none"/>
              </w:rPr>
            </w:pPr>
            <w:r>
              <w:rPr>
                <w:rFonts w:hint="eastAsia"/>
                <w:color w:val="auto"/>
                <w:highlight w:val="none"/>
              </w:rPr>
              <w:t>≥7.8</w:t>
            </w:r>
          </w:p>
        </w:tc>
        <w:tc>
          <w:tcPr>
            <w:tcW w:w="1705" w:type="dxa"/>
            <w:shd w:val="clear" w:color="auto" w:fill="FFFFFF"/>
            <w:noWrap/>
            <w:vAlign w:val="center"/>
          </w:tcPr>
          <w:p>
            <w:pPr>
              <w:pStyle w:val="30"/>
              <w:rPr>
                <w:color w:val="auto"/>
                <w:highlight w:val="none"/>
              </w:rPr>
            </w:pPr>
            <w:r>
              <w:rPr>
                <w:rFonts w:hint="eastAsia"/>
                <w:color w:val="auto"/>
                <w:szCs w:val="21"/>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shd w:val="clear" w:color="auto" w:fill="FFFFFF"/>
            <w:noWrap/>
            <w:vAlign w:val="center"/>
          </w:tcPr>
          <w:p>
            <w:pPr>
              <w:pStyle w:val="30"/>
              <w:rPr>
                <w:color w:val="auto"/>
                <w:highlight w:val="none"/>
              </w:rPr>
            </w:pPr>
            <w:r>
              <w:rPr>
                <w:color w:val="auto"/>
                <w:szCs w:val="21"/>
                <w:highlight w:val="none"/>
              </w:rPr>
              <w:t>6</w:t>
            </w:r>
          </w:p>
        </w:tc>
        <w:tc>
          <w:tcPr>
            <w:tcW w:w="3885" w:type="dxa"/>
            <w:shd w:val="clear" w:color="auto" w:fill="FFFFFF"/>
            <w:noWrap/>
            <w:vAlign w:val="center"/>
          </w:tcPr>
          <w:p>
            <w:pPr>
              <w:pStyle w:val="30"/>
              <w:rPr>
                <w:color w:val="auto"/>
                <w:highlight w:val="none"/>
              </w:rPr>
            </w:pPr>
            <w:r>
              <w:rPr>
                <w:rFonts w:hint="eastAsia"/>
                <w:color w:val="auto"/>
                <w:highlight w:val="none"/>
              </w:rPr>
              <w:t>路面设计荷载</w:t>
            </w:r>
          </w:p>
        </w:tc>
        <w:tc>
          <w:tcPr>
            <w:tcW w:w="866" w:type="dxa"/>
            <w:shd w:val="clear" w:color="auto" w:fill="FFFFFF"/>
            <w:noWrap/>
            <w:vAlign w:val="center"/>
          </w:tcPr>
          <w:p>
            <w:pPr>
              <w:pStyle w:val="30"/>
              <w:rPr>
                <w:color w:val="auto"/>
                <w:highlight w:val="none"/>
              </w:rPr>
            </w:pPr>
            <w:r>
              <w:rPr>
                <w:rFonts w:hint="eastAsia"/>
                <w:color w:val="auto"/>
                <w:highlight w:val="none"/>
              </w:rPr>
              <w:t>/</w:t>
            </w:r>
          </w:p>
        </w:tc>
        <w:tc>
          <w:tcPr>
            <w:tcW w:w="1853" w:type="dxa"/>
            <w:shd w:val="clear" w:color="auto" w:fill="FFFFFF"/>
            <w:noWrap/>
            <w:vAlign w:val="center"/>
          </w:tcPr>
          <w:p>
            <w:pPr>
              <w:pStyle w:val="30"/>
              <w:rPr>
                <w:color w:val="auto"/>
                <w:highlight w:val="none"/>
              </w:rPr>
            </w:pPr>
            <w:r>
              <w:rPr>
                <w:rFonts w:hint="eastAsia"/>
                <w:color w:val="auto"/>
                <w:highlight w:val="none"/>
              </w:rPr>
              <w:t>BZZ-100</w:t>
            </w:r>
          </w:p>
        </w:tc>
        <w:tc>
          <w:tcPr>
            <w:tcW w:w="1705" w:type="dxa"/>
            <w:shd w:val="clear" w:color="auto" w:fill="FFFFFF"/>
            <w:noWrap/>
            <w:vAlign w:val="center"/>
          </w:tcPr>
          <w:p>
            <w:pPr>
              <w:pStyle w:val="30"/>
              <w:rPr>
                <w:color w:val="auto"/>
                <w:highlight w:val="none"/>
              </w:rPr>
            </w:pPr>
            <w:r>
              <w:rPr>
                <w:rFonts w:hint="eastAsia"/>
                <w:color w:val="auto"/>
                <w:szCs w:val="21"/>
                <w:highlight w:val="none"/>
              </w:rPr>
              <w:t>BZZ-100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shd w:val="clear" w:color="auto" w:fill="FFFFFF"/>
            <w:noWrap/>
            <w:vAlign w:val="center"/>
          </w:tcPr>
          <w:p>
            <w:pPr>
              <w:pStyle w:val="30"/>
              <w:rPr>
                <w:color w:val="auto"/>
                <w:highlight w:val="none"/>
              </w:rPr>
            </w:pPr>
            <w:r>
              <w:rPr>
                <w:color w:val="auto"/>
                <w:szCs w:val="21"/>
                <w:highlight w:val="none"/>
              </w:rPr>
              <w:t>7</w:t>
            </w:r>
          </w:p>
        </w:tc>
        <w:tc>
          <w:tcPr>
            <w:tcW w:w="3885" w:type="dxa"/>
            <w:shd w:val="clear" w:color="auto" w:fill="FFFFFF"/>
            <w:noWrap/>
            <w:vAlign w:val="center"/>
          </w:tcPr>
          <w:p>
            <w:pPr>
              <w:pStyle w:val="30"/>
              <w:rPr>
                <w:color w:val="auto"/>
                <w:highlight w:val="none"/>
              </w:rPr>
            </w:pPr>
            <w:r>
              <w:rPr>
                <w:rFonts w:hint="eastAsia"/>
                <w:color w:val="auto"/>
                <w:highlight w:val="none"/>
              </w:rPr>
              <w:t>停车视距</w:t>
            </w:r>
          </w:p>
        </w:tc>
        <w:tc>
          <w:tcPr>
            <w:tcW w:w="866" w:type="dxa"/>
            <w:shd w:val="clear" w:color="auto" w:fill="FFFFFF"/>
            <w:noWrap/>
            <w:vAlign w:val="center"/>
          </w:tcPr>
          <w:p>
            <w:pPr>
              <w:pStyle w:val="30"/>
              <w:rPr>
                <w:color w:val="auto"/>
                <w:highlight w:val="none"/>
              </w:rPr>
            </w:pPr>
            <w:r>
              <w:rPr>
                <w:rFonts w:hint="eastAsia"/>
                <w:color w:val="auto"/>
                <w:highlight w:val="none"/>
              </w:rPr>
              <w:t>m</w:t>
            </w:r>
          </w:p>
        </w:tc>
        <w:tc>
          <w:tcPr>
            <w:tcW w:w="1853" w:type="dxa"/>
            <w:shd w:val="clear" w:color="auto" w:fill="FFFFFF"/>
            <w:noWrap/>
            <w:vAlign w:val="center"/>
          </w:tcPr>
          <w:p>
            <w:pPr>
              <w:pStyle w:val="30"/>
              <w:rPr>
                <w:color w:val="auto"/>
                <w:highlight w:val="none"/>
              </w:rPr>
            </w:pPr>
            <w:r>
              <w:rPr>
                <w:rFonts w:hint="eastAsia"/>
                <w:color w:val="auto"/>
                <w:highlight w:val="none"/>
              </w:rPr>
              <w:t>≥30</w:t>
            </w:r>
          </w:p>
        </w:tc>
        <w:tc>
          <w:tcPr>
            <w:tcW w:w="1705" w:type="dxa"/>
            <w:shd w:val="clear" w:color="auto" w:fill="FFFFFF"/>
            <w:noWrap/>
            <w:vAlign w:val="center"/>
          </w:tcPr>
          <w:p>
            <w:pPr>
              <w:pStyle w:val="30"/>
              <w:rPr>
                <w:color w:val="auto"/>
                <w:highlight w:val="none"/>
              </w:rPr>
            </w:pPr>
            <w:r>
              <w:rPr>
                <w:rFonts w:hint="eastAsia"/>
                <w:color w:val="auto"/>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shd w:val="clear" w:color="auto" w:fill="FFFFFF"/>
            <w:noWrap/>
            <w:vAlign w:val="center"/>
          </w:tcPr>
          <w:p>
            <w:pPr>
              <w:pStyle w:val="30"/>
              <w:rPr>
                <w:color w:val="auto"/>
                <w:highlight w:val="none"/>
              </w:rPr>
            </w:pPr>
            <w:r>
              <w:rPr>
                <w:color w:val="auto"/>
                <w:szCs w:val="21"/>
                <w:highlight w:val="none"/>
              </w:rPr>
              <w:t>8</w:t>
            </w:r>
          </w:p>
        </w:tc>
        <w:tc>
          <w:tcPr>
            <w:tcW w:w="3885" w:type="dxa"/>
            <w:shd w:val="clear" w:color="auto" w:fill="FFFFFF"/>
            <w:noWrap/>
            <w:vAlign w:val="center"/>
          </w:tcPr>
          <w:p>
            <w:pPr>
              <w:pStyle w:val="30"/>
              <w:rPr>
                <w:color w:val="auto"/>
                <w:highlight w:val="none"/>
              </w:rPr>
            </w:pPr>
            <w:r>
              <w:rPr>
                <w:rFonts w:hint="eastAsia"/>
                <w:color w:val="auto"/>
                <w:highlight w:val="none"/>
              </w:rPr>
              <w:t>抗震设防烈度/地震加速度</w:t>
            </w:r>
          </w:p>
        </w:tc>
        <w:tc>
          <w:tcPr>
            <w:tcW w:w="866" w:type="dxa"/>
            <w:shd w:val="clear" w:color="auto" w:fill="FFFFFF"/>
            <w:noWrap/>
            <w:vAlign w:val="center"/>
          </w:tcPr>
          <w:p>
            <w:pPr>
              <w:pStyle w:val="30"/>
              <w:rPr>
                <w:color w:val="auto"/>
                <w:highlight w:val="none"/>
              </w:rPr>
            </w:pPr>
            <w:r>
              <w:rPr>
                <w:rFonts w:hint="eastAsia"/>
                <w:color w:val="auto"/>
                <w:highlight w:val="none"/>
              </w:rPr>
              <w:t>/</w:t>
            </w:r>
          </w:p>
        </w:tc>
        <w:tc>
          <w:tcPr>
            <w:tcW w:w="1853" w:type="dxa"/>
            <w:shd w:val="clear" w:color="auto" w:fill="FFFFFF"/>
            <w:noWrap/>
            <w:vAlign w:val="center"/>
          </w:tcPr>
          <w:p>
            <w:pPr>
              <w:pStyle w:val="30"/>
              <w:rPr>
                <w:color w:val="auto"/>
                <w:highlight w:val="none"/>
              </w:rPr>
            </w:pPr>
            <w:r>
              <w:rPr>
                <w:rFonts w:hint="eastAsia"/>
                <w:color w:val="auto"/>
                <w:highlight w:val="none"/>
              </w:rPr>
              <w:t>VII/0.10g</w:t>
            </w:r>
          </w:p>
        </w:tc>
        <w:tc>
          <w:tcPr>
            <w:tcW w:w="1705" w:type="dxa"/>
            <w:shd w:val="clear" w:color="auto" w:fill="FFFFFF"/>
            <w:noWrap/>
            <w:vAlign w:val="center"/>
          </w:tcPr>
          <w:p>
            <w:pPr>
              <w:pStyle w:val="30"/>
              <w:rPr>
                <w:color w:val="auto"/>
                <w:highlight w:val="none"/>
              </w:rPr>
            </w:pPr>
            <w:r>
              <w:rPr>
                <w:rFonts w:hint="eastAsia"/>
                <w:color w:val="auto"/>
                <w:szCs w:val="21"/>
                <w:highlight w:val="none"/>
              </w:rPr>
              <w:t>VII/0.10g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shd w:val="clear" w:color="auto" w:fill="FFFFFF"/>
            <w:noWrap/>
            <w:vAlign w:val="center"/>
          </w:tcPr>
          <w:p>
            <w:pPr>
              <w:pStyle w:val="30"/>
              <w:rPr>
                <w:color w:val="auto"/>
                <w:highlight w:val="none"/>
              </w:rPr>
            </w:pPr>
            <w:r>
              <w:rPr>
                <w:color w:val="auto"/>
                <w:szCs w:val="21"/>
                <w:highlight w:val="none"/>
              </w:rPr>
              <w:t>9</w:t>
            </w:r>
          </w:p>
        </w:tc>
        <w:tc>
          <w:tcPr>
            <w:tcW w:w="3885" w:type="dxa"/>
            <w:shd w:val="clear" w:color="auto" w:fill="FFFFFF"/>
            <w:noWrap/>
            <w:vAlign w:val="center"/>
          </w:tcPr>
          <w:p>
            <w:pPr>
              <w:pStyle w:val="30"/>
              <w:rPr>
                <w:color w:val="auto"/>
                <w:highlight w:val="none"/>
              </w:rPr>
            </w:pPr>
            <w:r>
              <w:rPr>
                <w:rFonts w:hint="eastAsia"/>
                <w:color w:val="auto"/>
                <w:highlight w:val="none"/>
              </w:rPr>
              <w:t>高程系统</w:t>
            </w:r>
          </w:p>
        </w:tc>
        <w:tc>
          <w:tcPr>
            <w:tcW w:w="866" w:type="dxa"/>
            <w:shd w:val="clear" w:color="auto" w:fill="FFFFFF"/>
            <w:noWrap/>
            <w:vAlign w:val="center"/>
          </w:tcPr>
          <w:p>
            <w:pPr>
              <w:pStyle w:val="30"/>
              <w:rPr>
                <w:color w:val="auto"/>
                <w:highlight w:val="none"/>
              </w:rPr>
            </w:pPr>
            <w:r>
              <w:rPr>
                <w:rFonts w:hint="eastAsia"/>
                <w:color w:val="auto"/>
                <w:highlight w:val="none"/>
              </w:rPr>
              <w:t>/</w:t>
            </w:r>
          </w:p>
        </w:tc>
        <w:tc>
          <w:tcPr>
            <w:tcW w:w="1853" w:type="dxa"/>
            <w:shd w:val="clear" w:color="auto" w:fill="FFFFFF"/>
            <w:noWrap/>
            <w:vAlign w:val="center"/>
          </w:tcPr>
          <w:p>
            <w:pPr>
              <w:pStyle w:val="30"/>
              <w:rPr>
                <w:color w:val="auto"/>
                <w:highlight w:val="none"/>
              </w:rPr>
            </w:pPr>
            <w:r>
              <w:rPr>
                <w:rFonts w:hint="eastAsia"/>
                <w:color w:val="auto"/>
                <w:highlight w:val="none"/>
              </w:rPr>
              <w:t>广州城建高程系统</w:t>
            </w:r>
          </w:p>
        </w:tc>
        <w:tc>
          <w:tcPr>
            <w:tcW w:w="1705" w:type="dxa"/>
            <w:noWrap/>
          </w:tcPr>
          <w:p>
            <w:pPr>
              <w:pStyle w:val="3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5" w:type="dxa"/>
            <w:shd w:val="clear" w:color="auto" w:fill="FFFFFF"/>
            <w:noWrap/>
            <w:vAlign w:val="center"/>
          </w:tcPr>
          <w:p>
            <w:pPr>
              <w:adjustRightInd w:val="0"/>
              <w:snapToGrid w:val="0"/>
              <w:ind w:firstLine="105" w:firstLineChars="50"/>
              <w:rPr>
                <w:color w:val="auto"/>
                <w:szCs w:val="21"/>
                <w:highlight w:val="none"/>
              </w:rPr>
            </w:pPr>
            <w:r>
              <w:rPr>
                <w:color w:val="auto"/>
                <w:szCs w:val="21"/>
                <w:highlight w:val="none"/>
              </w:rPr>
              <w:t>10</w:t>
            </w:r>
          </w:p>
        </w:tc>
        <w:tc>
          <w:tcPr>
            <w:tcW w:w="3885" w:type="dxa"/>
            <w:shd w:val="clear" w:color="auto" w:fill="FFFFFF"/>
            <w:noWrap/>
            <w:vAlign w:val="center"/>
          </w:tcPr>
          <w:p>
            <w:pPr>
              <w:pStyle w:val="30"/>
              <w:rPr>
                <w:color w:val="auto"/>
                <w:highlight w:val="none"/>
              </w:rPr>
            </w:pPr>
            <w:r>
              <w:rPr>
                <w:rFonts w:hint="eastAsia"/>
                <w:color w:val="auto"/>
                <w:highlight w:val="none"/>
              </w:rPr>
              <w:t>坐标系统</w:t>
            </w:r>
          </w:p>
        </w:tc>
        <w:tc>
          <w:tcPr>
            <w:tcW w:w="866" w:type="dxa"/>
            <w:shd w:val="clear" w:color="auto" w:fill="FFFFFF"/>
            <w:noWrap/>
            <w:vAlign w:val="center"/>
          </w:tcPr>
          <w:p>
            <w:pPr>
              <w:pStyle w:val="30"/>
              <w:rPr>
                <w:color w:val="auto"/>
                <w:highlight w:val="none"/>
              </w:rPr>
            </w:pPr>
            <w:r>
              <w:rPr>
                <w:rFonts w:hint="eastAsia"/>
                <w:color w:val="auto"/>
                <w:highlight w:val="none"/>
              </w:rPr>
              <w:t>/</w:t>
            </w:r>
          </w:p>
        </w:tc>
        <w:tc>
          <w:tcPr>
            <w:tcW w:w="1853" w:type="dxa"/>
            <w:shd w:val="clear" w:color="auto" w:fill="FFFFFF"/>
            <w:noWrap/>
            <w:vAlign w:val="center"/>
          </w:tcPr>
          <w:p>
            <w:pPr>
              <w:pStyle w:val="30"/>
              <w:rPr>
                <w:color w:val="auto"/>
                <w:highlight w:val="none"/>
              </w:rPr>
            </w:pPr>
            <w:r>
              <w:rPr>
                <w:rFonts w:hint="eastAsia"/>
                <w:color w:val="auto"/>
                <w:highlight w:val="none"/>
              </w:rPr>
              <w:t>广州城建坐标系统</w:t>
            </w:r>
          </w:p>
        </w:tc>
        <w:tc>
          <w:tcPr>
            <w:tcW w:w="1705" w:type="dxa"/>
            <w:noWrap/>
          </w:tcPr>
          <w:p>
            <w:pPr>
              <w:adjustRightInd w:val="0"/>
              <w:snapToGrid w:val="0"/>
              <w:ind w:firstLine="210" w:firstLineChars="100"/>
              <w:jc w:val="center"/>
              <w:rPr>
                <w:color w:val="auto"/>
                <w:szCs w:val="21"/>
                <w:highlight w:val="none"/>
              </w:rPr>
            </w:pPr>
          </w:p>
        </w:tc>
      </w:tr>
    </w:tbl>
    <w:p>
      <w:pPr>
        <w:widowControl/>
        <w:jc w:val="center"/>
        <w:rPr>
          <w:rFonts w:ascii="宋体" w:hAnsi="宋体"/>
          <w:b/>
          <w:bCs/>
          <w:color w:val="auto"/>
          <w:kern w:val="0"/>
          <w:sz w:val="24"/>
          <w:szCs w:val="24"/>
          <w:highlight w:val="none"/>
        </w:rPr>
      </w:pPr>
    </w:p>
    <w:p>
      <w:pPr>
        <w:keepNext/>
        <w:keepLines/>
        <w:widowControl/>
        <w:spacing w:before="120" w:after="120" w:line="360" w:lineRule="auto"/>
        <w:jc w:val="left"/>
        <w:outlineLvl w:val="0"/>
        <w:rPr>
          <w:rFonts w:ascii="宋体" w:hAnsi="宋体"/>
          <w:b/>
          <w:bCs/>
          <w:color w:val="auto"/>
          <w:kern w:val="44"/>
          <w:sz w:val="24"/>
          <w:szCs w:val="24"/>
          <w:highlight w:val="none"/>
        </w:rPr>
      </w:pPr>
      <w:bookmarkStart w:id="103" w:name="_Toc127815785"/>
      <w:bookmarkStart w:id="104" w:name="_Toc130979541"/>
      <w:bookmarkStart w:id="105" w:name="_Toc130979476"/>
      <w:r>
        <w:rPr>
          <w:rFonts w:hint="eastAsia" w:ascii="宋体" w:hAnsi="宋体"/>
          <w:b/>
          <w:bCs/>
          <w:color w:val="auto"/>
          <w:kern w:val="44"/>
          <w:sz w:val="24"/>
          <w:szCs w:val="24"/>
          <w:highlight w:val="none"/>
        </w:rPr>
        <w:t>2.3 主要工程内容及规模</w:t>
      </w:r>
      <w:bookmarkEnd w:id="103"/>
      <w:bookmarkEnd w:id="104"/>
      <w:bookmarkEnd w:id="105"/>
    </w:p>
    <w:p>
      <w:pPr>
        <w:widowControl/>
        <w:spacing w:line="360" w:lineRule="auto"/>
        <w:ind w:firstLine="480" w:firstLineChars="200"/>
        <w:jc w:val="left"/>
        <w:rPr>
          <w:rFonts w:ascii="宋体" w:hAnsi="宋体"/>
          <w:color w:val="auto"/>
          <w:kern w:val="0"/>
          <w:sz w:val="24"/>
          <w:szCs w:val="24"/>
          <w:highlight w:val="none"/>
        </w:rPr>
      </w:pPr>
      <w:r>
        <w:rPr>
          <w:rFonts w:hint="eastAsia" w:ascii="宋体" w:hAnsi="宋体"/>
          <w:color w:val="auto"/>
          <w:sz w:val="24"/>
          <w:szCs w:val="24"/>
          <w:highlight w:val="none"/>
          <w:u w:val="single"/>
        </w:rPr>
        <w:t>本工程改造道路总长约1455.41米，道路均按规划红线实施，道路等级为城市次干道。其中叠景路（广州大道-逸景翠园北门段）长1102.61米，宽26-36米；华盛南路（逸景路-叠景路段）长352.80米，宽40-50米。改造内容包括道路、桥涵、交通、排水、照明、绿化工程等</w:t>
      </w:r>
      <w:r>
        <w:rPr>
          <w:rFonts w:hint="eastAsia" w:ascii="宋体" w:hAnsi="宋体"/>
          <w:b/>
          <w:bCs/>
          <w:color w:val="auto"/>
          <w:sz w:val="24"/>
          <w:highlight w:val="none"/>
          <w:u w:val="single"/>
        </w:rPr>
        <w:t>。</w:t>
      </w:r>
    </w:p>
    <w:p>
      <w:pPr>
        <w:pStyle w:val="8"/>
        <w:ind w:firstLine="0"/>
        <w:rPr>
          <w:color w:val="auto"/>
          <w:highlight w:val="none"/>
        </w:rPr>
      </w:pPr>
    </w:p>
    <w:p>
      <w:pPr>
        <w:rPr>
          <w:color w:val="auto"/>
          <w:highlight w:val="none"/>
        </w:rPr>
      </w:pPr>
    </w:p>
    <w:p>
      <w:pPr>
        <w:pStyle w:val="8"/>
        <w:rPr>
          <w:color w:val="auto"/>
          <w:highlight w:val="none"/>
        </w:rPr>
      </w:pPr>
    </w:p>
    <w:p>
      <w:pPr>
        <w:rPr>
          <w:color w:val="auto"/>
          <w:highlight w:val="none"/>
        </w:rPr>
      </w:pPr>
    </w:p>
    <w:p>
      <w:pPr>
        <w:pStyle w:val="8"/>
        <w:rPr>
          <w:color w:val="auto"/>
          <w:highlight w:val="none"/>
        </w:rPr>
      </w:pPr>
    </w:p>
    <w:p>
      <w:pPr>
        <w:rPr>
          <w:color w:val="auto"/>
          <w:highlight w:val="none"/>
        </w:rPr>
      </w:pPr>
    </w:p>
    <w:p>
      <w:pPr>
        <w:pStyle w:val="8"/>
        <w:rPr>
          <w:color w:val="auto"/>
          <w:highlight w:val="none"/>
        </w:rPr>
      </w:pPr>
    </w:p>
    <w:p>
      <w:pPr>
        <w:rPr>
          <w:color w:val="auto"/>
          <w:highlight w:val="none"/>
        </w:rPr>
      </w:pPr>
    </w:p>
    <w:p>
      <w:pPr>
        <w:pStyle w:val="8"/>
        <w:rPr>
          <w:color w:val="auto"/>
          <w:highlight w:val="none"/>
        </w:rPr>
      </w:pPr>
    </w:p>
    <w:p>
      <w:pPr>
        <w:rPr>
          <w:color w:val="auto"/>
          <w:highlight w:val="none"/>
        </w:rPr>
      </w:pPr>
    </w:p>
    <w:p>
      <w:pPr>
        <w:rPr>
          <w:rFonts w:ascii="Arial" w:hAnsi="Arial"/>
          <w:b/>
          <w:color w:val="auto"/>
          <w:kern w:val="44"/>
          <w:sz w:val="28"/>
          <w:szCs w:val="28"/>
          <w:highlight w:val="none"/>
        </w:rPr>
      </w:pPr>
      <w:bookmarkStart w:id="106" w:name="_Toc8203407"/>
    </w:p>
    <w:p>
      <w:pPr>
        <w:pStyle w:val="3"/>
        <w:rPr>
          <w:color w:val="auto"/>
          <w:highlight w:val="none"/>
        </w:rPr>
      </w:pPr>
      <w:bookmarkStart w:id="107" w:name="_Toc130979543"/>
      <w:r>
        <w:rPr>
          <w:rFonts w:hint="eastAsia"/>
          <w:color w:val="auto"/>
          <w:highlight w:val="none"/>
        </w:rPr>
        <w:br w:type="page"/>
      </w:r>
      <w:r>
        <w:rPr>
          <w:rFonts w:hint="eastAsia"/>
          <w:color w:val="auto"/>
          <w:highlight w:val="none"/>
        </w:rPr>
        <w:t>第六章图纸及勘察资料</w:t>
      </w:r>
      <w:bookmarkEnd w:id="106"/>
      <w:bookmarkEnd w:id="107"/>
    </w:p>
    <w:p>
      <w:pPr>
        <w:pStyle w:val="3"/>
        <w:rPr>
          <w:b w:val="0"/>
          <w:color w:val="auto"/>
          <w:highlight w:val="none"/>
        </w:rPr>
      </w:pPr>
      <w:bookmarkStart w:id="108" w:name="_Toc130979544"/>
      <w:bookmarkStart w:id="109" w:name="_Toc130979478"/>
      <w:bookmarkStart w:id="110" w:name="_Toc127815787"/>
      <w:r>
        <w:rPr>
          <w:rFonts w:hint="eastAsia" w:ascii="宋体" w:hAnsi="宋体"/>
          <w:b w:val="0"/>
          <w:color w:val="auto"/>
          <w:sz w:val="24"/>
          <w:szCs w:val="24"/>
          <w:highlight w:val="none"/>
        </w:rPr>
        <w:t>另册。</w:t>
      </w:r>
      <w:bookmarkEnd w:id="108"/>
      <w:bookmarkEnd w:id="109"/>
      <w:r>
        <w:rPr>
          <w:b w:val="0"/>
          <w:color w:val="auto"/>
          <w:highlight w:val="none"/>
        </w:rPr>
        <w:br w:type="page"/>
      </w:r>
      <w:bookmarkStart w:id="111" w:name="_Toc8203408"/>
    </w:p>
    <w:p>
      <w:pPr>
        <w:pStyle w:val="3"/>
        <w:rPr>
          <w:color w:val="auto"/>
          <w:highlight w:val="none"/>
        </w:rPr>
      </w:pPr>
      <w:bookmarkStart w:id="112" w:name="_Toc130979545"/>
      <w:r>
        <w:rPr>
          <w:rFonts w:hint="eastAsia"/>
          <w:color w:val="auto"/>
          <w:highlight w:val="none"/>
        </w:rPr>
        <w:t>第七章工程量清单</w:t>
      </w:r>
      <w:bookmarkEnd w:id="110"/>
      <w:bookmarkEnd w:id="111"/>
      <w:bookmarkEnd w:id="112"/>
    </w:p>
    <w:p>
      <w:pPr>
        <w:pStyle w:val="3"/>
        <w:rPr>
          <w:b w:val="0"/>
          <w:color w:val="auto"/>
          <w:highlight w:val="none"/>
        </w:rPr>
      </w:pPr>
      <w:bookmarkStart w:id="113" w:name="_Toc130979480"/>
      <w:bookmarkStart w:id="114" w:name="_Toc130979546"/>
      <w:r>
        <w:rPr>
          <w:rFonts w:hint="eastAsia"/>
          <w:b w:val="0"/>
          <w:color w:val="auto"/>
          <w:highlight w:val="none"/>
        </w:rPr>
        <w:t>另册。</w:t>
      </w:r>
      <w:bookmarkEnd w:id="113"/>
      <w:bookmarkEnd w:id="114"/>
    </w:p>
    <w:p>
      <w:pPr>
        <w:pStyle w:val="3"/>
        <w:rPr>
          <w:b w:val="0"/>
          <w:color w:val="auto"/>
          <w:highlight w:val="none"/>
        </w:rPr>
      </w:pPr>
    </w:p>
    <w:p>
      <w:pPr>
        <w:pStyle w:val="3"/>
        <w:rPr>
          <w:b w:val="0"/>
          <w:color w:val="auto"/>
          <w:highlight w:val="none"/>
        </w:rPr>
      </w:pPr>
    </w:p>
    <w:p>
      <w:pPr>
        <w:pStyle w:val="3"/>
        <w:rPr>
          <w:b w:val="0"/>
          <w:color w:val="auto"/>
          <w:sz w:val="24"/>
          <w:szCs w:val="24"/>
          <w:highlight w:val="none"/>
        </w:rPr>
      </w:pPr>
      <w:r>
        <w:rPr>
          <w:b w:val="0"/>
          <w:color w:val="auto"/>
          <w:sz w:val="24"/>
          <w:szCs w:val="24"/>
          <w:highlight w:val="none"/>
        </w:rPr>
        <w:br w:type="page"/>
      </w:r>
      <w:bookmarkStart w:id="115" w:name="_Toc8203409"/>
      <w:bookmarkStart w:id="116" w:name="_Toc127815790"/>
    </w:p>
    <w:p>
      <w:pPr>
        <w:pStyle w:val="5"/>
        <w:rPr>
          <w:color w:val="auto"/>
          <w:highlight w:val="none"/>
        </w:rPr>
      </w:pPr>
    </w:p>
    <w:p>
      <w:pPr>
        <w:pStyle w:val="3"/>
        <w:rPr>
          <w:color w:val="auto"/>
          <w:highlight w:val="none"/>
        </w:rPr>
      </w:pPr>
      <w:bookmarkStart w:id="117" w:name="_Toc130979547"/>
      <w:r>
        <w:rPr>
          <w:rFonts w:hint="eastAsia"/>
          <w:color w:val="auto"/>
          <w:highlight w:val="none"/>
        </w:rPr>
        <w:t>第八章最高投标限价</w:t>
      </w:r>
      <w:bookmarkEnd w:id="115"/>
      <w:bookmarkEnd w:id="116"/>
      <w:bookmarkEnd w:id="117"/>
    </w:p>
    <w:p>
      <w:pPr>
        <w:spacing w:line="360" w:lineRule="auto"/>
        <w:ind w:firstLine="480"/>
        <w:rPr>
          <w:rFonts w:ascii="宋体" w:hAnsi="宋体"/>
          <w:color w:val="auto"/>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-1386840</wp:posOffset>
                </wp:positionV>
                <wp:extent cx="762000" cy="56197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0" y="0"/>
                          <a:ext cx="762000" cy="561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18"/>
                              <w:widowControl w:val="0"/>
                              <w:topLinePunct/>
                              <w:adjustRightInd w:val="0"/>
                              <w:snapToGrid w:val="0"/>
                              <w:spacing w:before="0" w:beforeAutospacing="0" w:after="0" w:afterAutospacing="0" w:line="360" w:lineRule="auto"/>
                              <w:jc w:val="both"/>
                            </w:pPr>
                            <w:r>
                              <w:rPr>
                                <w:rFonts w:hint="eastAsia" w:cs="宋体"/>
                                <w:spacing w:val="4"/>
                              </w:rPr>
                              <w:t>其权限是：</w:t>
                            </w:r>
                          </w:p>
                          <w:p>
                            <w:pPr>
                              <w:pStyle w:val="18"/>
                              <w:widowControl w:val="0"/>
                              <w:topLinePunct/>
                              <w:adjustRightInd w:val="0"/>
                              <w:snapToGrid w:val="0"/>
                              <w:spacing w:before="0" w:beforeAutospacing="0" w:after="0" w:afterAutospacing="0" w:line="360" w:lineRule="auto"/>
                              <w:jc w:val="both"/>
                              <w:rPr>
                                <w:u w:val="single"/>
                              </w:rPr>
                            </w:pPr>
                          </w:p>
                          <w:p>
                            <w:pPr>
                              <w:pStyle w:val="18"/>
                              <w:widowControl w:val="0"/>
                              <w:topLinePunct/>
                              <w:adjustRightInd w:val="0"/>
                              <w:snapToGrid w:val="0"/>
                              <w:spacing w:before="0" w:beforeAutospacing="0" w:after="0" w:afterAutospacing="0" w:line="360" w:lineRule="auto"/>
                              <w:jc w:val="both"/>
                            </w:pPr>
                            <w:r>
                              <w:rPr>
                                <w:rFonts w:hint="eastAsia" w:cs="宋体"/>
                                <w:spacing w:val="4"/>
                              </w:rPr>
                              <w:t>有效期限：</w:t>
                            </w:r>
                          </w:p>
                          <w:p>
                            <w:pPr>
                              <w:pStyle w:val="18"/>
                              <w:widowControl w:val="0"/>
                              <w:topLinePunct/>
                              <w:adjustRightInd w:val="0"/>
                              <w:snapToGrid w:val="0"/>
                              <w:spacing w:before="0" w:beforeAutospacing="0" w:after="0" w:afterAutospacing="0" w:line="360" w:lineRule="auto"/>
                              <w:ind w:firstLine="480" w:firstLineChars="200"/>
                              <w:jc w:val="both"/>
                            </w:pPr>
                          </w:p>
                          <w:p>
                            <w:pPr>
                              <w:pStyle w:val="18"/>
                              <w:widowControl w:val="0"/>
                              <w:topLinePunct/>
                              <w:adjustRightInd w:val="0"/>
                              <w:snapToGrid w:val="0"/>
                              <w:spacing w:before="0" w:beforeAutospacing="0" w:after="0" w:afterAutospacing="0" w:line="360" w:lineRule="auto"/>
                              <w:jc w:val="both"/>
                            </w:pPr>
                            <w:r>
                              <w:rPr>
                                <w:rFonts w:hint="eastAsia" w:cs="宋体"/>
                                <w:spacing w:val="4"/>
                              </w:rPr>
                              <w:t>附：代理人性别：年龄：身份证号码：</w:t>
                            </w:r>
                          </w:p>
                          <w:p>
                            <w:pPr>
                              <w:pStyle w:val="18"/>
                              <w:widowControl w:val="0"/>
                              <w:topLinePunct/>
                              <w:adjustRightInd w:val="0"/>
                              <w:snapToGrid w:val="0"/>
                              <w:spacing w:before="0" w:beforeAutospacing="0" w:after="0" w:afterAutospacing="0" w:line="360" w:lineRule="auto"/>
                              <w:jc w:val="both"/>
                            </w:pPr>
                            <w:r>
                              <w:rPr>
                                <w:rFonts w:hint="eastAsia" w:cs="宋体"/>
                                <w:spacing w:val="4"/>
                              </w:rPr>
                              <w:t>注册号码：企业类型：</w:t>
                            </w:r>
                          </w:p>
                          <w:p>
                            <w:pPr>
                              <w:pStyle w:val="18"/>
                              <w:widowControl w:val="0"/>
                              <w:topLinePunct/>
                              <w:adjustRightInd w:val="0"/>
                              <w:snapToGrid w:val="0"/>
                              <w:spacing w:before="0" w:beforeAutospacing="0" w:after="0" w:afterAutospacing="0" w:line="360" w:lineRule="auto"/>
                              <w:jc w:val="both"/>
                            </w:pPr>
                            <w:r>
                              <w:rPr>
                                <w:rFonts w:hint="eastAsia" w:cs="宋体"/>
                                <w:spacing w:val="4"/>
                              </w:rPr>
                              <w:t>经营范围：</w:t>
                            </w:r>
                          </w:p>
                          <w:p>
                            <w:pPr>
                              <w:pStyle w:val="18"/>
                              <w:widowControl w:val="0"/>
                              <w:topLinePunct/>
                              <w:adjustRightInd w:val="0"/>
                              <w:snapToGrid w:val="0"/>
                              <w:spacing w:before="0" w:beforeAutospacing="0" w:after="0" w:afterAutospacing="0" w:line="360" w:lineRule="auto"/>
                              <w:jc w:val="both"/>
                            </w:pPr>
                            <w:r>
                              <w:rPr>
                                <w:rFonts w:hint="eastAsia" w:cs="宋体"/>
                                <w:spacing w:val="4"/>
                              </w:rPr>
                              <w:t>法定代表人（负责人）：（签名或盖章）</w:t>
                            </w:r>
                          </w:p>
                          <w:p>
                            <w:pPr>
                              <w:pStyle w:val="18"/>
                              <w:widowControl w:val="0"/>
                              <w:topLinePunct/>
                              <w:adjustRightInd w:val="0"/>
                              <w:snapToGrid w:val="0"/>
                              <w:spacing w:before="0" w:beforeAutospacing="0" w:after="0" w:afterAutospacing="0" w:line="360" w:lineRule="auto"/>
                              <w:jc w:val="both"/>
                            </w:pPr>
                            <w:r>
                              <w:rPr>
                                <w:rFonts w:hint="eastAsia" w:cs="宋体"/>
                                <w:spacing w:val="4"/>
                              </w:rPr>
                              <w:t>授权单位：（盖章）</w:t>
                            </w:r>
                          </w:p>
                          <w:p>
                            <w:pPr>
                              <w:pStyle w:val="18"/>
                              <w:widowControl w:val="0"/>
                              <w:topLinePunct/>
                              <w:adjustRightInd w:val="0"/>
                              <w:snapToGrid w:val="0"/>
                              <w:spacing w:before="0" w:beforeAutospacing="0" w:after="0" w:afterAutospacing="0" w:line="360" w:lineRule="auto"/>
                              <w:ind w:firstLine="496" w:firstLineChars="200"/>
                              <w:jc w:val="both"/>
                            </w:pPr>
                            <w:r>
                              <w:rPr>
                                <w:rFonts w:hint="eastAsia" w:cs="宋体"/>
                                <w:spacing w:val="4"/>
                              </w:rPr>
                              <w:t>年月日</w:t>
                            </w:r>
                          </w:p>
                        </w:txbxContent>
                      </wps:txbx>
                      <wps:bodyPr upright="1"/>
                    </wps:wsp>
                  </a:graphicData>
                </a:graphic>
              </wp:anchor>
            </w:drawing>
          </mc:Choice>
          <mc:Fallback>
            <w:pict>
              <v:shape id="_x0000_s1026" o:spid="_x0000_s1026" o:spt="202" type="#_x0000_t202" style="position:absolute;left:0pt;margin-left:-150pt;margin-top:-109.2pt;height:44.25pt;width:60pt;z-index:251660288;mso-width-relative:page;mso-height-relative:page;" fillcolor="#FFFFFF" filled="t" stroked="t" coordsize="21600,21600" o:gfxdata="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v3EobcAAAADwEAAA8AAAAA&#10;AAAAAQAgAAAAIgAAAGRycy9kb3ducmV2LnhtbFBLAQIUABQAAAAIAIdO4kDSerRJEAIAAEUEAAAO&#10;AAAAAAAAAAEAIAAAACsBAABkcnMvZTJvRG9jLnhtbFBLBQYAAAAABgAGAFkBAACtBQAAAAA=&#10;">
                <v:fill on="t" focussize="0,0"/>
                <v:stroke color="#000000" joinstyle="miter"/>
                <v:imagedata o:title=""/>
                <o:lock v:ext="edit" aspectratio="f"/>
                <v:textbox>
                  <w:txbxContent>
                    <w:p>
                      <w:pPr>
                        <w:pStyle w:val="18"/>
                        <w:widowControl w:val="0"/>
                        <w:topLinePunct/>
                        <w:adjustRightInd w:val="0"/>
                        <w:snapToGrid w:val="0"/>
                        <w:spacing w:before="0" w:beforeAutospacing="0" w:after="0" w:afterAutospacing="0" w:line="360" w:lineRule="auto"/>
                        <w:jc w:val="both"/>
                      </w:pPr>
                      <w:r>
                        <w:rPr>
                          <w:rFonts w:hint="eastAsia" w:cs="宋体"/>
                          <w:spacing w:val="4"/>
                        </w:rPr>
                        <w:t>其权限是：</w:t>
                      </w:r>
                    </w:p>
                    <w:p>
                      <w:pPr>
                        <w:pStyle w:val="18"/>
                        <w:widowControl w:val="0"/>
                        <w:topLinePunct/>
                        <w:adjustRightInd w:val="0"/>
                        <w:snapToGrid w:val="0"/>
                        <w:spacing w:before="0" w:beforeAutospacing="0" w:after="0" w:afterAutospacing="0" w:line="360" w:lineRule="auto"/>
                        <w:jc w:val="both"/>
                        <w:rPr>
                          <w:u w:val="single"/>
                        </w:rPr>
                      </w:pPr>
                    </w:p>
                    <w:p>
                      <w:pPr>
                        <w:pStyle w:val="18"/>
                        <w:widowControl w:val="0"/>
                        <w:topLinePunct/>
                        <w:adjustRightInd w:val="0"/>
                        <w:snapToGrid w:val="0"/>
                        <w:spacing w:before="0" w:beforeAutospacing="0" w:after="0" w:afterAutospacing="0" w:line="360" w:lineRule="auto"/>
                        <w:jc w:val="both"/>
                      </w:pPr>
                      <w:r>
                        <w:rPr>
                          <w:rFonts w:hint="eastAsia" w:cs="宋体"/>
                          <w:spacing w:val="4"/>
                        </w:rPr>
                        <w:t>有效期限：</w:t>
                      </w:r>
                    </w:p>
                    <w:p>
                      <w:pPr>
                        <w:pStyle w:val="18"/>
                        <w:widowControl w:val="0"/>
                        <w:topLinePunct/>
                        <w:adjustRightInd w:val="0"/>
                        <w:snapToGrid w:val="0"/>
                        <w:spacing w:before="0" w:beforeAutospacing="0" w:after="0" w:afterAutospacing="0" w:line="360" w:lineRule="auto"/>
                        <w:ind w:firstLine="480" w:firstLineChars="200"/>
                        <w:jc w:val="both"/>
                      </w:pPr>
                    </w:p>
                    <w:p>
                      <w:pPr>
                        <w:pStyle w:val="18"/>
                        <w:widowControl w:val="0"/>
                        <w:topLinePunct/>
                        <w:adjustRightInd w:val="0"/>
                        <w:snapToGrid w:val="0"/>
                        <w:spacing w:before="0" w:beforeAutospacing="0" w:after="0" w:afterAutospacing="0" w:line="360" w:lineRule="auto"/>
                        <w:jc w:val="both"/>
                      </w:pPr>
                      <w:r>
                        <w:rPr>
                          <w:rFonts w:hint="eastAsia" w:cs="宋体"/>
                          <w:spacing w:val="4"/>
                        </w:rPr>
                        <w:t>附：代理人性别：年龄：身份证号码：</w:t>
                      </w:r>
                    </w:p>
                    <w:p>
                      <w:pPr>
                        <w:pStyle w:val="18"/>
                        <w:widowControl w:val="0"/>
                        <w:topLinePunct/>
                        <w:adjustRightInd w:val="0"/>
                        <w:snapToGrid w:val="0"/>
                        <w:spacing w:before="0" w:beforeAutospacing="0" w:after="0" w:afterAutospacing="0" w:line="360" w:lineRule="auto"/>
                        <w:jc w:val="both"/>
                      </w:pPr>
                      <w:r>
                        <w:rPr>
                          <w:rFonts w:hint="eastAsia" w:cs="宋体"/>
                          <w:spacing w:val="4"/>
                        </w:rPr>
                        <w:t>注册号码：企业类型：</w:t>
                      </w:r>
                    </w:p>
                    <w:p>
                      <w:pPr>
                        <w:pStyle w:val="18"/>
                        <w:widowControl w:val="0"/>
                        <w:topLinePunct/>
                        <w:adjustRightInd w:val="0"/>
                        <w:snapToGrid w:val="0"/>
                        <w:spacing w:before="0" w:beforeAutospacing="0" w:after="0" w:afterAutospacing="0" w:line="360" w:lineRule="auto"/>
                        <w:jc w:val="both"/>
                      </w:pPr>
                      <w:r>
                        <w:rPr>
                          <w:rFonts w:hint="eastAsia" w:cs="宋体"/>
                          <w:spacing w:val="4"/>
                        </w:rPr>
                        <w:t>经营范围：</w:t>
                      </w:r>
                    </w:p>
                    <w:p>
                      <w:pPr>
                        <w:pStyle w:val="18"/>
                        <w:widowControl w:val="0"/>
                        <w:topLinePunct/>
                        <w:adjustRightInd w:val="0"/>
                        <w:snapToGrid w:val="0"/>
                        <w:spacing w:before="0" w:beforeAutospacing="0" w:after="0" w:afterAutospacing="0" w:line="360" w:lineRule="auto"/>
                        <w:jc w:val="both"/>
                      </w:pPr>
                      <w:r>
                        <w:rPr>
                          <w:rFonts w:hint="eastAsia" w:cs="宋体"/>
                          <w:spacing w:val="4"/>
                        </w:rPr>
                        <w:t>法定代表人（负责人）：（签名或盖章）</w:t>
                      </w:r>
                    </w:p>
                    <w:p>
                      <w:pPr>
                        <w:pStyle w:val="18"/>
                        <w:widowControl w:val="0"/>
                        <w:topLinePunct/>
                        <w:adjustRightInd w:val="0"/>
                        <w:snapToGrid w:val="0"/>
                        <w:spacing w:before="0" w:beforeAutospacing="0" w:after="0" w:afterAutospacing="0" w:line="360" w:lineRule="auto"/>
                        <w:jc w:val="both"/>
                      </w:pPr>
                      <w:r>
                        <w:rPr>
                          <w:rFonts w:hint="eastAsia" w:cs="宋体"/>
                          <w:spacing w:val="4"/>
                        </w:rPr>
                        <w:t>授权单位：（盖章）</w:t>
                      </w:r>
                    </w:p>
                    <w:p>
                      <w:pPr>
                        <w:pStyle w:val="18"/>
                        <w:widowControl w:val="0"/>
                        <w:topLinePunct/>
                        <w:adjustRightInd w:val="0"/>
                        <w:snapToGrid w:val="0"/>
                        <w:spacing w:before="0" w:beforeAutospacing="0" w:after="0" w:afterAutospacing="0" w:line="360" w:lineRule="auto"/>
                        <w:ind w:firstLine="496" w:firstLineChars="200"/>
                        <w:jc w:val="both"/>
                      </w:pPr>
                      <w:r>
                        <w:rPr>
                          <w:rFonts w:hint="eastAsia" w:cs="宋体"/>
                          <w:spacing w:val="4"/>
                        </w:rPr>
                        <w:t>年月日</w:t>
                      </w:r>
                    </w:p>
                  </w:txbxContent>
                </v:textbox>
              </v:shape>
            </w:pict>
          </mc:Fallback>
        </mc:AlternateContent>
      </w: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600" w:lineRule="exact"/>
        <w:rPr>
          <w:rFonts w:ascii="宋体" w:hAnsi="宋体"/>
          <w:color w:val="auto"/>
          <w:sz w:val="24"/>
          <w:szCs w:val="24"/>
          <w:highlight w:val="none"/>
        </w:rPr>
      </w:pPr>
      <w:r>
        <w:rPr>
          <w:rFonts w:hint="eastAsia" w:ascii="宋体" w:hAnsi="宋体"/>
          <w:color w:val="auto"/>
          <w:sz w:val="24"/>
          <w:szCs w:val="24"/>
          <w:highlight w:val="none"/>
        </w:rPr>
        <w:t>详见《最高投标限价公布函》</w:t>
      </w:r>
    </w:p>
    <w:p>
      <w:pPr>
        <w:spacing w:line="360" w:lineRule="auto"/>
        <w:ind w:firstLine="480"/>
        <w:rPr>
          <w:rFonts w:ascii="宋体" w:hAnsi="宋体"/>
          <w:color w:val="auto"/>
          <w:sz w:val="24"/>
          <w:szCs w:val="24"/>
          <w:highlight w:val="none"/>
          <w:u w:val="single"/>
        </w:rPr>
      </w:pPr>
    </w:p>
    <w:p>
      <w:pPr>
        <w:rPr>
          <w:color w:val="auto"/>
          <w:highlight w:val="none"/>
        </w:rPr>
      </w:pPr>
    </w:p>
    <w:p>
      <w:pPr>
        <w:rPr>
          <w:color w:val="auto"/>
          <w:highlight w:val="none"/>
        </w:rPr>
      </w:pPr>
    </w:p>
    <w:p>
      <w:pPr>
        <w:tabs>
          <w:tab w:val="left" w:pos="720"/>
        </w:tabs>
        <w:snapToGrid w:val="0"/>
        <w:spacing w:line="360" w:lineRule="auto"/>
        <w:rPr>
          <w:rFonts w:ascii="宋体" w:hAnsi="宋体"/>
          <w:color w:val="auto"/>
          <w:kern w:val="0"/>
          <w:sz w:val="24"/>
          <w:szCs w:val="24"/>
          <w:highlight w:val="none"/>
        </w:rPr>
      </w:pPr>
    </w:p>
    <w:p>
      <w:pPr>
        <w:pStyle w:val="31"/>
        <w:widowControl/>
        <w:snapToGrid w:val="0"/>
        <w:spacing w:before="156" w:after="156" w:line="360" w:lineRule="auto"/>
        <w:ind w:firstLine="480" w:firstLineChars="200"/>
        <w:jc w:val="left"/>
        <w:rPr>
          <w:rFonts w:ascii="宋体" w:hAnsi="宋体"/>
          <w:color w:val="auto"/>
          <w:kern w:val="0"/>
          <w:sz w:val="24"/>
          <w:szCs w:val="24"/>
          <w:highlight w:val="none"/>
        </w:rPr>
      </w:pPr>
    </w:p>
    <w:p>
      <w:pPr>
        <w:rPr>
          <w:color w:val="auto"/>
          <w:highlight w:val="none"/>
        </w:rPr>
      </w:pP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PMingLiU">
    <w:altName w:val="PMingLiU-ExtB"/>
    <w:panose1 w:val="02020500000000000000"/>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55</w:t>
    </w:r>
    <w:r>
      <w:rPr>
        <w:lang w:val="zh-CN"/>
      </w:rPr>
      <w:fldChar w:fldCharType="end"/>
    </w:r>
  </w:p>
  <w:p>
    <w:pPr>
      <w:pStyle w:val="14"/>
      <w:ind w:firstLine="392"/>
      <w:jc w:val="right"/>
      <w:rPr>
        <w:rStyle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92"/>
      <w:rPr>
        <w:rStyle w:val="22"/>
      </w:rPr>
    </w:pPr>
    <w:r>
      <w:fldChar w:fldCharType="begin"/>
    </w:r>
    <w:r>
      <w:rPr>
        <w:rStyle w:val="22"/>
      </w:rPr>
      <w:instrText xml:space="preserve">PAGE  </w:instrText>
    </w:r>
    <w:r>
      <w:fldChar w:fldCharType="separate"/>
    </w:r>
    <w:r>
      <w:rPr>
        <w:rStyle w:val="22"/>
        <w:rFonts w:hint="eastAsia"/>
      </w:rPr>
      <w:t>一</w:t>
    </w:r>
    <w:r>
      <w:rPr>
        <w:rStyle w:val="22"/>
      </w:rPr>
      <w:t>–2</w:t>
    </w:r>
    <w:r>
      <w:fldChar w:fldCharType="end"/>
    </w:r>
  </w:p>
  <w:p>
    <w:pPr>
      <w:pStyle w:val="14"/>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52</w:t>
    </w:r>
    <w:r>
      <w:rPr>
        <w:lang w:val="zh-CN"/>
      </w:rPr>
      <w:fldChar w:fldCharType="end"/>
    </w:r>
  </w:p>
  <w:p>
    <w:pPr>
      <w:pStyle w:val="14"/>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jc w:val="center"/>
      <w:rPr>
        <w:rStyle w:val="22"/>
      </w:rPr>
    </w:pPr>
    <w:r>
      <w:fldChar w:fldCharType="begin"/>
    </w:r>
    <w:r>
      <w:rPr>
        <w:rStyle w:val="22"/>
      </w:rPr>
      <w:instrText xml:space="preserve">PAGE  </w:instrText>
    </w:r>
    <w:r>
      <w:fldChar w:fldCharType="separate"/>
    </w:r>
    <w:r>
      <w:rPr>
        <w:rStyle w:val="22"/>
      </w:rPr>
      <w:t>57</w:t>
    </w:r>
    <w:r>
      <w:fldChar w:fldCharType="end"/>
    </w:r>
  </w:p>
  <w:p>
    <w:pPr>
      <w:pStyle w:val="14"/>
      <w:framePr w:wrap="around" w:vAnchor="text" w:hAnchor="margin" w:xAlign="outside" w:y="1"/>
      <w:ind w:left="-4410" w:leftChars="-2100" w:right="-4439" w:rightChars="-2114"/>
      <w:rPr>
        <w:rStyle w:val="22"/>
      </w:rPr>
    </w:pPr>
  </w:p>
  <w:p>
    <w:pPr>
      <w:pStyle w:val="14"/>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2"/>
      </w:rPr>
    </w:pPr>
    <w:r>
      <w:fldChar w:fldCharType="begin"/>
    </w:r>
    <w:r>
      <w:rPr>
        <w:rStyle w:val="22"/>
      </w:rPr>
      <w:instrText xml:space="preserve">PAGE  </w:instrText>
    </w:r>
    <w:r>
      <w:fldChar w:fldCharType="separate"/>
    </w:r>
    <w:r>
      <w:rPr>
        <w:rStyle w:val="22"/>
        <w:rFonts w:hint="eastAsia"/>
      </w:rPr>
      <w:t>一</w:t>
    </w:r>
    <w:r>
      <w:rPr>
        <w:rStyle w:val="22"/>
      </w:rPr>
      <w:t>–2</w:t>
    </w:r>
    <w:r>
      <w:fldChar w:fldCharType="end"/>
    </w:r>
  </w:p>
  <w:p>
    <w:pPr>
      <w:pStyle w:val="14"/>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rPr>
        <w:rStyle w:val="22"/>
      </w:rPr>
      <w:instrText xml:space="preserve"> PAGE </w:instrText>
    </w:r>
    <w:r>
      <w:fldChar w:fldCharType="separate"/>
    </w:r>
    <w:r>
      <w:rPr>
        <w:rStyle w:val="22"/>
      </w:rPr>
      <w:t>56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OGVhOGY3MDY5ODYwODU1ZjEyMGU5NzM3MGUxN2EifQ=="/>
  </w:docVars>
  <w:rsids>
    <w:rsidRoot w:val="528C34E9"/>
    <w:rsid w:val="000D0B23"/>
    <w:rsid w:val="00205440"/>
    <w:rsid w:val="00631304"/>
    <w:rsid w:val="00804858"/>
    <w:rsid w:val="008604F6"/>
    <w:rsid w:val="00AD13D3"/>
    <w:rsid w:val="00D81CEC"/>
    <w:rsid w:val="00DE78B8"/>
    <w:rsid w:val="00F445D7"/>
    <w:rsid w:val="02072A78"/>
    <w:rsid w:val="042E7551"/>
    <w:rsid w:val="12182034"/>
    <w:rsid w:val="175C0ACE"/>
    <w:rsid w:val="204F5DCB"/>
    <w:rsid w:val="485E26FE"/>
    <w:rsid w:val="528C34E9"/>
    <w:rsid w:val="68247C01"/>
    <w:rsid w:val="72FA2B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qFormat/>
    <w:uiPriority w:val="0"/>
    <w:pPr>
      <w:keepNext/>
      <w:keepLines/>
      <w:spacing w:after="120" w:line="360" w:lineRule="auto"/>
      <w:outlineLvl w:val="0"/>
    </w:pPr>
    <w:rPr>
      <w:kern w:val="44"/>
      <w:sz w:val="28"/>
      <w:szCs w:val="28"/>
    </w:rPr>
  </w:style>
  <w:style w:type="paragraph" w:styleId="7">
    <w:name w:val="heading 2"/>
    <w:basedOn w:val="1"/>
    <w:next w:val="8"/>
    <w:qFormat/>
    <w:uiPriority w:val="0"/>
    <w:pPr>
      <w:keepNext/>
      <w:keepLines/>
      <w:spacing w:before="120" w:after="120" w:line="415" w:lineRule="auto"/>
      <w:jc w:val="center"/>
      <w:outlineLvl w:val="1"/>
    </w:pPr>
    <w:rPr>
      <w:rFonts w:ascii="Arial" w:hAnsi="Arial"/>
      <w:b/>
      <w:color w:val="000000"/>
      <w:kern w:val="0"/>
      <w:sz w:val="24"/>
      <w:szCs w:val="24"/>
    </w:rPr>
  </w:style>
  <w:style w:type="paragraph" w:styleId="9">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kern w:val="0"/>
      <w:sz w:val="20"/>
      <w:szCs w:val="20"/>
    </w:rPr>
  </w:style>
  <w:style w:type="paragraph" w:styleId="4">
    <w:name w:val="Title"/>
    <w:basedOn w:val="1"/>
    <w:qFormat/>
    <w:uiPriority w:val="0"/>
    <w:pPr>
      <w:spacing w:before="120" w:after="60"/>
      <w:jc w:val="center"/>
    </w:pPr>
    <w:rPr>
      <w:rFonts w:ascii="Arial" w:hAnsi="Arial"/>
      <w:b/>
      <w:kern w:val="0"/>
      <w:sz w:val="44"/>
      <w:szCs w:val="20"/>
    </w:rPr>
  </w:style>
  <w:style w:type="paragraph" w:styleId="5">
    <w:name w:val="Body Text First Indent"/>
    <w:basedOn w:val="6"/>
    <w:qFormat/>
    <w:uiPriority w:val="0"/>
    <w:pPr>
      <w:ind w:firstLine="420"/>
    </w:pPr>
  </w:style>
  <w:style w:type="paragraph" w:styleId="6">
    <w:name w:val="Body Text"/>
    <w:basedOn w:val="1"/>
    <w:next w:val="1"/>
    <w:qFormat/>
    <w:uiPriority w:val="0"/>
    <w:pPr>
      <w:spacing w:after="120"/>
    </w:pPr>
    <w:rPr>
      <w:kern w:val="0"/>
      <w:sz w:val="20"/>
      <w:szCs w:val="20"/>
    </w:rPr>
  </w:style>
  <w:style w:type="paragraph" w:styleId="8">
    <w:name w:val="Normal Indent"/>
    <w:basedOn w:val="1"/>
    <w:next w:val="1"/>
    <w:qFormat/>
    <w:uiPriority w:val="0"/>
    <w:pPr>
      <w:ind w:firstLine="420"/>
    </w:pPr>
    <w:rPr>
      <w:szCs w:val="20"/>
    </w:rPr>
  </w:style>
  <w:style w:type="paragraph" w:styleId="10">
    <w:name w:val="annotation text"/>
    <w:basedOn w:val="1"/>
    <w:next w:val="1"/>
    <w:link w:val="34"/>
    <w:qFormat/>
    <w:uiPriority w:val="99"/>
    <w:pPr>
      <w:spacing w:line="360" w:lineRule="auto"/>
      <w:ind w:firstLine="523" w:firstLineChars="218"/>
      <w:jc w:val="left"/>
    </w:pPr>
    <w:rPr>
      <w:rFonts w:ascii="宋体" w:hAnsi="宋体"/>
      <w:kern w:val="0"/>
      <w:sz w:val="24"/>
      <w:szCs w:val="24"/>
    </w:rPr>
  </w:style>
  <w:style w:type="paragraph" w:styleId="11">
    <w:name w:val="Body Text 3"/>
    <w:basedOn w:val="1"/>
    <w:unhideWhenUsed/>
    <w:qFormat/>
    <w:uiPriority w:val="99"/>
    <w:pPr>
      <w:spacing w:after="120"/>
    </w:pPr>
    <w:rPr>
      <w:rFonts w:ascii="Calibri" w:hAnsi="Calibri"/>
      <w:sz w:val="16"/>
      <w:szCs w:val="16"/>
    </w:rPr>
  </w:style>
  <w:style w:type="paragraph" w:styleId="12">
    <w:name w:val="Date"/>
    <w:basedOn w:val="1"/>
    <w:next w:val="1"/>
    <w:qFormat/>
    <w:uiPriority w:val="0"/>
    <w:rPr>
      <w:kern w:val="0"/>
      <w:sz w:val="20"/>
      <w:szCs w:val="20"/>
    </w:rPr>
  </w:style>
  <w:style w:type="paragraph" w:styleId="13">
    <w:name w:val="Balloon Text"/>
    <w:basedOn w:val="1"/>
    <w:link w:val="32"/>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qFormat/>
    <w:uiPriority w:val="39"/>
    <w:pPr>
      <w:spacing w:before="120" w:after="120"/>
      <w:jc w:val="left"/>
    </w:pPr>
    <w:rPr>
      <w:rFonts w:cs="Calibri"/>
      <w:b/>
      <w:bCs/>
      <w:caps/>
      <w:sz w:val="20"/>
      <w:szCs w:val="20"/>
    </w:rPr>
  </w:style>
  <w:style w:type="paragraph" w:styleId="17">
    <w:name w:val="toc 2"/>
    <w:basedOn w:val="1"/>
    <w:next w:val="1"/>
    <w:qFormat/>
    <w:uiPriority w:val="39"/>
    <w:pPr>
      <w:ind w:left="210"/>
      <w:jc w:val="left"/>
    </w:pPr>
    <w:rPr>
      <w:rFonts w:cs="Calibri"/>
      <w:smallCaps/>
      <w:sz w:val="20"/>
      <w:szCs w:val="20"/>
    </w:rPr>
  </w:style>
  <w:style w:type="paragraph" w:styleId="18">
    <w:name w:val="Normal (Web)"/>
    <w:basedOn w:val="1"/>
    <w:next w:val="1"/>
    <w:qFormat/>
    <w:uiPriority w:val="99"/>
    <w:pPr>
      <w:widowControl/>
      <w:spacing w:before="100" w:beforeAutospacing="1" w:after="100" w:afterAutospacing="1"/>
      <w:jc w:val="left"/>
    </w:pPr>
    <w:rPr>
      <w:rFonts w:ascii="宋体" w:hAnsi="宋体"/>
      <w:kern w:val="0"/>
      <w:sz w:val="24"/>
      <w:szCs w:val="24"/>
    </w:rPr>
  </w:style>
  <w:style w:type="paragraph" w:styleId="19">
    <w:name w:val="annotation subject"/>
    <w:basedOn w:val="10"/>
    <w:next w:val="10"/>
    <w:link w:val="35"/>
    <w:qFormat/>
    <w:uiPriority w:val="0"/>
    <w:pPr>
      <w:spacing w:line="240" w:lineRule="auto"/>
      <w:ind w:firstLine="0" w:firstLineChars="0"/>
    </w:pPr>
    <w:rPr>
      <w:rFonts w:ascii="Times New Roman" w:hAnsi="Times New Roman"/>
      <w:b/>
      <w:bCs/>
      <w:kern w:val="2"/>
      <w:sz w:val="21"/>
      <w:szCs w:val="22"/>
    </w:rPr>
  </w:style>
  <w:style w:type="character" w:styleId="22">
    <w:name w:val="page number"/>
    <w:qFormat/>
    <w:uiPriority w:val="0"/>
    <w:rPr>
      <w:rFonts w:cs="Times New Roman"/>
    </w:rPr>
  </w:style>
  <w:style w:type="character" w:styleId="23">
    <w:name w:val="Hyperlink"/>
    <w:qFormat/>
    <w:uiPriority w:val="99"/>
    <w:rPr>
      <w:rFonts w:hint="eastAsia" w:ascii="微软雅黑" w:hAnsi="微软雅黑" w:eastAsia="微软雅黑" w:cs="微软雅黑"/>
      <w:color w:val="337AB7"/>
      <w:u w:val="none"/>
    </w:rPr>
  </w:style>
  <w:style w:type="character" w:styleId="24">
    <w:name w:val="annotation reference"/>
    <w:qFormat/>
    <w:uiPriority w:val="99"/>
    <w:rPr>
      <w:sz w:val="21"/>
      <w:szCs w:val="21"/>
    </w:rPr>
  </w:style>
  <w:style w:type="paragraph" w:customStyle="1" w:styleId="25">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styleId="26">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7">
    <w:name w:val="NormalCharacter"/>
    <w:qFormat/>
    <w:uiPriority w:val="0"/>
  </w:style>
  <w:style w:type="character" w:customStyle="1" w:styleId="28">
    <w:name w:val="15"/>
    <w:basedOn w:val="21"/>
    <w:qFormat/>
    <w:uiPriority w:val="0"/>
    <w:rPr>
      <w:rFonts w:hint="default" w:ascii="Times New Roman" w:hAnsi="Times New Roman" w:cs="Times New Roman"/>
      <w:sz w:val="21"/>
      <w:szCs w:val="21"/>
    </w:rPr>
  </w:style>
  <w:style w:type="paragraph" w:customStyle="1" w:styleId="29">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30">
    <w:name w:val="表格文字"/>
    <w:basedOn w:val="1"/>
    <w:qFormat/>
    <w:uiPriority w:val="0"/>
    <w:pPr>
      <w:jc w:val="center"/>
    </w:pPr>
  </w:style>
  <w:style w:type="paragraph" w:customStyle="1" w:styleId="31">
    <w:name w:val="Normal_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2">
    <w:name w:val="批注框文本 Char"/>
    <w:basedOn w:val="21"/>
    <w:link w:val="13"/>
    <w:qFormat/>
    <w:uiPriority w:val="0"/>
    <w:rPr>
      <w:rFonts w:ascii="Times New Roman" w:hAnsi="Times New Roman" w:eastAsia="宋体" w:cs="Times New Roman"/>
      <w:kern w:val="2"/>
      <w:sz w:val="18"/>
      <w:szCs w:val="18"/>
    </w:rPr>
  </w:style>
  <w:style w:type="paragraph" w:customStyle="1" w:styleId="33">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34">
    <w:name w:val="批注文字 Char"/>
    <w:basedOn w:val="21"/>
    <w:link w:val="10"/>
    <w:qFormat/>
    <w:uiPriority w:val="99"/>
    <w:rPr>
      <w:rFonts w:ascii="宋体" w:hAnsi="宋体" w:eastAsia="宋体" w:cs="Times New Roman"/>
      <w:sz w:val="24"/>
      <w:szCs w:val="24"/>
    </w:rPr>
  </w:style>
  <w:style w:type="character" w:customStyle="1" w:styleId="35">
    <w:name w:val="批注主题 Char"/>
    <w:basedOn w:val="34"/>
    <w:link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7811</Words>
  <Characters>44529</Characters>
  <Lines>371</Lines>
  <Paragraphs>104</Paragraphs>
  <TotalTime>41</TotalTime>
  <ScaleCrop>false</ScaleCrop>
  <LinksUpToDate>false</LinksUpToDate>
  <CharactersWithSpaces>52236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2023-09-19T09:22:00Z</dcterms:created>
  <dc:creator>聴☆雨</dc:creator>
  <cp:lastModifiedBy>Administrator</cp:lastModifiedBy>
  <dcterms:modified xsi:type="dcterms:W3CDTF">2023-09-24T08:55:11Z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9DB59250ABA946CFB564FFA1040356AF</vt:lpwstr>
  </property>
</Properties>
</file>