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highlight w:val="none"/>
        </w:rPr>
      </w:pPr>
      <w:bookmarkStart w:id="7" w:name="_GoBack"/>
      <w:bookmarkEnd w:id="7"/>
    </w:p>
    <w:p>
      <w:pPr>
        <w:rPr>
          <w:highlight w:val="none"/>
        </w:rPr>
      </w:pPr>
      <w:r>
        <w:rPr>
          <w:rFonts w:hint="eastAsia"/>
          <w:highlight w:val="none"/>
        </w:rPr>
        <w:t xml:space="preserve">                                                        合同编号： </w:t>
      </w:r>
    </w:p>
    <w:p>
      <w:pPr>
        <w:rPr>
          <w:rFonts w:ascii="Arial Narrow" w:hAnsi="Arial Narrow"/>
          <w:highlight w:val="none"/>
        </w:rPr>
      </w:pPr>
    </w:p>
    <w:p>
      <w:pPr>
        <w:rPr>
          <w:rFonts w:ascii="Arial Narrow" w:hAnsi="Arial Narrow"/>
          <w:highlight w:val="none"/>
        </w:rPr>
      </w:pPr>
    </w:p>
    <w:p>
      <w:pPr>
        <w:rPr>
          <w:rFonts w:ascii="宋体" w:hAnsi="宋体" w:cs="宋体"/>
          <w:b/>
          <w:spacing w:val="1"/>
          <w:sz w:val="44"/>
          <w:highlight w:val="none"/>
        </w:rPr>
      </w:pPr>
    </w:p>
    <w:p>
      <w:pPr>
        <w:spacing w:line="560" w:lineRule="exact"/>
        <w:rPr>
          <w:rFonts w:ascii="宋体" w:hAnsi="宋体"/>
          <w:b/>
          <w:bCs/>
          <w:sz w:val="52"/>
          <w:szCs w:val="52"/>
          <w:highlight w:val="none"/>
        </w:rPr>
      </w:pPr>
    </w:p>
    <w:p>
      <w:pPr>
        <w:jc w:val="center"/>
        <w:rPr>
          <w:rFonts w:ascii="华文仿宋" w:hAnsi="华文仿宋" w:eastAsia="华文仿宋" w:cs="华文仿宋"/>
          <w:b/>
          <w:sz w:val="52"/>
          <w:szCs w:val="52"/>
          <w:highlight w:val="none"/>
          <w:u w:val="single"/>
        </w:rPr>
      </w:pPr>
      <w:r>
        <w:rPr>
          <w:rFonts w:hint="eastAsia" w:ascii="华文仿宋" w:hAnsi="华文仿宋" w:eastAsia="华文仿宋" w:cs="华文仿宋"/>
          <w:b/>
          <w:sz w:val="52"/>
          <w:szCs w:val="52"/>
          <w:highlight w:val="none"/>
          <w:u w:val="single"/>
        </w:rPr>
        <w:t>广州南沙2018NJY-7地块项目智慧泵房</w:t>
      </w:r>
    </w:p>
    <w:p>
      <w:pPr>
        <w:jc w:val="center"/>
        <w:rPr>
          <w:rFonts w:ascii="华文仿宋" w:hAnsi="华文仿宋" w:eastAsia="华文仿宋" w:cs="华文仿宋"/>
          <w:b/>
          <w:sz w:val="52"/>
          <w:szCs w:val="52"/>
          <w:highlight w:val="none"/>
        </w:rPr>
      </w:pPr>
      <w:r>
        <w:rPr>
          <w:rFonts w:hint="eastAsia" w:ascii="华文仿宋" w:hAnsi="华文仿宋" w:eastAsia="华文仿宋" w:cs="华文仿宋"/>
          <w:b/>
          <w:sz w:val="52"/>
          <w:szCs w:val="52"/>
          <w:highlight w:val="none"/>
          <w:u w:val="single"/>
        </w:rPr>
        <w:t>及附属设备采购及相关服务合同</w:t>
      </w:r>
    </w:p>
    <w:p>
      <w:pPr>
        <w:rPr>
          <w:rFonts w:ascii="宋体" w:hAnsi="宋体"/>
          <w:b/>
          <w:bCs/>
          <w:sz w:val="52"/>
          <w:szCs w:val="52"/>
          <w:highlight w:val="none"/>
        </w:rPr>
      </w:pPr>
    </w:p>
    <w:p>
      <w:pPr>
        <w:jc w:val="both"/>
        <w:rPr>
          <w:rFonts w:ascii="宋体" w:hAnsi="宋体"/>
          <w:b/>
          <w:bCs/>
          <w:sz w:val="52"/>
          <w:szCs w:val="52"/>
          <w:highlight w:val="none"/>
        </w:rPr>
      </w:pPr>
    </w:p>
    <w:p>
      <w:pPr>
        <w:jc w:val="both"/>
        <w:rPr>
          <w:rFonts w:ascii="宋体" w:hAnsi="宋体"/>
          <w:b/>
          <w:bCs/>
          <w:sz w:val="52"/>
          <w:szCs w:val="52"/>
          <w:highlight w:val="none"/>
        </w:rPr>
      </w:pPr>
    </w:p>
    <w:p>
      <w:pPr>
        <w:spacing w:line="560" w:lineRule="exact"/>
        <w:rPr>
          <w:rFonts w:ascii="宋体" w:hAnsi="宋体"/>
          <w:b/>
          <w:bCs/>
          <w:sz w:val="52"/>
          <w:szCs w:val="52"/>
          <w:highlight w:val="none"/>
        </w:rPr>
      </w:pPr>
    </w:p>
    <w:p>
      <w:pPr>
        <w:spacing w:line="480" w:lineRule="auto"/>
        <w:ind w:firstLine="1661" w:firstLineChars="591"/>
        <w:rPr>
          <w:rFonts w:ascii="宋体" w:hAnsi="宋体"/>
          <w:b/>
          <w:bCs/>
          <w:sz w:val="28"/>
          <w:szCs w:val="28"/>
          <w:highlight w:val="none"/>
        </w:rPr>
      </w:pPr>
    </w:p>
    <w:p>
      <w:pPr>
        <w:spacing w:line="480" w:lineRule="auto"/>
        <w:ind w:firstLine="1261" w:firstLineChars="450"/>
        <w:rPr>
          <w:rFonts w:ascii="华文仿宋" w:hAnsi="华文仿宋" w:eastAsia="华文仿宋" w:cs="华文仿宋"/>
          <w:b/>
          <w:bCs/>
          <w:sz w:val="28"/>
          <w:szCs w:val="28"/>
          <w:highlight w:val="none"/>
        </w:rPr>
      </w:pPr>
      <w:r>
        <w:rPr>
          <w:rFonts w:hint="eastAsia" w:ascii="华文仿宋" w:hAnsi="华文仿宋" w:eastAsia="华文仿宋" w:cs="华文仿宋"/>
          <w:b/>
          <w:bCs/>
          <w:sz w:val="28"/>
          <w:szCs w:val="28"/>
          <w:highlight w:val="none"/>
        </w:rPr>
        <w:t>采购方：</w:t>
      </w:r>
      <w:r>
        <w:rPr>
          <w:rFonts w:hint="eastAsia" w:ascii="华文仿宋" w:hAnsi="华文仿宋" w:eastAsia="华文仿宋" w:cs="华文仿宋"/>
          <w:b/>
          <w:bCs/>
          <w:sz w:val="28"/>
          <w:szCs w:val="28"/>
          <w:highlight w:val="none"/>
          <w:u w:val="single"/>
        </w:rPr>
        <w:t xml:space="preserve">                               </w:t>
      </w:r>
    </w:p>
    <w:p>
      <w:pPr>
        <w:spacing w:line="480" w:lineRule="auto"/>
        <w:ind w:firstLine="1261" w:firstLineChars="450"/>
        <w:rPr>
          <w:rFonts w:ascii="华文仿宋" w:hAnsi="华文仿宋" w:eastAsia="华文仿宋" w:cs="华文仿宋"/>
          <w:b/>
          <w:bCs/>
          <w:sz w:val="28"/>
          <w:szCs w:val="28"/>
          <w:highlight w:val="none"/>
          <w:u w:val="single"/>
        </w:rPr>
      </w:pPr>
      <w:r>
        <w:rPr>
          <w:rFonts w:hint="eastAsia" w:ascii="华文仿宋" w:hAnsi="华文仿宋" w:eastAsia="华文仿宋" w:cs="华文仿宋"/>
          <w:b/>
          <w:bCs/>
          <w:sz w:val="28"/>
          <w:szCs w:val="28"/>
          <w:highlight w:val="none"/>
        </w:rPr>
        <w:t>供货方：</w:t>
      </w:r>
      <w:r>
        <w:rPr>
          <w:rFonts w:hint="eastAsia" w:ascii="华文仿宋" w:hAnsi="华文仿宋" w:eastAsia="华文仿宋" w:cs="华文仿宋"/>
          <w:b/>
          <w:bCs/>
          <w:sz w:val="28"/>
          <w:szCs w:val="28"/>
          <w:highlight w:val="none"/>
          <w:u w:val="single"/>
        </w:rPr>
        <w:t xml:space="preserve">                                </w:t>
      </w:r>
    </w:p>
    <w:p>
      <w:pPr>
        <w:spacing w:line="480" w:lineRule="auto"/>
        <w:ind w:firstLine="1261" w:firstLineChars="450"/>
        <w:rPr>
          <w:rFonts w:ascii="Arial" w:hAnsi="Arial" w:eastAsia="华文仿宋" w:cs="华文仿宋"/>
          <w:b/>
          <w:bCs/>
          <w:sz w:val="28"/>
          <w:szCs w:val="28"/>
          <w:highlight w:val="none"/>
        </w:rPr>
      </w:pPr>
      <w:r>
        <w:rPr>
          <w:rFonts w:hint="eastAsia" w:ascii="华文仿宋" w:hAnsi="华文仿宋" w:eastAsia="华文仿宋" w:cs="华文仿宋"/>
          <w:b/>
          <w:bCs/>
          <w:sz w:val="28"/>
          <w:szCs w:val="28"/>
          <w:highlight w:val="none"/>
        </w:rPr>
        <w:t xml:space="preserve">签订日期：    </w:t>
      </w:r>
      <w:r>
        <w:rPr>
          <w:rFonts w:hint="eastAsia" w:ascii="Arial" w:hAnsi="Arial" w:eastAsia="华文仿宋" w:cs="华文仿宋"/>
          <w:b/>
          <w:bCs/>
          <w:sz w:val="28"/>
          <w:szCs w:val="28"/>
          <w:highlight w:val="none"/>
        </w:rPr>
        <w:t>年    月</w:t>
      </w:r>
    </w:p>
    <w:p>
      <w:pPr>
        <w:spacing w:line="500" w:lineRule="exact"/>
        <w:jc w:val="center"/>
        <w:rPr>
          <w:rFonts w:ascii="华文仿宋" w:hAnsi="华文仿宋" w:eastAsia="华文仿宋" w:cs="华文仿宋"/>
          <w:b/>
          <w:sz w:val="44"/>
          <w:highlight w:val="none"/>
        </w:rPr>
        <w:sectPr>
          <w:headerReference r:id="rId5" w:type="default"/>
          <w:footerReference r:id="rId6" w:type="default"/>
          <w:pgSz w:w="11906" w:h="16838"/>
          <w:pgMar w:top="1418" w:right="1418" w:bottom="1418" w:left="1418" w:header="851" w:footer="851" w:gutter="0"/>
          <w:cols w:space="425" w:num="1"/>
          <w:docGrid w:linePitch="312" w:charSpace="0"/>
        </w:sectPr>
      </w:pPr>
    </w:p>
    <w:p>
      <w:pPr>
        <w:spacing w:line="500" w:lineRule="exact"/>
        <w:jc w:val="center"/>
        <w:rPr>
          <w:rFonts w:ascii="宋体" w:hAnsi="宋体"/>
          <w:b/>
          <w:sz w:val="32"/>
          <w:szCs w:val="32"/>
          <w:highlight w:val="none"/>
        </w:rPr>
      </w:pPr>
      <w:r>
        <w:rPr>
          <w:rFonts w:hint="eastAsia" w:ascii="宋体" w:hAnsi="宋体"/>
          <w:b/>
          <w:sz w:val="32"/>
          <w:szCs w:val="32"/>
          <w:highlight w:val="none"/>
        </w:rPr>
        <w:t>设备采购及相关服务合同</w:t>
      </w:r>
    </w:p>
    <w:p>
      <w:pPr>
        <w:spacing w:line="440" w:lineRule="exact"/>
        <w:rPr>
          <w:highlight w:val="none"/>
        </w:rPr>
      </w:pPr>
    </w:p>
    <w:p>
      <w:pPr>
        <w:spacing w:line="400" w:lineRule="exact"/>
        <w:ind w:firstLine="47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采购方</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全称</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u w:val="single"/>
        </w:rPr>
        <w:t xml:space="preserve">   广州市瑞湾房地产开发有限公司   </w:t>
      </w:r>
      <w:r>
        <w:rPr>
          <w:rFonts w:hint="eastAsia" w:asciiTheme="minorEastAsia" w:hAnsiTheme="minorEastAsia" w:eastAsiaTheme="minorEastAsia"/>
          <w:b/>
          <w:sz w:val="24"/>
          <w:highlight w:val="none"/>
        </w:rPr>
        <w:t>（以下简称“甲方”）</w:t>
      </w:r>
    </w:p>
    <w:p>
      <w:pPr>
        <w:spacing w:line="400" w:lineRule="exact"/>
        <w:ind w:firstLine="476"/>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供货方</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全称</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u w:val="single"/>
        </w:rPr>
        <w:t xml:space="preserve">                                 </w:t>
      </w:r>
      <w:r>
        <w:rPr>
          <w:rFonts w:hint="eastAsia" w:asciiTheme="minorEastAsia" w:hAnsiTheme="minorEastAsia" w:eastAsiaTheme="minorEastAsia"/>
          <w:b/>
          <w:sz w:val="24"/>
          <w:highlight w:val="none"/>
        </w:rPr>
        <w:t>（以下简称“乙方”）</w:t>
      </w:r>
    </w:p>
    <w:p>
      <w:pPr>
        <w:spacing w:line="400" w:lineRule="exact"/>
        <w:rPr>
          <w:rFonts w:ascii="长城楷体" w:eastAsia="长城楷体"/>
          <w:sz w:val="24"/>
          <w:highlight w:val="none"/>
        </w:rPr>
      </w:pPr>
    </w:p>
    <w:p>
      <w:pPr>
        <w:pStyle w:val="27"/>
        <w:spacing w:before="156" w:beforeLines="50" w:after="156" w:afterLines="50" w:line="300" w:lineRule="auto"/>
        <w:ind w:left="0" w:leftChars="0"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依照《中华人民共和国民法典》及其他有关法律、行政法规，遵循平等、自愿、公平和诚实信用的原则，经双方协商就</w:t>
      </w:r>
      <w:r>
        <w:rPr>
          <w:rFonts w:hint="eastAsia" w:asciiTheme="minorEastAsia" w:hAnsiTheme="minorEastAsia" w:eastAsiaTheme="minorEastAsia"/>
          <w:szCs w:val="21"/>
          <w:highlight w:val="none"/>
          <w:u w:val="single"/>
        </w:rPr>
        <w:t xml:space="preserve">  广州南沙2018NJY-7地块项目智慧泵房及附属设备采购及相关服务  </w:t>
      </w:r>
      <w:r>
        <w:rPr>
          <w:rFonts w:hint="eastAsia" w:asciiTheme="minorEastAsia" w:hAnsiTheme="minorEastAsia" w:eastAsiaTheme="minorEastAsia"/>
          <w:szCs w:val="21"/>
          <w:highlight w:val="none"/>
        </w:rPr>
        <w:t>（以下简称“设备”）有关事项达成一致意见，签订本合同。</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工程概况</w:t>
      </w:r>
    </w:p>
    <w:p>
      <w:pPr>
        <w:pStyle w:val="76"/>
        <w:numPr>
          <w:ilvl w:val="1"/>
          <w:numId w:val="3"/>
        </w:numPr>
        <w:spacing w:before="156" w:beforeLines="50" w:after="156" w:afterLines="50" w:line="300" w:lineRule="auto"/>
        <w:ind w:left="420"/>
        <w:jc w:val="both"/>
        <w:rPr>
          <w:rFonts w:asciiTheme="minorEastAsia" w:hAnsiTheme="minorEastAsia" w:eastAsiaTheme="minorEastAsia"/>
          <w:sz w:val="21"/>
          <w:szCs w:val="21"/>
          <w:highlight w:val="none"/>
        </w:rPr>
      </w:pPr>
      <w:r>
        <w:rPr>
          <w:rFonts w:hint="eastAsia" w:cs="Times New Roman" w:asciiTheme="minorEastAsia" w:hAnsiTheme="minorEastAsia" w:eastAsiaTheme="minorEastAsia"/>
          <w:kern w:val="2"/>
          <w:sz w:val="21"/>
          <w:szCs w:val="21"/>
          <w:highlight w:val="none"/>
        </w:rPr>
        <w:t>工程名称：</w:t>
      </w:r>
      <w:r>
        <w:rPr>
          <w:rFonts w:hint="eastAsia" w:cs="Times New Roman" w:asciiTheme="minorEastAsia" w:hAnsiTheme="minorEastAsia" w:eastAsiaTheme="minorEastAsia"/>
          <w:kern w:val="2"/>
          <w:sz w:val="21"/>
          <w:szCs w:val="21"/>
          <w:highlight w:val="none"/>
          <w:u w:val="single"/>
        </w:rPr>
        <w:t>广州南沙</w:t>
      </w:r>
      <w:r>
        <w:rPr>
          <w:rFonts w:hint="eastAsia" w:asciiTheme="minorEastAsia" w:hAnsiTheme="minorEastAsia" w:eastAsiaTheme="minorEastAsia"/>
          <w:sz w:val="21"/>
          <w:szCs w:val="21"/>
          <w:highlight w:val="none"/>
          <w:u w:val="single"/>
        </w:rPr>
        <w:t xml:space="preserve">2018NJY-7地块项目智慧泵房及附属设备采购及相关服务    </w:t>
      </w:r>
    </w:p>
    <w:p>
      <w:pPr>
        <w:pStyle w:val="76"/>
        <w:numPr>
          <w:ilvl w:val="1"/>
          <w:numId w:val="3"/>
        </w:numPr>
        <w:spacing w:before="156" w:beforeLines="50" w:after="156" w:afterLines="50" w:line="300" w:lineRule="auto"/>
        <w:ind w:left="420"/>
        <w:jc w:val="both"/>
        <w:rPr>
          <w:rFonts w:asciiTheme="minorEastAsia" w:hAnsiTheme="minorEastAsia" w:eastAsiaTheme="minorEastAsia"/>
          <w:sz w:val="21"/>
          <w:szCs w:val="21"/>
          <w:highlight w:val="none"/>
        </w:rPr>
      </w:pPr>
      <w:r>
        <w:rPr>
          <w:rFonts w:hint="eastAsia" w:cs="Times New Roman" w:asciiTheme="minorEastAsia" w:hAnsiTheme="minorEastAsia" w:eastAsiaTheme="minorEastAsia"/>
          <w:kern w:val="2"/>
          <w:sz w:val="21"/>
          <w:szCs w:val="21"/>
          <w:highlight w:val="none"/>
        </w:rPr>
        <w:t>工程</w:t>
      </w:r>
      <w:r>
        <w:rPr>
          <w:rFonts w:hint="eastAsia" w:asciiTheme="minorEastAsia" w:hAnsiTheme="minorEastAsia" w:eastAsiaTheme="minorEastAsia"/>
          <w:sz w:val="21"/>
          <w:szCs w:val="21"/>
          <w:highlight w:val="none"/>
        </w:rPr>
        <w:t>地点：</w:t>
      </w:r>
      <w:r>
        <w:rPr>
          <w:rFonts w:hint="eastAsia" w:asciiTheme="minorEastAsia" w:hAnsiTheme="minorEastAsia" w:eastAsiaTheme="minorEastAsia"/>
          <w:sz w:val="21"/>
          <w:szCs w:val="21"/>
          <w:highlight w:val="none"/>
          <w:u w:val="single"/>
        </w:rPr>
        <w:t xml:space="preserve">  广州市南沙区    </w:t>
      </w:r>
    </w:p>
    <w:p>
      <w:pPr>
        <w:pStyle w:val="76"/>
        <w:numPr>
          <w:ilvl w:val="1"/>
          <w:numId w:val="3"/>
        </w:numPr>
        <w:spacing w:before="156" w:beforeLines="50" w:after="156" w:afterLines="50" w:line="300" w:lineRule="auto"/>
        <w:ind w:left="420"/>
        <w:jc w:val="both"/>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rPr>
        <w:t>工程</w:t>
      </w:r>
      <w:r>
        <w:rPr>
          <w:rFonts w:hint="eastAsia" w:cs="Times New Roman" w:asciiTheme="minorEastAsia" w:hAnsiTheme="minorEastAsia" w:eastAsiaTheme="minorEastAsia"/>
          <w:kern w:val="2"/>
          <w:sz w:val="21"/>
          <w:szCs w:val="21"/>
          <w:highlight w:val="none"/>
        </w:rPr>
        <w:t>内容</w:t>
      </w:r>
      <w:r>
        <w:rPr>
          <w:rFonts w:hint="eastAsia" w:asciiTheme="minorEastAsia" w:hAnsiTheme="minorEastAsia" w:eastAsiaTheme="minorEastAsia"/>
          <w:sz w:val="21"/>
          <w:szCs w:val="21"/>
          <w:highlight w:val="none"/>
        </w:rPr>
        <w:t>包括：</w:t>
      </w:r>
      <w:r>
        <w:rPr>
          <w:rFonts w:hint="eastAsia" w:asciiTheme="minorEastAsia" w:hAnsiTheme="minorEastAsia" w:eastAsiaTheme="minorEastAsia"/>
          <w:sz w:val="21"/>
          <w:szCs w:val="21"/>
          <w:highlight w:val="none"/>
          <w:u w:val="single"/>
        </w:rPr>
        <w:t>广州南沙2018NJY-7地块项目智慧泵房及附属设备采购及相关服务，包含但不限于：智慧泵房及配件及其与主结构的连接件采购、制造、安装、测试及调试以及培训操作人员、提供使用说明书以及使用期间设备的日常维护等相关服务，</w:t>
      </w:r>
      <w:r>
        <w:rPr>
          <w:rFonts w:hint="eastAsia" w:asciiTheme="minorEastAsia" w:hAnsiTheme="minorEastAsia" w:eastAsiaTheme="minorEastAsia"/>
          <w:sz w:val="21"/>
          <w:szCs w:val="21"/>
          <w:highlight w:val="none"/>
        </w:rPr>
        <w:t>泵房供水设备及智慧泵房方案深化设计，通过上级供水部门供水审批；负责：泵组设备、水箱、压力容器、管道、仪表、阀门、控制系统、消毒设备、智慧泵房等建设（包括但不限于：恒压变频给水泵组、不锈钢水箱、配套管件阀门、泵房装修、数据集成及辅助设施等泵房内一切建筑安装工程，并将出入水口管道引到泵房墙外）；总承包单位负责将电缆接至泵房，泵房内部一切接电相关安装工程由乙方负责；智能化单位负责将光纤接至泵房，泵房内部一切智能化相关安装工程由乙方负责；乙方负责泵房出水管的水质化验检测合格，达到粤海水务相关验收要求；乙方负责验收通过；</w:t>
      </w:r>
      <w:r>
        <w:rPr>
          <w:rFonts w:hint="eastAsia" w:asciiTheme="minorEastAsia" w:hAnsiTheme="minorEastAsia" w:eastAsiaTheme="minorEastAsia"/>
          <w:sz w:val="21"/>
          <w:szCs w:val="21"/>
          <w:highlight w:val="none"/>
          <w:u w:val="single"/>
        </w:rPr>
        <w:t>（具体技术参数要求及内容详见《</w:t>
      </w:r>
      <w:r>
        <w:rPr>
          <w:rFonts w:hint="eastAsia" w:asciiTheme="minorEastAsia" w:hAnsiTheme="minorEastAsia" w:eastAsiaTheme="minorEastAsia"/>
          <w:color w:val="000000"/>
          <w:sz w:val="21"/>
          <w:szCs w:val="21"/>
          <w:highlight w:val="none"/>
          <w:u w:val="single"/>
          <w:lang w:bidi="ar"/>
        </w:rPr>
        <w:t>二次供水设备设施建设标准和技术要求</w:t>
      </w:r>
      <w:r>
        <w:rPr>
          <w:rFonts w:hint="eastAsia" w:asciiTheme="minorEastAsia" w:hAnsiTheme="minorEastAsia" w:eastAsiaTheme="minorEastAsia"/>
          <w:sz w:val="21"/>
          <w:szCs w:val="21"/>
          <w:highlight w:val="none"/>
          <w:u w:val="single"/>
        </w:rPr>
        <w:t>》）。</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合同</w:t>
      </w:r>
      <w:r>
        <w:rPr>
          <w:rFonts w:asciiTheme="minorEastAsia" w:hAnsiTheme="minorEastAsia" w:eastAsiaTheme="minorEastAsia"/>
          <w:b/>
          <w:bCs/>
          <w:sz w:val="21"/>
          <w:szCs w:val="21"/>
          <w:highlight w:val="none"/>
        </w:rPr>
        <w:t>工期</w:t>
      </w:r>
    </w:p>
    <w:p>
      <w:pPr>
        <w:pStyle w:val="76"/>
        <w:numPr>
          <w:ilvl w:val="0"/>
          <w:numId w:val="4"/>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工期</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本项目工期为本合同生效后</w:t>
      </w:r>
      <w:r>
        <w:rPr>
          <w:rFonts w:hint="eastAsia" w:asciiTheme="minorEastAsia" w:hAnsiTheme="minorEastAsia" w:eastAsiaTheme="minorEastAsia"/>
          <w:sz w:val="21"/>
          <w:szCs w:val="21"/>
          <w:highlight w:val="none"/>
          <w:u w:val="single"/>
        </w:rPr>
        <w:t>90</w:t>
      </w:r>
      <w:r>
        <w:rPr>
          <w:rFonts w:hint="eastAsia" w:asciiTheme="minorEastAsia" w:hAnsiTheme="minorEastAsia" w:eastAsiaTheme="minorEastAsia"/>
          <w:sz w:val="21"/>
          <w:szCs w:val="21"/>
          <w:highlight w:val="none"/>
        </w:rPr>
        <w:t>个日历天</w:t>
      </w:r>
      <w:r>
        <w:rPr>
          <w:rFonts w:hint="eastAsia"/>
          <w:sz w:val="21"/>
          <w:szCs w:val="21"/>
          <w:highlight w:val="none"/>
        </w:rPr>
        <w:t>内完成所有设备的供应、安装，</w:t>
      </w:r>
      <w:r>
        <w:rPr>
          <w:rFonts w:hint="eastAsia" w:asciiTheme="minorEastAsia" w:hAnsiTheme="minorEastAsia" w:eastAsiaTheme="minorEastAsia"/>
          <w:sz w:val="21"/>
          <w:szCs w:val="21"/>
          <w:highlight w:val="none"/>
        </w:rPr>
        <w:t>本合同生效后</w:t>
      </w:r>
      <w:r>
        <w:rPr>
          <w:rFonts w:hint="eastAsia" w:asciiTheme="minorEastAsia" w:hAnsiTheme="minorEastAsia" w:eastAsiaTheme="minorEastAsia"/>
          <w:sz w:val="21"/>
          <w:szCs w:val="21"/>
          <w:highlight w:val="none"/>
          <w:u w:val="single"/>
        </w:rPr>
        <w:t>182</w:t>
      </w:r>
      <w:r>
        <w:rPr>
          <w:rFonts w:hint="eastAsia" w:asciiTheme="minorEastAsia" w:hAnsiTheme="minorEastAsia" w:eastAsiaTheme="minorEastAsia"/>
          <w:sz w:val="21"/>
          <w:szCs w:val="21"/>
          <w:highlight w:val="none"/>
        </w:rPr>
        <w:t>个日历天</w:t>
      </w:r>
      <w:r>
        <w:rPr>
          <w:rFonts w:hint="eastAsia"/>
          <w:sz w:val="21"/>
          <w:szCs w:val="21"/>
          <w:highlight w:val="none"/>
        </w:rPr>
        <w:t>内完成所有调试及验收</w:t>
      </w:r>
      <w:r>
        <w:rPr>
          <w:rFonts w:hint="eastAsia" w:asciiTheme="minorEastAsia" w:hAnsiTheme="minorEastAsia" w:eastAsiaTheme="minorEastAsia"/>
          <w:sz w:val="21"/>
          <w:szCs w:val="21"/>
          <w:highlight w:val="none"/>
        </w:rPr>
        <w:t>。（</w:t>
      </w:r>
      <w:r>
        <w:rPr>
          <w:rFonts w:hint="eastAsia"/>
          <w:sz w:val="21"/>
          <w:szCs w:val="21"/>
          <w:highlight w:val="none"/>
        </w:rPr>
        <w:t>具体开工日期及施工期以甲方的书面通知为准）。</w:t>
      </w:r>
    </w:p>
    <w:p>
      <w:pPr>
        <w:pStyle w:val="76"/>
        <w:numPr>
          <w:ilvl w:val="0"/>
          <w:numId w:val="4"/>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合同签订之日起5日内甲方向乙方提供土建施工图以便乙方绘制深化设计图纸，乙方在收到图纸文件之日起10日内制成深化设计图纸，一式八份。在甲方组织下向本项目主体设计院、土建施工单位进行交底，并送交甲方确认；甲方应在收到乙方送交的深化设计图纸后10日内以书面方式确认完毕并反馈乙方。如因实施过程中甲方调整技术参数引起变化的，乙方应及时更新相应图纸，由此产生的额外费用，由乙方自行承担。如乙方供货到场的设备，与乙方提供的深化设计图纸不符，整改修正的费用及工期延误引起的甲方损失，由乙方承担。</w:t>
      </w:r>
    </w:p>
    <w:p>
      <w:pPr>
        <w:pStyle w:val="76"/>
        <w:numPr>
          <w:ilvl w:val="0"/>
          <w:numId w:val="4"/>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乙方应加强施工现场内各工种、各工序之间的配合和协调，使工作面尽可能地得到充分的利用，确保工程顺利进行。如发生工期延误或返工，乙方应当按照本合同第十四条的约定承担违约责任。</w:t>
      </w:r>
    </w:p>
    <w:p>
      <w:pPr>
        <w:pStyle w:val="76"/>
        <w:numPr>
          <w:ilvl w:val="0"/>
          <w:numId w:val="4"/>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如因不可抗力或甲方同意的其他情况造成的乙方供货延误的，可以相应顺延供货期限。</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合同价款</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.1</w:t>
      </w:r>
      <w:r>
        <w:rPr>
          <w:rFonts w:hint="eastAsia" w:asciiTheme="minorEastAsia" w:hAnsiTheme="minorEastAsia" w:eastAsiaTheme="minorEastAsia"/>
          <w:sz w:val="21"/>
          <w:szCs w:val="21"/>
          <w:highlight w:val="none"/>
        </w:rPr>
        <w:t xml:space="preserve">本合同包干总价共计人民币        元（大写：          </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），不含增值税价格人民币              元（大写：                    ），增值税率为     %，增值税金额为人民币           元（大写：                   ）。如因国家增值税政策原因调整、增值税税率调整的，则以不含增值税总价不变、增值税金额调整为原则调整含增值税总价（具体组成详见附件4：设备报价清单）。</w:t>
      </w:r>
    </w:p>
    <w:p>
      <w:pPr>
        <w:pStyle w:val="76"/>
        <w:numPr>
          <w:ilvl w:val="1"/>
          <w:numId w:val="5"/>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合同智慧泵房供应及相关服务采用合同总价包干形式，包括但不限于：设备采购费（智慧泵房及配件及其与主结构的连接件设计、制造、包装、装卸、运输、保管、存放、仓储、检疫检验、保险关税、货到工地负责堆放至甲方指定地点所发生的一切费用）、安装费、包装费、运输费、卸货及二次运输费（不含机组吊装就位）、保管费、成品保护费、存放费、仓储费、人工费、管理费、材料费、机械费、各种措施费、材料设备检测费、负载检测费、调试费、政府有关报装费报检费、验收费、检验和测试费、水电费、消防验收配合费、临时设施费、工作返工或重复费用、因质量问题引起的维修和更换费用、大型机械进出场费、各种保险费、文明施工费、深化设计费、相关技术服务费用、维修工具费、赶工费、垃圾清运费、各类风险、保修费、利润、税金等一切费用，乙方负责广州南沙2018NJY-7地块泵房供水设备及智慧泵房方案深化设计，通过上级供水部门供水审批；负责：泵组设备、水箱、压力容器、管道、仪表、阀门、控制系统、消毒设备、智慧泵房等建设（包括但不限于：恒压变频给水泵组、不锈钢水箱、配套管件阀门、泵房装修、数据集成及辅助设施等泵房内一切建筑安装工程，并将出入水口管道引到泵房墙外）；总承包单位负责将电缆接至泵房，泵房内部一切接电相关安装工程由乙方负责；智能化单位负责将光纤接至泵房，泵房内部一切智能化相关安装工程由乙方负责；乙方负责泵房出水管的水质化验检测合格，达到粤海水务相关验收要求；乙方负责验收通过；除合同另有约定外甲方不再支付任何其他酬金；工程量清单中项目特征描述的任何误差、遗漏项皆为乙方承担之风险，乙方应结合招标技术要求及图纸综合考虑，甲方在合同签订后不接受乙方以此为由的任何形式的索赔。</w:t>
      </w:r>
    </w:p>
    <w:p>
      <w:pPr>
        <w:pStyle w:val="76"/>
        <w:numPr>
          <w:ilvl w:val="1"/>
          <w:numId w:val="5"/>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施工过程中因甲方或设计变更等原因而产生的材料和设备品种、规格、型号、质量等级改变，除材料和设备价格允许按甲方签证价格调整外，其余不得变动。</w:t>
      </w:r>
    </w:p>
    <w:p>
      <w:pPr>
        <w:pStyle w:val="76"/>
        <w:numPr>
          <w:ilvl w:val="1"/>
          <w:numId w:val="5"/>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自行进行工地踏勘以充分了解工地位置、情况、道路、储存空间、装卸（含吊装就位）限制及任何其他足以影响承包价的情况，任何因忽视或误解工地情况而导致的索赔、变更价格或工期延长申请将不被批准。</w:t>
      </w:r>
    </w:p>
    <w:p>
      <w:pPr>
        <w:pStyle w:val="76"/>
        <w:numPr>
          <w:ilvl w:val="1"/>
          <w:numId w:val="5"/>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设备运营/管理系统作为一个完整的系统价格包干，含在合同总价中。</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合同文件的组成</w:t>
      </w:r>
    </w:p>
    <w:p>
      <w:pPr>
        <w:pStyle w:val="76"/>
        <w:numPr>
          <w:ilvl w:val="0"/>
          <w:numId w:val="6"/>
        </w:numPr>
        <w:spacing w:before="156" w:beforeLines="50" w:after="156" w:afterLines="50" w:line="300" w:lineRule="auto"/>
        <w:ind w:left="993" w:hanging="993"/>
        <w:jc w:val="both"/>
        <w:rPr>
          <w:sz w:val="21"/>
          <w:szCs w:val="21"/>
          <w:highlight w:val="none"/>
        </w:rPr>
      </w:pPr>
      <w:r>
        <w:rPr>
          <w:rFonts w:hint="eastAsia"/>
          <w:sz w:val="21"/>
          <w:szCs w:val="21"/>
          <w:highlight w:val="none"/>
        </w:rPr>
        <w:t>组成本合同的文件包括：</w:t>
      </w:r>
    </w:p>
    <w:p>
      <w:pPr>
        <w:pStyle w:val="76"/>
        <w:spacing w:before="156" w:beforeLines="50" w:after="156" w:afterLines="50" w:line="300" w:lineRule="auto"/>
        <w:ind w:left="993"/>
        <w:jc w:val="both"/>
        <w:rPr>
          <w:sz w:val="21"/>
          <w:szCs w:val="21"/>
          <w:highlight w:val="none"/>
        </w:rPr>
      </w:pPr>
      <w:r>
        <w:rPr>
          <w:rFonts w:hint="eastAsia"/>
          <w:sz w:val="21"/>
          <w:szCs w:val="21"/>
          <w:highlight w:val="none"/>
        </w:rPr>
        <w:t>①合同文件（含补充协议）</w:t>
      </w:r>
    </w:p>
    <w:p>
      <w:pPr>
        <w:pStyle w:val="76"/>
        <w:spacing w:before="156" w:beforeLines="50" w:after="156" w:afterLines="50" w:line="300" w:lineRule="auto"/>
        <w:ind w:left="993"/>
        <w:jc w:val="both"/>
        <w:rPr>
          <w:sz w:val="21"/>
          <w:szCs w:val="21"/>
          <w:highlight w:val="none"/>
        </w:rPr>
      </w:pPr>
      <w:r>
        <w:rPr>
          <w:rFonts w:hint="eastAsia"/>
          <w:sz w:val="21"/>
          <w:szCs w:val="21"/>
          <w:highlight w:val="none"/>
        </w:rPr>
        <w:t>②中标通知书</w:t>
      </w:r>
    </w:p>
    <w:p>
      <w:pPr>
        <w:pStyle w:val="76"/>
        <w:spacing w:before="156" w:beforeLines="50" w:after="156" w:afterLines="50" w:line="300" w:lineRule="auto"/>
        <w:ind w:left="993"/>
        <w:jc w:val="both"/>
        <w:rPr>
          <w:sz w:val="21"/>
          <w:szCs w:val="21"/>
          <w:highlight w:val="none"/>
        </w:rPr>
      </w:pPr>
      <w:r>
        <w:rPr>
          <w:rFonts w:hint="eastAsia"/>
          <w:sz w:val="21"/>
          <w:szCs w:val="21"/>
          <w:highlight w:val="none"/>
        </w:rPr>
        <w:t>③招标文件</w:t>
      </w:r>
    </w:p>
    <w:p>
      <w:pPr>
        <w:pStyle w:val="76"/>
        <w:spacing w:before="156" w:beforeLines="50" w:after="156" w:afterLines="50" w:line="300" w:lineRule="auto"/>
        <w:ind w:left="993"/>
        <w:jc w:val="both"/>
        <w:rPr>
          <w:sz w:val="21"/>
          <w:szCs w:val="21"/>
          <w:highlight w:val="none"/>
        </w:rPr>
      </w:pPr>
      <w:r>
        <w:rPr>
          <w:rFonts w:hint="eastAsia"/>
          <w:sz w:val="21"/>
          <w:szCs w:val="21"/>
          <w:highlight w:val="none"/>
        </w:rPr>
        <w:t>④施工图纸</w:t>
      </w:r>
    </w:p>
    <w:p>
      <w:pPr>
        <w:pStyle w:val="76"/>
        <w:spacing w:before="156" w:beforeLines="50" w:after="156" w:afterLines="50" w:line="300" w:lineRule="auto"/>
        <w:ind w:left="993"/>
        <w:jc w:val="both"/>
        <w:rPr>
          <w:sz w:val="21"/>
          <w:szCs w:val="21"/>
          <w:highlight w:val="none"/>
        </w:rPr>
      </w:pPr>
      <w:r>
        <w:rPr>
          <w:rFonts w:hint="eastAsia"/>
          <w:sz w:val="21"/>
          <w:szCs w:val="21"/>
          <w:highlight w:val="none"/>
        </w:rPr>
        <w:t>⑤投标书附件</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上述文件文字方面如有冲突，则以最新的经双方确认的文件进行替代。如果本合同各文件中之条款和</w:t>
      </w:r>
      <w:r>
        <w:rPr>
          <w:sz w:val="21"/>
          <w:szCs w:val="21"/>
          <w:highlight w:val="none"/>
        </w:rPr>
        <w:t>/</w:t>
      </w:r>
      <w:r>
        <w:rPr>
          <w:rFonts w:hint="eastAsia"/>
          <w:sz w:val="21"/>
          <w:szCs w:val="21"/>
          <w:highlight w:val="none"/>
        </w:rPr>
        <w:t>或条件发生不一致，应按上述文件的顺序作优先解释，仍然无法解释的以甲方的要求为准。另外，若不同的文件内所述的技术性要求有分别，应以较高及较严格的标准为施工依据。</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甲方责任</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合同签订之日起</w:t>
      </w:r>
      <w:r>
        <w:rPr>
          <w:sz w:val="21"/>
          <w:szCs w:val="21"/>
          <w:highlight w:val="none"/>
        </w:rPr>
        <w:t>10</w:t>
      </w:r>
      <w:r>
        <w:rPr>
          <w:rFonts w:hint="eastAsia"/>
          <w:sz w:val="21"/>
          <w:szCs w:val="21"/>
          <w:highlight w:val="none"/>
        </w:rPr>
        <w:t>个日历天内甲方向乙方提供施工图4套，负责组织设计、施工、监理等相关单位进行图纸会审和设计交底。负责组织主体设计院对乙方深化施工图纸的审核工作。</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负责协调乙方必要的施工场地、办公地点、现场堆放场所。</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负责协调乙方与其他承包方之间的交叉施工并支持乙方做好成品保护工作。</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如甲方需要进行设计修改，甲方应及时书面通知乙方并以此作为竣工结算和交工验收依据。</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 xml:space="preserve">指派 </w:t>
      </w:r>
      <w:r>
        <w:rPr>
          <w:rFonts w:hint="eastAsia"/>
          <w:b/>
          <w:sz w:val="21"/>
          <w:szCs w:val="21"/>
          <w:highlight w:val="none"/>
          <w:u w:val="single"/>
        </w:rPr>
        <w:t xml:space="preserve">         </w:t>
      </w:r>
      <w:r>
        <w:rPr>
          <w:rFonts w:hint="eastAsia"/>
          <w:sz w:val="21"/>
          <w:szCs w:val="21"/>
          <w:highlight w:val="none"/>
          <w:u w:val="single"/>
        </w:rPr>
        <w:t>（</w:t>
      </w:r>
      <w:r>
        <w:rPr>
          <w:rFonts w:hint="eastAsia"/>
          <w:sz w:val="21"/>
          <w:szCs w:val="21"/>
          <w:highlight w:val="none"/>
        </w:rPr>
        <w:t>联系方式：</w:t>
      </w:r>
      <w:r>
        <w:rPr>
          <w:rFonts w:hint="eastAsia"/>
          <w:b/>
          <w:sz w:val="21"/>
          <w:szCs w:val="21"/>
          <w:highlight w:val="none"/>
          <w:u w:val="single"/>
        </w:rPr>
        <w:t xml:space="preserve">           </w:t>
      </w:r>
      <w:r>
        <w:rPr>
          <w:rFonts w:hint="eastAsia"/>
          <w:sz w:val="21"/>
          <w:szCs w:val="21"/>
          <w:highlight w:val="none"/>
        </w:rPr>
        <w:t>）为甲方驻工地代表，代表甲方行使工程管理职权，负责对工程质量、进度、安全进行监督检查并确认。</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甲方有权根据合同文件要求，对乙方的工作（工程进度、工程质量、安全文明施工、材料供应、现场配合等）进行监督检查，并提出合理的整改意见，如无正当理由乙方不得拒绝执行；若乙方违反合同文件约定，甲方有权提出停工、勒令整改，并做出相应的经济处罚、解除合同。</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及时按合同约定支付工程进度款、进行验收和办理竣工验收及结算。</w:t>
      </w:r>
    </w:p>
    <w:p>
      <w:pPr>
        <w:pStyle w:val="76"/>
        <w:numPr>
          <w:ilvl w:val="0"/>
          <w:numId w:val="7"/>
        </w:numPr>
        <w:spacing w:before="156" w:beforeLines="50" w:after="156" w:afterLines="50" w:line="300" w:lineRule="auto"/>
        <w:ind w:left="0" w:firstLine="0"/>
        <w:jc w:val="both"/>
        <w:rPr>
          <w:sz w:val="21"/>
          <w:szCs w:val="21"/>
          <w:highlight w:val="none"/>
        </w:rPr>
      </w:pPr>
      <w:r>
        <w:rPr>
          <w:rFonts w:hint="eastAsia"/>
          <w:sz w:val="21"/>
          <w:szCs w:val="21"/>
          <w:highlight w:val="none"/>
        </w:rPr>
        <w:t>甲方有权无条件要求乙方更换不称职的施工代表或施工班组，乙方不得拒绝且应在</w:t>
      </w:r>
      <w:r>
        <w:rPr>
          <w:rFonts w:hint="eastAsia" w:ascii="Arial" w:hAnsi="Arial"/>
          <w:sz w:val="21"/>
          <w:szCs w:val="21"/>
          <w:highlight w:val="none"/>
        </w:rPr>
        <w:t>1</w:t>
      </w:r>
      <w:r>
        <w:rPr>
          <w:rFonts w:hint="eastAsia"/>
          <w:sz w:val="21"/>
          <w:szCs w:val="21"/>
          <w:highlight w:val="none"/>
        </w:rPr>
        <w:t>日内以具有同等或更高资质的人员予以替代。</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乙方责任</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乙方指派</w:t>
      </w:r>
      <w:r>
        <w:rPr>
          <w:rFonts w:hint="eastAsia"/>
          <w:b/>
          <w:sz w:val="21"/>
          <w:szCs w:val="21"/>
          <w:highlight w:val="none"/>
          <w:u w:val="single"/>
        </w:rPr>
        <w:t xml:space="preserve">  </w:t>
      </w:r>
      <w:r>
        <w:rPr>
          <w:b/>
          <w:sz w:val="21"/>
          <w:szCs w:val="21"/>
          <w:highlight w:val="none"/>
          <w:u w:val="single"/>
        </w:rPr>
        <w:t xml:space="preserve">  </w:t>
      </w:r>
      <w:r>
        <w:rPr>
          <w:rFonts w:hint="eastAsia"/>
          <w:b/>
          <w:sz w:val="21"/>
          <w:szCs w:val="21"/>
          <w:highlight w:val="none"/>
          <w:u w:val="single"/>
        </w:rPr>
        <w:t xml:space="preserve">            </w:t>
      </w:r>
      <w:r>
        <w:rPr>
          <w:rFonts w:hint="eastAsia"/>
          <w:sz w:val="21"/>
          <w:szCs w:val="21"/>
          <w:highlight w:val="none"/>
        </w:rPr>
        <w:t>为驻工地项目经理</w:t>
      </w:r>
      <w:r>
        <w:rPr>
          <w:rFonts w:hint="eastAsia"/>
          <w:bCs/>
          <w:sz w:val="21"/>
          <w:szCs w:val="21"/>
          <w:highlight w:val="none"/>
        </w:rPr>
        <w:t>（</w:t>
      </w:r>
      <w:r>
        <w:rPr>
          <w:rFonts w:hint="eastAsia"/>
          <w:sz w:val="21"/>
          <w:szCs w:val="21"/>
          <w:highlight w:val="none"/>
        </w:rPr>
        <w:t>联系方式：</w:t>
      </w:r>
      <w:r>
        <w:rPr>
          <w:rFonts w:hint="eastAsia"/>
          <w:b/>
          <w:sz w:val="21"/>
          <w:szCs w:val="21"/>
          <w:highlight w:val="none"/>
          <w:u w:val="single"/>
        </w:rPr>
        <w:t xml:space="preserve">             </w:t>
      </w:r>
      <w:r>
        <w:rPr>
          <w:rFonts w:hint="eastAsia"/>
          <w:bCs/>
          <w:sz w:val="21"/>
          <w:szCs w:val="21"/>
          <w:highlight w:val="none"/>
        </w:rPr>
        <w:t>）</w:t>
      </w:r>
      <w:r>
        <w:rPr>
          <w:rFonts w:hint="eastAsia"/>
          <w:sz w:val="21"/>
          <w:szCs w:val="21"/>
          <w:highlight w:val="none"/>
        </w:rPr>
        <w:t>，按国家和地方现行有效的规范以及甲方的要求，精心组织施工，负责质量、进度及现场施工人员安全，做好防火防盗，文明施工，并与甲方的协调。</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项目经理和主要技术负责人</w:t>
      </w:r>
      <w:r>
        <w:rPr>
          <w:rFonts w:hint="eastAsia"/>
          <w:sz w:val="21"/>
          <w:szCs w:val="21"/>
          <w:highlight w:val="none"/>
          <w:u w:val="single"/>
        </w:rPr>
        <w:t xml:space="preserve">              </w:t>
      </w:r>
      <w:r>
        <w:rPr>
          <w:rFonts w:hint="eastAsia"/>
          <w:bCs/>
          <w:sz w:val="21"/>
          <w:szCs w:val="21"/>
          <w:highlight w:val="none"/>
        </w:rPr>
        <w:t>（</w:t>
      </w:r>
      <w:r>
        <w:rPr>
          <w:rFonts w:hint="eastAsia"/>
          <w:sz w:val="21"/>
          <w:szCs w:val="21"/>
          <w:highlight w:val="none"/>
        </w:rPr>
        <w:t>联系方式：</w:t>
      </w:r>
      <w:r>
        <w:rPr>
          <w:rFonts w:hint="eastAsia"/>
          <w:b/>
          <w:sz w:val="21"/>
          <w:szCs w:val="21"/>
          <w:highlight w:val="none"/>
          <w:u w:val="single"/>
        </w:rPr>
        <w:t xml:space="preserve">             </w:t>
      </w:r>
      <w:r>
        <w:rPr>
          <w:rFonts w:hint="eastAsia"/>
          <w:bCs/>
          <w:sz w:val="21"/>
          <w:szCs w:val="21"/>
          <w:highlight w:val="none"/>
        </w:rPr>
        <w:t>）</w:t>
      </w:r>
      <w:r>
        <w:rPr>
          <w:rFonts w:hint="eastAsia"/>
          <w:sz w:val="21"/>
          <w:szCs w:val="21"/>
          <w:highlight w:val="none"/>
        </w:rPr>
        <w:t>等在施工期间必须常驻施工现场，项目经理一周不得少于</w:t>
      </w:r>
      <w:r>
        <w:rPr>
          <w:rFonts w:hint="eastAsia" w:ascii="Arial" w:hAnsi="Arial"/>
          <w:sz w:val="21"/>
          <w:szCs w:val="21"/>
          <w:highlight w:val="none"/>
        </w:rPr>
        <w:t>5</w:t>
      </w:r>
      <w:r>
        <w:rPr>
          <w:rFonts w:hint="eastAsia"/>
          <w:sz w:val="21"/>
          <w:szCs w:val="21"/>
          <w:highlight w:val="none"/>
        </w:rPr>
        <w:t>天，每天不少于</w:t>
      </w:r>
      <w:r>
        <w:rPr>
          <w:rFonts w:hint="eastAsia" w:ascii="Arial" w:hAnsi="Arial"/>
          <w:sz w:val="21"/>
          <w:szCs w:val="21"/>
          <w:highlight w:val="none"/>
        </w:rPr>
        <w:t>8</w:t>
      </w:r>
      <w:r>
        <w:rPr>
          <w:rFonts w:hint="eastAsia"/>
          <w:sz w:val="21"/>
          <w:szCs w:val="21"/>
          <w:highlight w:val="none"/>
        </w:rPr>
        <w:t>小时，非经甲方批准不得离开施工现场。如合同期间乙方需变更驻工地代表及项目经理，应书面通知甲方，并须得到甲方书面同意。本工程项目经理及技术负责人须按甲方要求参加图纸会审、监理例会及甲方召开或邀请的其它协调会、评审会等项目建设各专题会议。未经甲方书面同意，乙方不得随意更换项目经理及技术负责人。</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乙方须在合同签订后派项目经理</w:t>
      </w:r>
      <w:r>
        <w:rPr>
          <w:rFonts w:hint="eastAsia"/>
          <w:sz w:val="21"/>
          <w:szCs w:val="21"/>
          <w:highlight w:val="none"/>
          <w:u w:val="single"/>
        </w:rPr>
        <w:t xml:space="preserve">          </w:t>
      </w:r>
      <w:r>
        <w:rPr>
          <w:rFonts w:hint="eastAsia"/>
          <w:bCs/>
          <w:sz w:val="21"/>
          <w:szCs w:val="21"/>
          <w:highlight w:val="none"/>
        </w:rPr>
        <w:t>（</w:t>
      </w:r>
      <w:r>
        <w:rPr>
          <w:rFonts w:hint="eastAsia"/>
          <w:sz w:val="21"/>
          <w:szCs w:val="21"/>
          <w:highlight w:val="none"/>
        </w:rPr>
        <w:t>联系方式：</w:t>
      </w:r>
      <w:r>
        <w:rPr>
          <w:rFonts w:hint="eastAsia"/>
          <w:b/>
          <w:sz w:val="21"/>
          <w:szCs w:val="21"/>
          <w:highlight w:val="none"/>
          <w:u w:val="single"/>
        </w:rPr>
        <w:t xml:space="preserve">             </w:t>
      </w:r>
      <w:r>
        <w:rPr>
          <w:rFonts w:hint="eastAsia"/>
          <w:bCs/>
          <w:sz w:val="21"/>
          <w:szCs w:val="21"/>
          <w:highlight w:val="none"/>
        </w:rPr>
        <w:t>）</w:t>
      </w:r>
      <w:r>
        <w:rPr>
          <w:rFonts w:hint="eastAsia"/>
          <w:sz w:val="21"/>
          <w:szCs w:val="21"/>
          <w:highlight w:val="none"/>
        </w:rPr>
        <w:t>驻现场，配合甲方工作。乙方须遵守土建总承包单位的施工现场的管理制度，服从土建总承包单位安全文明施工管理，并设立安全文明施工管理专职人员，服从土建总承包单位违章管理处罚。</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未经甲方书面许可，乙方不得以任何形式擅自部分或全部转包本项目智慧泵房采购及相关服务权利义务，否则，甲方有权终止合同，乙方须赔偿甲方全部损失；经甲方书面许可的分包项目，乙方仍须对分包单位所负责的工程内容承担连带责任。</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乙方须自行解决施工临时设施的搭建以及施工人员的食宿问题，并承担相关的费用。</w:t>
      </w:r>
    </w:p>
    <w:p>
      <w:pPr>
        <w:pStyle w:val="76"/>
        <w:numPr>
          <w:ilvl w:val="0"/>
          <w:numId w:val="8"/>
        </w:numPr>
        <w:spacing w:before="156" w:beforeLines="50" w:after="156" w:afterLines="50" w:line="300" w:lineRule="auto"/>
        <w:ind w:left="0" w:firstLine="0"/>
        <w:jc w:val="both"/>
        <w:rPr>
          <w:sz w:val="21"/>
          <w:szCs w:val="21"/>
          <w:highlight w:val="none"/>
        </w:rPr>
      </w:pPr>
      <w:r>
        <w:rPr>
          <w:sz w:val="21"/>
          <w:szCs w:val="21"/>
          <w:highlight w:val="none"/>
        </w:rPr>
        <w:t>设备由</w:t>
      </w:r>
      <w:r>
        <w:rPr>
          <w:rFonts w:hint="eastAsia"/>
          <w:sz w:val="21"/>
          <w:szCs w:val="21"/>
          <w:highlight w:val="none"/>
        </w:rPr>
        <w:t>乙方负责运送到施工现场，乙方应自行承担设备运输过程中的一切风险。现场设备材料的临时仓储由乙方自行解决，如乙方需增加其他施工措施，需自行解决，费用由乙方承担。</w:t>
      </w:r>
    </w:p>
    <w:p>
      <w:pPr>
        <w:pStyle w:val="76"/>
        <w:numPr>
          <w:ilvl w:val="0"/>
          <w:numId w:val="8"/>
        </w:numPr>
        <w:spacing w:before="156" w:beforeLines="50" w:after="156" w:afterLines="50" w:line="300" w:lineRule="auto"/>
        <w:ind w:left="0" w:firstLine="0"/>
        <w:jc w:val="both"/>
        <w:rPr>
          <w:sz w:val="21"/>
          <w:szCs w:val="21"/>
          <w:highlight w:val="none"/>
        </w:rPr>
      </w:pPr>
      <w:r>
        <w:rPr>
          <w:sz w:val="21"/>
          <w:szCs w:val="21"/>
          <w:highlight w:val="none"/>
        </w:rPr>
        <w:t>设备（材料）到达现场，</w:t>
      </w:r>
      <w:r>
        <w:rPr>
          <w:rFonts w:hint="eastAsia"/>
          <w:sz w:val="21"/>
          <w:szCs w:val="21"/>
          <w:highlight w:val="none"/>
        </w:rPr>
        <w:t>甲方、乙方、监理均须在场并确认包装的完好性后，由甲方、乙方、监理验货。乙方应按甲方安排的时间派人到现场，对设备进行清点验收，并签字确认。若发现设备与装箱单不符，乙方负责补齐或更换。</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乙方须按甲方的工期要求，向甲方提供现场施工有关技术交底、安全交底等工程资料。</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在开工前，乙方须按甲方的工期要求，向甲方提供供货及工程进度计划，经甲方审核确认后执行；如甲方提出修改意见的，乙方应进行修改，直至甲方确认。若乙方不能按照甲方批准的进度计划进行供货或施工时，应根据甲方的要求提交一份修订的进度计划，并经甲方确认，以保证如期供货及竣工。</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施工中因乙方责任造成的停工、返工、材料、器材损失等均由乙方承担。所有设备和工程验收前均由乙方妥善保管，如有损坏或遗失均由乙方负责，同时施工工期不予调整。</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隐蔽工程在隐蔽前</w:t>
      </w:r>
      <w:r>
        <w:rPr>
          <w:rFonts w:hint="eastAsia"/>
          <w:sz w:val="21"/>
          <w:szCs w:val="21"/>
          <w:highlight w:val="none"/>
          <w:u w:val="single"/>
        </w:rPr>
        <w:t xml:space="preserve">   </w:t>
      </w:r>
      <w:r>
        <w:rPr>
          <w:rFonts w:hint="eastAsia" w:ascii="Arial" w:hAnsi="Arial"/>
          <w:sz w:val="21"/>
          <w:szCs w:val="21"/>
          <w:highlight w:val="none"/>
          <w:u w:val="single"/>
        </w:rPr>
        <w:t>1</w:t>
      </w:r>
      <w:r>
        <w:rPr>
          <w:rFonts w:hint="eastAsia"/>
          <w:sz w:val="21"/>
          <w:szCs w:val="21"/>
          <w:highlight w:val="none"/>
          <w:u w:val="single"/>
        </w:rPr>
        <w:t xml:space="preserve">   </w:t>
      </w:r>
      <w:r>
        <w:rPr>
          <w:rFonts w:hint="eastAsia"/>
          <w:sz w:val="21"/>
          <w:szCs w:val="21"/>
          <w:highlight w:val="none"/>
        </w:rPr>
        <w:t xml:space="preserve">天，由乙方通知甲方、监理单位到场检查并验收合格后方能进行隐蔽。若未通知甲方、监理单位进行隐蔽验收乙方就进行隐蔽施工的，甲方、监理单位有权要求进行破坏检查，所产生的一切费用由乙方承担。若事后甲方、监理单位提出复查的，复查合格，所有费用和因此造成乙方的经济损失，由要求复查的一方承担，所耽误的时间应顺延工期；复查不合格，所有费用由乙方承担，并且乙方应负责无偿返修。 </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工程竣工未移交给甲方之前，乙方负责工程成品、半成品的保护，并承担损毁灭失风险。在此期间发生损坏，由乙方出资修复。</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进场施工时应自觉遵守甲方有关施工现场管理的有关规定，服从甲方现场工程师及监理工程师管理。承担在施工过程中的防火、防盗等安全责任；对现场所有其他的建筑及建筑装修、设备、器具、绿化苗木不得破坏。</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乙方应自竣工之日起</w:t>
      </w:r>
      <w:r>
        <w:rPr>
          <w:rFonts w:hint="eastAsia"/>
          <w:sz w:val="21"/>
          <w:szCs w:val="21"/>
          <w:highlight w:val="none"/>
          <w:u w:val="single"/>
        </w:rPr>
        <w:t xml:space="preserve"> </w:t>
      </w:r>
      <w:r>
        <w:rPr>
          <w:rFonts w:hint="eastAsia" w:ascii="Arial" w:hAnsi="Arial"/>
          <w:sz w:val="21"/>
          <w:szCs w:val="21"/>
          <w:highlight w:val="none"/>
          <w:u w:val="single"/>
        </w:rPr>
        <w:t>14</w:t>
      </w:r>
      <w:r>
        <w:rPr>
          <w:rFonts w:hint="eastAsia"/>
          <w:sz w:val="21"/>
          <w:szCs w:val="21"/>
          <w:highlight w:val="none"/>
          <w:u w:val="single"/>
        </w:rPr>
        <w:t xml:space="preserve"> </w:t>
      </w:r>
      <w:r>
        <w:rPr>
          <w:rFonts w:hint="eastAsia"/>
          <w:sz w:val="21"/>
          <w:szCs w:val="21"/>
          <w:highlight w:val="none"/>
        </w:rPr>
        <w:t>日内，向甲方提供竣工资料等各</w:t>
      </w:r>
      <w:r>
        <w:rPr>
          <w:rFonts w:hint="eastAsia"/>
          <w:sz w:val="21"/>
          <w:szCs w:val="21"/>
          <w:highlight w:val="none"/>
          <w:u w:val="single"/>
        </w:rPr>
        <w:t xml:space="preserve"> </w:t>
      </w:r>
      <w:r>
        <w:rPr>
          <w:rFonts w:hint="eastAsia" w:ascii="Arial" w:hAnsi="Arial"/>
          <w:sz w:val="21"/>
          <w:szCs w:val="21"/>
          <w:highlight w:val="none"/>
          <w:u w:val="single"/>
        </w:rPr>
        <w:t>4</w:t>
      </w:r>
      <w:r>
        <w:rPr>
          <w:rFonts w:hint="eastAsia"/>
          <w:sz w:val="21"/>
          <w:szCs w:val="21"/>
          <w:highlight w:val="none"/>
          <w:u w:val="single"/>
        </w:rPr>
        <w:t xml:space="preserve"> </w:t>
      </w:r>
      <w:r>
        <w:rPr>
          <w:rFonts w:hint="eastAsia"/>
          <w:sz w:val="21"/>
          <w:szCs w:val="21"/>
          <w:highlight w:val="none"/>
        </w:rPr>
        <w:t>套，编制竣工图所发生的一切费用由乙方承担。</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乙方应负责自行完成本合同范围内的施工工作，包括提供所有有关人员、材料、设备和工程管理，并对所有有关质量、进度、安全和施工协调等方面向甲方负完全责任。</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乙方在合同签订后</w:t>
      </w:r>
      <w:r>
        <w:rPr>
          <w:rFonts w:hint="eastAsia"/>
          <w:sz w:val="21"/>
          <w:szCs w:val="21"/>
          <w:highlight w:val="none"/>
          <w:u w:val="single"/>
        </w:rPr>
        <w:t xml:space="preserve"> </w:t>
      </w:r>
      <w:r>
        <w:rPr>
          <w:rFonts w:hint="eastAsia" w:ascii="Arial" w:hAnsi="Arial"/>
          <w:sz w:val="21"/>
          <w:szCs w:val="21"/>
          <w:highlight w:val="none"/>
          <w:u w:val="single"/>
        </w:rPr>
        <w:t>3</w:t>
      </w:r>
      <w:r>
        <w:rPr>
          <w:rFonts w:hint="eastAsia"/>
          <w:sz w:val="21"/>
          <w:szCs w:val="21"/>
          <w:highlight w:val="none"/>
          <w:u w:val="single"/>
        </w:rPr>
        <w:t xml:space="preserve"> </w:t>
      </w:r>
      <w:r>
        <w:rPr>
          <w:rFonts w:hint="eastAsia"/>
          <w:sz w:val="21"/>
          <w:szCs w:val="21"/>
          <w:highlight w:val="none"/>
        </w:rPr>
        <w:t>日内必须向甲方提交乙方进场时间、完成时间、施工进度表，经甲方、监理单位确认后执行，否则，造成的责任及损失由乙方负责。</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乙方应做好施工纪录、隐蔽工程纪录、汇集施工技术资料作为交工文件移交总包方。</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必须严格按照设计、国家现场验收规范和质量评定标准、行业标准进行施工，保证施工质量在验收时一次通过。乙方完成安装后，应通知甲方、监理等进行验收，验收合格后，各方签署书面验收合格文件；如经验收不合格的，乙方应无条件进行返工直至合格为止。</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在施工过程中，尘埃、噪音和施工现场的清洁卫生如违反广东省、广州市有关部门的规定及要求，由此发生的费用由乙方自行解决。加强现场管理，严格执行建设主管部门及环保﹑消防﹑环卫等有关部门对施工现场的管理规定，做到文明施工。</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 xml:space="preserve">乙方必须严格按照设计图纸、方案和甲方的要求施工，未经甲方许可不得擅自修改。 </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 xml:space="preserve">在合同签署后两日内，需由乙方完成施工组织设计并得到甲方、监理单位的确认。其确认并不能免除乙方设计质量或设计缺陷应承但的责任。 </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自觉接受甲方及有关主管部门的管理﹑监督和检查，确保施工机械安全性能良好，操作人员持上岗证上岗；接受甲方及有关主管部门日常对机械设备﹑材料质量，操作人员的有效证件﹑持上岗证情况的检查。</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乙方需服从总包方的项目总管理、总协调、总进度控制管理工作。</w:t>
      </w:r>
      <w:r>
        <w:rPr>
          <w:rFonts w:hint="eastAsia"/>
          <w:sz w:val="21"/>
          <w:szCs w:val="21"/>
          <w:highlight w:val="none"/>
          <w:u w:val="single"/>
        </w:rPr>
        <w:t>本合同签署后【 5 】日内，乙方应与本项目的施工总承包单位【        】签署书面现场配合协议，并服从项目现场管理。</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应负责其工作人员的劳动保护和人身安全。乙方应安排已依法与乙方建立劳动关系的员工代表乙方履行本合同义务。乙方履约过程中，若乙方人员出现任何工伤事故、人身伤害或财产损失的，由乙方自行承担用人单位的法定责任和侵权责任，与甲方无关。甲方不因乙方员工代表乙方履行本合同义务而与甲方建立任何劳动关系、劳务关系、雇佣关系或承揽关系。若因乙方履约造成甲方或第三方财物损失或人员伤害的（包括但不限于甲方向任何第三方支付的补偿、律师费、差旅费、诉讼费、公告费等），乙方应全额赔偿甲方。</w:t>
      </w:r>
    </w:p>
    <w:p>
      <w:pPr>
        <w:pStyle w:val="76"/>
        <w:numPr>
          <w:ilvl w:val="0"/>
          <w:numId w:val="8"/>
        </w:numPr>
        <w:spacing w:before="156" w:beforeLines="50" w:after="156" w:afterLines="50" w:line="300" w:lineRule="auto"/>
        <w:ind w:left="0" w:firstLine="0"/>
        <w:jc w:val="both"/>
        <w:rPr>
          <w:sz w:val="21"/>
          <w:szCs w:val="21"/>
          <w:highlight w:val="none"/>
        </w:rPr>
      </w:pPr>
      <w:r>
        <w:rPr>
          <w:rFonts w:hint="eastAsia"/>
          <w:sz w:val="21"/>
          <w:szCs w:val="21"/>
          <w:highlight w:val="none"/>
        </w:rPr>
        <w:t>乙方无条件承诺：争议发生后，乙方必须在做好现场证据保全后继续按照合同要求施工，不得以解决争议为由单方面停工，或者以争议解决需要时日为由拖延施工；否则，甲方有权先行解除与乙方的合同，乙方必须在</w:t>
      </w:r>
      <w:r>
        <w:rPr>
          <w:rFonts w:hint="eastAsia" w:ascii="Arial" w:hAnsi="Arial"/>
          <w:sz w:val="21"/>
          <w:szCs w:val="21"/>
          <w:highlight w:val="none"/>
        </w:rPr>
        <w:t>7</w:t>
      </w:r>
      <w:r>
        <w:rPr>
          <w:rFonts w:hint="eastAsia"/>
          <w:sz w:val="21"/>
          <w:szCs w:val="21"/>
          <w:highlight w:val="none"/>
        </w:rPr>
        <w:t>天内撤场。乙方的撤场不影响甲方另行解决争议和索赔的权利。</w:t>
      </w:r>
    </w:p>
    <w:p>
      <w:pPr>
        <w:pStyle w:val="76"/>
        <w:numPr>
          <w:ilvl w:val="0"/>
          <w:numId w:val="8"/>
        </w:numPr>
        <w:adjustRightInd w:val="0"/>
        <w:snapToGrid w:val="0"/>
        <w:spacing w:before="156" w:beforeLines="50" w:after="156" w:afterLines="50" w:line="300" w:lineRule="auto"/>
        <w:ind w:left="0" w:firstLine="0"/>
        <w:jc w:val="both"/>
        <w:rPr>
          <w:sz w:val="21"/>
          <w:szCs w:val="21"/>
          <w:highlight w:val="none"/>
        </w:rPr>
      </w:pPr>
      <w:r>
        <w:rPr>
          <w:rFonts w:hint="eastAsia"/>
          <w:sz w:val="21"/>
          <w:szCs w:val="21"/>
          <w:highlight w:val="none"/>
        </w:rPr>
        <w:t>乙方负责本项目须在收到中标通知书之日起45个日历天内拿到供水设备及智慧泵房方案的上级供水部门批复通过文件；若乙方在收到中标通知书之日60个日历天内未完成方案批复工作，甲方有权单方面解除合同。</w:t>
      </w:r>
    </w:p>
    <w:p>
      <w:pPr>
        <w:pStyle w:val="76"/>
        <w:numPr>
          <w:ilvl w:val="0"/>
          <w:numId w:val="8"/>
        </w:numPr>
        <w:adjustRightInd w:val="0"/>
        <w:snapToGrid w:val="0"/>
        <w:spacing w:before="156" w:beforeLines="50" w:after="156" w:afterLines="50" w:line="300" w:lineRule="auto"/>
        <w:ind w:left="0" w:firstLine="0"/>
        <w:jc w:val="both"/>
        <w:rPr>
          <w:sz w:val="21"/>
          <w:szCs w:val="21"/>
          <w:highlight w:val="none"/>
        </w:rPr>
      </w:pPr>
      <w:r>
        <w:rPr>
          <w:rFonts w:hint="eastAsia"/>
          <w:sz w:val="21"/>
          <w:szCs w:val="21"/>
          <w:highlight w:val="none"/>
        </w:rPr>
        <w:t>乙方拿到上级供水部门批复文件后60个日历天内完成供水泵组安装及智慧泵房施工，并经甲方验收、上级供水部门验收合格止。</w:t>
      </w:r>
    </w:p>
    <w:p>
      <w:pPr>
        <w:pStyle w:val="76"/>
        <w:numPr>
          <w:ilvl w:val="0"/>
          <w:numId w:val="8"/>
        </w:numPr>
        <w:adjustRightInd w:val="0"/>
        <w:snapToGrid w:val="0"/>
        <w:spacing w:before="156" w:beforeLines="50" w:after="156" w:afterLines="50" w:line="300" w:lineRule="auto"/>
        <w:ind w:left="0" w:firstLine="0"/>
        <w:jc w:val="both"/>
        <w:rPr>
          <w:sz w:val="21"/>
          <w:szCs w:val="21"/>
          <w:highlight w:val="none"/>
        </w:rPr>
      </w:pPr>
      <w:r>
        <w:rPr>
          <w:rFonts w:hint="eastAsia"/>
          <w:sz w:val="21"/>
          <w:szCs w:val="21"/>
          <w:highlight w:val="none"/>
        </w:rPr>
        <w:t>临时用水及用电由总包单位负责提供接驳点，如需总包接驳到各楼栋，该部分费用由乙方承担，乙方自行提供计量表，自行向总包单位缴纳水电费。</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工期延误</w:t>
      </w:r>
    </w:p>
    <w:p>
      <w:pPr>
        <w:pStyle w:val="76"/>
        <w:numPr>
          <w:ilvl w:val="0"/>
          <w:numId w:val="9"/>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因以下原因造成</w:t>
      </w:r>
      <w:r>
        <w:rPr>
          <w:rFonts w:hint="eastAsia"/>
          <w:sz w:val="21"/>
          <w:szCs w:val="21"/>
          <w:highlight w:val="none"/>
        </w:rPr>
        <w:t>工期</w:t>
      </w:r>
      <w:r>
        <w:rPr>
          <w:rFonts w:hint="eastAsia" w:asciiTheme="minorEastAsia" w:hAnsiTheme="minorEastAsia" w:eastAsiaTheme="minorEastAsia"/>
          <w:sz w:val="21"/>
          <w:szCs w:val="21"/>
          <w:highlight w:val="none"/>
        </w:rPr>
        <w:t>延误，经监理单位及甲方工程师确认，工期相应顺延；</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w:t>
      </w:r>
      <w:r>
        <w:rPr>
          <w:rFonts w:hint="eastAsia" w:ascii="Arial" w:hAnsi="Arial"/>
          <w:sz w:val="21"/>
          <w:szCs w:val="21"/>
          <w:highlight w:val="none"/>
        </w:rPr>
        <w:t>1</w:t>
      </w:r>
      <w:r>
        <w:rPr>
          <w:rFonts w:hint="eastAsia"/>
          <w:sz w:val="21"/>
          <w:szCs w:val="21"/>
          <w:highlight w:val="none"/>
        </w:rPr>
        <w:t>）甲方未能按合同约定提供图纸及开工条件；</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w:t>
      </w:r>
      <w:r>
        <w:rPr>
          <w:rFonts w:hint="eastAsia" w:ascii="Arial" w:hAnsi="Arial"/>
          <w:sz w:val="21"/>
          <w:szCs w:val="21"/>
          <w:highlight w:val="none"/>
        </w:rPr>
        <w:t>2</w:t>
      </w:r>
      <w:r>
        <w:rPr>
          <w:rFonts w:hint="eastAsia"/>
          <w:sz w:val="21"/>
          <w:szCs w:val="21"/>
          <w:highlight w:val="none"/>
        </w:rPr>
        <w:t>）甲方未能按约定日期支付工程预付款、进度款，致使施工不能正常进行；</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w:t>
      </w:r>
      <w:r>
        <w:rPr>
          <w:rFonts w:hint="eastAsia" w:ascii="Arial" w:hAnsi="Arial"/>
          <w:sz w:val="21"/>
          <w:szCs w:val="21"/>
          <w:highlight w:val="none"/>
        </w:rPr>
        <w:t>3</w:t>
      </w:r>
      <w:r>
        <w:rPr>
          <w:rFonts w:hint="eastAsia"/>
          <w:sz w:val="21"/>
          <w:szCs w:val="21"/>
          <w:highlight w:val="none"/>
        </w:rPr>
        <w:t>）甲方工程师未按合同约定提供所需指令、批准等，致使施工不能正常进行；</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w:t>
      </w:r>
      <w:r>
        <w:rPr>
          <w:rFonts w:hint="eastAsia" w:ascii="Arial" w:hAnsi="Arial"/>
          <w:sz w:val="21"/>
          <w:szCs w:val="21"/>
          <w:highlight w:val="none"/>
        </w:rPr>
        <w:t>4</w:t>
      </w:r>
      <w:r>
        <w:rPr>
          <w:rFonts w:hint="eastAsia"/>
          <w:sz w:val="21"/>
          <w:szCs w:val="21"/>
          <w:highlight w:val="none"/>
        </w:rPr>
        <w:t>）设计变更和工程量增加；</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w:t>
      </w:r>
      <w:r>
        <w:rPr>
          <w:rFonts w:hint="eastAsia" w:ascii="Arial" w:hAnsi="Arial"/>
          <w:sz w:val="21"/>
          <w:szCs w:val="21"/>
          <w:highlight w:val="none"/>
        </w:rPr>
        <w:t>5</w:t>
      </w:r>
      <w:r>
        <w:rPr>
          <w:rFonts w:hint="eastAsia"/>
          <w:sz w:val="21"/>
          <w:szCs w:val="21"/>
          <w:highlight w:val="none"/>
        </w:rPr>
        <w:t>）一周内非乙方原因停水、停电、停气造成停工累计超过</w:t>
      </w:r>
      <w:r>
        <w:rPr>
          <w:rFonts w:hint="eastAsia" w:ascii="Arial" w:hAnsi="Arial"/>
          <w:sz w:val="21"/>
          <w:szCs w:val="21"/>
          <w:highlight w:val="none"/>
        </w:rPr>
        <w:t>8</w:t>
      </w:r>
      <w:r>
        <w:rPr>
          <w:rFonts w:hint="eastAsia"/>
          <w:sz w:val="21"/>
          <w:szCs w:val="21"/>
          <w:highlight w:val="none"/>
        </w:rPr>
        <w:t>小时；</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w:t>
      </w:r>
      <w:r>
        <w:rPr>
          <w:rFonts w:hint="eastAsia" w:ascii="Arial" w:hAnsi="Arial"/>
          <w:sz w:val="21"/>
          <w:szCs w:val="21"/>
          <w:highlight w:val="none"/>
        </w:rPr>
        <w:t>6</w:t>
      </w:r>
      <w:r>
        <w:rPr>
          <w:rFonts w:hint="eastAsia"/>
          <w:sz w:val="21"/>
          <w:szCs w:val="21"/>
          <w:highlight w:val="none"/>
        </w:rPr>
        <w:t>）不可抗力；</w:t>
      </w:r>
    </w:p>
    <w:p>
      <w:pPr>
        <w:pStyle w:val="76"/>
        <w:spacing w:before="156" w:beforeLines="50" w:after="156" w:afterLines="50" w:line="300" w:lineRule="auto"/>
        <w:ind w:firstLine="420" w:firstLineChars="200"/>
        <w:jc w:val="both"/>
        <w:rPr>
          <w:sz w:val="21"/>
          <w:szCs w:val="21"/>
          <w:highlight w:val="none"/>
        </w:rPr>
      </w:pPr>
      <w:r>
        <w:rPr>
          <w:rFonts w:hint="eastAsia"/>
          <w:sz w:val="21"/>
          <w:szCs w:val="21"/>
          <w:highlight w:val="none"/>
        </w:rPr>
        <w:t>（</w:t>
      </w:r>
      <w:r>
        <w:rPr>
          <w:rFonts w:hint="eastAsia" w:ascii="Arial" w:hAnsi="Arial"/>
          <w:sz w:val="21"/>
          <w:szCs w:val="21"/>
          <w:highlight w:val="none"/>
        </w:rPr>
        <w:t>7</w:t>
      </w:r>
      <w:r>
        <w:rPr>
          <w:rFonts w:hint="eastAsia"/>
          <w:sz w:val="21"/>
          <w:szCs w:val="21"/>
          <w:highlight w:val="none"/>
        </w:rPr>
        <w:t>）合同条款中约定或甲方工程师同意工期顺延的其他情况。</w:t>
      </w:r>
    </w:p>
    <w:p>
      <w:pPr>
        <w:pStyle w:val="76"/>
        <w:numPr>
          <w:ilvl w:val="0"/>
          <w:numId w:val="9"/>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乙方在</w:t>
      </w:r>
      <w:r>
        <w:rPr>
          <w:rFonts w:hint="eastAsia" w:ascii="Arial" w:hAnsi="Arial" w:eastAsiaTheme="minorEastAsia"/>
          <w:sz w:val="21"/>
          <w:szCs w:val="21"/>
          <w:highlight w:val="none"/>
        </w:rPr>
        <w:t>7</w:t>
      </w:r>
      <w:r>
        <w:rPr>
          <w:rFonts w:hint="eastAsia" w:asciiTheme="minorEastAsia" w:hAnsiTheme="minorEastAsia" w:eastAsiaTheme="minorEastAsia"/>
          <w:sz w:val="21"/>
          <w:szCs w:val="21"/>
          <w:highlight w:val="none"/>
        </w:rPr>
        <w:t>.</w:t>
      </w:r>
      <w:r>
        <w:rPr>
          <w:rFonts w:hint="eastAsia" w:ascii="Arial" w:hAnsi="Arial" w:eastAsiaTheme="minorEastAsia"/>
          <w:sz w:val="21"/>
          <w:szCs w:val="21"/>
          <w:highlight w:val="none"/>
        </w:rPr>
        <w:t>1</w:t>
      </w:r>
      <w:r>
        <w:rPr>
          <w:rFonts w:hint="eastAsia" w:asciiTheme="minorEastAsia" w:hAnsiTheme="minorEastAsia" w:eastAsiaTheme="minorEastAsia"/>
          <w:sz w:val="21"/>
          <w:szCs w:val="21"/>
          <w:highlight w:val="none"/>
        </w:rPr>
        <w:t>款情况发生后</w:t>
      </w:r>
      <w:r>
        <w:rPr>
          <w:rFonts w:hint="eastAsia" w:ascii="Arial" w:hAnsi="Arial" w:eastAsiaTheme="minorEastAsia"/>
          <w:sz w:val="21"/>
          <w:szCs w:val="21"/>
          <w:highlight w:val="none"/>
        </w:rPr>
        <w:t>14</w:t>
      </w:r>
      <w:r>
        <w:rPr>
          <w:rFonts w:hint="eastAsia" w:asciiTheme="minorEastAsia" w:hAnsiTheme="minorEastAsia" w:eastAsiaTheme="minorEastAsia"/>
          <w:sz w:val="21"/>
          <w:szCs w:val="21"/>
          <w:highlight w:val="none"/>
        </w:rPr>
        <w:t>天内，就延误的工期以书面形式向监理单位及甲方工程师提出报告。监理单位及甲方工程师在收到报告后</w:t>
      </w:r>
      <w:r>
        <w:rPr>
          <w:rFonts w:hint="eastAsia" w:ascii="Arial" w:hAnsi="Arial" w:eastAsiaTheme="minorEastAsia"/>
          <w:sz w:val="21"/>
          <w:szCs w:val="21"/>
          <w:highlight w:val="none"/>
        </w:rPr>
        <w:t>14</w:t>
      </w:r>
      <w:r>
        <w:rPr>
          <w:rFonts w:hint="eastAsia" w:asciiTheme="minorEastAsia" w:hAnsiTheme="minorEastAsia" w:eastAsiaTheme="minorEastAsia"/>
          <w:sz w:val="21"/>
          <w:szCs w:val="21"/>
          <w:highlight w:val="none"/>
        </w:rPr>
        <w:t>天内予以确认，逾期不予确认也不提出修改意见，视为同意顺延工期。</w:t>
      </w:r>
      <w:r>
        <w:rPr>
          <w:rFonts w:hint="eastAsia" w:eastAsiaTheme="minorEastAsia"/>
          <w:sz w:val="21"/>
          <w:szCs w:val="21"/>
          <w:highlight w:val="none"/>
        </w:rPr>
        <w:t>乙方</w:t>
      </w:r>
      <w:r>
        <w:rPr>
          <w:rFonts w:hint="eastAsia"/>
          <w:sz w:val="21"/>
          <w:szCs w:val="21"/>
          <w:highlight w:val="none"/>
        </w:rPr>
        <w:t>未在上述期限内就延误的工期以书面形式向监理单位、甲方工程师提出报告的，工期将不做相应顺延，相应的责任由乙方自行承担。</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质量及保修</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szCs w:val="21"/>
          <w:highlight w:val="none"/>
        </w:rPr>
        <w:t>工</w:t>
      </w:r>
      <w:r>
        <w:rPr>
          <w:rFonts w:hint="eastAsia"/>
          <w:sz w:val="21"/>
          <w:szCs w:val="21"/>
          <w:highlight w:val="none"/>
        </w:rPr>
        <w:t>程质量标准：</w:t>
      </w:r>
      <w:r>
        <w:rPr>
          <w:rFonts w:hint="eastAsia"/>
          <w:sz w:val="21"/>
          <w:szCs w:val="21"/>
          <w:highlight w:val="none"/>
          <w:u w:val="single"/>
        </w:rPr>
        <w:t xml:space="preserve">  符合国家相关规范（包括但不限于</w:t>
      </w:r>
      <w:r>
        <w:rPr>
          <w:rFonts w:hint="eastAsia"/>
          <w:color w:val="FF0000"/>
          <w:sz w:val="21"/>
          <w:szCs w:val="21"/>
          <w:highlight w:val="none"/>
          <w:u w:val="single"/>
        </w:rPr>
        <w:t xml:space="preserve"> </w:t>
      </w:r>
      <w:r>
        <w:rPr>
          <w:rFonts w:hint="eastAsia" w:asciiTheme="minorEastAsia" w:hAnsiTheme="minorEastAsia" w:eastAsiaTheme="minorEastAsia"/>
          <w:sz w:val="21"/>
          <w:szCs w:val="21"/>
          <w:highlight w:val="none"/>
          <w:u w:val="single"/>
        </w:rPr>
        <w:t>《</w:t>
      </w:r>
      <w:r>
        <w:rPr>
          <w:rFonts w:hint="eastAsia" w:asciiTheme="minorEastAsia" w:hAnsiTheme="minorEastAsia" w:eastAsiaTheme="minorEastAsia"/>
          <w:color w:val="000000"/>
          <w:sz w:val="21"/>
          <w:szCs w:val="21"/>
          <w:highlight w:val="none"/>
          <w:u w:val="single"/>
          <w:lang w:bidi="ar"/>
        </w:rPr>
        <w:t>二次供水设备设施建设标准和技术要求</w:t>
      </w:r>
      <w:r>
        <w:rPr>
          <w:rFonts w:hint="eastAsia" w:asciiTheme="minorEastAsia" w:hAnsiTheme="minorEastAsia" w:eastAsiaTheme="minorEastAsia"/>
          <w:sz w:val="21"/>
          <w:szCs w:val="21"/>
          <w:highlight w:val="none"/>
          <w:u w:val="single"/>
        </w:rPr>
        <w:t>》</w:t>
      </w:r>
      <w:r>
        <w:rPr>
          <w:rFonts w:hint="eastAsia"/>
          <w:color w:val="FF0000"/>
          <w:sz w:val="21"/>
          <w:szCs w:val="21"/>
          <w:highlight w:val="none"/>
          <w:u w:val="single"/>
        </w:rPr>
        <w:t xml:space="preserve"> </w:t>
      </w:r>
      <w:r>
        <w:rPr>
          <w:sz w:val="21"/>
          <w:szCs w:val="21"/>
          <w:highlight w:val="none"/>
          <w:u w:val="single"/>
        </w:rPr>
        <w:t>及</w:t>
      </w:r>
      <w:r>
        <w:rPr>
          <w:rFonts w:hint="eastAsia"/>
          <w:sz w:val="21"/>
          <w:szCs w:val="21"/>
          <w:highlight w:val="none"/>
          <w:u w:val="single"/>
        </w:rPr>
        <w:t>其他</w:t>
      </w:r>
      <w:r>
        <w:rPr>
          <w:sz w:val="21"/>
          <w:szCs w:val="21"/>
          <w:highlight w:val="none"/>
          <w:u w:val="single"/>
        </w:rPr>
        <w:t>相关设计图纸</w:t>
      </w:r>
      <w:r>
        <w:rPr>
          <w:rFonts w:hint="eastAsia"/>
          <w:sz w:val="21"/>
          <w:szCs w:val="21"/>
          <w:highlight w:val="none"/>
          <w:u w:val="single"/>
        </w:rPr>
        <w:t>要求</w:t>
      </w:r>
      <w:r>
        <w:rPr>
          <w:rFonts w:hint="eastAsia"/>
          <w:sz w:val="21"/>
          <w:szCs w:val="21"/>
          <w:highlight w:val="none"/>
        </w:rPr>
        <w:t>；</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应保证所提供的设备是全新的、未使用过的，采用的是最佳材料和第一流的工艺，并在各个方面符合合同规定的质量、规格和性能要求。乙方所出售货物和服务的质量、技术规格应与招标文件、合同规定的技术规格规定相一致，货物的技术要求、试验方法、检验规则、安装和验收规范以及标志、包装、运输和贮存应符合国家现行标准之规定，如上述标准被修订，应以最新标准为准。</w:t>
      </w:r>
    </w:p>
    <w:p>
      <w:pPr>
        <w:pStyle w:val="76"/>
        <w:numPr>
          <w:ilvl w:val="0"/>
          <w:numId w:val="10"/>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所供货物中的进口零部件，还应符合其原产国的相应标准与中国之规定。</w:t>
      </w:r>
    </w:p>
    <w:p>
      <w:pPr>
        <w:pStyle w:val="76"/>
        <w:numPr>
          <w:ilvl w:val="0"/>
          <w:numId w:val="10"/>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乙方保证其设备经过正确安装、合理操作和维护保养，在设备寿命期内运转良好。</w:t>
      </w:r>
    </w:p>
    <w:p>
      <w:pPr>
        <w:pStyle w:val="76"/>
        <w:numPr>
          <w:ilvl w:val="0"/>
          <w:numId w:val="10"/>
        </w:numPr>
        <w:spacing w:before="156" w:beforeLines="50" w:after="156" w:afterLines="50" w:line="300" w:lineRule="auto"/>
        <w:jc w:val="both"/>
        <w:rPr>
          <w:rFonts w:asciiTheme="minorEastAsia" w:hAnsiTheme="minorEastAsia" w:eastAsiaTheme="minorEastAsia"/>
          <w:sz w:val="21"/>
          <w:szCs w:val="21"/>
          <w:highlight w:val="none"/>
        </w:rPr>
      </w:pPr>
      <w:bookmarkStart w:id="0" w:name="_Toc291073032"/>
      <w:bookmarkStart w:id="1" w:name="_Ref452632859"/>
      <w:bookmarkStart w:id="2" w:name="_Toc24061"/>
      <w:r>
        <w:rPr>
          <w:rFonts w:hint="eastAsia" w:asciiTheme="minorEastAsia" w:hAnsiTheme="minorEastAsia" w:eastAsiaTheme="minorEastAsia"/>
          <w:sz w:val="21"/>
          <w:szCs w:val="21"/>
          <w:highlight w:val="none"/>
        </w:rPr>
        <w:t>乙方应在货物运抵项目现场后提供下列单据：</w:t>
      </w:r>
      <w:bookmarkEnd w:id="0"/>
      <w:bookmarkEnd w:id="1"/>
      <w:bookmarkEnd w:id="2"/>
    </w:p>
    <w:p>
      <w:pPr>
        <w:numPr>
          <w:ilvl w:val="0"/>
          <w:numId w:val="11"/>
        </w:numPr>
        <w:ind w:left="0" w:firstLine="420" w:firstLineChars="200"/>
        <w:rPr>
          <w:rFonts w:cs="宋体"/>
          <w:szCs w:val="21"/>
          <w:highlight w:val="none"/>
        </w:rPr>
      </w:pPr>
      <w:r>
        <w:rPr>
          <w:rFonts w:hint="eastAsia" w:cs="宋体" w:asciiTheme="minorEastAsia" w:hAnsiTheme="minorEastAsia" w:eastAsiaTheme="minorEastAsia"/>
          <w:kern w:val="0"/>
          <w:szCs w:val="21"/>
          <w:highlight w:val="none"/>
        </w:rPr>
        <w:t>金额与交货付款相等的增值税专用发票</w:t>
      </w:r>
      <w:r>
        <w:rPr>
          <w:rFonts w:hint="eastAsia" w:cs="宋体"/>
          <w:szCs w:val="21"/>
          <w:highlight w:val="none"/>
        </w:rPr>
        <w:t>；</w:t>
      </w:r>
    </w:p>
    <w:p>
      <w:pPr>
        <w:numPr>
          <w:ilvl w:val="0"/>
          <w:numId w:val="11"/>
        </w:numPr>
        <w:ind w:left="0"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货物装箱单一式5份（1份原件，其余为复印件）；</w:t>
      </w:r>
    </w:p>
    <w:p>
      <w:pPr>
        <w:numPr>
          <w:ilvl w:val="0"/>
          <w:numId w:val="11"/>
        </w:numPr>
        <w:ind w:left="0"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制造厂出具的货物检验合格证书一式5份（1份原件，其余为复印件）；</w:t>
      </w:r>
    </w:p>
    <w:p>
      <w:pPr>
        <w:numPr>
          <w:ilvl w:val="0"/>
          <w:numId w:val="11"/>
        </w:numPr>
        <w:ind w:left="0" w:firstLine="420" w:firstLineChars="200"/>
        <w:rPr>
          <w:rFonts w:cs="宋体" w:asciiTheme="minorEastAsia" w:hAnsiTheme="minorEastAsia" w:eastAsiaTheme="minorEastAsia"/>
          <w:kern w:val="0"/>
          <w:szCs w:val="21"/>
          <w:highlight w:val="none"/>
        </w:rPr>
      </w:pPr>
      <w:r>
        <w:rPr>
          <w:rFonts w:hint="eastAsia" w:cs="宋体" w:asciiTheme="minorEastAsia" w:hAnsiTheme="minorEastAsia" w:eastAsiaTheme="minorEastAsia"/>
          <w:kern w:val="0"/>
          <w:szCs w:val="21"/>
          <w:highlight w:val="none"/>
        </w:rPr>
        <w:t>甲方出具的收货证明1份。</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乙方须在设备进场至安装验收完毕期间由专职的技术人员在施工现场安装，现场解决出现的问题，对提出问题的解决时间最长不得超过</w:t>
      </w:r>
      <w:r>
        <w:rPr>
          <w:rFonts w:ascii="Arial" w:hAnsi="Arial" w:eastAsiaTheme="minorEastAsia"/>
          <w:sz w:val="21"/>
          <w:szCs w:val="21"/>
          <w:highlight w:val="none"/>
        </w:rPr>
        <w:t>2</w:t>
      </w:r>
      <w:r>
        <w:rPr>
          <w:rFonts w:asciiTheme="minorEastAsia" w:hAnsiTheme="minorEastAsia" w:eastAsiaTheme="minorEastAsia"/>
          <w:sz w:val="21"/>
          <w:szCs w:val="21"/>
          <w:highlight w:val="none"/>
        </w:rPr>
        <w:t>个日历天。</w:t>
      </w:r>
    </w:p>
    <w:p>
      <w:pPr>
        <w:pStyle w:val="76"/>
        <w:numPr>
          <w:ilvl w:val="0"/>
          <w:numId w:val="10"/>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乙方须提供每件设备冷热及机电设备的性能测试，及向甲方或其指定代表提供操作指引。</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u w:val="single"/>
        </w:rPr>
      </w:pPr>
      <w:r>
        <w:rPr>
          <w:rFonts w:hint="eastAsia" w:asciiTheme="minorEastAsia" w:hAnsiTheme="minorEastAsia" w:eastAsiaTheme="minorEastAsia"/>
          <w:sz w:val="21"/>
          <w:szCs w:val="21"/>
          <w:highlight w:val="none"/>
          <w:u w:val="single"/>
        </w:rPr>
        <w:t>在货物交付时，如果乙方最终交付的设备不能满足双方签字确认的技术参数，则乙方应负责免费更换或修复。若经更换或修复仍不能弥补缺陷，则甲方将视缺陷程度要求乙方支付违约金，且甲方有权从应付给乙方的合同款项中直接扣留违约金。对于不影响正常使用的非功能性缺陷，每存在或增加一项将扣除合同价格的百分之二（2%）；对于影响正常使用的功能性缺陷，扣除金额为合同价格的百分之二十（20%），另加甲方自行解决或请第三方解决此类缺陷所需的合理费用。</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乙方须提供操作及维修手册，须包括下列：</w:t>
      </w:r>
    </w:p>
    <w:p>
      <w:pPr>
        <w:pStyle w:val="76"/>
        <w:numPr>
          <w:ilvl w:val="0"/>
          <w:numId w:val="12"/>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系统细则，设备目录，测试报告及操作纪录；</w:t>
      </w:r>
    </w:p>
    <w:p>
      <w:pPr>
        <w:pStyle w:val="76"/>
        <w:numPr>
          <w:ilvl w:val="0"/>
          <w:numId w:val="12"/>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操作手册包括自动操作控制系统及制造商的说明书，并以索引形式钉装</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所有图则、</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线路图、性能表并详列所有安装图则的明细表；</w:t>
      </w:r>
    </w:p>
    <w:p>
      <w:pPr>
        <w:pStyle w:val="76"/>
        <w:numPr>
          <w:ilvl w:val="0"/>
          <w:numId w:val="12"/>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设备维修及服务手则，包括操作及故障指引、定期维修程序及详列设备及系统明细表</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并包括制造商姓名、地址、本地代理姓名（如适用）；</w:t>
      </w:r>
    </w:p>
    <w:p>
      <w:pPr>
        <w:pStyle w:val="76"/>
        <w:numPr>
          <w:ilvl w:val="0"/>
          <w:numId w:val="12"/>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零件设备明细表并包括制造商姓名、地址及本地代理姓名</w:t>
      </w:r>
      <w:r>
        <w:rPr>
          <w:rFonts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rPr>
        <w:t>如适用；</w:t>
      </w:r>
    </w:p>
    <w:p>
      <w:pPr>
        <w:pStyle w:val="76"/>
        <w:numPr>
          <w:ilvl w:val="0"/>
          <w:numId w:val="12"/>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呈交一份设备安装图。</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质保期自设备安装调试完成后，且经甲方、监理验收合格并发出竣工证书之日起算</w:t>
      </w:r>
      <w:r>
        <w:rPr>
          <w:rFonts w:hint="eastAsia" w:asciiTheme="minorEastAsia" w:hAnsiTheme="minorEastAsia" w:eastAsiaTheme="minorEastAsia"/>
          <w:sz w:val="21"/>
          <w:szCs w:val="21"/>
          <w:highlight w:val="none"/>
          <w:u w:val="single"/>
        </w:rPr>
        <w:t xml:space="preserve"> 24 </w:t>
      </w:r>
      <w:r>
        <w:rPr>
          <w:rFonts w:asciiTheme="minorEastAsia" w:hAnsiTheme="minorEastAsia" w:eastAsiaTheme="minorEastAsia"/>
          <w:sz w:val="21"/>
          <w:szCs w:val="21"/>
          <w:highlight w:val="none"/>
        </w:rPr>
        <w:t>个月。</w:t>
      </w:r>
      <w:r>
        <w:rPr>
          <w:rFonts w:hint="eastAsia" w:asciiTheme="minorEastAsia" w:hAnsiTheme="minorEastAsia" w:eastAsiaTheme="minorEastAsia"/>
          <w:sz w:val="21"/>
          <w:szCs w:val="21"/>
          <w:highlight w:val="none"/>
        </w:rPr>
        <w:t>质保期内非人为原因损坏、失效或已达到报废标准的零部件除无偿更换外，对更换上的零部件还应有继续两年的质量保证期。</w:t>
      </w:r>
      <w:r>
        <w:rPr>
          <w:rFonts w:asciiTheme="minorEastAsia" w:hAnsiTheme="minorEastAsia" w:eastAsiaTheme="minorEastAsia"/>
          <w:sz w:val="21"/>
          <w:szCs w:val="21"/>
          <w:highlight w:val="none"/>
        </w:rPr>
        <w:t>除上述</w:t>
      </w:r>
      <w:r>
        <w:rPr>
          <w:rFonts w:hint="eastAsia" w:asciiTheme="minorEastAsia" w:hAnsiTheme="minorEastAsia" w:eastAsiaTheme="minorEastAsia"/>
          <w:sz w:val="21"/>
          <w:szCs w:val="21"/>
          <w:highlight w:val="none"/>
        </w:rPr>
        <w:t>质保期外，乙方应保证在甲方的整体工程最终验收证书开立之后的十年内设备不会出现因错误或不恰当的设计或工艺或材料的选用而造成的潜在缺陷及正常操作下对占有者及使用者不会造成人身或财产之损害。如出现上述缺陷及伤害，应属乙方直接责任。甲方保留索赔的权利。</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保期内乙方免费提供技术支持和培训，并免费提供因产品质量问题引起的维修和更换费用，包括免费提供维修和更换所需的所有零配件与产品。更换的部件或零配件须与产品原采用部件或零配件的产地、型号规格相同，若无法达到上述要求，须事先征得甲方书面同意，方可使用替代品。</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质保期内乙方需定期进行免费保养及维修工作，以确保维修期内各项设备达至最高质操作水平。</w:t>
      </w:r>
    </w:p>
    <w:p>
      <w:pPr>
        <w:pStyle w:val="76"/>
        <w:numPr>
          <w:ilvl w:val="0"/>
          <w:numId w:val="1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乙方有责任在质保期内根据产品维修需要，免费派遣有能力的技术人员来设备使用地点进行维护和修理服务，在收到甲方或甲方委托人的通知后，应及时赶到现场，具体时间如下：</w:t>
      </w:r>
    </w:p>
    <w:p>
      <w:pPr>
        <w:pStyle w:val="76"/>
        <w:numPr>
          <w:ilvl w:val="255"/>
          <w:numId w:val="0"/>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8.13.1</w:t>
      </w:r>
      <w:r>
        <w:rPr>
          <w:rFonts w:asciiTheme="minorEastAsia" w:hAnsiTheme="minorEastAsia" w:eastAsiaTheme="minorEastAsia"/>
          <w:sz w:val="21"/>
          <w:szCs w:val="21"/>
          <w:highlight w:val="none"/>
        </w:rPr>
        <w:t>出现故障，影响正常使用，除人力不可抗拒原因外，乙方须在接到通知后2小时内赶到现场并于4小时内完成维修；</w:t>
      </w:r>
    </w:p>
    <w:p>
      <w:pPr>
        <w:pStyle w:val="76"/>
        <w:numPr>
          <w:ilvl w:val="255"/>
          <w:numId w:val="0"/>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8.13.2其他情况下，乙方须在甲方通知后24小时内赶到现场，并于赶到现场之日起2日内完成通知所涉及之保修、维修项目；</w:t>
      </w:r>
    </w:p>
    <w:p>
      <w:pPr>
        <w:pStyle w:val="76"/>
        <w:numPr>
          <w:ilvl w:val="255"/>
          <w:numId w:val="0"/>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8.13.3当乙方未按上述规定时间到场的情况下，视为认可甲方处理，甲方有权委派他方处理，由此发生的费用从乙方质量保修金中扣除；</w:t>
      </w:r>
    </w:p>
    <w:p>
      <w:pPr>
        <w:pStyle w:val="76"/>
        <w:numPr>
          <w:ilvl w:val="255"/>
          <w:numId w:val="0"/>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8.13.4若乙方未能履行此职责，甲方有权扣除其保修款项，用以赔偿甲方因此造成的直接及间接经济损失。若保修款不足以赔偿损失的，甲方有权对乙方追偿；</w:t>
      </w:r>
    </w:p>
    <w:p>
      <w:pPr>
        <w:pStyle w:val="76"/>
        <w:numPr>
          <w:ilvl w:val="255"/>
          <w:numId w:val="0"/>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8.13.5乙方应保证产品在因质量原因进行了保修处理后</w:t>
      </w:r>
      <w:r>
        <w:rPr>
          <w:rFonts w:hint="eastAsia" w:asciiTheme="minorEastAsia" w:hAnsiTheme="minorEastAsia" w:eastAsiaTheme="minorEastAsia"/>
          <w:sz w:val="21"/>
          <w:szCs w:val="21"/>
          <w:highlight w:val="none"/>
        </w:rPr>
        <w:t>2年</w:t>
      </w:r>
      <w:r>
        <w:rPr>
          <w:rFonts w:asciiTheme="minorEastAsia" w:hAnsiTheme="minorEastAsia" w:eastAsiaTheme="minorEastAsia"/>
          <w:sz w:val="21"/>
          <w:szCs w:val="21"/>
          <w:highlight w:val="none"/>
        </w:rPr>
        <w:t>内，不再出现类似问题，否则即使质保期满，也应继续对出现质量问题的零部件免费保修</w:t>
      </w:r>
      <w:r>
        <w:rPr>
          <w:rFonts w:hint="eastAsia" w:asciiTheme="minorEastAsia" w:hAnsiTheme="minorEastAsia" w:eastAsiaTheme="minorEastAsia"/>
          <w:sz w:val="21"/>
          <w:szCs w:val="21"/>
          <w:highlight w:val="none"/>
        </w:rPr>
        <w:t>2年</w:t>
      </w:r>
      <w:r>
        <w:rPr>
          <w:rFonts w:asciiTheme="minorEastAsia" w:hAnsiTheme="minorEastAsia" w:eastAsiaTheme="minorEastAsia"/>
          <w:sz w:val="21"/>
          <w:szCs w:val="21"/>
          <w:highlight w:val="none"/>
        </w:rPr>
        <w:t>。</w:t>
      </w:r>
    </w:p>
    <w:p>
      <w:pPr>
        <w:pStyle w:val="76"/>
        <w:numPr>
          <w:ilvl w:val="255"/>
          <w:numId w:val="0"/>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8.13.6质保期届满后，乙方须提供与质保期内同样的技术支持和备件供应。</w:t>
      </w:r>
    </w:p>
    <w:p>
      <w:pPr>
        <w:pStyle w:val="76"/>
        <w:numPr>
          <w:ilvl w:val="255"/>
          <w:numId w:val="0"/>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8.13.7甲方有权要求乙方向甲方指定的任何第三方直接履行质保及维修义务，具体以甲方的书面指示为准。</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工程变更</w:t>
      </w:r>
    </w:p>
    <w:p>
      <w:pPr>
        <w:pStyle w:val="76"/>
        <w:numPr>
          <w:ilvl w:val="0"/>
          <w:numId w:val="13"/>
        </w:numPr>
        <w:spacing w:before="156" w:beforeLines="50" w:after="156" w:afterLines="50" w:line="300" w:lineRule="auto"/>
        <w:ind w:left="993" w:hanging="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工程设计变更</w:t>
      </w:r>
    </w:p>
    <w:p>
      <w:pPr>
        <w:pStyle w:val="76"/>
        <w:numPr>
          <w:ilvl w:val="0"/>
          <w:numId w:val="14"/>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施工中甲方需对原工程设计进行变更，应提前</w:t>
      </w:r>
      <w:r>
        <w:rPr>
          <w:rFonts w:hint="eastAsia" w:ascii="Arial" w:hAnsi="Arial" w:eastAsiaTheme="minorEastAsia"/>
          <w:sz w:val="21"/>
          <w:szCs w:val="21"/>
          <w:highlight w:val="none"/>
        </w:rPr>
        <w:t>14</w:t>
      </w:r>
      <w:r>
        <w:rPr>
          <w:rFonts w:hint="eastAsia" w:asciiTheme="minorEastAsia" w:hAnsiTheme="minorEastAsia" w:eastAsiaTheme="minorEastAsia"/>
          <w:sz w:val="21"/>
          <w:szCs w:val="21"/>
          <w:highlight w:val="none"/>
        </w:rPr>
        <w:t>天以书面形式向乙方发出变更通知。变更超过原设计标准或批准的建设规模时，甲方应报规划管理部门和其他有关部门重新审查批准，并由原设计单位提供变更的相应图纸和说明。乙方按照监理单位发出的变更通知及有关要求，进行下列需要的变更：</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Arial" w:hAnsi="Arial" w:eastAsiaTheme="minorEastAsia"/>
          <w:sz w:val="21"/>
          <w:szCs w:val="21"/>
          <w:highlight w:val="none"/>
        </w:rPr>
        <w:t>1</w:t>
      </w:r>
      <w:r>
        <w:rPr>
          <w:rFonts w:hint="eastAsia" w:asciiTheme="minorEastAsia" w:hAnsiTheme="minorEastAsia" w:eastAsiaTheme="minorEastAsia"/>
          <w:sz w:val="21"/>
          <w:szCs w:val="21"/>
          <w:highlight w:val="none"/>
        </w:rPr>
        <w:t>）更改工程有关部分的标高、基线、位置和尺寸；</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Arial" w:hAnsi="Arial" w:eastAsiaTheme="minorEastAsia"/>
          <w:sz w:val="21"/>
          <w:szCs w:val="21"/>
          <w:highlight w:val="none"/>
        </w:rPr>
        <w:t>2</w:t>
      </w:r>
      <w:r>
        <w:rPr>
          <w:rFonts w:hint="eastAsia" w:asciiTheme="minorEastAsia" w:hAnsiTheme="minorEastAsia" w:eastAsiaTheme="minorEastAsia"/>
          <w:sz w:val="21"/>
          <w:szCs w:val="21"/>
          <w:highlight w:val="none"/>
        </w:rPr>
        <w:t>）增减合同中约定的工程量；</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Arial" w:hAnsi="Arial" w:eastAsiaTheme="minorEastAsia"/>
          <w:sz w:val="21"/>
          <w:szCs w:val="21"/>
          <w:highlight w:val="none"/>
        </w:rPr>
        <w:t>3</w:t>
      </w:r>
      <w:r>
        <w:rPr>
          <w:rFonts w:hint="eastAsia" w:asciiTheme="minorEastAsia" w:hAnsiTheme="minorEastAsia" w:eastAsiaTheme="minorEastAsia"/>
          <w:sz w:val="21"/>
          <w:szCs w:val="21"/>
          <w:highlight w:val="none"/>
        </w:rPr>
        <w:t>）改变有关工程的施工时间和顺序；</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w:t>
      </w:r>
      <w:r>
        <w:rPr>
          <w:rFonts w:hint="eastAsia" w:ascii="Arial" w:hAnsi="Arial" w:eastAsiaTheme="minorEastAsia"/>
          <w:sz w:val="21"/>
          <w:szCs w:val="21"/>
          <w:highlight w:val="none"/>
        </w:rPr>
        <w:t>4</w:t>
      </w:r>
      <w:r>
        <w:rPr>
          <w:rFonts w:hint="eastAsia" w:asciiTheme="minorEastAsia" w:hAnsiTheme="minorEastAsia" w:eastAsiaTheme="minorEastAsia"/>
          <w:sz w:val="21"/>
          <w:szCs w:val="21"/>
          <w:highlight w:val="none"/>
        </w:rPr>
        <w:t>）其他有关工程变更需要的附加工作。</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因变更导致合同价款的增减及造成的乙方损失，由甲方承担，延误的工期相应顺延。</w:t>
      </w:r>
    </w:p>
    <w:p>
      <w:pPr>
        <w:pStyle w:val="76"/>
        <w:numPr>
          <w:ilvl w:val="0"/>
          <w:numId w:val="14"/>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施工中乙方不得对原工程设计进行变更。因乙方擅自变更设计发生的费用和由此导致甲方的损失，由乙方承担，延误的工期不予顺延。</w:t>
      </w:r>
    </w:p>
    <w:p>
      <w:pPr>
        <w:pStyle w:val="76"/>
        <w:numPr>
          <w:ilvl w:val="0"/>
          <w:numId w:val="14"/>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在施工中提出的合理化建议涉及到对设计图纸或施工组织设计的更改及对材料、设备的换用，须经监理单位同意。未经同意擅自更改或换用时，乙方承担由此发生的费用，并赔偿甲方的有关损失，延误的工期不予顺延。</w:t>
      </w:r>
    </w:p>
    <w:p>
      <w:pPr>
        <w:pStyle w:val="76"/>
        <w:numPr>
          <w:ilvl w:val="0"/>
          <w:numId w:val="14"/>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甲方同意采用乙方合理化建议，所发生的费用和获得的收益，甲方、乙方另行约定分担或分享。</w:t>
      </w:r>
    </w:p>
    <w:p>
      <w:pPr>
        <w:pStyle w:val="76"/>
        <w:numPr>
          <w:ilvl w:val="0"/>
          <w:numId w:val="13"/>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其他变更：合同履行中甲方要求变更工程质量标准及发生其他实质性变更，由双方协商解决。</w:t>
      </w:r>
    </w:p>
    <w:p>
      <w:pPr>
        <w:pStyle w:val="76"/>
        <w:numPr>
          <w:ilvl w:val="0"/>
          <w:numId w:val="13"/>
        </w:numPr>
        <w:spacing w:before="156" w:beforeLines="50" w:after="156" w:afterLines="50" w:line="300" w:lineRule="auto"/>
        <w:ind w:left="993" w:hanging="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确定变更价款</w:t>
      </w:r>
    </w:p>
    <w:p>
      <w:pPr>
        <w:pStyle w:val="76"/>
        <w:numPr>
          <w:ilvl w:val="0"/>
          <w:numId w:val="15"/>
        </w:numPr>
        <w:spacing w:before="156" w:beforeLines="50" w:after="156" w:afterLines="50" w:line="300" w:lineRule="auto"/>
        <w:jc w:val="both"/>
        <w:rPr>
          <w:sz w:val="21"/>
          <w:szCs w:val="21"/>
          <w:highlight w:val="none"/>
        </w:rPr>
      </w:pPr>
      <w:r>
        <w:rPr>
          <w:rFonts w:hint="eastAsia" w:asciiTheme="minorEastAsia" w:hAnsiTheme="minorEastAsia" w:eastAsiaTheme="minorEastAsia"/>
          <w:sz w:val="21"/>
          <w:szCs w:val="21"/>
          <w:highlight w:val="none"/>
        </w:rPr>
        <w:t>经监理单位、甲方工程师确认的变更合同价款按下列方法进行：本合同工程量清单中综合单价固定，综合单价不予调整。</w:t>
      </w:r>
    </w:p>
    <w:p>
      <w:pPr>
        <w:pStyle w:val="76"/>
        <w:numPr>
          <w:ilvl w:val="0"/>
          <w:numId w:val="15"/>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监理单位、甲方工程师确认增加的工程变更价款作为追加合同价款。</w:t>
      </w:r>
      <w:r>
        <w:rPr>
          <w:rFonts w:asciiTheme="minorEastAsia" w:hAnsiTheme="minorEastAsia" w:eastAsiaTheme="minorEastAsia"/>
          <w:sz w:val="21"/>
          <w:szCs w:val="21"/>
          <w:highlight w:val="none"/>
        </w:rPr>
        <w:t xml:space="preserve"> </w:t>
      </w:r>
    </w:p>
    <w:p>
      <w:pPr>
        <w:pStyle w:val="76"/>
        <w:numPr>
          <w:ilvl w:val="0"/>
          <w:numId w:val="15"/>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因乙方自身原因导致的工程变更，乙方无权要求追加合同价款。</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工程款支付</w:t>
      </w:r>
      <w:r>
        <w:rPr>
          <w:rFonts w:hint="eastAsia" w:asciiTheme="minorEastAsia" w:hAnsiTheme="minorEastAsia" w:eastAsiaTheme="minorEastAsia"/>
          <w:b/>
          <w:bCs/>
          <w:sz w:val="21"/>
          <w:szCs w:val="21"/>
          <w:highlight w:val="none"/>
        </w:rPr>
        <w:t>与结算（支付比例和条件根据项目情况和采购的设备类型调整）</w:t>
      </w:r>
    </w:p>
    <w:p>
      <w:pPr>
        <w:pStyle w:val="76"/>
        <w:numPr>
          <w:ilvl w:val="0"/>
          <w:numId w:val="16"/>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每月以甲方、监理确认审签认可的请款报告及相关证明文件或资料，按甲方核对的当月实际完成工程量对应工程价款的85%支付；</w:t>
      </w:r>
    </w:p>
    <w:p>
      <w:pPr>
        <w:pStyle w:val="76"/>
        <w:numPr>
          <w:ilvl w:val="0"/>
          <w:numId w:val="16"/>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乙方负责调试验收合格后，经甲方、监理验收确认，乙方提供结算资料、请款报告及相关证明文件或资料，按累计进度造价支付至90%；</w:t>
      </w:r>
    </w:p>
    <w:p>
      <w:pPr>
        <w:pStyle w:val="76"/>
        <w:numPr>
          <w:ilvl w:val="0"/>
          <w:numId w:val="16"/>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结算完成并签订结算定案单后28天内，乙方提供请款报告，经甲方确认后支付至结算金额的</w:t>
      </w:r>
      <w:r>
        <w:rPr>
          <w:rFonts w:hint="eastAsia" w:ascii="Arial" w:hAnsi="Arial" w:eastAsiaTheme="minorEastAsia"/>
          <w:sz w:val="21"/>
          <w:szCs w:val="21"/>
          <w:highlight w:val="none"/>
        </w:rPr>
        <w:t>97</w:t>
      </w:r>
      <w:r>
        <w:rPr>
          <w:rFonts w:hint="eastAsia" w:asciiTheme="minorEastAsia" w:hAnsiTheme="minorEastAsia" w:eastAsiaTheme="minorEastAsia"/>
          <w:sz w:val="21"/>
          <w:szCs w:val="21"/>
          <w:highlight w:val="none"/>
        </w:rPr>
        <w:t>%；</w:t>
      </w:r>
    </w:p>
    <w:p>
      <w:pPr>
        <w:pStyle w:val="76"/>
        <w:numPr>
          <w:ilvl w:val="0"/>
          <w:numId w:val="16"/>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质保期满且无质量问题后</w:t>
      </w:r>
      <w:r>
        <w:rPr>
          <w:rFonts w:ascii="Arial" w:hAnsi="Arial" w:eastAsiaTheme="minorEastAsia"/>
          <w:sz w:val="21"/>
          <w:szCs w:val="21"/>
          <w:highlight w:val="none"/>
        </w:rPr>
        <w:t>14</w:t>
      </w:r>
      <w:r>
        <w:rPr>
          <w:rFonts w:asciiTheme="minorEastAsia" w:hAnsiTheme="minorEastAsia" w:eastAsiaTheme="minorEastAsia"/>
          <w:sz w:val="21"/>
          <w:szCs w:val="21"/>
          <w:highlight w:val="none"/>
        </w:rPr>
        <w:t>日内付清余款（无息）。</w:t>
      </w:r>
    </w:p>
    <w:p>
      <w:pPr>
        <w:pStyle w:val="76"/>
        <w:numPr>
          <w:ilvl w:val="0"/>
          <w:numId w:val="16"/>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甲方支付上述款项时，以先行收到乙方提交的项目所在地符合税务及甲方要求的增值税专用发票为前提，若乙方未及时提供上述发票或提供的上述发票无法通过税务局认证的，则甲方有权延期付款，且无需承担违约责任。并且任何时候发生由于乙方提交的发票被查出不符合税务部门要求的，乙方应承担由此行为而引起的一切损失及后果。</w:t>
      </w:r>
      <w:r>
        <w:rPr>
          <w:rFonts w:asciiTheme="minorEastAsia" w:hAnsiTheme="minorEastAsia" w:eastAsiaTheme="minorEastAsia"/>
          <w:sz w:val="21"/>
          <w:szCs w:val="21"/>
          <w:highlight w:val="none"/>
        </w:rPr>
        <w:t>上述货款应当汇入乙方指定的如下账户：</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开户行：</w:t>
      </w:r>
      <w:r>
        <w:rPr>
          <w:rFonts w:asciiTheme="minorEastAsia" w:hAnsiTheme="minorEastAsia" w:eastAsiaTheme="minorEastAsia"/>
          <w:sz w:val="21"/>
          <w:szCs w:val="21"/>
          <w:highlight w:val="non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户名：</w:t>
      </w:r>
      <w:r>
        <w:rPr>
          <w:rFonts w:asciiTheme="minorEastAsia" w:hAnsiTheme="minorEastAsia" w:eastAsiaTheme="minorEastAsia"/>
          <w:sz w:val="21"/>
          <w:szCs w:val="21"/>
          <w:highlight w:val="non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账号：</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若乙方的收款账户信息发生任何变化，乙方应以书面通知的方式将变更事项通知甲方，若因乙方未履行上述通知义务，则由此造成的一切后果由乙方承担。</w:t>
      </w:r>
    </w:p>
    <w:p>
      <w:pPr>
        <w:pStyle w:val="76"/>
        <w:numPr>
          <w:ilvl w:val="0"/>
          <w:numId w:val="16"/>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结算：</w:t>
      </w:r>
    </w:p>
    <w:p>
      <w:pPr>
        <w:pStyle w:val="76"/>
        <w:numPr>
          <w:ilvl w:val="0"/>
          <w:numId w:val="17"/>
        </w:numPr>
        <w:spacing w:before="156" w:beforeLines="50" w:after="156" w:afterLines="50" w:line="300" w:lineRule="auto"/>
        <w:jc w:val="both"/>
        <w:rPr>
          <w:sz w:val="21"/>
          <w:szCs w:val="21"/>
          <w:highlight w:val="none"/>
        </w:rPr>
      </w:pPr>
      <w:r>
        <w:rPr>
          <w:rFonts w:hint="eastAsia" w:asciiTheme="minorEastAsia" w:hAnsiTheme="minorEastAsia" w:eastAsiaTheme="minorEastAsia"/>
          <w:sz w:val="21"/>
          <w:szCs w:val="21"/>
          <w:highlight w:val="none"/>
        </w:rPr>
        <w:t>结算程序：</w:t>
      </w:r>
    </w:p>
    <w:p>
      <w:pPr>
        <w:pStyle w:val="76"/>
        <w:numPr>
          <w:ilvl w:val="2"/>
          <w:numId w:val="18"/>
        </w:numPr>
        <w:spacing w:before="156" w:beforeLines="50" w:after="156" w:afterLines="50" w:line="300" w:lineRule="auto"/>
        <w:rPr>
          <w:sz w:val="21"/>
          <w:szCs w:val="21"/>
          <w:highlight w:val="none"/>
        </w:rPr>
      </w:pPr>
      <w:r>
        <w:rPr>
          <w:rFonts w:hint="eastAsia"/>
          <w:sz w:val="21"/>
          <w:szCs w:val="21"/>
          <w:highlight w:val="none"/>
        </w:rPr>
        <w:t>在本工程竣工通过后二个月内，乙方须将详细的结算及所需的所有资料（计</w:t>
      </w:r>
      <w:r>
        <w:rPr>
          <w:rFonts w:hint="eastAsia" w:ascii="Arial" w:hAnsi="Arial"/>
          <w:sz w:val="21"/>
          <w:szCs w:val="21"/>
          <w:highlight w:val="none"/>
        </w:rPr>
        <w:t>4</w:t>
      </w:r>
      <w:r>
        <w:rPr>
          <w:rFonts w:hint="eastAsia"/>
          <w:sz w:val="21"/>
          <w:szCs w:val="21"/>
          <w:highlight w:val="none"/>
        </w:rPr>
        <w:t>份）呈交甲方。</w:t>
      </w:r>
    </w:p>
    <w:p>
      <w:pPr>
        <w:pStyle w:val="76"/>
        <w:numPr>
          <w:ilvl w:val="2"/>
          <w:numId w:val="18"/>
        </w:numPr>
        <w:spacing w:before="156" w:beforeLines="50" w:after="156" w:afterLines="50" w:line="300" w:lineRule="auto"/>
        <w:ind w:left="0" w:firstLine="0"/>
        <w:rPr>
          <w:sz w:val="21"/>
          <w:szCs w:val="21"/>
          <w:highlight w:val="none"/>
        </w:rPr>
      </w:pPr>
      <w:r>
        <w:rPr>
          <w:rFonts w:hint="eastAsia"/>
          <w:sz w:val="21"/>
          <w:szCs w:val="21"/>
          <w:highlight w:val="none"/>
        </w:rPr>
        <w:t>工程结算资料按甲方要求提供，包括工程结算书、结算资料清单、结算汇总表、工程投标书、各项结算调整的依据、内容及费用等。</w:t>
      </w:r>
    </w:p>
    <w:p>
      <w:pPr>
        <w:pStyle w:val="76"/>
        <w:numPr>
          <w:ilvl w:val="2"/>
          <w:numId w:val="18"/>
        </w:numPr>
        <w:spacing w:before="156" w:beforeLines="50" w:after="156" w:afterLines="50" w:line="300" w:lineRule="auto"/>
        <w:ind w:left="0" w:firstLine="0"/>
        <w:rPr>
          <w:sz w:val="21"/>
          <w:szCs w:val="21"/>
          <w:highlight w:val="none"/>
        </w:rPr>
      </w:pPr>
      <w:r>
        <w:rPr>
          <w:rFonts w:hint="eastAsia"/>
          <w:sz w:val="21"/>
          <w:szCs w:val="21"/>
          <w:highlight w:val="none"/>
        </w:rPr>
        <w:t>工程结算书附件：（包含但不限于）</w:t>
      </w:r>
      <w:r>
        <w:rPr>
          <w:rFonts w:hint="eastAsia" w:ascii="Arial" w:hAnsi="Arial"/>
          <w:sz w:val="21"/>
          <w:szCs w:val="21"/>
          <w:highlight w:val="none"/>
        </w:rPr>
        <w:t>a</w:t>
      </w:r>
      <w:r>
        <w:rPr>
          <w:rFonts w:hint="eastAsia"/>
          <w:sz w:val="21"/>
          <w:szCs w:val="21"/>
          <w:highlight w:val="none"/>
        </w:rPr>
        <w:t>、工程竣工结算造价确认表；</w:t>
      </w:r>
      <w:r>
        <w:rPr>
          <w:rFonts w:hint="eastAsia" w:ascii="Arial" w:hAnsi="Arial"/>
          <w:sz w:val="21"/>
          <w:szCs w:val="21"/>
          <w:highlight w:val="none"/>
        </w:rPr>
        <w:t>b</w:t>
      </w:r>
      <w:r>
        <w:rPr>
          <w:rFonts w:hint="eastAsia"/>
          <w:sz w:val="21"/>
          <w:szCs w:val="21"/>
          <w:highlight w:val="none"/>
        </w:rPr>
        <w:t>、经监理、甲方工程人员确认的竣工图；</w:t>
      </w:r>
      <w:r>
        <w:rPr>
          <w:rFonts w:hint="eastAsia" w:ascii="Arial" w:hAnsi="Arial"/>
          <w:sz w:val="21"/>
          <w:szCs w:val="21"/>
          <w:highlight w:val="none"/>
        </w:rPr>
        <w:t>c</w:t>
      </w:r>
      <w:r>
        <w:rPr>
          <w:rFonts w:hint="eastAsia"/>
          <w:sz w:val="21"/>
          <w:szCs w:val="21"/>
          <w:highlight w:val="none"/>
        </w:rPr>
        <w:t>、验收报告复印件；</w:t>
      </w:r>
      <w:r>
        <w:rPr>
          <w:rFonts w:hint="eastAsia" w:ascii="Arial" w:hAnsi="Arial"/>
          <w:sz w:val="21"/>
          <w:szCs w:val="21"/>
          <w:highlight w:val="none"/>
        </w:rPr>
        <w:t>d</w:t>
      </w:r>
      <w:r>
        <w:rPr>
          <w:rFonts w:hint="eastAsia"/>
          <w:sz w:val="21"/>
          <w:szCs w:val="21"/>
          <w:highlight w:val="none"/>
        </w:rPr>
        <w:t>、结算授权书。</w:t>
      </w:r>
    </w:p>
    <w:p>
      <w:pPr>
        <w:pStyle w:val="76"/>
        <w:numPr>
          <w:ilvl w:val="2"/>
          <w:numId w:val="18"/>
        </w:numPr>
        <w:spacing w:before="156" w:beforeLines="50" w:after="156" w:afterLines="50" w:line="300" w:lineRule="auto"/>
        <w:ind w:left="0" w:firstLine="0"/>
        <w:rPr>
          <w:sz w:val="21"/>
          <w:szCs w:val="21"/>
          <w:highlight w:val="none"/>
        </w:rPr>
      </w:pPr>
      <w:r>
        <w:rPr>
          <w:rFonts w:hint="eastAsia"/>
          <w:sz w:val="21"/>
          <w:szCs w:val="21"/>
          <w:highlight w:val="none"/>
        </w:rPr>
        <w:t>在工程结算审查过程中（即工程结算资料上交甲方一周后），在甲方及时办理签证的情况下，乙方不得再增加任何结算资料（图纸、签证变更单、价格凭证等），送审的结算书中若有遗漏项目均</w:t>
      </w:r>
      <w:r>
        <w:rPr>
          <w:sz w:val="21"/>
          <w:szCs w:val="21"/>
          <w:highlight w:val="none"/>
        </w:rPr>
        <w:t>视为乙方放弃相关权利</w:t>
      </w:r>
      <w:r>
        <w:rPr>
          <w:rFonts w:hint="eastAsia"/>
          <w:sz w:val="21"/>
          <w:szCs w:val="21"/>
          <w:highlight w:val="none"/>
        </w:rPr>
        <w:t>，不作增加调整（甲方要求的除外）。</w:t>
      </w:r>
    </w:p>
    <w:p>
      <w:pPr>
        <w:pStyle w:val="76"/>
        <w:numPr>
          <w:ilvl w:val="2"/>
          <w:numId w:val="18"/>
        </w:numPr>
        <w:spacing w:before="156" w:beforeLines="50" w:after="156" w:afterLines="50" w:line="300" w:lineRule="auto"/>
        <w:ind w:left="0" w:firstLine="0"/>
        <w:rPr>
          <w:sz w:val="21"/>
          <w:szCs w:val="21"/>
          <w:highlight w:val="none"/>
        </w:rPr>
      </w:pPr>
      <w:r>
        <w:rPr>
          <w:rFonts w:hint="eastAsia"/>
          <w:sz w:val="21"/>
          <w:szCs w:val="21"/>
          <w:highlight w:val="none"/>
        </w:rPr>
        <w:t>甲方须在收到乙方符合审价要求的全部资料后六个月内完成审核有关的结算，并须给予乙方一份审核后的结算。其前提：一是结算开始日期以收到完整的结算资料经双方签字后开始计算；二是结算期间乙方要积极配合。</w:t>
      </w:r>
    </w:p>
    <w:p>
      <w:pPr>
        <w:pStyle w:val="76"/>
        <w:numPr>
          <w:ilvl w:val="0"/>
          <w:numId w:val="17"/>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设计变更和现场签证如增加费用，施工期间内该项费用不予支付，结算时一并支付。</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保险</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1.1</w:t>
      </w:r>
      <w:r>
        <w:rPr>
          <w:rFonts w:hint="eastAsia" w:asciiTheme="minorEastAsia" w:hAnsiTheme="minorEastAsia" w:eastAsiaTheme="minorEastAsia"/>
          <w:sz w:val="21"/>
          <w:szCs w:val="21"/>
          <w:highlight w:val="none"/>
        </w:rPr>
        <w:t>乙方应办妥设备进入工地以前的一切保险事宜（包括但不限于设备运输及仓储等），向信誉卓著的保险公司投保合同金额</w:t>
      </w:r>
      <w:r>
        <w:rPr>
          <w:rFonts w:ascii="Arial" w:hAnsi="Arial" w:eastAsiaTheme="minorEastAsia"/>
          <w:sz w:val="21"/>
          <w:szCs w:val="21"/>
          <w:highlight w:val="none"/>
        </w:rPr>
        <w:t>110</w:t>
      </w:r>
      <w:r>
        <w:rPr>
          <w:rFonts w:asciiTheme="minorEastAsia" w:hAnsiTheme="minorEastAsia" w:eastAsiaTheme="minorEastAsia"/>
          <w:sz w:val="21"/>
          <w:szCs w:val="21"/>
          <w:highlight w:val="none"/>
        </w:rPr>
        <w:t>％的财产一切险，以保证设备安全到达工地现场。相关保险费已经包括在合同价款内，</w:t>
      </w:r>
      <w:r>
        <w:rPr>
          <w:rFonts w:hint="eastAsia" w:asciiTheme="minorEastAsia" w:hAnsiTheme="minorEastAsia" w:eastAsiaTheme="minorEastAsia"/>
          <w:sz w:val="21"/>
          <w:szCs w:val="21"/>
          <w:highlight w:val="none"/>
        </w:rPr>
        <w:t>甲方无需再行支付。</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asciiTheme="minorEastAsia" w:hAnsiTheme="minorEastAsia" w:eastAsiaTheme="minorEastAsia"/>
          <w:b/>
          <w:bCs/>
          <w:sz w:val="21"/>
          <w:szCs w:val="21"/>
          <w:highlight w:val="none"/>
        </w:rPr>
        <w:t>不可抗力</w:t>
      </w:r>
    </w:p>
    <w:p>
      <w:pPr>
        <w:pStyle w:val="76"/>
        <w:numPr>
          <w:ilvl w:val="0"/>
          <w:numId w:val="19"/>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条所述的不可抗力是指本合同签订时不能预见、不能避免并不能克服的客观情况，包括但不限于：战争、严重火灾、洪水、台风、地震、流行性传染病疫情（例如非典型肺炎、新冠肺炎等），以及其他普遍认定的不可抗力事件。</w:t>
      </w:r>
    </w:p>
    <w:p>
      <w:pPr>
        <w:pStyle w:val="76"/>
        <w:numPr>
          <w:ilvl w:val="0"/>
          <w:numId w:val="19"/>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由于不可抗力原因，而不能履行合同、延迟履行合同的，一方可视不可抭力的实际影响免除部分或全部违约责任，但不可抗力事件发生之前的违约责任不得因此而免除。</w:t>
      </w:r>
    </w:p>
    <w:p>
      <w:pPr>
        <w:pStyle w:val="76"/>
        <w:numPr>
          <w:ilvl w:val="0"/>
          <w:numId w:val="19"/>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受不可抗力影响的一方应在通知可能的情况下立即通知对方，并在不可抗力发生后</w:t>
      </w:r>
      <w:r>
        <w:rPr>
          <w:rFonts w:hint="eastAsia" w:ascii="Arial" w:hAnsi="Arial" w:eastAsiaTheme="minorEastAsia"/>
          <w:sz w:val="21"/>
          <w:szCs w:val="21"/>
          <w:highlight w:val="none"/>
        </w:rPr>
        <w:t>7</w:t>
      </w:r>
      <w:r>
        <w:rPr>
          <w:rFonts w:hint="eastAsia" w:asciiTheme="minorEastAsia" w:hAnsiTheme="minorEastAsia" w:eastAsiaTheme="minorEastAsia"/>
          <w:sz w:val="21"/>
          <w:szCs w:val="21"/>
          <w:highlight w:val="none"/>
        </w:rPr>
        <w:t>日内提供不可抗力的证明文件，以便其他各方审查、同意。同时在发生不可抗力事件终止或消除后，受不可抗力影响的一方，也应立即通知对方，并在不可抗力事件终止或消除后</w:t>
      </w:r>
      <w:r>
        <w:rPr>
          <w:rFonts w:hint="eastAsia" w:ascii="Arial" w:hAnsi="Arial" w:eastAsiaTheme="minorEastAsia"/>
          <w:sz w:val="21"/>
          <w:szCs w:val="21"/>
          <w:highlight w:val="none"/>
        </w:rPr>
        <w:t>7</w:t>
      </w:r>
      <w:r>
        <w:rPr>
          <w:rFonts w:hint="eastAsia" w:asciiTheme="minorEastAsia" w:hAnsiTheme="minorEastAsia" w:eastAsiaTheme="minorEastAsia"/>
          <w:sz w:val="21"/>
          <w:szCs w:val="21"/>
          <w:highlight w:val="none"/>
        </w:rPr>
        <w:t>日内特快专递提供不可抗力事件终止或消除的证明文件。</w:t>
      </w:r>
    </w:p>
    <w:p>
      <w:pPr>
        <w:pStyle w:val="76"/>
        <w:numPr>
          <w:ilvl w:val="0"/>
          <w:numId w:val="19"/>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如果不可抗力的影响持续超过</w:t>
      </w:r>
      <w:r>
        <w:rPr>
          <w:rFonts w:hint="eastAsia" w:ascii="Arial" w:hAnsi="Arial" w:eastAsiaTheme="minorEastAsia"/>
          <w:sz w:val="21"/>
          <w:szCs w:val="21"/>
          <w:highlight w:val="none"/>
        </w:rPr>
        <w:t>1</w:t>
      </w:r>
      <w:r>
        <w:rPr>
          <w:rFonts w:hint="eastAsia" w:asciiTheme="minorEastAsia" w:hAnsiTheme="minorEastAsia" w:eastAsiaTheme="minorEastAsia"/>
          <w:sz w:val="21"/>
          <w:szCs w:val="21"/>
          <w:highlight w:val="none"/>
        </w:rPr>
        <w:t>个月，受不可抗力影响的一方应与对方取得联系，协商解决进一步履行合同的问题。</w:t>
      </w:r>
    </w:p>
    <w:p>
      <w:pPr>
        <w:pStyle w:val="76"/>
        <w:numPr>
          <w:ilvl w:val="0"/>
          <w:numId w:val="19"/>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因不可抗力事件而造成的任何损失由受损方自行承担。受不可抗力影响的签约一方或双方有义务采取措施，将因不可抗力造成的损失降低到最低程度。</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知识产权</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3.1</w:t>
      </w:r>
      <w:r>
        <w:rPr>
          <w:rFonts w:hint="eastAsia" w:asciiTheme="minorEastAsia" w:hAnsiTheme="minorEastAsia" w:eastAsiaTheme="minorEastAsia"/>
          <w:sz w:val="21"/>
          <w:szCs w:val="21"/>
          <w:highlight w:val="none"/>
        </w:rPr>
        <w:t>乙方保证提供的设备未侵犯任何第三方的任何权利，并应保护和保障甲方免于承担由于工程上使用的或有关准备采用的任何乙方的设备、材料或工程设备等方面侵犯任何专利权、设计商标或名称或其它保护权利的行为而引起的所有索赔和诉讼的费用；并保护和保障甲方免于承担由此导致或与此有关的损失赔偿、诉讼费、指控费和其它支出，否则，甲方有权要求乙方承担甲方因此遭受的一切损失。</w:t>
      </w:r>
    </w:p>
    <w:p>
      <w:pPr>
        <w:pStyle w:val="76"/>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rPr>
        <w:t xml:space="preserve">3.2 </w:t>
      </w:r>
      <w:r>
        <w:rPr>
          <w:rFonts w:hint="eastAsia" w:asciiTheme="minorEastAsia" w:hAnsiTheme="minorEastAsia" w:eastAsiaTheme="minorEastAsia"/>
          <w:sz w:val="21"/>
          <w:szCs w:val="21"/>
          <w:highlight w:val="none"/>
        </w:rPr>
        <w:t>本合同项下乙方完成的、以任何载体所体现的工作报告、设计图纸、图表等，在甲方依据本合同支付了全部款项后，甲方享有除署名权以外的知识产权。乙方仅享有工作报告、图表等工作成果的署名权。未经双方协商同意或司法机关强制，乙方不得以任何方式将此类工作报告、图表等工作成果向任何第三方提交或泄露。</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违约责任</w:t>
      </w:r>
    </w:p>
    <w:p>
      <w:pPr>
        <w:pStyle w:val="76"/>
        <w:numPr>
          <w:ilvl w:val="0"/>
          <w:numId w:val="2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甲方由于自身原因不能在本合同规定的时间内支付合同价款时，甲方应预期告知乙方，并征得乙方同意，否则甲方应向乙方支付违约金，违约金为每延迟一日支付</w:t>
      </w:r>
      <w:r>
        <w:rPr>
          <w:rFonts w:hint="eastAsia" w:asciiTheme="minorEastAsia" w:hAnsiTheme="minorEastAsia" w:eastAsiaTheme="minorEastAsia"/>
          <w:sz w:val="21"/>
          <w:szCs w:val="21"/>
          <w:highlight w:val="none"/>
        </w:rPr>
        <w:t>应付未付金额的万分之三。</w:t>
      </w:r>
    </w:p>
    <w:p>
      <w:pPr>
        <w:pStyle w:val="76"/>
        <w:numPr>
          <w:ilvl w:val="0"/>
          <w:numId w:val="2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若乙方由于自身原因不能按时提交深化设计图纸、将合同设备交货、安装完毕、通过甲方验收</w:t>
      </w:r>
      <w:r>
        <w:rPr>
          <w:rFonts w:asciiTheme="minorEastAsia" w:hAnsiTheme="minorEastAsia" w:eastAsiaTheme="minorEastAsia"/>
          <w:sz w:val="21"/>
          <w:szCs w:val="21"/>
          <w:highlight w:val="none"/>
        </w:rPr>
        <w:t>或</w:t>
      </w:r>
      <w:r>
        <w:rPr>
          <w:rFonts w:hint="eastAsia" w:asciiTheme="minorEastAsia" w:hAnsiTheme="minorEastAsia" w:eastAsiaTheme="minorEastAsia"/>
          <w:sz w:val="21"/>
          <w:szCs w:val="21"/>
          <w:highlight w:val="none"/>
        </w:rPr>
        <w:t>逾期履行其他合同义务的，应向甲方支付违约金，违约金为每延迟一日支付合同暂定总价的万分之三。逾期超过3</w:t>
      </w:r>
      <w:r>
        <w:rPr>
          <w:rFonts w:asciiTheme="minorEastAsia" w:hAnsiTheme="minorEastAsia" w:eastAsiaTheme="minorEastAsia"/>
          <w:sz w:val="21"/>
          <w:szCs w:val="21"/>
          <w:highlight w:val="none"/>
        </w:rPr>
        <w:t>0</w:t>
      </w:r>
      <w:r>
        <w:rPr>
          <w:rFonts w:hint="eastAsia" w:asciiTheme="minorEastAsia" w:hAnsiTheme="minorEastAsia" w:eastAsiaTheme="minorEastAsia"/>
          <w:sz w:val="21"/>
          <w:szCs w:val="21"/>
          <w:highlight w:val="none"/>
        </w:rPr>
        <w:t>个自然日的，视为严重违约，甲方有权解除本合同并要求乙方承担本合同总金额3</w:t>
      </w:r>
      <w:r>
        <w:rPr>
          <w:rFonts w:hint="eastAsia" w:ascii="Arial" w:hAnsi="Arial" w:eastAsiaTheme="minorEastAsia"/>
          <w:sz w:val="21"/>
          <w:szCs w:val="21"/>
          <w:highlight w:val="none"/>
        </w:rPr>
        <w:t>0</w:t>
      </w:r>
      <w:r>
        <w:rPr>
          <w:rFonts w:hint="eastAsia" w:asciiTheme="minorEastAsia" w:hAnsiTheme="minorEastAsia" w:eastAsiaTheme="minorEastAsia"/>
          <w:sz w:val="21"/>
          <w:szCs w:val="21"/>
          <w:highlight w:val="none"/>
        </w:rPr>
        <w:t>%的违约金。</w:t>
      </w:r>
    </w:p>
    <w:p>
      <w:pPr>
        <w:pStyle w:val="76"/>
        <w:numPr>
          <w:ilvl w:val="0"/>
          <w:numId w:val="2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未经甲方同意，乙方更换项目经理或技术负责人的，按2万/次向甲方承担违约责任。更换合同约定的其他人员的，按5</w:t>
      </w:r>
      <w:r>
        <w:rPr>
          <w:rFonts w:asciiTheme="minorEastAsia" w:hAnsiTheme="minorEastAsia" w:eastAsiaTheme="minorEastAsia"/>
          <w:sz w:val="21"/>
          <w:szCs w:val="21"/>
          <w:highlight w:val="none"/>
        </w:rPr>
        <w:t>000</w:t>
      </w:r>
      <w:r>
        <w:rPr>
          <w:rFonts w:hint="eastAsia" w:asciiTheme="minorEastAsia" w:hAnsiTheme="minorEastAsia" w:eastAsiaTheme="minorEastAsia"/>
          <w:sz w:val="21"/>
          <w:szCs w:val="21"/>
          <w:highlight w:val="none"/>
        </w:rPr>
        <w:t>元/次向甲方承担违约责任。</w:t>
      </w:r>
    </w:p>
    <w:p>
      <w:pPr>
        <w:pStyle w:val="76"/>
        <w:numPr>
          <w:ilvl w:val="0"/>
          <w:numId w:val="2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未经甲方同意，乙方擅自将本合同项下全部或部分义务分包或转包给第三方的，甲方有权解除本合同并要求乙方承担本合同总金额3</w:t>
      </w:r>
      <w:r>
        <w:rPr>
          <w:rFonts w:hint="eastAsia" w:ascii="Arial" w:hAnsi="Arial" w:eastAsiaTheme="minorEastAsia"/>
          <w:sz w:val="21"/>
          <w:szCs w:val="21"/>
          <w:highlight w:val="none"/>
        </w:rPr>
        <w:t>0</w:t>
      </w:r>
      <w:r>
        <w:rPr>
          <w:rFonts w:hint="eastAsia" w:asciiTheme="minorEastAsia" w:hAnsiTheme="minorEastAsia" w:eastAsiaTheme="minorEastAsia"/>
          <w:sz w:val="21"/>
          <w:szCs w:val="21"/>
          <w:highlight w:val="none"/>
        </w:rPr>
        <w:t>%的违约金。</w:t>
      </w:r>
    </w:p>
    <w:p>
      <w:pPr>
        <w:pStyle w:val="76"/>
        <w:numPr>
          <w:ilvl w:val="0"/>
          <w:numId w:val="2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如因乙方原因，导致甲方或任何第三方受到任何人身或财产损失的，应由乙方承担全部责任。</w:t>
      </w:r>
    </w:p>
    <w:p>
      <w:pPr>
        <w:pStyle w:val="76"/>
        <w:numPr>
          <w:ilvl w:val="0"/>
          <w:numId w:val="2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乙方根据本合同约定应支付的违约金</w:t>
      </w:r>
      <w:r>
        <w:rPr>
          <w:rFonts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rPr>
        <w:t>损失赔偿等款项，甲方有权从根据本合同应付或届期应付给乙方的工程款内直接扣除相应款项，不足部分应由乙方另行支付。</w:t>
      </w:r>
    </w:p>
    <w:p>
      <w:pPr>
        <w:pStyle w:val="76"/>
        <w:numPr>
          <w:ilvl w:val="0"/>
          <w:numId w:val="20"/>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任何一方违反本合同其他约定，给守约方造成损失的，应赔偿守约方因此遭受的损失。</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法律适用及</w:t>
      </w:r>
      <w:r>
        <w:rPr>
          <w:rFonts w:asciiTheme="minorEastAsia" w:hAnsiTheme="minorEastAsia" w:eastAsiaTheme="minorEastAsia"/>
          <w:b/>
          <w:bCs/>
          <w:sz w:val="21"/>
          <w:szCs w:val="21"/>
          <w:highlight w:val="none"/>
        </w:rPr>
        <w:t>争议解决</w:t>
      </w:r>
    </w:p>
    <w:p>
      <w:pPr>
        <w:pStyle w:val="76"/>
        <w:numPr>
          <w:ilvl w:val="0"/>
          <w:numId w:val="21"/>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本合同受中华人民共和国法律管辖与解释（不包括香港特别行政区、澳门特别行政区或台湾地区的法律）。</w:t>
      </w:r>
    </w:p>
    <w:p>
      <w:pPr>
        <w:pStyle w:val="76"/>
        <w:numPr>
          <w:ilvl w:val="0"/>
          <w:numId w:val="21"/>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甲乙双方在执行本合同过程中如有争议，应友好协商解决。如协商不成，任何一方均应将争议提交至甲方所在地有管辖权的人民法院提起诉讼。 </w:t>
      </w:r>
    </w:p>
    <w:p>
      <w:pPr>
        <w:pStyle w:val="76"/>
        <w:numPr>
          <w:ilvl w:val="0"/>
          <w:numId w:val="21"/>
        </w:numPr>
        <w:spacing w:before="156" w:beforeLines="50" w:after="156" w:afterLines="50" w:line="300" w:lineRule="auto"/>
        <w:ind w:left="0"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当产生任何争议及任何争议正按前条规定进行解决时，除争议事项外，双方有权继续行使本合同项下的其他权利，并应继续履行本合同项下的其他义务。如经法院认定本合同的部分条款为无效的，并不影响其他条款的有效和执行。</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通知</w:t>
      </w:r>
    </w:p>
    <w:p>
      <w:pPr>
        <w:pStyle w:val="76"/>
        <w:numPr>
          <w:ilvl w:val="0"/>
          <w:numId w:val="22"/>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任何与本合同有关的通知、异议或其他通讯往来（以下简称</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通知</w:t>
      </w:r>
      <w:r>
        <w:rPr>
          <w:rFonts w:hint="eastAsia" w:asciiTheme="minorEastAsia" w:hAnsiTheme="minorEastAsia" w:eastAsiaTheme="minorEastAsia"/>
          <w:sz w:val="21"/>
          <w:szCs w:val="21"/>
          <w:highlight w:val="none"/>
        </w:rPr>
        <w:t>”</w:t>
      </w:r>
      <w:r>
        <w:rPr>
          <w:rFonts w:asciiTheme="minorEastAsia" w:hAnsiTheme="minorEastAsia" w:eastAsiaTheme="minorEastAsia"/>
          <w:sz w:val="21"/>
          <w:szCs w:val="21"/>
          <w:highlight w:val="none"/>
        </w:rPr>
        <w:t>）应当采用书面形式。</w:t>
      </w:r>
    </w:p>
    <w:p>
      <w:pPr>
        <w:pStyle w:val="76"/>
        <w:numPr>
          <w:ilvl w:val="0"/>
          <w:numId w:val="22"/>
        </w:numPr>
        <w:spacing w:before="156" w:beforeLines="50" w:after="156" w:afterLines="50" w:line="300" w:lineRule="auto"/>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各种通知形式按照下列方式确定其送达时间</w:t>
      </w:r>
      <w:r>
        <w:rPr>
          <w:rFonts w:hint="eastAsia" w:asciiTheme="minorEastAsia" w:hAnsiTheme="minorEastAsia" w:eastAsiaTheme="minorEastAsia"/>
          <w:sz w:val="21"/>
          <w:szCs w:val="21"/>
          <w:highlight w:val="none"/>
        </w:rPr>
        <w:t>：</w:t>
      </w:r>
    </w:p>
    <w:p>
      <w:pPr>
        <w:pStyle w:val="76"/>
        <w:numPr>
          <w:ilvl w:val="0"/>
          <w:numId w:val="23"/>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任何面呈之通知在被通知人签收时视为送达；</w:t>
      </w:r>
    </w:p>
    <w:p>
      <w:pPr>
        <w:pStyle w:val="76"/>
        <w:numPr>
          <w:ilvl w:val="0"/>
          <w:numId w:val="23"/>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任何以邮寄方式发出的通知均应采用挂号快件或特快专递的方式进行，并在投邮</w:t>
      </w:r>
      <w:r>
        <w:rPr>
          <w:rFonts w:ascii="Arial" w:hAnsi="Arial" w:eastAsiaTheme="minorEastAsia"/>
          <w:sz w:val="21"/>
          <w:szCs w:val="21"/>
          <w:highlight w:val="none"/>
        </w:rPr>
        <w:t>48</w:t>
      </w:r>
      <w:r>
        <w:rPr>
          <w:rFonts w:asciiTheme="minorEastAsia" w:hAnsiTheme="minorEastAsia" w:eastAsiaTheme="minorEastAsia"/>
          <w:sz w:val="21"/>
          <w:szCs w:val="21"/>
          <w:highlight w:val="none"/>
        </w:rPr>
        <w:t>小时后视为送达被通知人（法定节假日顺延），但双方应按照本合同载明的联系地址寄出，任何一方联系地址发生变更的，应及时以书面方式通知对方</w:t>
      </w:r>
      <w:r>
        <w:rPr>
          <w:rFonts w:hint="eastAsia" w:asciiTheme="minorEastAsia" w:hAnsiTheme="minorEastAsia" w:eastAsiaTheme="minorEastAsia"/>
          <w:sz w:val="21"/>
          <w:szCs w:val="21"/>
          <w:highlight w:val="none"/>
        </w:rPr>
        <w:t>；</w:t>
      </w:r>
    </w:p>
    <w:p>
      <w:pPr>
        <w:pStyle w:val="76"/>
        <w:numPr>
          <w:ilvl w:val="0"/>
          <w:numId w:val="23"/>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任何以传真方式发出的通知在发出后视为送达，但是，如果发出通知的当天为节假日，则该通知在该节假日结束后的第一个工作日内视为送达；</w:t>
      </w:r>
    </w:p>
    <w:p>
      <w:pPr>
        <w:pStyle w:val="76"/>
        <w:numPr>
          <w:ilvl w:val="0"/>
          <w:numId w:val="23"/>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任何以电子邮件方式发出的通知，自邮件发出后视为送达，但双方应按照本合同载明的邮件地址发送和接收，任何一方邮件地址发生变更的，应及时以书面方式通知对方；</w:t>
      </w:r>
    </w:p>
    <w:p>
      <w:pPr>
        <w:pStyle w:val="76"/>
        <w:numPr>
          <w:ilvl w:val="0"/>
          <w:numId w:val="23"/>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本合同中所称书面形式指任何打印、印刷的通知、函件、电传、传真和电子邮件等可以有形地表现协议相关内容的形式。</w:t>
      </w:r>
    </w:p>
    <w:p>
      <w:pPr>
        <w:pStyle w:val="76"/>
        <w:numPr>
          <w:ilvl w:val="0"/>
          <w:numId w:val="22"/>
        </w:numPr>
        <w:spacing w:before="156" w:beforeLines="50" w:after="156" w:afterLines="50" w:line="30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为通知之目的，双方的通讯地址如下：</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甲方：</w:t>
      </w:r>
      <w:r>
        <w:rPr>
          <w:rFonts w:hint="eastAsia" w:asciiTheme="minorEastAsia" w:hAnsiTheme="minorEastAsia" w:eastAsiaTheme="minorEastAsia"/>
          <w:sz w:val="21"/>
          <w:szCs w:val="21"/>
          <w:highlight w:val="none"/>
          <w:u w:val="single"/>
        </w:rPr>
        <w:t>广州市瑞湾房地产开发有限公司</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地址：</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联系人：</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电话：</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传真：</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电子邮箱：</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乙方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地址：</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联系人：</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电话：</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电子邮箱：</w:t>
      </w:r>
      <w:r>
        <w:rPr>
          <w:rFonts w:hint="eastAsia" w:asciiTheme="minorEastAsia" w:hAnsiTheme="minorEastAsia" w:eastAsiaTheme="minorEastAsia"/>
          <w:sz w:val="21"/>
          <w:szCs w:val="21"/>
          <w:highlight w:val="none"/>
          <w:u w:val="single"/>
        </w:rPr>
        <w:t xml:space="preserve"> </w:t>
      </w:r>
      <w:r>
        <w:rPr>
          <w:rFonts w:asciiTheme="minorEastAsia" w:hAnsiTheme="minorEastAsia" w:eastAsiaTheme="minorEastAsia"/>
          <w:sz w:val="21"/>
          <w:szCs w:val="21"/>
          <w:highlight w:val="none"/>
          <w:u w:val="single"/>
        </w:rPr>
        <w:t xml:space="preserve">                                 </w:t>
      </w:r>
    </w:p>
    <w:p>
      <w:pPr>
        <w:pStyle w:val="76"/>
        <w:spacing w:before="156" w:beforeLines="50" w:after="156" w:afterLines="50" w:line="300" w:lineRule="auto"/>
        <w:ind w:left="993"/>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任何一方可在任何时候变更其地址，但应根据此款书面通知其他方。</w:t>
      </w:r>
    </w:p>
    <w:p>
      <w:pPr>
        <w:pStyle w:val="76"/>
        <w:numPr>
          <w:ilvl w:val="0"/>
          <w:numId w:val="2"/>
        </w:numPr>
        <w:tabs>
          <w:tab w:val="left" w:pos="993"/>
        </w:tabs>
        <w:spacing w:before="156" w:beforeLines="50" w:after="156" w:afterLines="50" w:line="300" w:lineRule="auto"/>
        <w:ind w:left="567" w:hanging="567"/>
        <w:outlineLvl w:val="0"/>
        <w:rPr>
          <w:rFonts w:asciiTheme="minorEastAsia" w:hAnsiTheme="minorEastAsia" w:eastAsiaTheme="minorEastAsia"/>
          <w:b/>
          <w:bCs/>
          <w:sz w:val="21"/>
          <w:szCs w:val="21"/>
          <w:highlight w:val="none"/>
        </w:rPr>
      </w:pPr>
      <w:r>
        <w:rPr>
          <w:rFonts w:hint="eastAsia" w:asciiTheme="minorEastAsia" w:hAnsiTheme="minorEastAsia" w:eastAsiaTheme="minorEastAsia"/>
          <w:b/>
          <w:bCs/>
          <w:sz w:val="21"/>
          <w:szCs w:val="21"/>
          <w:highlight w:val="none"/>
        </w:rPr>
        <w:t>其他事项</w:t>
      </w:r>
    </w:p>
    <w:p>
      <w:pPr>
        <w:pStyle w:val="76"/>
        <w:numPr>
          <w:ilvl w:val="0"/>
          <w:numId w:val="24"/>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本合同未尽事宜，</w:t>
      </w:r>
      <w:r>
        <w:rPr>
          <w:rFonts w:hint="eastAsia" w:asciiTheme="minorEastAsia" w:hAnsiTheme="minorEastAsia" w:eastAsiaTheme="minorEastAsia"/>
          <w:sz w:val="21"/>
          <w:szCs w:val="21"/>
          <w:highlight w:val="none"/>
        </w:rPr>
        <w:t>双方应另行协商加以补充，并可签订补充协议。该等补充协议与本合同约定不一致的，以该等补充协议约定为准。</w:t>
      </w:r>
    </w:p>
    <w:p>
      <w:pPr>
        <w:pStyle w:val="76"/>
        <w:numPr>
          <w:ilvl w:val="0"/>
          <w:numId w:val="24"/>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本合同的附件包括：</w:t>
      </w:r>
    </w:p>
    <w:p>
      <w:pPr>
        <w:spacing w:before="156" w:beforeLines="50" w:after="156" w:afterLines="50" w:line="300" w:lineRule="auto"/>
        <w:jc w:val="both"/>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1</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报价清单</w:t>
      </w:r>
    </w:p>
    <w:p>
      <w:pPr>
        <w:spacing w:before="156" w:beforeLines="50" w:after="156" w:afterLines="50" w:line="300"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南沙区建设工程项目廉洁责任合同</w:t>
      </w:r>
    </w:p>
    <w:p>
      <w:pPr>
        <w:spacing w:before="156" w:beforeLines="50" w:after="156" w:afterLines="50" w:line="300"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r>
        <w:rPr>
          <w:rFonts w:asciiTheme="minorEastAsia" w:hAnsiTheme="minorEastAsia" w:eastAsiaTheme="minorEastAsia"/>
          <w:szCs w:val="21"/>
          <w:highlight w:val="none"/>
        </w:rPr>
        <w:t>）技术要求</w:t>
      </w:r>
    </w:p>
    <w:p>
      <w:pPr>
        <w:spacing w:before="156" w:beforeLines="50" w:after="156" w:afterLines="50" w:line="300"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（4）维保协议</w:t>
      </w:r>
    </w:p>
    <w:p>
      <w:pPr>
        <w:spacing w:before="156" w:beforeLines="50" w:after="156" w:afterLines="50" w:line="300" w:lineRule="auto"/>
        <w:jc w:val="both"/>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（5）中标通知书</w:t>
      </w:r>
    </w:p>
    <w:p>
      <w:pPr>
        <w:spacing w:before="156" w:beforeLines="50" w:after="156" w:afterLines="50" w:line="300" w:lineRule="auto"/>
        <w:jc w:val="both"/>
        <w:rPr>
          <w:rFonts w:asciiTheme="minorEastAsia" w:hAnsiTheme="minorEastAsia" w:eastAsiaTheme="minorEastAsia"/>
          <w:szCs w:val="21"/>
          <w:highlight w:val="none"/>
        </w:rPr>
      </w:pP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6</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工程安全生产、文明施工协议书</w:t>
      </w:r>
    </w:p>
    <w:p>
      <w:pPr>
        <w:spacing w:before="156" w:beforeLines="50" w:after="156" w:afterLines="50" w:line="300" w:lineRule="auto"/>
        <w:jc w:val="both"/>
        <w:rPr>
          <w:rFonts w:asciiTheme="minorEastAsia" w:hAnsiTheme="minorEastAsia" w:eastAsiaTheme="minorEastAsia"/>
          <w:szCs w:val="21"/>
          <w:highlight w:val="none"/>
        </w:rPr>
      </w:pPr>
      <w:r>
        <w:rPr>
          <w:rFonts w:asciiTheme="minorEastAsia" w:hAnsiTheme="minorEastAsia" w:eastAsiaTheme="minorEastAsia"/>
          <w:szCs w:val="21"/>
          <w:highlight w:val="none"/>
        </w:rPr>
        <w:t xml:space="preserve"> </w:t>
      </w:r>
      <w:r>
        <w:rPr>
          <w:rFonts w:hint="eastAsia" w:asciiTheme="minorEastAsia" w:hAnsiTheme="minorEastAsia" w:eastAsiaTheme="minorEastAsia"/>
          <w:szCs w:val="21"/>
          <w:highlight w:val="none"/>
        </w:rPr>
        <w:t>附件与正文具有同等效力。</w:t>
      </w:r>
    </w:p>
    <w:p>
      <w:pPr>
        <w:pStyle w:val="76"/>
        <w:numPr>
          <w:ilvl w:val="0"/>
          <w:numId w:val="24"/>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本合同自双方签字盖章之日起生效。</w:t>
      </w:r>
    </w:p>
    <w:p>
      <w:pPr>
        <w:pStyle w:val="76"/>
        <w:numPr>
          <w:ilvl w:val="0"/>
          <w:numId w:val="24"/>
        </w:numPr>
        <w:spacing w:before="156" w:beforeLines="50" w:after="156" w:afterLines="50" w:line="300" w:lineRule="auto"/>
        <w:ind w:firstLine="0"/>
        <w:jc w:val="both"/>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本合同一式陆份，甲乙双方各执叁份</w:t>
      </w:r>
      <w:r>
        <w:rPr>
          <w:rFonts w:hint="eastAsia" w:asciiTheme="minorEastAsia" w:hAnsiTheme="minorEastAsia" w:eastAsiaTheme="minorEastAsia"/>
          <w:sz w:val="21"/>
          <w:szCs w:val="21"/>
          <w:highlight w:val="none"/>
        </w:rPr>
        <w:t>，具同等法律效力。</w:t>
      </w:r>
    </w:p>
    <w:p>
      <w:pPr>
        <w:pStyle w:val="20"/>
        <w:spacing w:before="156" w:beforeLines="50" w:after="156" w:afterLines="50" w:line="300" w:lineRule="auto"/>
        <w:ind w:left="0" w:leftChars="0"/>
        <w:rPr>
          <w:rFonts w:asciiTheme="minorEastAsia" w:hAnsiTheme="minorEastAsia" w:eastAsiaTheme="minorEastAsia"/>
          <w:szCs w:val="21"/>
          <w:highlight w:val="none"/>
        </w:rPr>
      </w:pPr>
    </w:p>
    <w:tbl>
      <w:tblPr>
        <w:tblStyle w:val="40"/>
        <w:tblW w:w="9061" w:type="dxa"/>
        <w:tblInd w:w="0" w:type="dxa"/>
        <w:tblLayout w:type="fixed"/>
        <w:tblCellMar>
          <w:top w:w="0" w:type="dxa"/>
          <w:left w:w="108" w:type="dxa"/>
          <w:bottom w:w="0" w:type="dxa"/>
          <w:right w:w="108" w:type="dxa"/>
        </w:tblCellMar>
      </w:tblPr>
      <w:tblGrid>
        <w:gridCol w:w="4530"/>
        <w:gridCol w:w="4531"/>
      </w:tblGrid>
      <w:tr>
        <w:tblPrEx>
          <w:tblCellMar>
            <w:top w:w="0" w:type="dxa"/>
            <w:left w:w="108" w:type="dxa"/>
            <w:bottom w:w="0" w:type="dxa"/>
            <w:right w:w="108" w:type="dxa"/>
          </w:tblCellMar>
        </w:tblPrEx>
        <w:tc>
          <w:tcPr>
            <w:tcW w:w="4529"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采购方</w:t>
            </w:r>
            <w:r>
              <w:rPr>
                <w:rFonts w:hint="eastAsia" w:asciiTheme="minorEastAsia" w:hAnsiTheme="minorEastAsia" w:eastAsiaTheme="minorEastAsia"/>
                <w:spacing w:val="-20"/>
                <w:szCs w:val="21"/>
                <w:highlight w:val="none"/>
              </w:rPr>
              <w:t>（甲方）</w:t>
            </w:r>
            <w:r>
              <w:rPr>
                <w:rFonts w:hint="eastAsia" w:asciiTheme="minorEastAsia" w:hAnsiTheme="minorEastAsia" w:eastAsiaTheme="minorEastAsia"/>
                <w:szCs w:val="21"/>
                <w:highlight w:val="none"/>
              </w:rPr>
              <w:t>：</w:t>
            </w:r>
          </w:p>
        </w:tc>
        <w:tc>
          <w:tcPr>
            <w:tcW w:w="4532"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pacing w:val="20"/>
                <w:szCs w:val="21"/>
                <w:highlight w:val="none"/>
              </w:rPr>
              <w:t>供货方</w:t>
            </w:r>
            <w:r>
              <w:rPr>
                <w:rFonts w:hint="eastAsia" w:asciiTheme="minorEastAsia" w:hAnsiTheme="minorEastAsia" w:eastAsiaTheme="minorEastAsia"/>
                <w:spacing w:val="-20"/>
                <w:szCs w:val="21"/>
                <w:highlight w:val="none"/>
              </w:rPr>
              <w:t>（乙方）</w:t>
            </w:r>
            <w:r>
              <w:rPr>
                <w:rFonts w:hint="eastAsia" w:asciiTheme="minorEastAsia" w:hAnsiTheme="minorEastAsia" w:eastAsiaTheme="minorEastAsia"/>
                <w:spacing w:val="20"/>
                <w:szCs w:val="21"/>
                <w:highlight w:val="none"/>
              </w:rPr>
              <w:t>：</w:t>
            </w:r>
          </w:p>
        </w:tc>
      </w:tr>
      <w:tr>
        <w:tblPrEx>
          <w:tblCellMar>
            <w:top w:w="0" w:type="dxa"/>
            <w:left w:w="108" w:type="dxa"/>
            <w:bottom w:w="0" w:type="dxa"/>
            <w:right w:w="108" w:type="dxa"/>
          </w:tblCellMar>
        </w:tblPrEx>
        <w:tc>
          <w:tcPr>
            <w:tcW w:w="4529"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（盖章）</w:t>
            </w:r>
          </w:p>
        </w:tc>
        <w:tc>
          <w:tcPr>
            <w:tcW w:w="4532"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（盖章）</w:t>
            </w:r>
          </w:p>
        </w:tc>
      </w:tr>
      <w:tr>
        <w:tblPrEx>
          <w:tblCellMar>
            <w:top w:w="0" w:type="dxa"/>
            <w:left w:w="108" w:type="dxa"/>
            <w:bottom w:w="0" w:type="dxa"/>
            <w:right w:w="108" w:type="dxa"/>
          </w:tblCellMar>
        </w:tblPrEx>
        <w:tc>
          <w:tcPr>
            <w:tcW w:w="4530"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法定代表人：（签字）</w:t>
            </w:r>
          </w:p>
        </w:tc>
        <w:tc>
          <w:tcPr>
            <w:tcW w:w="4531"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法定代表人：（签字）</w:t>
            </w:r>
          </w:p>
        </w:tc>
      </w:tr>
      <w:tr>
        <w:tblPrEx>
          <w:tblCellMar>
            <w:top w:w="0" w:type="dxa"/>
            <w:left w:w="108" w:type="dxa"/>
            <w:bottom w:w="0" w:type="dxa"/>
            <w:right w:w="108" w:type="dxa"/>
          </w:tblCellMar>
        </w:tblPrEx>
        <w:tc>
          <w:tcPr>
            <w:tcW w:w="4530"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委托代理人：（签字）</w:t>
            </w:r>
          </w:p>
        </w:tc>
        <w:tc>
          <w:tcPr>
            <w:tcW w:w="4531"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委托代理人：（签字）</w:t>
            </w:r>
          </w:p>
        </w:tc>
      </w:tr>
      <w:tr>
        <w:tblPrEx>
          <w:tblCellMar>
            <w:top w:w="0" w:type="dxa"/>
            <w:left w:w="108" w:type="dxa"/>
            <w:bottom w:w="0" w:type="dxa"/>
            <w:right w:w="108" w:type="dxa"/>
          </w:tblCellMar>
        </w:tblPrEx>
        <w:tc>
          <w:tcPr>
            <w:tcW w:w="4530"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地　　址：</w:t>
            </w:r>
          </w:p>
        </w:tc>
        <w:tc>
          <w:tcPr>
            <w:tcW w:w="4531"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地　　址：</w:t>
            </w:r>
          </w:p>
        </w:tc>
      </w:tr>
      <w:tr>
        <w:tblPrEx>
          <w:tblCellMar>
            <w:top w:w="0" w:type="dxa"/>
            <w:left w:w="108" w:type="dxa"/>
            <w:bottom w:w="0" w:type="dxa"/>
            <w:right w:w="108" w:type="dxa"/>
          </w:tblCellMar>
        </w:tblPrEx>
        <w:tc>
          <w:tcPr>
            <w:tcW w:w="4530"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邮政编码：</w:t>
            </w:r>
          </w:p>
        </w:tc>
        <w:tc>
          <w:tcPr>
            <w:tcW w:w="4531"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邮政编码：</w:t>
            </w:r>
          </w:p>
        </w:tc>
      </w:tr>
      <w:tr>
        <w:tblPrEx>
          <w:tblCellMar>
            <w:top w:w="0" w:type="dxa"/>
            <w:left w:w="108" w:type="dxa"/>
            <w:bottom w:w="0" w:type="dxa"/>
            <w:right w:w="108" w:type="dxa"/>
          </w:tblCellMar>
        </w:tblPrEx>
        <w:tc>
          <w:tcPr>
            <w:tcW w:w="4530"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　　话：</w:t>
            </w:r>
          </w:p>
        </w:tc>
        <w:tc>
          <w:tcPr>
            <w:tcW w:w="4531" w:type="dxa"/>
          </w:tcPr>
          <w:p>
            <w:pPr>
              <w:spacing w:before="156" w:beforeLines="50" w:after="156" w:afterLines="50" w:line="30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电　　话：</w:t>
            </w:r>
          </w:p>
        </w:tc>
      </w:tr>
    </w:tbl>
    <w:p>
      <w:pPr>
        <w:widowControl/>
        <w:jc w:val="center"/>
        <w:rPr>
          <w:rFonts w:asciiTheme="minorEastAsia" w:hAnsiTheme="minorEastAsia" w:eastAsiaTheme="minorEastAsia"/>
          <w:b/>
          <w:sz w:val="24"/>
          <w:highlight w:val="none"/>
        </w:rPr>
      </w:pPr>
      <w:bookmarkStart w:id="3" w:name="_Toc461439774"/>
      <w:bookmarkStart w:id="4" w:name="_Toc404590070"/>
      <w:r>
        <w:rPr>
          <w:rFonts w:hint="eastAsia" w:asciiTheme="minorEastAsia" w:hAnsiTheme="minorEastAsia" w:eastAsiaTheme="minorEastAsia"/>
          <w:b/>
          <w:sz w:val="24"/>
          <w:highlight w:val="none"/>
        </w:rPr>
        <w:br w:type="page"/>
      </w:r>
    </w:p>
    <w:p>
      <w:pPr>
        <w:widowControl/>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附件</w:t>
      </w:r>
      <w:r>
        <w:rPr>
          <w:rFonts w:hint="eastAsia" w:ascii="Arial" w:hAnsi="Arial" w:eastAsiaTheme="minorEastAsia"/>
          <w:b/>
          <w:sz w:val="24"/>
          <w:highlight w:val="none"/>
        </w:rPr>
        <w:t>1</w:t>
      </w:r>
      <w:r>
        <w:rPr>
          <w:rFonts w:hint="eastAsia" w:asciiTheme="minorEastAsia" w:hAnsiTheme="minorEastAsia" w:eastAsiaTheme="minorEastAsia"/>
          <w:b/>
          <w:sz w:val="24"/>
          <w:highlight w:val="none"/>
        </w:rPr>
        <w:t>：</w:t>
      </w:r>
      <w:bookmarkEnd w:id="3"/>
      <w:bookmarkEnd w:id="4"/>
      <w:r>
        <w:rPr>
          <w:rFonts w:hint="eastAsia" w:asciiTheme="minorEastAsia" w:hAnsiTheme="minorEastAsia" w:eastAsiaTheme="minorEastAsia"/>
          <w:b/>
          <w:sz w:val="24"/>
          <w:highlight w:val="none"/>
        </w:rPr>
        <w:t>报价清单</w:t>
      </w:r>
      <w:bookmarkStart w:id="5" w:name="_Toc461439775"/>
    </w:p>
    <w:p>
      <w:pPr>
        <w:widowControl/>
        <w:rPr>
          <w:rFonts w:asciiTheme="minorEastAsia" w:hAnsiTheme="minorEastAsia" w:eastAsiaTheme="minorEastAsia"/>
          <w:b/>
          <w:sz w:val="24"/>
          <w:highlight w:val="none"/>
        </w:rPr>
      </w:pPr>
    </w:p>
    <w:p>
      <w:pPr>
        <w:widowControl/>
        <w:rPr>
          <w:rFonts w:asciiTheme="minorEastAsia" w:hAnsiTheme="minorEastAsia" w:eastAsiaTheme="minorEastAsia"/>
          <w:b/>
          <w:sz w:val="24"/>
          <w:highlight w:val="none"/>
        </w:rPr>
      </w:pPr>
    </w:p>
    <w:p>
      <w:pPr>
        <w:widowControl/>
        <w:outlineLvl w:val="1"/>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bookmarkStart w:id="6" w:name="_Hlk28009803"/>
      <w:r>
        <w:rPr>
          <w:rFonts w:hint="eastAsia" w:asciiTheme="minorEastAsia" w:hAnsiTheme="minorEastAsia" w:eastAsiaTheme="minorEastAsia"/>
          <w:b/>
          <w:sz w:val="24"/>
          <w:highlight w:val="none"/>
        </w:rPr>
        <w:t>附件2：廉洁责任合同</w:t>
      </w:r>
    </w:p>
    <w:p>
      <w:pPr>
        <w:spacing w:line="560" w:lineRule="exact"/>
        <w:jc w:val="center"/>
        <w:rPr>
          <w:rFonts w:eastAsia="方正小标宋简体"/>
          <w:bCs/>
          <w:sz w:val="44"/>
          <w:szCs w:val="44"/>
          <w:highlight w:val="none"/>
        </w:rPr>
      </w:pPr>
      <w:r>
        <w:rPr>
          <w:rFonts w:hint="eastAsia" w:ascii="仿宋" w:hAnsi="仿宋" w:eastAsia="仿宋" w:cs="仿宋"/>
          <w:bCs/>
          <w:sz w:val="44"/>
          <w:szCs w:val="44"/>
          <w:highlight w:val="none"/>
        </w:rPr>
        <w:t>南沙区建设工程项目廉洁责任合同</w:t>
      </w:r>
    </w:p>
    <w:p>
      <w:pPr>
        <w:spacing w:line="560" w:lineRule="exact"/>
        <w:jc w:val="center"/>
        <w:rPr>
          <w:rFonts w:eastAsia="楷体_GB2312"/>
          <w:bCs/>
          <w:szCs w:val="32"/>
          <w:highlight w:val="none"/>
        </w:rPr>
      </w:pPr>
      <w:r>
        <w:rPr>
          <w:rFonts w:eastAsia="楷体_GB2312"/>
          <w:bCs/>
          <w:szCs w:val="32"/>
          <w:highlight w:val="none"/>
        </w:rPr>
        <w:t>（</w:t>
      </w:r>
      <w:r>
        <w:rPr>
          <w:rFonts w:hint="eastAsia" w:eastAsia="楷体_GB2312"/>
          <w:bCs/>
          <w:szCs w:val="32"/>
          <w:highlight w:val="none"/>
        </w:rPr>
        <w:t>示范性合同文本</w:t>
      </w:r>
      <w:r>
        <w:rPr>
          <w:rFonts w:eastAsia="楷体_GB2312"/>
          <w:bCs/>
          <w:szCs w:val="32"/>
          <w:highlight w:val="none"/>
        </w:rPr>
        <w:t>）</w:t>
      </w:r>
    </w:p>
    <w:p>
      <w:pPr>
        <w:spacing w:line="560" w:lineRule="exact"/>
        <w:rPr>
          <w:highlight w:val="none"/>
        </w:rPr>
      </w:pPr>
    </w:p>
    <w:p>
      <w:pPr>
        <w:spacing w:line="560" w:lineRule="exact"/>
        <w:rPr>
          <w:szCs w:val="32"/>
          <w:highlight w:val="none"/>
        </w:rPr>
      </w:pPr>
      <w:r>
        <w:rPr>
          <w:szCs w:val="32"/>
          <w:highlight w:val="none"/>
        </w:rPr>
        <w:t>发包人（委托人）：</w:t>
      </w:r>
    </w:p>
    <w:p>
      <w:pPr>
        <w:spacing w:line="560" w:lineRule="exact"/>
        <w:rPr>
          <w:szCs w:val="32"/>
          <w:highlight w:val="none"/>
        </w:rPr>
      </w:pPr>
      <w:r>
        <w:rPr>
          <w:szCs w:val="32"/>
          <w:highlight w:val="none"/>
        </w:rPr>
        <w:t>承包人（受托人）：</w:t>
      </w:r>
    </w:p>
    <w:p>
      <w:pPr>
        <w:spacing w:line="560" w:lineRule="exact"/>
        <w:rPr>
          <w:szCs w:val="32"/>
          <w:highlight w:val="none"/>
          <w:u w:val="single"/>
        </w:rPr>
      </w:pPr>
      <w:r>
        <w:rPr>
          <w:szCs w:val="32"/>
          <w:highlight w:val="none"/>
        </w:rPr>
        <w:t>建设工程项目：</w:t>
      </w:r>
    </w:p>
    <w:p>
      <w:pPr>
        <w:spacing w:line="560" w:lineRule="exact"/>
        <w:rPr>
          <w:szCs w:val="32"/>
          <w:highlight w:val="none"/>
          <w:u w:val="single"/>
        </w:rPr>
      </w:pPr>
      <w:r>
        <w:rPr>
          <w:szCs w:val="32"/>
          <w:highlight w:val="none"/>
        </w:rPr>
        <w:t>建设工程地点：</w:t>
      </w:r>
      <w:r>
        <w:rPr>
          <w:szCs w:val="32"/>
          <w:highlight w:val="none"/>
          <w:u w:val="single"/>
        </w:rPr>
        <w:t>广州市南沙区</w:t>
      </w:r>
    </w:p>
    <w:p>
      <w:pPr>
        <w:spacing w:line="560" w:lineRule="exact"/>
        <w:ind w:firstLine="525" w:firstLineChars="250"/>
        <w:rPr>
          <w:szCs w:val="32"/>
          <w:highlight w:val="none"/>
        </w:rPr>
      </w:pPr>
    </w:p>
    <w:p>
      <w:pPr>
        <w:spacing w:line="560" w:lineRule="exact"/>
        <w:ind w:firstLine="420" w:firstLineChars="200"/>
        <w:rPr>
          <w:szCs w:val="32"/>
          <w:highlight w:val="none"/>
        </w:rPr>
      </w:pPr>
      <w:r>
        <w:rPr>
          <w:szCs w:val="32"/>
          <w:highlight w:val="none"/>
        </w:rPr>
        <w:t>为贯彻落实国家、省、市有关</w:t>
      </w:r>
      <w:r>
        <w:rPr>
          <w:rFonts w:hint="eastAsia"/>
          <w:szCs w:val="32"/>
          <w:highlight w:val="none"/>
        </w:rPr>
        <w:t>廉洁</w:t>
      </w:r>
      <w:r>
        <w:rPr>
          <w:szCs w:val="32"/>
          <w:highlight w:val="none"/>
        </w:rPr>
        <w:t>规定，</w:t>
      </w:r>
      <w:r>
        <w:rPr>
          <w:rFonts w:hint="eastAsia"/>
          <w:szCs w:val="32"/>
          <w:highlight w:val="none"/>
        </w:rPr>
        <w:t>深化</w:t>
      </w:r>
      <w:r>
        <w:rPr>
          <w:szCs w:val="32"/>
          <w:highlight w:val="none"/>
        </w:rPr>
        <w:t>廉洁南沙自贸试验区建设，加强工程建设领域廉洁风险防控，</w:t>
      </w:r>
      <w:r>
        <w:rPr>
          <w:rFonts w:hint="eastAsia"/>
          <w:szCs w:val="32"/>
          <w:highlight w:val="none"/>
        </w:rPr>
        <w:t>构建亲清政商关系，</w:t>
      </w:r>
      <w:r>
        <w:rPr>
          <w:szCs w:val="32"/>
          <w:highlight w:val="none"/>
        </w:rPr>
        <w:t>营造风清气正的市场环境，根据《</w:t>
      </w:r>
      <w:r>
        <w:rPr>
          <w:rFonts w:hint="eastAsia"/>
          <w:szCs w:val="32"/>
          <w:highlight w:val="none"/>
        </w:rPr>
        <w:t>中华人民共和国</w:t>
      </w:r>
      <w:r>
        <w:rPr>
          <w:szCs w:val="32"/>
          <w:highlight w:val="none"/>
        </w:rPr>
        <w:t>反不正当竞争法》《</w:t>
      </w:r>
      <w:r>
        <w:rPr>
          <w:rFonts w:hint="eastAsia"/>
          <w:szCs w:val="32"/>
          <w:highlight w:val="none"/>
        </w:rPr>
        <w:t>中华人民共和国</w:t>
      </w:r>
      <w:r>
        <w:rPr>
          <w:szCs w:val="32"/>
          <w:highlight w:val="none"/>
        </w:rPr>
        <w:t>招标投标法》及其实施条例等法律法规及政策的规定，双方同意签订本合同。</w:t>
      </w:r>
    </w:p>
    <w:p>
      <w:pPr>
        <w:spacing w:line="560" w:lineRule="exact"/>
        <w:ind w:firstLine="422" w:firstLineChars="200"/>
        <w:rPr>
          <w:b/>
          <w:szCs w:val="32"/>
          <w:highlight w:val="none"/>
        </w:rPr>
      </w:pPr>
      <w:r>
        <w:rPr>
          <w:b/>
          <w:szCs w:val="32"/>
          <w:highlight w:val="none"/>
        </w:rPr>
        <w:t>第一条  本合同适用于南沙区政府财政资金和国有资金占控股</w:t>
      </w:r>
      <w:r>
        <w:rPr>
          <w:rFonts w:hint="eastAsia"/>
          <w:b/>
          <w:szCs w:val="32"/>
          <w:highlight w:val="none"/>
        </w:rPr>
        <w:t>或</w:t>
      </w:r>
      <w:r>
        <w:rPr>
          <w:b/>
          <w:szCs w:val="32"/>
          <w:highlight w:val="none"/>
        </w:rPr>
        <w:t>主导地位的公开招标类建设工程项目，涵盖工程施工类及服务类合同。辖区范围内其他工程项目可参照执行。</w:t>
      </w:r>
    </w:p>
    <w:p>
      <w:pPr>
        <w:spacing w:line="560" w:lineRule="exact"/>
        <w:ind w:firstLine="422" w:firstLineChars="200"/>
        <w:rPr>
          <w:b/>
          <w:szCs w:val="32"/>
          <w:highlight w:val="none"/>
        </w:rPr>
      </w:pPr>
      <w:r>
        <w:rPr>
          <w:b/>
          <w:szCs w:val="32"/>
          <w:highlight w:val="none"/>
        </w:rPr>
        <w:t>第二条  发包人及其</w:t>
      </w:r>
      <w:r>
        <w:rPr>
          <w:rFonts w:hint="eastAsia"/>
          <w:b/>
          <w:szCs w:val="32"/>
          <w:highlight w:val="none"/>
        </w:rPr>
        <w:t>工作人员不得</w:t>
      </w:r>
      <w:r>
        <w:rPr>
          <w:b/>
          <w:szCs w:val="32"/>
          <w:highlight w:val="none"/>
        </w:rPr>
        <w:t>利用项目或职权</w:t>
      </w:r>
      <w:r>
        <w:rPr>
          <w:rFonts w:hint="eastAsia"/>
          <w:b/>
          <w:szCs w:val="32"/>
          <w:highlight w:val="none"/>
        </w:rPr>
        <w:t>为本人及亲属</w:t>
      </w:r>
      <w:r>
        <w:rPr>
          <w:b/>
          <w:szCs w:val="32"/>
          <w:highlight w:val="none"/>
        </w:rPr>
        <w:t>谋取不正当利益</w:t>
      </w:r>
      <w:r>
        <w:rPr>
          <w:rFonts w:hint="eastAsia"/>
          <w:b/>
          <w:szCs w:val="32"/>
          <w:highlight w:val="none"/>
        </w:rPr>
        <w:t>，包括下列行为：</w:t>
      </w:r>
    </w:p>
    <w:p>
      <w:pPr>
        <w:spacing w:line="560" w:lineRule="exact"/>
        <w:ind w:firstLine="420" w:firstLineChars="200"/>
        <w:rPr>
          <w:szCs w:val="32"/>
          <w:highlight w:val="none"/>
        </w:rPr>
      </w:pPr>
      <w:r>
        <w:rPr>
          <w:szCs w:val="32"/>
          <w:highlight w:val="none"/>
        </w:rPr>
        <w:t>2.1  索取、接受或者以借为名占用承包人的财物</w:t>
      </w:r>
      <w:r>
        <w:rPr>
          <w:rFonts w:hint="eastAsia"/>
          <w:szCs w:val="32"/>
          <w:highlight w:val="none"/>
        </w:rPr>
        <w:t>，</w:t>
      </w:r>
      <w:r>
        <w:rPr>
          <w:szCs w:val="32"/>
          <w:highlight w:val="none"/>
        </w:rPr>
        <w:t>包括但不限于任何形式的礼品礼金、</w:t>
      </w:r>
      <w:r>
        <w:rPr>
          <w:rFonts w:hint="eastAsia"/>
          <w:szCs w:val="32"/>
          <w:highlight w:val="none"/>
        </w:rPr>
        <w:t>好处费</w:t>
      </w:r>
      <w:r>
        <w:rPr>
          <w:szCs w:val="32"/>
          <w:highlight w:val="none"/>
        </w:rPr>
        <w:t>、回扣</w:t>
      </w:r>
      <w:r>
        <w:rPr>
          <w:rFonts w:hint="eastAsia"/>
          <w:szCs w:val="32"/>
          <w:highlight w:val="none"/>
        </w:rPr>
        <w:t>、</w:t>
      </w:r>
      <w:r>
        <w:rPr>
          <w:szCs w:val="32"/>
          <w:highlight w:val="none"/>
        </w:rPr>
        <w:t>各种有价证券、</w:t>
      </w:r>
      <w:r>
        <w:rPr>
          <w:rFonts w:hint="eastAsia"/>
          <w:szCs w:val="32"/>
          <w:highlight w:val="none"/>
        </w:rPr>
        <w:t>购物</w:t>
      </w:r>
      <w:r>
        <w:rPr>
          <w:szCs w:val="32"/>
          <w:highlight w:val="none"/>
        </w:rPr>
        <w:t>卡及其他支付凭证</w:t>
      </w:r>
      <w:r>
        <w:rPr>
          <w:rFonts w:hint="eastAsia"/>
          <w:szCs w:val="32"/>
          <w:highlight w:val="none"/>
        </w:rPr>
        <w:t>、房产、车辆、贵重物品等</w:t>
      </w:r>
      <w:r>
        <w:rPr>
          <w:szCs w:val="32"/>
          <w:highlight w:val="none"/>
        </w:rPr>
        <w:t>；</w:t>
      </w:r>
    </w:p>
    <w:p>
      <w:pPr>
        <w:spacing w:line="560" w:lineRule="exact"/>
        <w:ind w:firstLine="420" w:firstLineChars="200"/>
        <w:rPr>
          <w:szCs w:val="32"/>
          <w:highlight w:val="none"/>
        </w:rPr>
      </w:pPr>
      <w:r>
        <w:rPr>
          <w:szCs w:val="32"/>
          <w:highlight w:val="none"/>
        </w:rPr>
        <w:t>2.2  接受承包人宴请</w:t>
      </w:r>
      <w:r>
        <w:rPr>
          <w:rFonts w:hint="eastAsia"/>
          <w:szCs w:val="32"/>
          <w:highlight w:val="none"/>
        </w:rPr>
        <w:t>（工作餐除外）</w:t>
      </w:r>
      <w:r>
        <w:rPr>
          <w:szCs w:val="32"/>
          <w:highlight w:val="none"/>
        </w:rPr>
        <w:t>及旅游、健身、娱乐等活动安排；</w:t>
      </w:r>
    </w:p>
    <w:p>
      <w:pPr>
        <w:spacing w:line="560" w:lineRule="exact"/>
        <w:ind w:firstLine="420" w:firstLineChars="200"/>
        <w:rPr>
          <w:szCs w:val="32"/>
          <w:highlight w:val="none"/>
        </w:rPr>
      </w:pPr>
      <w:r>
        <w:rPr>
          <w:szCs w:val="32"/>
          <w:highlight w:val="none"/>
        </w:rPr>
        <w:t>2.3  向承包人报销任何应由自身承担、支付的费用；</w:t>
      </w:r>
    </w:p>
    <w:p>
      <w:pPr>
        <w:spacing w:line="560" w:lineRule="exact"/>
        <w:ind w:firstLine="420" w:firstLineChars="200"/>
        <w:rPr>
          <w:szCs w:val="32"/>
          <w:highlight w:val="none"/>
        </w:rPr>
      </w:pPr>
      <w:r>
        <w:rPr>
          <w:szCs w:val="32"/>
          <w:highlight w:val="none"/>
        </w:rPr>
        <w:t>2.4  向承包人推荐分包</w:t>
      </w:r>
      <w:r>
        <w:rPr>
          <w:rFonts w:hint="eastAsia"/>
          <w:szCs w:val="32"/>
          <w:highlight w:val="none"/>
        </w:rPr>
        <w:t>人，推销材料和设备，</w:t>
      </w:r>
      <w:r>
        <w:rPr>
          <w:szCs w:val="32"/>
          <w:highlight w:val="none"/>
        </w:rPr>
        <w:t>要求承包人购买</w:t>
      </w:r>
      <w:r>
        <w:rPr>
          <w:rFonts w:hint="eastAsia"/>
          <w:szCs w:val="32"/>
          <w:highlight w:val="none"/>
        </w:rPr>
        <w:t>指定</w:t>
      </w:r>
      <w:r>
        <w:rPr>
          <w:szCs w:val="32"/>
          <w:highlight w:val="none"/>
        </w:rPr>
        <w:t>的材料和设备；</w:t>
      </w:r>
    </w:p>
    <w:p>
      <w:pPr>
        <w:spacing w:line="560" w:lineRule="exact"/>
        <w:ind w:firstLine="420" w:firstLineChars="200"/>
        <w:rPr>
          <w:szCs w:val="32"/>
          <w:highlight w:val="none"/>
        </w:rPr>
      </w:pPr>
      <w:r>
        <w:rPr>
          <w:szCs w:val="32"/>
          <w:highlight w:val="none"/>
        </w:rPr>
        <w:t xml:space="preserve">2.5  </w:t>
      </w:r>
      <w:r>
        <w:rPr>
          <w:rFonts w:hint="eastAsia"/>
          <w:szCs w:val="32"/>
          <w:highlight w:val="none"/>
        </w:rPr>
        <w:t>私自为建设工程安排施工队伍，从事与建设工程有关的各种有偿中介服务</w:t>
      </w:r>
      <w:r>
        <w:rPr>
          <w:szCs w:val="32"/>
          <w:highlight w:val="none"/>
        </w:rPr>
        <w:t>；</w:t>
      </w:r>
    </w:p>
    <w:p>
      <w:pPr>
        <w:spacing w:line="560" w:lineRule="exact"/>
        <w:ind w:firstLine="420" w:firstLineChars="200"/>
        <w:rPr>
          <w:szCs w:val="32"/>
          <w:highlight w:val="none"/>
        </w:rPr>
      </w:pPr>
      <w:r>
        <w:rPr>
          <w:szCs w:val="32"/>
          <w:highlight w:val="none"/>
        </w:rPr>
        <w:t>2.6  要求或者暗示承包人</w:t>
      </w:r>
      <w:r>
        <w:rPr>
          <w:rFonts w:hint="eastAsia"/>
          <w:szCs w:val="32"/>
          <w:highlight w:val="none"/>
        </w:rPr>
        <w:t>为本人或亲属的工作安排、职务晋升、经商办企业、出国出境、旅游、留学、探亲、定居等提供资助或便利；</w:t>
      </w:r>
    </w:p>
    <w:p>
      <w:pPr>
        <w:spacing w:line="560" w:lineRule="exact"/>
        <w:ind w:firstLine="420" w:firstLineChars="200"/>
        <w:rPr>
          <w:szCs w:val="32"/>
          <w:highlight w:val="none"/>
        </w:rPr>
      </w:pPr>
      <w:r>
        <w:rPr>
          <w:rFonts w:hint="eastAsia"/>
          <w:szCs w:val="32"/>
          <w:highlight w:val="none"/>
        </w:rPr>
        <w:t xml:space="preserve">2.7  </w:t>
      </w:r>
      <w:r>
        <w:rPr>
          <w:szCs w:val="32"/>
          <w:highlight w:val="none"/>
        </w:rPr>
        <w:t>默许、纵容、授意亲属收受承包人财物</w:t>
      </w:r>
      <w:r>
        <w:rPr>
          <w:rFonts w:hint="eastAsia"/>
          <w:szCs w:val="32"/>
          <w:highlight w:val="none"/>
        </w:rPr>
        <w:t>，或从事与建设工程有关的材料和设备供应、工程分包、劳务等经济活动</w:t>
      </w:r>
      <w:r>
        <w:rPr>
          <w:szCs w:val="32"/>
          <w:highlight w:val="none"/>
        </w:rPr>
        <w:t>；</w:t>
      </w:r>
    </w:p>
    <w:p>
      <w:pPr>
        <w:spacing w:line="560" w:lineRule="exact"/>
        <w:ind w:firstLine="420" w:firstLineChars="200"/>
        <w:rPr>
          <w:szCs w:val="32"/>
          <w:highlight w:val="none"/>
        </w:rPr>
      </w:pPr>
      <w:r>
        <w:rPr>
          <w:rFonts w:hint="eastAsia"/>
          <w:szCs w:val="32"/>
          <w:highlight w:val="none"/>
        </w:rPr>
        <w:t xml:space="preserve">2.8  </w:t>
      </w:r>
      <w:r>
        <w:rPr>
          <w:szCs w:val="32"/>
          <w:highlight w:val="none"/>
        </w:rPr>
        <w:t>其他利用项目或职权谋取不正当利益的行为。</w:t>
      </w:r>
    </w:p>
    <w:p>
      <w:pPr>
        <w:spacing w:line="560" w:lineRule="exact"/>
        <w:ind w:firstLine="422" w:firstLineChars="200"/>
        <w:rPr>
          <w:b/>
          <w:szCs w:val="32"/>
          <w:highlight w:val="none"/>
        </w:rPr>
      </w:pPr>
      <w:r>
        <w:rPr>
          <w:b/>
          <w:szCs w:val="32"/>
          <w:highlight w:val="none"/>
        </w:rPr>
        <w:t>第三条  承包人及其</w:t>
      </w:r>
      <w:r>
        <w:rPr>
          <w:rFonts w:hint="eastAsia"/>
          <w:b/>
          <w:szCs w:val="32"/>
          <w:highlight w:val="none"/>
        </w:rPr>
        <w:t>工作人员不得通过</w:t>
      </w:r>
      <w:r>
        <w:rPr>
          <w:b/>
          <w:szCs w:val="32"/>
          <w:highlight w:val="none"/>
        </w:rPr>
        <w:t>商业贿赂</w:t>
      </w:r>
      <w:r>
        <w:rPr>
          <w:rFonts w:hint="eastAsia"/>
          <w:b/>
          <w:szCs w:val="32"/>
          <w:highlight w:val="none"/>
        </w:rPr>
        <w:t>等不正当手段谋取利益，包括下列</w:t>
      </w:r>
      <w:r>
        <w:rPr>
          <w:b/>
          <w:szCs w:val="32"/>
          <w:highlight w:val="none"/>
        </w:rPr>
        <w:t>行为</w:t>
      </w:r>
      <w:r>
        <w:rPr>
          <w:rFonts w:hint="eastAsia"/>
          <w:b/>
          <w:szCs w:val="32"/>
          <w:highlight w:val="none"/>
        </w:rPr>
        <w:t>：</w:t>
      </w:r>
    </w:p>
    <w:p>
      <w:pPr>
        <w:spacing w:line="560" w:lineRule="exact"/>
        <w:ind w:firstLine="420" w:firstLineChars="200"/>
        <w:rPr>
          <w:szCs w:val="32"/>
          <w:highlight w:val="none"/>
        </w:rPr>
      </w:pPr>
      <w:r>
        <w:rPr>
          <w:rFonts w:hint="eastAsia"/>
          <w:szCs w:val="32"/>
          <w:highlight w:val="none"/>
        </w:rPr>
        <w:t>3</w:t>
      </w:r>
      <w:r>
        <w:rPr>
          <w:szCs w:val="32"/>
          <w:highlight w:val="none"/>
        </w:rPr>
        <w:t>.1  同意或主动</w:t>
      </w:r>
      <w:r>
        <w:rPr>
          <w:rFonts w:hint="eastAsia"/>
          <w:szCs w:val="32"/>
          <w:highlight w:val="none"/>
        </w:rPr>
        <w:t>向</w:t>
      </w:r>
      <w:r>
        <w:rPr>
          <w:szCs w:val="32"/>
          <w:highlight w:val="none"/>
        </w:rPr>
        <w:t>发包人及其</w:t>
      </w:r>
      <w:r>
        <w:rPr>
          <w:rFonts w:hint="eastAsia"/>
          <w:szCs w:val="32"/>
          <w:highlight w:val="none"/>
        </w:rPr>
        <w:t>工作人员</w:t>
      </w:r>
      <w:r>
        <w:rPr>
          <w:szCs w:val="32"/>
          <w:highlight w:val="none"/>
        </w:rPr>
        <w:t>提供第二条</w:t>
      </w:r>
      <w:r>
        <w:rPr>
          <w:rFonts w:hint="eastAsia"/>
          <w:szCs w:val="32"/>
          <w:highlight w:val="none"/>
        </w:rPr>
        <w:t>约</w:t>
      </w:r>
      <w:r>
        <w:rPr>
          <w:szCs w:val="32"/>
          <w:highlight w:val="none"/>
        </w:rPr>
        <w:t>定的</w:t>
      </w:r>
      <w:r>
        <w:rPr>
          <w:rFonts w:hint="eastAsia"/>
          <w:szCs w:val="32"/>
          <w:highlight w:val="none"/>
        </w:rPr>
        <w:t>禁止性</w:t>
      </w:r>
      <w:r>
        <w:rPr>
          <w:szCs w:val="32"/>
          <w:highlight w:val="none"/>
        </w:rPr>
        <w:t>行为；</w:t>
      </w:r>
    </w:p>
    <w:p>
      <w:pPr>
        <w:spacing w:line="560" w:lineRule="exact"/>
        <w:ind w:firstLine="420" w:firstLineChars="200"/>
        <w:rPr>
          <w:szCs w:val="32"/>
          <w:highlight w:val="none"/>
        </w:rPr>
      </w:pPr>
      <w:r>
        <w:rPr>
          <w:rFonts w:hint="eastAsia"/>
          <w:szCs w:val="32"/>
          <w:highlight w:val="none"/>
        </w:rPr>
        <w:t>3</w:t>
      </w:r>
      <w:r>
        <w:rPr>
          <w:szCs w:val="32"/>
          <w:highlight w:val="none"/>
        </w:rPr>
        <w:t>.2  向与建设工程相关的代建、施工、监理（项目管理）、勘察、设计、咨询等有关单位及其</w:t>
      </w:r>
      <w:r>
        <w:rPr>
          <w:rFonts w:hint="eastAsia"/>
          <w:szCs w:val="32"/>
          <w:highlight w:val="none"/>
        </w:rPr>
        <w:t>工作人员进行</w:t>
      </w:r>
      <w:r>
        <w:rPr>
          <w:szCs w:val="32"/>
          <w:highlight w:val="none"/>
        </w:rPr>
        <w:t>商业贿赂，包括但不限于任何形式的礼品礼金、有价证券、购物</w:t>
      </w:r>
      <w:r>
        <w:rPr>
          <w:rFonts w:hint="eastAsia"/>
          <w:szCs w:val="32"/>
          <w:highlight w:val="none"/>
        </w:rPr>
        <w:t>卡</w:t>
      </w:r>
      <w:r>
        <w:rPr>
          <w:szCs w:val="32"/>
          <w:highlight w:val="none"/>
        </w:rPr>
        <w:t>、回扣、佣金、咨询费、劳务费、赞助费、宣传费，以及支付旅游费用、报销各种消费凭证等。</w:t>
      </w:r>
    </w:p>
    <w:p>
      <w:pPr>
        <w:spacing w:line="560" w:lineRule="exact"/>
        <w:ind w:firstLine="420" w:firstLineChars="200"/>
        <w:rPr>
          <w:szCs w:val="32"/>
          <w:highlight w:val="none"/>
        </w:rPr>
      </w:pPr>
      <w:r>
        <w:rPr>
          <w:rFonts w:hint="eastAsia"/>
          <w:szCs w:val="32"/>
          <w:highlight w:val="none"/>
        </w:rPr>
        <w:t>3</w:t>
      </w:r>
      <w:r>
        <w:rPr>
          <w:szCs w:val="32"/>
          <w:highlight w:val="none"/>
        </w:rPr>
        <w:t>.</w:t>
      </w:r>
      <w:r>
        <w:rPr>
          <w:rFonts w:hint="eastAsia"/>
          <w:szCs w:val="32"/>
          <w:highlight w:val="none"/>
        </w:rPr>
        <w:t>3</w:t>
      </w:r>
      <w:r>
        <w:rPr>
          <w:szCs w:val="32"/>
          <w:highlight w:val="none"/>
        </w:rPr>
        <w:t xml:space="preserve">  接受与建设工程相关的代建、施工、监理（项目管理）、勘察、设计、咨询等有关单位及其</w:t>
      </w:r>
      <w:r>
        <w:rPr>
          <w:rFonts w:hint="eastAsia"/>
          <w:szCs w:val="32"/>
          <w:highlight w:val="none"/>
        </w:rPr>
        <w:t>工作人员</w:t>
      </w:r>
      <w:r>
        <w:rPr>
          <w:szCs w:val="32"/>
          <w:highlight w:val="none"/>
        </w:rPr>
        <w:t>的商业贿赂。</w:t>
      </w:r>
    </w:p>
    <w:p>
      <w:pPr>
        <w:spacing w:line="560" w:lineRule="exact"/>
        <w:ind w:firstLine="420" w:firstLineChars="200"/>
        <w:rPr>
          <w:szCs w:val="32"/>
          <w:highlight w:val="none"/>
        </w:rPr>
      </w:pPr>
      <w:r>
        <w:rPr>
          <w:rFonts w:hint="eastAsia"/>
          <w:szCs w:val="32"/>
          <w:highlight w:val="none"/>
        </w:rPr>
        <w:t>3</w:t>
      </w:r>
      <w:r>
        <w:rPr>
          <w:szCs w:val="32"/>
          <w:highlight w:val="none"/>
        </w:rPr>
        <w:t>.</w:t>
      </w:r>
      <w:r>
        <w:rPr>
          <w:rFonts w:hint="eastAsia"/>
          <w:szCs w:val="32"/>
          <w:highlight w:val="none"/>
        </w:rPr>
        <w:t>4</w:t>
      </w:r>
      <w:r>
        <w:rPr>
          <w:szCs w:val="32"/>
          <w:highlight w:val="none"/>
        </w:rPr>
        <w:t xml:space="preserve">  接受分包（工程分包、劳务分包等）单位、材料设备供应单位等单位及其</w:t>
      </w:r>
      <w:r>
        <w:rPr>
          <w:rFonts w:hint="eastAsia"/>
          <w:szCs w:val="32"/>
          <w:highlight w:val="none"/>
        </w:rPr>
        <w:t>工作人员</w:t>
      </w:r>
      <w:r>
        <w:rPr>
          <w:szCs w:val="32"/>
          <w:highlight w:val="none"/>
        </w:rPr>
        <w:t>的商业贿赂。</w:t>
      </w:r>
    </w:p>
    <w:p>
      <w:pPr>
        <w:spacing w:line="560" w:lineRule="exact"/>
        <w:ind w:firstLine="420" w:firstLineChars="200"/>
        <w:rPr>
          <w:szCs w:val="32"/>
          <w:highlight w:val="none"/>
        </w:rPr>
      </w:pPr>
      <w:r>
        <w:rPr>
          <w:rFonts w:hint="eastAsia"/>
          <w:szCs w:val="32"/>
          <w:highlight w:val="none"/>
        </w:rPr>
        <w:t xml:space="preserve">3.5  </w:t>
      </w:r>
      <w:r>
        <w:rPr>
          <w:szCs w:val="32"/>
          <w:highlight w:val="none"/>
        </w:rPr>
        <w:t>其他</w:t>
      </w:r>
      <w:r>
        <w:rPr>
          <w:rFonts w:hint="eastAsia"/>
          <w:szCs w:val="32"/>
          <w:highlight w:val="none"/>
        </w:rPr>
        <w:t>通过不正当手段谋取利益的</w:t>
      </w:r>
      <w:r>
        <w:rPr>
          <w:szCs w:val="32"/>
          <w:highlight w:val="none"/>
        </w:rPr>
        <w:t>行为。</w:t>
      </w:r>
    </w:p>
    <w:p>
      <w:pPr>
        <w:spacing w:line="560" w:lineRule="exact"/>
        <w:ind w:firstLine="422" w:firstLineChars="200"/>
        <w:rPr>
          <w:b/>
          <w:szCs w:val="32"/>
          <w:highlight w:val="none"/>
        </w:rPr>
      </w:pPr>
      <w:r>
        <w:rPr>
          <w:b/>
          <w:szCs w:val="32"/>
          <w:highlight w:val="none"/>
        </w:rPr>
        <w:t>第</w:t>
      </w:r>
      <w:r>
        <w:rPr>
          <w:rFonts w:hint="eastAsia"/>
          <w:b/>
          <w:szCs w:val="32"/>
          <w:highlight w:val="none"/>
        </w:rPr>
        <w:t>四</w:t>
      </w:r>
      <w:r>
        <w:rPr>
          <w:b/>
          <w:szCs w:val="32"/>
          <w:highlight w:val="none"/>
        </w:rPr>
        <w:t xml:space="preserve">条  </w:t>
      </w:r>
      <w:r>
        <w:rPr>
          <w:rFonts w:hint="eastAsia"/>
          <w:b/>
          <w:szCs w:val="32"/>
          <w:highlight w:val="none"/>
        </w:rPr>
        <w:t>发包人、</w:t>
      </w:r>
      <w:r>
        <w:rPr>
          <w:b/>
          <w:szCs w:val="32"/>
          <w:highlight w:val="none"/>
        </w:rPr>
        <w:t>承包人及</w:t>
      </w:r>
      <w:r>
        <w:rPr>
          <w:rFonts w:hint="eastAsia"/>
          <w:b/>
          <w:szCs w:val="32"/>
          <w:highlight w:val="none"/>
        </w:rPr>
        <w:t>双方工作人员不得</w:t>
      </w:r>
      <w:r>
        <w:rPr>
          <w:b/>
          <w:szCs w:val="32"/>
          <w:highlight w:val="none"/>
        </w:rPr>
        <w:t>违规干预或插手建设工程招投标活动</w:t>
      </w:r>
      <w:r>
        <w:rPr>
          <w:rFonts w:hint="eastAsia"/>
          <w:b/>
          <w:szCs w:val="32"/>
          <w:highlight w:val="none"/>
        </w:rPr>
        <w:t>，禁止</w:t>
      </w:r>
      <w:r>
        <w:rPr>
          <w:b/>
          <w:szCs w:val="32"/>
          <w:highlight w:val="none"/>
        </w:rPr>
        <w:t>串通投标（围标）</w:t>
      </w:r>
      <w:r>
        <w:rPr>
          <w:rFonts w:hint="eastAsia"/>
          <w:b/>
          <w:szCs w:val="32"/>
          <w:highlight w:val="none"/>
        </w:rPr>
        <w:t>等不正当竞争</w:t>
      </w:r>
      <w:r>
        <w:rPr>
          <w:b/>
          <w:szCs w:val="32"/>
          <w:highlight w:val="none"/>
        </w:rPr>
        <w:t>行为。</w:t>
      </w:r>
    </w:p>
    <w:p>
      <w:pPr>
        <w:spacing w:line="560" w:lineRule="exact"/>
        <w:ind w:firstLine="422" w:firstLineChars="200"/>
        <w:rPr>
          <w:b/>
          <w:szCs w:val="32"/>
          <w:highlight w:val="none"/>
        </w:rPr>
      </w:pPr>
      <w:r>
        <w:rPr>
          <w:b/>
          <w:szCs w:val="32"/>
          <w:highlight w:val="none"/>
        </w:rPr>
        <w:t>第</w:t>
      </w:r>
      <w:r>
        <w:rPr>
          <w:rFonts w:hint="eastAsia"/>
          <w:b/>
          <w:szCs w:val="32"/>
          <w:highlight w:val="none"/>
        </w:rPr>
        <w:t>五</w:t>
      </w:r>
      <w:r>
        <w:rPr>
          <w:b/>
          <w:szCs w:val="32"/>
          <w:highlight w:val="none"/>
        </w:rPr>
        <w:t xml:space="preserve">条  </w:t>
      </w:r>
      <w:r>
        <w:rPr>
          <w:rFonts w:hint="eastAsia"/>
          <w:b/>
          <w:szCs w:val="32"/>
          <w:highlight w:val="none"/>
        </w:rPr>
        <w:t>廉洁风险防控机制</w:t>
      </w:r>
    </w:p>
    <w:p>
      <w:pPr>
        <w:spacing w:line="560" w:lineRule="exact"/>
        <w:ind w:firstLine="420" w:firstLineChars="200"/>
        <w:rPr>
          <w:szCs w:val="32"/>
          <w:highlight w:val="none"/>
        </w:rPr>
      </w:pPr>
      <w:r>
        <w:rPr>
          <w:szCs w:val="32"/>
          <w:highlight w:val="none"/>
        </w:rPr>
        <w:t>发包人、承包人双方</w:t>
      </w:r>
      <w:r>
        <w:rPr>
          <w:rFonts w:hint="eastAsia"/>
          <w:szCs w:val="32"/>
          <w:highlight w:val="none"/>
        </w:rPr>
        <w:t>均有义务建立健全廉洁风险防控机制，排查、</w:t>
      </w:r>
      <w:r>
        <w:rPr>
          <w:szCs w:val="32"/>
          <w:highlight w:val="none"/>
        </w:rPr>
        <w:t>梳理</w:t>
      </w:r>
      <w:r>
        <w:rPr>
          <w:rFonts w:hint="eastAsia"/>
          <w:szCs w:val="32"/>
          <w:highlight w:val="none"/>
        </w:rPr>
        <w:t>建设工程</w:t>
      </w:r>
      <w:r>
        <w:rPr>
          <w:szCs w:val="32"/>
          <w:highlight w:val="none"/>
        </w:rPr>
        <w:t>业务流程及关键工作岗位涉及的廉洁风险</w:t>
      </w:r>
      <w:r>
        <w:rPr>
          <w:rFonts w:hint="eastAsia"/>
          <w:szCs w:val="32"/>
          <w:highlight w:val="none"/>
        </w:rPr>
        <w:t>点，有针对性地逐项制定防控措施，加强对单位工作人员的廉洁教育，预警在先、防范在前，风险定到岗、制度建到位、责任落到人</w:t>
      </w:r>
      <w:r>
        <w:rPr>
          <w:szCs w:val="32"/>
          <w:highlight w:val="none"/>
        </w:rPr>
        <w:t>。</w:t>
      </w:r>
      <w:r>
        <w:rPr>
          <w:rFonts w:hint="eastAsia"/>
          <w:szCs w:val="32"/>
          <w:highlight w:val="none"/>
        </w:rPr>
        <w:t>发现对方在业务活动中有违反廉洁规定的行为，应及时给予提醒和纠正。</w:t>
      </w:r>
    </w:p>
    <w:p>
      <w:pPr>
        <w:spacing w:line="560" w:lineRule="exact"/>
        <w:ind w:firstLine="422" w:firstLineChars="200"/>
        <w:rPr>
          <w:b/>
          <w:szCs w:val="32"/>
          <w:highlight w:val="none"/>
        </w:rPr>
      </w:pPr>
      <w:r>
        <w:rPr>
          <w:b/>
          <w:szCs w:val="32"/>
          <w:highlight w:val="none"/>
        </w:rPr>
        <w:t>第</w:t>
      </w:r>
      <w:r>
        <w:rPr>
          <w:rFonts w:hint="eastAsia"/>
          <w:b/>
          <w:szCs w:val="32"/>
          <w:highlight w:val="none"/>
        </w:rPr>
        <w:t>六</w:t>
      </w:r>
      <w:r>
        <w:rPr>
          <w:b/>
          <w:szCs w:val="32"/>
          <w:highlight w:val="none"/>
        </w:rPr>
        <w:t xml:space="preserve">条  </w:t>
      </w:r>
      <w:r>
        <w:rPr>
          <w:rFonts w:hint="eastAsia"/>
          <w:b/>
          <w:szCs w:val="32"/>
          <w:highlight w:val="none"/>
        </w:rPr>
        <w:t>廉洁违约责任</w:t>
      </w:r>
    </w:p>
    <w:p>
      <w:pPr>
        <w:spacing w:line="560" w:lineRule="exact"/>
        <w:ind w:firstLine="420" w:firstLineChars="200"/>
        <w:rPr>
          <w:szCs w:val="32"/>
          <w:highlight w:val="none"/>
        </w:rPr>
      </w:pPr>
      <w:r>
        <w:rPr>
          <w:rFonts w:hint="eastAsia"/>
          <w:szCs w:val="32"/>
          <w:highlight w:val="none"/>
        </w:rPr>
        <w:t>6</w:t>
      </w:r>
      <w:r>
        <w:rPr>
          <w:szCs w:val="32"/>
          <w:highlight w:val="none"/>
        </w:rPr>
        <w:t>.1  发包人</w:t>
      </w:r>
      <w:r>
        <w:rPr>
          <w:rFonts w:hint="eastAsia"/>
          <w:szCs w:val="32"/>
          <w:highlight w:val="none"/>
        </w:rPr>
        <w:t>及其工作人员</w:t>
      </w:r>
      <w:r>
        <w:rPr>
          <w:szCs w:val="32"/>
          <w:highlight w:val="none"/>
        </w:rPr>
        <w:t>违反本合同</w:t>
      </w:r>
      <w:r>
        <w:rPr>
          <w:rFonts w:hint="eastAsia"/>
          <w:szCs w:val="32"/>
          <w:highlight w:val="none"/>
        </w:rPr>
        <w:t>第二条和第四条规定</w:t>
      </w:r>
      <w:r>
        <w:rPr>
          <w:szCs w:val="32"/>
          <w:highlight w:val="none"/>
        </w:rPr>
        <w:t>，相关责任人应受到相应的党纪政务（纪）处分，</w:t>
      </w:r>
      <w:r>
        <w:rPr>
          <w:rFonts w:hint="eastAsia"/>
          <w:szCs w:val="32"/>
          <w:highlight w:val="none"/>
        </w:rPr>
        <w:t>涉嫌</w:t>
      </w:r>
      <w:r>
        <w:rPr>
          <w:szCs w:val="32"/>
          <w:highlight w:val="none"/>
        </w:rPr>
        <w:t>犯罪的</w:t>
      </w:r>
      <w:r>
        <w:rPr>
          <w:rFonts w:hint="eastAsia"/>
          <w:szCs w:val="32"/>
          <w:highlight w:val="none"/>
        </w:rPr>
        <w:t>，</w:t>
      </w:r>
      <w:r>
        <w:rPr>
          <w:szCs w:val="32"/>
          <w:highlight w:val="none"/>
        </w:rPr>
        <w:t>移送司法机关</w:t>
      </w:r>
      <w:r>
        <w:rPr>
          <w:rFonts w:hint="eastAsia"/>
          <w:szCs w:val="32"/>
          <w:highlight w:val="none"/>
        </w:rPr>
        <w:t>依法</w:t>
      </w:r>
      <w:r>
        <w:rPr>
          <w:szCs w:val="32"/>
          <w:highlight w:val="none"/>
        </w:rPr>
        <w:t>处理；</w:t>
      </w:r>
      <w:r>
        <w:rPr>
          <w:rFonts w:hint="eastAsia"/>
          <w:szCs w:val="32"/>
          <w:highlight w:val="none"/>
        </w:rPr>
        <w:t>给</w:t>
      </w:r>
      <w:r>
        <w:rPr>
          <w:szCs w:val="32"/>
          <w:highlight w:val="none"/>
        </w:rPr>
        <w:t>承包人造成经济损失的，应承担相应的赔偿责任。</w:t>
      </w:r>
    </w:p>
    <w:p>
      <w:pPr>
        <w:spacing w:line="560" w:lineRule="exact"/>
        <w:ind w:firstLine="420" w:firstLineChars="200"/>
        <w:rPr>
          <w:szCs w:val="32"/>
          <w:highlight w:val="none"/>
        </w:rPr>
      </w:pPr>
      <w:r>
        <w:rPr>
          <w:rFonts w:hint="eastAsia"/>
          <w:szCs w:val="32"/>
          <w:highlight w:val="none"/>
        </w:rPr>
        <w:t>6</w:t>
      </w:r>
      <w:r>
        <w:rPr>
          <w:szCs w:val="32"/>
          <w:highlight w:val="none"/>
        </w:rPr>
        <w:t xml:space="preserve">.2  </w:t>
      </w:r>
      <w:r>
        <w:rPr>
          <w:rFonts w:hint="eastAsia"/>
          <w:szCs w:val="32"/>
          <w:highlight w:val="none"/>
        </w:rPr>
        <w:t>承包人</w:t>
      </w:r>
      <w:r>
        <w:rPr>
          <w:bCs/>
          <w:szCs w:val="32"/>
          <w:highlight w:val="none"/>
        </w:rPr>
        <w:t>及其</w:t>
      </w:r>
      <w:r>
        <w:rPr>
          <w:rFonts w:hint="eastAsia"/>
          <w:bCs/>
          <w:szCs w:val="32"/>
          <w:highlight w:val="none"/>
        </w:rPr>
        <w:t>工作人员</w:t>
      </w:r>
      <w:r>
        <w:rPr>
          <w:rFonts w:hint="eastAsia"/>
          <w:szCs w:val="32"/>
          <w:highlight w:val="none"/>
        </w:rPr>
        <w:t>违反本合同第三条和第四条规定，经有关主管部门查证属实或者经纪检监察机关认定违纪、经司法机关依法确定构成违法犯罪的，承包人应按次向发包人支付廉洁违约金（施工类建设项目合同价款</w:t>
      </w:r>
      <w:r>
        <w:rPr>
          <w:szCs w:val="32"/>
          <w:highlight w:val="none"/>
        </w:rPr>
        <w:t>2%且不超过100万元人民币，服务类建设项目合同价款5%且不超过50万元人民币）；</w:t>
      </w:r>
      <w:r>
        <w:rPr>
          <w:rFonts w:hint="eastAsia"/>
          <w:szCs w:val="32"/>
          <w:highlight w:val="none"/>
        </w:rPr>
        <w:t>给发包人造成经济损失的，还应承担相应的赔偿责任。</w:t>
      </w:r>
      <w:r>
        <w:rPr>
          <w:szCs w:val="32"/>
          <w:highlight w:val="none"/>
        </w:rPr>
        <w:t>同时，发包人有权：（1）</w:t>
      </w:r>
      <w:r>
        <w:rPr>
          <w:rFonts w:hint="eastAsia"/>
          <w:szCs w:val="32"/>
          <w:highlight w:val="none"/>
        </w:rPr>
        <w:t>如承包人的行为严重影响合同的履行或者严重干扰市场公平竞争营商环境，可</w:t>
      </w:r>
      <w:r>
        <w:rPr>
          <w:szCs w:val="32"/>
          <w:highlight w:val="none"/>
        </w:rPr>
        <w:t>单方解除</w:t>
      </w:r>
      <w:r>
        <w:rPr>
          <w:rFonts w:hint="eastAsia"/>
          <w:szCs w:val="32"/>
          <w:highlight w:val="none"/>
        </w:rPr>
        <w:t>主</w:t>
      </w:r>
      <w:r>
        <w:rPr>
          <w:szCs w:val="32"/>
          <w:highlight w:val="none"/>
        </w:rPr>
        <w:t>合同；（2）</w:t>
      </w:r>
      <w:r>
        <w:rPr>
          <w:rFonts w:hint="eastAsia"/>
          <w:szCs w:val="32"/>
          <w:highlight w:val="none"/>
        </w:rPr>
        <w:t>将</w:t>
      </w:r>
      <w:r>
        <w:rPr>
          <w:szCs w:val="32"/>
          <w:highlight w:val="none"/>
        </w:rPr>
        <w:t>承包人的履约评价评为不合格，并拒绝</w:t>
      </w:r>
      <w:r>
        <w:rPr>
          <w:rFonts w:hint="eastAsia"/>
          <w:szCs w:val="32"/>
          <w:highlight w:val="none"/>
        </w:rPr>
        <w:t>其</w:t>
      </w:r>
      <w:r>
        <w:rPr>
          <w:szCs w:val="32"/>
          <w:highlight w:val="none"/>
        </w:rPr>
        <w:t>参与发包人负责实施项目的投标或摇珠；（3）将有关情况报相关主管部门</w:t>
      </w:r>
      <w:r>
        <w:rPr>
          <w:rFonts w:hint="eastAsia"/>
          <w:szCs w:val="32"/>
          <w:highlight w:val="none"/>
        </w:rPr>
        <w:t>记录</w:t>
      </w:r>
      <w:r>
        <w:rPr>
          <w:szCs w:val="32"/>
          <w:highlight w:val="none"/>
        </w:rPr>
        <w:t>，</w:t>
      </w:r>
      <w:r>
        <w:rPr>
          <w:rFonts w:hint="eastAsia"/>
          <w:szCs w:val="32"/>
          <w:highlight w:val="none"/>
        </w:rPr>
        <w:t>作为企业诚信评分考核，</w:t>
      </w:r>
      <w:r>
        <w:rPr>
          <w:szCs w:val="32"/>
          <w:highlight w:val="none"/>
        </w:rPr>
        <w:t>建议</w:t>
      </w:r>
      <w:r>
        <w:rPr>
          <w:rFonts w:hint="eastAsia"/>
          <w:szCs w:val="32"/>
          <w:highlight w:val="none"/>
        </w:rPr>
        <w:t>给予</w:t>
      </w:r>
      <w:r>
        <w:rPr>
          <w:szCs w:val="32"/>
          <w:highlight w:val="none"/>
        </w:rPr>
        <w:t>通报</w:t>
      </w:r>
      <w:r>
        <w:rPr>
          <w:rFonts w:hint="eastAsia"/>
          <w:szCs w:val="32"/>
          <w:highlight w:val="none"/>
        </w:rPr>
        <w:t>并向社会进行公示。</w:t>
      </w:r>
    </w:p>
    <w:p>
      <w:pPr>
        <w:spacing w:line="560" w:lineRule="exact"/>
        <w:ind w:firstLine="422" w:firstLineChars="200"/>
        <w:rPr>
          <w:b/>
          <w:szCs w:val="32"/>
          <w:highlight w:val="none"/>
        </w:rPr>
      </w:pPr>
      <w:r>
        <w:rPr>
          <w:b/>
          <w:szCs w:val="32"/>
          <w:highlight w:val="none"/>
        </w:rPr>
        <w:t>第</w:t>
      </w:r>
      <w:r>
        <w:rPr>
          <w:rFonts w:hint="eastAsia"/>
          <w:b/>
          <w:szCs w:val="32"/>
          <w:highlight w:val="none"/>
        </w:rPr>
        <w:t>七</w:t>
      </w:r>
      <w:r>
        <w:rPr>
          <w:b/>
          <w:szCs w:val="32"/>
          <w:highlight w:val="none"/>
        </w:rPr>
        <w:t xml:space="preserve">条  </w:t>
      </w:r>
      <w:r>
        <w:rPr>
          <w:rFonts w:hint="eastAsia"/>
          <w:b/>
          <w:szCs w:val="32"/>
          <w:highlight w:val="none"/>
        </w:rPr>
        <w:t>监督</w:t>
      </w:r>
      <w:r>
        <w:rPr>
          <w:b/>
          <w:szCs w:val="32"/>
          <w:highlight w:val="none"/>
        </w:rPr>
        <w:t>举报</w:t>
      </w:r>
    </w:p>
    <w:p>
      <w:pPr>
        <w:spacing w:line="560" w:lineRule="exact"/>
        <w:ind w:firstLine="420" w:firstLineChars="200"/>
        <w:rPr>
          <w:szCs w:val="32"/>
          <w:highlight w:val="none"/>
        </w:rPr>
      </w:pPr>
      <w:r>
        <w:rPr>
          <w:szCs w:val="32"/>
          <w:highlight w:val="none"/>
        </w:rPr>
        <w:t>发包人、承包人</w:t>
      </w:r>
      <w:r>
        <w:rPr>
          <w:rFonts w:hint="eastAsia"/>
          <w:szCs w:val="32"/>
          <w:highlight w:val="none"/>
        </w:rPr>
        <w:t>均有监督举报的权利和义务，</w:t>
      </w:r>
      <w:r>
        <w:rPr>
          <w:szCs w:val="32"/>
          <w:highlight w:val="none"/>
        </w:rPr>
        <w:t>发现对方有违反本合同的行为，可向南沙区纪委监委举报</w:t>
      </w:r>
      <w:r>
        <w:rPr>
          <w:rFonts w:hint="eastAsia"/>
          <w:szCs w:val="32"/>
          <w:highlight w:val="none"/>
        </w:rPr>
        <w:t>。南沙</w:t>
      </w:r>
      <w:r>
        <w:rPr>
          <w:szCs w:val="32"/>
          <w:highlight w:val="none"/>
        </w:rPr>
        <w:t>区纪委监委</w:t>
      </w:r>
      <w:r>
        <w:rPr>
          <w:rFonts w:hint="eastAsia"/>
          <w:szCs w:val="32"/>
          <w:highlight w:val="none"/>
        </w:rPr>
        <w:t>将按照相关规定予以受理，鼓励实名举报，严查诬告陷害，对实名举报有功人员给予一定的现金奖励，对诬告陷害的依规依纪依法给予处理。</w:t>
      </w:r>
    </w:p>
    <w:p>
      <w:pPr>
        <w:spacing w:line="560" w:lineRule="exact"/>
        <w:ind w:firstLine="422" w:firstLineChars="200"/>
        <w:rPr>
          <w:szCs w:val="32"/>
          <w:highlight w:val="none"/>
        </w:rPr>
      </w:pPr>
      <w:r>
        <w:rPr>
          <w:b/>
          <w:bCs/>
          <w:szCs w:val="32"/>
          <w:highlight w:val="none"/>
        </w:rPr>
        <w:t>南沙区纪委监委</w:t>
      </w:r>
      <w:r>
        <w:rPr>
          <w:rFonts w:hint="eastAsia"/>
          <w:b/>
          <w:bCs/>
          <w:szCs w:val="32"/>
          <w:highlight w:val="none"/>
        </w:rPr>
        <w:t>举报方式</w:t>
      </w:r>
      <w:r>
        <w:rPr>
          <w:rFonts w:hint="eastAsia"/>
          <w:szCs w:val="32"/>
          <w:highlight w:val="none"/>
        </w:rPr>
        <w:t>：</w:t>
      </w:r>
    </w:p>
    <w:p>
      <w:pPr>
        <w:spacing w:line="560" w:lineRule="exact"/>
        <w:ind w:firstLine="420" w:firstLineChars="200"/>
        <w:rPr>
          <w:szCs w:val="32"/>
          <w:highlight w:val="none"/>
        </w:rPr>
      </w:pPr>
      <w:r>
        <w:rPr>
          <w:szCs w:val="32"/>
          <w:highlight w:val="none"/>
        </w:rPr>
        <w:t>来信举报：广州市南沙区凤凰大道一号南沙区纪委监委信访室，邮编511455；</w:t>
      </w:r>
    </w:p>
    <w:p>
      <w:pPr>
        <w:spacing w:line="560" w:lineRule="exact"/>
        <w:ind w:firstLine="420" w:firstLineChars="200"/>
        <w:rPr>
          <w:szCs w:val="32"/>
          <w:highlight w:val="none"/>
        </w:rPr>
      </w:pPr>
      <w:r>
        <w:rPr>
          <w:szCs w:val="32"/>
          <w:highlight w:val="none"/>
        </w:rPr>
        <w:t>电话举报：020-84986949</w:t>
      </w:r>
      <w:r>
        <w:rPr>
          <w:rFonts w:hint="eastAsia"/>
          <w:szCs w:val="32"/>
          <w:highlight w:val="none"/>
        </w:rPr>
        <w:t>，</w:t>
      </w:r>
      <w:r>
        <w:rPr>
          <w:szCs w:val="32"/>
          <w:highlight w:val="none"/>
        </w:rPr>
        <w:t>020-12388</w:t>
      </w:r>
      <w:r>
        <w:rPr>
          <w:rFonts w:hint="eastAsia"/>
          <w:szCs w:val="32"/>
          <w:highlight w:val="none"/>
        </w:rPr>
        <w:t>；</w:t>
      </w:r>
    </w:p>
    <w:p>
      <w:pPr>
        <w:spacing w:line="560" w:lineRule="exact"/>
        <w:ind w:firstLine="420" w:firstLineChars="200"/>
        <w:rPr>
          <w:szCs w:val="32"/>
          <w:highlight w:val="none"/>
        </w:rPr>
      </w:pPr>
      <w:r>
        <w:rPr>
          <w:szCs w:val="32"/>
          <w:highlight w:val="none"/>
        </w:rPr>
        <w:t>网络举报：</w:t>
      </w:r>
      <w:r>
        <w:rPr>
          <w:highlight w:val="none"/>
        </w:rPr>
        <w:fldChar w:fldCharType="begin"/>
      </w:r>
      <w:r>
        <w:rPr>
          <w:highlight w:val="none"/>
        </w:rPr>
        <w:instrText xml:space="preserve"> HYPERLINK "http://guangdong.12388.gov.cn；" </w:instrText>
      </w:r>
      <w:r>
        <w:rPr>
          <w:highlight w:val="none"/>
        </w:rPr>
        <w:fldChar w:fldCharType="separate"/>
      </w:r>
      <w:r>
        <w:rPr>
          <w:rFonts w:hint="eastAsia"/>
          <w:szCs w:val="32"/>
          <w:highlight w:val="none"/>
        </w:rPr>
        <w:t>http://guangdong.12388.gov.cn；</w:t>
      </w:r>
      <w:r>
        <w:rPr>
          <w:rFonts w:hint="eastAsia"/>
          <w:szCs w:val="32"/>
          <w:highlight w:val="none"/>
        </w:rPr>
        <w:fldChar w:fldCharType="end"/>
      </w:r>
    </w:p>
    <w:p>
      <w:pPr>
        <w:spacing w:line="560" w:lineRule="exact"/>
        <w:ind w:firstLine="420" w:firstLineChars="200"/>
        <w:rPr>
          <w:szCs w:val="32"/>
          <w:highlight w:val="none"/>
        </w:rPr>
      </w:pPr>
      <w:r>
        <w:rPr>
          <w:rFonts w:hint="eastAsia"/>
          <w:szCs w:val="32"/>
          <w:highlight w:val="none"/>
        </w:rPr>
        <w:drawing>
          <wp:anchor distT="0" distB="0" distL="114300" distR="114300" simplePos="0" relativeHeight="251659264" behindDoc="0" locked="0" layoutInCell="1" allowOverlap="1">
            <wp:simplePos x="0" y="0"/>
            <wp:positionH relativeFrom="column">
              <wp:posOffset>1579245</wp:posOffset>
            </wp:positionH>
            <wp:positionV relativeFrom="paragraph">
              <wp:posOffset>416560</wp:posOffset>
            </wp:positionV>
            <wp:extent cx="1991360" cy="2440940"/>
            <wp:effectExtent l="0" t="0" r="8890" b="16510"/>
            <wp:wrapTopAndBottom/>
            <wp:docPr id="2" name="图片 41" descr="1603424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1" descr="1603424669(1)"/>
                    <pic:cNvPicPr>
                      <a:picLocks noChangeAspect="1" noChangeArrowheads="1"/>
                    </pic:cNvPicPr>
                  </pic:nvPicPr>
                  <pic:blipFill>
                    <a:blip r:embed="rId10" cstate="print"/>
                    <a:srcRect/>
                    <a:stretch>
                      <a:fillRect/>
                    </a:stretch>
                  </pic:blipFill>
                  <pic:spPr>
                    <a:xfrm>
                      <a:off x="0" y="0"/>
                      <a:ext cx="1991360" cy="2440940"/>
                    </a:xfrm>
                    <a:prstGeom prst="rect">
                      <a:avLst/>
                    </a:prstGeom>
                    <a:noFill/>
                    <a:ln w="9525" cmpd="sng">
                      <a:noFill/>
                      <a:miter lim="800000"/>
                      <a:headEnd/>
                      <a:tailEnd/>
                    </a:ln>
                  </pic:spPr>
                </pic:pic>
              </a:graphicData>
            </a:graphic>
          </wp:anchor>
        </w:drawing>
      </w:r>
      <w:r>
        <w:rPr>
          <w:rFonts w:hint="eastAsia"/>
          <w:szCs w:val="32"/>
          <w:highlight w:val="none"/>
        </w:rPr>
        <w:t>二维码举报：</w:t>
      </w:r>
    </w:p>
    <w:p>
      <w:pPr>
        <w:spacing w:line="560" w:lineRule="exact"/>
        <w:ind w:firstLine="422" w:firstLineChars="200"/>
        <w:rPr>
          <w:b/>
          <w:szCs w:val="32"/>
          <w:highlight w:val="none"/>
        </w:rPr>
      </w:pPr>
      <w:r>
        <w:rPr>
          <w:b/>
          <w:szCs w:val="32"/>
          <w:highlight w:val="none"/>
        </w:rPr>
        <w:t>第</w:t>
      </w:r>
      <w:r>
        <w:rPr>
          <w:rFonts w:hint="eastAsia"/>
          <w:b/>
          <w:szCs w:val="32"/>
          <w:highlight w:val="none"/>
        </w:rPr>
        <w:t>八</w:t>
      </w:r>
      <w:r>
        <w:rPr>
          <w:b/>
          <w:szCs w:val="32"/>
          <w:highlight w:val="none"/>
        </w:rPr>
        <w:t>条  其他约定</w:t>
      </w:r>
    </w:p>
    <w:p>
      <w:pPr>
        <w:spacing w:line="560" w:lineRule="exact"/>
        <w:ind w:firstLine="420" w:firstLineChars="200"/>
        <w:rPr>
          <w:szCs w:val="32"/>
          <w:highlight w:val="none"/>
        </w:rPr>
      </w:pPr>
      <w:r>
        <w:rPr>
          <w:szCs w:val="32"/>
          <w:highlight w:val="none"/>
        </w:rPr>
        <w:t>本合同作为双方所签署主合同的附件，与</w:t>
      </w:r>
      <w:r>
        <w:rPr>
          <w:rFonts w:hint="eastAsia"/>
          <w:szCs w:val="32"/>
          <w:highlight w:val="none"/>
        </w:rPr>
        <w:t>主合同</w:t>
      </w:r>
      <w:r>
        <w:rPr>
          <w:szCs w:val="32"/>
          <w:highlight w:val="none"/>
        </w:rPr>
        <w:t>具有同等法律效力</w:t>
      </w:r>
      <w:r>
        <w:rPr>
          <w:rFonts w:hint="eastAsia"/>
          <w:szCs w:val="32"/>
          <w:highlight w:val="none"/>
        </w:rPr>
        <w:t>。对项目涉及的廉洁问题，不受项目竣工验收、工作人员离职或退休等原因影响，发包人、承包人仍应按合同约定承担相应的违约责任。</w:t>
      </w:r>
    </w:p>
    <w:p>
      <w:pPr>
        <w:spacing w:line="560" w:lineRule="exact"/>
        <w:ind w:firstLine="420" w:firstLineChars="200"/>
        <w:rPr>
          <w:szCs w:val="32"/>
          <w:highlight w:val="none"/>
        </w:rPr>
      </w:pPr>
      <w:r>
        <w:rPr>
          <w:szCs w:val="32"/>
          <w:highlight w:val="none"/>
        </w:rPr>
        <w:t>本合同</w:t>
      </w:r>
      <w:r>
        <w:rPr>
          <w:rFonts w:hint="eastAsia"/>
          <w:szCs w:val="32"/>
          <w:highlight w:val="none"/>
        </w:rPr>
        <w:t>经双方签署后生效。</w:t>
      </w:r>
    </w:p>
    <w:p>
      <w:pPr>
        <w:spacing w:line="560" w:lineRule="exact"/>
        <w:rPr>
          <w:szCs w:val="32"/>
          <w:highlight w:val="none"/>
        </w:rPr>
      </w:pPr>
    </w:p>
    <w:p>
      <w:pPr>
        <w:spacing w:line="560" w:lineRule="exact"/>
        <w:rPr>
          <w:szCs w:val="32"/>
          <w:highlight w:val="none"/>
        </w:rPr>
      </w:pPr>
    </w:p>
    <w:tbl>
      <w:tblPr>
        <w:tblStyle w:val="40"/>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spacing w:line="560" w:lineRule="exact"/>
              <w:rPr>
                <w:szCs w:val="32"/>
                <w:highlight w:val="none"/>
              </w:rPr>
            </w:pPr>
            <w:r>
              <w:rPr>
                <w:szCs w:val="32"/>
                <w:highlight w:val="none"/>
              </w:rPr>
              <w:t>发包人（公章）：</w:t>
            </w:r>
          </w:p>
          <w:p>
            <w:pPr>
              <w:spacing w:line="560" w:lineRule="exact"/>
              <w:rPr>
                <w:szCs w:val="32"/>
                <w:highlight w:val="none"/>
              </w:rPr>
            </w:pPr>
          </w:p>
          <w:p>
            <w:pPr>
              <w:spacing w:line="560" w:lineRule="exact"/>
              <w:rPr>
                <w:szCs w:val="32"/>
                <w:highlight w:val="none"/>
              </w:rPr>
            </w:pPr>
            <w:r>
              <w:rPr>
                <w:szCs w:val="32"/>
                <w:highlight w:val="none"/>
              </w:rPr>
              <w:t>法定代表人/授权代理人</w:t>
            </w:r>
          </w:p>
          <w:p>
            <w:pPr>
              <w:spacing w:line="560" w:lineRule="exact"/>
              <w:rPr>
                <w:szCs w:val="32"/>
                <w:highlight w:val="none"/>
              </w:rPr>
            </w:pPr>
            <w:r>
              <w:rPr>
                <w:szCs w:val="32"/>
                <w:highlight w:val="none"/>
              </w:rPr>
              <w:t>（签字）：</w:t>
            </w:r>
          </w:p>
          <w:p>
            <w:pPr>
              <w:spacing w:line="560" w:lineRule="exact"/>
              <w:rPr>
                <w:szCs w:val="32"/>
                <w:highlight w:val="none"/>
              </w:rPr>
            </w:pPr>
          </w:p>
          <w:p>
            <w:pPr>
              <w:spacing w:line="560" w:lineRule="exact"/>
              <w:rPr>
                <w:szCs w:val="32"/>
                <w:highlight w:val="none"/>
              </w:rPr>
            </w:pPr>
            <w:r>
              <w:rPr>
                <w:szCs w:val="32"/>
                <w:highlight w:val="none"/>
              </w:rPr>
              <w:t>或党委书记/纪委书记</w:t>
            </w:r>
          </w:p>
          <w:p>
            <w:pPr>
              <w:spacing w:line="560" w:lineRule="exact"/>
              <w:rPr>
                <w:szCs w:val="32"/>
                <w:highlight w:val="none"/>
              </w:rPr>
            </w:pPr>
            <w:r>
              <w:rPr>
                <w:szCs w:val="32"/>
                <w:highlight w:val="none"/>
              </w:rPr>
              <w:t>（签字）</w:t>
            </w:r>
          </w:p>
        </w:tc>
        <w:tc>
          <w:tcPr>
            <w:tcW w:w="4530" w:type="dxa"/>
          </w:tcPr>
          <w:p>
            <w:pPr>
              <w:spacing w:line="560" w:lineRule="exact"/>
              <w:rPr>
                <w:szCs w:val="32"/>
                <w:highlight w:val="none"/>
              </w:rPr>
            </w:pPr>
            <w:r>
              <w:rPr>
                <w:szCs w:val="32"/>
                <w:highlight w:val="none"/>
              </w:rPr>
              <w:t>承包人（公章）：</w:t>
            </w:r>
          </w:p>
          <w:p>
            <w:pPr>
              <w:spacing w:line="560" w:lineRule="exact"/>
              <w:rPr>
                <w:szCs w:val="32"/>
                <w:highlight w:val="none"/>
              </w:rPr>
            </w:pPr>
          </w:p>
          <w:p>
            <w:pPr>
              <w:spacing w:line="560" w:lineRule="exact"/>
              <w:rPr>
                <w:szCs w:val="32"/>
                <w:highlight w:val="none"/>
              </w:rPr>
            </w:pPr>
            <w:r>
              <w:rPr>
                <w:szCs w:val="32"/>
                <w:highlight w:val="none"/>
              </w:rPr>
              <w:t>法定代表人/授权代理人</w:t>
            </w:r>
          </w:p>
          <w:p>
            <w:pPr>
              <w:spacing w:line="560" w:lineRule="exact"/>
              <w:rPr>
                <w:szCs w:val="32"/>
                <w:highlight w:val="none"/>
              </w:rPr>
            </w:pPr>
            <w:r>
              <w:rPr>
                <w:szCs w:val="32"/>
                <w:highlight w:val="none"/>
              </w:rPr>
              <w:t>（签字）：</w:t>
            </w:r>
          </w:p>
          <w:p>
            <w:pPr>
              <w:spacing w:line="560" w:lineRule="exact"/>
              <w:rPr>
                <w:szCs w:val="32"/>
                <w:highlight w:val="none"/>
              </w:rPr>
            </w:pPr>
          </w:p>
          <w:p>
            <w:pPr>
              <w:spacing w:line="560" w:lineRule="exact"/>
              <w:rPr>
                <w:szCs w:val="32"/>
                <w:highlight w:val="none"/>
              </w:rPr>
            </w:pPr>
            <w:r>
              <w:rPr>
                <w:szCs w:val="32"/>
                <w:highlight w:val="none"/>
              </w:rPr>
              <w:t>或党委书记/纪委书记</w:t>
            </w:r>
          </w:p>
          <w:p>
            <w:pPr>
              <w:spacing w:line="560" w:lineRule="exact"/>
              <w:rPr>
                <w:szCs w:val="32"/>
                <w:highlight w:val="none"/>
              </w:rPr>
            </w:pPr>
            <w:r>
              <w:rPr>
                <w:szCs w:val="32"/>
                <w:highlight w:val="none"/>
              </w:rPr>
              <w:t>（签字）</w:t>
            </w:r>
          </w:p>
        </w:tc>
      </w:tr>
    </w:tbl>
    <w:p>
      <w:pPr>
        <w:rPr>
          <w:highlight w:val="none"/>
        </w:rPr>
      </w:pPr>
    </w:p>
    <w:bookmarkEnd w:id="6"/>
    <w:p>
      <w:pPr>
        <w:widowControl/>
        <w:spacing w:line="240" w:lineRule="auto"/>
        <w:rPr>
          <w:rFonts w:asciiTheme="minorEastAsia" w:hAnsiTheme="minorEastAsia" w:eastAsiaTheme="minorEastAsia"/>
          <w:b/>
          <w:sz w:val="24"/>
          <w:highlight w:val="none"/>
        </w:rPr>
      </w:pPr>
    </w:p>
    <w:p>
      <w:pPr>
        <w:widowControl/>
        <w:jc w:val="both"/>
        <w:rPr>
          <w:rFonts w:asciiTheme="minorEastAsia" w:hAnsiTheme="minorEastAsia" w:eastAsiaTheme="minorEastAsia"/>
          <w:b/>
          <w:sz w:val="24"/>
          <w:highlight w:val="none"/>
        </w:rPr>
      </w:pPr>
    </w:p>
    <w:bookmarkEnd w:id="5"/>
    <w:p>
      <w:pPr>
        <w:widowControl/>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pPr>
        <w:widowControl/>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附件</w:t>
      </w:r>
      <w:r>
        <w:rPr>
          <w:rFonts w:hint="eastAsia" w:ascii="Arial" w:hAnsi="Arial" w:eastAsiaTheme="minorEastAsia"/>
          <w:b/>
          <w:sz w:val="24"/>
          <w:highlight w:val="none"/>
        </w:rPr>
        <w:t>3</w:t>
      </w:r>
      <w:r>
        <w:rPr>
          <w:rFonts w:hint="eastAsia" w:asciiTheme="minorEastAsia" w:hAnsiTheme="minorEastAsia" w:eastAsiaTheme="minorEastAsia"/>
          <w:b/>
          <w:sz w:val="24"/>
          <w:highlight w:val="none"/>
        </w:rPr>
        <w:t>：技术要求（详见招标图纸）</w:t>
      </w:r>
    </w:p>
    <w:p>
      <w:pPr>
        <w:widowControl/>
        <w:jc w:val="center"/>
        <w:rPr>
          <w:rFonts w:asciiTheme="minorEastAsia" w:hAnsiTheme="minorEastAsia" w:eastAsiaTheme="minorEastAsia"/>
          <w:b/>
          <w:sz w:val="28"/>
          <w:szCs w:val="28"/>
          <w:highlight w:val="none"/>
        </w:rPr>
      </w:pPr>
      <w:r>
        <w:rPr>
          <w:rFonts w:hint="eastAsia" w:asciiTheme="minorEastAsia" w:hAnsiTheme="minorEastAsia" w:eastAsiaTheme="minorEastAsia"/>
          <w:b/>
          <w:color w:val="000000"/>
          <w:sz w:val="28"/>
          <w:szCs w:val="28"/>
          <w:highlight w:val="none"/>
          <w:lang w:bidi="ar"/>
        </w:rPr>
        <w:t>二次供水设备设施建设标准和技术要求</w:t>
      </w:r>
    </w:p>
    <w:p>
      <w:pPr>
        <w:tabs>
          <w:tab w:val="center" w:pos="4153"/>
          <w:tab w:val="right" w:pos="8306"/>
        </w:tabs>
        <w:spacing w:line="480" w:lineRule="auto"/>
        <w:ind w:firstLine="422" w:firstLineChars="200"/>
        <w:rPr>
          <w:rFonts w:hint="eastAsia" w:ascii="宋体" w:hAnsi="宋体" w:cs="宋体"/>
          <w:highlight w:val="none"/>
        </w:rPr>
      </w:pPr>
      <w:r>
        <w:rPr>
          <w:rFonts w:hint="eastAsia" w:ascii="宋体" w:hAnsi="宋体" w:cs="宋体"/>
          <w:b/>
          <w:bCs/>
          <w:highlight w:val="none"/>
        </w:rPr>
        <w:t>★一、采购内容</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2447"/>
        <w:gridCol w:w="2907"/>
        <w:gridCol w:w="1048"/>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128"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序号</w:t>
            </w:r>
          </w:p>
        </w:tc>
        <w:tc>
          <w:tcPr>
            <w:tcW w:w="2447"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名称</w:t>
            </w:r>
          </w:p>
        </w:tc>
        <w:tc>
          <w:tcPr>
            <w:tcW w:w="2907"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规格</w:t>
            </w:r>
          </w:p>
        </w:tc>
        <w:tc>
          <w:tcPr>
            <w:tcW w:w="1048"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单位</w:t>
            </w:r>
          </w:p>
        </w:tc>
        <w:tc>
          <w:tcPr>
            <w:tcW w:w="1450"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80" w:type="dxa"/>
            <w:gridSpan w:val="5"/>
            <w:shd w:val="clear" w:color="auto" w:fill="auto"/>
            <w:vAlign w:val="center"/>
          </w:tcPr>
          <w:p>
            <w:pPr>
              <w:pStyle w:val="3"/>
              <w:tabs>
                <w:tab w:val="left" w:pos="6223"/>
              </w:tabs>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住宅生活泵房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128"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1</w:t>
            </w:r>
          </w:p>
        </w:tc>
        <w:tc>
          <w:tcPr>
            <w:tcW w:w="2447"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水泵组（成套设备）含稳压装置</w:t>
            </w:r>
          </w:p>
        </w:tc>
        <w:tc>
          <w:tcPr>
            <w:tcW w:w="2907" w:type="dxa"/>
            <w:shd w:val="clear" w:color="auto" w:fill="auto"/>
            <w:vAlign w:val="center"/>
          </w:tcPr>
          <w:p>
            <w:pPr>
              <w:pStyle w:val="3"/>
              <w:shd w:val="clear" w:color="auto" w:fill="FFFF00"/>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总流量63m³/h，扬程72m，</w:t>
            </w:r>
          </w:p>
          <w:p>
            <w:pPr>
              <w:pStyle w:val="3"/>
              <w:shd w:val="clear" w:color="auto" w:fill="FFFF00"/>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（两用一备）</w:t>
            </w:r>
          </w:p>
        </w:tc>
        <w:tc>
          <w:tcPr>
            <w:tcW w:w="1048"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套</w:t>
            </w:r>
          </w:p>
        </w:tc>
        <w:tc>
          <w:tcPr>
            <w:tcW w:w="1450" w:type="dxa"/>
            <w:shd w:val="clear" w:color="auto" w:fill="auto"/>
            <w:vAlign w:val="center"/>
          </w:tcPr>
          <w:p>
            <w:pPr>
              <w:pStyle w:val="3"/>
              <w:spacing w:before="0" w:after="0" w:line="240" w:lineRule="auto"/>
              <w:jc w:val="center"/>
              <w:rPr>
                <w:rFonts w:hint="eastAsia" w:ascii="宋体" w:hAnsi="宋体" w:cs="宋体"/>
                <w:b w:val="0"/>
                <w:bCs w:val="0"/>
                <w:sz w:val="21"/>
                <w:szCs w:val="21"/>
                <w:highlight w:val="none"/>
              </w:rPr>
            </w:pPr>
            <w:r>
              <w:rPr>
                <w:rFonts w:hint="eastAsia" w:ascii="宋体" w:hAnsi="宋体" w:cs="宋体"/>
                <w:b w:val="0"/>
                <w:bCs w:val="0"/>
                <w:sz w:val="21"/>
                <w:szCs w:val="21"/>
                <w:highlight w:val="none"/>
              </w:rPr>
              <w:t>1</w:t>
            </w:r>
          </w:p>
        </w:tc>
      </w:tr>
    </w:tbl>
    <w:p>
      <w:pPr>
        <w:rPr>
          <w:rFonts w:hint="eastAsia" w:ascii="宋体" w:hAnsi="宋体" w:cs="宋体"/>
          <w:highlight w:val="none"/>
        </w:rPr>
      </w:pPr>
    </w:p>
    <w:p>
      <w:pPr>
        <w:pStyle w:val="2"/>
        <w:rPr>
          <w:rFonts w:hint="eastAsia" w:ascii="宋体" w:hAnsi="宋体" w:cs="宋体"/>
          <w:highlight w:val="none"/>
        </w:rPr>
      </w:pPr>
    </w:p>
    <w:p>
      <w:pPr>
        <w:ind w:firstLine="422" w:firstLineChars="200"/>
        <w:rPr>
          <w:rFonts w:hint="eastAsia" w:ascii="宋体" w:hAnsi="宋体" w:cs="宋体"/>
          <w:b/>
          <w:bCs/>
          <w:highlight w:val="none"/>
        </w:rPr>
      </w:pPr>
      <w:r>
        <w:rPr>
          <w:rFonts w:hint="eastAsia" w:ascii="宋体" w:hAnsi="宋体" w:cs="宋体"/>
          <w:b/>
          <w:bCs/>
          <w:highlight w:val="none"/>
        </w:rPr>
        <w:t>二、二次供水设备技术要求：</w:t>
      </w:r>
    </w:p>
    <w:p>
      <w:pPr>
        <w:pStyle w:val="27"/>
        <w:tabs>
          <w:tab w:val="left" w:pos="1980"/>
          <w:tab w:val="center" w:pos="4706"/>
        </w:tabs>
        <w:ind w:left="0" w:leftChars="0" w:firstLine="482" w:firstLineChars="200"/>
        <w:textAlignment w:val="baseline"/>
        <w:rPr>
          <w:rFonts w:hint="eastAsia" w:ascii="宋体" w:hAnsi="宋体" w:cs="宋体"/>
          <w:b/>
          <w:bCs/>
          <w:sz w:val="24"/>
          <w:highlight w:val="none"/>
        </w:rPr>
      </w:pPr>
      <w:r>
        <w:rPr>
          <w:rFonts w:hint="eastAsia" w:ascii="宋体" w:hAnsi="宋体" w:cs="宋体"/>
          <w:b/>
          <w:bCs/>
          <w:sz w:val="24"/>
          <w:highlight w:val="none"/>
        </w:rPr>
        <w:t>★（一）二次供水设备主要技术要求</w:t>
      </w:r>
    </w:p>
    <w:p>
      <w:pPr>
        <w:ind w:firstLine="420" w:firstLineChars="200"/>
        <w:rPr>
          <w:rFonts w:hint="eastAsia" w:ascii="宋体" w:hAnsi="宋体" w:cs="宋体"/>
          <w:highlight w:val="none"/>
        </w:rPr>
      </w:pPr>
      <w:r>
        <w:rPr>
          <w:rFonts w:hint="eastAsia" w:ascii="宋体" w:hAnsi="宋体" w:cs="宋体"/>
          <w:highlight w:val="none"/>
        </w:rPr>
        <w:t>1.要求成套符合CJ/T352-2010标准要求，投标企业需提供通过CJ/T352-2010标准检测的国家级检验报告证明其满足以上要求；</w:t>
      </w:r>
    </w:p>
    <w:p>
      <w:pPr>
        <w:ind w:firstLine="420" w:firstLineChars="200"/>
        <w:rPr>
          <w:rFonts w:hint="eastAsia" w:ascii="宋体" w:hAnsi="宋体" w:cs="宋体"/>
          <w:highlight w:val="none"/>
        </w:rPr>
      </w:pPr>
      <w:r>
        <w:rPr>
          <w:rFonts w:hint="eastAsia" w:ascii="宋体" w:hAnsi="宋体" w:cs="宋体"/>
          <w:highlight w:val="none"/>
        </w:rPr>
        <w:t>2.成套设备每台水泵独立配变频器（或泵变一体化）；</w:t>
      </w:r>
    </w:p>
    <w:p>
      <w:pPr>
        <w:ind w:firstLine="420" w:firstLineChars="200"/>
        <w:rPr>
          <w:rFonts w:hint="eastAsia" w:ascii="宋体" w:hAnsi="宋体" w:cs="宋体"/>
          <w:highlight w:val="none"/>
        </w:rPr>
      </w:pPr>
      <w:r>
        <w:rPr>
          <w:rFonts w:hint="eastAsia" w:ascii="宋体" w:hAnsi="宋体" w:cs="宋体"/>
          <w:highlight w:val="none"/>
        </w:rPr>
        <w:t>3.水泵采用一对一配置的水泵专用变频器，应能通过内部总线实现多泵间变频控制器的内部相互通讯，互为备用泵并能够自动交替切换；</w:t>
      </w:r>
    </w:p>
    <w:p>
      <w:pPr>
        <w:ind w:firstLine="420" w:firstLineChars="200"/>
        <w:rPr>
          <w:rFonts w:hint="eastAsia" w:ascii="宋体" w:hAnsi="宋体" w:cs="宋体"/>
          <w:highlight w:val="none"/>
        </w:rPr>
      </w:pPr>
      <w:r>
        <w:rPr>
          <w:rFonts w:hint="eastAsia" w:ascii="宋体" w:hAnsi="宋体" w:cs="宋体"/>
          <w:highlight w:val="none"/>
        </w:rPr>
        <w:t>4.成套设备应具有GPRS/4G/5G或以太网形式的无线远程监测功能，实现24小时实时监测、记录水泵开启情况、单机水泵的电流、功率、频率、运行时间、启动次数、启停时间、故障次数。变频器的电压，电流，运行频率电机电压、电流、出水压力、水泵工作状态、变频器的运行频率，保证现场数据的准确率为100%；</w:t>
      </w:r>
    </w:p>
    <w:p>
      <w:pPr>
        <w:ind w:firstLine="420" w:firstLineChars="200"/>
        <w:rPr>
          <w:rFonts w:hint="eastAsia" w:ascii="宋体" w:hAnsi="宋体" w:cs="宋体"/>
          <w:highlight w:val="none"/>
        </w:rPr>
      </w:pPr>
      <w:r>
        <w:rPr>
          <w:rFonts w:hint="eastAsia" w:ascii="宋体" w:hAnsi="宋体" w:cs="宋体"/>
          <w:highlight w:val="none"/>
        </w:rPr>
        <w:t>5.成套供水设备应提供RS485和以太网通讯接口，将泵房现场的水压情况、机泵运行数据、变频器参数、故障报警等信息上传到供水企业调度中心，成套供水设备应具备断网数据本地存储功能；</w:t>
      </w:r>
    </w:p>
    <w:p>
      <w:pPr>
        <w:ind w:firstLine="420" w:firstLineChars="200"/>
        <w:rPr>
          <w:rFonts w:hint="eastAsia" w:ascii="宋体" w:hAnsi="宋体" w:cs="宋体"/>
          <w:highlight w:val="none"/>
        </w:rPr>
      </w:pPr>
      <w:r>
        <w:rPr>
          <w:rFonts w:hint="eastAsia" w:ascii="宋体" w:hAnsi="宋体" w:cs="宋体"/>
          <w:highlight w:val="none"/>
        </w:rPr>
        <w:t>6.成套设备应具有电源过压、欠压、过流、过载、缺相、相序、短路、过热、漏电、通信故障等故障警报及自动保护功能，可对恢复性故障应能自动或手动消除，恢复正常运行；</w:t>
      </w:r>
    </w:p>
    <w:p>
      <w:pPr>
        <w:ind w:firstLine="420" w:firstLineChars="200"/>
        <w:rPr>
          <w:rFonts w:hint="eastAsia" w:ascii="宋体" w:hAnsi="宋体" w:cs="宋体"/>
          <w:highlight w:val="none"/>
        </w:rPr>
      </w:pPr>
      <w:r>
        <w:rPr>
          <w:rFonts w:hint="eastAsia" w:ascii="宋体" w:hAnsi="宋体" w:cs="宋体"/>
          <w:highlight w:val="none"/>
        </w:rPr>
        <w:t>7.成套设备应具备小流量停机保压功能，投标企业需提供证明材料；</w:t>
      </w:r>
    </w:p>
    <w:p>
      <w:pPr>
        <w:ind w:firstLine="420" w:firstLineChars="200"/>
        <w:rPr>
          <w:rFonts w:hint="eastAsia" w:ascii="宋体" w:hAnsi="宋体" w:cs="宋体"/>
          <w:highlight w:val="none"/>
        </w:rPr>
      </w:pPr>
      <w:r>
        <w:rPr>
          <w:rFonts w:hint="eastAsia" w:ascii="宋体" w:hAnsi="宋体" w:cs="宋体"/>
          <w:highlight w:val="none"/>
        </w:rPr>
        <w:t>8.设备应具备水泵过压保护装置，防止压力超高破坏管道，投标企业需提供证明材料；</w:t>
      </w:r>
    </w:p>
    <w:p>
      <w:pPr>
        <w:ind w:firstLine="420" w:firstLineChars="200"/>
        <w:rPr>
          <w:rFonts w:hint="eastAsia" w:ascii="宋体" w:hAnsi="宋体" w:cs="宋体"/>
          <w:highlight w:val="none"/>
        </w:rPr>
      </w:pPr>
      <w:r>
        <w:rPr>
          <w:rFonts w:hint="eastAsia" w:ascii="宋体" w:hAnsi="宋体" w:cs="宋体"/>
          <w:highlight w:val="none"/>
        </w:rPr>
        <w:t>9.成套设备应具备防水锤功能，防止突然停机产生的水锤破坏管道，投标企业需提供证明材料；</w:t>
      </w:r>
    </w:p>
    <w:p>
      <w:pPr>
        <w:ind w:firstLine="420" w:firstLineChars="200"/>
        <w:rPr>
          <w:rFonts w:hint="eastAsia" w:ascii="宋体" w:hAnsi="宋体" w:cs="宋体"/>
          <w:highlight w:val="none"/>
        </w:rPr>
      </w:pPr>
      <w:r>
        <w:rPr>
          <w:rFonts w:hint="eastAsia" w:ascii="宋体" w:hAnsi="宋体" w:cs="宋体"/>
          <w:highlight w:val="none"/>
        </w:rPr>
        <w:t>10.成套设备应具备远程网络监控功能，以实时掌握设备的实际运行情况及历史运行参数，投标企业需提供同类设备最近一月内（1天）的历史运行数据资料证明其具备此功能，需提供完整资料；</w:t>
      </w:r>
    </w:p>
    <w:p>
      <w:pPr>
        <w:ind w:firstLine="420" w:firstLineChars="200"/>
        <w:rPr>
          <w:rFonts w:hint="eastAsia" w:ascii="宋体" w:hAnsi="宋体" w:cs="宋体"/>
          <w:highlight w:val="none"/>
        </w:rPr>
      </w:pPr>
      <w:r>
        <w:rPr>
          <w:rFonts w:hint="eastAsia" w:ascii="宋体" w:hAnsi="宋体" w:cs="宋体"/>
          <w:highlight w:val="none"/>
        </w:rPr>
        <w:t>11.水泵为该设备的核心部件，水泵泵体和电机的质保期均不低于10年，且配套水泵的泵体、叶轮、轴为不锈钢材质，投标人应提供水泵制造企业出具的水泵零部件（含泵壳、叶轮、轴、机械密封、轴承等）材质、品牌及产地的相关证明文件并加盖水泵制造企业的公章。所选水泵需通过中国节能产品认证并提供证书复印件。</w:t>
      </w:r>
    </w:p>
    <w:p>
      <w:pPr>
        <w:ind w:firstLine="422" w:firstLineChars="200"/>
        <w:rPr>
          <w:rFonts w:hint="eastAsia" w:ascii="宋体" w:hAnsi="宋体" w:cs="宋体"/>
          <w:b/>
          <w:bCs/>
          <w:highlight w:val="none"/>
        </w:rPr>
      </w:pPr>
      <w:r>
        <w:rPr>
          <w:rFonts w:hint="eastAsia" w:ascii="宋体" w:hAnsi="宋体" w:cs="宋体"/>
          <w:b/>
          <w:bCs/>
          <w:highlight w:val="none"/>
        </w:rPr>
        <w:t>（二）二次供水设备主要性能要求</w:t>
      </w:r>
    </w:p>
    <w:p>
      <w:pPr>
        <w:ind w:firstLine="422" w:firstLineChars="2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1、全自动运行,无人值守,无水停机,来水自动开机,停电后复电再启动,变频器报警自动复位和再自动启动, 具有手动、自动切换功能，可实现设备的自动、手动启停功能。设备应具有水位保护功能。当水位降至设定下限时，设备自动停机并报警；当恢复至启动水位时自动消警并启动运行。</w:t>
      </w:r>
    </w:p>
    <w:p>
      <w:pPr>
        <w:ind w:firstLine="422" w:firstLineChars="2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2、设备泵组轮换功能：设备运行时，工作泵与备用泵应能够自动交替轮换运行。当任一台工作水泵发生故障时,备用水泵应能自动投入运行。工作泵与备用泵能定时轮换运行，自动切换、自动巡检。系统设备在自动切换或并联运行时，出水压力波动在±0.01Mpa以内。</w:t>
      </w:r>
    </w:p>
    <w:p>
      <w:pPr>
        <w:ind w:firstLine="420" w:firstLineChars="200"/>
        <w:rPr>
          <w:rFonts w:hint="eastAsia" w:ascii="宋体" w:hAnsi="宋体" w:cs="宋体"/>
          <w:highlight w:val="none"/>
        </w:rPr>
      </w:pPr>
      <w:r>
        <w:rPr>
          <w:rFonts w:hint="eastAsia" w:ascii="宋体" w:hAnsi="宋体" w:cs="宋体"/>
          <w:highlight w:val="none"/>
        </w:rPr>
        <w:t>3、设备应具有连续运行功能：设备在额定供水流量和扬程的条件下，连续运转不少于72小时后，各部件不应产生影响正常运行的故障，且水泵运转无杂音和其他异常现象。</w:t>
      </w:r>
    </w:p>
    <w:p>
      <w:pPr>
        <w:ind w:firstLine="420" w:firstLineChars="200"/>
        <w:rPr>
          <w:rFonts w:hint="eastAsia" w:ascii="宋体" w:hAnsi="宋体" w:cs="宋体"/>
          <w:highlight w:val="none"/>
        </w:rPr>
      </w:pPr>
      <w:r>
        <w:rPr>
          <w:rFonts w:hint="eastAsia" w:ascii="宋体" w:hAnsi="宋体" w:cs="宋体"/>
          <w:highlight w:val="none"/>
        </w:rPr>
        <w:t>4、最佳效率运行技术：控制系统须根据用水流量的变化自动增加或减少水泵运行的台数。但水泵的增加或减少须摒弃传统的最大最小频率加减泵方式（即根据运行频率达到最大频率加泵，最小频率减泵），而是根据效率最优原则，即在当前工况点下，能够预测不同水泵运行台数下的整体能耗，选择使效率最高的运行台数，从而降低整体运行能耗。*4.14曲线末端保护功能：当流量达到水泵最大流量，系统自动增加水泵数量，防止水泵气蚀或过载。</w:t>
      </w:r>
    </w:p>
    <w:p>
      <w:pPr>
        <w:ind w:firstLine="420" w:firstLineChars="200"/>
        <w:rPr>
          <w:rFonts w:hint="eastAsia" w:ascii="宋体" w:hAnsi="宋体" w:cs="宋体"/>
          <w:highlight w:val="none"/>
        </w:rPr>
      </w:pPr>
      <w:r>
        <w:rPr>
          <w:rFonts w:hint="eastAsia" w:ascii="宋体" w:hAnsi="宋体" w:cs="宋体"/>
          <w:highlight w:val="none"/>
        </w:rPr>
        <w:t>5、自动能量优化功能：当多台水泵低频运行时，系统应能自动根据当前流量，计算最优最节能水泵运行台数，避免多台并联水泵运行在低效区，节约能耗。</w:t>
      </w:r>
    </w:p>
    <w:p>
      <w:pPr>
        <w:ind w:firstLine="420" w:firstLineChars="200"/>
        <w:rPr>
          <w:rFonts w:hint="eastAsia" w:ascii="宋体" w:hAnsi="宋体" w:cs="宋体"/>
          <w:highlight w:val="none"/>
        </w:rPr>
      </w:pPr>
      <w:r>
        <w:rPr>
          <w:rFonts w:hint="eastAsia" w:ascii="宋体" w:hAnsi="宋体" w:cs="宋体"/>
          <w:highlight w:val="none"/>
        </w:rPr>
        <w:t>6、 THDi谐波抑制检测功能：降低设备对周边电气设备的干扰，保证设备安全。</w:t>
      </w:r>
    </w:p>
    <w:p>
      <w:pPr>
        <w:ind w:firstLine="422" w:firstLineChars="200"/>
        <w:rPr>
          <w:rFonts w:hint="eastAsia" w:ascii="宋体" w:hAnsi="宋体" w:cs="宋体"/>
          <w:b/>
          <w:bCs/>
          <w:highlight w:val="none"/>
        </w:rPr>
      </w:pPr>
      <w:r>
        <w:rPr>
          <w:rFonts w:hint="eastAsia" w:ascii="宋体" w:hAnsi="宋体" w:cs="宋体"/>
          <w:b/>
          <w:bCs/>
          <w:highlight w:val="none"/>
        </w:rPr>
        <w:t>（三）核心部件水泵整机技术要求★</w:t>
      </w:r>
    </w:p>
    <w:p>
      <w:pPr>
        <w:ind w:firstLine="422" w:firstLineChars="2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1、离心水泵，投标人所投水泵产品应通过节能认证且须在投标文件中明确所提供型号的泵在各点的效率值；水泵效率符合现行标准《清水离心泵能效限定值及节能评价值》 GB19762规定的节能评价值标准。为保证水泵质量以及日后的维护、维修，要求水泵和电机为同一品牌的集团公司生产加工制造。</w:t>
      </w:r>
    </w:p>
    <w:p>
      <w:pPr>
        <w:ind w:firstLine="422" w:firstLineChars="2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2、材质及加工工艺：水泵腔体、叶轮、外筒、进出口法兰、管道、阀门部件等所有主要过水部件采用食品级304（06Cr19Ni10）不锈钢材质、水泵进出口法兰采用食品级不锈钢材质、轴采用食品级不锈钢304（06Cr19Ni10）材质。水泵进、出水接口采用圆形法兰连接。水泵叶轮采用激光一次性整体焊接。为保证水泵内在质量，要求生产厂家具有全面的生产加工能力，水泵和电机的关键部件均为厂家自行加工制造完成。</w:t>
      </w:r>
    </w:p>
    <w:p>
      <w:pPr>
        <w:ind w:firstLine="420" w:firstLineChars="200"/>
        <w:rPr>
          <w:rFonts w:hint="eastAsia" w:ascii="宋体" w:hAnsi="宋体" w:cs="宋体"/>
          <w:highlight w:val="none"/>
        </w:rPr>
      </w:pPr>
      <w:r>
        <w:rPr>
          <w:rFonts w:hint="eastAsia" w:ascii="宋体" w:hAnsi="宋体" w:cs="宋体"/>
          <w:highlight w:val="none"/>
        </w:rPr>
        <w:t>3、二次供水设施选用的水泵噪声及振动应符合A级或以上要求。</w:t>
      </w:r>
    </w:p>
    <w:p>
      <w:pPr>
        <w:ind w:firstLine="420" w:firstLineChars="200"/>
        <w:rPr>
          <w:rFonts w:hint="eastAsia" w:ascii="宋体" w:hAnsi="宋体" w:cs="宋体"/>
          <w:highlight w:val="none"/>
        </w:rPr>
      </w:pPr>
      <w:r>
        <w:rPr>
          <w:rFonts w:hint="eastAsia" w:ascii="宋体" w:hAnsi="宋体" w:cs="宋体"/>
          <w:highlight w:val="none"/>
        </w:rPr>
        <w:t>4、水泵结构及材料应保证提供的水泵结构和材质满足最新国家、行业技术标准所规定的材质、铸造标准。</w:t>
      </w:r>
    </w:p>
    <w:p>
      <w:pPr>
        <w:ind w:firstLine="420" w:firstLineChars="200"/>
        <w:rPr>
          <w:rFonts w:hint="eastAsia" w:ascii="宋体" w:hAnsi="宋体" w:cs="宋体"/>
          <w:highlight w:val="none"/>
        </w:rPr>
      </w:pPr>
      <w:r>
        <w:rPr>
          <w:rFonts w:hint="eastAsia" w:ascii="宋体" w:hAnsi="宋体" w:cs="宋体"/>
          <w:highlight w:val="none"/>
        </w:rPr>
        <w:t>5、水泵结构及材料应符合GB/T5657-2013《离心泵技术条件III类》中的有关规定。</w:t>
      </w:r>
    </w:p>
    <w:p>
      <w:pPr>
        <w:ind w:firstLine="420" w:firstLineChars="200"/>
        <w:rPr>
          <w:rFonts w:hint="eastAsia" w:ascii="宋体" w:hAnsi="宋体" w:cs="宋体"/>
          <w:highlight w:val="none"/>
        </w:rPr>
      </w:pPr>
      <w:r>
        <w:rPr>
          <w:rFonts w:hint="eastAsia" w:ascii="宋体" w:hAnsi="宋体" w:cs="宋体"/>
          <w:highlight w:val="none"/>
        </w:rPr>
        <w:t>6、水泵在整个工作范围内，不得有异常振动和汽蚀发生，水泵Q/H性能曲线应从关阀时最大扬程开始连续下降。</w:t>
      </w:r>
    </w:p>
    <w:p>
      <w:pPr>
        <w:ind w:firstLine="422" w:firstLineChars="200"/>
        <w:rPr>
          <w:rFonts w:hint="eastAsia" w:ascii="宋体" w:hAnsi="宋体" w:cs="宋体"/>
          <w:b/>
          <w:bCs/>
          <w:highlight w:val="none"/>
        </w:rPr>
      </w:pPr>
      <w:r>
        <w:rPr>
          <w:rFonts w:hint="eastAsia" w:ascii="宋体" w:hAnsi="宋体" w:cs="宋体"/>
          <w:b/>
          <w:bCs/>
          <w:highlight w:val="none"/>
        </w:rPr>
        <w:t>（四）水泵配套电机技术要求</w:t>
      </w:r>
    </w:p>
    <w:p>
      <w:pPr>
        <w:ind w:firstLine="422" w:firstLineChars="2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1、水泵安装应符合现行国家标准《压缩机、风机、泵安装工程施工及验收规范》 GB50275的规定。配套电机使用电压380V；功率与水泵配套；转速与水泵配套，且必须为标准电动机。与水泵同品牌电机。</w:t>
      </w:r>
    </w:p>
    <w:p>
      <w:pPr>
        <w:ind w:firstLine="420" w:firstLineChars="200"/>
        <w:rPr>
          <w:rFonts w:hint="eastAsia" w:ascii="宋体" w:hAnsi="宋体" w:cs="宋体"/>
          <w:highlight w:val="none"/>
        </w:rPr>
      </w:pPr>
      <w:r>
        <w:rPr>
          <w:rFonts w:hint="eastAsia" w:ascii="宋体" w:hAnsi="宋体" w:cs="宋体"/>
          <w:highlight w:val="none"/>
        </w:rPr>
        <w:t>2、水泵电动机采用风冷三相异步电动机，能效不低于现行标准《中小型三相异步电动机能效限定值及节能评价值》 GB18613-2012中二级要求。电机外壳采取烤漆工艺，且需有中国能效标识标签。</w:t>
      </w:r>
    </w:p>
    <w:p>
      <w:pPr>
        <w:ind w:firstLine="422" w:firstLineChars="2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3、电动机绝缘等级F级，防护等级为IP55；电机应有可靠的接地，应标注电机的旋转方向。</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（五）设备的抗干扰能力</w:t>
      </w:r>
    </w:p>
    <w:p>
      <w:pPr>
        <w:snapToGrid w:val="0"/>
        <w:ind w:right="-1"/>
        <w:rPr>
          <w:rFonts w:hint="eastAsia" w:ascii="宋体" w:hAnsi="宋体" w:cs="宋体"/>
          <w:highlight w:val="none"/>
        </w:rPr>
      </w:pPr>
      <w:r>
        <w:rPr>
          <w:rFonts w:hint="eastAsia" w:ascii="宋体" w:hAnsi="宋体" w:cs="宋体"/>
          <w:highlight w:val="none"/>
        </w:rPr>
        <w:t>设备应具有较强的抗干扰能力。在距离控制柜0.45m处，启动容量大于150A的电焊机，设备应能稳定正常工作，不应出现压力震荡或停机保护现象。</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（六）控制系统同时应具备以下功能：</w:t>
      </w:r>
    </w:p>
    <w:p>
      <w:pPr>
        <w:snapToGrid w:val="0"/>
        <w:ind w:right="-1" w:firstLine="420" w:firstLineChars="200"/>
        <w:rPr>
          <w:rFonts w:hint="eastAsia" w:ascii="宋体" w:hAnsi="宋体" w:cs="宋体"/>
          <w:highlight w:val="none"/>
        </w:rPr>
      </w:pPr>
      <w:r>
        <w:rPr>
          <w:rFonts w:hint="eastAsia" w:ascii="宋体" w:hAnsi="宋体" w:cs="宋体"/>
          <w:highlight w:val="none"/>
        </w:rPr>
        <w:t>1小流量保压功能</w:t>
      </w:r>
    </w:p>
    <w:p>
      <w:pPr>
        <w:snapToGrid w:val="0"/>
        <w:ind w:right="-1" w:firstLine="420" w:firstLineChars="200"/>
        <w:rPr>
          <w:rFonts w:hint="eastAsia" w:ascii="宋体" w:hAnsi="宋体" w:cs="宋体"/>
          <w:highlight w:val="none"/>
        </w:rPr>
      </w:pPr>
      <w:r>
        <w:rPr>
          <w:rFonts w:hint="eastAsia" w:ascii="宋体" w:hAnsi="宋体" w:cs="宋体"/>
          <w:highlight w:val="none"/>
        </w:rPr>
        <w:t>2低频故障保护功能</w:t>
      </w:r>
    </w:p>
    <w:p>
      <w:pPr>
        <w:snapToGrid w:val="0"/>
        <w:ind w:right="-1" w:firstLine="420" w:firstLineChars="200"/>
        <w:rPr>
          <w:rFonts w:hint="eastAsia" w:ascii="宋体" w:hAnsi="宋体" w:cs="宋体"/>
          <w:highlight w:val="none"/>
        </w:rPr>
      </w:pPr>
      <w:r>
        <w:rPr>
          <w:rFonts w:hint="eastAsia" w:ascii="宋体" w:hAnsi="宋体" w:cs="宋体"/>
          <w:highlight w:val="none"/>
        </w:rPr>
        <w:t>3水泵自动切换功能</w:t>
      </w:r>
    </w:p>
    <w:p>
      <w:pPr>
        <w:snapToGrid w:val="0"/>
        <w:ind w:right="-1" w:firstLine="420" w:firstLineChars="200"/>
        <w:rPr>
          <w:rFonts w:hint="eastAsia" w:ascii="宋体" w:hAnsi="宋体" w:cs="宋体"/>
          <w:highlight w:val="none"/>
        </w:rPr>
      </w:pPr>
      <w:r>
        <w:rPr>
          <w:rFonts w:hint="eastAsia" w:ascii="宋体" w:hAnsi="宋体" w:cs="宋体"/>
          <w:highlight w:val="none"/>
        </w:rPr>
        <w:t>4备用泵自动投入运行功能</w:t>
      </w:r>
    </w:p>
    <w:p>
      <w:pPr>
        <w:snapToGrid w:val="0"/>
        <w:ind w:right="-1" w:firstLine="420" w:firstLineChars="200"/>
        <w:rPr>
          <w:rFonts w:hint="eastAsia" w:ascii="宋体" w:hAnsi="宋体" w:cs="宋体"/>
          <w:highlight w:val="none"/>
        </w:rPr>
      </w:pPr>
      <w:r>
        <w:rPr>
          <w:rFonts w:hint="eastAsia" w:ascii="宋体" w:hAnsi="宋体" w:cs="宋体"/>
          <w:highlight w:val="none"/>
        </w:rPr>
        <w:t>5连续运行功能</w:t>
      </w:r>
    </w:p>
    <w:p>
      <w:pPr>
        <w:snapToGrid w:val="0"/>
        <w:ind w:right="-1" w:firstLine="420" w:firstLineChars="200"/>
        <w:rPr>
          <w:rFonts w:hint="eastAsia" w:ascii="宋体" w:hAnsi="宋体" w:cs="宋体"/>
          <w:highlight w:val="none"/>
        </w:rPr>
      </w:pPr>
      <w:r>
        <w:rPr>
          <w:rFonts w:hint="eastAsia" w:ascii="宋体" w:hAnsi="宋体" w:cs="宋体"/>
          <w:highlight w:val="none"/>
        </w:rPr>
        <w:t>6主辅系统互备功能</w:t>
      </w:r>
    </w:p>
    <w:p>
      <w:pPr>
        <w:snapToGrid w:val="0"/>
        <w:ind w:right="-1" w:firstLine="420" w:firstLineChars="200"/>
        <w:rPr>
          <w:rFonts w:hint="eastAsia" w:ascii="宋体" w:hAnsi="宋体" w:cs="宋体"/>
          <w:highlight w:val="none"/>
        </w:rPr>
      </w:pPr>
      <w:r>
        <w:rPr>
          <w:rFonts w:hint="eastAsia" w:ascii="宋体" w:hAnsi="宋体" w:cs="宋体"/>
          <w:highlight w:val="none"/>
        </w:rPr>
        <w:t>7超压、失压、低压保护功能</w:t>
      </w:r>
    </w:p>
    <w:p>
      <w:pPr>
        <w:snapToGrid w:val="0"/>
        <w:ind w:right="-1" w:firstLine="420" w:firstLineChars="200"/>
        <w:rPr>
          <w:rFonts w:hint="eastAsia" w:ascii="宋体" w:hAnsi="宋体" w:cs="宋体"/>
          <w:highlight w:val="none"/>
        </w:rPr>
      </w:pPr>
      <w:r>
        <w:rPr>
          <w:rFonts w:hint="eastAsia" w:ascii="宋体" w:hAnsi="宋体" w:cs="宋体"/>
          <w:highlight w:val="none"/>
        </w:rPr>
        <w:t>8自动保护功能</w:t>
      </w:r>
    </w:p>
    <w:p>
      <w:pPr>
        <w:snapToGrid w:val="0"/>
        <w:ind w:right="-1" w:firstLine="420" w:firstLineChars="200"/>
        <w:rPr>
          <w:rFonts w:hint="eastAsia" w:ascii="宋体" w:hAnsi="宋体" w:cs="宋体"/>
          <w:highlight w:val="none"/>
        </w:rPr>
      </w:pPr>
      <w:r>
        <w:rPr>
          <w:rFonts w:hint="eastAsia" w:ascii="宋体" w:hAnsi="宋体" w:cs="宋体"/>
          <w:highlight w:val="none"/>
        </w:rPr>
        <w:t>9水位控制功能</w:t>
      </w:r>
    </w:p>
    <w:p>
      <w:pPr>
        <w:snapToGrid w:val="0"/>
        <w:ind w:right="-1" w:firstLine="420" w:firstLineChars="200"/>
        <w:rPr>
          <w:rFonts w:hint="eastAsia" w:ascii="宋体" w:hAnsi="宋体" w:cs="宋体"/>
          <w:highlight w:val="none"/>
        </w:rPr>
      </w:pPr>
      <w:r>
        <w:rPr>
          <w:rFonts w:hint="eastAsia" w:ascii="宋体" w:hAnsi="宋体" w:cs="宋体"/>
          <w:highlight w:val="none"/>
        </w:rPr>
        <w:t>10远程监测、监控、监视、报警功能</w:t>
      </w:r>
    </w:p>
    <w:p>
      <w:pPr>
        <w:snapToGrid w:val="0"/>
        <w:ind w:right="-1" w:firstLine="420" w:firstLineChars="200"/>
        <w:rPr>
          <w:rFonts w:hint="eastAsia" w:ascii="宋体" w:hAnsi="宋体" w:cs="宋体"/>
          <w:highlight w:val="none"/>
        </w:rPr>
      </w:pPr>
      <w:r>
        <w:rPr>
          <w:rFonts w:hint="eastAsia" w:ascii="宋体" w:hAnsi="宋体" w:cs="宋体"/>
          <w:highlight w:val="none"/>
        </w:rPr>
        <w:t>11自动无压巡检功能</w:t>
      </w:r>
    </w:p>
    <w:p>
      <w:pPr>
        <w:snapToGrid w:val="0"/>
        <w:ind w:right="-1" w:firstLine="420" w:firstLineChars="200"/>
        <w:rPr>
          <w:rFonts w:hint="eastAsia" w:ascii="宋体" w:hAnsi="宋体" w:cs="宋体"/>
          <w:highlight w:val="none"/>
        </w:rPr>
      </w:pPr>
      <w:r>
        <w:rPr>
          <w:rFonts w:hint="eastAsia" w:ascii="宋体" w:hAnsi="宋体" w:cs="宋体"/>
          <w:highlight w:val="none"/>
        </w:rPr>
        <w:t>12爆管保护功能</w:t>
      </w:r>
    </w:p>
    <w:p>
      <w:pPr>
        <w:snapToGrid w:val="0"/>
        <w:ind w:right="-1" w:firstLine="420" w:firstLineChars="200"/>
        <w:rPr>
          <w:rFonts w:hint="eastAsia" w:ascii="宋体" w:hAnsi="宋体" w:cs="宋体"/>
          <w:highlight w:val="none"/>
        </w:rPr>
      </w:pPr>
      <w:r>
        <w:rPr>
          <w:rFonts w:hint="eastAsia" w:ascii="宋体" w:hAnsi="宋体" w:cs="宋体"/>
          <w:highlight w:val="none"/>
        </w:rPr>
        <w:t>13无传感器控制功能</w:t>
      </w:r>
    </w:p>
    <w:p>
      <w:pPr>
        <w:snapToGrid w:val="0"/>
        <w:ind w:right="-1" w:firstLine="420" w:firstLineChars="200"/>
        <w:rPr>
          <w:rFonts w:hint="eastAsia" w:ascii="宋体" w:hAnsi="宋体" w:cs="宋体"/>
          <w:highlight w:val="none"/>
        </w:rPr>
      </w:pPr>
      <w:r>
        <w:rPr>
          <w:rFonts w:hint="eastAsia" w:ascii="宋体" w:hAnsi="宋体" w:cs="宋体"/>
          <w:highlight w:val="none"/>
        </w:rPr>
        <w:t>14人机对话功能</w:t>
      </w:r>
    </w:p>
    <w:p>
      <w:pPr>
        <w:snapToGrid w:val="0"/>
        <w:ind w:right="-1" w:firstLine="420" w:firstLineChars="200"/>
        <w:rPr>
          <w:rFonts w:hint="eastAsia" w:ascii="宋体" w:hAnsi="宋体" w:cs="宋体"/>
          <w:highlight w:val="none"/>
        </w:rPr>
      </w:pPr>
      <w:r>
        <w:rPr>
          <w:rFonts w:hint="eastAsia" w:ascii="宋体" w:hAnsi="宋体" w:cs="宋体"/>
          <w:highlight w:val="none"/>
        </w:rPr>
        <w:t>15双可编程逻辑控制器备用功能</w:t>
      </w:r>
    </w:p>
    <w:p>
      <w:pPr>
        <w:snapToGrid w:val="0"/>
        <w:ind w:right="-1" w:firstLine="420" w:firstLineChars="200"/>
        <w:rPr>
          <w:rFonts w:hint="eastAsia" w:ascii="宋体" w:hAnsi="宋体" w:cs="宋体"/>
          <w:highlight w:val="none"/>
        </w:rPr>
      </w:pPr>
      <w:r>
        <w:rPr>
          <w:rFonts w:hint="eastAsia" w:ascii="宋体" w:hAnsi="宋体" w:cs="宋体"/>
          <w:highlight w:val="none"/>
        </w:rPr>
        <w:t>16手机监测功能</w:t>
      </w:r>
    </w:p>
    <w:p>
      <w:pPr>
        <w:snapToGrid w:val="0"/>
        <w:ind w:right="-1" w:firstLine="420" w:firstLineChars="200"/>
        <w:rPr>
          <w:rFonts w:hint="eastAsia" w:ascii="宋体" w:hAnsi="宋体" w:cs="宋体"/>
          <w:highlight w:val="none"/>
        </w:rPr>
      </w:pPr>
      <w:r>
        <w:rPr>
          <w:rFonts w:hint="eastAsia" w:ascii="宋体" w:hAnsi="宋体" w:cs="宋体"/>
          <w:highlight w:val="none"/>
        </w:rPr>
        <w:t>17应急变频供水功能</w:t>
      </w:r>
    </w:p>
    <w:p>
      <w:pPr>
        <w:snapToGrid w:val="0"/>
        <w:ind w:right="-1" w:firstLine="420" w:firstLineChars="200"/>
        <w:rPr>
          <w:rFonts w:hint="eastAsia" w:ascii="宋体" w:hAnsi="宋体" w:cs="宋体"/>
          <w:highlight w:val="none"/>
        </w:rPr>
      </w:pPr>
      <w:r>
        <w:rPr>
          <w:rFonts w:hint="eastAsia" w:ascii="宋体" w:hAnsi="宋体" w:cs="宋体"/>
          <w:highlight w:val="none"/>
        </w:rPr>
        <w:t>18自动能量优化功能</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★（七）二次供水监控系统</w:t>
      </w:r>
    </w:p>
    <w:p>
      <w:pPr>
        <w:snapToGrid w:val="0"/>
        <w:ind w:right="-1" w:firstLine="420" w:firstLineChars="200"/>
        <w:rPr>
          <w:rFonts w:hint="eastAsia" w:ascii="宋体" w:hAnsi="宋体" w:cs="宋体"/>
          <w:highlight w:val="none"/>
        </w:rPr>
      </w:pPr>
      <w:r>
        <w:rPr>
          <w:rFonts w:hint="eastAsia" w:ascii="宋体" w:hAnsi="宋体" w:cs="宋体"/>
          <w:highlight w:val="none"/>
        </w:rPr>
        <w:t>本次招标成套供水设备所配套软件系统数据最终将对接南沙粤海水务应急决策指挥中心平台。</w:t>
      </w:r>
    </w:p>
    <w:p>
      <w:pPr>
        <w:snapToGrid w:val="0"/>
        <w:ind w:right="-1" w:firstLine="420" w:firstLineChars="200"/>
        <w:rPr>
          <w:rFonts w:hint="eastAsia" w:ascii="宋体" w:hAnsi="宋体" w:cs="宋体"/>
          <w:highlight w:val="none"/>
        </w:rPr>
      </w:pPr>
      <w:r>
        <w:rPr>
          <w:rFonts w:hint="eastAsia" w:ascii="宋体" w:hAnsi="宋体" w:cs="宋体"/>
          <w:highlight w:val="none"/>
        </w:rPr>
        <w:t>系统数据应对接南沙粤海水务应急决策指挥中心平台及其关联的供水调度系统、供水管网GIS系统、供水热线工单系统、二供水池清洗监管系统等业务关联系统进行数据无缝对接。</w:t>
      </w:r>
    </w:p>
    <w:p>
      <w:pPr>
        <w:snapToGrid w:val="0"/>
        <w:ind w:right="-1" w:firstLine="420" w:firstLineChars="200"/>
        <w:rPr>
          <w:rFonts w:hint="eastAsia" w:ascii="宋体" w:hAnsi="宋体" w:cs="宋体"/>
          <w:highlight w:val="none"/>
        </w:rPr>
      </w:pPr>
      <w:r>
        <w:rPr>
          <w:rFonts w:hint="eastAsia" w:ascii="宋体" w:hAnsi="宋体" w:cs="宋体"/>
          <w:highlight w:val="none"/>
        </w:rPr>
        <w:t>系统功能需求如下：</w:t>
      </w:r>
    </w:p>
    <w:p>
      <w:pPr>
        <w:snapToGrid w:val="0"/>
        <w:ind w:right="-1" w:firstLine="420" w:firstLineChars="200"/>
        <w:rPr>
          <w:rFonts w:hint="eastAsia" w:ascii="宋体" w:hAnsi="宋体" w:cs="宋体"/>
          <w:highlight w:val="none"/>
        </w:rPr>
      </w:pPr>
      <w:r>
        <w:rPr>
          <w:rFonts w:hint="eastAsia" w:ascii="宋体" w:hAnsi="宋体" w:cs="宋体"/>
          <w:highlight w:val="none"/>
        </w:rPr>
        <w:t>1.泵房运行远程监控系统具备对设备的运行数据采集、远程控制、数据分析、PLC参数调节以及各类信号报警等功能。实时数据的采集包括：</w:t>
      </w:r>
    </w:p>
    <w:p>
      <w:pPr>
        <w:snapToGrid w:val="0"/>
        <w:ind w:right="-1"/>
        <w:rPr>
          <w:rFonts w:hint="eastAsia" w:ascii="宋体" w:hAnsi="宋体" w:cs="宋体"/>
          <w:highlight w:val="none"/>
        </w:rPr>
      </w:pPr>
      <w:r>
        <w:rPr>
          <w:rFonts w:hint="eastAsia" w:ascii="宋体" w:hAnsi="宋体" w:cs="宋体"/>
          <w:highlight w:val="none"/>
        </w:rPr>
        <w:t>泵房/设备运行数据，包括但不限于水泵运行数据、变频器数据、供水压力、供水流量、电压/电流/功率、水质分析数据(余氯、PH值、浊度等）、集水坑/排污泵数据等；</w:t>
      </w:r>
    </w:p>
    <w:p>
      <w:pPr>
        <w:snapToGrid w:val="0"/>
        <w:ind w:right="-1" w:firstLine="420" w:firstLineChars="200"/>
        <w:rPr>
          <w:rFonts w:hint="eastAsia" w:ascii="宋体" w:hAnsi="宋体" w:cs="宋体"/>
          <w:highlight w:val="none"/>
        </w:rPr>
      </w:pPr>
      <w:r>
        <w:rPr>
          <w:rFonts w:hint="eastAsia" w:ascii="宋体" w:hAnsi="宋体" w:cs="宋体"/>
          <w:highlight w:val="none"/>
        </w:rPr>
        <w:t>a.预留泵房环境数据，包括但不限于温湿度、烟感、水浸、震动、噪音、风机数据等；</w:t>
      </w:r>
    </w:p>
    <w:p>
      <w:pPr>
        <w:snapToGrid w:val="0"/>
        <w:ind w:right="-1" w:firstLine="420" w:firstLineChars="200"/>
        <w:rPr>
          <w:rFonts w:hint="eastAsia" w:ascii="宋体" w:hAnsi="宋体" w:cs="宋体"/>
          <w:highlight w:val="none"/>
        </w:rPr>
      </w:pPr>
      <w:r>
        <w:rPr>
          <w:rFonts w:hint="eastAsia" w:ascii="宋体" w:hAnsi="宋体" w:cs="宋体"/>
          <w:highlight w:val="none"/>
        </w:rPr>
        <w:t>b.安防数据：包括但不限于视频、门禁、报警等。</w:t>
      </w:r>
    </w:p>
    <w:p>
      <w:pPr>
        <w:snapToGrid w:val="0"/>
        <w:ind w:right="-1" w:firstLine="420" w:firstLineChars="200"/>
        <w:rPr>
          <w:rFonts w:hint="eastAsia" w:ascii="宋体" w:hAnsi="宋体" w:cs="宋体"/>
          <w:highlight w:val="none"/>
        </w:rPr>
      </w:pPr>
      <w:r>
        <w:rPr>
          <w:rFonts w:hint="eastAsia" w:ascii="宋体" w:hAnsi="宋体" w:cs="宋体"/>
          <w:highlight w:val="none"/>
        </w:rPr>
        <w:t>2.泵房运行远程监控系统应采取相应的网络安全防护措施，且符合《网络安全等级保护制度》的相关规定。</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（八）安防系统</w:t>
      </w:r>
    </w:p>
    <w:p>
      <w:pPr>
        <w:snapToGrid w:val="0"/>
        <w:ind w:right="-1" w:firstLine="420" w:firstLineChars="200"/>
        <w:rPr>
          <w:rFonts w:hint="eastAsia" w:ascii="宋体" w:hAnsi="宋体" w:cs="宋体"/>
          <w:highlight w:val="none"/>
        </w:rPr>
      </w:pPr>
      <w:r>
        <w:rPr>
          <w:rFonts w:hint="eastAsia" w:ascii="宋体" w:hAnsi="宋体" w:cs="宋体"/>
          <w:highlight w:val="none"/>
        </w:rPr>
        <w:t>泵房运行远程监控系统应采取相应的网络安全防护措施，且符合《网络安全等级保护制度》的相关规定。</w:t>
      </w:r>
    </w:p>
    <w:p>
      <w:pPr>
        <w:snapToGrid w:val="0"/>
        <w:ind w:right="-1" w:firstLine="420" w:firstLineChars="200"/>
        <w:rPr>
          <w:rFonts w:hint="eastAsia" w:ascii="宋体" w:hAnsi="宋体" w:cs="宋体"/>
          <w:highlight w:val="none"/>
        </w:rPr>
      </w:pPr>
      <w:r>
        <w:rPr>
          <w:rFonts w:hint="eastAsia" w:ascii="宋体" w:hAnsi="宋体" w:cs="宋体"/>
          <w:highlight w:val="none"/>
        </w:rPr>
        <w:t>1.泵房大门、水箱人孔口、仪表间、水泵机组、集水井配备独立枪机24小时监控。硬盘容量满足每个摄像头能保存3个月影像数据的要求，总容量8T。门禁系统采用TCP/IP协议的网络控制器，具有网络通讯、远程操作、人员进出数据记录和查询功能，所选产品能保证接入供水企业远程监控平台。</w:t>
      </w:r>
    </w:p>
    <w:p>
      <w:pPr>
        <w:snapToGrid w:val="0"/>
        <w:ind w:right="-1" w:firstLine="420" w:firstLineChars="200"/>
        <w:rPr>
          <w:rFonts w:hint="eastAsia" w:ascii="宋体" w:hAnsi="宋体" w:cs="宋体"/>
          <w:highlight w:val="none"/>
        </w:rPr>
      </w:pPr>
      <w:r>
        <w:rPr>
          <w:rFonts w:hint="eastAsia" w:ascii="宋体" w:hAnsi="宋体" w:cs="宋体"/>
          <w:highlight w:val="none"/>
        </w:rPr>
        <w:t>2.泵房视频监控系统采用数字高清摄像头和数字式网络硬盘录像机，泵房生产运行视频监控系统采用数字视频监控系统，且符合现行国家标准《视频安防监控系统工程设计规范》 GB50395及行业标准《视频安防监控系统技术要求》GA/T367的有关规定，符合现行国家标准《安全防范视频监控联网系统信息传输、交换、控制技术要求》GB/T28181的有关规定。</w:t>
      </w:r>
    </w:p>
    <w:p>
      <w:pPr>
        <w:snapToGrid w:val="0"/>
        <w:ind w:right="-1" w:firstLine="420" w:firstLineChars="200"/>
        <w:rPr>
          <w:rFonts w:hint="eastAsia" w:ascii="宋体" w:hAnsi="宋体" w:cs="宋体"/>
          <w:highlight w:val="none"/>
        </w:rPr>
      </w:pPr>
      <w:r>
        <w:rPr>
          <w:rFonts w:hint="eastAsia" w:ascii="宋体" w:hAnsi="宋体" w:cs="宋体"/>
          <w:highlight w:val="none"/>
        </w:rPr>
        <w:t>（1）安防系统报警信号应接入供水企业远程监控平台，将报警信号传送给远程中控平台服务器的同时可通过监控控制硬盘录像机进行报警录像。</w:t>
      </w:r>
    </w:p>
    <w:p>
      <w:pPr>
        <w:snapToGrid w:val="0"/>
        <w:ind w:right="-1" w:firstLine="420" w:firstLineChars="200"/>
        <w:rPr>
          <w:rFonts w:hint="eastAsia" w:ascii="宋体" w:hAnsi="宋体" w:cs="宋体"/>
          <w:highlight w:val="none"/>
        </w:rPr>
      </w:pPr>
      <w:r>
        <w:rPr>
          <w:rFonts w:hint="eastAsia" w:ascii="宋体" w:hAnsi="宋体" w:cs="宋体"/>
          <w:highlight w:val="none"/>
        </w:rPr>
        <w:t>（2）安防主机系统必须具有 UPS 电源在线提供断电后的电源供给，保证系统的通讯和数据传输，UPS在线维持供电时间不小于1小时。断电后应及时通过 PLC 向中控平台发出断电报警。</w:t>
      </w:r>
    </w:p>
    <w:p>
      <w:pPr>
        <w:snapToGrid w:val="0"/>
        <w:ind w:right="-1" w:firstLine="420" w:firstLineChars="200"/>
        <w:rPr>
          <w:rFonts w:hint="eastAsia" w:ascii="宋体" w:hAnsi="宋体" w:cs="宋体"/>
          <w:highlight w:val="none"/>
        </w:rPr>
      </w:pPr>
      <w:r>
        <w:rPr>
          <w:rFonts w:hint="eastAsia" w:ascii="宋体" w:hAnsi="宋体" w:cs="宋体"/>
          <w:highlight w:val="none"/>
        </w:rPr>
        <w:t>（3）安防系统中所有报警设备均应具备声光报警功能，且报警器安装在泵房外。</w:t>
      </w:r>
    </w:p>
    <w:p>
      <w:pPr>
        <w:snapToGrid w:val="0"/>
        <w:ind w:right="-1" w:firstLine="420" w:firstLineChars="200"/>
        <w:rPr>
          <w:rFonts w:hint="eastAsia" w:ascii="宋体" w:hAnsi="宋体" w:cs="宋体"/>
          <w:highlight w:val="none"/>
        </w:rPr>
      </w:pPr>
      <w:r>
        <w:rPr>
          <w:rFonts w:hint="eastAsia" w:ascii="宋体" w:hAnsi="宋体" w:cs="宋体"/>
          <w:highlight w:val="none"/>
        </w:rPr>
        <w:t>（4）门禁信号和图像信号应传输至远程中控平台，使门禁信号、视频图像均可在门禁远程监控软件的电子地图上以及远程图像监控计算机上予以报警和显示。</w:t>
      </w:r>
    </w:p>
    <w:p>
      <w:pPr>
        <w:snapToGrid w:val="0"/>
        <w:ind w:right="-1" w:firstLine="420" w:firstLineChars="200"/>
        <w:rPr>
          <w:rFonts w:hint="eastAsia" w:ascii="宋体" w:hAnsi="宋体" w:cs="宋体"/>
          <w:highlight w:val="none"/>
        </w:rPr>
      </w:pPr>
      <w:r>
        <w:rPr>
          <w:rFonts w:hint="eastAsia" w:ascii="宋体" w:hAnsi="宋体" w:cs="宋体"/>
          <w:highlight w:val="none"/>
        </w:rPr>
        <w:t>（5）视频监控系统图像应现场保存，可远程监看。当泵房内触发相应报警时，摄像系统可自动调用预置位摄像机对现场情况进行联动报警录像。视频监控系统应能提供不低于 D1 画质的信号，摄像点附近应安装应急照明灯。泵房所有出入口要求摄像机同步进行录像，整个泵房要求无录像盲点。</w:t>
      </w:r>
    </w:p>
    <w:p>
      <w:pPr>
        <w:snapToGrid w:val="0"/>
        <w:ind w:right="-1" w:firstLine="420" w:firstLineChars="200"/>
        <w:rPr>
          <w:rFonts w:hint="eastAsia" w:ascii="宋体" w:hAnsi="宋体" w:cs="宋体"/>
          <w:highlight w:val="none"/>
        </w:rPr>
      </w:pPr>
      <w:r>
        <w:rPr>
          <w:rFonts w:hint="eastAsia" w:ascii="宋体" w:hAnsi="宋体" w:cs="宋体"/>
          <w:highlight w:val="none"/>
        </w:rPr>
        <w:t>（6）安防系统防雷接地应符合现行国家标准《安全防范工程技术规范》GB50348，《视频安防监控系统工程设计规范》GB50396和《建筑物电子信息系统防雷技术规范》GB50343相关条款要求。</w:t>
      </w:r>
    </w:p>
    <w:p>
      <w:pPr>
        <w:snapToGrid w:val="0"/>
        <w:ind w:right="-1" w:firstLine="420" w:firstLineChars="200"/>
        <w:rPr>
          <w:rFonts w:hint="eastAsia" w:ascii="宋体" w:hAnsi="宋体" w:cs="宋体"/>
          <w:highlight w:val="none"/>
        </w:rPr>
      </w:pPr>
      <w:r>
        <w:rPr>
          <w:rFonts w:hint="eastAsia" w:ascii="宋体" w:hAnsi="宋体" w:cs="宋体"/>
          <w:highlight w:val="none"/>
        </w:rPr>
        <w:t>3.泵房内设置独立的门禁系统，门禁采取电磁锁并与控制系统联动，泵房内设置手动开门装置。</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★（九）监控、安防网络专线</w:t>
      </w:r>
    </w:p>
    <w:p>
      <w:pPr>
        <w:snapToGrid w:val="0"/>
        <w:ind w:right="-1"/>
        <w:rPr>
          <w:rFonts w:hint="eastAsia" w:ascii="宋体" w:hAnsi="宋体" w:cs="宋体"/>
          <w:highlight w:val="none"/>
        </w:rPr>
      </w:pPr>
      <w:r>
        <w:rPr>
          <w:rFonts w:hint="eastAsia" w:ascii="宋体" w:hAnsi="宋体" w:cs="宋体"/>
          <w:highlight w:val="none"/>
        </w:rPr>
        <w:t xml:space="preserve">   监控、安防的网络采用专线，带宽不小于50M。意向供应商需负责监控系统使用时所需的专线网络支持费用，期限为自验收之日起两年。</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（十）配套机组动力线缆及线缆桥架</w:t>
      </w:r>
    </w:p>
    <w:p>
      <w:pPr>
        <w:snapToGrid w:val="0"/>
        <w:ind w:right="-1" w:firstLine="420" w:firstLineChars="200"/>
        <w:rPr>
          <w:rFonts w:hint="eastAsia" w:ascii="宋体" w:hAnsi="宋体" w:cs="宋体"/>
          <w:highlight w:val="none"/>
        </w:rPr>
      </w:pPr>
      <w:r>
        <w:rPr>
          <w:rFonts w:hint="eastAsia" w:ascii="宋体" w:hAnsi="宋体" w:cs="宋体"/>
          <w:highlight w:val="none"/>
        </w:rPr>
        <w:t>采用不锈钢线缆桥架，防震支架固定安装。动力电缆及信号线缆规格、数量根据设备实际功率和泵房安装位置，由意向供应方合理配置和供应。</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（十一）泵房其他配套设施及装修</w:t>
      </w:r>
    </w:p>
    <w:p>
      <w:pPr>
        <w:ind w:firstLine="420" w:firstLineChars="200"/>
        <w:rPr>
          <w:rFonts w:hint="eastAsia" w:ascii="宋体" w:hAnsi="宋体" w:cs="宋体"/>
          <w:highlight w:val="none"/>
        </w:rPr>
      </w:pPr>
      <w:r>
        <w:rPr>
          <w:rFonts w:hint="eastAsia" w:ascii="宋体" w:hAnsi="宋体" w:cs="宋体"/>
          <w:highlight w:val="none"/>
        </w:rPr>
        <w:t>项目供应方应负责采用防水、阻燃材料对泵房主要设备、管道进行明确标识，并提供以下展板，包括：操作注意事项、泵房内配置操作流程、常见故障问题及排除方法、安全规范制度，并提供水务公司标识。配套日常维修工具及工具箱。</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1.地面</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泵房地面需做防水处理后再铺设防滑地砖，泵房地砖选用符合环保要，尺寸600*600，防滑系数达到0.6、，地面需有千分之五的坡度，保证地面不积水。表面平整度 5米范围内允许偏差 1.5mm，接缝直线度允许偏差 1.0mm，接缝高低差允许偏差 0.5mm。</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2.水泥基础</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根据图纸施工。</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①　低、中、高区设备基础高于地面200MM以上、c20混凝土浇筑；</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②　电控柜水泥基础高于地面200MM以上、c20混凝土浇筑；</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③　水箱基础条型墩基础高于地面300MM以上间隔1000mm，宽度200mm、c20混凝土浇筑。</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④　基础四周（设备前方有管路的情况下在管路前），距离100mm使用环氧漆做黄色警戒线或黄黑色地面胶警戒线、</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⑤　铺设及细部构造做法应全面符合GB50037-96《建筑地面设计规范》及GB50209-2010《建筑地面工程施工质量验收规范》的规定</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⑥　基础预埋防雷接地。接地符合设计要求，采用表面镀锌扁钢，规格：D&gt;50mm；预埋深度不低于0.6米；搭接点长度&gt;2D，满焊焊接；表面防腐处理。接地电阻&lt;4Ω.</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3.排水沟</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各类设备基础周围设置环形不小于1%坡度坡向排水槽，排水槽距基础间距0.5m，排水槽规格宽度300mm，深度300mm，排水槽内贴光滑瓷砖，排水槽上方加1.5mm厚304不锈钢篦子，排水槽应从设备后方或沿墙接入集水井。集水井设置在排水系统最低位，设有一用一备双泵排污泵。配置超高水位报警开关，需具有超高水位启双泵并加设井盖。排水系统为独立系统。，并有报警（远程报警）功能。不得与其他排水设施（如消防等）合用，具体布局根据图纸施工。</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4.墙面</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采用砌筑墙体，在室内地坪±0.00以下60mm处设20mm厚1：2水泥砂浆，内掺水泥重量5%防水剂的防潮层。墙面在抹灰面上批、刷三遍801胶白水泥腻子。</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①　抹灰前，填充墙与梁柱间，不同砌体连接处，应加设耐碱玻纤网布，搭接宽度为300毫米。</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②　泵房四周墙面需贴1.2m高度瓷砖，含机组、水箱基础及10cm踢脚线。</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③　高出瓷砖墙面铺设隔音板，隔音板出具国家级检验机构的检测报告。</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④　应选用符合环保要求、易清洁的材料铺砌或涂覆。</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5.天花及桥架</w:t>
      </w:r>
    </w:p>
    <w:p>
      <w:pPr>
        <w:tabs>
          <w:tab w:val="center" w:pos="4153"/>
          <w:tab w:val="right" w:pos="8306"/>
        </w:tabs>
        <w:ind w:firstLine="420" w:firstLineChars="200"/>
        <w:rPr>
          <w:rFonts w:hint="eastAsia" w:ascii="宋体" w:hAnsi="宋体" w:cs="宋体"/>
          <w:highlight w:val="none"/>
        </w:rPr>
      </w:pPr>
      <w:r>
        <w:rPr>
          <w:rFonts w:hint="eastAsia" w:ascii="宋体" w:hAnsi="宋体" w:cs="宋体"/>
          <w:highlight w:val="none"/>
        </w:rPr>
        <w:t>吊轻质龙骨框架，铝方通。安装不锈钢线缆防震桥架。信号电缆敷设信号线路规格：RVVP 4*2.5；照明电路规格： 3*4+1*2.5；动力电缆需要到泵组位置，电缆参考规格（根据水泵组功率配置）：</w:t>
      </w:r>
    </w:p>
    <w:p>
      <w:pPr>
        <w:pStyle w:val="2"/>
        <w:rPr>
          <w:rFonts w:hint="eastAsia" w:ascii="宋体" w:hAnsi="宋体" w:cs="宋体"/>
          <w:highlight w:val="none"/>
        </w:rPr>
      </w:pPr>
    </w:p>
    <w:p>
      <w:pPr>
        <w:shd w:val="solid" w:color="FFFFFF" w:fill="auto"/>
        <w:autoSpaceDN w:val="0"/>
        <w:ind w:firstLine="422" w:firstLineChars="200"/>
        <w:outlineLvl w:val="1"/>
        <w:rPr>
          <w:rFonts w:hint="eastAsia" w:ascii="宋体" w:hAnsi="宋体" w:cs="宋体"/>
          <w:b/>
          <w:bCs/>
          <w:highlight w:val="none"/>
        </w:rPr>
      </w:pPr>
      <w:r>
        <w:rPr>
          <w:rFonts w:hint="eastAsia" w:ascii="宋体" w:hAnsi="宋体" w:cs="宋体"/>
          <w:b/>
          <w:bCs/>
          <w:highlight w:val="none"/>
        </w:rPr>
        <w:t>（十二）所投产品需符合给水设备国家标准或行业标准并通过检测。</w:t>
      </w:r>
    </w:p>
    <w:p>
      <w:pPr>
        <w:shd w:val="solid" w:color="FFFFFF" w:fill="auto"/>
        <w:autoSpaceDN w:val="0"/>
        <w:ind w:firstLine="420" w:firstLineChars="200"/>
        <w:rPr>
          <w:rFonts w:hint="eastAsia" w:ascii="宋体" w:hAnsi="宋体" w:cs="宋体"/>
          <w:highlight w:val="none"/>
        </w:rPr>
      </w:pPr>
      <w:r>
        <w:rPr>
          <w:rFonts w:hint="eastAsia" w:ascii="宋体" w:hAnsi="宋体" w:cs="宋体"/>
          <w:highlight w:val="none"/>
        </w:rPr>
        <w:t>水箱设备外观和配套管路布置应合理、美观（水箱含整板热镀锌防腐处理的槽钢基座，焊接处做防腐处理。），检修方便。水箱及设备中的不锈钢材质均应不低于食品级不锈钢SUS316L，不得使用工业用产品。</w:t>
      </w:r>
    </w:p>
    <w:p>
      <w:pPr>
        <w:ind w:firstLine="422" w:firstLineChars="200"/>
        <w:outlineLvl w:val="1"/>
        <w:rPr>
          <w:rFonts w:hint="eastAsia" w:ascii="宋体" w:hAnsi="宋体" w:cs="宋体"/>
          <w:b/>
          <w:bCs/>
          <w:highlight w:val="none"/>
        </w:rPr>
      </w:pPr>
      <w:r>
        <w:rPr>
          <w:rFonts w:hint="eastAsia" w:ascii="宋体" w:hAnsi="宋体" w:cs="宋体"/>
          <w:b/>
          <w:bCs/>
          <w:highlight w:val="none"/>
        </w:rPr>
        <w:t>（十三）噪声</w:t>
      </w:r>
    </w:p>
    <w:p>
      <w:pPr>
        <w:ind w:firstLine="420" w:firstLineChars="200"/>
        <w:rPr>
          <w:rFonts w:hint="eastAsia" w:ascii="宋体" w:hAnsi="宋体" w:cs="宋体"/>
          <w:highlight w:val="none"/>
        </w:rPr>
      </w:pPr>
      <w:r>
        <w:rPr>
          <w:rFonts w:hint="eastAsia" w:ascii="宋体" w:hAnsi="宋体" w:cs="宋体"/>
          <w:highlight w:val="none"/>
        </w:rPr>
        <w:t>消毒设备正常运行时所产生的噪声应符合JB/T8098的要求。</w:t>
      </w:r>
    </w:p>
    <w:p>
      <w:pPr>
        <w:ind w:firstLine="422" w:firstLineChars="200"/>
        <w:outlineLvl w:val="1"/>
        <w:rPr>
          <w:rFonts w:hint="eastAsia" w:ascii="宋体" w:hAnsi="宋体" w:cs="宋体"/>
          <w:b/>
          <w:bCs/>
          <w:highlight w:val="none"/>
        </w:rPr>
      </w:pPr>
      <w:r>
        <w:rPr>
          <w:rFonts w:hint="eastAsia" w:ascii="宋体" w:hAnsi="宋体" w:cs="宋体"/>
          <w:b/>
          <w:bCs/>
          <w:highlight w:val="none"/>
        </w:rPr>
        <w:t>（十四）设备的抗干扰能力</w:t>
      </w:r>
    </w:p>
    <w:p>
      <w:pPr>
        <w:tabs>
          <w:tab w:val="left" w:pos="810"/>
        </w:tabs>
        <w:ind w:firstLine="420" w:firstLineChars="200"/>
        <w:rPr>
          <w:rFonts w:hint="eastAsia" w:ascii="宋体" w:hAnsi="宋体" w:cs="宋体"/>
          <w:highlight w:val="none"/>
        </w:rPr>
      </w:pPr>
      <w:r>
        <w:rPr>
          <w:rFonts w:hint="eastAsia" w:ascii="宋体" w:hAnsi="宋体" w:cs="宋体"/>
          <w:highlight w:val="none"/>
        </w:rPr>
        <w:t>消毒设备应具有较强的抗干扰能力。在距离控制柜0.45m处，启动容量大于150A的电焊机，设备应能稳定正常工作，不应出现压力震荡或停机保护现象。</w:t>
      </w:r>
    </w:p>
    <w:p>
      <w:pPr>
        <w:snapToGrid w:val="0"/>
        <w:ind w:right="-1" w:firstLine="422" w:firstLineChars="200"/>
        <w:rPr>
          <w:rFonts w:hint="eastAsia" w:ascii="宋体" w:hAnsi="宋体" w:cs="宋体"/>
          <w:b/>
          <w:bCs/>
          <w:highlight w:val="none"/>
        </w:rPr>
      </w:pPr>
      <w:r>
        <w:rPr>
          <w:rFonts w:hint="eastAsia" w:ascii="宋体" w:hAnsi="宋体" w:cs="宋体"/>
          <w:b/>
          <w:bCs/>
          <w:highlight w:val="none"/>
        </w:rPr>
        <w:t>（十五）二次供水水箱产品技术要求</w:t>
      </w:r>
    </w:p>
    <w:p>
      <w:pPr>
        <w:tabs>
          <w:tab w:val="left" w:pos="810"/>
        </w:tabs>
        <w:ind w:firstLine="420" w:firstLineChars="200"/>
        <w:rPr>
          <w:rFonts w:hint="eastAsia" w:ascii="宋体" w:hAnsi="宋体" w:cs="宋体"/>
          <w:highlight w:val="none"/>
        </w:rPr>
      </w:pPr>
      <w:r>
        <w:rPr>
          <w:rFonts w:hint="eastAsia" w:ascii="宋体" w:hAnsi="宋体" w:cs="宋体"/>
          <w:highlight w:val="none"/>
        </w:rPr>
        <w:t>当供水方案中采用水箱供水模式时，其水箱应采用组合式冲压不锈钢制作（附配件），与水箱相连的管件一般包括进水管、出水管、溢流管及放空管等。与水箱相连的管件材质应与水箱壁板相同，不锈钢溢流管、放空管按图纸要求安装至指定排放位置。具体应满足但不局限于以下要求：</w:t>
      </w:r>
    </w:p>
    <w:p>
      <w:pPr>
        <w:tabs>
          <w:tab w:val="left" w:pos="810"/>
        </w:tabs>
        <w:ind w:firstLine="420" w:firstLineChars="200"/>
        <w:rPr>
          <w:rFonts w:hint="eastAsia" w:ascii="宋体" w:hAnsi="宋体" w:cs="宋体"/>
          <w:highlight w:val="none"/>
        </w:rPr>
      </w:pPr>
      <w:r>
        <w:rPr>
          <w:rFonts w:hint="eastAsia" w:ascii="宋体" w:hAnsi="宋体" w:cs="宋体"/>
          <w:highlight w:val="none"/>
        </w:rPr>
        <w:t>（1）水箱的有效容积详见报价单。</w:t>
      </w:r>
    </w:p>
    <w:p>
      <w:pPr>
        <w:tabs>
          <w:tab w:val="left" w:pos="810"/>
        </w:tabs>
        <w:ind w:firstLine="211" w:firstLineChars="1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（2）水箱及其配套连接管道材质为不锈钢SUS316L。阀门材质为要求SUS304不锈钢</w:t>
      </w:r>
    </w:p>
    <w:p>
      <w:pPr>
        <w:tabs>
          <w:tab w:val="left" w:pos="810"/>
        </w:tabs>
        <w:ind w:firstLine="420" w:firstLineChars="200"/>
        <w:rPr>
          <w:rFonts w:hint="eastAsia" w:ascii="宋体" w:hAnsi="宋体" w:cs="宋体"/>
          <w:highlight w:val="none"/>
        </w:rPr>
      </w:pPr>
      <w:r>
        <w:rPr>
          <w:rFonts w:hint="eastAsia" w:ascii="宋体" w:hAnsi="宋体" w:cs="宋体"/>
          <w:highlight w:val="none"/>
        </w:rPr>
        <w:t>（3）提供卫生部门颁发的《涉及饮用水卫生安全产品卫生许可批件》及相关检测报告等。</w:t>
      </w:r>
    </w:p>
    <w:p>
      <w:pPr>
        <w:tabs>
          <w:tab w:val="left" w:pos="810"/>
        </w:tabs>
        <w:ind w:firstLine="420" w:firstLineChars="200"/>
        <w:rPr>
          <w:rFonts w:hint="eastAsia" w:ascii="宋体" w:hAnsi="宋体" w:cs="宋体"/>
          <w:highlight w:val="none"/>
        </w:rPr>
      </w:pPr>
      <w:r>
        <w:rPr>
          <w:rFonts w:hint="eastAsia" w:ascii="宋体" w:hAnsi="宋体" w:cs="宋体"/>
          <w:highlight w:val="none"/>
        </w:rPr>
        <w:t>（4）不锈钢水箱采用凸型球面（包括水箱底板）装配式焊接结构。</w:t>
      </w:r>
    </w:p>
    <w:p>
      <w:pPr>
        <w:tabs>
          <w:tab w:val="left" w:pos="810"/>
        </w:tabs>
        <w:ind w:firstLine="420" w:firstLineChars="200"/>
        <w:rPr>
          <w:rFonts w:hint="eastAsia" w:ascii="宋体" w:hAnsi="宋体" w:cs="宋体"/>
          <w:highlight w:val="none"/>
        </w:rPr>
      </w:pPr>
      <w:r>
        <w:rPr>
          <w:rFonts w:hint="eastAsia" w:ascii="宋体" w:hAnsi="宋体" w:cs="宋体"/>
          <w:highlight w:val="none"/>
        </w:rPr>
        <w:t>（5）组合式不锈钢水箱由三种主要标准模块组合而成，由1000*1000、1000*500、500*500的标准块，根据不同的三维结构设计参数，采用不同厚度的模块，在厂内或现场进行焊接组装，现场采用氩弧焊焊接而成，焊丝选用ER308、TIG316不锈钢焊丝，焊缝表面经酸洗钝化处理，确保焊缝经久耐用不腐蚀。</w:t>
      </w:r>
    </w:p>
    <w:p>
      <w:pPr>
        <w:tabs>
          <w:tab w:val="left" w:pos="810"/>
        </w:tabs>
        <w:ind w:firstLine="420" w:firstLineChars="200"/>
        <w:rPr>
          <w:rFonts w:hint="eastAsia" w:ascii="宋体" w:hAnsi="宋体" w:cs="宋体"/>
          <w:highlight w:val="none"/>
        </w:rPr>
      </w:pPr>
      <w:r>
        <w:rPr>
          <w:rFonts w:hint="eastAsia" w:ascii="宋体" w:hAnsi="宋体" w:cs="宋体"/>
          <w:highlight w:val="none"/>
        </w:rPr>
        <w:t xml:space="preserve">（6）水箱底座必须经热镀锌防腐处理的碳钢槽钢制作（由投标方负责现场的布置及安装）。 </w:t>
      </w:r>
    </w:p>
    <w:p>
      <w:pPr>
        <w:tabs>
          <w:tab w:val="left" w:pos="810"/>
        </w:tabs>
        <w:ind w:firstLine="420" w:firstLineChars="200"/>
        <w:rPr>
          <w:rFonts w:hint="eastAsia" w:ascii="宋体" w:hAnsi="宋体" w:cs="宋体"/>
          <w:highlight w:val="none"/>
        </w:rPr>
      </w:pPr>
      <w:r>
        <w:rPr>
          <w:rFonts w:hint="eastAsia" w:ascii="宋体" w:hAnsi="宋体" w:cs="宋体"/>
          <w:highlight w:val="none"/>
        </w:rPr>
        <w:t>（7）水箱底座拼装应采用焊接形式现场拼装，槽钢对接处必须设置在基础上。</w:t>
      </w:r>
    </w:p>
    <w:p>
      <w:pPr>
        <w:tabs>
          <w:tab w:val="left" w:pos="810"/>
        </w:tabs>
        <w:ind w:firstLine="420" w:firstLineChars="200"/>
        <w:rPr>
          <w:rFonts w:hint="eastAsia" w:ascii="宋体" w:hAnsi="宋体" w:cs="宋体"/>
          <w:highlight w:val="none"/>
        </w:rPr>
      </w:pPr>
      <w:r>
        <w:rPr>
          <w:rFonts w:hint="eastAsia" w:ascii="宋体" w:hAnsi="宋体" w:cs="宋体"/>
          <w:highlight w:val="none"/>
        </w:rPr>
        <w:t xml:space="preserve">（8）水箱设有进出水管（进水管需延伸至水箱底板600mm处并加以固定，进口管上必须设有防虹吸措施）、透气口（带不锈钢金属防虫网）、溢流口、排污口等并根据设计要求提供其他接口。出水口设置旋流防止器，规格&gt;300mm。 </w:t>
      </w:r>
    </w:p>
    <w:p>
      <w:pPr>
        <w:tabs>
          <w:tab w:val="left" w:pos="810"/>
        </w:tabs>
        <w:ind w:firstLine="422" w:firstLineChars="200"/>
        <w:rPr>
          <w:rFonts w:hint="eastAsia" w:ascii="宋体" w:hAnsi="宋体" w:cs="宋体"/>
          <w:highlight w:val="none"/>
        </w:rPr>
      </w:pPr>
      <w:r>
        <w:rPr>
          <w:rFonts w:hint="eastAsia" w:ascii="宋体" w:hAnsi="宋体" w:cs="宋体"/>
          <w:b/>
          <w:bCs/>
          <w:highlight w:val="none"/>
        </w:rPr>
        <w:t>★</w:t>
      </w:r>
      <w:r>
        <w:rPr>
          <w:rFonts w:hint="eastAsia" w:ascii="宋体" w:hAnsi="宋体" w:cs="宋体"/>
          <w:highlight w:val="none"/>
        </w:rPr>
        <w:t>（9）水箱人孔根据图纸结合现场情况设置，水箱每个分格设置两个人孔，人孔加密码锁装置，并与箱体相同材料配置不锈钢内外爬梯。水箱每个分格需设置4个通气孔。</w:t>
      </w:r>
    </w:p>
    <w:p>
      <w:pPr>
        <w:tabs>
          <w:tab w:val="left" w:pos="810"/>
        </w:tabs>
        <w:ind w:firstLine="420" w:firstLineChars="200"/>
        <w:rPr>
          <w:rFonts w:hint="eastAsia" w:ascii="宋体" w:hAnsi="宋体" w:cs="宋体"/>
          <w:highlight w:val="none"/>
        </w:rPr>
      </w:pPr>
      <w:r>
        <w:rPr>
          <w:rFonts w:hint="eastAsia" w:ascii="宋体" w:hAnsi="宋体" w:cs="宋体"/>
          <w:highlight w:val="none"/>
        </w:rPr>
        <w:t>（10）水箱的强度、刚度必须与容量及水压相适应。</w:t>
      </w:r>
    </w:p>
    <w:p>
      <w:pPr>
        <w:tabs>
          <w:tab w:val="left" w:pos="810"/>
        </w:tabs>
        <w:ind w:firstLine="420" w:firstLineChars="200"/>
        <w:rPr>
          <w:rFonts w:hint="eastAsia" w:ascii="宋体" w:hAnsi="宋体" w:cs="宋体"/>
          <w:highlight w:val="none"/>
        </w:rPr>
      </w:pPr>
      <w:r>
        <w:rPr>
          <w:rFonts w:hint="eastAsia" w:ascii="宋体" w:hAnsi="宋体" w:cs="宋体"/>
          <w:highlight w:val="none"/>
        </w:rPr>
        <w:t>（11）水箱内加强筋应具备足够的刚度和合理的布置，加强筋采用角钢型，加强筋与箱体的链接必须设置加强筋板，底层（1、2）侧型板拼接处必须设置竖向加强板，加强筋布置应考虑不影响水箱的清洁工作和水箱配件的安装与检修。所有加强内件材质为水箱同等材料。</w:t>
      </w:r>
    </w:p>
    <w:p>
      <w:pPr>
        <w:tabs>
          <w:tab w:val="left" w:pos="810"/>
        </w:tabs>
        <w:ind w:firstLine="420" w:firstLineChars="200"/>
        <w:rPr>
          <w:rFonts w:hint="eastAsia" w:ascii="宋体" w:hAnsi="宋体" w:cs="宋体"/>
          <w:highlight w:val="none"/>
        </w:rPr>
      </w:pPr>
      <w:r>
        <w:rPr>
          <w:rFonts w:hint="eastAsia" w:ascii="宋体" w:hAnsi="宋体" w:cs="宋体"/>
          <w:highlight w:val="none"/>
        </w:rPr>
        <w:t>（12）水箱配齐接管法兰，除特别标注外，其余均为1.0Mpa等级。接管、法兰材质同箱体材料。其他附件如水位计、内外人梯、人孔、溢水漏斗、透气装置等由厂家配套供应，为保障供水安全，人孔加装密码锁。</w:t>
      </w:r>
    </w:p>
    <w:p>
      <w:pPr>
        <w:tabs>
          <w:tab w:val="left" w:pos="810"/>
        </w:tabs>
        <w:ind w:firstLine="420" w:firstLineChars="200"/>
        <w:rPr>
          <w:rFonts w:hint="eastAsia" w:ascii="宋体" w:hAnsi="宋体" w:cs="宋体"/>
          <w:highlight w:val="none"/>
        </w:rPr>
      </w:pPr>
      <w:r>
        <w:rPr>
          <w:rFonts w:hint="eastAsia" w:ascii="宋体" w:hAnsi="宋体" w:cs="宋体"/>
          <w:highlight w:val="none"/>
        </w:rPr>
        <w:t>（13）水箱外型尺寸及配管位置尺寸等符合设计及现场要求。</w:t>
      </w:r>
    </w:p>
    <w:p>
      <w:pPr>
        <w:tabs>
          <w:tab w:val="left" w:pos="810"/>
        </w:tabs>
        <w:ind w:firstLine="420" w:firstLineChars="200"/>
        <w:rPr>
          <w:rFonts w:hint="eastAsia" w:ascii="宋体" w:hAnsi="宋体" w:cs="宋体"/>
          <w:highlight w:val="none"/>
        </w:rPr>
      </w:pPr>
      <w:r>
        <w:rPr>
          <w:rFonts w:hint="eastAsia" w:ascii="宋体" w:hAnsi="宋体" w:cs="宋体"/>
          <w:highlight w:val="none"/>
        </w:rPr>
        <w:t>（14）溢流管进水口应做成水平喇叭口形式尺寸&gt;300*300mm。</w:t>
      </w:r>
    </w:p>
    <w:p>
      <w:pPr>
        <w:tabs>
          <w:tab w:val="left" w:pos="810"/>
        </w:tabs>
        <w:ind w:firstLine="420" w:firstLineChars="200"/>
        <w:rPr>
          <w:rFonts w:hint="eastAsia" w:ascii="宋体" w:hAnsi="宋体" w:cs="宋体"/>
          <w:highlight w:val="none"/>
        </w:rPr>
      </w:pPr>
      <w:r>
        <w:rPr>
          <w:rFonts w:hint="eastAsia" w:ascii="宋体" w:hAnsi="宋体" w:cs="宋体"/>
          <w:highlight w:val="none"/>
        </w:rPr>
        <w:t>（15）球面板的表面缺口，擦伤，撞痕，深度&lt;0.3mm。并有保护的包装。</w:t>
      </w:r>
    </w:p>
    <w:p>
      <w:pPr>
        <w:tabs>
          <w:tab w:val="left" w:pos="810"/>
        </w:tabs>
        <w:ind w:firstLine="420" w:firstLineChars="200"/>
        <w:rPr>
          <w:rFonts w:hint="eastAsia" w:ascii="宋体" w:hAnsi="宋体" w:cs="宋体"/>
          <w:highlight w:val="none"/>
        </w:rPr>
      </w:pPr>
      <w:r>
        <w:rPr>
          <w:rFonts w:hint="eastAsia" w:ascii="宋体" w:hAnsi="宋体" w:cs="宋体"/>
          <w:highlight w:val="none"/>
        </w:rPr>
        <w:t>（16）焊材的选用与本体材料相适应，采用ER316L或更好的焊丝，并有相应的焊接工艺焊工评定以及必须持有相应的焊工资质。</w:t>
      </w:r>
    </w:p>
    <w:p>
      <w:pPr>
        <w:tabs>
          <w:tab w:val="left" w:pos="810"/>
        </w:tabs>
        <w:ind w:firstLine="420" w:firstLineChars="200"/>
        <w:rPr>
          <w:rFonts w:hint="eastAsia" w:ascii="宋体" w:hAnsi="宋体" w:cs="宋体"/>
          <w:highlight w:val="none"/>
        </w:rPr>
      </w:pPr>
      <w:r>
        <w:rPr>
          <w:rFonts w:hint="eastAsia" w:ascii="宋体" w:hAnsi="宋体" w:cs="宋体"/>
          <w:highlight w:val="none"/>
        </w:rPr>
        <w:t>（17）水箱采用整体拼装式结构，焊接全部采用氩弧焊,水箱顶板需满焊，箱体型板间焊缝、接管与箱体连接焊缝必须进行渗透检测。不锈钢水箱焊接完成后，必须进行酸洗，钝化处理。（酸洗后的排水经中和排出，或回收，不影响建筑结构体）</w:t>
      </w:r>
    </w:p>
    <w:p>
      <w:pPr>
        <w:tabs>
          <w:tab w:val="left" w:pos="810"/>
        </w:tabs>
        <w:ind w:firstLine="420" w:firstLineChars="200"/>
        <w:rPr>
          <w:rFonts w:hint="eastAsia" w:ascii="宋体" w:hAnsi="宋体" w:cs="宋体"/>
          <w:highlight w:val="none"/>
        </w:rPr>
      </w:pPr>
      <w:r>
        <w:rPr>
          <w:rFonts w:hint="eastAsia" w:ascii="宋体" w:hAnsi="宋体" w:cs="宋体"/>
          <w:highlight w:val="none"/>
        </w:rPr>
        <w:t>（18）中标方按图纸所示位置进行安装（组装）水箱，水箱进出水口位置必须按照设计院图纸并得到采购方及监理部门的书面确认。</w:t>
      </w:r>
    </w:p>
    <w:p>
      <w:pPr>
        <w:tabs>
          <w:tab w:val="left" w:pos="810"/>
        </w:tabs>
        <w:ind w:firstLine="420" w:firstLineChars="200"/>
        <w:rPr>
          <w:rFonts w:hint="eastAsia" w:ascii="宋体" w:hAnsi="宋体" w:cs="宋体"/>
          <w:highlight w:val="none"/>
        </w:rPr>
      </w:pPr>
      <w:r>
        <w:rPr>
          <w:rFonts w:hint="eastAsia" w:ascii="宋体" w:hAnsi="宋体" w:cs="宋体"/>
          <w:highlight w:val="none"/>
        </w:rPr>
        <w:t xml:space="preserve">（19）制作好的水箱要进行压水试验，24h无渗漏、无异常变形为合格。 </w:t>
      </w:r>
    </w:p>
    <w:p>
      <w:pPr>
        <w:tabs>
          <w:tab w:val="left" w:pos="810"/>
        </w:tabs>
        <w:ind w:firstLine="420" w:firstLineChars="200"/>
        <w:rPr>
          <w:rFonts w:hint="eastAsia" w:ascii="宋体" w:hAnsi="宋体" w:cs="宋体"/>
          <w:highlight w:val="none"/>
        </w:rPr>
      </w:pPr>
      <w:r>
        <w:rPr>
          <w:rFonts w:hint="eastAsia" w:ascii="宋体" w:hAnsi="宋体" w:cs="宋体"/>
          <w:highlight w:val="none"/>
        </w:rPr>
        <w:t>（20）水箱内部拉筋配置要求：</w:t>
      </w:r>
    </w:p>
    <w:p>
      <w:pPr>
        <w:tabs>
          <w:tab w:val="left" w:pos="810"/>
        </w:tabs>
        <w:ind w:firstLine="420" w:firstLineChars="200"/>
        <w:rPr>
          <w:rFonts w:hint="eastAsia" w:ascii="宋体" w:hAnsi="宋体" w:cs="宋体"/>
          <w:highlight w:val="none"/>
        </w:rPr>
      </w:pPr>
      <w:r>
        <w:rPr>
          <w:rFonts w:hint="eastAsia" w:ascii="宋体" w:hAnsi="宋体" w:cs="宋体"/>
          <w:highlight w:val="none"/>
        </w:rPr>
        <w:t>组合式不锈钢水箱内部构架大小（长X宽X高=L*B*H,L&gt;B）</w:t>
      </w:r>
    </w:p>
    <w:p>
      <w:pPr>
        <w:rPr>
          <w:rFonts w:hint="eastAsia" w:ascii="宋体" w:hAnsi="宋体" w:cs="宋体"/>
          <w:highlight w:val="none"/>
        </w:rPr>
      </w:pPr>
    </w:p>
    <w:tbl>
      <w:tblPr>
        <w:tblStyle w:val="40"/>
        <w:tblW w:w="0" w:type="auto"/>
        <w:jc w:val="center"/>
        <w:tblLayout w:type="autofit"/>
        <w:tblCellMar>
          <w:top w:w="0" w:type="dxa"/>
          <w:left w:w="108" w:type="dxa"/>
          <w:bottom w:w="0" w:type="dxa"/>
          <w:right w:w="108" w:type="dxa"/>
        </w:tblCellMar>
      </w:tblPr>
      <w:tblGrid>
        <w:gridCol w:w="1056"/>
        <w:gridCol w:w="1266"/>
        <w:gridCol w:w="1266"/>
        <w:gridCol w:w="1056"/>
        <w:gridCol w:w="1266"/>
        <w:gridCol w:w="1686"/>
        <w:gridCol w:w="1686"/>
      </w:tblGrid>
      <w:tr>
        <w:tblPrEx>
          <w:tblCellMar>
            <w:top w:w="0" w:type="dxa"/>
            <w:left w:w="108" w:type="dxa"/>
            <w:bottom w:w="0" w:type="dxa"/>
            <w:right w:w="108" w:type="dxa"/>
          </w:tblCellMar>
        </w:tblPrEx>
        <w:trPr>
          <w:trHeight w:val="284" w:hRule="atLeast"/>
          <w:jc w:val="center"/>
        </w:trPr>
        <w:tc>
          <w:tcPr>
            <w:tcW w:w="0" w:type="auto"/>
            <w:tcBorders>
              <w:top w:val="single" w:color="auto" w:sz="8" w:space="0"/>
              <w:left w:val="single" w:color="auto" w:sz="8" w:space="0"/>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水箱高度</w:t>
            </w:r>
          </w:p>
          <w:p>
            <w:pPr>
              <w:jc w:val="center"/>
              <w:rPr>
                <w:rFonts w:hint="eastAsia" w:ascii="宋体" w:hAnsi="宋体" w:cs="宋体"/>
                <w:highlight w:val="none"/>
              </w:rPr>
            </w:pPr>
            <w:r>
              <w:rPr>
                <w:rFonts w:hint="eastAsia" w:ascii="宋体" w:hAnsi="宋体" w:cs="宋体"/>
                <w:highlight w:val="none"/>
              </w:rPr>
              <w:t>（m）</w:t>
            </w:r>
          </w:p>
        </w:tc>
        <w:tc>
          <w:tcPr>
            <w:tcW w:w="0" w:type="auto"/>
            <w:tcBorders>
              <w:top w:val="single" w:color="auto" w:sz="8" w:space="0"/>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斜撑筋</w:t>
            </w:r>
          </w:p>
        </w:tc>
        <w:tc>
          <w:tcPr>
            <w:tcW w:w="0" w:type="auto"/>
            <w:tcBorders>
              <w:top w:val="single" w:color="auto" w:sz="8" w:space="0"/>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水箱四角</w:t>
            </w:r>
          </w:p>
          <w:p>
            <w:pPr>
              <w:jc w:val="center"/>
              <w:rPr>
                <w:rFonts w:hint="eastAsia" w:ascii="宋体" w:hAnsi="宋体" w:cs="宋体"/>
                <w:highlight w:val="none"/>
              </w:rPr>
            </w:pPr>
            <w:r>
              <w:rPr>
                <w:rFonts w:hint="eastAsia" w:ascii="宋体" w:hAnsi="宋体" w:cs="宋体"/>
                <w:highlight w:val="none"/>
              </w:rPr>
              <w:t>水平斜撑筋</w:t>
            </w:r>
          </w:p>
        </w:tc>
        <w:tc>
          <w:tcPr>
            <w:tcW w:w="0" w:type="auto"/>
            <w:tcBorders>
              <w:top w:val="single" w:color="auto" w:sz="8" w:space="0"/>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水平撑筋</w:t>
            </w:r>
          </w:p>
        </w:tc>
        <w:tc>
          <w:tcPr>
            <w:tcW w:w="0" w:type="auto"/>
            <w:tcBorders>
              <w:top w:val="single" w:color="auto" w:sz="8" w:space="0"/>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垂直撑筋</w:t>
            </w:r>
          </w:p>
        </w:tc>
        <w:tc>
          <w:tcPr>
            <w:tcW w:w="0" w:type="auto"/>
            <w:tcBorders>
              <w:top w:val="single" w:color="auto" w:sz="8" w:space="0"/>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侧板坚向加强筋</w:t>
            </w:r>
          </w:p>
        </w:tc>
        <w:tc>
          <w:tcPr>
            <w:tcW w:w="0" w:type="auto"/>
            <w:tcBorders>
              <w:top w:val="single" w:color="auto" w:sz="8" w:space="0"/>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侧板水平加强筋</w:t>
            </w:r>
          </w:p>
        </w:tc>
      </w:tr>
      <w:tr>
        <w:tblPrEx>
          <w:tblCellMar>
            <w:top w:w="0" w:type="dxa"/>
            <w:left w:w="108" w:type="dxa"/>
            <w:bottom w:w="0" w:type="dxa"/>
            <w:right w:w="108" w:type="dxa"/>
          </w:tblCellMar>
        </w:tblPrEx>
        <w:trPr>
          <w:trHeight w:val="284" w:hRule="atLeast"/>
          <w:jc w:val="center"/>
        </w:trPr>
        <w:tc>
          <w:tcPr>
            <w:tcW w:w="0" w:type="auto"/>
            <w:tcBorders>
              <w:top w:val="nil"/>
              <w:left w:val="single" w:color="auto" w:sz="8" w:space="0"/>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1.0</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w:t>
            </w:r>
          </w:p>
        </w:tc>
        <w:tc>
          <w:tcPr>
            <w:tcW w:w="0" w:type="auto"/>
            <w:vMerge w:val="restart"/>
            <w:tcBorders>
              <w:top w:val="nil"/>
              <w:left w:val="nil"/>
              <w:bottom w:val="single" w:color="000000"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L30*30*1.5</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L40*30*3</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84" w:hRule="atLeast"/>
          <w:jc w:val="center"/>
        </w:trPr>
        <w:tc>
          <w:tcPr>
            <w:tcW w:w="0" w:type="auto"/>
            <w:tcBorders>
              <w:top w:val="nil"/>
              <w:left w:val="single" w:color="auto" w:sz="8" w:space="0"/>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1.5</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L50*20*1.5</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L40*20*3</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L30*30*3</w:t>
            </w:r>
          </w:p>
        </w:tc>
        <w:tc>
          <w:tcPr>
            <w:tcW w:w="0" w:type="auto"/>
            <w:vMerge w:val="continue"/>
            <w:tcBorders>
              <w:top w:val="nil"/>
              <w:left w:val="nil"/>
              <w:bottom w:val="single" w:color="000000" w:sz="8" w:space="0"/>
              <w:right w:val="single" w:color="auto" w:sz="8" w:space="0"/>
            </w:tcBorders>
            <w:vAlign w:val="center"/>
          </w:tcPr>
          <w:p>
            <w:pPr>
              <w:jc w:val="center"/>
              <w:rPr>
                <w:rFonts w:hint="eastAsia" w:ascii="宋体" w:hAnsi="宋体" w:cs="宋体"/>
                <w:highlight w:val="none"/>
              </w:rPr>
            </w:pP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L40*30*3</w:t>
            </w:r>
          </w:p>
        </w:tc>
        <w:tc>
          <w:tcPr>
            <w:tcW w:w="0" w:type="auto"/>
            <w:tcBorders>
              <w:top w:val="nil"/>
              <w:left w:val="nil"/>
              <w:bottom w:val="single" w:color="auto" w:sz="8"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84" w:hRule="atLeast"/>
          <w:jc w:val="center"/>
        </w:trPr>
        <w:tc>
          <w:tcPr>
            <w:tcW w:w="0" w:type="auto"/>
            <w:tcBorders>
              <w:top w:val="nil"/>
              <w:left w:val="single" w:color="auto" w:sz="8" w:space="0"/>
              <w:bottom w:val="single" w:color="auto" w:sz="4"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2.0</w:t>
            </w:r>
          </w:p>
        </w:tc>
        <w:tc>
          <w:tcPr>
            <w:tcW w:w="0" w:type="auto"/>
            <w:tcBorders>
              <w:top w:val="nil"/>
              <w:left w:val="nil"/>
              <w:bottom w:val="single" w:color="auto" w:sz="4"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L50*20*1.5</w:t>
            </w:r>
          </w:p>
        </w:tc>
        <w:tc>
          <w:tcPr>
            <w:tcW w:w="0" w:type="auto"/>
            <w:tcBorders>
              <w:top w:val="nil"/>
              <w:left w:val="nil"/>
              <w:bottom w:val="single" w:color="auto" w:sz="4"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L40*20*3</w:t>
            </w:r>
          </w:p>
        </w:tc>
        <w:tc>
          <w:tcPr>
            <w:tcW w:w="0" w:type="auto"/>
            <w:tcBorders>
              <w:top w:val="nil"/>
              <w:left w:val="nil"/>
              <w:bottom w:val="single" w:color="auto" w:sz="4"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L30*30*3</w:t>
            </w:r>
          </w:p>
        </w:tc>
        <w:tc>
          <w:tcPr>
            <w:tcW w:w="0" w:type="auto"/>
            <w:vMerge w:val="continue"/>
            <w:tcBorders>
              <w:top w:val="nil"/>
              <w:left w:val="nil"/>
              <w:bottom w:val="single" w:color="auto" w:sz="4" w:space="0"/>
              <w:right w:val="single" w:color="auto" w:sz="8" w:space="0"/>
            </w:tcBorders>
            <w:vAlign w:val="center"/>
          </w:tcPr>
          <w:p>
            <w:pPr>
              <w:jc w:val="center"/>
              <w:rPr>
                <w:rFonts w:hint="eastAsia" w:ascii="宋体" w:hAnsi="宋体" w:cs="宋体"/>
                <w:highlight w:val="none"/>
              </w:rPr>
            </w:pPr>
          </w:p>
        </w:tc>
        <w:tc>
          <w:tcPr>
            <w:tcW w:w="0" w:type="auto"/>
            <w:tcBorders>
              <w:top w:val="nil"/>
              <w:left w:val="nil"/>
              <w:bottom w:val="single" w:color="auto" w:sz="4"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L50*30*3</w:t>
            </w:r>
          </w:p>
        </w:tc>
        <w:tc>
          <w:tcPr>
            <w:tcW w:w="0" w:type="auto"/>
            <w:tcBorders>
              <w:top w:val="nil"/>
              <w:left w:val="nil"/>
              <w:bottom w:val="single" w:color="auto" w:sz="4" w:space="0"/>
              <w:right w:val="single" w:color="auto" w:sz="8" w:space="0"/>
            </w:tcBorders>
            <w:vAlign w:val="center"/>
          </w:tcPr>
          <w:p>
            <w:pPr>
              <w:jc w:val="center"/>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2.5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L50*20*2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L40*20*3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L30*30*3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L60*30*3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w:t>
            </w:r>
          </w:p>
        </w:tc>
      </w:tr>
      <w:tr>
        <w:tblPrEx>
          <w:tblCellMar>
            <w:top w:w="0" w:type="dxa"/>
            <w:left w:w="108" w:type="dxa"/>
            <w:bottom w:w="0" w:type="dxa"/>
            <w:right w:w="108" w:type="dxa"/>
          </w:tblCellMar>
        </w:tblPrEx>
        <w:trPr>
          <w:trHeight w:val="28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L50*20*2</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L40*20*3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L40*30*3</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L70*30*3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highlight w:val="none"/>
              </w:rPr>
            </w:pPr>
            <w:r>
              <w:rPr>
                <w:rFonts w:hint="eastAsia" w:ascii="宋体" w:hAnsi="宋体" w:cs="宋体"/>
                <w:highlight w:val="none"/>
              </w:rPr>
              <w:t>——</w:t>
            </w:r>
          </w:p>
        </w:tc>
      </w:tr>
    </w:tbl>
    <w:p>
      <w:pPr>
        <w:tabs>
          <w:tab w:val="left" w:pos="810"/>
        </w:tabs>
        <w:ind w:firstLine="420" w:firstLineChars="200"/>
        <w:rPr>
          <w:rFonts w:hint="eastAsia" w:ascii="宋体" w:hAnsi="宋体" w:cs="宋体"/>
          <w:highlight w:val="none"/>
        </w:rPr>
      </w:pPr>
      <w:r>
        <w:rPr>
          <w:rFonts w:hint="eastAsia" w:ascii="宋体" w:hAnsi="宋体" w:cs="宋体"/>
          <w:highlight w:val="none"/>
        </w:rPr>
        <w:t>拉筋与水箱板连接的一端应焊接在水箱板十字拼缝处，横拉筋（水平拉筋）与十字接缝连接处必须满焊。</w:t>
      </w:r>
    </w:p>
    <w:p>
      <w:pPr>
        <w:tabs>
          <w:tab w:val="left" w:pos="810"/>
        </w:tabs>
        <w:ind w:firstLine="420" w:firstLineChars="200"/>
        <w:rPr>
          <w:rFonts w:hint="eastAsia" w:ascii="宋体" w:hAnsi="宋体" w:cs="宋体"/>
          <w:highlight w:val="none"/>
        </w:rPr>
      </w:pPr>
      <w:r>
        <w:rPr>
          <w:rFonts w:hint="eastAsia" w:ascii="宋体" w:hAnsi="宋体" w:cs="宋体"/>
          <w:highlight w:val="none"/>
        </w:rPr>
        <w:t>纵、横拉筋因长度不够可以拼接，拼接缝应采用双面对接焊。</w:t>
      </w:r>
    </w:p>
    <w:p>
      <w:pPr>
        <w:tabs>
          <w:tab w:val="left" w:pos="810"/>
        </w:tabs>
        <w:ind w:firstLine="420" w:firstLineChars="200"/>
        <w:rPr>
          <w:rFonts w:hint="eastAsia" w:ascii="宋体" w:hAnsi="宋体" w:cs="宋体"/>
          <w:highlight w:val="none"/>
        </w:rPr>
      </w:pPr>
      <w:r>
        <w:rPr>
          <w:rFonts w:hint="eastAsia" w:ascii="宋体" w:hAnsi="宋体" w:cs="宋体"/>
          <w:highlight w:val="none"/>
        </w:rPr>
        <w:t>接管与本体连接形式(无特殊说明)见图，接管法兰面与箱体平面平行。焊环与接管采用双面连续焊，接管焊环（如无特殊说明），采用与本体相同的材料制作。焊环密封面应垂直于接管中心线，其偏差不得超过焊环外径的1%，且不大于3mm。</w:t>
      </w:r>
    </w:p>
    <w:p>
      <w:pPr>
        <w:tabs>
          <w:tab w:val="left" w:pos="810"/>
        </w:tabs>
        <w:ind w:firstLine="420" w:firstLineChars="200"/>
        <w:rPr>
          <w:rFonts w:hint="eastAsia" w:ascii="宋体" w:hAnsi="宋体" w:cs="宋体"/>
          <w:highlight w:val="none"/>
        </w:rPr>
      </w:pPr>
      <w:r>
        <w:rPr>
          <w:rFonts w:hint="eastAsia" w:ascii="宋体" w:hAnsi="宋体" w:cs="宋体"/>
          <w:highlight w:val="none"/>
        </w:rPr>
        <w:t>①水箱应按02S101国标图集要求配置带保护液位现场指示装置。</w:t>
      </w:r>
    </w:p>
    <w:p>
      <w:pPr>
        <w:tabs>
          <w:tab w:val="left" w:pos="810"/>
        </w:tabs>
        <w:ind w:firstLine="420" w:firstLineChars="200"/>
        <w:rPr>
          <w:rFonts w:hint="eastAsia" w:ascii="宋体" w:hAnsi="宋体" w:cs="宋体"/>
          <w:highlight w:val="none"/>
        </w:rPr>
      </w:pPr>
      <w:r>
        <w:rPr>
          <w:rFonts w:hint="eastAsia" w:ascii="宋体" w:hAnsi="宋体" w:cs="宋体"/>
          <w:highlight w:val="none"/>
        </w:rPr>
        <w:t>②水箱设计时离墙柱、顶板的距离应满足规范要求。</w:t>
      </w:r>
    </w:p>
    <w:p>
      <w:pPr>
        <w:tabs>
          <w:tab w:val="left" w:pos="810"/>
        </w:tabs>
        <w:ind w:firstLine="420" w:firstLineChars="200"/>
        <w:rPr>
          <w:rFonts w:hint="eastAsia" w:ascii="宋体" w:hAnsi="宋体" w:cs="宋体"/>
          <w:highlight w:val="none"/>
        </w:rPr>
      </w:pPr>
      <w:r>
        <w:rPr>
          <w:rFonts w:hint="eastAsia" w:ascii="宋体" w:hAnsi="宋体" w:cs="宋体"/>
          <w:highlight w:val="none"/>
        </w:rPr>
        <w:t>③焊接后水箱的焊缝及焊后表面状况不得超出以下范围：</w:t>
      </w:r>
    </w:p>
    <w:tbl>
      <w:tblPr>
        <w:tblStyle w:val="40"/>
        <w:tblW w:w="0" w:type="auto"/>
        <w:jc w:val="center"/>
        <w:tblLayout w:type="autofit"/>
        <w:tblCellMar>
          <w:top w:w="0" w:type="dxa"/>
          <w:left w:w="0" w:type="dxa"/>
          <w:bottom w:w="0" w:type="dxa"/>
          <w:right w:w="0" w:type="dxa"/>
        </w:tblCellMar>
      </w:tblPr>
      <w:tblGrid>
        <w:gridCol w:w="871"/>
        <w:gridCol w:w="1445"/>
        <w:gridCol w:w="5466"/>
      </w:tblGrid>
      <w:tr>
        <w:tblPrEx>
          <w:tblCellMar>
            <w:top w:w="0" w:type="dxa"/>
            <w:left w:w="0" w:type="dxa"/>
            <w:bottom w:w="0" w:type="dxa"/>
            <w:right w:w="0" w:type="dxa"/>
          </w:tblCellMar>
        </w:tblPrEx>
        <w:trPr>
          <w:cantSplit/>
          <w:trHeight w:val="397" w:hRule="atLeast"/>
          <w:jc w:val="center"/>
        </w:trPr>
        <w:tc>
          <w:tcPr>
            <w:tcW w:w="0" w:type="auto"/>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cs="宋体"/>
                <w:highlight w:val="none"/>
              </w:rPr>
            </w:pPr>
            <w:r>
              <w:rPr>
                <w:rFonts w:hint="eastAsia" w:ascii="宋体" w:hAnsi="宋体" w:cs="宋体"/>
                <w:highlight w:val="none"/>
              </w:rPr>
              <w:t>项  目</w:t>
            </w:r>
          </w:p>
        </w:tc>
        <w:tc>
          <w:tcPr>
            <w:tcW w:w="0" w:type="auto"/>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jc w:val="center"/>
              <w:rPr>
                <w:rFonts w:hint="eastAsia" w:ascii="宋体" w:hAnsi="宋体" w:cs="宋体"/>
                <w:highlight w:val="none"/>
              </w:rPr>
            </w:pPr>
            <w:r>
              <w:rPr>
                <w:rFonts w:hint="eastAsia" w:ascii="宋体" w:hAnsi="宋体" w:cs="宋体"/>
                <w:highlight w:val="none"/>
              </w:rPr>
              <w:t>要    求</w:t>
            </w:r>
          </w:p>
        </w:tc>
      </w:tr>
      <w:tr>
        <w:tblPrEx>
          <w:tblCellMar>
            <w:top w:w="0" w:type="dxa"/>
            <w:left w:w="0" w:type="dxa"/>
            <w:bottom w:w="0" w:type="dxa"/>
            <w:right w:w="0" w:type="dxa"/>
          </w:tblCellMar>
        </w:tblPrEx>
        <w:trPr>
          <w:cantSplit/>
          <w:trHeight w:val="397" w:hRule="atLeast"/>
          <w:jc w:val="center"/>
        </w:trPr>
        <w:tc>
          <w:tcPr>
            <w:tcW w:w="0" w:type="auto"/>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表面擦伤</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深＜0.2-0.3mm，每平方米擦痕＜1cm，不多于5个，合格</w:t>
            </w:r>
          </w:p>
        </w:tc>
      </w:tr>
      <w:tr>
        <w:tblPrEx>
          <w:tblCellMar>
            <w:top w:w="0" w:type="dxa"/>
            <w:left w:w="0" w:type="dxa"/>
            <w:bottom w:w="0" w:type="dxa"/>
            <w:right w:w="0" w:type="dxa"/>
          </w:tblCellMar>
        </w:tblPrEx>
        <w:trPr>
          <w:cantSplit/>
          <w:trHeight w:val="397" w:hRule="atLeast"/>
          <w:jc w:val="center"/>
        </w:trPr>
        <w:tc>
          <w:tcPr>
            <w:tcW w:w="0" w:type="auto"/>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表面撞痕、表面缺口、</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深＜0.2-0.3mm，每10平方米缺痕少于10个，合格</w:t>
            </w:r>
          </w:p>
        </w:tc>
      </w:tr>
      <w:tr>
        <w:tblPrEx>
          <w:tblCellMar>
            <w:top w:w="0" w:type="dxa"/>
            <w:left w:w="0" w:type="dxa"/>
            <w:bottom w:w="0" w:type="dxa"/>
            <w:right w:w="0" w:type="dxa"/>
          </w:tblCellMar>
        </w:tblPrEx>
        <w:trPr>
          <w:cantSplit/>
          <w:trHeight w:val="397" w:hRule="atLeast"/>
          <w:jc w:val="center"/>
        </w:trPr>
        <w:tc>
          <w:tcPr>
            <w:tcW w:w="0" w:type="auto"/>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锈蚀/污染</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应无锈蚀/污染</w:t>
            </w:r>
          </w:p>
        </w:tc>
      </w:tr>
      <w:tr>
        <w:tblPrEx>
          <w:tblCellMar>
            <w:top w:w="0" w:type="dxa"/>
            <w:left w:w="0" w:type="dxa"/>
            <w:bottom w:w="0" w:type="dxa"/>
            <w:right w:w="0" w:type="dxa"/>
          </w:tblCellMar>
        </w:tblPrEx>
        <w:trPr>
          <w:cantSplit/>
          <w:trHeight w:val="397" w:hRule="atLeast"/>
          <w:jc w:val="center"/>
        </w:trPr>
        <w:tc>
          <w:tcPr>
            <w:tcW w:w="0" w:type="auto"/>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飞溅</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清除飞溅物</w:t>
            </w:r>
          </w:p>
        </w:tc>
      </w:tr>
      <w:tr>
        <w:tblPrEx>
          <w:tblCellMar>
            <w:top w:w="0" w:type="dxa"/>
            <w:left w:w="0" w:type="dxa"/>
            <w:bottom w:w="0" w:type="dxa"/>
            <w:right w:w="0" w:type="dxa"/>
          </w:tblCellMar>
        </w:tblPrEx>
        <w:trPr>
          <w:cantSplit/>
          <w:trHeight w:val="397" w:hRule="atLeast"/>
          <w:jc w:val="center"/>
        </w:trPr>
        <w:tc>
          <w:tcPr>
            <w:tcW w:w="0" w:type="auto"/>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酸洗、钝化处理</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除去焊缝周围的氧化皮</w:t>
            </w:r>
          </w:p>
        </w:tc>
      </w:tr>
      <w:tr>
        <w:tblPrEx>
          <w:tblCellMar>
            <w:top w:w="0" w:type="dxa"/>
            <w:left w:w="0" w:type="dxa"/>
            <w:bottom w:w="0" w:type="dxa"/>
            <w:right w:w="0" w:type="dxa"/>
          </w:tblCellMar>
        </w:tblPrEx>
        <w:trPr>
          <w:cantSplit/>
          <w:trHeight w:val="397"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焊接</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裂纹</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不允许存在</w:t>
            </w:r>
          </w:p>
        </w:tc>
      </w:tr>
      <w:tr>
        <w:tblPrEx>
          <w:tblCellMar>
            <w:top w:w="0" w:type="dxa"/>
            <w:left w:w="0" w:type="dxa"/>
            <w:bottom w:w="0" w:type="dxa"/>
            <w:right w:w="0"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hint="eastAsia" w:ascii="宋体" w:hAnsi="宋体" w:cs="宋体"/>
                <w:highlight w:val="none"/>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焊缝余高</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2.5mm以下</w:t>
            </w:r>
          </w:p>
        </w:tc>
      </w:tr>
      <w:tr>
        <w:tblPrEx>
          <w:tblCellMar>
            <w:top w:w="0" w:type="dxa"/>
            <w:left w:w="0" w:type="dxa"/>
            <w:bottom w:w="0" w:type="dxa"/>
            <w:right w:w="0"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rPr>
                <w:rFonts w:hint="eastAsia" w:ascii="宋体" w:hAnsi="宋体" w:cs="宋体"/>
                <w:highlight w:val="none"/>
              </w:rPr>
            </w:pPr>
          </w:p>
        </w:tc>
        <w:tc>
          <w:tcPr>
            <w:tcW w:w="0" w:type="auto"/>
            <w:tcBorders>
              <w:top w:val="nil"/>
              <w:left w:val="nil"/>
              <w:bottom w:val="single" w:color="auto" w:sz="4"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咬边</w:t>
            </w:r>
          </w:p>
        </w:tc>
        <w:tc>
          <w:tcPr>
            <w:tcW w:w="0" w:type="auto"/>
            <w:tcBorders>
              <w:top w:val="nil"/>
              <w:left w:val="nil"/>
              <w:bottom w:val="single" w:color="auto" w:sz="4" w:space="0"/>
              <w:right w:val="single" w:color="auto" w:sz="8"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0.3mm以下</w:t>
            </w:r>
          </w:p>
        </w:tc>
      </w:tr>
      <w:tr>
        <w:tblPrEx>
          <w:tblCellMar>
            <w:top w:w="0" w:type="dxa"/>
            <w:left w:w="0" w:type="dxa"/>
            <w:bottom w:w="0" w:type="dxa"/>
            <w:right w:w="0"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4" w:space="0"/>
            </w:tcBorders>
            <w:vAlign w:val="center"/>
          </w:tcPr>
          <w:p>
            <w:pPr>
              <w:rPr>
                <w:rFonts w:hint="eastAsia" w:ascii="宋体" w:hAnsi="宋体" w:cs="宋体"/>
                <w:highlight w:val="none"/>
              </w:rPr>
            </w:pP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焊瘤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不允许存在</w:t>
            </w:r>
          </w:p>
        </w:tc>
      </w:tr>
      <w:tr>
        <w:tblPrEx>
          <w:tblCellMar>
            <w:top w:w="0" w:type="dxa"/>
            <w:left w:w="0" w:type="dxa"/>
            <w:bottom w:w="0" w:type="dxa"/>
            <w:right w:w="0" w:type="dxa"/>
          </w:tblCellMar>
        </w:tblPrEx>
        <w:trPr>
          <w:cantSplit/>
          <w:trHeight w:val="397" w:hRule="atLeast"/>
          <w:jc w:val="center"/>
        </w:trPr>
        <w:tc>
          <w:tcPr>
            <w:tcW w:w="0" w:type="auto"/>
            <w:vMerge w:val="continue"/>
            <w:tcBorders>
              <w:top w:val="nil"/>
              <w:left w:val="single" w:color="auto" w:sz="8" w:space="0"/>
              <w:bottom w:val="single" w:color="auto" w:sz="8" w:space="0"/>
              <w:right w:val="single" w:color="auto" w:sz="4" w:space="0"/>
            </w:tcBorders>
            <w:vAlign w:val="center"/>
          </w:tcPr>
          <w:p>
            <w:pPr>
              <w:rPr>
                <w:rFonts w:hint="eastAsia" w:ascii="宋体" w:hAnsi="宋体" w:cs="宋体"/>
                <w:highlight w:val="none"/>
              </w:rPr>
            </w:pP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弧坑</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hint="eastAsia" w:ascii="宋体" w:hAnsi="宋体" w:cs="宋体"/>
                <w:highlight w:val="none"/>
              </w:rPr>
            </w:pPr>
            <w:r>
              <w:rPr>
                <w:rFonts w:hint="eastAsia" w:ascii="宋体" w:hAnsi="宋体" w:cs="宋体"/>
                <w:highlight w:val="none"/>
              </w:rPr>
              <w:t>小于0.3mm</w:t>
            </w:r>
          </w:p>
        </w:tc>
      </w:tr>
    </w:tbl>
    <w:p>
      <w:pPr>
        <w:tabs>
          <w:tab w:val="left" w:pos="810"/>
        </w:tabs>
        <w:ind w:firstLine="420" w:firstLineChars="200"/>
        <w:rPr>
          <w:rFonts w:hint="eastAsia" w:ascii="宋体" w:hAnsi="宋体" w:cs="宋体"/>
          <w:highlight w:val="none"/>
        </w:rPr>
      </w:pPr>
      <w:r>
        <w:rPr>
          <w:rFonts w:hint="eastAsia" w:ascii="宋体" w:hAnsi="宋体" w:cs="宋体"/>
          <w:highlight w:val="none"/>
        </w:rPr>
        <w:t>①水箱槽钢底架10号国标热镀锌，底架主筋1000*1000mm间距，辅径1000*500mm间距。</w:t>
      </w:r>
    </w:p>
    <w:p>
      <w:pPr>
        <w:tabs>
          <w:tab w:val="left" w:pos="810"/>
        </w:tabs>
        <w:ind w:firstLine="420" w:firstLineChars="200"/>
        <w:rPr>
          <w:rFonts w:hint="eastAsia" w:ascii="宋体" w:hAnsi="宋体" w:cs="宋体"/>
          <w:highlight w:val="none"/>
        </w:rPr>
      </w:pPr>
      <w:r>
        <w:rPr>
          <w:rFonts w:hint="eastAsia" w:ascii="宋体" w:hAnsi="宋体" w:cs="宋体"/>
          <w:highlight w:val="none"/>
        </w:rPr>
        <w:t>②除特别标注外，水箱板厚配置如下：</w:t>
      </w:r>
    </w:p>
    <w:p>
      <w:pPr>
        <w:pStyle w:val="24"/>
        <w:spacing w:line="360" w:lineRule="auto"/>
        <w:rPr>
          <w:rFonts w:hint="eastAsia" w:hAnsi="宋体" w:eastAsia="宋体" w:cs="宋体"/>
          <w:szCs w:val="24"/>
          <w:highlight w:val="none"/>
        </w:rPr>
      </w:pPr>
    </w:p>
    <w:tbl>
      <w:tblPr>
        <w:tblStyle w:val="40"/>
        <w:tblW w:w="8581" w:type="dxa"/>
        <w:jc w:val="center"/>
        <w:tblLayout w:type="fixed"/>
        <w:tblCellMar>
          <w:top w:w="0" w:type="dxa"/>
          <w:left w:w="0" w:type="dxa"/>
          <w:bottom w:w="0" w:type="dxa"/>
          <w:right w:w="0" w:type="dxa"/>
        </w:tblCellMar>
      </w:tblPr>
      <w:tblGrid>
        <w:gridCol w:w="1262"/>
        <w:gridCol w:w="1468"/>
        <w:gridCol w:w="1014"/>
        <w:gridCol w:w="820"/>
        <w:gridCol w:w="1295"/>
        <w:gridCol w:w="817"/>
        <w:gridCol w:w="1073"/>
        <w:gridCol w:w="832"/>
      </w:tblGrid>
      <w:tr>
        <w:tblPrEx>
          <w:tblCellMar>
            <w:top w:w="0" w:type="dxa"/>
            <w:left w:w="0" w:type="dxa"/>
            <w:bottom w:w="0" w:type="dxa"/>
            <w:right w:w="0" w:type="dxa"/>
          </w:tblCellMar>
        </w:tblPrEx>
        <w:trPr>
          <w:trHeight w:val="520" w:hRule="atLeast"/>
          <w:jc w:val="center"/>
        </w:trPr>
        <w:tc>
          <w:tcPr>
            <w:tcW w:w="8581" w:type="dxa"/>
            <w:gridSpan w:val="8"/>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水箱体积与板材规定</w:t>
            </w:r>
          </w:p>
        </w:tc>
      </w:tr>
      <w:tr>
        <w:tblPrEx>
          <w:tblCellMar>
            <w:top w:w="0" w:type="dxa"/>
            <w:left w:w="0" w:type="dxa"/>
            <w:bottom w:w="0" w:type="dxa"/>
            <w:right w:w="0" w:type="dxa"/>
          </w:tblCellMar>
        </w:tblPrEx>
        <w:trPr>
          <w:trHeight w:val="535" w:hRule="atLeast"/>
          <w:jc w:val="center"/>
        </w:trPr>
        <w:tc>
          <w:tcPr>
            <w:tcW w:w="126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水箱体积</w:t>
            </w: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水箱高度</w:t>
            </w:r>
          </w:p>
        </w:tc>
        <w:tc>
          <w:tcPr>
            <w:tcW w:w="101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底板厚度</w:t>
            </w:r>
          </w:p>
        </w:tc>
        <w:tc>
          <w:tcPr>
            <w:tcW w:w="8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侧一板厚度</w:t>
            </w:r>
          </w:p>
        </w:tc>
        <w:tc>
          <w:tcPr>
            <w:tcW w:w="129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侧二板厚度</w:t>
            </w:r>
          </w:p>
        </w:tc>
        <w:tc>
          <w:tcPr>
            <w:tcW w:w="81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侧三板厚度</w:t>
            </w:r>
          </w:p>
        </w:tc>
        <w:tc>
          <w:tcPr>
            <w:tcW w:w="10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顶板厚度</w:t>
            </w:r>
          </w:p>
        </w:tc>
        <w:tc>
          <w:tcPr>
            <w:tcW w:w="8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导流板厚度</w:t>
            </w:r>
          </w:p>
        </w:tc>
      </w:tr>
      <w:tr>
        <w:tblPrEx>
          <w:tblCellMar>
            <w:top w:w="0" w:type="dxa"/>
            <w:left w:w="0" w:type="dxa"/>
            <w:bottom w:w="0" w:type="dxa"/>
            <w:right w:w="0" w:type="dxa"/>
          </w:tblCellMar>
        </w:tblPrEx>
        <w:trPr>
          <w:trHeight w:val="520" w:hRule="atLeast"/>
          <w:jc w:val="center"/>
        </w:trPr>
        <w:tc>
          <w:tcPr>
            <w:tcW w:w="1262"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V&lt;50m³</w:t>
            </w: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H</w:t>
            </w:r>
            <w:r>
              <w:rPr>
                <w:rFonts w:hint="eastAsia" w:ascii="宋体" w:hAnsi="宋体" w:cs="宋体"/>
                <w:b/>
                <w:bCs/>
                <w:highlight w:val="none"/>
              </w:rPr>
              <w:t>≤</w:t>
            </w:r>
            <w:r>
              <w:rPr>
                <w:rFonts w:hint="eastAsia" w:ascii="宋体" w:hAnsi="宋体" w:cs="宋体"/>
                <w:highlight w:val="none"/>
              </w:rPr>
              <w:t>2.0m</w:t>
            </w:r>
          </w:p>
        </w:tc>
        <w:tc>
          <w:tcPr>
            <w:tcW w:w="101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8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w:t>
            </w:r>
          </w:p>
        </w:tc>
        <w:tc>
          <w:tcPr>
            <w:tcW w:w="129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w:t>
            </w:r>
          </w:p>
        </w:tc>
        <w:tc>
          <w:tcPr>
            <w:tcW w:w="81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10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8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r>
      <w:tr>
        <w:tblPrEx>
          <w:tblCellMar>
            <w:top w:w="0" w:type="dxa"/>
            <w:left w:w="0" w:type="dxa"/>
            <w:bottom w:w="0" w:type="dxa"/>
            <w:right w:w="0" w:type="dxa"/>
          </w:tblCellMar>
        </w:tblPrEx>
        <w:trPr>
          <w:trHeight w:val="535"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hAnsi="宋体" w:cs="宋体"/>
                <w:highlight w:val="none"/>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H≥2.5m或3.0m</w:t>
            </w:r>
          </w:p>
        </w:tc>
        <w:tc>
          <w:tcPr>
            <w:tcW w:w="101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w:t>
            </w:r>
          </w:p>
        </w:tc>
        <w:tc>
          <w:tcPr>
            <w:tcW w:w="8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129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w:t>
            </w:r>
          </w:p>
        </w:tc>
        <w:tc>
          <w:tcPr>
            <w:tcW w:w="81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10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8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r>
      <w:tr>
        <w:tblPrEx>
          <w:tblCellMar>
            <w:top w:w="0" w:type="dxa"/>
            <w:left w:w="0" w:type="dxa"/>
            <w:bottom w:w="0" w:type="dxa"/>
            <w:right w:w="0" w:type="dxa"/>
          </w:tblCellMar>
        </w:tblPrEx>
        <w:trPr>
          <w:trHeight w:val="520" w:hRule="atLeast"/>
          <w:jc w:val="center"/>
        </w:trPr>
        <w:tc>
          <w:tcPr>
            <w:tcW w:w="1262"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50m³&lt;V&lt;100m³</w:t>
            </w: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H≤2.0m</w:t>
            </w:r>
          </w:p>
        </w:tc>
        <w:tc>
          <w:tcPr>
            <w:tcW w:w="101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w:t>
            </w:r>
          </w:p>
        </w:tc>
        <w:tc>
          <w:tcPr>
            <w:tcW w:w="8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w:t>
            </w:r>
          </w:p>
        </w:tc>
        <w:tc>
          <w:tcPr>
            <w:tcW w:w="129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81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10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8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r>
      <w:tr>
        <w:tblPrEx>
          <w:tblCellMar>
            <w:top w:w="0" w:type="dxa"/>
            <w:left w:w="0" w:type="dxa"/>
            <w:bottom w:w="0" w:type="dxa"/>
            <w:right w:w="0" w:type="dxa"/>
          </w:tblCellMar>
        </w:tblPrEx>
        <w:trPr>
          <w:trHeight w:val="535"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hAnsi="宋体" w:cs="宋体"/>
                <w:highlight w:val="none"/>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H≥2.5m或3.0m</w:t>
            </w:r>
          </w:p>
        </w:tc>
        <w:tc>
          <w:tcPr>
            <w:tcW w:w="101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w:t>
            </w:r>
          </w:p>
        </w:tc>
        <w:tc>
          <w:tcPr>
            <w:tcW w:w="8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129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w:t>
            </w:r>
          </w:p>
        </w:tc>
        <w:tc>
          <w:tcPr>
            <w:tcW w:w="81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10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8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r>
      <w:tr>
        <w:tblPrEx>
          <w:tblCellMar>
            <w:top w:w="0" w:type="dxa"/>
            <w:left w:w="0" w:type="dxa"/>
            <w:bottom w:w="0" w:type="dxa"/>
            <w:right w:w="0" w:type="dxa"/>
          </w:tblCellMar>
        </w:tblPrEx>
        <w:trPr>
          <w:trHeight w:val="520" w:hRule="atLeast"/>
          <w:jc w:val="center"/>
        </w:trPr>
        <w:tc>
          <w:tcPr>
            <w:tcW w:w="1262" w:type="dxa"/>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V&gt;100m3</w:t>
            </w: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H≤2.0m</w:t>
            </w:r>
          </w:p>
        </w:tc>
        <w:tc>
          <w:tcPr>
            <w:tcW w:w="101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w:t>
            </w:r>
          </w:p>
        </w:tc>
        <w:tc>
          <w:tcPr>
            <w:tcW w:w="8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w:t>
            </w:r>
          </w:p>
        </w:tc>
        <w:tc>
          <w:tcPr>
            <w:tcW w:w="129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81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w:t>
            </w:r>
          </w:p>
        </w:tc>
        <w:tc>
          <w:tcPr>
            <w:tcW w:w="10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8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r>
      <w:tr>
        <w:tblPrEx>
          <w:tblCellMar>
            <w:top w:w="0" w:type="dxa"/>
            <w:left w:w="0" w:type="dxa"/>
            <w:bottom w:w="0" w:type="dxa"/>
            <w:right w:w="0" w:type="dxa"/>
          </w:tblCellMar>
        </w:tblPrEx>
        <w:trPr>
          <w:trHeight w:val="520" w:hRule="atLeast"/>
          <w:jc w:val="center"/>
        </w:trPr>
        <w:tc>
          <w:tcPr>
            <w:tcW w:w="1262" w:type="dxa"/>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hAnsi="宋体" w:cs="宋体"/>
                <w:highlight w:val="none"/>
              </w:rPr>
            </w:pPr>
          </w:p>
        </w:tc>
        <w:tc>
          <w:tcPr>
            <w:tcW w:w="1468"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H≥2.5m或3.0m</w:t>
            </w:r>
          </w:p>
        </w:tc>
        <w:tc>
          <w:tcPr>
            <w:tcW w:w="1014"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w:t>
            </w:r>
          </w:p>
        </w:tc>
        <w:tc>
          <w:tcPr>
            <w:tcW w:w="82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1295"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817"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≥2.5</w:t>
            </w:r>
          </w:p>
        </w:tc>
        <w:tc>
          <w:tcPr>
            <w:tcW w:w="1073"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c>
          <w:tcPr>
            <w:tcW w:w="832"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1.5</w:t>
            </w:r>
          </w:p>
        </w:tc>
      </w:tr>
    </w:tbl>
    <w:p>
      <w:pPr>
        <w:pStyle w:val="24"/>
        <w:spacing w:line="480" w:lineRule="auto"/>
        <w:rPr>
          <w:rFonts w:hint="eastAsia" w:hAnsi="宋体" w:eastAsia="宋体" w:cs="宋体"/>
          <w:szCs w:val="24"/>
          <w:highlight w:val="none"/>
        </w:rPr>
      </w:pPr>
    </w:p>
    <w:p>
      <w:pPr>
        <w:tabs>
          <w:tab w:val="left" w:pos="810"/>
        </w:tabs>
        <w:ind w:firstLine="420" w:firstLineChars="200"/>
        <w:rPr>
          <w:rFonts w:hint="eastAsia" w:ascii="宋体" w:hAnsi="宋体" w:cs="宋体"/>
          <w:highlight w:val="none"/>
        </w:rPr>
      </w:pPr>
      <w:r>
        <w:rPr>
          <w:rFonts w:hint="eastAsia" w:ascii="宋体" w:hAnsi="宋体" w:cs="宋体"/>
          <w:highlight w:val="none"/>
        </w:rPr>
        <w:t>不锈钢水箱相关组件配置要求：</w:t>
      </w:r>
    </w:p>
    <w:p>
      <w:pPr>
        <w:pStyle w:val="14"/>
        <w:rPr>
          <w:rFonts w:hint="eastAsia" w:ascii="宋体" w:hAnsi="宋体" w:cs="宋体"/>
          <w:highlight w:val="none"/>
        </w:rPr>
      </w:pPr>
    </w:p>
    <w:tbl>
      <w:tblPr>
        <w:tblStyle w:val="40"/>
        <w:tblW w:w="0" w:type="auto"/>
        <w:jc w:val="center"/>
        <w:tblLayout w:type="fixed"/>
        <w:tblCellMar>
          <w:top w:w="0" w:type="dxa"/>
          <w:left w:w="0" w:type="dxa"/>
          <w:bottom w:w="0" w:type="dxa"/>
          <w:right w:w="0" w:type="dxa"/>
        </w:tblCellMar>
      </w:tblPr>
      <w:tblGrid>
        <w:gridCol w:w="909"/>
        <w:gridCol w:w="3636"/>
        <w:gridCol w:w="2613"/>
      </w:tblGrid>
      <w:tr>
        <w:tblPrEx>
          <w:tblCellMar>
            <w:top w:w="0" w:type="dxa"/>
            <w:left w:w="0" w:type="dxa"/>
            <w:bottom w:w="0" w:type="dxa"/>
            <w:right w:w="0" w:type="dxa"/>
          </w:tblCellMar>
        </w:tblPrEx>
        <w:trPr>
          <w:trHeight w:val="520" w:hRule="atLeast"/>
          <w:tblHeader/>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序号</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名称</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规格要求</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配套进水管法兰</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304不锈钢</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2</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配套出水管法兰</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304不锈钢</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配套不锈钢导流板</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316L不锈钢，2.0mm</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4</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配套通气（呼吸管）</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316L不锈钢</w:t>
            </w:r>
          </w:p>
        </w:tc>
      </w:tr>
      <w:tr>
        <w:tblPrEx>
          <w:tblCellMar>
            <w:top w:w="0" w:type="dxa"/>
            <w:left w:w="0" w:type="dxa"/>
            <w:bottom w:w="0" w:type="dxa"/>
            <w:right w:w="0" w:type="dxa"/>
          </w:tblCellMar>
        </w:tblPrEx>
        <w:trPr>
          <w:trHeight w:val="507"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5</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配套溢流管+DN250x250喇叭口</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316L不锈钢</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6</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配套放空管+放空阀</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316L不锈钢</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7</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配套液位控制箱</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1m*1m、厚度3mm</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8</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配套浮球液位开关</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含浮球、浮球阀、316L不锈钢</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9</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配套电磁阀</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不锈钢</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10</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配套磁性翻板液位计</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316L不锈钢</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11</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电子液位显示器</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DN15、L=2m+显示+高低报警</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12</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配套带压人孔（带锁）</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800*800</w:t>
            </w: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13</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配套臭氧自洁器</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p>
        </w:tc>
      </w:tr>
      <w:tr>
        <w:tblPrEx>
          <w:tblCellMar>
            <w:top w:w="0" w:type="dxa"/>
            <w:left w:w="0" w:type="dxa"/>
            <w:bottom w:w="0" w:type="dxa"/>
            <w:right w:w="0" w:type="dxa"/>
          </w:tblCellMar>
        </w:tblPrEx>
        <w:trPr>
          <w:trHeight w:val="520" w:hRule="atLeast"/>
          <w:jc w:val="center"/>
        </w:trPr>
        <w:tc>
          <w:tcPr>
            <w:tcW w:w="9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14</w:t>
            </w:r>
          </w:p>
        </w:tc>
        <w:tc>
          <w:tcPr>
            <w:tcW w:w="36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配套旋流防止器</w:t>
            </w:r>
          </w:p>
        </w:tc>
        <w:tc>
          <w:tcPr>
            <w:tcW w:w="261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textAlignment w:val="center"/>
              <w:rPr>
                <w:rFonts w:hint="eastAsia" w:ascii="宋体" w:hAnsi="宋体" w:cs="宋体"/>
                <w:highlight w:val="none"/>
              </w:rPr>
            </w:pPr>
            <w:r>
              <w:rPr>
                <w:rFonts w:hint="eastAsia" w:ascii="宋体" w:hAnsi="宋体" w:cs="宋体"/>
                <w:highlight w:val="none"/>
              </w:rPr>
              <w:t>不锈钢材质，D&gt;500</w:t>
            </w:r>
          </w:p>
        </w:tc>
      </w:tr>
    </w:tbl>
    <w:p>
      <w:pPr>
        <w:tabs>
          <w:tab w:val="left" w:pos="810"/>
        </w:tabs>
        <w:ind w:firstLine="422" w:firstLineChars="200"/>
        <w:rPr>
          <w:rFonts w:hint="eastAsia" w:ascii="宋体" w:hAnsi="宋体" w:cs="宋体"/>
          <w:b/>
          <w:bCs/>
          <w:highlight w:val="none"/>
        </w:rPr>
      </w:pPr>
      <w:r>
        <w:rPr>
          <w:rFonts w:hint="eastAsia" w:ascii="宋体" w:hAnsi="宋体" w:cs="宋体"/>
          <w:b/>
          <w:bCs/>
          <w:highlight w:val="none"/>
        </w:rPr>
        <w:t>★（21）</w:t>
      </w:r>
      <w:r>
        <w:rPr>
          <w:rFonts w:hint="eastAsia" w:ascii="宋体" w:hAnsi="宋体" w:cs="宋体"/>
          <w:highlight w:val="none"/>
        </w:rPr>
        <w:t>意向供应商负责水箱使用前的整体清洗服务，以达到水箱水质检测合格的标准。</w:t>
      </w:r>
    </w:p>
    <w:p>
      <w:pPr>
        <w:pStyle w:val="14"/>
        <w:numPr>
          <w:ilvl w:val="0"/>
          <w:numId w:val="25"/>
        </w:numPr>
        <w:spacing w:line="360" w:lineRule="auto"/>
        <w:rPr>
          <w:rFonts w:hint="eastAsia" w:ascii="宋体" w:hAnsi="宋体" w:cs="宋体"/>
          <w:highlight w:val="none"/>
        </w:rPr>
      </w:pPr>
      <w:r>
        <w:rPr>
          <w:rFonts w:hint="eastAsia" w:ascii="宋体" w:hAnsi="宋体" w:cs="宋体"/>
          <w:highlight w:val="none"/>
        </w:rPr>
        <w:t>水箱的进水口、出水口、溢流口、排污口、通气孔、人孔及内外爬梯，其尺寸及位置应按规定的图纸或厂家自有标准的要求和尺寸制造，并预留进水口、出水口、溢流口、排污口的法兰接口，安装水位标尺.</w:t>
      </w:r>
    </w:p>
    <w:p>
      <w:pPr>
        <w:pStyle w:val="14"/>
        <w:numPr>
          <w:ilvl w:val="0"/>
          <w:numId w:val="25"/>
        </w:numPr>
        <w:spacing w:line="360" w:lineRule="auto"/>
        <w:rPr>
          <w:rFonts w:hint="eastAsia" w:ascii="宋体" w:hAnsi="宋体" w:cs="宋体"/>
          <w:highlight w:val="none"/>
        </w:rPr>
      </w:pPr>
      <w:r>
        <w:rPr>
          <w:rFonts w:hint="eastAsia" w:ascii="宋体" w:hAnsi="宋体" w:cs="宋体"/>
          <w:highlight w:val="none"/>
        </w:rPr>
        <w:t>水箱的平底板应保持平整，变形度满足下表要求。</w:t>
      </w:r>
    </w:p>
    <w:p>
      <w:pPr>
        <w:jc w:val="center"/>
        <w:rPr>
          <w:rFonts w:hint="eastAsia" w:ascii="宋体" w:hAnsi="宋体" w:cs="宋体"/>
          <w:highlight w:val="none"/>
        </w:rPr>
      </w:pPr>
      <w:r>
        <w:rPr>
          <w:rFonts w:hint="eastAsia" w:ascii="宋体" w:hAnsi="宋体" w:cs="宋体"/>
          <w:highlight w:val="none"/>
        </w:rPr>
        <w:t>尺寸允许公差</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pPr>
              <w:rPr>
                <w:rFonts w:hint="eastAsia" w:ascii="宋体" w:hAnsi="宋体" w:cs="宋体"/>
                <w:highlight w:val="none"/>
              </w:rPr>
            </w:pPr>
            <w:r>
              <w:rPr>
                <w:rFonts w:hint="eastAsia" w:ascii="宋体" w:hAnsi="宋体" w:cs="宋体"/>
                <w:highlight w:val="none"/>
              </w:rPr>
              <w:t>项目</w:t>
            </w:r>
          </w:p>
        </w:tc>
        <w:tc>
          <w:tcPr>
            <w:tcW w:w="2131" w:type="dxa"/>
          </w:tcPr>
          <w:p>
            <w:pPr>
              <w:rPr>
                <w:rFonts w:hint="eastAsia" w:ascii="宋体" w:hAnsi="宋体" w:cs="宋体"/>
                <w:highlight w:val="none"/>
              </w:rPr>
            </w:pPr>
            <w:r>
              <w:rPr>
                <w:rFonts w:hint="eastAsia" w:ascii="宋体" w:hAnsi="宋体" w:cs="宋体"/>
                <w:highlight w:val="none"/>
              </w:rPr>
              <w:t>设计尺寸（mm）</w:t>
            </w:r>
          </w:p>
        </w:tc>
        <w:tc>
          <w:tcPr>
            <w:tcW w:w="2131" w:type="dxa"/>
          </w:tcPr>
          <w:p>
            <w:pPr>
              <w:rPr>
                <w:rFonts w:hint="eastAsia" w:ascii="宋体" w:hAnsi="宋体" w:cs="宋体"/>
                <w:highlight w:val="none"/>
              </w:rPr>
            </w:pPr>
            <w:r>
              <w:rPr>
                <w:rFonts w:hint="eastAsia" w:ascii="宋体" w:hAnsi="宋体" w:cs="宋体"/>
                <w:highlight w:val="none"/>
              </w:rPr>
              <w:t>允许公差（mm）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rPr>
                <w:rFonts w:hint="eastAsia" w:ascii="宋体" w:hAnsi="宋体" w:cs="宋体"/>
                <w:highlight w:val="none"/>
              </w:rPr>
            </w:pPr>
            <w:r>
              <w:rPr>
                <w:rFonts w:hint="eastAsia" w:ascii="宋体" w:hAnsi="宋体" w:cs="宋体"/>
                <w:highlight w:val="none"/>
              </w:rPr>
              <w:t>水箱本体</w:t>
            </w:r>
          </w:p>
        </w:tc>
        <w:tc>
          <w:tcPr>
            <w:tcW w:w="2130" w:type="dxa"/>
            <w:vMerge w:val="restart"/>
          </w:tcPr>
          <w:p>
            <w:pPr>
              <w:rPr>
                <w:rFonts w:hint="eastAsia" w:ascii="宋体" w:hAnsi="宋体" w:cs="宋体"/>
                <w:highlight w:val="none"/>
              </w:rPr>
            </w:pPr>
            <w:r>
              <w:rPr>
                <w:rFonts w:hint="eastAsia" w:ascii="宋体" w:hAnsi="宋体" w:cs="宋体"/>
                <w:highlight w:val="none"/>
              </w:rPr>
              <w:t>外形尺寸</w:t>
            </w:r>
          </w:p>
        </w:tc>
        <w:tc>
          <w:tcPr>
            <w:tcW w:w="2131" w:type="dxa"/>
          </w:tcPr>
          <w:p>
            <w:pPr>
              <w:rPr>
                <w:rFonts w:hint="eastAsia" w:ascii="宋体" w:hAnsi="宋体" w:cs="宋体"/>
                <w:highlight w:val="none"/>
              </w:rPr>
            </w:pPr>
            <w:r>
              <w:rPr>
                <w:rFonts w:hint="eastAsia" w:ascii="宋体" w:hAnsi="宋体" w:cs="宋体"/>
                <w:highlight w:val="none"/>
              </w:rPr>
              <w:t>≤5000</w:t>
            </w:r>
          </w:p>
        </w:tc>
        <w:tc>
          <w:tcPr>
            <w:tcW w:w="2131" w:type="dxa"/>
          </w:tcPr>
          <w:p>
            <w:pPr>
              <w:rPr>
                <w:rFonts w:hint="eastAsia" w:ascii="宋体" w:hAnsi="宋体" w:cs="宋体"/>
                <w:highlight w:val="none"/>
              </w:rPr>
            </w:pPr>
            <w:r>
              <w:rPr>
                <w:rFonts w:hint="eastAsia" w:ascii="宋体" w:hAnsi="宋体" w:cs="宋体"/>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ascii="宋体" w:hAnsi="宋体" w:cs="宋体"/>
                <w:highlight w:val="none"/>
              </w:rPr>
            </w:pPr>
          </w:p>
        </w:tc>
        <w:tc>
          <w:tcPr>
            <w:tcW w:w="2130" w:type="dxa"/>
            <w:vMerge w:val="continue"/>
          </w:tcPr>
          <w:p>
            <w:pPr>
              <w:rPr>
                <w:rFonts w:hint="eastAsia" w:ascii="宋体" w:hAnsi="宋体" w:cs="宋体"/>
                <w:highlight w:val="none"/>
              </w:rPr>
            </w:pPr>
          </w:p>
        </w:tc>
        <w:tc>
          <w:tcPr>
            <w:tcW w:w="2131" w:type="dxa"/>
          </w:tcPr>
          <w:p>
            <w:pPr>
              <w:rPr>
                <w:rFonts w:hint="eastAsia" w:ascii="宋体" w:hAnsi="宋体" w:cs="宋体"/>
                <w:highlight w:val="none"/>
              </w:rPr>
            </w:pPr>
            <w:r>
              <w:rPr>
                <w:rFonts w:hint="eastAsia" w:ascii="宋体" w:hAnsi="宋体" w:cs="宋体"/>
                <w:highlight w:val="none"/>
              </w:rPr>
              <w:t>＞5000</w:t>
            </w:r>
          </w:p>
        </w:tc>
        <w:tc>
          <w:tcPr>
            <w:tcW w:w="2131" w:type="dxa"/>
          </w:tcPr>
          <w:p>
            <w:pPr>
              <w:rPr>
                <w:rFonts w:hint="eastAsia" w:ascii="宋体" w:hAnsi="宋体" w:cs="宋体"/>
                <w:highlight w:val="none"/>
              </w:rPr>
            </w:pPr>
            <w:r>
              <w:rPr>
                <w:rFonts w:hint="eastAsia" w:ascii="宋体" w:hAnsi="宋体" w:cs="宋体"/>
                <w:highlight w:val="none"/>
              </w:rPr>
              <w:t>0~+（L/1000+5）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ascii="宋体" w:hAnsi="宋体" w:cs="宋体"/>
                <w:highlight w:val="none"/>
              </w:rPr>
            </w:pPr>
          </w:p>
        </w:tc>
        <w:tc>
          <w:tcPr>
            <w:tcW w:w="2130" w:type="dxa"/>
            <w:vMerge w:val="restart"/>
          </w:tcPr>
          <w:p>
            <w:pPr>
              <w:rPr>
                <w:rFonts w:hint="eastAsia" w:ascii="宋体" w:hAnsi="宋体" w:cs="宋体"/>
                <w:highlight w:val="none"/>
              </w:rPr>
            </w:pPr>
            <w:r>
              <w:rPr>
                <w:rFonts w:hint="eastAsia" w:ascii="宋体" w:hAnsi="宋体" w:cs="宋体"/>
                <w:highlight w:val="none"/>
              </w:rPr>
              <w:t>垂直度</w:t>
            </w:r>
          </w:p>
        </w:tc>
        <w:tc>
          <w:tcPr>
            <w:tcW w:w="2131" w:type="dxa"/>
          </w:tcPr>
          <w:p>
            <w:pPr>
              <w:rPr>
                <w:rFonts w:hint="eastAsia" w:ascii="宋体" w:hAnsi="宋体" w:cs="宋体"/>
                <w:highlight w:val="none"/>
              </w:rPr>
            </w:pPr>
            <w:r>
              <w:rPr>
                <w:rFonts w:hint="eastAsia" w:ascii="宋体" w:hAnsi="宋体" w:cs="宋体"/>
                <w:highlight w:val="none"/>
              </w:rPr>
              <w:t>高度≤5000</w:t>
            </w:r>
          </w:p>
        </w:tc>
        <w:tc>
          <w:tcPr>
            <w:tcW w:w="2131" w:type="dxa"/>
          </w:tcPr>
          <w:p>
            <w:pPr>
              <w:rPr>
                <w:rFonts w:hint="eastAsia" w:ascii="宋体" w:hAnsi="宋体" w:cs="宋体"/>
                <w:highlight w:val="none"/>
              </w:rPr>
            </w:pPr>
            <w:r>
              <w:rPr>
                <w:rFonts w:hint="eastAsia" w:ascii="宋体" w:hAnsi="宋体" w:cs="宋体"/>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rPr>
                <w:rFonts w:hint="eastAsia" w:ascii="宋体" w:hAnsi="宋体" w:cs="宋体"/>
                <w:highlight w:val="none"/>
              </w:rPr>
            </w:pPr>
          </w:p>
        </w:tc>
        <w:tc>
          <w:tcPr>
            <w:tcW w:w="2130" w:type="dxa"/>
            <w:vMerge w:val="continue"/>
          </w:tcPr>
          <w:p>
            <w:pPr>
              <w:rPr>
                <w:rFonts w:hint="eastAsia" w:ascii="宋体" w:hAnsi="宋体" w:cs="宋体"/>
                <w:highlight w:val="none"/>
              </w:rPr>
            </w:pPr>
          </w:p>
        </w:tc>
        <w:tc>
          <w:tcPr>
            <w:tcW w:w="2131" w:type="dxa"/>
          </w:tcPr>
          <w:p>
            <w:pPr>
              <w:rPr>
                <w:rFonts w:hint="eastAsia" w:ascii="宋体" w:hAnsi="宋体" w:cs="宋体"/>
                <w:highlight w:val="none"/>
              </w:rPr>
            </w:pPr>
            <w:r>
              <w:rPr>
                <w:rFonts w:hint="eastAsia" w:ascii="宋体" w:hAnsi="宋体" w:cs="宋体"/>
                <w:highlight w:val="none"/>
              </w:rPr>
              <w:t>＞5000</w:t>
            </w:r>
          </w:p>
        </w:tc>
        <w:tc>
          <w:tcPr>
            <w:tcW w:w="2131" w:type="dxa"/>
          </w:tcPr>
          <w:p>
            <w:pPr>
              <w:rPr>
                <w:rFonts w:hint="eastAsia" w:ascii="宋体" w:hAnsi="宋体" w:cs="宋体"/>
                <w:highlight w:val="none"/>
              </w:rPr>
            </w:pPr>
            <w:r>
              <w:rPr>
                <w:rFonts w:hint="eastAsia" w:ascii="宋体" w:hAnsi="宋体" w:cs="宋体"/>
                <w:highlight w:val="none"/>
              </w:rPr>
              <w:t>0~+（L/1000+10）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tcPr>
          <w:p>
            <w:pPr>
              <w:rPr>
                <w:rFonts w:hint="eastAsia" w:ascii="宋体" w:hAnsi="宋体" w:cs="宋体"/>
                <w:highlight w:val="none"/>
              </w:rPr>
            </w:pPr>
            <w:r>
              <w:rPr>
                <w:rFonts w:hint="eastAsia" w:ascii="宋体" w:hAnsi="宋体" w:cs="宋体"/>
                <w:highlight w:val="none"/>
              </w:rPr>
              <w:t>部件安装、接口位置</w:t>
            </w:r>
          </w:p>
        </w:tc>
        <w:tc>
          <w:tcPr>
            <w:tcW w:w="2131" w:type="dxa"/>
          </w:tcPr>
          <w:p>
            <w:pPr>
              <w:rPr>
                <w:rFonts w:hint="eastAsia" w:ascii="宋体" w:hAnsi="宋体" w:cs="宋体"/>
                <w:highlight w:val="none"/>
              </w:rPr>
            </w:pPr>
          </w:p>
        </w:tc>
        <w:tc>
          <w:tcPr>
            <w:tcW w:w="2131" w:type="dxa"/>
          </w:tcPr>
          <w:p>
            <w:pPr>
              <w:rPr>
                <w:rFonts w:hint="eastAsia" w:ascii="宋体" w:hAnsi="宋体" w:cs="宋体"/>
                <w:highlight w:val="none"/>
              </w:rPr>
            </w:pPr>
            <w:r>
              <w:rPr>
                <w:rFonts w:hint="eastAsia" w:ascii="宋体" w:hAnsi="宋体" w:cs="宋体"/>
                <w:highlight w:val="none"/>
              </w:rPr>
              <w:t>±10</w:t>
            </w:r>
          </w:p>
        </w:tc>
      </w:tr>
    </w:tbl>
    <w:p>
      <w:pPr>
        <w:rPr>
          <w:rFonts w:hint="eastAsia" w:ascii="宋体" w:hAnsi="宋体" w:cs="宋体"/>
          <w:highlight w:val="none"/>
        </w:rPr>
      </w:pPr>
      <w:r>
        <w:rPr>
          <w:rFonts w:hint="eastAsia" w:ascii="宋体" w:hAnsi="宋体" w:cs="宋体"/>
          <w:highlight w:val="none"/>
        </w:rPr>
        <w:t>注：L表示长、宽、高设计尺寸值。</w:t>
      </w:r>
    </w:p>
    <w:p>
      <w:pPr>
        <w:numPr>
          <w:ilvl w:val="0"/>
          <w:numId w:val="25"/>
        </w:numPr>
        <w:ind w:firstLine="420"/>
        <w:jc w:val="both"/>
        <w:rPr>
          <w:rFonts w:hint="eastAsia" w:ascii="宋体" w:hAnsi="宋体" w:cs="宋体"/>
          <w:highlight w:val="none"/>
        </w:rPr>
      </w:pPr>
      <w:r>
        <w:rPr>
          <w:rFonts w:hint="eastAsia" w:ascii="宋体" w:hAnsi="宋体" w:cs="宋体"/>
          <w:highlight w:val="none"/>
        </w:rPr>
        <w:t>水箱顶部要做石墨烯晶钢瓷涂料防腐。</w:t>
      </w:r>
    </w:p>
    <w:p>
      <w:pPr>
        <w:numPr>
          <w:ilvl w:val="0"/>
          <w:numId w:val="25"/>
        </w:numPr>
        <w:ind w:firstLine="420"/>
        <w:jc w:val="both"/>
        <w:rPr>
          <w:rFonts w:hint="eastAsia" w:ascii="宋体" w:hAnsi="宋体" w:cs="宋体"/>
          <w:highlight w:val="none"/>
        </w:rPr>
      </w:pPr>
      <w:r>
        <w:rPr>
          <w:rFonts w:hint="eastAsia" w:ascii="宋体" w:hAnsi="宋体" w:cs="宋体"/>
          <w:highlight w:val="none"/>
        </w:rPr>
        <w:t>水箱注满水，不得有渗、漏水现象，不应有明显的变形现象，按照钢制焊接常压容器有关水实验条款进行。（GB50242－2002 建筑给水排水及采暖工程施工质量验收规范）</w:t>
      </w:r>
    </w:p>
    <w:p>
      <w:pPr>
        <w:numPr>
          <w:ilvl w:val="0"/>
          <w:numId w:val="25"/>
        </w:numPr>
        <w:ind w:firstLine="420"/>
        <w:jc w:val="both"/>
        <w:rPr>
          <w:rFonts w:hint="eastAsia" w:ascii="宋体" w:hAnsi="宋体" w:cs="宋体"/>
          <w:highlight w:val="none"/>
        </w:rPr>
      </w:pPr>
      <w:r>
        <w:rPr>
          <w:rFonts w:hint="eastAsia" w:ascii="宋体" w:hAnsi="宋体" w:cs="宋体"/>
          <w:highlight w:val="none"/>
        </w:rPr>
        <w:t>水箱的实际装水量应不小于公称容积。</w:t>
      </w:r>
    </w:p>
    <w:p>
      <w:pPr>
        <w:numPr>
          <w:ilvl w:val="0"/>
          <w:numId w:val="25"/>
        </w:numPr>
        <w:ind w:firstLine="420"/>
        <w:jc w:val="both"/>
        <w:rPr>
          <w:rFonts w:hint="eastAsia" w:ascii="宋体" w:hAnsi="宋体" w:cs="宋体"/>
          <w:highlight w:val="none"/>
        </w:rPr>
      </w:pPr>
      <w:r>
        <w:rPr>
          <w:rFonts w:hint="eastAsia" w:ascii="宋体" w:hAnsi="宋体" w:cs="宋体"/>
          <w:highlight w:val="none"/>
        </w:rPr>
        <w:t>水箱人孔内外突出部位应翻边处理或做其他防护处理，避免割伤人。</w:t>
      </w:r>
    </w:p>
    <w:p>
      <w:pPr>
        <w:numPr>
          <w:ilvl w:val="0"/>
          <w:numId w:val="25"/>
        </w:numPr>
        <w:ind w:firstLine="420"/>
        <w:jc w:val="both"/>
        <w:rPr>
          <w:rFonts w:hint="eastAsia" w:ascii="宋体" w:hAnsi="宋体" w:cs="宋体"/>
          <w:highlight w:val="none"/>
        </w:rPr>
      </w:pPr>
      <w:r>
        <w:rPr>
          <w:rFonts w:hint="eastAsia" w:ascii="宋体" w:hAnsi="宋体" w:cs="宋体"/>
          <w:highlight w:val="none"/>
        </w:rPr>
        <w:t>水箱补水严禁使用淹没式浮球阀补水。</w:t>
      </w:r>
    </w:p>
    <w:p>
      <w:pPr>
        <w:numPr>
          <w:ilvl w:val="0"/>
          <w:numId w:val="25"/>
        </w:numPr>
        <w:ind w:firstLine="420"/>
        <w:jc w:val="both"/>
        <w:rPr>
          <w:rFonts w:hint="eastAsia" w:ascii="宋体" w:hAnsi="宋体" w:cs="宋体"/>
          <w:b/>
          <w:bCs/>
          <w:highlight w:val="none"/>
        </w:rPr>
      </w:pPr>
      <w:r>
        <w:rPr>
          <w:rFonts w:hint="eastAsia" w:ascii="宋体" w:hAnsi="宋体" w:cs="宋体"/>
          <w:highlight w:val="none"/>
        </w:rPr>
        <w:t>水箱基础要求砼基础几何尺寸应按GB12S101有关规定制定，砼基础平面高低差〈5mm，不锈钢水箱基础由生产厂家提供设计图纸。</w:t>
      </w:r>
    </w:p>
    <w:p>
      <w:pPr>
        <w:tabs>
          <w:tab w:val="left" w:pos="810"/>
        </w:tabs>
        <w:ind w:firstLine="422" w:firstLineChars="200"/>
        <w:outlineLvl w:val="1"/>
        <w:rPr>
          <w:rFonts w:hint="eastAsia" w:ascii="宋体" w:hAnsi="宋体" w:cs="宋体"/>
          <w:b/>
          <w:bCs/>
          <w:highlight w:val="none"/>
        </w:rPr>
      </w:pPr>
      <w:r>
        <w:rPr>
          <w:rFonts w:hint="eastAsia" w:ascii="宋体" w:hAnsi="宋体" w:cs="宋体"/>
          <w:b/>
          <w:bCs/>
          <w:highlight w:val="none"/>
        </w:rPr>
        <w:t>（十六）水箱净化、紫外消毒设施</w:t>
      </w:r>
    </w:p>
    <w:p>
      <w:pPr>
        <w:tabs>
          <w:tab w:val="left" w:pos="810"/>
        </w:tabs>
        <w:ind w:firstLine="420" w:firstLineChars="200"/>
        <w:rPr>
          <w:rFonts w:hint="eastAsia" w:ascii="宋体" w:hAnsi="宋体" w:cs="宋体"/>
          <w:highlight w:val="none"/>
        </w:rPr>
      </w:pPr>
      <w:r>
        <w:rPr>
          <w:rFonts w:hint="eastAsia" w:ascii="宋体" w:hAnsi="宋体" w:cs="宋体"/>
          <w:highlight w:val="none"/>
        </w:rPr>
        <w:t>1.二次供水设施的水池（箱）配备内置（外置）水箱自洁消毒器，并与水箱同步安装。采用臭氧消毒，管网末梢水中臭氧残留浓度不小于 0.02mg/L。臭氧发生器产生的臭氧应以负压方式投加到水中并设置尾气消除装置。</w:t>
      </w:r>
    </w:p>
    <w:p>
      <w:pPr>
        <w:tabs>
          <w:tab w:val="left" w:pos="810"/>
        </w:tabs>
        <w:ind w:firstLine="420" w:firstLineChars="200"/>
        <w:rPr>
          <w:rFonts w:hint="eastAsia" w:ascii="宋体" w:hAnsi="宋体" w:cs="宋体"/>
          <w:highlight w:val="none"/>
        </w:rPr>
      </w:pPr>
      <w:r>
        <w:rPr>
          <w:rFonts w:hint="eastAsia" w:ascii="宋体" w:hAnsi="宋体" w:cs="宋体"/>
          <w:highlight w:val="none"/>
        </w:rPr>
        <w:t>（1）提供第三方紫外线有效剂量的检验报告。</w:t>
      </w:r>
    </w:p>
    <w:p>
      <w:pPr>
        <w:tabs>
          <w:tab w:val="left" w:pos="810"/>
        </w:tabs>
        <w:ind w:firstLine="420" w:firstLineChars="200"/>
        <w:rPr>
          <w:rFonts w:hint="eastAsia" w:ascii="宋体" w:hAnsi="宋体" w:cs="宋体"/>
          <w:highlight w:val="none"/>
        </w:rPr>
      </w:pPr>
      <w:r>
        <w:rPr>
          <w:rFonts w:hint="eastAsia" w:ascii="宋体" w:hAnsi="宋体" w:cs="宋体"/>
          <w:highlight w:val="none"/>
        </w:rPr>
        <w:t>（2）臭氧发生器应符合国家现行标准《臭氧发生器安全与卫生标准》GB28232、《 水处理用臭氧发生器》CJT 322 的相关规定。</w:t>
      </w:r>
    </w:p>
    <w:p>
      <w:pPr>
        <w:tabs>
          <w:tab w:val="left" w:pos="810"/>
        </w:tabs>
        <w:ind w:firstLine="420" w:firstLineChars="200"/>
        <w:rPr>
          <w:rFonts w:hint="eastAsia" w:ascii="宋体" w:hAnsi="宋体" w:cs="宋体"/>
          <w:highlight w:val="none"/>
        </w:rPr>
      </w:pPr>
      <w:r>
        <w:rPr>
          <w:rFonts w:hint="eastAsia" w:ascii="宋体" w:hAnsi="宋体" w:cs="宋体"/>
          <w:highlight w:val="none"/>
        </w:rPr>
        <w:t>2.水箱出水采用紫外线消毒器，其设计、安装和使用符合相关技术标准的规定。紫外线有效剂量不应小于 40mJ/cm²。紫外线消毒设备应具备对紫外线照射强度的在线检测功能，并具备自动清洗功能。</w:t>
      </w:r>
    </w:p>
    <w:p>
      <w:pPr>
        <w:tabs>
          <w:tab w:val="left" w:pos="810"/>
        </w:tabs>
        <w:ind w:firstLine="420" w:firstLineChars="200"/>
        <w:rPr>
          <w:rFonts w:hint="eastAsia" w:ascii="宋体" w:hAnsi="宋体" w:cs="宋体"/>
          <w:highlight w:val="none"/>
        </w:rPr>
      </w:pPr>
      <w:r>
        <w:rPr>
          <w:rFonts w:hint="eastAsia" w:ascii="宋体" w:hAnsi="宋体" w:cs="宋体"/>
          <w:highlight w:val="none"/>
        </w:rPr>
        <w:t xml:space="preserve">（1）紫外线消毒设备应符合国家现行标准《城市给排水紫外线消毒设备》GB/T19837、《生活饮用水紫外线消毒器》CJ/T204 的相关规定，外壳使用食品级不锈钢SUS304（022Cr19Ni10 ）不锈钢材料制作；消毒器套筒应为高透光率、高纯度的石英玻璃套管，对 253.7nm 紫外线的穿透率不小于90%。 </w:t>
      </w:r>
    </w:p>
    <w:p>
      <w:pPr>
        <w:tabs>
          <w:tab w:val="left" w:pos="810"/>
        </w:tabs>
        <w:ind w:firstLine="420" w:firstLineChars="200"/>
        <w:rPr>
          <w:rFonts w:hint="eastAsia" w:ascii="宋体" w:hAnsi="宋体" w:cs="宋体"/>
          <w:highlight w:val="none"/>
        </w:rPr>
      </w:pPr>
      <w:r>
        <w:rPr>
          <w:rFonts w:hint="eastAsia" w:ascii="宋体" w:hAnsi="宋体" w:cs="宋体"/>
          <w:highlight w:val="none"/>
        </w:rPr>
        <w:t>（2）紫外线消毒器灯管选用低臭氧型灯管，灯管连续运行或累计运行寿命不低于 12000 小时。消毒器灯管的布置使受紫外线照射面上的紫外线强度分布均匀，无有照射死角，同一型号消毒器的零部件具备互换性。</w:t>
      </w:r>
    </w:p>
    <w:p>
      <w:pPr>
        <w:tabs>
          <w:tab w:val="left" w:pos="810"/>
        </w:tabs>
        <w:ind w:firstLine="420" w:firstLineChars="200"/>
        <w:rPr>
          <w:rFonts w:hint="eastAsia" w:ascii="宋体" w:hAnsi="宋体" w:cs="宋体"/>
          <w:highlight w:val="none"/>
        </w:rPr>
      </w:pPr>
      <w:r>
        <w:rPr>
          <w:rFonts w:hint="eastAsia" w:ascii="宋体" w:hAnsi="宋体" w:cs="宋体"/>
          <w:highlight w:val="none"/>
        </w:rPr>
        <w:t>（3）紫外线消毒器设有灯管点燃指示、点燃累计时间指示和紫外线辐照强度的相对指示，具备自动清洗及在线监测和报警功能。</w:t>
      </w:r>
    </w:p>
    <w:p>
      <w:pPr>
        <w:tabs>
          <w:tab w:val="left" w:pos="810"/>
        </w:tabs>
        <w:ind w:firstLine="420" w:firstLineChars="200"/>
        <w:rPr>
          <w:rFonts w:hint="eastAsia" w:ascii="宋体" w:hAnsi="宋体" w:cs="宋体"/>
          <w:highlight w:val="none"/>
        </w:rPr>
      </w:pPr>
      <w:r>
        <w:rPr>
          <w:rFonts w:hint="eastAsia" w:ascii="宋体" w:hAnsi="宋体" w:cs="宋体"/>
          <w:highlight w:val="none"/>
        </w:rPr>
        <w:t>（4）紫外线消毒设备提供第三方紫外线有效剂量的检验报告。</w:t>
      </w:r>
    </w:p>
    <w:p>
      <w:pPr>
        <w:tabs>
          <w:tab w:val="left" w:pos="810"/>
        </w:tabs>
        <w:ind w:firstLine="420" w:firstLineChars="200"/>
        <w:rPr>
          <w:rFonts w:hint="eastAsia" w:ascii="宋体" w:hAnsi="宋体" w:cs="宋体"/>
          <w:highlight w:val="none"/>
        </w:rPr>
      </w:pPr>
      <w:r>
        <w:rPr>
          <w:rFonts w:hint="eastAsia" w:ascii="宋体" w:hAnsi="宋体" w:cs="宋体"/>
          <w:highlight w:val="none"/>
        </w:rPr>
        <w:t>（5）紫外光催化氧化设备符合国家现行标准《环境保护产品技术要求 紫外线消毒装置》HJ2522、《城市给排水紫外线消毒设备》GB/T19837、《生活饮用水紫外线消毒器》CJ/T204的相关规定。</w:t>
      </w:r>
    </w:p>
    <w:p>
      <w:pPr>
        <w:ind w:firstLine="420" w:firstLineChars="200"/>
        <w:rPr>
          <w:rFonts w:hint="eastAsia" w:ascii="宋体" w:hAnsi="宋体" w:cs="宋体"/>
          <w:b/>
          <w:bCs/>
          <w:highlight w:val="none"/>
        </w:rPr>
      </w:pPr>
      <w:r>
        <w:rPr>
          <w:rFonts w:hint="eastAsia" w:ascii="宋体" w:hAnsi="宋体" w:cs="宋体"/>
          <w:highlight w:val="none"/>
        </w:rPr>
        <w:t xml:space="preserve"> </w:t>
      </w:r>
      <w:r>
        <w:rPr>
          <w:rFonts w:hint="eastAsia" w:ascii="宋体" w:hAnsi="宋体" w:cs="宋体"/>
          <w:b/>
          <w:bCs/>
          <w:highlight w:val="none"/>
        </w:rPr>
        <w:t>★(十七) 售后响应</w:t>
      </w:r>
    </w:p>
    <w:p>
      <w:pPr>
        <w:ind w:firstLine="420" w:firstLineChars="200"/>
        <w:rPr>
          <w:rFonts w:hint="eastAsia" w:ascii="宋体" w:hAnsi="宋体" w:cs="宋体"/>
          <w:highlight w:val="none"/>
        </w:rPr>
      </w:pPr>
      <w:r>
        <w:rPr>
          <w:rFonts w:hint="eastAsia" w:ascii="宋体" w:hAnsi="宋体" w:cs="宋体"/>
          <w:highlight w:val="none"/>
        </w:rPr>
        <w:t>1.项目供应方所提供产品及系统出现故障时，应在4小时以内赶赴现场，24小时内予以更换或维修完毕。</w:t>
      </w:r>
    </w:p>
    <w:p>
      <w:pPr>
        <w:ind w:firstLine="420" w:firstLineChars="200"/>
        <w:rPr>
          <w:rFonts w:hint="eastAsia" w:ascii="宋体" w:hAnsi="宋体" w:cs="宋体"/>
          <w:highlight w:val="none"/>
        </w:rPr>
      </w:pPr>
      <w:r>
        <w:rPr>
          <w:rFonts w:hint="eastAsia" w:ascii="宋体" w:hAnsi="宋体" w:cs="宋体"/>
          <w:highlight w:val="none"/>
        </w:rPr>
        <w:t>2.设备运行一年内每月至少一次现场巡检及保养，一年后要求永久性地进行免费的每半年一次的现场巡检保养。</w:t>
      </w:r>
    </w:p>
    <w:p>
      <w:pPr>
        <w:ind w:firstLine="420" w:firstLineChars="200"/>
        <w:rPr>
          <w:rFonts w:hint="eastAsia" w:ascii="宋体" w:hAnsi="宋体" w:cs="宋体"/>
          <w:highlight w:val="none"/>
        </w:rPr>
      </w:pPr>
      <w:r>
        <w:rPr>
          <w:rFonts w:hint="eastAsia" w:ascii="宋体" w:hAnsi="宋体" w:cs="宋体"/>
          <w:highlight w:val="none"/>
        </w:rPr>
        <w:t>3.项目供应方成交后在采购方建立专门的设备巡检维修登记册。质保期内损坏的部件配件，在原有质保期的基础上再延续保修一年。</w:t>
      </w:r>
    </w:p>
    <w:p>
      <w:pPr>
        <w:pStyle w:val="129"/>
        <w:spacing w:line="360" w:lineRule="auto"/>
        <w:ind w:firstLine="480" w:firstLineChars="200"/>
        <w:jc w:val="both"/>
        <w:rPr>
          <w:rFonts w:hint="eastAsia"/>
          <w:b w:val="0"/>
          <w:bCs w:val="0"/>
          <w:sz w:val="24"/>
          <w:szCs w:val="24"/>
          <w:highlight w:val="none"/>
        </w:rPr>
      </w:pPr>
      <w:r>
        <w:rPr>
          <w:rFonts w:hint="eastAsia"/>
          <w:b w:val="0"/>
          <w:bCs w:val="0"/>
          <w:sz w:val="24"/>
          <w:szCs w:val="24"/>
          <w:highlight w:val="none"/>
        </w:rPr>
        <w:t>4.项目供应方对配套的控制软件主动实施终身免费升级。</w:t>
      </w:r>
    </w:p>
    <w:p>
      <w:pPr>
        <w:ind w:firstLine="480" w:firstLineChars="200"/>
        <w:rPr>
          <w:rFonts w:ascii="宋体" w:hAnsi="宋体" w:cs="宋体"/>
          <w:sz w:val="24"/>
          <w:szCs w:val="24"/>
          <w:highlight w:val="none"/>
        </w:rPr>
      </w:pPr>
      <w:r>
        <w:rPr>
          <w:rFonts w:hint="eastAsia"/>
          <w:sz w:val="24"/>
          <w:szCs w:val="24"/>
          <w:highlight w:val="none"/>
        </w:rPr>
        <w:t>5.提供所选水泵组须在粤海水务品牌库内，并提供通过粤海水务验收的承诺书。</w:t>
      </w:r>
    </w:p>
    <w:p>
      <w:pPr>
        <w:rPr>
          <w:highlight w:val="none"/>
        </w:rPr>
      </w:pPr>
    </w:p>
    <w:p>
      <w:pPr>
        <w:jc w:val="center"/>
        <w:rPr>
          <w:rFonts w:asciiTheme="minorEastAsia" w:hAnsiTheme="minorEastAsia" w:eastAsiaTheme="minorEastAsia"/>
          <w:b/>
          <w:sz w:val="24"/>
          <w:highlight w:val="none"/>
        </w:rPr>
      </w:pPr>
    </w:p>
    <w:p>
      <w:pPr>
        <w:jc w:val="center"/>
        <w:rPr>
          <w:rFonts w:asciiTheme="minorEastAsia" w:hAnsiTheme="minorEastAsia" w:eastAsiaTheme="minorEastAsia"/>
          <w:b/>
          <w:sz w:val="24"/>
          <w:highlight w:val="none"/>
        </w:rPr>
      </w:pPr>
    </w:p>
    <w:p>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br w:type="page"/>
      </w:r>
    </w:p>
    <w:p>
      <w:pPr>
        <w:jc w:val="center"/>
        <w:rPr>
          <w:rFonts w:asciiTheme="minorEastAsia" w:hAnsiTheme="minorEastAsia" w:eastAsiaTheme="minorEastAsia"/>
          <w:b/>
          <w:sz w:val="24"/>
          <w:highlight w:val="none"/>
        </w:rPr>
      </w:pPr>
    </w:p>
    <w:p>
      <w:pPr>
        <w:widowControl/>
        <w:jc w:val="both"/>
        <w:rPr>
          <w:rFonts w:asciiTheme="minorEastAsia" w:hAnsiTheme="minorEastAsia" w:eastAsiaTheme="minorEastAsia"/>
          <w:szCs w:val="21"/>
          <w:highlight w:val="none"/>
        </w:rPr>
      </w:pPr>
    </w:p>
    <w:p>
      <w:pPr>
        <w:pStyle w:val="2"/>
        <w:rPr>
          <w:rFonts w:asciiTheme="minorEastAsia" w:hAnsiTheme="minorEastAsia" w:eastAsiaTheme="minorEastAsia"/>
          <w:szCs w:val="21"/>
          <w:highlight w:val="none"/>
        </w:rPr>
      </w:pPr>
    </w:p>
    <w:p>
      <w:pPr>
        <w:rPr>
          <w:highlight w:val="none"/>
        </w:rPr>
      </w:pPr>
    </w:p>
    <w:p>
      <w:pPr>
        <w:widowControl/>
        <w:spacing w:line="240" w:lineRule="auto"/>
        <w:rPr>
          <w:rFonts w:asciiTheme="minorEastAsia" w:hAnsiTheme="minorEastAsia" w:eastAsiaTheme="minorEastAsia"/>
          <w:szCs w:val="21"/>
          <w:highlight w:val="none"/>
        </w:rPr>
      </w:pPr>
      <w:r>
        <w:rPr>
          <w:rFonts w:asciiTheme="minorEastAsia" w:hAnsiTheme="minorEastAsia" w:eastAsiaTheme="minorEastAsia"/>
          <w:szCs w:val="21"/>
          <w:highlight w:val="none"/>
        </w:rPr>
        <w:br w:type="page"/>
      </w:r>
    </w:p>
    <w:p>
      <w:pPr>
        <w:widowControl/>
        <w:spacing w:line="240" w:lineRule="auto"/>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附件4：维保协议</w:t>
      </w:r>
    </w:p>
    <w:p>
      <w:pPr>
        <w:widowControl/>
        <w:jc w:val="center"/>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t>维保协议</w:t>
      </w:r>
    </w:p>
    <w:p>
      <w:pPr>
        <w:widowControl/>
        <w:snapToGrid w:val="0"/>
        <w:jc w:val="center"/>
        <w:rPr>
          <w:rFonts w:asciiTheme="minorEastAsia" w:hAnsiTheme="minorEastAsia" w:eastAsiaTheme="minorEastAsia"/>
          <w:b/>
          <w:sz w:val="24"/>
          <w:szCs w:val="24"/>
          <w:highlight w:val="none"/>
        </w:rPr>
      </w:pPr>
    </w:p>
    <w:p>
      <w:pPr>
        <w:numPr>
          <w:ilvl w:val="0"/>
          <w:numId w:val="26"/>
        </w:numPr>
        <w:snapToGrid w:val="0"/>
        <w:ind w:left="480" w:hanging="480" w:hangingChars="200"/>
        <w:rPr>
          <w:sz w:val="24"/>
          <w:highlight w:val="none"/>
        </w:rPr>
      </w:pPr>
      <w:r>
        <w:rPr>
          <w:rFonts w:hint="eastAsia"/>
          <w:sz w:val="24"/>
          <w:highlight w:val="none"/>
        </w:rPr>
        <w:t>本合同二次供水加压设备的质量保证期（简称“质保期”）为自设备到货安装调试完毕并最终验收合格之日起，整机质保期为120个月，质保期内，非因操作不当造成要更换的零配件及设备，由意向供应方负责免费包修、包换，其中核心部件水泵予以10年质保（含10年，免费更换），软件终身免费升级。质保期内乙方进行因质量问题零部件免费维修或更换。质保期，乙方应免费提供设备维修及保养服务。该质保期内设备本身质量出现问题或由于设备质量原因造成的任何损伤或损坏，乙方须在甲方书面规定的时间内给予维修或免费更换（如甲方要求更换，则应直接更换）由此引起的施工费、人工费、材料费等一切费用由乙方负责。在此期间内，乙方还应对由于设备质量问题而导致的事故及其损失负责。同一部件出现质量问题出现2次或经甲方通知乙方不予答复的，甲方有权自行决定委托第三方直接维修，因维修所产生的全部费用由甲方直接从质量保证金中扣除。质量保证金不足以抵扣维修或更换费用的，甲方有权对差额部分进行追索。甲方委托第三方进行维修的，只提供第三方出具的正式发票复印件给乙方。</w:t>
      </w:r>
    </w:p>
    <w:p>
      <w:pPr>
        <w:numPr>
          <w:ilvl w:val="0"/>
          <w:numId w:val="26"/>
        </w:numPr>
        <w:snapToGrid w:val="0"/>
        <w:ind w:left="480" w:hanging="480" w:hangingChars="200"/>
        <w:rPr>
          <w:sz w:val="24"/>
          <w:highlight w:val="none"/>
        </w:rPr>
      </w:pPr>
      <w:r>
        <w:rPr>
          <w:rFonts w:hint="eastAsia"/>
          <w:sz w:val="24"/>
          <w:highlight w:val="none"/>
        </w:rPr>
        <w:t>本合同水箱的质量保证期（简称“质保期”）为 贰 年，自安装完毕并经验收合格之日起算。质保期内乙方对所供货物实行包修、包换、包维护保养，期满后可同时提供终身有偿维修保养服务。其他辅助设备质保期为一年。</w:t>
      </w:r>
    </w:p>
    <w:p>
      <w:pPr>
        <w:numPr>
          <w:ilvl w:val="0"/>
          <w:numId w:val="26"/>
        </w:numPr>
        <w:snapToGrid w:val="0"/>
        <w:ind w:left="480" w:hanging="480" w:hangingChars="200"/>
        <w:rPr>
          <w:sz w:val="24"/>
          <w:highlight w:val="none"/>
        </w:rPr>
      </w:pPr>
      <w:r>
        <w:rPr>
          <w:rFonts w:hint="eastAsia"/>
          <w:sz w:val="24"/>
          <w:highlight w:val="none"/>
        </w:rPr>
        <w:t>质保期内在接到甲方的通知后，应在4小时以内赶赴现场，8小时内提供解决方案，24小时内予以更换或维修完毕。否则，乙方应赔偿由此造成甲方的损失，逾期3天以上（含3天）的，甲方有权委托第三方予以解决，由此产生的费用一律由乙方承担,直接从质量保证金中扣除。质量保证金不足以抵扣维修或更换费用的，甲方有权对差额部分进行追索。甲方委托第三方进行维修的，只提供第三方出具的正式发票复印件给乙方。质保期内，所有服务免费（使用方人为故意损坏引起的情形除外）。如发生重大损坏，在设备更换或维修正常工作后相应延长质保期一年。</w:t>
      </w:r>
    </w:p>
    <w:p>
      <w:pPr>
        <w:numPr>
          <w:ilvl w:val="0"/>
          <w:numId w:val="26"/>
        </w:numPr>
        <w:snapToGrid w:val="0"/>
        <w:ind w:left="480" w:hanging="480" w:hangingChars="200"/>
        <w:rPr>
          <w:sz w:val="24"/>
          <w:highlight w:val="none"/>
        </w:rPr>
      </w:pPr>
      <w:r>
        <w:rPr>
          <w:rFonts w:hint="eastAsia"/>
          <w:sz w:val="24"/>
          <w:highlight w:val="none"/>
        </w:rPr>
        <w:t>保修期为十年，如出现故障，不收取除配件以外的任何维保费。配件按市场价下浮10%计算，并保证按时供货。乙方应严格履行服务承诺，若设备出现质量技术等问题，应更换合格的设备，并承担由此引起的延长交付使用的经济责任。</w:t>
      </w:r>
    </w:p>
    <w:p>
      <w:pPr>
        <w:numPr>
          <w:ilvl w:val="0"/>
          <w:numId w:val="26"/>
        </w:numPr>
        <w:snapToGrid w:val="0"/>
        <w:ind w:left="480" w:hanging="480" w:hangingChars="200"/>
        <w:rPr>
          <w:rFonts w:ascii="宋体" w:hAnsi="宋体" w:cs="宋体"/>
          <w:sz w:val="24"/>
          <w:highlight w:val="none"/>
        </w:rPr>
      </w:pPr>
      <w:r>
        <w:rPr>
          <w:rFonts w:hint="eastAsia"/>
          <w:sz w:val="24"/>
          <w:highlight w:val="none"/>
        </w:rPr>
        <w:t>设备安装调试完毕并运行正常，甲方对设备进行的验收，乙方应及时予以配合，如乙方在甲方通知后仍不及时到场配合验收，则视乙方违约，甲方有权要求乙方支付合同金额的 5 %作为违约金，并且甲方有权随时就设备质量提出异议，异议期不受本条第5款质量异议期限制。</w:t>
      </w:r>
    </w:p>
    <w:p>
      <w:pPr>
        <w:numPr>
          <w:ilvl w:val="0"/>
          <w:numId w:val="26"/>
        </w:numPr>
        <w:snapToGrid w:val="0"/>
        <w:ind w:left="480" w:hanging="480" w:hangingChars="200"/>
        <w:rPr>
          <w:rFonts w:ascii="宋体" w:hAnsi="宋体" w:cs="宋体"/>
          <w:sz w:val="24"/>
          <w:highlight w:val="none"/>
        </w:rPr>
      </w:pPr>
      <w:r>
        <w:rPr>
          <w:rFonts w:hint="eastAsia"/>
          <w:sz w:val="24"/>
          <w:highlight w:val="none"/>
        </w:rPr>
        <w:t>乙方设备不符合同约定或质量要求，甲方有权拒收设备或单方解除合同。甲方拒收或者解除合同的，标的物毁损、丢失的风险由乙方承担。</w:t>
      </w:r>
    </w:p>
    <w:p>
      <w:pPr>
        <w:snapToGrid w:val="0"/>
        <w:jc w:val="right"/>
        <w:rPr>
          <w:rFonts w:ascii="宋体" w:hAnsi="宋体" w:cs="宋体"/>
          <w:sz w:val="24"/>
          <w:highlight w:val="none"/>
        </w:rPr>
      </w:pPr>
    </w:p>
    <w:p>
      <w:pPr>
        <w:widowControl/>
        <w:rPr>
          <w:rFonts w:asciiTheme="minorEastAsia" w:hAnsiTheme="minorEastAsia" w:eastAsiaTheme="minorEastAsia"/>
          <w:b/>
          <w:sz w:val="24"/>
          <w:szCs w:val="24"/>
          <w:highlight w:val="none"/>
        </w:rPr>
      </w:pPr>
    </w:p>
    <w:p>
      <w:pPr>
        <w:widowControl/>
        <w:rPr>
          <w:rFonts w:asciiTheme="minorEastAsia" w:hAnsiTheme="minorEastAsia" w:eastAsiaTheme="minorEastAsia"/>
          <w:b/>
          <w:sz w:val="24"/>
          <w:szCs w:val="24"/>
          <w:highlight w:val="none"/>
        </w:rPr>
      </w:pPr>
    </w:p>
    <w:p>
      <w:pPr>
        <w:widowControl/>
        <w:rPr>
          <w:rFonts w:asciiTheme="minorEastAsia" w:hAnsiTheme="minorEastAsia" w:eastAsiaTheme="minorEastAsia"/>
          <w:b/>
          <w:sz w:val="24"/>
          <w:szCs w:val="24"/>
          <w:highlight w:val="none"/>
        </w:rPr>
      </w:pPr>
      <w:r>
        <w:rPr>
          <w:rFonts w:hint="eastAsia" w:asciiTheme="minorEastAsia" w:hAnsiTheme="minorEastAsia" w:eastAsiaTheme="minorEastAsia"/>
          <w:b/>
          <w:sz w:val="24"/>
          <w:szCs w:val="24"/>
          <w:highlight w:val="none"/>
        </w:rPr>
        <w:br w:type="page"/>
      </w:r>
    </w:p>
    <w:p>
      <w:pPr>
        <w:widowControl/>
        <w:outlineLvl w:val="1"/>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附件5：中标通知书</w:t>
      </w:r>
    </w:p>
    <w:p>
      <w:pPr>
        <w:spacing w:line="240" w:lineRule="auto"/>
        <w:rPr>
          <w:rFonts w:ascii="宋体" w:hAnsi="宋体"/>
          <w:b/>
          <w:sz w:val="24"/>
          <w:highlight w:val="none"/>
        </w:rPr>
      </w:pPr>
    </w:p>
    <w:p>
      <w:pPr>
        <w:spacing w:line="240" w:lineRule="auto"/>
        <w:rPr>
          <w:rFonts w:ascii="宋体" w:hAnsi="宋体"/>
          <w:b/>
          <w:sz w:val="24"/>
          <w:highlight w:val="none"/>
        </w:rPr>
      </w:pPr>
    </w:p>
    <w:p>
      <w:pPr>
        <w:spacing w:line="240" w:lineRule="auto"/>
        <w:rPr>
          <w:rFonts w:ascii="宋体" w:hAnsi="宋体"/>
          <w:b/>
          <w:sz w:val="24"/>
          <w:highlight w:val="none"/>
        </w:rPr>
      </w:pPr>
    </w:p>
    <w:p>
      <w:pPr>
        <w:spacing w:line="240" w:lineRule="auto"/>
        <w:rPr>
          <w:rFonts w:ascii="宋体" w:hAnsi="宋体"/>
          <w:b/>
          <w:sz w:val="24"/>
          <w:highlight w:val="none"/>
        </w:rPr>
      </w:pPr>
      <w:r>
        <w:rPr>
          <w:rFonts w:hint="eastAsia" w:ascii="宋体" w:hAnsi="宋体"/>
          <w:b/>
          <w:sz w:val="24"/>
          <w:highlight w:val="none"/>
        </w:rPr>
        <w:br w:type="page"/>
      </w:r>
    </w:p>
    <w:p>
      <w:pPr>
        <w:adjustRightInd w:val="0"/>
        <w:snapToGrid w:val="0"/>
        <w:spacing w:line="276" w:lineRule="auto"/>
        <w:outlineLvl w:val="1"/>
        <w:rPr>
          <w:rFonts w:ascii="宋体" w:hAnsi="宋体"/>
          <w:b/>
          <w:sz w:val="24"/>
          <w:highlight w:val="none"/>
        </w:rPr>
      </w:pPr>
      <w:r>
        <w:rPr>
          <w:rFonts w:hint="eastAsia" w:ascii="宋体" w:hAnsi="宋体"/>
          <w:b/>
          <w:sz w:val="24"/>
          <w:highlight w:val="none"/>
        </w:rPr>
        <w:t>附件6：工程安全生产、文明施工协议书</w:t>
      </w:r>
    </w:p>
    <w:p>
      <w:pPr>
        <w:snapToGrid w:val="0"/>
        <w:ind w:left="734"/>
        <w:jc w:val="center"/>
        <w:rPr>
          <w:highlight w:val="none"/>
        </w:rPr>
      </w:pPr>
      <w:r>
        <w:rPr>
          <w:sz w:val="28"/>
          <w:highlight w:val="none"/>
        </w:rPr>
        <w:t>工程安全生产、文明施工协议书</w:t>
      </w:r>
    </w:p>
    <w:p>
      <w:pPr>
        <w:snapToGrid w:val="0"/>
        <w:ind w:firstLine="480" w:firstLineChars="200"/>
        <w:rPr>
          <w:rFonts w:ascii="宋体" w:hAnsi="宋体"/>
          <w:sz w:val="24"/>
          <w:highlight w:val="none"/>
        </w:rPr>
      </w:pPr>
      <w:r>
        <w:rPr>
          <w:rFonts w:ascii="宋体" w:hAnsi="宋体"/>
          <w:sz w:val="24"/>
          <w:szCs w:val="21"/>
          <w:highlight w:val="none"/>
        </w:rPr>
        <w:t>发包人</w:t>
      </w:r>
      <w:r>
        <w:rPr>
          <w:rFonts w:hint="eastAsia" w:ascii="宋体" w:hAnsi="宋体"/>
          <w:sz w:val="24"/>
          <w:szCs w:val="21"/>
          <w:highlight w:val="none"/>
        </w:rPr>
        <w:t>(甲方）</w:t>
      </w:r>
      <w:r>
        <w:rPr>
          <w:rFonts w:ascii="宋体" w:hAnsi="宋体"/>
          <w:sz w:val="24"/>
          <w:highlight w:val="none"/>
        </w:rPr>
        <w:t>：</w:t>
      </w:r>
      <w:r>
        <w:rPr>
          <w:rFonts w:hint="eastAsia" w:ascii="宋体" w:hAnsi="宋体"/>
          <w:sz w:val="24"/>
          <w:highlight w:val="none"/>
          <w:u w:val="single"/>
        </w:rPr>
        <w:t xml:space="preserve">广州市瑞湾房地产开发有限公司 </w:t>
      </w:r>
    </w:p>
    <w:p>
      <w:pPr>
        <w:snapToGrid w:val="0"/>
        <w:ind w:firstLine="480" w:firstLineChars="200"/>
        <w:rPr>
          <w:rFonts w:ascii="宋体" w:hAnsi="宋体"/>
          <w:sz w:val="24"/>
          <w:highlight w:val="none"/>
          <w:u w:val="single"/>
        </w:rPr>
      </w:pPr>
      <w:r>
        <w:rPr>
          <w:rFonts w:ascii="宋体" w:hAnsi="宋体"/>
          <w:sz w:val="24"/>
          <w:szCs w:val="21"/>
          <w:highlight w:val="none"/>
        </w:rPr>
        <w:t>承包人</w:t>
      </w:r>
      <w:r>
        <w:rPr>
          <w:rFonts w:hint="eastAsia" w:ascii="宋体" w:hAnsi="宋体"/>
          <w:sz w:val="24"/>
          <w:szCs w:val="21"/>
          <w:highlight w:val="none"/>
        </w:rPr>
        <w:t>(乙方）：</w:t>
      </w:r>
      <w:r>
        <w:rPr>
          <w:rFonts w:hint="eastAsia" w:ascii="宋体" w:hAnsi="宋体"/>
          <w:sz w:val="24"/>
          <w:highlight w:val="none"/>
          <w:u w:val="single"/>
        </w:rPr>
        <w:t xml:space="preserve">   </w:t>
      </w:r>
    </w:p>
    <w:p>
      <w:pPr>
        <w:snapToGrid w:val="0"/>
        <w:ind w:firstLine="480" w:firstLineChars="200"/>
        <w:rPr>
          <w:rFonts w:ascii="宋体" w:hAnsi="宋体"/>
          <w:sz w:val="24"/>
          <w:highlight w:val="none"/>
        </w:rPr>
      </w:pPr>
      <w:r>
        <w:rPr>
          <w:rFonts w:ascii="宋体" w:hAnsi="宋体"/>
          <w:sz w:val="24"/>
          <w:szCs w:val="21"/>
          <w:highlight w:val="none"/>
        </w:rPr>
        <w:t>工程</w:t>
      </w:r>
      <w:r>
        <w:rPr>
          <w:rFonts w:ascii="宋体" w:hAnsi="宋体"/>
          <w:sz w:val="24"/>
          <w:highlight w:val="none"/>
        </w:rPr>
        <w:t>名称：</w:t>
      </w:r>
      <w:r>
        <w:rPr>
          <w:rFonts w:hint="eastAsia" w:ascii="宋体" w:hAnsi="宋体"/>
          <w:sz w:val="24"/>
          <w:highlight w:val="none"/>
          <w:u w:val="single"/>
        </w:rPr>
        <w:t xml:space="preserve">   </w:t>
      </w:r>
    </w:p>
    <w:p>
      <w:pPr>
        <w:snapToGrid w:val="0"/>
        <w:ind w:firstLine="480" w:firstLineChars="200"/>
        <w:rPr>
          <w:rFonts w:ascii="宋体" w:hAnsi="宋体"/>
          <w:sz w:val="24"/>
          <w:szCs w:val="21"/>
          <w:highlight w:val="none"/>
        </w:rPr>
      </w:pPr>
      <w:r>
        <w:rPr>
          <w:rFonts w:ascii="宋体" w:hAnsi="宋体"/>
          <w:sz w:val="24"/>
          <w:szCs w:val="21"/>
          <w:highlight w:val="none"/>
        </w:rPr>
        <w:t>为贯彻“安全第一，预防为主，</w:t>
      </w:r>
      <w:r>
        <w:rPr>
          <w:rFonts w:hint="eastAsia" w:ascii="宋体" w:hAnsi="宋体"/>
          <w:sz w:val="24"/>
          <w:szCs w:val="21"/>
          <w:highlight w:val="none"/>
        </w:rPr>
        <w:t>综合</w:t>
      </w:r>
      <w:r>
        <w:rPr>
          <w:rFonts w:ascii="宋体" w:hAnsi="宋体"/>
          <w:sz w:val="24"/>
          <w:szCs w:val="21"/>
          <w:highlight w:val="none"/>
        </w:rPr>
        <w:t>治理”、“百年大计，质量第一"的方针，努力提高安全管理水平，根据《中华人民共和国安全生产法》，结合本工程具体情况，为确保该工程的施工安全，甲乙双方协商一致，特制定本协议书。</w:t>
      </w:r>
    </w:p>
    <w:p>
      <w:pPr>
        <w:snapToGrid w:val="0"/>
        <w:ind w:firstLine="482" w:firstLineChars="200"/>
        <w:rPr>
          <w:rFonts w:ascii="宋体" w:hAnsi="宋体"/>
          <w:b/>
          <w:sz w:val="24"/>
          <w:szCs w:val="21"/>
          <w:highlight w:val="none"/>
        </w:rPr>
      </w:pPr>
      <w:r>
        <w:rPr>
          <w:rFonts w:hint="eastAsia" w:ascii="宋体" w:hAnsi="宋体"/>
          <w:b/>
          <w:sz w:val="24"/>
          <w:szCs w:val="21"/>
          <w:highlight w:val="none"/>
        </w:rPr>
        <w:t>一、</w:t>
      </w:r>
      <w:r>
        <w:rPr>
          <w:rFonts w:ascii="宋体" w:hAnsi="宋体"/>
          <w:b/>
          <w:sz w:val="24"/>
          <w:szCs w:val="21"/>
          <w:highlight w:val="none"/>
        </w:rPr>
        <w:t>安全生产、文明施工</w:t>
      </w:r>
      <w:r>
        <w:rPr>
          <w:rFonts w:hint="eastAsia" w:ascii="宋体" w:hAnsi="宋体"/>
          <w:b/>
          <w:sz w:val="24"/>
          <w:szCs w:val="21"/>
          <w:highlight w:val="none"/>
        </w:rPr>
        <w:t>目标</w:t>
      </w:r>
    </w:p>
    <w:p>
      <w:pPr>
        <w:snapToGrid w:val="0"/>
        <w:ind w:firstLine="480" w:firstLineChars="200"/>
        <w:rPr>
          <w:rFonts w:ascii="宋体" w:hAnsi="宋体"/>
          <w:sz w:val="24"/>
          <w:szCs w:val="21"/>
          <w:highlight w:val="none"/>
        </w:rPr>
      </w:pPr>
      <w:r>
        <w:rPr>
          <w:rFonts w:ascii="宋体" w:hAnsi="宋体"/>
          <w:sz w:val="24"/>
          <w:szCs w:val="21"/>
          <w:highlight w:val="none"/>
        </w:rPr>
        <w:t>1.不发生</w:t>
      </w:r>
      <w:r>
        <w:rPr>
          <w:rFonts w:hint="eastAsia" w:ascii="宋体" w:hAnsi="宋体"/>
          <w:sz w:val="24"/>
          <w:szCs w:val="21"/>
          <w:highlight w:val="none"/>
        </w:rPr>
        <w:t>轻</w:t>
      </w:r>
      <w:r>
        <w:rPr>
          <w:rFonts w:ascii="宋体" w:hAnsi="宋体"/>
          <w:sz w:val="24"/>
          <w:szCs w:val="21"/>
          <w:highlight w:val="none"/>
        </w:rPr>
        <w:t>伤及以上人身伤害事故</w:t>
      </w:r>
      <w:r>
        <w:rPr>
          <w:rFonts w:hint="eastAsia" w:ascii="宋体" w:hAnsi="宋体"/>
          <w:sz w:val="24"/>
          <w:szCs w:val="21"/>
          <w:highlight w:val="none"/>
        </w:rPr>
        <w:t>；</w:t>
      </w:r>
    </w:p>
    <w:p>
      <w:pPr>
        <w:snapToGrid w:val="0"/>
        <w:ind w:firstLine="480" w:firstLineChars="200"/>
        <w:rPr>
          <w:rFonts w:ascii="宋体" w:hAnsi="宋体"/>
          <w:sz w:val="24"/>
          <w:szCs w:val="21"/>
          <w:highlight w:val="none"/>
        </w:rPr>
      </w:pPr>
      <w:r>
        <w:rPr>
          <w:rFonts w:hint="eastAsia" w:ascii="宋体" w:hAnsi="宋体"/>
          <w:sz w:val="24"/>
          <w:szCs w:val="21"/>
          <w:highlight w:val="none"/>
        </w:rPr>
        <w:t>2.</w:t>
      </w:r>
      <w:r>
        <w:rPr>
          <w:rFonts w:ascii="宋体" w:hAnsi="宋体"/>
          <w:sz w:val="24"/>
          <w:szCs w:val="21"/>
          <w:highlight w:val="none"/>
        </w:rPr>
        <w:t>不发生设备损坏事故</w:t>
      </w:r>
      <w:r>
        <w:rPr>
          <w:rFonts w:hint="eastAsia" w:ascii="宋体" w:hAnsi="宋体"/>
          <w:sz w:val="24"/>
          <w:szCs w:val="21"/>
          <w:highlight w:val="none"/>
        </w:rPr>
        <w:t>；</w:t>
      </w:r>
    </w:p>
    <w:p>
      <w:pPr>
        <w:snapToGrid w:val="0"/>
        <w:ind w:firstLine="480" w:firstLineChars="200"/>
        <w:rPr>
          <w:rFonts w:ascii="宋体" w:hAnsi="宋体"/>
          <w:sz w:val="24"/>
          <w:szCs w:val="21"/>
          <w:highlight w:val="none"/>
        </w:rPr>
      </w:pPr>
      <w:r>
        <w:rPr>
          <w:rFonts w:hint="eastAsia" w:ascii="宋体" w:hAnsi="宋体"/>
          <w:sz w:val="24"/>
          <w:szCs w:val="21"/>
          <w:highlight w:val="none"/>
        </w:rPr>
        <w:t>3.</w:t>
      </w:r>
      <w:r>
        <w:rPr>
          <w:rFonts w:ascii="宋体" w:hAnsi="宋体"/>
          <w:sz w:val="24"/>
          <w:szCs w:val="21"/>
          <w:highlight w:val="none"/>
        </w:rPr>
        <w:t>不发生火灾</w:t>
      </w:r>
      <w:r>
        <w:rPr>
          <w:rFonts w:hint="eastAsia" w:ascii="宋体" w:hAnsi="宋体"/>
          <w:sz w:val="24"/>
          <w:szCs w:val="21"/>
          <w:highlight w:val="none"/>
        </w:rPr>
        <w:t>；</w:t>
      </w:r>
    </w:p>
    <w:p>
      <w:pPr>
        <w:snapToGrid w:val="0"/>
        <w:ind w:firstLine="480" w:firstLineChars="200"/>
        <w:rPr>
          <w:rFonts w:ascii="宋体" w:hAnsi="宋体"/>
          <w:sz w:val="24"/>
          <w:szCs w:val="21"/>
          <w:highlight w:val="none"/>
        </w:rPr>
      </w:pPr>
      <w:r>
        <w:rPr>
          <w:rFonts w:ascii="宋体" w:hAnsi="宋体"/>
          <w:sz w:val="24"/>
          <w:szCs w:val="21"/>
          <w:highlight w:val="none"/>
        </w:rPr>
        <w:t>4</w:t>
      </w:r>
      <w:r>
        <w:rPr>
          <w:rFonts w:hint="eastAsia" w:ascii="宋体" w:hAnsi="宋体"/>
          <w:sz w:val="24"/>
          <w:szCs w:val="21"/>
          <w:highlight w:val="none"/>
        </w:rPr>
        <w:t>.</w:t>
      </w:r>
      <w:r>
        <w:rPr>
          <w:rFonts w:ascii="宋体" w:hAnsi="宋体"/>
          <w:sz w:val="24"/>
          <w:szCs w:val="21"/>
          <w:highlight w:val="none"/>
        </w:rPr>
        <w:t>不发生环境污染事件</w:t>
      </w:r>
      <w:r>
        <w:rPr>
          <w:rFonts w:hint="eastAsia" w:ascii="宋体" w:hAnsi="宋体"/>
          <w:sz w:val="24"/>
          <w:szCs w:val="21"/>
          <w:highlight w:val="none"/>
        </w:rPr>
        <w:t>；</w:t>
      </w:r>
    </w:p>
    <w:p>
      <w:pPr>
        <w:snapToGrid w:val="0"/>
        <w:ind w:firstLine="480" w:firstLineChars="200"/>
        <w:rPr>
          <w:rFonts w:ascii="宋体" w:hAnsi="宋体"/>
          <w:sz w:val="24"/>
          <w:szCs w:val="21"/>
          <w:highlight w:val="none"/>
        </w:rPr>
      </w:pPr>
      <w:r>
        <w:rPr>
          <w:rFonts w:hint="eastAsia" w:ascii="宋体" w:hAnsi="宋体"/>
          <w:sz w:val="24"/>
          <w:szCs w:val="21"/>
          <w:highlight w:val="none"/>
        </w:rPr>
        <w:t>5.</w:t>
      </w:r>
      <w:r>
        <w:rPr>
          <w:rFonts w:ascii="宋体" w:hAnsi="宋体"/>
          <w:sz w:val="24"/>
          <w:szCs w:val="21"/>
          <w:highlight w:val="none"/>
        </w:rPr>
        <w:t>不发生新增职业病例</w:t>
      </w:r>
      <w:r>
        <w:rPr>
          <w:rFonts w:hint="eastAsia" w:ascii="宋体" w:hAnsi="宋体"/>
          <w:sz w:val="24"/>
          <w:szCs w:val="21"/>
          <w:highlight w:val="none"/>
        </w:rPr>
        <w:t>；</w:t>
      </w:r>
    </w:p>
    <w:p>
      <w:pPr>
        <w:snapToGrid w:val="0"/>
        <w:ind w:firstLine="480" w:firstLineChars="200"/>
        <w:rPr>
          <w:rFonts w:ascii="宋体" w:hAnsi="宋体"/>
          <w:sz w:val="24"/>
          <w:szCs w:val="21"/>
          <w:highlight w:val="none"/>
        </w:rPr>
      </w:pPr>
      <w:r>
        <w:rPr>
          <w:rFonts w:hint="eastAsia" w:ascii="宋体" w:hAnsi="宋体"/>
          <w:sz w:val="24"/>
          <w:szCs w:val="21"/>
          <w:highlight w:val="none"/>
        </w:rPr>
        <w:t>6.</w:t>
      </w:r>
      <w:r>
        <w:rPr>
          <w:rFonts w:ascii="宋体" w:hAnsi="宋体"/>
          <w:sz w:val="24"/>
          <w:szCs w:val="21"/>
          <w:highlight w:val="none"/>
        </w:rPr>
        <w:t>在施工现场范围内不发生交通安全事件</w:t>
      </w:r>
      <w:r>
        <w:rPr>
          <w:rFonts w:hint="eastAsia" w:ascii="宋体" w:hAnsi="宋体"/>
          <w:sz w:val="24"/>
          <w:szCs w:val="21"/>
          <w:highlight w:val="none"/>
        </w:rPr>
        <w:t>；</w:t>
      </w:r>
    </w:p>
    <w:p>
      <w:pPr>
        <w:snapToGrid w:val="0"/>
        <w:ind w:firstLine="480" w:firstLineChars="200"/>
        <w:rPr>
          <w:rFonts w:ascii="宋体" w:hAnsi="宋体"/>
          <w:sz w:val="24"/>
          <w:szCs w:val="21"/>
          <w:highlight w:val="none"/>
        </w:rPr>
      </w:pPr>
      <w:r>
        <w:rPr>
          <w:rFonts w:ascii="宋体" w:hAnsi="宋体"/>
          <w:sz w:val="24"/>
          <w:szCs w:val="21"/>
          <w:highlight w:val="none"/>
        </w:rPr>
        <w:t>7</w:t>
      </w:r>
      <w:r>
        <w:rPr>
          <w:rFonts w:hint="eastAsia" w:ascii="宋体" w:hAnsi="宋体"/>
          <w:sz w:val="24"/>
          <w:szCs w:val="21"/>
          <w:highlight w:val="none"/>
        </w:rPr>
        <w:t>.</w:t>
      </w:r>
      <w:r>
        <w:rPr>
          <w:rFonts w:ascii="宋体" w:hAnsi="宋体"/>
          <w:sz w:val="24"/>
          <w:szCs w:val="21"/>
          <w:highlight w:val="none"/>
        </w:rPr>
        <w:t>杜绝违章指挥</w:t>
      </w:r>
      <w:r>
        <w:rPr>
          <w:rFonts w:hint="eastAsia" w:ascii="宋体" w:hAnsi="宋体"/>
          <w:sz w:val="24"/>
          <w:szCs w:val="21"/>
          <w:highlight w:val="none"/>
        </w:rPr>
        <w:t>、</w:t>
      </w:r>
      <w:r>
        <w:rPr>
          <w:rFonts w:ascii="宋体" w:hAnsi="宋体"/>
          <w:sz w:val="24"/>
          <w:szCs w:val="21"/>
          <w:highlight w:val="none"/>
        </w:rPr>
        <w:t>违章作业情况</w:t>
      </w:r>
      <w:r>
        <w:rPr>
          <w:rFonts w:hint="eastAsia" w:ascii="宋体" w:hAnsi="宋体"/>
          <w:sz w:val="24"/>
          <w:szCs w:val="21"/>
          <w:highlight w:val="none"/>
        </w:rPr>
        <w:t>。</w:t>
      </w:r>
    </w:p>
    <w:p>
      <w:pPr>
        <w:snapToGrid w:val="0"/>
        <w:ind w:firstLine="482" w:firstLineChars="200"/>
        <w:rPr>
          <w:rFonts w:ascii="宋体" w:hAnsi="宋体"/>
          <w:b/>
          <w:sz w:val="24"/>
          <w:szCs w:val="21"/>
          <w:highlight w:val="none"/>
        </w:rPr>
      </w:pPr>
      <w:r>
        <w:rPr>
          <w:rFonts w:hint="eastAsia" w:ascii="宋体" w:hAnsi="宋体"/>
          <w:b/>
          <w:sz w:val="24"/>
          <w:szCs w:val="21"/>
          <w:highlight w:val="none"/>
        </w:rPr>
        <w:t>二、</w:t>
      </w:r>
      <w:r>
        <w:rPr>
          <w:rFonts w:ascii="宋体" w:hAnsi="宋体"/>
          <w:b/>
          <w:sz w:val="24"/>
          <w:szCs w:val="21"/>
          <w:highlight w:val="none"/>
        </w:rPr>
        <w:t>发包人的责任、权利和义务</w:t>
      </w:r>
    </w:p>
    <w:p>
      <w:pPr>
        <w:snapToGrid w:val="0"/>
        <w:ind w:firstLine="480" w:firstLineChars="200"/>
        <w:rPr>
          <w:rFonts w:ascii="宋体" w:hAnsi="宋体"/>
          <w:sz w:val="24"/>
          <w:szCs w:val="21"/>
          <w:highlight w:val="none"/>
        </w:rPr>
      </w:pPr>
      <w:r>
        <w:rPr>
          <w:rFonts w:hint="eastAsia" w:ascii="宋体" w:hAnsi="宋体"/>
          <w:sz w:val="24"/>
          <w:szCs w:val="21"/>
          <w:highlight w:val="none"/>
        </w:rPr>
        <w:t>（一）</w:t>
      </w:r>
      <w:r>
        <w:rPr>
          <w:rFonts w:ascii="宋体" w:hAnsi="宋体"/>
          <w:sz w:val="24"/>
          <w:szCs w:val="21"/>
          <w:highlight w:val="none"/>
        </w:rPr>
        <w:t>贯彻执行国家和地方有关安全生产、文明施工、法律法规，支持和监督承包人依法履行安全生产</w:t>
      </w:r>
      <w:r>
        <w:rPr>
          <w:rFonts w:hint="eastAsia" w:ascii="宋体" w:hAnsi="宋体"/>
          <w:sz w:val="24"/>
          <w:szCs w:val="21"/>
          <w:highlight w:val="none"/>
        </w:rPr>
        <w:t>责任</w:t>
      </w:r>
      <w:r>
        <w:rPr>
          <w:rFonts w:ascii="宋体" w:hAnsi="宋体"/>
          <w:sz w:val="24"/>
          <w:szCs w:val="21"/>
          <w:highlight w:val="none"/>
        </w:rPr>
        <w:t>。</w:t>
      </w:r>
    </w:p>
    <w:p>
      <w:pPr>
        <w:snapToGrid w:val="0"/>
        <w:ind w:firstLine="480" w:firstLineChars="200"/>
        <w:rPr>
          <w:rFonts w:ascii="宋体" w:hAnsi="宋体"/>
          <w:sz w:val="24"/>
          <w:szCs w:val="21"/>
          <w:highlight w:val="none"/>
        </w:rPr>
      </w:pPr>
      <w:r>
        <w:rPr>
          <w:rFonts w:hint="eastAsia" w:ascii="宋体" w:hAnsi="宋体"/>
          <w:sz w:val="24"/>
          <w:szCs w:val="21"/>
          <w:highlight w:val="none"/>
        </w:rPr>
        <w:t>（二）</w:t>
      </w:r>
      <w:r>
        <w:rPr>
          <w:rFonts w:ascii="宋体" w:hAnsi="宋体"/>
          <w:sz w:val="24"/>
          <w:szCs w:val="21"/>
          <w:highlight w:val="none"/>
        </w:rPr>
        <w:t>定期或不定期组织检查承包人安</w:t>
      </w:r>
      <w:r>
        <w:rPr>
          <w:rFonts w:hint="eastAsia" w:ascii="宋体" w:hAnsi="宋体"/>
          <w:sz w:val="24"/>
          <w:szCs w:val="21"/>
          <w:highlight w:val="none"/>
        </w:rPr>
        <w:t>全</w:t>
      </w:r>
      <w:r>
        <w:rPr>
          <w:rFonts w:ascii="宋体" w:hAnsi="宋体"/>
          <w:sz w:val="24"/>
          <w:szCs w:val="21"/>
          <w:highlight w:val="none"/>
        </w:rPr>
        <w:t>生产、文明施工状况，提出对存在隐患的整改措施，对存在的重大安全隐患或承包人对一般隐患整改不力，发包人有权责令承包人停工整改，直至隐患排除。</w:t>
      </w:r>
    </w:p>
    <w:p>
      <w:pPr>
        <w:snapToGrid w:val="0"/>
        <w:ind w:firstLine="482" w:firstLineChars="200"/>
        <w:rPr>
          <w:rFonts w:ascii="宋体" w:hAnsi="宋体"/>
          <w:b/>
          <w:sz w:val="24"/>
          <w:szCs w:val="21"/>
          <w:highlight w:val="none"/>
        </w:rPr>
      </w:pPr>
      <w:r>
        <w:rPr>
          <w:rFonts w:hint="eastAsia" w:ascii="宋体" w:hAnsi="宋体"/>
          <w:b/>
          <w:sz w:val="24"/>
          <w:szCs w:val="21"/>
          <w:highlight w:val="none"/>
        </w:rPr>
        <w:t>三、</w:t>
      </w:r>
      <w:r>
        <w:rPr>
          <w:rFonts w:ascii="宋体" w:hAnsi="宋体"/>
          <w:b/>
          <w:sz w:val="24"/>
          <w:szCs w:val="21"/>
          <w:highlight w:val="none"/>
        </w:rPr>
        <w:t>承包人的责任、权利和义务</w:t>
      </w:r>
    </w:p>
    <w:p>
      <w:pPr>
        <w:snapToGrid w:val="0"/>
        <w:ind w:firstLine="480" w:firstLineChars="200"/>
        <w:rPr>
          <w:rFonts w:ascii="宋体" w:hAnsi="宋体"/>
          <w:sz w:val="24"/>
          <w:szCs w:val="21"/>
          <w:highlight w:val="none"/>
        </w:rPr>
      </w:pPr>
      <w:r>
        <w:rPr>
          <w:rFonts w:hint="eastAsia" w:ascii="宋体" w:hAnsi="宋体"/>
          <w:sz w:val="24"/>
          <w:szCs w:val="21"/>
          <w:highlight w:val="none"/>
        </w:rPr>
        <w:t>（一）</w:t>
      </w:r>
      <w:r>
        <w:rPr>
          <w:rFonts w:ascii="宋体" w:hAnsi="宋体"/>
          <w:sz w:val="24"/>
          <w:szCs w:val="21"/>
          <w:highlight w:val="none"/>
        </w:rPr>
        <w:t>承包人</w:t>
      </w:r>
      <w:r>
        <w:rPr>
          <w:rFonts w:hint="eastAsia" w:ascii="宋体" w:hAnsi="宋体"/>
          <w:sz w:val="24"/>
          <w:szCs w:val="21"/>
          <w:highlight w:val="none"/>
        </w:rPr>
        <w:t>应</w:t>
      </w:r>
      <w:r>
        <w:rPr>
          <w:rFonts w:ascii="宋体" w:hAnsi="宋体"/>
          <w:sz w:val="24"/>
          <w:szCs w:val="21"/>
          <w:highlight w:val="none"/>
        </w:rPr>
        <w:t>当具备《安全生产法》和有关法律、行政法规和国家标准规定的安全生产条件，不具备安</w:t>
      </w:r>
      <w:r>
        <w:rPr>
          <w:rFonts w:hint="eastAsia" w:ascii="宋体" w:hAnsi="宋体"/>
          <w:sz w:val="24"/>
          <w:szCs w:val="21"/>
          <w:highlight w:val="none"/>
        </w:rPr>
        <w:t>全生产</w:t>
      </w:r>
      <w:r>
        <w:rPr>
          <w:rFonts w:ascii="宋体" w:hAnsi="宋体"/>
          <w:sz w:val="24"/>
          <w:szCs w:val="21"/>
          <w:highlight w:val="none"/>
        </w:rPr>
        <w:t>条件的不得进行施工作业。</w:t>
      </w:r>
    </w:p>
    <w:p>
      <w:pPr>
        <w:snapToGrid w:val="0"/>
        <w:ind w:firstLine="480" w:firstLineChars="200"/>
        <w:rPr>
          <w:rFonts w:ascii="宋体" w:hAnsi="宋体"/>
          <w:sz w:val="24"/>
          <w:szCs w:val="21"/>
          <w:highlight w:val="none"/>
        </w:rPr>
      </w:pPr>
      <w:r>
        <w:rPr>
          <w:rFonts w:hint="eastAsia" w:ascii="宋体" w:hAnsi="宋体"/>
          <w:sz w:val="24"/>
          <w:szCs w:val="21"/>
          <w:highlight w:val="none"/>
        </w:rPr>
        <w:t>（二）</w:t>
      </w:r>
      <w:r>
        <w:rPr>
          <w:rFonts w:ascii="宋体" w:hAnsi="宋体"/>
          <w:sz w:val="24"/>
          <w:szCs w:val="21"/>
          <w:highlight w:val="none"/>
        </w:rPr>
        <w:t>严格</w:t>
      </w:r>
      <w:r>
        <w:rPr>
          <w:rFonts w:hint="eastAsia" w:ascii="宋体" w:hAnsi="宋体"/>
          <w:sz w:val="24"/>
          <w:szCs w:val="21"/>
          <w:highlight w:val="none"/>
        </w:rPr>
        <w:t>执</w:t>
      </w:r>
      <w:r>
        <w:rPr>
          <w:rFonts w:ascii="宋体" w:hAnsi="宋体"/>
          <w:sz w:val="24"/>
          <w:szCs w:val="21"/>
          <w:highlight w:val="none"/>
        </w:rPr>
        <w:t>行国家和地方有关安全生产、文明施工法律法规，并接受发包人和政府相关部门的检查考核。</w:t>
      </w:r>
    </w:p>
    <w:p>
      <w:pPr>
        <w:snapToGrid w:val="0"/>
        <w:ind w:firstLine="480" w:firstLineChars="200"/>
        <w:rPr>
          <w:rFonts w:ascii="宋体" w:hAnsi="宋体"/>
          <w:sz w:val="24"/>
          <w:szCs w:val="21"/>
          <w:highlight w:val="none"/>
        </w:rPr>
      </w:pPr>
      <w:r>
        <w:rPr>
          <w:rFonts w:hint="eastAsia" w:ascii="宋体" w:hAnsi="宋体"/>
          <w:sz w:val="24"/>
          <w:szCs w:val="21"/>
          <w:highlight w:val="none"/>
        </w:rPr>
        <w:t>（三）</w:t>
      </w:r>
      <w:r>
        <w:rPr>
          <w:rFonts w:ascii="宋体" w:hAnsi="宋体"/>
          <w:sz w:val="24"/>
          <w:szCs w:val="21"/>
          <w:highlight w:val="none"/>
        </w:rPr>
        <w:t>建立、健全本工程安全生产责任制，制定安全生产规章制度和操作规程。</w:t>
      </w:r>
    </w:p>
    <w:p>
      <w:pPr>
        <w:snapToGrid w:val="0"/>
        <w:ind w:firstLine="480" w:firstLineChars="200"/>
        <w:rPr>
          <w:rFonts w:ascii="宋体" w:hAnsi="宋体"/>
          <w:sz w:val="24"/>
          <w:szCs w:val="21"/>
          <w:highlight w:val="none"/>
        </w:rPr>
      </w:pPr>
      <w:r>
        <w:rPr>
          <w:rFonts w:hint="eastAsia" w:ascii="宋体" w:hAnsi="宋体"/>
          <w:sz w:val="24"/>
          <w:szCs w:val="21"/>
          <w:highlight w:val="none"/>
        </w:rPr>
        <w:t>（四）</w:t>
      </w:r>
      <w:r>
        <w:rPr>
          <w:rFonts w:ascii="宋体" w:hAnsi="宋体"/>
          <w:sz w:val="24"/>
          <w:szCs w:val="21"/>
          <w:highlight w:val="none"/>
        </w:rPr>
        <w:t>督促、检查本工程的安全生产工作，及时消除安全事故隐患。</w:t>
      </w:r>
    </w:p>
    <w:p>
      <w:pPr>
        <w:snapToGrid w:val="0"/>
        <w:ind w:firstLine="480" w:firstLineChars="200"/>
        <w:rPr>
          <w:rFonts w:ascii="宋体" w:hAnsi="宋体"/>
          <w:sz w:val="24"/>
          <w:szCs w:val="21"/>
          <w:highlight w:val="none"/>
        </w:rPr>
      </w:pPr>
      <w:r>
        <w:rPr>
          <w:rFonts w:hint="eastAsia" w:ascii="宋体" w:hAnsi="宋体"/>
          <w:sz w:val="24"/>
          <w:szCs w:val="21"/>
          <w:highlight w:val="none"/>
        </w:rPr>
        <w:t>（五）</w:t>
      </w:r>
      <w:r>
        <w:rPr>
          <w:rFonts w:ascii="宋体" w:hAnsi="宋体"/>
          <w:sz w:val="24"/>
          <w:szCs w:val="21"/>
          <w:highlight w:val="none"/>
        </w:rPr>
        <w:t>必须建立和健全事故应急救援机制，根据本工程项目特点，制定事故应急救援预案。</w:t>
      </w:r>
    </w:p>
    <w:p>
      <w:pPr>
        <w:snapToGrid w:val="0"/>
        <w:ind w:firstLine="480" w:firstLineChars="200"/>
        <w:rPr>
          <w:rFonts w:ascii="宋体" w:hAnsi="宋体"/>
          <w:sz w:val="24"/>
          <w:szCs w:val="21"/>
          <w:highlight w:val="none"/>
        </w:rPr>
      </w:pPr>
      <w:r>
        <w:rPr>
          <w:rFonts w:hint="eastAsia" w:ascii="宋体" w:hAnsi="宋体"/>
          <w:sz w:val="24"/>
          <w:szCs w:val="21"/>
          <w:highlight w:val="none"/>
        </w:rPr>
        <w:t>（六）负责审核所辖的专业、劳务分包单位的单位资质、安全生产许可证等法律法规要求的安全施工相关证书，以及从业人员安全相关资格、证书，并将资料报发包人委托的监理公司或发包人审核、备案。</w:t>
      </w:r>
    </w:p>
    <w:p>
      <w:pPr>
        <w:snapToGrid w:val="0"/>
        <w:ind w:firstLine="480" w:firstLineChars="200"/>
        <w:rPr>
          <w:rFonts w:ascii="宋体" w:hAnsi="宋体"/>
          <w:sz w:val="24"/>
          <w:szCs w:val="21"/>
          <w:highlight w:val="none"/>
        </w:rPr>
      </w:pPr>
      <w:r>
        <w:rPr>
          <w:rFonts w:hint="eastAsia" w:ascii="宋体" w:hAnsi="宋体"/>
          <w:sz w:val="24"/>
          <w:szCs w:val="21"/>
          <w:highlight w:val="none"/>
        </w:rPr>
        <w:t>（七）</w:t>
      </w:r>
      <w:r>
        <w:rPr>
          <w:rFonts w:ascii="宋体" w:hAnsi="宋体"/>
          <w:sz w:val="24"/>
          <w:szCs w:val="21"/>
          <w:highlight w:val="none"/>
        </w:rPr>
        <w:t>保证对具备安全生产条件所必需资金的投入，并对由于安全生产所必须的资金投入不足而导致的后果承担全部责任。</w:t>
      </w:r>
    </w:p>
    <w:p>
      <w:pPr>
        <w:snapToGrid w:val="0"/>
        <w:ind w:firstLine="480" w:firstLineChars="200"/>
        <w:rPr>
          <w:rFonts w:ascii="宋体" w:hAnsi="宋体"/>
          <w:sz w:val="24"/>
          <w:szCs w:val="21"/>
          <w:highlight w:val="none"/>
        </w:rPr>
      </w:pPr>
      <w:r>
        <w:rPr>
          <w:rFonts w:hint="eastAsia" w:ascii="宋体" w:hAnsi="宋体"/>
          <w:sz w:val="24"/>
          <w:szCs w:val="21"/>
          <w:highlight w:val="none"/>
        </w:rPr>
        <w:t>（八）</w:t>
      </w:r>
      <w:r>
        <w:rPr>
          <w:rFonts w:ascii="宋体" w:hAnsi="宋体"/>
          <w:sz w:val="24"/>
          <w:szCs w:val="21"/>
          <w:highlight w:val="none"/>
        </w:rPr>
        <w:t>承包人按照国家规定配备专职或兼职的安全管理人员。</w:t>
      </w:r>
    </w:p>
    <w:p>
      <w:pPr>
        <w:snapToGrid w:val="0"/>
        <w:ind w:firstLine="480" w:firstLineChars="200"/>
        <w:rPr>
          <w:rFonts w:ascii="宋体" w:hAnsi="宋体"/>
          <w:sz w:val="24"/>
          <w:szCs w:val="21"/>
          <w:highlight w:val="none"/>
        </w:rPr>
      </w:pPr>
      <w:r>
        <w:rPr>
          <w:rFonts w:hint="eastAsia" w:ascii="宋体" w:hAnsi="宋体"/>
          <w:sz w:val="24"/>
          <w:szCs w:val="21"/>
          <w:highlight w:val="none"/>
        </w:rPr>
        <w:t>（九）</w:t>
      </w:r>
      <w:r>
        <w:rPr>
          <w:rFonts w:ascii="宋体" w:hAnsi="宋体"/>
          <w:sz w:val="24"/>
          <w:szCs w:val="21"/>
          <w:highlight w:val="none"/>
        </w:rPr>
        <w:t>承包人主要负责人和安全生产管理人员必须具备与本工程项目相适应的安全生产知识和管理能力，并经专门培训考核合格后方可上岗。</w:t>
      </w:r>
    </w:p>
    <w:p>
      <w:pPr>
        <w:snapToGrid w:val="0"/>
        <w:ind w:firstLine="480" w:firstLineChars="200"/>
        <w:rPr>
          <w:rFonts w:ascii="宋体" w:hAnsi="宋体"/>
          <w:sz w:val="24"/>
          <w:szCs w:val="21"/>
          <w:highlight w:val="none"/>
        </w:rPr>
      </w:pPr>
      <w:r>
        <w:rPr>
          <w:rFonts w:hint="eastAsia" w:ascii="宋体" w:hAnsi="宋体"/>
          <w:sz w:val="24"/>
          <w:szCs w:val="21"/>
          <w:highlight w:val="none"/>
        </w:rPr>
        <w:t>（十）</w:t>
      </w:r>
      <w:r>
        <w:rPr>
          <w:rFonts w:ascii="宋体" w:hAnsi="宋体"/>
          <w:sz w:val="24"/>
          <w:szCs w:val="21"/>
          <w:highlight w:val="none"/>
        </w:rPr>
        <w:t>根据《安全生产法》的规定，承包人应对从业人员进行安全教育和</w:t>
      </w:r>
      <w:r>
        <w:rPr>
          <w:rFonts w:hint="eastAsia" w:ascii="宋体" w:hAnsi="宋体"/>
          <w:sz w:val="24"/>
          <w:szCs w:val="21"/>
          <w:highlight w:val="none"/>
        </w:rPr>
        <w:t>培训（培训教育记录报报发包人委托的监理公司或发包人备案）</w:t>
      </w:r>
      <w:r>
        <w:rPr>
          <w:rFonts w:ascii="宋体" w:hAnsi="宋体"/>
          <w:sz w:val="24"/>
          <w:szCs w:val="21"/>
          <w:highlight w:val="none"/>
        </w:rPr>
        <w:t>，保证从业人员具备安全生产知识，熟悉安</w:t>
      </w:r>
      <w:r>
        <w:rPr>
          <w:rFonts w:hint="eastAsia" w:ascii="宋体" w:hAnsi="宋体"/>
          <w:sz w:val="24"/>
          <w:szCs w:val="21"/>
          <w:highlight w:val="none"/>
        </w:rPr>
        <w:t>全</w:t>
      </w:r>
      <w:r>
        <w:rPr>
          <w:rFonts w:ascii="宋体" w:hAnsi="宋体"/>
          <w:sz w:val="24"/>
          <w:szCs w:val="21"/>
          <w:highlight w:val="none"/>
        </w:rPr>
        <w:t>生产规章制度和安全操作规程，掌握本岗位的安全操作技能，未经安全生产教育培训合格的人员不得上岗作业。对于从事电气、起重、建筑登高架设作业、压力容器、焊接、机动车</w:t>
      </w:r>
      <w:r>
        <w:rPr>
          <w:rFonts w:hint="eastAsia" w:ascii="宋体" w:hAnsi="宋体"/>
          <w:sz w:val="24"/>
          <w:szCs w:val="21"/>
          <w:highlight w:val="none"/>
        </w:rPr>
        <w:t>驾驶、</w:t>
      </w:r>
      <w:r>
        <w:rPr>
          <w:rFonts w:ascii="宋体" w:hAnsi="宋体"/>
          <w:sz w:val="24"/>
          <w:szCs w:val="21"/>
          <w:highlight w:val="none"/>
        </w:rPr>
        <w:t>船艇</w:t>
      </w:r>
      <w:r>
        <w:rPr>
          <w:rFonts w:hint="eastAsia" w:ascii="宋体" w:hAnsi="宋体"/>
          <w:sz w:val="24"/>
          <w:szCs w:val="21"/>
          <w:highlight w:val="none"/>
        </w:rPr>
        <w:t>驾驶</w:t>
      </w:r>
      <w:r>
        <w:rPr>
          <w:rFonts w:ascii="宋体" w:hAnsi="宋体"/>
          <w:sz w:val="24"/>
          <w:szCs w:val="21"/>
          <w:highlight w:val="none"/>
        </w:rPr>
        <w:t>、爆破、潜水等特殊工种的人员，经专业培训</w:t>
      </w:r>
      <w:r>
        <w:rPr>
          <w:rFonts w:hint="eastAsia" w:ascii="宋体" w:hAnsi="宋体"/>
          <w:sz w:val="24"/>
          <w:szCs w:val="21"/>
          <w:highlight w:val="none"/>
        </w:rPr>
        <w:t>合格</w:t>
      </w:r>
      <w:r>
        <w:rPr>
          <w:rFonts w:ascii="宋体" w:hAnsi="宋体"/>
          <w:sz w:val="24"/>
          <w:szCs w:val="21"/>
          <w:highlight w:val="none"/>
        </w:rPr>
        <w:t>，获得安全操作合格证后，方准持证上岗。</w:t>
      </w:r>
    </w:p>
    <w:p>
      <w:pPr>
        <w:snapToGrid w:val="0"/>
        <w:ind w:firstLine="480" w:firstLineChars="200"/>
        <w:rPr>
          <w:rFonts w:ascii="宋体" w:hAnsi="宋体"/>
          <w:sz w:val="24"/>
          <w:szCs w:val="21"/>
          <w:highlight w:val="none"/>
        </w:rPr>
      </w:pPr>
      <w:r>
        <w:rPr>
          <w:rFonts w:hint="eastAsia" w:ascii="宋体" w:hAnsi="宋体"/>
          <w:sz w:val="24"/>
          <w:szCs w:val="21"/>
          <w:highlight w:val="none"/>
        </w:rPr>
        <w:t>（十一）</w:t>
      </w:r>
      <w:r>
        <w:rPr>
          <w:rFonts w:ascii="宋体" w:hAnsi="宋体"/>
          <w:sz w:val="24"/>
          <w:szCs w:val="21"/>
          <w:highlight w:val="none"/>
        </w:rPr>
        <w:t>对有较大危险因素的作业场所和有关设施、设备要设置明显的安全警示标志及其相应的安全防护措施。</w:t>
      </w:r>
    </w:p>
    <w:p>
      <w:pPr>
        <w:snapToGrid w:val="0"/>
        <w:ind w:firstLine="480" w:firstLineChars="200"/>
        <w:rPr>
          <w:rFonts w:ascii="宋体" w:hAnsi="宋体"/>
          <w:sz w:val="24"/>
          <w:szCs w:val="21"/>
          <w:highlight w:val="none"/>
        </w:rPr>
      </w:pPr>
      <w:r>
        <w:rPr>
          <w:rFonts w:hint="eastAsia" w:ascii="宋体" w:hAnsi="宋体"/>
          <w:sz w:val="24"/>
          <w:szCs w:val="21"/>
          <w:highlight w:val="none"/>
        </w:rPr>
        <w:t>（十二）</w:t>
      </w:r>
      <w:r>
        <w:rPr>
          <w:rFonts w:ascii="宋体" w:hAnsi="宋体"/>
          <w:sz w:val="24"/>
          <w:szCs w:val="21"/>
          <w:highlight w:val="none"/>
        </w:rPr>
        <w:t>对员工配备相应劳动防护用品，施工负责人和安全检查员应</w:t>
      </w:r>
      <w:r>
        <w:rPr>
          <w:rFonts w:hint="eastAsia" w:ascii="宋体" w:hAnsi="宋体"/>
          <w:sz w:val="24"/>
          <w:szCs w:val="21"/>
          <w:highlight w:val="none"/>
        </w:rPr>
        <w:t>随</w:t>
      </w:r>
      <w:r>
        <w:rPr>
          <w:rFonts w:ascii="宋体" w:hAnsi="宋体"/>
          <w:sz w:val="24"/>
          <w:szCs w:val="21"/>
          <w:highlight w:val="none"/>
        </w:rPr>
        <w:t>时检查劳动防护用品的穿戴情况，</w:t>
      </w:r>
      <w:r>
        <w:rPr>
          <w:rFonts w:hint="eastAsia" w:ascii="宋体" w:hAnsi="宋体"/>
          <w:sz w:val="24"/>
          <w:szCs w:val="21"/>
          <w:highlight w:val="none"/>
        </w:rPr>
        <w:t>未</w:t>
      </w:r>
      <w:r>
        <w:rPr>
          <w:rFonts w:ascii="宋体" w:hAnsi="宋体"/>
          <w:sz w:val="24"/>
          <w:szCs w:val="21"/>
          <w:highlight w:val="none"/>
        </w:rPr>
        <w:t>按规定穿戴防护用品的人员不得上岗。</w:t>
      </w:r>
      <w:r>
        <w:rPr>
          <w:rFonts w:ascii="宋体" w:hAnsi="宋体"/>
          <w:sz w:val="24"/>
          <w:szCs w:val="21"/>
          <w:highlight w:val="none"/>
        </w:rPr>
        <w:drawing>
          <wp:inline distT="0" distB="0" distL="114300" distR="114300">
            <wp:extent cx="4445" cy="4445"/>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4445" cy="4445"/>
                    </a:xfrm>
                    <a:prstGeom prst="rect">
                      <a:avLst/>
                    </a:prstGeom>
                    <a:noFill/>
                    <a:ln>
                      <a:noFill/>
                    </a:ln>
                  </pic:spPr>
                </pic:pic>
              </a:graphicData>
            </a:graphic>
          </wp:inline>
        </w:drawing>
      </w:r>
    </w:p>
    <w:p>
      <w:pPr>
        <w:snapToGrid w:val="0"/>
        <w:ind w:firstLine="480" w:firstLineChars="200"/>
        <w:rPr>
          <w:rFonts w:ascii="宋体" w:hAnsi="宋体"/>
          <w:sz w:val="24"/>
          <w:szCs w:val="21"/>
          <w:highlight w:val="none"/>
        </w:rPr>
      </w:pPr>
      <w:r>
        <w:rPr>
          <w:rFonts w:hint="eastAsia" w:ascii="宋体" w:hAnsi="宋体"/>
          <w:sz w:val="24"/>
          <w:szCs w:val="21"/>
          <w:highlight w:val="none"/>
        </w:rPr>
        <w:t>（十三）</w:t>
      </w:r>
      <w:r>
        <w:rPr>
          <w:highlight w:val="none"/>
        </w:rPr>
        <w:drawing>
          <wp:anchor distT="0" distB="0" distL="114300" distR="114300" simplePos="0" relativeHeight="251661312" behindDoc="0" locked="0" layoutInCell="1" allowOverlap="0">
            <wp:simplePos x="0" y="0"/>
            <wp:positionH relativeFrom="page">
              <wp:posOffset>6884670</wp:posOffset>
            </wp:positionH>
            <wp:positionV relativeFrom="page">
              <wp:posOffset>4243705</wp:posOffset>
            </wp:positionV>
            <wp:extent cx="4445" cy="13970"/>
            <wp:effectExtent l="0" t="0" r="0" b="0"/>
            <wp:wrapSquare wrapText="bothSides"/>
            <wp:docPr id="6" name="Picture 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662"/>
                    <pic:cNvPicPr>
                      <a:picLocks noChangeAspect="1"/>
                    </pic:cNvPicPr>
                  </pic:nvPicPr>
                  <pic:blipFill>
                    <a:blip r:embed="rId12"/>
                    <a:stretch>
                      <a:fillRect/>
                    </a:stretch>
                  </pic:blipFill>
                  <pic:spPr>
                    <a:xfrm>
                      <a:off x="0" y="0"/>
                      <a:ext cx="4445" cy="13970"/>
                    </a:xfrm>
                    <a:prstGeom prst="rect">
                      <a:avLst/>
                    </a:prstGeom>
                    <a:noFill/>
                    <a:ln>
                      <a:noFill/>
                    </a:ln>
                  </pic:spPr>
                </pic:pic>
              </a:graphicData>
            </a:graphic>
          </wp:anchor>
        </w:drawing>
      </w:r>
      <w:r>
        <w:rPr>
          <w:highlight w:val="none"/>
        </w:rPr>
        <w:drawing>
          <wp:anchor distT="0" distB="0" distL="114300" distR="114300" simplePos="0" relativeHeight="251662336" behindDoc="0" locked="0" layoutInCell="1" allowOverlap="0">
            <wp:simplePos x="0" y="0"/>
            <wp:positionH relativeFrom="page">
              <wp:posOffset>6884670</wp:posOffset>
            </wp:positionH>
            <wp:positionV relativeFrom="page">
              <wp:posOffset>7542530</wp:posOffset>
            </wp:positionV>
            <wp:extent cx="4445" cy="8890"/>
            <wp:effectExtent l="0" t="0" r="0" b="0"/>
            <wp:wrapSquare wrapText="bothSides"/>
            <wp:docPr id="7" name="Picture 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665"/>
                    <pic:cNvPicPr>
                      <a:picLocks noChangeAspect="1"/>
                    </pic:cNvPicPr>
                  </pic:nvPicPr>
                  <pic:blipFill>
                    <a:blip r:embed="rId13"/>
                    <a:stretch>
                      <a:fillRect/>
                    </a:stretch>
                  </pic:blipFill>
                  <pic:spPr>
                    <a:xfrm>
                      <a:off x="0" y="0"/>
                      <a:ext cx="4445" cy="8890"/>
                    </a:xfrm>
                    <a:prstGeom prst="rect">
                      <a:avLst/>
                    </a:prstGeom>
                    <a:noFill/>
                    <a:ln>
                      <a:noFill/>
                    </a:ln>
                  </pic:spPr>
                </pic:pic>
              </a:graphicData>
            </a:graphic>
          </wp:anchor>
        </w:drawing>
      </w:r>
      <w:r>
        <w:rPr>
          <w:rFonts w:ascii="宋体" w:hAnsi="宋体"/>
          <w:sz w:val="24"/>
          <w:szCs w:val="21"/>
          <w:highlight w:val="none"/>
        </w:rPr>
        <w:t>发包人和安</w:t>
      </w:r>
      <w:r>
        <w:rPr>
          <w:rFonts w:hint="eastAsia" w:ascii="宋体" w:hAnsi="宋体"/>
          <w:sz w:val="24"/>
          <w:szCs w:val="21"/>
          <w:highlight w:val="none"/>
        </w:rPr>
        <w:t>全</w:t>
      </w:r>
      <w:r>
        <w:rPr>
          <w:rFonts w:ascii="宋体" w:hAnsi="宋体"/>
          <w:sz w:val="24"/>
          <w:szCs w:val="21"/>
          <w:highlight w:val="none"/>
        </w:rPr>
        <w:t>生产监督管理部门进行安全监督检查时，承包人要主动接受</w:t>
      </w:r>
      <w:r>
        <w:rPr>
          <w:rFonts w:ascii="宋体" w:hAnsi="宋体"/>
          <w:sz w:val="24"/>
          <w:szCs w:val="21"/>
          <w:highlight w:val="none"/>
        </w:rPr>
        <w:drawing>
          <wp:inline distT="0" distB="0" distL="114300" distR="114300">
            <wp:extent cx="8890" cy="8890"/>
            <wp:effectExtent l="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8890" cy="8890"/>
                    </a:xfrm>
                    <a:prstGeom prst="rect">
                      <a:avLst/>
                    </a:prstGeom>
                    <a:noFill/>
                    <a:ln>
                      <a:noFill/>
                    </a:ln>
                  </pic:spPr>
                </pic:pic>
              </a:graphicData>
            </a:graphic>
          </wp:inline>
        </w:drawing>
      </w:r>
      <w:r>
        <w:rPr>
          <w:rFonts w:ascii="宋体" w:hAnsi="宋体"/>
          <w:sz w:val="24"/>
          <w:szCs w:val="21"/>
          <w:highlight w:val="none"/>
        </w:rPr>
        <w:t>检查，并积极配合，不得拒绝、阻挠和拖延，并在检查记录上签字确认。</w:t>
      </w:r>
    </w:p>
    <w:p>
      <w:pPr>
        <w:snapToGrid w:val="0"/>
        <w:ind w:firstLine="480" w:firstLineChars="200"/>
        <w:rPr>
          <w:rFonts w:ascii="宋体" w:hAnsi="宋体"/>
          <w:sz w:val="24"/>
          <w:szCs w:val="21"/>
          <w:highlight w:val="none"/>
        </w:rPr>
      </w:pPr>
      <w:r>
        <w:rPr>
          <w:rFonts w:hint="eastAsia" w:ascii="宋体" w:hAnsi="宋体"/>
          <w:sz w:val="24"/>
          <w:szCs w:val="21"/>
          <w:highlight w:val="none"/>
        </w:rPr>
        <w:t>（十四）</w:t>
      </w:r>
      <w:r>
        <w:rPr>
          <w:rFonts w:ascii="宋体" w:hAnsi="宋体"/>
          <w:sz w:val="24"/>
          <w:szCs w:val="21"/>
          <w:highlight w:val="none"/>
        </w:rPr>
        <w:t>每月至少召开一次安全文明生产会议，自查自纠不安全因素及隐患，保证工程顺利进行，会议记录上报发包人备案。</w:t>
      </w:r>
    </w:p>
    <w:p>
      <w:pPr>
        <w:snapToGrid w:val="0"/>
        <w:ind w:firstLine="480" w:firstLineChars="200"/>
        <w:rPr>
          <w:rFonts w:ascii="宋体" w:hAnsi="宋体"/>
          <w:sz w:val="24"/>
          <w:szCs w:val="21"/>
          <w:highlight w:val="none"/>
        </w:rPr>
      </w:pPr>
      <w:r>
        <w:rPr>
          <w:rFonts w:hint="eastAsia" w:ascii="宋体" w:hAnsi="宋体"/>
          <w:sz w:val="24"/>
          <w:szCs w:val="21"/>
          <w:highlight w:val="none"/>
        </w:rPr>
        <w:t>（十五）</w:t>
      </w:r>
      <w:r>
        <w:rPr>
          <w:rFonts w:ascii="宋体" w:hAnsi="宋体"/>
          <w:sz w:val="24"/>
          <w:szCs w:val="21"/>
          <w:highlight w:val="none"/>
        </w:rPr>
        <w:t>用电必须符合《施工现场临时用电安全技术规范》的要求。</w:t>
      </w:r>
    </w:p>
    <w:p>
      <w:pPr>
        <w:snapToGrid w:val="0"/>
        <w:ind w:firstLine="480" w:firstLineChars="200"/>
        <w:rPr>
          <w:rFonts w:ascii="宋体" w:hAnsi="宋体"/>
          <w:sz w:val="24"/>
          <w:szCs w:val="21"/>
          <w:highlight w:val="none"/>
        </w:rPr>
      </w:pPr>
      <w:r>
        <w:rPr>
          <w:rFonts w:hint="eastAsia" w:ascii="宋体" w:hAnsi="宋体"/>
          <w:sz w:val="24"/>
          <w:szCs w:val="21"/>
          <w:highlight w:val="none"/>
        </w:rPr>
        <w:t>（十六）经</w:t>
      </w:r>
      <w:r>
        <w:rPr>
          <w:rFonts w:ascii="宋体" w:hAnsi="宋体"/>
          <w:sz w:val="24"/>
          <w:szCs w:val="21"/>
          <w:highlight w:val="none"/>
        </w:rPr>
        <w:t>审核（或专家评审）通过</w:t>
      </w:r>
      <w:r>
        <w:rPr>
          <w:rFonts w:hint="eastAsia" w:ascii="宋体" w:hAnsi="宋体"/>
          <w:sz w:val="24"/>
          <w:szCs w:val="21"/>
          <w:highlight w:val="none"/>
        </w:rPr>
        <w:t>的</w:t>
      </w:r>
      <w:r>
        <w:rPr>
          <w:rFonts w:ascii="宋体" w:hAnsi="宋体"/>
          <w:sz w:val="24"/>
          <w:szCs w:val="21"/>
          <w:highlight w:val="none"/>
        </w:rPr>
        <w:t>工程安全管理架构、施工方案、事故应急抢险预案等资料</w:t>
      </w:r>
      <w:r>
        <w:rPr>
          <w:rFonts w:hint="eastAsia" w:ascii="宋体" w:hAnsi="宋体"/>
          <w:sz w:val="24"/>
          <w:szCs w:val="21"/>
          <w:highlight w:val="none"/>
        </w:rPr>
        <w:t>应在</w:t>
      </w:r>
      <w:r>
        <w:rPr>
          <w:rFonts w:ascii="宋体" w:hAnsi="宋体"/>
          <w:sz w:val="24"/>
          <w:szCs w:val="21"/>
          <w:highlight w:val="none"/>
        </w:rPr>
        <w:t>工程施工前报发包人备案。</w:t>
      </w:r>
    </w:p>
    <w:p>
      <w:pPr>
        <w:snapToGrid w:val="0"/>
        <w:ind w:firstLine="480" w:firstLineChars="200"/>
        <w:rPr>
          <w:rFonts w:ascii="宋体" w:hAnsi="宋体"/>
          <w:sz w:val="24"/>
          <w:szCs w:val="21"/>
          <w:highlight w:val="none"/>
        </w:rPr>
      </w:pPr>
      <w:r>
        <w:rPr>
          <w:rFonts w:hint="eastAsia" w:ascii="宋体" w:hAnsi="宋体"/>
          <w:sz w:val="24"/>
          <w:szCs w:val="21"/>
          <w:highlight w:val="none"/>
        </w:rPr>
        <w:t>（十七）</w:t>
      </w:r>
      <w:r>
        <w:rPr>
          <w:rFonts w:ascii="宋体" w:hAnsi="宋体"/>
          <w:sz w:val="24"/>
          <w:szCs w:val="21"/>
          <w:highlight w:val="none"/>
        </w:rPr>
        <w:t>在工程建设过程中，对检查出的违法、违规、违章行为，将按合同相关条款扣罚违约责任金，承包人承担因承包人的原因造成的法律责任和经济责任。</w:t>
      </w:r>
    </w:p>
    <w:p>
      <w:pPr>
        <w:snapToGrid w:val="0"/>
        <w:ind w:firstLine="480" w:firstLineChars="200"/>
        <w:rPr>
          <w:rFonts w:ascii="宋体" w:hAnsi="宋体"/>
          <w:sz w:val="24"/>
          <w:szCs w:val="21"/>
          <w:highlight w:val="none"/>
        </w:rPr>
      </w:pPr>
      <w:r>
        <w:rPr>
          <w:rFonts w:hint="eastAsia" w:ascii="宋体" w:hAnsi="宋体"/>
          <w:sz w:val="24"/>
          <w:szCs w:val="21"/>
          <w:highlight w:val="none"/>
        </w:rPr>
        <w:t>（十八）</w:t>
      </w:r>
      <w:r>
        <w:rPr>
          <w:rFonts w:ascii="宋体" w:hAnsi="宋体"/>
          <w:sz w:val="24"/>
          <w:szCs w:val="21"/>
          <w:highlight w:val="none"/>
        </w:rPr>
        <w:t>严格执行《生产安全事故报告和调查处理条例》</w:t>
      </w:r>
      <w:r>
        <w:rPr>
          <w:rFonts w:hint="eastAsia" w:ascii="宋体" w:hAnsi="宋体"/>
          <w:sz w:val="24"/>
          <w:szCs w:val="21"/>
          <w:highlight w:val="none"/>
        </w:rPr>
        <w:t>。</w:t>
      </w:r>
      <w:r>
        <w:rPr>
          <w:rFonts w:ascii="宋体" w:hAnsi="宋体"/>
          <w:sz w:val="24"/>
          <w:szCs w:val="21"/>
          <w:highlight w:val="none"/>
        </w:rPr>
        <w:t>如承包人发生生产安全事故时，必须立即向发包人和政府有关部门报告，并启动事故应急救援预案，全力抢救伤员，保护事故现场。如因施救伤员必须移动现场设备、设施时，要做好记录和拍照，不得破坏事故现场。并做好善后工作，积极配合相关部门做好事故调整及取证。并负责工伤统计、安全事故指标及处理费用，发包人视事故程度，提供必要的协助。</w:t>
      </w:r>
    </w:p>
    <w:p>
      <w:pPr>
        <w:snapToGrid w:val="0"/>
        <w:ind w:firstLine="480" w:firstLineChars="200"/>
        <w:rPr>
          <w:rFonts w:ascii="宋体" w:hAnsi="宋体"/>
          <w:sz w:val="24"/>
          <w:szCs w:val="21"/>
          <w:highlight w:val="none"/>
        </w:rPr>
      </w:pPr>
      <w:r>
        <w:rPr>
          <w:rFonts w:hint="eastAsia" w:ascii="宋体" w:hAnsi="宋体"/>
          <w:sz w:val="24"/>
          <w:szCs w:val="21"/>
          <w:highlight w:val="none"/>
        </w:rPr>
        <w:t>（十九）</w:t>
      </w:r>
      <w:r>
        <w:rPr>
          <w:rFonts w:ascii="宋体" w:hAnsi="宋体"/>
          <w:sz w:val="24"/>
          <w:szCs w:val="21"/>
          <w:highlight w:val="none"/>
        </w:rPr>
        <w:t>承包人不得将工程项目层层转包，专业分包必须具备相应的资质及安全生产条件。</w:t>
      </w:r>
    </w:p>
    <w:p>
      <w:pPr>
        <w:snapToGrid w:val="0"/>
        <w:ind w:firstLine="480" w:firstLineChars="200"/>
        <w:rPr>
          <w:rFonts w:ascii="宋体" w:hAnsi="宋体"/>
          <w:sz w:val="24"/>
          <w:szCs w:val="21"/>
          <w:highlight w:val="none"/>
        </w:rPr>
      </w:pPr>
      <w:r>
        <w:rPr>
          <w:rFonts w:hint="eastAsia" w:ascii="宋体" w:hAnsi="宋体"/>
          <w:sz w:val="24"/>
          <w:szCs w:val="21"/>
          <w:highlight w:val="none"/>
        </w:rPr>
        <w:t>（二十）</w:t>
      </w:r>
      <w:r>
        <w:rPr>
          <w:rFonts w:ascii="宋体" w:hAnsi="宋体"/>
          <w:sz w:val="24"/>
          <w:szCs w:val="21"/>
          <w:highlight w:val="none"/>
        </w:rPr>
        <w:t>承包人根据工程项目的施工特点，编制各项安全技术方案，完善方案审批手续，并在施工过程中严格执行。</w:t>
      </w:r>
    </w:p>
    <w:p>
      <w:pPr>
        <w:snapToGrid w:val="0"/>
        <w:ind w:firstLine="480" w:firstLineChars="200"/>
        <w:rPr>
          <w:rFonts w:ascii="宋体" w:hAnsi="宋体"/>
          <w:sz w:val="24"/>
          <w:szCs w:val="21"/>
          <w:highlight w:val="none"/>
        </w:rPr>
      </w:pPr>
    </w:p>
    <w:p>
      <w:pPr>
        <w:snapToGrid w:val="0"/>
        <w:ind w:firstLine="482" w:firstLineChars="200"/>
        <w:rPr>
          <w:rFonts w:ascii="宋体" w:hAnsi="宋体"/>
          <w:b/>
          <w:sz w:val="24"/>
          <w:szCs w:val="21"/>
          <w:highlight w:val="none"/>
        </w:rPr>
      </w:pPr>
      <w:r>
        <w:rPr>
          <w:rFonts w:hint="eastAsia" w:ascii="宋体" w:hAnsi="宋体"/>
          <w:b/>
          <w:sz w:val="24"/>
          <w:szCs w:val="21"/>
          <w:highlight w:val="none"/>
        </w:rPr>
        <w:t>四、</w:t>
      </w:r>
      <w:r>
        <w:rPr>
          <w:rFonts w:ascii="宋体" w:hAnsi="宋体"/>
          <w:b/>
          <w:sz w:val="24"/>
          <w:szCs w:val="21"/>
          <w:highlight w:val="none"/>
        </w:rPr>
        <w:t>违约责任</w:t>
      </w:r>
    </w:p>
    <w:p>
      <w:pPr>
        <w:snapToGrid w:val="0"/>
        <w:ind w:firstLine="480" w:firstLineChars="200"/>
        <w:rPr>
          <w:rFonts w:ascii="宋体" w:hAnsi="宋体"/>
          <w:sz w:val="24"/>
          <w:szCs w:val="21"/>
          <w:highlight w:val="none"/>
        </w:rPr>
      </w:pPr>
      <w:r>
        <w:rPr>
          <w:rFonts w:hint="eastAsia" w:ascii="宋体" w:hAnsi="宋体"/>
          <w:sz w:val="24"/>
          <w:szCs w:val="21"/>
          <w:highlight w:val="none"/>
        </w:rPr>
        <w:t>（一）</w:t>
      </w:r>
      <w:r>
        <w:rPr>
          <w:rFonts w:ascii="宋体" w:hAnsi="宋体"/>
          <w:sz w:val="24"/>
          <w:szCs w:val="21"/>
          <w:highlight w:val="none"/>
        </w:rPr>
        <w:t>承包人必须保证发包人免于受到或承担应由承包人负责的因未按规定做好安全文明施工所引起的或与之有关的索赔、诉讼、行政处罚以及其他费用的开支；若因承包人未按规定做好安全文明施工牵连发包人受到行政处罚或对发包人造成严重社会影响的，由承包人承担全部的经济和法律责任。</w:t>
      </w:r>
    </w:p>
    <w:p>
      <w:pPr>
        <w:snapToGrid w:val="0"/>
        <w:ind w:firstLine="420" w:firstLineChars="200"/>
        <w:rPr>
          <w:rFonts w:ascii="宋体" w:hAnsi="宋体"/>
          <w:sz w:val="24"/>
          <w:szCs w:val="21"/>
          <w:highlight w:val="none"/>
        </w:rPr>
      </w:pPr>
      <w:r>
        <w:rPr>
          <w:highlight w:val="none"/>
        </w:rPr>
        <w:drawing>
          <wp:anchor distT="0" distB="0" distL="114300" distR="114300" simplePos="0" relativeHeight="251663360" behindDoc="0" locked="0" layoutInCell="1" allowOverlap="0">
            <wp:simplePos x="0" y="0"/>
            <wp:positionH relativeFrom="page">
              <wp:posOffset>310515</wp:posOffset>
            </wp:positionH>
            <wp:positionV relativeFrom="page">
              <wp:posOffset>7871460</wp:posOffset>
            </wp:positionV>
            <wp:extent cx="4445" cy="4445"/>
            <wp:effectExtent l="0" t="0" r="0" b="0"/>
            <wp:wrapSquare wrapText="bothSides"/>
            <wp:docPr id="8" name="Picture 13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807"/>
                    <pic:cNvPicPr>
                      <a:picLocks noChangeAspect="1"/>
                    </pic:cNvPicPr>
                  </pic:nvPicPr>
                  <pic:blipFill>
                    <a:blip r:embed="rId15"/>
                    <a:stretch>
                      <a:fillRect/>
                    </a:stretch>
                  </pic:blipFill>
                  <pic:spPr>
                    <a:xfrm>
                      <a:off x="0" y="0"/>
                      <a:ext cx="4445" cy="4445"/>
                    </a:xfrm>
                    <a:prstGeom prst="rect">
                      <a:avLst/>
                    </a:prstGeom>
                    <a:noFill/>
                    <a:ln>
                      <a:noFill/>
                    </a:ln>
                  </pic:spPr>
                </pic:pic>
              </a:graphicData>
            </a:graphic>
          </wp:anchor>
        </w:drawing>
      </w:r>
      <w:r>
        <w:rPr>
          <w:highlight w:val="none"/>
        </w:rPr>
        <w:drawing>
          <wp:anchor distT="0" distB="0" distL="114300" distR="114300" simplePos="0" relativeHeight="251664384" behindDoc="0" locked="0" layoutInCell="1" allowOverlap="0">
            <wp:simplePos x="0" y="0"/>
            <wp:positionH relativeFrom="page">
              <wp:posOffset>310515</wp:posOffset>
            </wp:positionH>
            <wp:positionV relativeFrom="page">
              <wp:posOffset>8168005</wp:posOffset>
            </wp:positionV>
            <wp:extent cx="4445" cy="4445"/>
            <wp:effectExtent l="0" t="0" r="0" b="0"/>
            <wp:wrapSquare wrapText="bothSides"/>
            <wp:docPr id="9" name="Picture 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808"/>
                    <pic:cNvPicPr>
                      <a:picLocks noChangeAspect="1"/>
                    </pic:cNvPicPr>
                  </pic:nvPicPr>
                  <pic:blipFill>
                    <a:blip r:embed="rId16"/>
                    <a:stretch>
                      <a:fillRect/>
                    </a:stretch>
                  </pic:blipFill>
                  <pic:spPr>
                    <a:xfrm>
                      <a:off x="0" y="0"/>
                      <a:ext cx="4445" cy="4445"/>
                    </a:xfrm>
                    <a:prstGeom prst="rect">
                      <a:avLst/>
                    </a:prstGeom>
                    <a:noFill/>
                    <a:ln>
                      <a:noFill/>
                    </a:ln>
                  </pic:spPr>
                </pic:pic>
              </a:graphicData>
            </a:graphic>
          </wp:anchor>
        </w:drawing>
      </w:r>
      <w:r>
        <w:rPr>
          <w:highlight w:val="none"/>
        </w:rPr>
        <w:drawing>
          <wp:anchor distT="0" distB="0" distL="114300" distR="114300" simplePos="0" relativeHeight="251665408" behindDoc="0" locked="0" layoutInCell="1" allowOverlap="0">
            <wp:simplePos x="0" y="0"/>
            <wp:positionH relativeFrom="page">
              <wp:posOffset>310515</wp:posOffset>
            </wp:positionH>
            <wp:positionV relativeFrom="page">
              <wp:posOffset>8181975</wp:posOffset>
            </wp:positionV>
            <wp:extent cx="4445" cy="8890"/>
            <wp:effectExtent l="0" t="0" r="0" b="0"/>
            <wp:wrapSquare wrapText="bothSides"/>
            <wp:docPr id="10" name="Picture 1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809"/>
                    <pic:cNvPicPr>
                      <a:picLocks noChangeAspect="1"/>
                    </pic:cNvPicPr>
                  </pic:nvPicPr>
                  <pic:blipFill>
                    <a:blip r:embed="rId17"/>
                    <a:stretch>
                      <a:fillRect/>
                    </a:stretch>
                  </pic:blipFill>
                  <pic:spPr>
                    <a:xfrm>
                      <a:off x="0" y="0"/>
                      <a:ext cx="4445" cy="8890"/>
                    </a:xfrm>
                    <a:prstGeom prst="rect">
                      <a:avLst/>
                    </a:prstGeom>
                    <a:noFill/>
                    <a:ln>
                      <a:noFill/>
                    </a:ln>
                  </pic:spPr>
                </pic:pic>
              </a:graphicData>
            </a:graphic>
          </wp:anchor>
        </w:drawing>
      </w:r>
      <w:r>
        <w:rPr>
          <w:highlight w:val="none"/>
        </w:rPr>
        <w:drawing>
          <wp:anchor distT="0" distB="0" distL="114300" distR="114300" simplePos="0" relativeHeight="251666432" behindDoc="0" locked="0" layoutInCell="1" allowOverlap="0">
            <wp:simplePos x="0" y="0"/>
            <wp:positionH relativeFrom="page">
              <wp:posOffset>310515</wp:posOffset>
            </wp:positionH>
            <wp:positionV relativeFrom="page">
              <wp:posOffset>8232140</wp:posOffset>
            </wp:positionV>
            <wp:extent cx="4445" cy="4445"/>
            <wp:effectExtent l="0" t="0" r="0" b="0"/>
            <wp:wrapSquare wrapText="bothSides"/>
            <wp:docPr id="11" name="Picture 1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810"/>
                    <pic:cNvPicPr>
                      <a:picLocks noChangeAspect="1"/>
                    </pic:cNvPicPr>
                  </pic:nvPicPr>
                  <pic:blipFill>
                    <a:blip r:embed="rId16"/>
                    <a:stretch>
                      <a:fillRect/>
                    </a:stretch>
                  </pic:blipFill>
                  <pic:spPr>
                    <a:xfrm>
                      <a:off x="0" y="0"/>
                      <a:ext cx="4445" cy="4445"/>
                    </a:xfrm>
                    <a:prstGeom prst="rect">
                      <a:avLst/>
                    </a:prstGeom>
                    <a:noFill/>
                    <a:ln>
                      <a:noFill/>
                    </a:ln>
                  </pic:spPr>
                </pic:pic>
              </a:graphicData>
            </a:graphic>
          </wp:anchor>
        </w:drawing>
      </w:r>
      <w:r>
        <w:rPr>
          <w:rFonts w:hint="eastAsia" w:ascii="宋体" w:hAnsi="宋体"/>
          <w:sz w:val="24"/>
          <w:szCs w:val="21"/>
          <w:highlight w:val="none"/>
        </w:rPr>
        <w:t>（二）</w:t>
      </w:r>
      <w:r>
        <w:rPr>
          <w:rFonts w:ascii="宋体" w:hAnsi="宋体"/>
          <w:sz w:val="24"/>
          <w:szCs w:val="21"/>
          <w:highlight w:val="none"/>
        </w:rPr>
        <w:t>承包人在建设行政主管部门组织的质量安全或文明施工检查中，被发现存在严重的安全隐患，或施工场地被评为不合格工地，或被通报批评，或被新闻媒体曝光造成不良影响的，承包人必须承担严重违约责任并立</w:t>
      </w:r>
      <w:r>
        <w:rPr>
          <w:rFonts w:hint="eastAsia" w:ascii="宋体" w:hAnsi="宋体"/>
          <w:sz w:val="24"/>
          <w:szCs w:val="21"/>
          <w:highlight w:val="none"/>
        </w:rPr>
        <w:t>即</w:t>
      </w:r>
      <w:r>
        <w:rPr>
          <w:rFonts w:ascii="宋体" w:hAnsi="宋体"/>
          <w:sz w:val="24"/>
          <w:szCs w:val="21"/>
          <w:highlight w:val="none"/>
        </w:rPr>
        <w:t>采取切实有效措施予以整改，违约金为每次扣惩罚性人民币伍万元</w:t>
      </w:r>
      <w:r>
        <w:rPr>
          <w:rFonts w:hint="eastAsia" w:ascii="宋体" w:hAnsi="宋体"/>
          <w:sz w:val="24"/>
          <w:szCs w:val="21"/>
          <w:highlight w:val="none"/>
        </w:rPr>
        <w:t>整</w:t>
      </w:r>
      <w:r>
        <w:rPr>
          <w:rFonts w:ascii="宋体" w:hAnsi="宋体"/>
          <w:sz w:val="24"/>
          <w:szCs w:val="21"/>
          <w:highlight w:val="none"/>
        </w:rPr>
        <w:t>（￥</w:t>
      </w:r>
      <w:r>
        <w:rPr>
          <w:rFonts w:hint="eastAsia" w:ascii="宋体" w:hAnsi="宋体"/>
          <w:sz w:val="24"/>
          <w:szCs w:val="21"/>
          <w:highlight w:val="none"/>
        </w:rPr>
        <w:t>5</w:t>
      </w:r>
      <w:r>
        <w:rPr>
          <w:rFonts w:ascii="宋体" w:hAnsi="宋体"/>
          <w:sz w:val="24"/>
          <w:szCs w:val="21"/>
          <w:highlight w:val="none"/>
        </w:rPr>
        <w:t>0000</w:t>
      </w:r>
      <w:r>
        <w:rPr>
          <w:rFonts w:hint="eastAsia" w:ascii="宋体" w:hAnsi="宋体"/>
          <w:sz w:val="24"/>
          <w:szCs w:val="21"/>
          <w:highlight w:val="none"/>
        </w:rPr>
        <w:t>.</w:t>
      </w:r>
      <w:r>
        <w:rPr>
          <w:rFonts w:ascii="宋体" w:hAnsi="宋体"/>
          <w:sz w:val="24"/>
          <w:szCs w:val="21"/>
          <w:highlight w:val="none"/>
        </w:rPr>
        <w:t>0</w:t>
      </w:r>
      <w:r>
        <w:rPr>
          <w:rFonts w:hint="eastAsia" w:ascii="宋体" w:hAnsi="宋体"/>
          <w:sz w:val="24"/>
          <w:szCs w:val="21"/>
          <w:highlight w:val="none"/>
        </w:rPr>
        <w:t>0</w:t>
      </w:r>
      <w:r>
        <w:rPr>
          <w:rFonts w:ascii="宋体" w:hAnsi="宋体"/>
          <w:sz w:val="24"/>
          <w:szCs w:val="21"/>
          <w:highlight w:val="none"/>
        </w:rPr>
        <w:t>元），由发包人在当期应付的工程进度款内直接扣除；若承包人拒不采取切实有效的措施整改的，或整改效果不明显的，或造成严重社会影响，或被检查两次（含本数）仍不合格而被通报或被曝光的，发包人有权解除部分或全部合同，并追究承包人的违约</w:t>
      </w:r>
      <w:r>
        <w:rPr>
          <w:rFonts w:hint="eastAsia" w:ascii="宋体" w:hAnsi="宋体"/>
          <w:sz w:val="24"/>
          <w:szCs w:val="21"/>
          <w:highlight w:val="none"/>
        </w:rPr>
        <w:t>赔</w:t>
      </w:r>
      <w:r>
        <w:rPr>
          <w:rFonts w:ascii="宋体" w:hAnsi="宋体"/>
          <w:sz w:val="24"/>
          <w:szCs w:val="21"/>
          <w:highlight w:val="none"/>
        </w:rPr>
        <w:t>偿责任，发包人全部解除合同后可将本工程另行发包</w:t>
      </w:r>
      <w:r>
        <w:rPr>
          <w:rFonts w:hint="eastAsia" w:ascii="宋体" w:hAnsi="宋体"/>
          <w:sz w:val="24"/>
          <w:szCs w:val="21"/>
          <w:highlight w:val="none"/>
        </w:rPr>
        <w:t>。</w:t>
      </w:r>
    </w:p>
    <w:p>
      <w:pPr>
        <w:snapToGrid w:val="0"/>
        <w:ind w:firstLine="480" w:firstLineChars="200"/>
        <w:rPr>
          <w:rFonts w:ascii="宋体" w:hAnsi="宋体"/>
          <w:sz w:val="24"/>
          <w:szCs w:val="21"/>
          <w:highlight w:val="none"/>
        </w:rPr>
      </w:pPr>
      <w:r>
        <w:rPr>
          <w:rFonts w:hint="eastAsia" w:ascii="宋体" w:hAnsi="宋体"/>
          <w:sz w:val="24"/>
          <w:szCs w:val="21"/>
          <w:highlight w:val="none"/>
        </w:rPr>
        <w:t>（三）</w:t>
      </w:r>
      <w:r>
        <w:rPr>
          <w:rFonts w:ascii="宋体" w:hAnsi="宋体"/>
          <w:sz w:val="24"/>
          <w:szCs w:val="21"/>
          <w:highlight w:val="none"/>
        </w:rPr>
        <w:t>承包人因自身原因造成的重大安全事故的，按国家规定由相关主管部门处罚，发包人视情况严重性，有权解除部分或全部合同，按施工合同专用条款中关于合同解除的规定执行</w:t>
      </w:r>
      <w:r>
        <w:rPr>
          <w:rFonts w:hint="eastAsia" w:ascii="宋体" w:hAnsi="宋体"/>
          <w:sz w:val="24"/>
          <w:szCs w:val="21"/>
          <w:highlight w:val="none"/>
        </w:rPr>
        <w:t>。承包人须赔偿发包人的一切损失。</w:t>
      </w:r>
    </w:p>
    <w:p>
      <w:pPr>
        <w:snapToGrid w:val="0"/>
        <w:ind w:firstLine="480" w:firstLineChars="200"/>
        <w:rPr>
          <w:rFonts w:ascii="宋体" w:hAnsi="宋体"/>
          <w:sz w:val="24"/>
          <w:highlight w:val="none"/>
        </w:rPr>
      </w:pPr>
      <w:r>
        <w:rPr>
          <w:rFonts w:hint="eastAsia" w:ascii="宋体" w:hAnsi="宋体"/>
          <w:sz w:val="24"/>
          <w:szCs w:val="21"/>
          <w:highlight w:val="none"/>
        </w:rPr>
        <w:t>（四）发包人</w:t>
      </w:r>
      <w:r>
        <w:rPr>
          <w:rFonts w:ascii="宋体" w:hAnsi="宋体"/>
          <w:sz w:val="24"/>
          <w:szCs w:val="21"/>
          <w:highlight w:val="none"/>
        </w:rPr>
        <w:t>在日常检查中发现承包人存在安全隐患、违章行为或管理不到位现象时发出书面整改知书，不进行惩罚；从复检开始，每一次复检不</w:t>
      </w:r>
      <w:r>
        <w:rPr>
          <w:rFonts w:hint="eastAsia" w:ascii="宋体" w:hAnsi="宋体"/>
          <w:sz w:val="24"/>
          <w:szCs w:val="21"/>
          <w:highlight w:val="none"/>
        </w:rPr>
        <w:t>合</w:t>
      </w:r>
      <w:r>
        <w:rPr>
          <w:rFonts w:ascii="宋体" w:hAnsi="宋体"/>
          <w:sz w:val="24"/>
          <w:szCs w:val="21"/>
          <w:highlight w:val="none"/>
        </w:rPr>
        <w:t>格的，承包人按人民币</w:t>
      </w:r>
      <w:r>
        <w:rPr>
          <w:rFonts w:hint="eastAsia" w:ascii="宋体" w:hAnsi="宋体"/>
          <w:sz w:val="24"/>
          <w:szCs w:val="21"/>
          <w:highlight w:val="none"/>
        </w:rPr>
        <w:t>伍</w:t>
      </w:r>
      <w:r>
        <w:rPr>
          <w:rFonts w:ascii="宋体" w:hAnsi="宋体"/>
          <w:sz w:val="24"/>
          <w:szCs w:val="21"/>
          <w:highlight w:val="none"/>
        </w:rPr>
        <w:t>仟元</w:t>
      </w:r>
      <w:r>
        <w:rPr>
          <w:rFonts w:hint="eastAsia" w:ascii="宋体" w:hAnsi="宋体"/>
          <w:sz w:val="24"/>
          <w:szCs w:val="21"/>
          <w:highlight w:val="none"/>
        </w:rPr>
        <w:t>整</w:t>
      </w:r>
      <w:r>
        <w:rPr>
          <w:rFonts w:ascii="宋体" w:hAnsi="宋体"/>
          <w:sz w:val="24"/>
          <w:szCs w:val="21"/>
          <w:highlight w:val="none"/>
        </w:rPr>
        <w:t>（￥5000</w:t>
      </w:r>
      <w:r>
        <w:rPr>
          <w:rFonts w:hint="eastAsia" w:ascii="宋体" w:hAnsi="宋体"/>
          <w:sz w:val="24"/>
          <w:szCs w:val="21"/>
          <w:highlight w:val="none"/>
        </w:rPr>
        <w:t>.00</w:t>
      </w:r>
      <w:r>
        <w:rPr>
          <w:rFonts w:ascii="宋体" w:hAnsi="宋体"/>
          <w:sz w:val="24"/>
          <w:szCs w:val="21"/>
          <w:highlight w:val="none"/>
        </w:rPr>
        <w:t>元）/次向发包人支付惩罚性违约金</w:t>
      </w:r>
      <w:r>
        <w:rPr>
          <w:rFonts w:hint="eastAsia" w:ascii="宋体" w:hAnsi="宋体"/>
          <w:sz w:val="24"/>
          <w:szCs w:val="21"/>
          <w:highlight w:val="none"/>
        </w:rPr>
        <w:t>。</w:t>
      </w:r>
    </w:p>
    <w:p>
      <w:pPr>
        <w:snapToGrid w:val="0"/>
        <w:ind w:firstLine="482" w:firstLineChars="200"/>
        <w:rPr>
          <w:rFonts w:ascii="宋体" w:hAnsi="宋体"/>
          <w:sz w:val="24"/>
          <w:highlight w:val="none"/>
        </w:rPr>
      </w:pPr>
      <w:r>
        <w:rPr>
          <w:rFonts w:hint="eastAsia" w:ascii="宋体" w:hAnsi="宋体"/>
          <w:b/>
          <w:sz w:val="24"/>
          <w:highlight w:val="none"/>
        </w:rPr>
        <w:t>五</w:t>
      </w:r>
      <w:r>
        <w:rPr>
          <w:rFonts w:ascii="宋体" w:hAnsi="宋体"/>
          <w:b/>
          <w:sz w:val="24"/>
          <w:highlight w:val="none"/>
        </w:rPr>
        <w:t>、</w:t>
      </w:r>
      <w:r>
        <w:rPr>
          <w:rFonts w:ascii="宋体" w:hAnsi="宋体"/>
          <w:sz w:val="24"/>
          <w:highlight w:val="none"/>
        </w:rPr>
        <w:t>本协议一式</w:t>
      </w:r>
      <w:r>
        <w:rPr>
          <w:rFonts w:hint="eastAsia" w:ascii="宋体" w:hAnsi="宋体"/>
          <w:sz w:val="24"/>
          <w:highlight w:val="none"/>
          <w:u w:val="single" w:color="000000"/>
        </w:rPr>
        <w:t xml:space="preserve"> </w:t>
      </w:r>
      <w:r>
        <w:rPr>
          <w:rFonts w:ascii="宋体" w:hAnsi="宋体"/>
          <w:sz w:val="24"/>
          <w:highlight w:val="none"/>
          <w:u w:val="single" w:color="000000"/>
        </w:rPr>
        <w:t>14</w:t>
      </w:r>
      <w:r>
        <w:rPr>
          <w:rFonts w:hint="eastAsia" w:ascii="宋体" w:hAnsi="宋体"/>
          <w:sz w:val="24"/>
          <w:highlight w:val="none"/>
          <w:u w:val="single" w:color="000000"/>
        </w:rPr>
        <w:t xml:space="preserve"> </w:t>
      </w:r>
      <w:r>
        <w:rPr>
          <w:rFonts w:ascii="宋体" w:hAnsi="宋体"/>
          <w:sz w:val="24"/>
          <w:highlight w:val="none"/>
        </w:rPr>
        <w:t>份</w:t>
      </w:r>
      <w:r>
        <w:rPr>
          <w:rFonts w:hint="eastAsia" w:ascii="宋体" w:hAnsi="宋体"/>
          <w:sz w:val="24"/>
          <w:highlight w:val="none"/>
        </w:rPr>
        <w:t>，</w:t>
      </w:r>
      <w:r>
        <w:rPr>
          <w:rFonts w:ascii="宋体" w:hAnsi="宋体"/>
          <w:sz w:val="24"/>
          <w:highlight w:val="none"/>
        </w:rPr>
        <w:t>发包人</w:t>
      </w:r>
      <w:r>
        <w:rPr>
          <w:rFonts w:hint="eastAsia" w:ascii="宋体" w:hAnsi="宋体"/>
          <w:sz w:val="24"/>
          <w:highlight w:val="none"/>
          <w:u w:val="single"/>
        </w:rPr>
        <w:t xml:space="preserve"> </w:t>
      </w:r>
      <w:r>
        <w:rPr>
          <w:rFonts w:ascii="宋体" w:hAnsi="宋体"/>
          <w:sz w:val="24"/>
          <w:highlight w:val="none"/>
          <w:u w:val="single"/>
        </w:rPr>
        <w:t>7</w:t>
      </w:r>
      <w:r>
        <w:rPr>
          <w:rFonts w:hint="eastAsia" w:ascii="宋体" w:hAnsi="宋体"/>
          <w:sz w:val="24"/>
          <w:highlight w:val="none"/>
          <w:u w:val="single"/>
        </w:rPr>
        <w:t xml:space="preserve"> </w:t>
      </w:r>
      <w:r>
        <w:rPr>
          <w:rFonts w:ascii="宋体" w:hAnsi="宋体"/>
          <w:sz w:val="24"/>
          <w:highlight w:val="none"/>
        </w:rPr>
        <w:t>份，承包</w:t>
      </w:r>
      <w:r>
        <w:rPr>
          <w:rFonts w:hint="eastAsia" w:ascii="宋体" w:hAnsi="宋体"/>
          <w:sz w:val="24"/>
          <w:highlight w:val="none"/>
          <w:u w:val="single"/>
        </w:rPr>
        <w:t xml:space="preserve"> </w:t>
      </w:r>
      <w:r>
        <w:rPr>
          <w:rFonts w:ascii="宋体" w:hAnsi="宋体"/>
          <w:sz w:val="24"/>
          <w:highlight w:val="none"/>
          <w:u w:val="single"/>
        </w:rPr>
        <w:t xml:space="preserve"> 7</w:t>
      </w:r>
      <w:r>
        <w:rPr>
          <w:rFonts w:hint="eastAsia" w:ascii="宋体" w:hAnsi="宋体"/>
          <w:sz w:val="24"/>
          <w:highlight w:val="none"/>
          <w:u w:val="single"/>
        </w:rPr>
        <w:t xml:space="preserve"> </w:t>
      </w:r>
      <w:r>
        <w:rPr>
          <w:rFonts w:ascii="宋体" w:hAnsi="宋体"/>
          <w:sz w:val="24"/>
          <w:highlight w:val="none"/>
        </w:rPr>
        <w:t>份</w:t>
      </w:r>
      <w:r>
        <w:rPr>
          <w:rFonts w:hint="eastAsia" w:ascii="宋体" w:hAnsi="宋体"/>
          <w:sz w:val="24"/>
          <w:highlight w:val="none"/>
        </w:rPr>
        <w:t>，</w:t>
      </w:r>
      <w:r>
        <w:rPr>
          <w:rFonts w:ascii="宋体" w:hAnsi="宋体"/>
          <w:sz w:val="24"/>
          <w:highlight w:val="none"/>
        </w:rPr>
        <w:t>双方签字盖章生效，具有与合同同等法律效力，工程竣工验收后失效。</w:t>
      </w:r>
    </w:p>
    <w:p>
      <w:pPr>
        <w:snapToGrid w:val="0"/>
        <w:ind w:firstLine="480" w:firstLineChars="200"/>
        <w:rPr>
          <w:rFonts w:ascii="宋体" w:hAnsi="宋体"/>
          <w:sz w:val="24"/>
          <w:szCs w:val="21"/>
          <w:highlight w:val="none"/>
        </w:rPr>
      </w:pPr>
      <w:r>
        <w:rPr>
          <w:rFonts w:ascii="宋体" w:hAnsi="宋体"/>
          <w:sz w:val="24"/>
          <w:szCs w:val="21"/>
          <w:highlight w:val="none"/>
        </w:rPr>
        <w:t>未尽事宜，双方</w:t>
      </w:r>
      <w:r>
        <w:rPr>
          <w:rFonts w:ascii="宋体" w:hAnsi="宋体"/>
          <w:sz w:val="24"/>
          <w:highlight w:val="none"/>
        </w:rPr>
        <w:t>协商</w:t>
      </w:r>
      <w:r>
        <w:rPr>
          <w:rFonts w:ascii="宋体" w:hAnsi="宋体"/>
          <w:sz w:val="24"/>
          <w:szCs w:val="21"/>
          <w:highlight w:val="none"/>
        </w:rPr>
        <w:t>解决。</w:t>
      </w:r>
      <w:r>
        <w:rPr>
          <w:rFonts w:hint="eastAsia" w:ascii="宋体" w:hAnsi="宋体"/>
          <w:sz w:val="24"/>
          <w:szCs w:val="21"/>
          <w:highlight w:val="none"/>
        </w:rPr>
        <w:t>协商不成时，按施工合同约定的方式解决。</w:t>
      </w:r>
    </w:p>
    <w:p>
      <w:pPr>
        <w:snapToGrid w:val="0"/>
        <w:ind w:firstLine="480" w:firstLineChars="200"/>
        <w:rPr>
          <w:rFonts w:ascii="宋体" w:hAnsi="宋体"/>
          <w:sz w:val="24"/>
          <w:szCs w:val="21"/>
          <w:highlight w:val="none"/>
        </w:rPr>
      </w:pPr>
      <w:r>
        <w:rPr>
          <w:rFonts w:ascii="宋体" w:hAnsi="宋体"/>
          <w:sz w:val="24"/>
          <w:szCs w:val="21"/>
          <w:highlight w:val="none"/>
        </w:rPr>
        <w:t>（本页以下无正文）</w:t>
      </w:r>
    </w:p>
    <w:p>
      <w:pPr>
        <w:snapToGrid w:val="0"/>
        <w:ind w:firstLine="480" w:firstLineChars="200"/>
        <w:rPr>
          <w:rFonts w:ascii="宋体" w:hAnsi="宋体"/>
          <w:sz w:val="24"/>
          <w:szCs w:val="21"/>
          <w:highlight w:val="none"/>
        </w:rPr>
      </w:pPr>
    </w:p>
    <w:p>
      <w:pPr>
        <w:snapToGrid w:val="0"/>
        <w:ind w:firstLine="480" w:firstLineChars="200"/>
        <w:rPr>
          <w:rFonts w:ascii="宋体" w:hAnsi="宋体"/>
          <w:sz w:val="24"/>
          <w:szCs w:val="21"/>
          <w:highlight w:val="none"/>
        </w:rPr>
      </w:pPr>
    </w:p>
    <w:p>
      <w:pPr>
        <w:snapToGrid w:val="0"/>
        <w:ind w:firstLine="480" w:firstLineChars="200"/>
        <w:rPr>
          <w:rFonts w:ascii="宋体" w:hAnsi="宋体"/>
          <w:sz w:val="24"/>
          <w:szCs w:val="21"/>
          <w:highlight w:val="none"/>
        </w:rPr>
      </w:pPr>
      <w:r>
        <w:rPr>
          <w:rFonts w:ascii="宋体" w:hAnsi="宋体"/>
          <w:sz w:val="24"/>
          <w:szCs w:val="21"/>
          <w:highlight w:val="none"/>
        </w:rPr>
        <w:t>发包人：</w:t>
      </w:r>
      <w:r>
        <w:rPr>
          <w:rFonts w:hint="eastAsia" w:ascii="宋体" w:hAnsi="宋体"/>
          <w:sz w:val="24"/>
          <w:szCs w:val="21"/>
          <w:highlight w:val="none"/>
        </w:rPr>
        <w:t xml:space="preserve">                               </w:t>
      </w:r>
      <w:r>
        <w:rPr>
          <w:rFonts w:ascii="宋体" w:hAnsi="宋体"/>
          <w:sz w:val="24"/>
          <w:szCs w:val="21"/>
          <w:highlight w:val="none"/>
        </w:rPr>
        <w:t xml:space="preserve"> 承包人：</w:t>
      </w:r>
    </w:p>
    <w:p>
      <w:pPr>
        <w:snapToGrid w:val="0"/>
        <w:ind w:firstLine="480" w:firstLineChars="200"/>
        <w:rPr>
          <w:rFonts w:ascii="宋体" w:hAnsi="宋体"/>
          <w:sz w:val="24"/>
          <w:szCs w:val="21"/>
          <w:highlight w:val="none"/>
        </w:rPr>
      </w:pPr>
      <w:r>
        <w:rPr>
          <w:rFonts w:ascii="宋体" w:hAnsi="宋体"/>
          <w:sz w:val="24"/>
          <w:szCs w:val="21"/>
          <w:highlight w:val="none"/>
        </w:rPr>
        <w:t>（盖章）</w:t>
      </w:r>
      <w:r>
        <w:rPr>
          <w:rFonts w:hint="eastAsia" w:ascii="宋体" w:hAnsi="宋体"/>
          <w:sz w:val="24"/>
          <w:szCs w:val="21"/>
          <w:highlight w:val="none"/>
        </w:rPr>
        <w:t xml:space="preserve">                                 </w:t>
      </w:r>
      <w:r>
        <w:rPr>
          <w:rFonts w:ascii="宋体" w:hAnsi="宋体"/>
          <w:sz w:val="24"/>
          <w:szCs w:val="21"/>
          <w:highlight w:val="none"/>
        </w:rPr>
        <w:t>（盖章）</w:t>
      </w:r>
    </w:p>
    <w:p>
      <w:pPr>
        <w:snapToGrid w:val="0"/>
        <w:ind w:firstLine="480" w:firstLineChars="200"/>
        <w:rPr>
          <w:rFonts w:ascii="宋体" w:hAnsi="宋体"/>
          <w:sz w:val="24"/>
          <w:szCs w:val="21"/>
          <w:highlight w:val="none"/>
        </w:rPr>
      </w:pPr>
      <w:r>
        <w:rPr>
          <w:rFonts w:hint="eastAsia" w:ascii="宋体" w:hAnsi="宋体"/>
          <w:sz w:val="24"/>
          <w:szCs w:val="21"/>
          <w:highlight w:val="none"/>
        </w:rPr>
        <w:t xml:space="preserve">住所：广州市南沙区横沥镇明珠街  </w:t>
      </w:r>
      <w:r>
        <w:rPr>
          <w:rFonts w:ascii="宋体" w:hAnsi="宋体"/>
          <w:sz w:val="24"/>
          <w:szCs w:val="21"/>
          <w:highlight w:val="none"/>
        </w:rPr>
        <w:t xml:space="preserve"> </w:t>
      </w:r>
      <w:r>
        <w:rPr>
          <w:rFonts w:hint="eastAsia" w:ascii="宋体" w:hAnsi="宋体"/>
          <w:sz w:val="24"/>
          <w:szCs w:val="21"/>
          <w:highlight w:val="none"/>
        </w:rPr>
        <w:t xml:space="preserve">      住所： </w:t>
      </w:r>
      <w:r>
        <w:rPr>
          <w:rFonts w:ascii="宋体" w:hAnsi="宋体"/>
          <w:sz w:val="24"/>
          <w:szCs w:val="21"/>
          <w:highlight w:val="none"/>
        </w:rPr>
        <w:t xml:space="preserve">             </w:t>
      </w:r>
    </w:p>
    <w:p>
      <w:pPr>
        <w:snapToGrid w:val="0"/>
        <w:ind w:firstLine="1200" w:firstLineChars="500"/>
        <w:rPr>
          <w:rFonts w:ascii="宋体" w:hAnsi="宋体"/>
          <w:sz w:val="24"/>
          <w:szCs w:val="21"/>
          <w:highlight w:val="none"/>
        </w:rPr>
      </w:pPr>
      <w:r>
        <w:rPr>
          <w:rFonts w:hint="eastAsia" w:ascii="宋体" w:hAnsi="宋体"/>
          <w:sz w:val="24"/>
          <w:szCs w:val="21"/>
          <w:highlight w:val="none"/>
        </w:rPr>
        <w:t xml:space="preserve">1号开发大厦1#楼7层 </w:t>
      </w:r>
      <w:r>
        <w:rPr>
          <w:rFonts w:ascii="宋体" w:hAnsi="宋体"/>
          <w:sz w:val="24"/>
          <w:szCs w:val="21"/>
          <w:highlight w:val="none"/>
        </w:rPr>
        <w:t xml:space="preserve">                  </w:t>
      </w:r>
    </w:p>
    <w:p>
      <w:pPr>
        <w:snapToGrid w:val="0"/>
        <w:ind w:firstLine="480" w:firstLineChars="200"/>
        <w:rPr>
          <w:rFonts w:ascii="宋体" w:hAnsi="宋体"/>
          <w:sz w:val="24"/>
          <w:szCs w:val="21"/>
          <w:highlight w:val="none"/>
        </w:rPr>
      </w:pPr>
      <w:r>
        <w:rPr>
          <w:rFonts w:ascii="宋体" w:hAnsi="宋体"/>
          <w:sz w:val="24"/>
          <w:szCs w:val="21"/>
          <w:highlight w:val="none"/>
        </w:rPr>
        <w:t>法定代表人：</w:t>
      </w:r>
      <w:r>
        <w:rPr>
          <w:rFonts w:ascii="宋体" w:hAnsi="宋体"/>
          <w:sz w:val="24"/>
          <w:szCs w:val="21"/>
          <w:highlight w:val="none"/>
        </w:rPr>
        <w:tab/>
      </w:r>
      <w:r>
        <w:rPr>
          <w:rFonts w:hint="eastAsia" w:ascii="宋体" w:hAnsi="宋体"/>
          <w:sz w:val="24"/>
          <w:szCs w:val="21"/>
          <w:highlight w:val="none"/>
        </w:rPr>
        <w:t xml:space="preserve">                          </w:t>
      </w:r>
      <w:r>
        <w:rPr>
          <w:rFonts w:ascii="宋体" w:hAnsi="宋体"/>
          <w:sz w:val="24"/>
          <w:szCs w:val="21"/>
          <w:highlight w:val="none"/>
        </w:rPr>
        <w:t>法定代表人：</w:t>
      </w:r>
    </w:p>
    <w:p>
      <w:pPr>
        <w:snapToGrid w:val="0"/>
        <w:ind w:firstLine="480" w:firstLineChars="200"/>
        <w:rPr>
          <w:rFonts w:ascii="宋体" w:hAnsi="宋体"/>
          <w:sz w:val="24"/>
          <w:szCs w:val="21"/>
          <w:highlight w:val="none"/>
        </w:rPr>
      </w:pPr>
      <w:r>
        <w:rPr>
          <w:rFonts w:ascii="宋体" w:hAnsi="宋体"/>
          <w:sz w:val="24"/>
          <w:szCs w:val="21"/>
          <w:highlight w:val="none"/>
        </w:rPr>
        <w:t>授</w:t>
      </w:r>
      <w:r>
        <w:rPr>
          <w:rFonts w:hint="eastAsia" w:ascii="宋体" w:hAnsi="宋体"/>
          <w:sz w:val="24"/>
          <w:szCs w:val="21"/>
          <w:highlight w:val="none"/>
        </w:rPr>
        <w:t xml:space="preserve"> </w:t>
      </w:r>
      <w:r>
        <w:rPr>
          <w:rFonts w:ascii="宋体" w:hAnsi="宋体"/>
          <w:sz w:val="24"/>
          <w:szCs w:val="21"/>
          <w:highlight w:val="none"/>
        </w:rPr>
        <w:t>权</w:t>
      </w:r>
      <w:r>
        <w:rPr>
          <w:rFonts w:hint="eastAsia" w:ascii="宋体" w:hAnsi="宋体"/>
          <w:sz w:val="24"/>
          <w:szCs w:val="21"/>
          <w:highlight w:val="none"/>
        </w:rPr>
        <w:t xml:space="preserve"> </w:t>
      </w:r>
      <w:r>
        <w:rPr>
          <w:rFonts w:ascii="宋体" w:hAnsi="宋体"/>
          <w:sz w:val="24"/>
          <w:szCs w:val="21"/>
          <w:highlight w:val="none"/>
        </w:rPr>
        <w:t>代</w:t>
      </w:r>
      <w:r>
        <w:rPr>
          <w:rFonts w:hint="eastAsia" w:ascii="宋体" w:hAnsi="宋体"/>
          <w:sz w:val="24"/>
          <w:szCs w:val="21"/>
          <w:highlight w:val="none"/>
        </w:rPr>
        <w:t xml:space="preserve"> </w:t>
      </w:r>
      <w:r>
        <w:rPr>
          <w:rFonts w:ascii="宋体" w:hAnsi="宋体"/>
          <w:sz w:val="24"/>
          <w:szCs w:val="21"/>
          <w:highlight w:val="none"/>
        </w:rPr>
        <w:t>表：</w:t>
      </w:r>
      <w:r>
        <w:rPr>
          <w:rFonts w:hint="eastAsia" w:ascii="宋体" w:hAnsi="宋体"/>
          <w:sz w:val="24"/>
          <w:szCs w:val="21"/>
          <w:highlight w:val="none"/>
        </w:rPr>
        <w:t xml:space="preserve"> </w:t>
      </w:r>
      <w:r>
        <w:rPr>
          <w:rFonts w:ascii="宋体" w:hAnsi="宋体"/>
          <w:sz w:val="24"/>
          <w:szCs w:val="21"/>
          <w:highlight w:val="none"/>
        </w:rPr>
        <w:t xml:space="preserve">  </w:t>
      </w:r>
      <w:r>
        <w:rPr>
          <w:rFonts w:hint="eastAsia" w:ascii="宋体" w:hAnsi="宋体"/>
          <w:sz w:val="24"/>
          <w:szCs w:val="21"/>
          <w:highlight w:val="none"/>
        </w:rPr>
        <w:t xml:space="preserve">/                      </w:t>
      </w:r>
      <w:r>
        <w:rPr>
          <w:rFonts w:ascii="宋体" w:hAnsi="宋体"/>
          <w:sz w:val="24"/>
          <w:szCs w:val="21"/>
          <w:highlight w:val="none"/>
        </w:rPr>
        <w:t xml:space="preserve"> 授</w:t>
      </w:r>
      <w:r>
        <w:rPr>
          <w:rFonts w:hint="eastAsia" w:ascii="宋体" w:hAnsi="宋体"/>
          <w:sz w:val="24"/>
          <w:szCs w:val="21"/>
          <w:highlight w:val="none"/>
        </w:rPr>
        <w:t xml:space="preserve"> </w:t>
      </w:r>
      <w:r>
        <w:rPr>
          <w:rFonts w:ascii="宋体" w:hAnsi="宋体"/>
          <w:sz w:val="24"/>
          <w:szCs w:val="21"/>
          <w:highlight w:val="none"/>
        </w:rPr>
        <w:t>权</w:t>
      </w:r>
      <w:r>
        <w:rPr>
          <w:rFonts w:hint="eastAsia" w:ascii="宋体" w:hAnsi="宋体"/>
          <w:sz w:val="24"/>
          <w:szCs w:val="21"/>
          <w:highlight w:val="none"/>
        </w:rPr>
        <w:t xml:space="preserve"> </w:t>
      </w:r>
      <w:r>
        <w:rPr>
          <w:rFonts w:ascii="宋体" w:hAnsi="宋体"/>
          <w:sz w:val="24"/>
          <w:szCs w:val="21"/>
          <w:highlight w:val="none"/>
        </w:rPr>
        <w:t>代</w:t>
      </w:r>
      <w:r>
        <w:rPr>
          <w:rFonts w:hint="eastAsia" w:ascii="宋体" w:hAnsi="宋体"/>
          <w:sz w:val="24"/>
          <w:szCs w:val="21"/>
          <w:highlight w:val="none"/>
        </w:rPr>
        <w:t xml:space="preserve"> </w:t>
      </w:r>
      <w:r>
        <w:rPr>
          <w:rFonts w:ascii="宋体" w:hAnsi="宋体"/>
          <w:sz w:val="24"/>
          <w:szCs w:val="21"/>
          <w:highlight w:val="none"/>
        </w:rPr>
        <w:t>表：</w:t>
      </w:r>
      <w:r>
        <w:rPr>
          <w:rFonts w:hint="eastAsia" w:ascii="宋体" w:hAnsi="宋体"/>
          <w:sz w:val="24"/>
          <w:szCs w:val="21"/>
          <w:highlight w:val="none"/>
        </w:rPr>
        <w:t xml:space="preserve"> </w:t>
      </w:r>
      <w:r>
        <w:rPr>
          <w:rFonts w:ascii="宋体" w:hAnsi="宋体"/>
          <w:sz w:val="24"/>
          <w:szCs w:val="21"/>
          <w:highlight w:val="none"/>
        </w:rPr>
        <w:t xml:space="preserve"> </w:t>
      </w:r>
    </w:p>
    <w:p>
      <w:pPr>
        <w:tabs>
          <w:tab w:val="left" w:pos="525"/>
          <w:tab w:val="left" w:pos="1155"/>
        </w:tabs>
        <w:snapToGrid w:val="0"/>
        <w:rPr>
          <w:rFonts w:ascii="宋体" w:hAnsi="宋体"/>
          <w:sz w:val="24"/>
          <w:highlight w:val="none"/>
        </w:rPr>
      </w:pPr>
      <w:r>
        <w:rPr>
          <w:rFonts w:hint="eastAsia" w:ascii="宋体" w:hAnsi="宋体"/>
          <w:sz w:val="24"/>
          <w:highlight w:val="none"/>
        </w:rPr>
        <w:t xml:space="preserve"> </w:t>
      </w:r>
      <w:r>
        <w:rPr>
          <w:rFonts w:ascii="宋体" w:hAnsi="宋体"/>
          <w:sz w:val="24"/>
          <w:highlight w:val="none"/>
        </w:rPr>
        <w:t xml:space="preserve">   </w:t>
      </w: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话：020-390603</w:t>
      </w:r>
      <w:r>
        <w:rPr>
          <w:rFonts w:ascii="宋体" w:hAnsi="宋体"/>
          <w:sz w:val="24"/>
          <w:highlight w:val="none"/>
        </w:rPr>
        <w:t xml:space="preserve">78               </w:t>
      </w:r>
      <w:r>
        <w:rPr>
          <w:rFonts w:hint="eastAsia" w:ascii="宋体" w:hAnsi="宋体"/>
          <w:sz w:val="24"/>
          <w:highlight w:val="none"/>
        </w:rPr>
        <w:t>电</w:t>
      </w:r>
      <w:r>
        <w:rPr>
          <w:rFonts w:ascii="宋体" w:hAnsi="宋体"/>
          <w:sz w:val="24"/>
          <w:highlight w:val="none"/>
        </w:rPr>
        <w:t xml:space="preserve">       </w:t>
      </w:r>
      <w:r>
        <w:rPr>
          <w:rFonts w:hint="eastAsia" w:ascii="宋体" w:hAnsi="宋体"/>
          <w:sz w:val="24"/>
          <w:highlight w:val="none"/>
        </w:rPr>
        <w:t>话：</w:t>
      </w:r>
    </w:p>
    <w:p>
      <w:pPr>
        <w:snapToGrid w:val="0"/>
        <w:ind w:firstLine="480" w:firstLineChars="200"/>
        <w:rPr>
          <w:rFonts w:ascii="宋体" w:hAnsi="宋体"/>
          <w:sz w:val="24"/>
          <w:szCs w:val="21"/>
          <w:highlight w:val="none"/>
        </w:rPr>
      </w:pPr>
      <w:r>
        <w:rPr>
          <w:rFonts w:hint="eastAsia" w:ascii="宋体" w:hAnsi="宋体"/>
          <w:sz w:val="24"/>
          <w:szCs w:val="21"/>
          <w:highlight w:val="none"/>
        </w:rPr>
        <w:t xml:space="preserve">传       真： </w:t>
      </w:r>
      <w:r>
        <w:rPr>
          <w:rFonts w:ascii="宋体" w:hAnsi="宋体"/>
          <w:sz w:val="24"/>
          <w:szCs w:val="21"/>
          <w:highlight w:val="none"/>
        </w:rPr>
        <w:t xml:space="preserve">  </w:t>
      </w:r>
      <w:r>
        <w:rPr>
          <w:rFonts w:hint="eastAsia" w:ascii="宋体" w:hAnsi="宋体"/>
          <w:sz w:val="24"/>
          <w:szCs w:val="21"/>
          <w:highlight w:val="none"/>
        </w:rPr>
        <w:t xml:space="preserve">/                       传       真： </w:t>
      </w:r>
      <w:r>
        <w:rPr>
          <w:rFonts w:ascii="宋体" w:hAnsi="宋体"/>
          <w:sz w:val="24"/>
          <w:szCs w:val="21"/>
          <w:highlight w:val="none"/>
        </w:rPr>
        <w:t xml:space="preserve"> </w:t>
      </w:r>
    </w:p>
    <w:p>
      <w:pPr>
        <w:snapToGrid w:val="0"/>
        <w:ind w:firstLine="480" w:firstLineChars="200"/>
        <w:rPr>
          <w:rFonts w:ascii="宋体" w:hAnsi="宋体"/>
          <w:sz w:val="24"/>
          <w:szCs w:val="21"/>
          <w:highlight w:val="none"/>
        </w:rPr>
      </w:pPr>
      <w:r>
        <w:rPr>
          <w:rFonts w:ascii="宋体" w:hAnsi="宋体"/>
          <w:sz w:val="24"/>
          <w:szCs w:val="21"/>
          <w:highlight w:val="none"/>
        </w:rPr>
        <w:t>邮</w:t>
      </w:r>
      <w:r>
        <w:rPr>
          <w:rFonts w:hint="eastAsia" w:ascii="宋体" w:hAnsi="宋体"/>
          <w:sz w:val="24"/>
          <w:szCs w:val="21"/>
          <w:highlight w:val="none"/>
        </w:rPr>
        <w:t xml:space="preserve"> </w:t>
      </w:r>
      <w:r>
        <w:rPr>
          <w:rFonts w:ascii="宋体" w:hAnsi="宋体"/>
          <w:sz w:val="24"/>
          <w:szCs w:val="21"/>
          <w:highlight w:val="none"/>
        </w:rPr>
        <w:t>政</w:t>
      </w:r>
      <w:r>
        <w:rPr>
          <w:rFonts w:hint="eastAsia" w:ascii="宋体" w:hAnsi="宋体"/>
          <w:sz w:val="24"/>
          <w:szCs w:val="21"/>
          <w:highlight w:val="none"/>
        </w:rPr>
        <w:t xml:space="preserve"> </w:t>
      </w:r>
      <w:r>
        <w:rPr>
          <w:rFonts w:ascii="宋体" w:hAnsi="宋体"/>
          <w:sz w:val="24"/>
          <w:szCs w:val="21"/>
          <w:highlight w:val="none"/>
        </w:rPr>
        <w:t>编</w:t>
      </w:r>
      <w:r>
        <w:rPr>
          <w:rFonts w:hint="eastAsia" w:ascii="宋体" w:hAnsi="宋体"/>
          <w:sz w:val="24"/>
          <w:szCs w:val="21"/>
          <w:highlight w:val="none"/>
        </w:rPr>
        <w:t xml:space="preserve"> </w:t>
      </w:r>
      <w:r>
        <w:rPr>
          <w:rFonts w:ascii="宋体" w:hAnsi="宋体"/>
          <w:sz w:val="24"/>
          <w:szCs w:val="21"/>
          <w:highlight w:val="none"/>
        </w:rPr>
        <w:t xml:space="preserve">码： </w:t>
      </w:r>
      <w:r>
        <w:rPr>
          <w:rFonts w:hint="eastAsia" w:ascii="宋体" w:hAnsi="宋体"/>
          <w:sz w:val="24"/>
          <w:highlight w:val="none"/>
        </w:rPr>
        <w:t>511458</w:t>
      </w:r>
      <w:r>
        <w:rPr>
          <w:rFonts w:hint="eastAsia" w:ascii="宋体" w:hAnsi="宋体"/>
          <w:sz w:val="24"/>
          <w:szCs w:val="21"/>
          <w:highlight w:val="none"/>
        </w:rPr>
        <w:t xml:space="preserve">                    </w:t>
      </w:r>
      <w:r>
        <w:rPr>
          <w:rFonts w:ascii="宋体" w:hAnsi="宋体"/>
          <w:sz w:val="24"/>
          <w:szCs w:val="21"/>
          <w:highlight w:val="none"/>
        </w:rPr>
        <w:t>邮</w:t>
      </w:r>
      <w:r>
        <w:rPr>
          <w:rFonts w:hint="eastAsia" w:ascii="宋体" w:hAnsi="宋体"/>
          <w:sz w:val="24"/>
          <w:szCs w:val="21"/>
          <w:highlight w:val="none"/>
        </w:rPr>
        <w:t xml:space="preserve"> </w:t>
      </w:r>
      <w:r>
        <w:rPr>
          <w:rFonts w:ascii="宋体" w:hAnsi="宋体"/>
          <w:sz w:val="24"/>
          <w:szCs w:val="21"/>
          <w:highlight w:val="none"/>
        </w:rPr>
        <w:t>政</w:t>
      </w:r>
      <w:r>
        <w:rPr>
          <w:rFonts w:hint="eastAsia" w:ascii="宋体" w:hAnsi="宋体"/>
          <w:sz w:val="24"/>
          <w:szCs w:val="21"/>
          <w:highlight w:val="none"/>
        </w:rPr>
        <w:t xml:space="preserve"> </w:t>
      </w:r>
      <w:r>
        <w:rPr>
          <w:rFonts w:ascii="宋体" w:hAnsi="宋体"/>
          <w:sz w:val="24"/>
          <w:szCs w:val="21"/>
          <w:highlight w:val="none"/>
        </w:rPr>
        <w:t>编</w:t>
      </w:r>
      <w:r>
        <w:rPr>
          <w:rFonts w:hint="eastAsia" w:ascii="宋体" w:hAnsi="宋体"/>
          <w:sz w:val="24"/>
          <w:szCs w:val="21"/>
          <w:highlight w:val="none"/>
        </w:rPr>
        <w:t xml:space="preserve"> </w:t>
      </w:r>
      <w:r>
        <w:rPr>
          <w:rFonts w:ascii="宋体" w:hAnsi="宋体"/>
          <w:sz w:val="24"/>
          <w:szCs w:val="21"/>
          <w:highlight w:val="none"/>
        </w:rPr>
        <w:t>码：</w:t>
      </w:r>
    </w:p>
    <w:p>
      <w:pPr>
        <w:snapToGrid w:val="0"/>
        <w:ind w:firstLine="480" w:firstLineChars="200"/>
        <w:rPr>
          <w:rFonts w:ascii="宋体" w:hAnsi="宋体"/>
          <w:sz w:val="24"/>
          <w:szCs w:val="21"/>
          <w:highlight w:val="none"/>
        </w:rPr>
      </w:pPr>
    </w:p>
    <w:p>
      <w:pPr>
        <w:snapToGrid w:val="0"/>
        <w:ind w:firstLine="480" w:firstLineChars="200"/>
        <w:rPr>
          <w:rFonts w:ascii="宋体" w:hAnsi="宋体"/>
          <w:sz w:val="24"/>
          <w:szCs w:val="21"/>
          <w:highlight w:val="none"/>
        </w:rPr>
      </w:pPr>
      <w:r>
        <w:rPr>
          <w:rFonts w:ascii="宋体" w:hAnsi="宋体"/>
          <w:sz w:val="24"/>
          <w:szCs w:val="21"/>
          <w:highlight w:val="none"/>
        </w:rPr>
        <w:t>签订日期：</w:t>
      </w:r>
      <w:r>
        <w:rPr>
          <w:rFonts w:hint="eastAsia" w:ascii="宋体" w:hAnsi="宋体"/>
          <w:sz w:val="24"/>
          <w:szCs w:val="21"/>
          <w:highlight w:val="none"/>
        </w:rPr>
        <w:t xml:space="preserve">   年 月 日</w:t>
      </w:r>
    </w:p>
    <w:p>
      <w:pPr>
        <w:widowControl/>
        <w:snapToGrid w:val="0"/>
        <w:rPr>
          <w:highlight w:val="none"/>
        </w:rPr>
      </w:pPr>
    </w:p>
    <w:sectPr>
      <w:footerReference r:id="rId7" w:type="default"/>
      <w:footerReference r:id="rId8" w:type="even"/>
      <w:pgSz w:w="11907" w:h="16839"/>
      <w:pgMar w:top="1440" w:right="1276" w:bottom="1440" w:left="1135" w:header="851"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EU-F1">
    <w:altName w:val="宋体"/>
    <w:panose1 w:val="00000000000000000000"/>
    <w:charset w:val="86"/>
    <w:family w:val="script"/>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长城楷体">
    <w:altName w:val="宋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top w:val="single" w:color="auto" w:sz="4" w:space="1"/>
      </w:pBd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W7l30AAAAAIBAAAPAAAAAAAAAAEAIAAAACIAAABkcnMvZG93bnJldi54bWxQSwEC&#10;FAAUAAAACACHTuJASm+XoPwBAAADBAAADgAAAAAAAAABACAAAAAfAQAAZHJzL2Uyb0RvYy54bWxQ&#10;SwUGAAAAAAYABgBZAQAAj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2"/>
                          </w:pPr>
                          <w:r>
                            <w:fldChar w:fldCharType="begin"/>
                          </w:r>
                          <w:r>
                            <w:instrText xml:space="preserve"> PAGE  \* MERGEFORMAT </w:instrText>
                          </w:r>
                          <w:r>
                            <w:fldChar w:fldCharType="separate"/>
                          </w:r>
                          <w:r>
                            <w:t>36</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ulhTQAAAAAwEAAA8AAAAAAAAAAQAgAAAAIgAAAGRycy9kb3ducmV2LnhtbFBLAQIU&#10;ABQAAAAIAIdO4kAmOcK6+wEAAAQEAAAOAAAAAAAAAAEAIAAAAB8BAABkcnMvZTJvRG9jLnhtbFBL&#10;BQYAAAAABgAGAFkBAACM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4"/>
      </w:rPr>
    </w:pPr>
    <w:r>
      <w:fldChar w:fldCharType="begin"/>
    </w:r>
    <w:r>
      <w:rPr>
        <w:rStyle w:val="44"/>
      </w:rPr>
      <w:instrText xml:space="preserve">PAGE  </w:instrText>
    </w:r>
    <w:r>
      <w:fldChar w:fldCharType="end"/>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AC87F"/>
    <w:multiLevelType w:val="multilevel"/>
    <w:tmpl w:val="98EAC87F"/>
    <w:lvl w:ilvl="0" w:tentative="0">
      <w:start w:val="1"/>
      <w:numFmt w:val="decimal"/>
      <w:suff w:val="space"/>
      <w:lvlText w:val="9.3.%1"/>
      <w:lvlJc w:val="left"/>
      <w:pPr>
        <w:ind w:left="420" w:hanging="420"/>
      </w:pPr>
      <w:rPr>
        <w:rFonts w:hint="default" w:ascii="Arial" w:hAnsi="Arial" w:cs="Arial"/>
        <w:sz w:val="21"/>
        <w:szCs w:val="21"/>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A745C0DA"/>
    <w:multiLevelType w:val="multilevel"/>
    <w:tmpl w:val="A745C0DA"/>
    <w:lvl w:ilvl="0" w:tentative="0">
      <w:start w:val="1"/>
      <w:numFmt w:val="decimal"/>
      <w:suff w:val="space"/>
      <w:lvlText w:val="14.%1"/>
      <w:lvlJc w:val="left"/>
      <w:pPr>
        <w:ind w:left="420" w:hanging="420"/>
      </w:pPr>
      <w:rPr>
        <w:rFonts w:hint="default" w:ascii="Arial" w:hAnsi="Arial" w:cs="Arial"/>
        <w:sz w:val="21"/>
        <w:szCs w:val="21"/>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
    <w:nsid w:val="BF26C4C5"/>
    <w:multiLevelType w:val="multilevel"/>
    <w:tmpl w:val="BF26C4C5"/>
    <w:lvl w:ilvl="0" w:tentative="0">
      <w:start w:val="1"/>
      <w:numFmt w:val="decimal"/>
      <w:suff w:val="space"/>
      <w:lvlText w:val="10.6.%1"/>
      <w:lvlJc w:val="left"/>
      <w:pPr>
        <w:ind w:left="420" w:hanging="420"/>
      </w:pPr>
      <w:rPr>
        <w:rFonts w:hint="default" w:ascii="宋体" w:hAnsi="宋体" w:eastAsia="宋体" w:cs="宋体"/>
        <w:sz w:val="21"/>
        <w:szCs w:val="21"/>
      </w:rPr>
    </w:lvl>
    <w:lvl w:ilvl="1" w:tentative="0">
      <w:start w:val="1"/>
      <w:numFmt w:val="lowerLetter"/>
      <w:lvlText w:val="%2)"/>
      <w:lvlJc w:val="left"/>
      <w:pPr>
        <w:ind w:left="420" w:hanging="420"/>
      </w:pPr>
      <w:rPr>
        <w:rFonts w:hint="eastAsia"/>
      </w:rPr>
    </w:lvl>
    <w:lvl w:ilvl="2" w:tentative="0">
      <w:start w:val="1"/>
      <w:numFmt w:val="lowerRoman"/>
      <w:lvlText w:val="%3."/>
      <w:lvlJc w:val="right"/>
      <w:pPr>
        <w:ind w:left="840" w:hanging="420"/>
      </w:pPr>
      <w:rPr>
        <w:rFonts w:hint="eastAsia"/>
      </w:rPr>
    </w:lvl>
    <w:lvl w:ilvl="3" w:tentative="0">
      <w:start w:val="1"/>
      <w:numFmt w:val="decimal"/>
      <w:lvlText w:val="%4."/>
      <w:lvlJc w:val="left"/>
      <w:pPr>
        <w:ind w:left="1260" w:hanging="420"/>
      </w:pPr>
      <w:rPr>
        <w:rFonts w:hint="eastAsia"/>
      </w:rPr>
    </w:lvl>
    <w:lvl w:ilvl="4" w:tentative="0">
      <w:start w:val="1"/>
      <w:numFmt w:val="lowerLetter"/>
      <w:lvlText w:val="%5)"/>
      <w:lvlJc w:val="left"/>
      <w:pPr>
        <w:ind w:left="1680" w:hanging="420"/>
      </w:pPr>
      <w:rPr>
        <w:rFonts w:hint="eastAsia"/>
      </w:rPr>
    </w:lvl>
    <w:lvl w:ilvl="5" w:tentative="0">
      <w:start w:val="1"/>
      <w:numFmt w:val="lowerRoman"/>
      <w:lvlText w:val="%6."/>
      <w:lvlJc w:val="right"/>
      <w:pPr>
        <w:ind w:left="2100" w:hanging="420"/>
      </w:pPr>
      <w:rPr>
        <w:rFonts w:hint="eastAsia"/>
      </w:rPr>
    </w:lvl>
    <w:lvl w:ilvl="6" w:tentative="0">
      <w:start w:val="1"/>
      <w:numFmt w:val="decimal"/>
      <w:lvlText w:val="%7."/>
      <w:lvlJc w:val="left"/>
      <w:pPr>
        <w:ind w:left="2520" w:hanging="420"/>
      </w:pPr>
      <w:rPr>
        <w:rFonts w:hint="eastAsia"/>
      </w:rPr>
    </w:lvl>
    <w:lvl w:ilvl="7" w:tentative="0">
      <w:start w:val="1"/>
      <w:numFmt w:val="lowerLetter"/>
      <w:lvlText w:val="%8)"/>
      <w:lvlJc w:val="left"/>
      <w:pPr>
        <w:ind w:left="2940" w:hanging="420"/>
      </w:pPr>
      <w:rPr>
        <w:rFonts w:hint="eastAsia"/>
      </w:rPr>
    </w:lvl>
    <w:lvl w:ilvl="8" w:tentative="0">
      <w:start w:val="1"/>
      <w:numFmt w:val="lowerRoman"/>
      <w:lvlText w:val="%9."/>
      <w:lvlJc w:val="right"/>
      <w:pPr>
        <w:ind w:left="3360" w:hanging="420"/>
      </w:pPr>
      <w:rPr>
        <w:rFonts w:hint="eastAsia"/>
      </w:rPr>
    </w:lvl>
  </w:abstractNum>
  <w:abstractNum w:abstractNumId="3">
    <w:nsid w:val="C3EEC12E"/>
    <w:multiLevelType w:val="multilevel"/>
    <w:tmpl w:val="C3EEC12E"/>
    <w:lvl w:ilvl="0" w:tentative="0">
      <w:start w:val="1"/>
      <w:numFmt w:val="decimal"/>
      <w:lvlText w:val="8.5.%1"/>
      <w:lvlJc w:val="left"/>
      <w:pPr>
        <w:ind w:left="1260" w:hanging="420"/>
      </w:pPr>
      <w:rPr>
        <w:rFonts w:hint="default" w:ascii="宋体" w:hAnsi="宋体" w:eastAsia="宋体" w:cs="宋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D09628FA"/>
    <w:multiLevelType w:val="multilevel"/>
    <w:tmpl w:val="D09628FA"/>
    <w:lvl w:ilvl="0" w:tentative="0">
      <w:start w:val="1"/>
      <w:numFmt w:val="decimal"/>
      <w:suff w:val="space"/>
      <w:lvlText w:val="16.2.%1"/>
      <w:lvlJc w:val="left"/>
      <w:pPr>
        <w:ind w:left="0" w:hanging="420"/>
      </w:pPr>
      <w:rPr>
        <w:rFonts w:hint="default" w:ascii="Arial" w:hAnsi="Arial" w:cs="Arial"/>
        <w:sz w:val="21"/>
        <w:szCs w:val="21"/>
      </w:r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5">
    <w:nsid w:val="D1E9B717"/>
    <w:multiLevelType w:val="singleLevel"/>
    <w:tmpl w:val="D1E9B717"/>
    <w:lvl w:ilvl="0" w:tentative="0">
      <w:start w:val="1"/>
      <w:numFmt w:val="chineseCounting"/>
      <w:suff w:val="nothing"/>
      <w:lvlText w:val="%1、"/>
      <w:lvlJc w:val="left"/>
      <w:pPr>
        <w:ind w:left="140" w:firstLine="0"/>
      </w:pPr>
      <w:rPr>
        <w:rFonts w:hint="eastAsia"/>
      </w:rPr>
    </w:lvl>
  </w:abstractNum>
  <w:abstractNum w:abstractNumId="6">
    <w:nsid w:val="F37FCDC5"/>
    <w:multiLevelType w:val="multilevel"/>
    <w:tmpl w:val="F37FCDC5"/>
    <w:lvl w:ilvl="0" w:tentative="0">
      <w:start w:val="1"/>
      <w:numFmt w:val="decimal"/>
      <w:suff w:val="space"/>
      <w:lvlText w:val="6.%1"/>
      <w:lvlJc w:val="left"/>
      <w:pPr>
        <w:ind w:left="420" w:hanging="420"/>
      </w:pPr>
      <w:rPr>
        <w:rFonts w:hint="default" w:ascii="Arial" w:hAnsi="Arial" w:cs="Arial"/>
        <w:sz w:val="21"/>
        <w:szCs w:val="21"/>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7">
    <w:nsid w:val="00000002"/>
    <w:multiLevelType w:val="multilevel"/>
    <w:tmpl w:val="00000002"/>
    <w:lvl w:ilvl="0" w:tentative="0">
      <w:start w:val="1"/>
      <w:numFmt w:val="decimal"/>
      <w:lvlText w:val="%1."/>
      <w:lvlJc w:val="left"/>
      <w:pPr>
        <w:tabs>
          <w:tab w:val="left" w:pos="646"/>
        </w:tabs>
        <w:ind w:left="42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9"/>
      <w:lvlText w:val="%7."/>
      <w:lvlJc w:val="left"/>
      <w:pPr>
        <w:tabs>
          <w:tab w:val="left" w:pos="0"/>
        </w:tabs>
        <w:ind w:left="0" w:firstLine="0"/>
      </w:pPr>
      <w:rPr>
        <w:rFonts w:hint="eastAsia"/>
      </w:r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1DFDF68"/>
    <w:multiLevelType w:val="multilevel"/>
    <w:tmpl w:val="01DFDF68"/>
    <w:lvl w:ilvl="0" w:tentative="0">
      <w:start w:val="1"/>
      <w:numFmt w:val="decimal"/>
      <w:suff w:val="space"/>
      <w:lvlText w:val="8.%1"/>
      <w:lvlJc w:val="left"/>
      <w:pPr>
        <w:ind w:left="420" w:hanging="420"/>
      </w:pPr>
      <w:rPr>
        <w:rFonts w:hint="default" w:ascii="Arial" w:hAnsi="Arial" w:cs="Arial"/>
        <w:sz w:val="21"/>
        <w:szCs w:val="21"/>
      </w:rPr>
    </w:lvl>
    <w:lvl w:ilvl="1" w:tentative="0">
      <w:start w:val="1"/>
      <w:numFmt w:val="lowerLetter"/>
      <w:lvlText w:val="%2)"/>
      <w:lvlJc w:val="left"/>
      <w:pPr>
        <w:ind w:left="-573" w:hanging="420"/>
      </w:pPr>
    </w:lvl>
    <w:lvl w:ilvl="2" w:tentative="0">
      <w:start w:val="1"/>
      <w:numFmt w:val="lowerRoman"/>
      <w:lvlText w:val="%3."/>
      <w:lvlJc w:val="right"/>
      <w:pPr>
        <w:ind w:left="-153" w:hanging="420"/>
      </w:pPr>
    </w:lvl>
    <w:lvl w:ilvl="3" w:tentative="0">
      <w:start w:val="1"/>
      <w:numFmt w:val="decimal"/>
      <w:lvlText w:val="%4."/>
      <w:lvlJc w:val="left"/>
      <w:pPr>
        <w:ind w:left="267" w:hanging="420"/>
      </w:pPr>
    </w:lvl>
    <w:lvl w:ilvl="4" w:tentative="0">
      <w:start w:val="1"/>
      <w:numFmt w:val="lowerLetter"/>
      <w:lvlText w:val="%5)"/>
      <w:lvlJc w:val="left"/>
      <w:pPr>
        <w:ind w:left="687" w:hanging="420"/>
      </w:pPr>
    </w:lvl>
    <w:lvl w:ilvl="5" w:tentative="0">
      <w:start w:val="1"/>
      <w:numFmt w:val="lowerRoman"/>
      <w:lvlText w:val="%6."/>
      <w:lvlJc w:val="right"/>
      <w:pPr>
        <w:ind w:left="1107" w:hanging="420"/>
      </w:pPr>
    </w:lvl>
    <w:lvl w:ilvl="6" w:tentative="0">
      <w:start w:val="1"/>
      <w:numFmt w:val="decimal"/>
      <w:lvlText w:val="%7."/>
      <w:lvlJc w:val="left"/>
      <w:pPr>
        <w:ind w:left="1527" w:hanging="420"/>
      </w:pPr>
    </w:lvl>
    <w:lvl w:ilvl="7" w:tentative="0">
      <w:start w:val="1"/>
      <w:numFmt w:val="lowerLetter"/>
      <w:lvlText w:val="%8)"/>
      <w:lvlJc w:val="left"/>
      <w:pPr>
        <w:ind w:left="1947" w:hanging="420"/>
      </w:pPr>
    </w:lvl>
    <w:lvl w:ilvl="8" w:tentative="0">
      <w:start w:val="1"/>
      <w:numFmt w:val="lowerRoman"/>
      <w:lvlText w:val="%9."/>
      <w:lvlJc w:val="right"/>
      <w:pPr>
        <w:ind w:left="2367" w:hanging="420"/>
      </w:pPr>
    </w:lvl>
  </w:abstractNum>
  <w:abstractNum w:abstractNumId="9">
    <w:nsid w:val="1120DF15"/>
    <w:multiLevelType w:val="multilevel"/>
    <w:tmpl w:val="1120DF15"/>
    <w:lvl w:ilvl="0" w:tentative="0">
      <w:start w:val="1"/>
      <w:numFmt w:val="decimal"/>
      <w:suff w:val="space"/>
      <w:lvlText w:val="12.%1"/>
      <w:lvlJc w:val="left"/>
      <w:pPr>
        <w:ind w:left="420" w:hanging="420"/>
      </w:pPr>
      <w:rPr>
        <w:rFonts w:hint="default" w:ascii="Arial" w:hAnsi="Arial" w:cs="Arial"/>
        <w:sz w:val="21"/>
        <w:szCs w:val="21"/>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0">
    <w:nsid w:val="13BE8BAB"/>
    <w:multiLevelType w:val="multilevel"/>
    <w:tmpl w:val="13BE8BAB"/>
    <w:lvl w:ilvl="0" w:tentative="0">
      <w:start w:val="1"/>
      <w:numFmt w:val="decimal"/>
      <w:suff w:val="space"/>
      <w:lvlText w:val="16.%1"/>
      <w:lvlJc w:val="left"/>
      <w:pPr>
        <w:ind w:left="420" w:hanging="420"/>
      </w:pPr>
      <w:rPr>
        <w:rFonts w:hint="default" w:ascii="Arial" w:hAnsi="Arial" w:cs="Arial"/>
        <w:sz w:val="21"/>
        <w:szCs w:val="21"/>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1">
    <w:nsid w:val="1457753E"/>
    <w:multiLevelType w:val="multilevel"/>
    <w:tmpl w:val="1457753E"/>
    <w:lvl w:ilvl="0" w:tentative="0">
      <w:start w:val="1"/>
      <w:numFmt w:val="decimal"/>
      <w:lvlText w:val="2.%1"/>
      <w:lvlJc w:val="left"/>
      <w:pPr>
        <w:ind w:left="84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53E254C"/>
    <w:multiLevelType w:val="multilevel"/>
    <w:tmpl w:val="153E254C"/>
    <w:lvl w:ilvl="0" w:tentative="0">
      <w:start w:val="1"/>
      <w:numFmt w:val="decimal"/>
      <w:lvlText w:val="9.%1"/>
      <w:lvlJc w:val="left"/>
      <w:pPr>
        <w:ind w:left="84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E42116"/>
    <w:multiLevelType w:val="multilevel"/>
    <w:tmpl w:val="1FE42116"/>
    <w:lvl w:ilvl="0" w:tentative="0">
      <w:start w:val="1"/>
      <w:numFmt w:val="chineseCountingThousand"/>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5D57BB2"/>
    <w:multiLevelType w:val="multilevel"/>
    <w:tmpl w:val="35D57BB2"/>
    <w:lvl w:ilvl="0" w:tentative="0">
      <w:start w:val="1"/>
      <w:numFmt w:val="decimal"/>
      <w:suff w:val="space"/>
      <w:lvlText w:val="9.1.%1"/>
      <w:lvlJc w:val="left"/>
      <w:pPr>
        <w:ind w:left="420" w:hanging="420"/>
      </w:pPr>
      <w:rPr>
        <w:rFonts w:hint="default" w:ascii="Arial" w:hAnsi="Arial" w:cs="Arial"/>
        <w:sz w:val="21"/>
        <w:szCs w:val="21"/>
      </w:rPr>
    </w:lvl>
    <w:lvl w:ilvl="1" w:tentative="0">
      <w:start w:val="1"/>
      <w:numFmt w:val="lowerLetter"/>
      <w:lvlText w:val="%2)"/>
      <w:lvlJc w:val="left"/>
      <w:pPr>
        <w:ind w:left="-572" w:hanging="420"/>
      </w:pPr>
    </w:lvl>
    <w:lvl w:ilvl="2" w:tentative="0">
      <w:start w:val="1"/>
      <w:numFmt w:val="lowerRoman"/>
      <w:lvlText w:val="%3."/>
      <w:lvlJc w:val="right"/>
      <w:pPr>
        <w:ind w:left="-152" w:hanging="420"/>
      </w:pPr>
    </w:lvl>
    <w:lvl w:ilvl="3" w:tentative="0">
      <w:start w:val="1"/>
      <w:numFmt w:val="decimal"/>
      <w:lvlText w:val="%4."/>
      <w:lvlJc w:val="left"/>
      <w:pPr>
        <w:ind w:left="268" w:hanging="420"/>
      </w:pPr>
    </w:lvl>
    <w:lvl w:ilvl="4" w:tentative="0">
      <w:start w:val="1"/>
      <w:numFmt w:val="lowerLetter"/>
      <w:lvlText w:val="%5)"/>
      <w:lvlJc w:val="left"/>
      <w:pPr>
        <w:ind w:left="688" w:hanging="420"/>
      </w:pPr>
    </w:lvl>
    <w:lvl w:ilvl="5" w:tentative="0">
      <w:start w:val="1"/>
      <w:numFmt w:val="lowerRoman"/>
      <w:lvlText w:val="%6."/>
      <w:lvlJc w:val="right"/>
      <w:pPr>
        <w:ind w:left="1108" w:hanging="420"/>
      </w:pPr>
    </w:lvl>
    <w:lvl w:ilvl="6" w:tentative="0">
      <w:start w:val="1"/>
      <w:numFmt w:val="decimal"/>
      <w:lvlText w:val="%7."/>
      <w:lvlJc w:val="left"/>
      <w:pPr>
        <w:ind w:left="1528" w:hanging="420"/>
      </w:pPr>
    </w:lvl>
    <w:lvl w:ilvl="7" w:tentative="0">
      <w:start w:val="1"/>
      <w:numFmt w:val="lowerLetter"/>
      <w:lvlText w:val="%8)"/>
      <w:lvlJc w:val="left"/>
      <w:pPr>
        <w:ind w:left="1948" w:hanging="420"/>
      </w:pPr>
    </w:lvl>
    <w:lvl w:ilvl="8" w:tentative="0">
      <w:start w:val="1"/>
      <w:numFmt w:val="lowerRoman"/>
      <w:lvlText w:val="%9."/>
      <w:lvlJc w:val="right"/>
      <w:pPr>
        <w:ind w:left="2368" w:hanging="420"/>
      </w:pPr>
    </w:lvl>
  </w:abstractNum>
  <w:abstractNum w:abstractNumId="15">
    <w:nsid w:val="3EE8B04D"/>
    <w:multiLevelType w:val="multilevel"/>
    <w:tmpl w:val="3EE8B04D"/>
    <w:lvl w:ilvl="0" w:tentative="0">
      <w:start w:val="1"/>
      <w:numFmt w:val="decimal"/>
      <w:lvlText w:val="3.1.%1"/>
      <w:lvlJc w:val="left"/>
      <w:pPr>
        <w:ind w:left="846" w:hanging="420"/>
      </w:pPr>
      <w:rPr>
        <w:rFonts w:hint="eastAsia"/>
      </w:rPr>
    </w:lvl>
    <w:lvl w:ilvl="1" w:tentative="0">
      <w:start w:val="1"/>
      <w:numFmt w:val="decimal"/>
      <w:suff w:val="space"/>
      <w:lvlText w:val="3.1.%2"/>
      <w:lvlJc w:val="left"/>
      <w:pPr>
        <w:ind w:left="420" w:hanging="420"/>
      </w:pPr>
      <w:rPr>
        <w:rFonts w:hint="default" w:ascii="Arial" w:hAnsi="Arial" w:cs="Arial"/>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1C07A86"/>
    <w:multiLevelType w:val="multilevel"/>
    <w:tmpl w:val="41C07A86"/>
    <w:lvl w:ilvl="0" w:tentative="0">
      <w:start w:val="1"/>
      <w:numFmt w:val="decimal"/>
      <w:suff w:val="space"/>
      <w:lvlText w:val="8.9.%1"/>
      <w:lvlJc w:val="left"/>
      <w:pPr>
        <w:ind w:left="420" w:hanging="420"/>
      </w:pPr>
      <w:rPr>
        <w:rFonts w:hint="default" w:ascii="宋体" w:hAnsi="宋体" w:eastAsia="宋体" w:cs="宋体"/>
        <w:sz w:val="21"/>
        <w:szCs w:val="21"/>
      </w:r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17">
    <w:nsid w:val="45273CF4"/>
    <w:multiLevelType w:val="multilevel"/>
    <w:tmpl w:val="45273CF4"/>
    <w:lvl w:ilvl="0" w:tentative="0">
      <w:start w:val="1"/>
      <w:numFmt w:val="decimal"/>
      <w:lvlText w:val="5.%1"/>
      <w:lvlJc w:val="left"/>
      <w:pPr>
        <w:ind w:left="84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5B32B05"/>
    <w:multiLevelType w:val="multilevel"/>
    <w:tmpl w:val="45B32B05"/>
    <w:lvl w:ilvl="0" w:tentative="0">
      <w:start w:val="1"/>
      <w:numFmt w:val="decimal"/>
      <w:suff w:val="space"/>
      <w:lvlText w:val="10.%1"/>
      <w:lvlJc w:val="left"/>
      <w:pPr>
        <w:ind w:left="846" w:hanging="420"/>
      </w:pPr>
      <w:rPr>
        <w:rFonts w:hint="default" w:ascii="Arial" w:hAnsi="Arial" w:cs="Arial"/>
        <w:sz w:val="21"/>
        <w:szCs w:val="21"/>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9">
    <w:nsid w:val="4685176F"/>
    <w:multiLevelType w:val="multilevel"/>
    <w:tmpl w:val="4685176F"/>
    <w:lvl w:ilvl="0" w:tentative="0">
      <w:start w:val="1"/>
      <w:numFmt w:val="decimal"/>
      <w:lvlText w:val="7.%1"/>
      <w:lvlJc w:val="left"/>
      <w:pPr>
        <w:ind w:left="-153" w:hanging="420"/>
      </w:pPr>
      <w:rPr>
        <w:rFonts w:hint="default" w:ascii="Arial" w:hAnsi="Arial" w:cs="Arial"/>
        <w:sz w:val="21"/>
        <w:szCs w:val="21"/>
      </w:rPr>
    </w:lvl>
    <w:lvl w:ilvl="1" w:tentative="0">
      <w:start w:val="1"/>
      <w:numFmt w:val="lowerLetter"/>
      <w:lvlText w:val="%2)"/>
      <w:lvlJc w:val="left"/>
      <w:pPr>
        <w:ind w:left="-153" w:hanging="420"/>
      </w:pPr>
    </w:lvl>
    <w:lvl w:ilvl="2" w:tentative="0">
      <w:start w:val="1"/>
      <w:numFmt w:val="lowerRoman"/>
      <w:lvlText w:val="%3."/>
      <w:lvlJc w:val="right"/>
      <w:pPr>
        <w:ind w:left="267" w:hanging="420"/>
      </w:pPr>
    </w:lvl>
    <w:lvl w:ilvl="3" w:tentative="0">
      <w:start w:val="1"/>
      <w:numFmt w:val="decimal"/>
      <w:lvlText w:val="%4."/>
      <w:lvlJc w:val="left"/>
      <w:pPr>
        <w:ind w:left="687" w:hanging="420"/>
      </w:pPr>
    </w:lvl>
    <w:lvl w:ilvl="4" w:tentative="0">
      <w:start w:val="1"/>
      <w:numFmt w:val="lowerLetter"/>
      <w:lvlText w:val="%5)"/>
      <w:lvlJc w:val="left"/>
      <w:pPr>
        <w:ind w:left="1107" w:hanging="420"/>
      </w:pPr>
    </w:lvl>
    <w:lvl w:ilvl="5" w:tentative="0">
      <w:start w:val="1"/>
      <w:numFmt w:val="lowerRoman"/>
      <w:lvlText w:val="%6."/>
      <w:lvlJc w:val="right"/>
      <w:pPr>
        <w:ind w:left="1527" w:hanging="420"/>
      </w:pPr>
    </w:lvl>
    <w:lvl w:ilvl="6" w:tentative="0">
      <w:start w:val="1"/>
      <w:numFmt w:val="decimal"/>
      <w:lvlText w:val="%7."/>
      <w:lvlJc w:val="left"/>
      <w:pPr>
        <w:ind w:left="1947" w:hanging="420"/>
      </w:pPr>
    </w:lvl>
    <w:lvl w:ilvl="7" w:tentative="0">
      <w:start w:val="1"/>
      <w:numFmt w:val="lowerLetter"/>
      <w:lvlText w:val="%8)"/>
      <w:lvlJc w:val="left"/>
      <w:pPr>
        <w:ind w:left="2367" w:hanging="420"/>
      </w:pPr>
    </w:lvl>
    <w:lvl w:ilvl="8" w:tentative="0">
      <w:start w:val="1"/>
      <w:numFmt w:val="lowerRoman"/>
      <w:lvlText w:val="%9."/>
      <w:lvlJc w:val="right"/>
      <w:pPr>
        <w:ind w:left="2787" w:hanging="420"/>
      </w:pPr>
    </w:lvl>
  </w:abstractNum>
  <w:abstractNum w:abstractNumId="20">
    <w:nsid w:val="4F3749A8"/>
    <w:multiLevelType w:val="multilevel"/>
    <w:tmpl w:val="4F3749A8"/>
    <w:lvl w:ilvl="0" w:tentative="0">
      <w:start w:val="1"/>
      <w:numFmt w:val="decimal"/>
      <w:lvlText w:val="1.%1"/>
      <w:lvlJc w:val="left"/>
      <w:pPr>
        <w:ind w:left="420" w:hanging="420"/>
      </w:pPr>
      <w:rPr>
        <w:rFonts w:hint="eastAsia"/>
      </w:rPr>
    </w:lvl>
    <w:lvl w:ilvl="1" w:tentative="0">
      <w:start w:val="1"/>
      <w:numFmt w:val="decimal"/>
      <w:lvlText w:val="1.%2"/>
      <w:lvlJc w:val="left"/>
      <w:pPr>
        <w:ind w:left="840" w:hanging="420"/>
      </w:pPr>
      <w:rPr>
        <w:rFonts w:hint="default" w:ascii="Arial" w:hAnsi="Arial" w:cs="Arial"/>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0493724"/>
    <w:multiLevelType w:val="singleLevel"/>
    <w:tmpl w:val="50493724"/>
    <w:lvl w:ilvl="0" w:tentative="0">
      <w:start w:val="22"/>
      <w:numFmt w:val="decimal"/>
      <w:suff w:val="nothing"/>
      <w:lvlText w:val="（%1）"/>
      <w:lvlJc w:val="left"/>
    </w:lvl>
  </w:abstractNum>
  <w:abstractNum w:abstractNumId="22">
    <w:nsid w:val="545145D5"/>
    <w:multiLevelType w:val="multilevel"/>
    <w:tmpl w:val="545145D5"/>
    <w:lvl w:ilvl="0" w:tentative="0">
      <w:start w:val="1"/>
      <w:numFmt w:val="decimal"/>
      <w:lvlText w:val="10.6.1.%1"/>
      <w:lvlJc w:val="left"/>
      <w:pPr>
        <w:ind w:left="1363" w:hanging="420"/>
      </w:pPr>
      <w:rPr>
        <w:rFonts w:hint="eastAsia"/>
      </w:rPr>
    </w:lvl>
    <w:lvl w:ilvl="1" w:tentative="0">
      <w:start w:val="1"/>
      <w:numFmt w:val="lowerLetter"/>
      <w:lvlText w:val="%2)"/>
      <w:lvlJc w:val="left"/>
      <w:pPr>
        <w:ind w:left="840" w:hanging="420"/>
      </w:pPr>
      <w:rPr>
        <w:rFonts w:hint="eastAsia"/>
      </w:rPr>
    </w:lvl>
    <w:lvl w:ilvl="2" w:tentative="0">
      <w:start w:val="1"/>
      <w:numFmt w:val="decimal"/>
      <w:suff w:val="space"/>
      <w:lvlText w:val="10.6.1.%3"/>
      <w:lvlJc w:val="left"/>
      <w:pPr>
        <w:ind w:left="420" w:hanging="420"/>
      </w:pPr>
      <w:rPr>
        <w:rFonts w:hint="default" w:ascii="宋体" w:hAnsi="宋体" w:eastAsia="宋体" w:cs="宋体"/>
        <w:sz w:val="21"/>
        <w:szCs w:val="21"/>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6944BD4F"/>
    <w:multiLevelType w:val="multilevel"/>
    <w:tmpl w:val="6944BD4F"/>
    <w:lvl w:ilvl="0" w:tentative="0">
      <w:start w:val="1"/>
      <w:numFmt w:val="decimal"/>
      <w:suff w:val="space"/>
      <w:lvlText w:val="17.%1"/>
      <w:lvlJc w:val="left"/>
      <w:pPr>
        <w:ind w:left="0" w:hanging="420"/>
      </w:pPr>
      <w:rPr>
        <w:rFonts w:hint="default" w:ascii="Arial" w:hAnsi="Arial" w:cs="Arial"/>
        <w:sz w:val="21"/>
        <w:szCs w:val="21"/>
      </w:rPr>
    </w:lvl>
    <w:lvl w:ilvl="1" w:tentative="0">
      <w:start w:val="1"/>
      <w:numFmt w:val="lowerLetter"/>
      <w:lvlText w:val="%2)"/>
      <w:lvlJc w:val="left"/>
      <w:pPr>
        <w:ind w:left="0" w:hanging="420"/>
      </w:pPr>
    </w:lvl>
    <w:lvl w:ilvl="2" w:tentative="0">
      <w:start w:val="1"/>
      <w:numFmt w:val="lowerRoman"/>
      <w:lvlText w:val="%3."/>
      <w:lvlJc w:val="right"/>
      <w:pPr>
        <w:ind w:left="420" w:hanging="420"/>
      </w:pPr>
    </w:lvl>
    <w:lvl w:ilvl="3" w:tentative="0">
      <w:start w:val="1"/>
      <w:numFmt w:val="decimal"/>
      <w:lvlText w:val="%4."/>
      <w:lvlJc w:val="left"/>
      <w:pPr>
        <w:ind w:left="840" w:hanging="420"/>
      </w:pPr>
    </w:lvl>
    <w:lvl w:ilvl="4" w:tentative="0">
      <w:start w:val="1"/>
      <w:numFmt w:val="lowerLetter"/>
      <w:lvlText w:val="%5)"/>
      <w:lvlJc w:val="left"/>
      <w:pPr>
        <w:ind w:left="1260" w:hanging="420"/>
      </w:pPr>
    </w:lvl>
    <w:lvl w:ilvl="5" w:tentative="0">
      <w:start w:val="1"/>
      <w:numFmt w:val="lowerRoman"/>
      <w:lvlText w:val="%6."/>
      <w:lvlJc w:val="right"/>
      <w:pPr>
        <w:ind w:left="1680" w:hanging="420"/>
      </w:pPr>
    </w:lvl>
    <w:lvl w:ilvl="6" w:tentative="0">
      <w:start w:val="1"/>
      <w:numFmt w:val="decimal"/>
      <w:lvlText w:val="%7."/>
      <w:lvlJc w:val="left"/>
      <w:pPr>
        <w:ind w:left="2100" w:hanging="420"/>
      </w:pPr>
    </w:lvl>
    <w:lvl w:ilvl="7" w:tentative="0">
      <w:start w:val="1"/>
      <w:numFmt w:val="lowerLetter"/>
      <w:lvlText w:val="%8)"/>
      <w:lvlJc w:val="left"/>
      <w:pPr>
        <w:ind w:left="2520" w:hanging="420"/>
      </w:pPr>
    </w:lvl>
    <w:lvl w:ilvl="8" w:tentative="0">
      <w:start w:val="1"/>
      <w:numFmt w:val="lowerRoman"/>
      <w:lvlText w:val="%9."/>
      <w:lvlJc w:val="right"/>
      <w:pPr>
        <w:ind w:left="2940" w:hanging="420"/>
      </w:pPr>
    </w:lvl>
  </w:abstractNum>
  <w:abstractNum w:abstractNumId="24">
    <w:nsid w:val="6D565118"/>
    <w:multiLevelType w:val="multilevel"/>
    <w:tmpl w:val="6D565118"/>
    <w:lvl w:ilvl="0" w:tentative="0">
      <w:start w:val="1"/>
      <w:numFmt w:val="decimal"/>
      <w:lvlText w:val="4.%1"/>
      <w:lvlJc w:val="left"/>
      <w:pPr>
        <w:ind w:left="84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B69512"/>
    <w:multiLevelType w:val="multilevel"/>
    <w:tmpl w:val="7CB69512"/>
    <w:lvl w:ilvl="0" w:tentative="0">
      <w:start w:val="1"/>
      <w:numFmt w:val="decimal"/>
      <w:suff w:val="space"/>
      <w:lvlText w:val="15.%1"/>
      <w:lvlJc w:val="left"/>
      <w:pPr>
        <w:ind w:left="420" w:hanging="420"/>
      </w:pPr>
      <w:rPr>
        <w:rFonts w:hint="default" w:ascii="Arial" w:hAnsi="Arial" w:cs="Arial"/>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3"/>
  </w:num>
  <w:num w:numId="3">
    <w:abstractNumId w:val="20"/>
  </w:num>
  <w:num w:numId="4">
    <w:abstractNumId w:val="11"/>
  </w:num>
  <w:num w:numId="5">
    <w:abstractNumId w:val="15"/>
  </w:num>
  <w:num w:numId="6">
    <w:abstractNumId w:val="24"/>
  </w:num>
  <w:num w:numId="7">
    <w:abstractNumId w:val="17"/>
  </w:num>
  <w:num w:numId="8">
    <w:abstractNumId w:val="6"/>
  </w:num>
  <w:num w:numId="9">
    <w:abstractNumId w:val="19"/>
  </w:num>
  <w:num w:numId="10">
    <w:abstractNumId w:val="8"/>
  </w:num>
  <w:num w:numId="11">
    <w:abstractNumId w:val="3"/>
  </w:num>
  <w:num w:numId="12">
    <w:abstractNumId w:val="16"/>
  </w:num>
  <w:num w:numId="13">
    <w:abstractNumId w:val="12"/>
  </w:num>
  <w:num w:numId="14">
    <w:abstractNumId w:val="14"/>
  </w:num>
  <w:num w:numId="15">
    <w:abstractNumId w:val="0"/>
  </w:num>
  <w:num w:numId="16">
    <w:abstractNumId w:val="18"/>
  </w:num>
  <w:num w:numId="17">
    <w:abstractNumId w:val="2"/>
  </w:num>
  <w:num w:numId="18">
    <w:abstractNumId w:val="22"/>
  </w:num>
  <w:num w:numId="19">
    <w:abstractNumId w:val="9"/>
  </w:num>
  <w:num w:numId="20">
    <w:abstractNumId w:val="1"/>
  </w:num>
  <w:num w:numId="21">
    <w:abstractNumId w:val="25"/>
  </w:num>
  <w:num w:numId="22">
    <w:abstractNumId w:val="10"/>
  </w:num>
  <w:num w:numId="23">
    <w:abstractNumId w:val="4"/>
  </w:num>
  <w:num w:numId="24">
    <w:abstractNumId w:val="23"/>
  </w:num>
  <w:num w:numId="25">
    <w:abstractNumId w:val="2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Formatting/>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mODMwMjAwZmQ1YWIzMWY0NmZkMGQyOTUyYWFhMjcifQ=="/>
  </w:docVars>
  <w:rsids>
    <w:rsidRoot w:val="00DA315F"/>
    <w:rsid w:val="00000171"/>
    <w:rsid w:val="000001CC"/>
    <w:rsid w:val="00000355"/>
    <w:rsid w:val="000004B1"/>
    <w:rsid w:val="000004D7"/>
    <w:rsid w:val="0000075E"/>
    <w:rsid w:val="000007AD"/>
    <w:rsid w:val="00000825"/>
    <w:rsid w:val="00000A82"/>
    <w:rsid w:val="00000C34"/>
    <w:rsid w:val="00000C36"/>
    <w:rsid w:val="00000E01"/>
    <w:rsid w:val="00000E31"/>
    <w:rsid w:val="0000108A"/>
    <w:rsid w:val="000012D1"/>
    <w:rsid w:val="00001618"/>
    <w:rsid w:val="000017A8"/>
    <w:rsid w:val="000019D7"/>
    <w:rsid w:val="00001A13"/>
    <w:rsid w:val="00001F13"/>
    <w:rsid w:val="00002551"/>
    <w:rsid w:val="0000257D"/>
    <w:rsid w:val="000025E8"/>
    <w:rsid w:val="00002662"/>
    <w:rsid w:val="00002781"/>
    <w:rsid w:val="000029BB"/>
    <w:rsid w:val="00002ADB"/>
    <w:rsid w:val="00002DF8"/>
    <w:rsid w:val="00003676"/>
    <w:rsid w:val="000036B0"/>
    <w:rsid w:val="0000371E"/>
    <w:rsid w:val="00003792"/>
    <w:rsid w:val="0000382D"/>
    <w:rsid w:val="00003900"/>
    <w:rsid w:val="00003932"/>
    <w:rsid w:val="00003B86"/>
    <w:rsid w:val="00003C76"/>
    <w:rsid w:val="00003D59"/>
    <w:rsid w:val="00003D98"/>
    <w:rsid w:val="00003F6A"/>
    <w:rsid w:val="000041FF"/>
    <w:rsid w:val="00004364"/>
    <w:rsid w:val="0000471B"/>
    <w:rsid w:val="0000479B"/>
    <w:rsid w:val="000047B2"/>
    <w:rsid w:val="0000481C"/>
    <w:rsid w:val="00004A5F"/>
    <w:rsid w:val="00004B38"/>
    <w:rsid w:val="00004B8A"/>
    <w:rsid w:val="00005313"/>
    <w:rsid w:val="00005573"/>
    <w:rsid w:val="000056A8"/>
    <w:rsid w:val="000057B2"/>
    <w:rsid w:val="00005DD6"/>
    <w:rsid w:val="000060AE"/>
    <w:rsid w:val="000062CD"/>
    <w:rsid w:val="00006391"/>
    <w:rsid w:val="00006392"/>
    <w:rsid w:val="0000643E"/>
    <w:rsid w:val="0000652A"/>
    <w:rsid w:val="0000685C"/>
    <w:rsid w:val="00006936"/>
    <w:rsid w:val="00006A02"/>
    <w:rsid w:val="00006A47"/>
    <w:rsid w:val="00006B62"/>
    <w:rsid w:val="00006BF2"/>
    <w:rsid w:val="00006F77"/>
    <w:rsid w:val="00006FB6"/>
    <w:rsid w:val="000070ED"/>
    <w:rsid w:val="00007506"/>
    <w:rsid w:val="0000758D"/>
    <w:rsid w:val="00007627"/>
    <w:rsid w:val="000076E7"/>
    <w:rsid w:val="000077CD"/>
    <w:rsid w:val="00007A65"/>
    <w:rsid w:val="00007B25"/>
    <w:rsid w:val="00007B89"/>
    <w:rsid w:val="00007F27"/>
    <w:rsid w:val="00007F8A"/>
    <w:rsid w:val="000101BC"/>
    <w:rsid w:val="0001028F"/>
    <w:rsid w:val="0001036D"/>
    <w:rsid w:val="000103A4"/>
    <w:rsid w:val="000103C1"/>
    <w:rsid w:val="0001040D"/>
    <w:rsid w:val="00010431"/>
    <w:rsid w:val="000105D5"/>
    <w:rsid w:val="000105ED"/>
    <w:rsid w:val="000108AD"/>
    <w:rsid w:val="000109C1"/>
    <w:rsid w:val="00010A47"/>
    <w:rsid w:val="00011285"/>
    <w:rsid w:val="000113DD"/>
    <w:rsid w:val="00011452"/>
    <w:rsid w:val="00011511"/>
    <w:rsid w:val="00011951"/>
    <w:rsid w:val="00011B3A"/>
    <w:rsid w:val="00011FF5"/>
    <w:rsid w:val="00012284"/>
    <w:rsid w:val="00012331"/>
    <w:rsid w:val="000123A4"/>
    <w:rsid w:val="000124B6"/>
    <w:rsid w:val="000126EC"/>
    <w:rsid w:val="000127AF"/>
    <w:rsid w:val="00012804"/>
    <w:rsid w:val="0001297E"/>
    <w:rsid w:val="00012BBB"/>
    <w:rsid w:val="00012D4C"/>
    <w:rsid w:val="00012D66"/>
    <w:rsid w:val="00012E2F"/>
    <w:rsid w:val="00012FBD"/>
    <w:rsid w:val="00012FF1"/>
    <w:rsid w:val="00013094"/>
    <w:rsid w:val="00013171"/>
    <w:rsid w:val="00013349"/>
    <w:rsid w:val="000133BF"/>
    <w:rsid w:val="000135B7"/>
    <w:rsid w:val="0001378F"/>
    <w:rsid w:val="00013829"/>
    <w:rsid w:val="0001391A"/>
    <w:rsid w:val="0001393D"/>
    <w:rsid w:val="00013AD3"/>
    <w:rsid w:val="00014113"/>
    <w:rsid w:val="000141EC"/>
    <w:rsid w:val="00014205"/>
    <w:rsid w:val="0001429A"/>
    <w:rsid w:val="000144D5"/>
    <w:rsid w:val="000144FB"/>
    <w:rsid w:val="00014E9E"/>
    <w:rsid w:val="00014ECD"/>
    <w:rsid w:val="00014F27"/>
    <w:rsid w:val="00015090"/>
    <w:rsid w:val="00015145"/>
    <w:rsid w:val="00015329"/>
    <w:rsid w:val="000155A3"/>
    <w:rsid w:val="000157D2"/>
    <w:rsid w:val="00015874"/>
    <w:rsid w:val="0001587E"/>
    <w:rsid w:val="0001588D"/>
    <w:rsid w:val="00015B8E"/>
    <w:rsid w:val="00015CC7"/>
    <w:rsid w:val="00015DDC"/>
    <w:rsid w:val="00015E08"/>
    <w:rsid w:val="00015F4D"/>
    <w:rsid w:val="00015F62"/>
    <w:rsid w:val="0001619B"/>
    <w:rsid w:val="0001624C"/>
    <w:rsid w:val="00016374"/>
    <w:rsid w:val="00016619"/>
    <w:rsid w:val="000166EF"/>
    <w:rsid w:val="0001698B"/>
    <w:rsid w:val="00016A2E"/>
    <w:rsid w:val="00016CFA"/>
    <w:rsid w:val="00016E18"/>
    <w:rsid w:val="00016EE0"/>
    <w:rsid w:val="00017037"/>
    <w:rsid w:val="000170EC"/>
    <w:rsid w:val="0001726E"/>
    <w:rsid w:val="000172DB"/>
    <w:rsid w:val="00017735"/>
    <w:rsid w:val="00017916"/>
    <w:rsid w:val="0001796F"/>
    <w:rsid w:val="00017A14"/>
    <w:rsid w:val="00017AD6"/>
    <w:rsid w:val="00017C5E"/>
    <w:rsid w:val="00017D4F"/>
    <w:rsid w:val="00017DE6"/>
    <w:rsid w:val="00017EB4"/>
    <w:rsid w:val="000201E1"/>
    <w:rsid w:val="0002022D"/>
    <w:rsid w:val="00020346"/>
    <w:rsid w:val="000203CD"/>
    <w:rsid w:val="000205C6"/>
    <w:rsid w:val="00020675"/>
    <w:rsid w:val="00020985"/>
    <w:rsid w:val="00020C2D"/>
    <w:rsid w:val="00020C3E"/>
    <w:rsid w:val="00020E47"/>
    <w:rsid w:val="00020F4C"/>
    <w:rsid w:val="00020FCC"/>
    <w:rsid w:val="00021105"/>
    <w:rsid w:val="0002113C"/>
    <w:rsid w:val="0002127A"/>
    <w:rsid w:val="000213BD"/>
    <w:rsid w:val="0002162F"/>
    <w:rsid w:val="00021761"/>
    <w:rsid w:val="000217CC"/>
    <w:rsid w:val="00021B4D"/>
    <w:rsid w:val="00021D1F"/>
    <w:rsid w:val="00021E0B"/>
    <w:rsid w:val="00021E13"/>
    <w:rsid w:val="0002206A"/>
    <w:rsid w:val="00022119"/>
    <w:rsid w:val="00022143"/>
    <w:rsid w:val="00022168"/>
    <w:rsid w:val="00022227"/>
    <w:rsid w:val="00022332"/>
    <w:rsid w:val="000223DB"/>
    <w:rsid w:val="0002240B"/>
    <w:rsid w:val="0002250E"/>
    <w:rsid w:val="0002252F"/>
    <w:rsid w:val="00022999"/>
    <w:rsid w:val="00022CF4"/>
    <w:rsid w:val="00022F48"/>
    <w:rsid w:val="00023702"/>
    <w:rsid w:val="00023AEF"/>
    <w:rsid w:val="00023BA6"/>
    <w:rsid w:val="00024285"/>
    <w:rsid w:val="00024428"/>
    <w:rsid w:val="00024770"/>
    <w:rsid w:val="000247C8"/>
    <w:rsid w:val="00024823"/>
    <w:rsid w:val="0002484B"/>
    <w:rsid w:val="0002489C"/>
    <w:rsid w:val="00024AC0"/>
    <w:rsid w:val="00025278"/>
    <w:rsid w:val="000252DE"/>
    <w:rsid w:val="00025352"/>
    <w:rsid w:val="0002540D"/>
    <w:rsid w:val="00025462"/>
    <w:rsid w:val="000255CB"/>
    <w:rsid w:val="00025619"/>
    <w:rsid w:val="00025717"/>
    <w:rsid w:val="00025FCD"/>
    <w:rsid w:val="00025FF3"/>
    <w:rsid w:val="00026022"/>
    <w:rsid w:val="000263F2"/>
    <w:rsid w:val="00026540"/>
    <w:rsid w:val="000266CC"/>
    <w:rsid w:val="0002684C"/>
    <w:rsid w:val="0002696D"/>
    <w:rsid w:val="00026A0C"/>
    <w:rsid w:val="00026D88"/>
    <w:rsid w:val="00027148"/>
    <w:rsid w:val="000271E0"/>
    <w:rsid w:val="0002729A"/>
    <w:rsid w:val="00027395"/>
    <w:rsid w:val="000275A7"/>
    <w:rsid w:val="00027A25"/>
    <w:rsid w:val="00027A58"/>
    <w:rsid w:val="00027C28"/>
    <w:rsid w:val="00027D89"/>
    <w:rsid w:val="00030095"/>
    <w:rsid w:val="000300AA"/>
    <w:rsid w:val="00030127"/>
    <w:rsid w:val="000302A6"/>
    <w:rsid w:val="000304C5"/>
    <w:rsid w:val="00030656"/>
    <w:rsid w:val="0003067C"/>
    <w:rsid w:val="00030880"/>
    <w:rsid w:val="00030D52"/>
    <w:rsid w:val="00030FA5"/>
    <w:rsid w:val="00030FAE"/>
    <w:rsid w:val="0003110C"/>
    <w:rsid w:val="000314E0"/>
    <w:rsid w:val="00031538"/>
    <w:rsid w:val="000315B5"/>
    <w:rsid w:val="000315F6"/>
    <w:rsid w:val="000316E9"/>
    <w:rsid w:val="0003186B"/>
    <w:rsid w:val="00031ABE"/>
    <w:rsid w:val="00031D67"/>
    <w:rsid w:val="00031FA3"/>
    <w:rsid w:val="0003211A"/>
    <w:rsid w:val="0003212C"/>
    <w:rsid w:val="00032533"/>
    <w:rsid w:val="0003268E"/>
    <w:rsid w:val="00032EE6"/>
    <w:rsid w:val="00032FD0"/>
    <w:rsid w:val="000331C6"/>
    <w:rsid w:val="000331D5"/>
    <w:rsid w:val="00033292"/>
    <w:rsid w:val="000332A8"/>
    <w:rsid w:val="00033632"/>
    <w:rsid w:val="000337ED"/>
    <w:rsid w:val="0003381C"/>
    <w:rsid w:val="00033A93"/>
    <w:rsid w:val="00033AAA"/>
    <w:rsid w:val="00033B01"/>
    <w:rsid w:val="00033B76"/>
    <w:rsid w:val="00033BF2"/>
    <w:rsid w:val="00033D1D"/>
    <w:rsid w:val="0003400A"/>
    <w:rsid w:val="0003455D"/>
    <w:rsid w:val="000345D4"/>
    <w:rsid w:val="000349D5"/>
    <w:rsid w:val="00034A2C"/>
    <w:rsid w:val="00034A8C"/>
    <w:rsid w:val="00034B3B"/>
    <w:rsid w:val="00034E02"/>
    <w:rsid w:val="0003501A"/>
    <w:rsid w:val="0003547C"/>
    <w:rsid w:val="000359FD"/>
    <w:rsid w:val="00035AB7"/>
    <w:rsid w:val="00035CB8"/>
    <w:rsid w:val="00035F65"/>
    <w:rsid w:val="0003634B"/>
    <w:rsid w:val="00036354"/>
    <w:rsid w:val="000363FF"/>
    <w:rsid w:val="000364F5"/>
    <w:rsid w:val="00036628"/>
    <w:rsid w:val="0003680F"/>
    <w:rsid w:val="00036837"/>
    <w:rsid w:val="00036AB6"/>
    <w:rsid w:val="00036B86"/>
    <w:rsid w:val="00036BCC"/>
    <w:rsid w:val="00036E95"/>
    <w:rsid w:val="000371D5"/>
    <w:rsid w:val="00037303"/>
    <w:rsid w:val="0003744E"/>
    <w:rsid w:val="0003781B"/>
    <w:rsid w:val="0003786E"/>
    <w:rsid w:val="00037996"/>
    <w:rsid w:val="00037AFB"/>
    <w:rsid w:val="00037CC7"/>
    <w:rsid w:val="00037E2A"/>
    <w:rsid w:val="00037EFA"/>
    <w:rsid w:val="00040177"/>
    <w:rsid w:val="00040357"/>
    <w:rsid w:val="000403FE"/>
    <w:rsid w:val="00040966"/>
    <w:rsid w:val="000409A0"/>
    <w:rsid w:val="00040B7A"/>
    <w:rsid w:val="00040DCB"/>
    <w:rsid w:val="00040E65"/>
    <w:rsid w:val="00040EA7"/>
    <w:rsid w:val="0004104D"/>
    <w:rsid w:val="000412A6"/>
    <w:rsid w:val="00041478"/>
    <w:rsid w:val="000415F8"/>
    <w:rsid w:val="00041618"/>
    <w:rsid w:val="000419D7"/>
    <w:rsid w:val="00041A25"/>
    <w:rsid w:val="00041B98"/>
    <w:rsid w:val="00041CBC"/>
    <w:rsid w:val="00041F53"/>
    <w:rsid w:val="000422D5"/>
    <w:rsid w:val="0004239D"/>
    <w:rsid w:val="0004239F"/>
    <w:rsid w:val="000423AB"/>
    <w:rsid w:val="000424D2"/>
    <w:rsid w:val="000427B6"/>
    <w:rsid w:val="000429E3"/>
    <w:rsid w:val="00042E0A"/>
    <w:rsid w:val="000433D9"/>
    <w:rsid w:val="000433DE"/>
    <w:rsid w:val="000436B9"/>
    <w:rsid w:val="000437C6"/>
    <w:rsid w:val="00043922"/>
    <w:rsid w:val="0004393E"/>
    <w:rsid w:val="00043A02"/>
    <w:rsid w:val="00043B98"/>
    <w:rsid w:val="00043C7D"/>
    <w:rsid w:val="00044207"/>
    <w:rsid w:val="00044238"/>
    <w:rsid w:val="00044278"/>
    <w:rsid w:val="000442CA"/>
    <w:rsid w:val="000442D6"/>
    <w:rsid w:val="0004432E"/>
    <w:rsid w:val="000445FF"/>
    <w:rsid w:val="00045226"/>
    <w:rsid w:val="0004544B"/>
    <w:rsid w:val="000456EF"/>
    <w:rsid w:val="00045707"/>
    <w:rsid w:val="00045753"/>
    <w:rsid w:val="00045D0A"/>
    <w:rsid w:val="00045EB9"/>
    <w:rsid w:val="00045F87"/>
    <w:rsid w:val="000460E4"/>
    <w:rsid w:val="000464AA"/>
    <w:rsid w:val="00046512"/>
    <w:rsid w:val="000465FF"/>
    <w:rsid w:val="00046668"/>
    <w:rsid w:val="000469B2"/>
    <w:rsid w:val="000469DC"/>
    <w:rsid w:val="00046CA0"/>
    <w:rsid w:val="00046D30"/>
    <w:rsid w:val="00046DA6"/>
    <w:rsid w:val="00046DDC"/>
    <w:rsid w:val="00046E38"/>
    <w:rsid w:val="00046F42"/>
    <w:rsid w:val="000471C6"/>
    <w:rsid w:val="000472A0"/>
    <w:rsid w:val="0004733D"/>
    <w:rsid w:val="000473D3"/>
    <w:rsid w:val="00047D20"/>
    <w:rsid w:val="00047E46"/>
    <w:rsid w:val="00047EAB"/>
    <w:rsid w:val="00047EF9"/>
    <w:rsid w:val="00047F06"/>
    <w:rsid w:val="00047F33"/>
    <w:rsid w:val="000500C0"/>
    <w:rsid w:val="000501C6"/>
    <w:rsid w:val="000502C3"/>
    <w:rsid w:val="00050902"/>
    <w:rsid w:val="00050C2B"/>
    <w:rsid w:val="00050E4A"/>
    <w:rsid w:val="00051227"/>
    <w:rsid w:val="0005154F"/>
    <w:rsid w:val="00051A47"/>
    <w:rsid w:val="00051ACC"/>
    <w:rsid w:val="00051B1E"/>
    <w:rsid w:val="00051B7B"/>
    <w:rsid w:val="00051C43"/>
    <w:rsid w:val="00051E9B"/>
    <w:rsid w:val="0005205A"/>
    <w:rsid w:val="000522FD"/>
    <w:rsid w:val="00052390"/>
    <w:rsid w:val="0005247D"/>
    <w:rsid w:val="000524D4"/>
    <w:rsid w:val="0005268B"/>
    <w:rsid w:val="00052B60"/>
    <w:rsid w:val="00052ECB"/>
    <w:rsid w:val="00052F0F"/>
    <w:rsid w:val="00053009"/>
    <w:rsid w:val="0005303A"/>
    <w:rsid w:val="0005318B"/>
    <w:rsid w:val="00053285"/>
    <w:rsid w:val="00053648"/>
    <w:rsid w:val="0005384E"/>
    <w:rsid w:val="0005384F"/>
    <w:rsid w:val="000538F3"/>
    <w:rsid w:val="0005398F"/>
    <w:rsid w:val="00053A5C"/>
    <w:rsid w:val="00053A9F"/>
    <w:rsid w:val="00053AC0"/>
    <w:rsid w:val="00053BAF"/>
    <w:rsid w:val="00053D19"/>
    <w:rsid w:val="00053DCB"/>
    <w:rsid w:val="00053E9A"/>
    <w:rsid w:val="00053FF9"/>
    <w:rsid w:val="000543EF"/>
    <w:rsid w:val="00054487"/>
    <w:rsid w:val="0005459B"/>
    <w:rsid w:val="000546B7"/>
    <w:rsid w:val="0005473C"/>
    <w:rsid w:val="0005488C"/>
    <w:rsid w:val="00054E58"/>
    <w:rsid w:val="00055213"/>
    <w:rsid w:val="000553FA"/>
    <w:rsid w:val="0005558C"/>
    <w:rsid w:val="00055776"/>
    <w:rsid w:val="00055B09"/>
    <w:rsid w:val="00055BE0"/>
    <w:rsid w:val="00056245"/>
    <w:rsid w:val="000564CB"/>
    <w:rsid w:val="00056583"/>
    <w:rsid w:val="0005665F"/>
    <w:rsid w:val="0005693D"/>
    <w:rsid w:val="0005699D"/>
    <w:rsid w:val="00056DDD"/>
    <w:rsid w:val="00056EA4"/>
    <w:rsid w:val="00056F38"/>
    <w:rsid w:val="00057003"/>
    <w:rsid w:val="000571C2"/>
    <w:rsid w:val="000571C9"/>
    <w:rsid w:val="0005771E"/>
    <w:rsid w:val="00057812"/>
    <w:rsid w:val="0005786F"/>
    <w:rsid w:val="000578F4"/>
    <w:rsid w:val="00057A0C"/>
    <w:rsid w:val="00057A33"/>
    <w:rsid w:val="00057A9A"/>
    <w:rsid w:val="00057B42"/>
    <w:rsid w:val="00057E2E"/>
    <w:rsid w:val="00057E82"/>
    <w:rsid w:val="00057EBD"/>
    <w:rsid w:val="00057F8A"/>
    <w:rsid w:val="000600C6"/>
    <w:rsid w:val="000601C0"/>
    <w:rsid w:val="0006038A"/>
    <w:rsid w:val="00060439"/>
    <w:rsid w:val="00060599"/>
    <w:rsid w:val="00060904"/>
    <w:rsid w:val="000609CF"/>
    <w:rsid w:val="00060A2C"/>
    <w:rsid w:val="00060D88"/>
    <w:rsid w:val="00060F26"/>
    <w:rsid w:val="00060F5F"/>
    <w:rsid w:val="0006112D"/>
    <w:rsid w:val="00061132"/>
    <w:rsid w:val="0006124B"/>
    <w:rsid w:val="0006130E"/>
    <w:rsid w:val="00061575"/>
    <w:rsid w:val="0006199A"/>
    <w:rsid w:val="000619FB"/>
    <w:rsid w:val="00061A41"/>
    <w:rsid w:val="00062003"/>
    <w:rsid w:val="00062108"/>
    <w:rsid w:val="00062249"/>
    <w:rsid w:val="0006229A"/>
    <w:rsid w:val="000623EA"/>
    <w:rsid w:val="00062596"/>
    <w:rsid w:val="00062C4E"/>
    <w:rsid w:val="00063219"/>
    <w:rsid w:val="000632B4"/>
    <w:rsid w:val="00063427"/>
    <w:rsid w:val="000635FD"/>
    <w:rsid w:val="0006366F"/>
    <w:rsid w:val="000638E4"/>
    <w:rsid w:val="00063C1E"/>
    <w:rsid w:val="00063C3F"/>
    <w:rsid w:val="00063CC5"/>
    <w:rsid w:val="000640BE"/>
    <w:rsid w:val="0006418C"/>
    <w:rsid w:val="0006437A"/>
    <w:rsid w:val="000643D1"/>
    <w:rsid w:val="000643F6"/>
    <w:rsid w:val="00064457"/>
    <w:rsid w:val="000644A3"/>
    <w:rsid w:val="000644E5"/>
    <w:rsid w:val="00064651"/>
    <w:rsid w:val="00064873"/>
    <w:rsid w:val="000648B9"/>
    <w:rsid w:val="00064A29"/>
    <w:rsid w:val="00064A62"/>
    <w:rsid w:val="00064B26"/>
    <w:rsid w:val="00064CD9"/>
    <w:rsid w:val="00064FEB"/>
    <w:rsid w:val="0006501B"/>
    <w:rsid w:val="00065052"/>
    <w:rsid w:val="000651D5"/>
    <w:rsid w:val="00065352"/>
    <w:rsid w:val="000654A5"/>
    <w:rsid w:val="0006574D"/>
    <w:rsid w:val="00065795"/>
    <w:rsid w:val="00065AF9"/>
    <w:rsid w:val="00065E9C"/>
    <w:rsid w:val="0006610A"/>
    <w:rsid w:val="00066285"/>
    <w:rsid w:val="000662DC"/>
    <w:rsid w:val="000662EC"/>
    <w:rsid w:val="00066399"/>
    <w:rsid w:val="000663A8"/>
    <w:rsid w:val="00066525"/>
    <w:rsid w:val="000665CD"/>
    <w:rsid w:val="000666A3"/>
    <w:rsid w:val="00066A76"/>
    <w:rsid w:val="00066C08"/>
    <w:rsid w:val="00066EF0"/>
    <w:rsid w:val="00067059"/>
    <w:rsid w:val="0006709F"/>
    <w:rsid w:val="000670B9"/>
    <w:rsid w:val="00067116"/>
    <w:rsid w:val="000671FB"/>
    <w:rsid w:val="0006723C"/>
    <w:rsid w:val="000676B4"/>
    <w:rsid w:val="000678E0"/>
    <w:rsid w:val="00067A9D"/>
    <w:rsid w:val="000701A7"/>
    <w:rsid w:val="00070400"/>
    <w:rsid w:val="00070808"/>
    <w:rsid w:val="000708D5"/>
    <w:rsid w:val="0007095C"/>
    <w:rsid w:val="00070D78"/>
    <w:rsid w:val="000714BC"/>
    <w:rsid w:val="00071577"/>
    <w:rsid w:val="000716B0"/>
    <w:rsid w:val="00071CF7"/>
    <w:rsid w:val="00071D8A"/>
    <w:rsid w:val="0007204D"/>
    <w:rsid w:val="0007220D"/>
    <w:rsid w:val="00072387"/>
    <w:rsid w:val="000728A9"/>
    <w:rsid w:val="00072983"/>
    <w:rsid w:val="00072A7A"/>
    <w:rsid w:val="00072D35"/>
    <w:rsid w:val="00072F5F"/>
    <w:rsid w:val="000730CD"/>
    <w:rsid w:val="00073171"/>
    <w:rsid w:val="000732EE"/>
    <w:rsid w:val="0007352E"/>
    <w:rsid w:val="000739A6"/>
    <w:rsid w:val="00073CC9"/>
    <w:rsid w:val="00073E9F"/>
    <w:rsid w:val="00073EB0"/>
    <w:rsid w:val="00074130"/>
    <w:rsid w:val="000742A4"/>
    <w:rsid w:val="00074926"/>
    <w:rsid w:val="00074C41"/>
    <w:rsid w:val="00074C90"/>
    <w:rsid w:val="00074D79"/>
    <w:rsid w:val="00074FBE"/>
    <w:rsid w:val="0007510D"/>
    <w:rsid w:val="000751C0"/>
    <w:rsid w:val="0007530C"/>
    <w:rsid w:val="00075851"/>
    <w:rsid w:val="00075863"/>
    <w:rsid w:val="00075AA2"/>
    <w:rsid w:val="00075ED2"/>
    <w:rsid w:val="00075F08"/>
    <w:rsid w:val="00076198"/>
    <w:rsid w:val="000761F7"/>
    <w:rsid w:val="0007635D"/>
    <w:rsid w:val="00076509"/>
    <w:rsid w:val="000769F9"/>
    <w:rsid w:val="00076F0A"/>
    <w:rsid w:val="000774E3"/>
    <w:rsid w:val="000775B6"/>
    <w:rsid w:val="0007765F"/>
    <w:rsid w:val="00077690"/>
    <w:rsid w:val="000777F6"/>
    <w:rsid w:val="00077925"/>
    <w:rsid w:val="00077CA3"/>
    <w:rsid w:val="00077D07"/>
    <w:rsid w:val="00077DDE"/>
    <w:rsid w:val="00077F63"/>
    <w:rsid w:val="0008005B"/>
    <w:rsid w:val="000804F6"/>
    <w:rsid w:val="000805BF"/>
    <w:rsid w:val="00080869"/>
    <w:rsid w:val="00080882"/>
    <w:rsid w:val="000809FA"/>
    <w:rsid w:val="00080CBE"/>
    <w:rsid w:val="00080F8B"/>
    <w:rsid w:val="0008116B"/>
    <w:rsid w:val="00081341"/>
    <w:rsid w:val="00081345"/>
    <w:rsid w:val="0008153E"/>
    <w:rsid w:val="00081609"/>
    <w:rsid w:val="000816E1"/>
    <w:rsid w:val="0008181A"/>
    <w:rsid w:val="0008197C"/>
    <w:rsid w:val="00081A14"/>
    <w:rsid w:val="00081C20"/>
    <w:rsid w:val="00081F07"/>
    <w:rsid w:val="00081F0A"/>
    <w:rsid w:val="00081FEB"/>
    <w:rsid w:val="0008212B"/>
    <w:rsid w:val="00082260"/>
    <w:rsid w:val="00082450"/>
    <w:rsid w:val="0008261D"/>
    <w:rsid w:val="0008272D"/>
    <w:rsid w:val="00082735"/>
    <w:rsid w:val="00082A19"/>
    <w:rsid w:val="00082A80"/>
    <w:rsid w:val="00082BFC"/>
    <w:rsid w:val="00082CE4"/>
    <w:rsid w:val="0008322D"/>
    <w:rsid w:val="00083557"/>
    <w:rsid w:val="00083840"/>
    <w:rsid w:val="000839B0"/>
    <w:rsid w:val="00083AFD"/>
    <w:rsid w:val="00083C81"/>
    <w:rsid w:val="00083CF7"/>
    <w:rsid w:val="00083D88"/>
    <w:rsid w:val="00083EEE"/>
    <w:rsid w:val="0008423B"/>
    <w:rsid w:val="00084289"/>
    <w:rsid w:val="00084303"/>
    <w:rsid w:val="00084538"/>
    <w:rsid w:val="00084561"/>
    <w:rsid w:val="000845E8"/>
    <w:rsid w:val="000847D8"/>
    <w:rsid w:val="0008483E"/>
    <w:rsid w:val="00084999"/>
    <w:rsid w:val="00084A46"/>
    <w:rsid w:val="00084D9D"/>
    <w:rsid w:val="00085563"/>
    <w:rsid w:val="0008591D"/>
    <w:rsid w:val="000859D0"/>
    <w:rsid w:val="00085A2D"/>
    <w:rsid w:val="00085C3E"/>
    <w:rsid w:val="00085D27"/>
    <w:rsid w:val="00085F8D"/>
    <w:rsid w:val="000860B6"/>
    <w:rsid w:val="00086377"/>
    <w:rsid w:val="00086430"/>
    <w:rsid w:val="000864E3"/>
    <w:rsid w:val="0008657C"/>
    <w:rsid w:val="00086722"/>
    <w:rsid w:val="00086909"/>
    <w:rsid w:val="00086CE5"/>
    <w:rsid w:val="00086E1A"/>
    <w:rsid w:val="00086E29"/>
    <w:rsid w:val="0008712E"/>
    <w:rsid w:val="000871E6"/>
    <w:rsid w:val="00087347"/>
    <w:rsid w:val="00087A5A"/>
    <w:rsid w:val="00087CE4"/>
    <w:rsid w:val="00087DFA"/>
    <w:rsid w:val="00087EE3"/>
    <w:rsid w:val="00090355"/>
    <w:rsid w:val="00090582"/>
    <w:rsid w:val="000905D7"/>
    <w:rsid w:val="000905E7"/>
    <w:rsid w:val="00090644"/>
    <w:rsid w:val="00090BDB"/>
    <w:rsid w:val="000911B4"/>
    <w:rsid w:val="00091298"/>
    <w:rsid w:val="0009143C"/>
    <w:rsid w:val="00091759"/>
    <w:rsid w:val="00091A0C"/>
    <w:rsid w:val="00091D49"/>
    <w:rsid w:val="00092032"/>
    <w:rsid w:val="000922C6"/>
    <w:rsid w:val="00092355"/>
    <w:rsid w:val="00092427"/>
    <w:rsid w:val="000926E4"/>
    <w:rsid w:val="00092738"/>
    <w:rsid w:val="0009277D"/>
    <w:rsid w:val="00092939"/>
    <w:rsid w:val="00092CAD"/>
    <w:rsid w:val="00092D78"/>
    <w:rsid w:val="00092DE5"/>
    <w:rsid w:val="00093737"/>
    <w:rsid w:val="00093873"/>
    <w:rsid w:val="000938AE"/>
    <w:rsid w:val="000939AB"/>
    <w:rsid w:val="00093C69"/>
    <w:rsid w:val="00093E11"/>
    <w:rsid w:val="00093E7A"/>
    <w:rsid w:val="00093F0E"/>
    <w:rsid w:val="00093F14"/>
    <w:rsid w:val="00093F23"/>
    <w:rsid w:val="000943BF"/>
    <w:rsid w:val="0009460D"/>
    <w:rsid w:val="0009483C"/>
    <w:rsid w:val="000948CC"/>
    <w:rsid w:val="0009496D"/>
    <w:rsid w:val="00094B6E"/>
    <w:rsid w:val="0009545D"/>
    <w:rsid w:val="0009547B"/>
    <w:rsid w:val="00095663"/>
    <w:rsid w:val="00095725"/>
    <w:rsid w:val="00095728"/>
    <w:rsid w:val="00095A45"/>
    <w:rsid w:val="00095ACE"/>
    <w:rsid w:val="00095B2E"/>
    <w:rsid w:val="00095B59"/>
    <w:rsid w:val="00095E5E"/>
    <w:rsid w:val="0009617A"/>
    <w:rsid w:val="00096224"/>
    <w:rsid w:val="000962B7"/>
    <w:rsid w:val="0009649B"/>
    <w:rsid w:val="00096636"/>
    <w:rsid w:val="0009670B"/>
    <w:rsid w:val="000968AD"/>
    <w:rsid w:val="0009695C"/>
    <w:rsid w:val="00096A00"/>
    <w:rsid w:val="00096FA9"/>
    <w:rsid w:val="00097303"/>
    <w:rsid w:val="000973D0"/>
    <w:rsid w:val="00097587"/>
    <w:rsid w:val="00097D24"/>
    <w:rsid w:val="000A0092"/>
    <w:rsid w:val="000A0815"/>
    <w:rsid w:val="000A0AF3"/>
    <w:rsid w:val="000A0E38"/>
    <w:rsid w:val="000A0E47"/>
    <w:rsid w:val="000A0E49"/>
    <w:rsid w:val="000A10C9"/>
    <w:rsid w:val="000A19C3"/>
    <w:rsid w:val="000A1A95"/>
    <w:rsid w:val="000A1B41"/>
    <w:rsid w:val="000A1B47"/>
    <w:rsid w:val="000A1E26"/>
    <w:rsid w:val="000A20C7"/>
    <w:rsid w:val="000A2137"/>
    <w:rsid w:val="000A22FA"/>
    <w:rsid w:val="000A24AE"/>
    <w:rsid w:val="000A2741"/>
    <w:rsid w:val="000A28E6"/>
    <w:rsid w:val="000A331C"/>
    <w:rsid w:val="000A3386"/>
    <w:rsid w:val="000A351B"/>
    <w:rsid w:val="000A3596"/>
    <w:rsid w:val="000A3735"/>
    <w:rsid w:val="000A37C6"/>
    <w:rsid w:val="000A37E7"/>
    <w:rsid w:val="000A3F45"/>
    <w:rsid w:val="000A455F"/>
    <w:rsid w:val="000A459B"/>
    <w:rsid w:val="000A4604"/>
    <w:rsid w:val="000A4670"/>
    <w:rsid w:val="000A4673"/>
    <w:rsid w:val="000A4872"/>
    <w:rsid w:val="000A4961"/>
    <w:rsid w:val="000A4CA2"/>
    <w:rsid w:val="000A4E08"/>
    <w:rsid w:val="000A4E8C"/>
    <w:rsid w:val="000A50DB"/>
    <w:rsid w:val="000A5220"/>
    <w:rsid w:val="000A53E8"/>
    <w:rsid w:val="000A5463"/>
    <w:rsid w:val="000A5481"/>
    <w:rsid w:val="000A54FA"/>
    <w:rsid w:val="000A56A4"/>
    <w:rsid w:val="000A593B"/>
    <w:rsid w:val="000A5946"/>
    <w:rsid w:val="000A5972"/>
    <w:rsid w:val="000A5AA5"/>
    <w:rsid w:val="000A5CB1"/>
    <w:rsid w:val="000A5D26"/>
    <w:rsid w:val="000A60BD"/>
    <w:rsid w:val="000A61E0"/>
    <w:rsid w:val="000A6546"/>
    <w:rsid w:val="000A65A9"/>
    <w:rsid w:val="000A6632"/>
    <w:rsid w:val="000A680B"/>
    <w:rsid w:val="000A690B"/>
    <w:rsid w:val="000A69CE"/>
    <w:rsid w:val="000A6A6B"/>
    <w:rsid w:val="000A6C11"/>
    <w:rsid w:val="000A70A1"/>
    <w:rsid w:val="000A738E"/>
    <w:rsid w:val="000A7498"/>
    <w:rsid w:val="000A7A9C"/>
    <w:rsid w:val="000A7B17"/>
    <w:rsid w:val="000A7D9F"/>
    <w:rsid w:val="000A7E0D"/>
    <w:rsid w:val="000B01E4"/>
    <w:rsid w:val="000B01EF"/>
    <w:rsid w:val="000B03F4"/>
    <w:rsid w:val="000B050B"/>
    <w:rsid w:val="000B05EF"/>
    <w:rsid w:val="000B0856"/>
    <w:rsid w:val="000B0A6D"/>
    <w:rsid w:val="000B0AF6"/>
    <w:rsid w:val="000B0B70"/>
    <w:rsid w:val="000B0B9F"/>
    <w:rsid w:val="000B0E41"/>
    <w:rsid w:val="000B0F72"/>
    <w:rsid w:val="000B14BF"/>
    <w:rsid w:val="000B1582"/>
    <w:rsid w:val="000B1820"/>
    <w:rsid w:val="000B1AE5"/>
    <w:rsid w:val="000B1AE6"/>
    <w:rsid w:val="000B1BB9"/>
    <w:rsid w:val="000B1D17"/>
    <w:rsid w:val="000B1F02"/>
    <w:rsid w:val="000B1F77"/>
    <w:rsid w:val="000B2055"/>
    <w:rsid w:val="000B20A0"/>
    <w:rsid w:val="000B20C0"/>
    <w:rsid w:val="000B20E8"/>
    <w:rsid w:val="000B2181"/>
    <w:rsid w:val="000B2245"/>
    <w:rsid w:val="000B23EE"/>
    <w:rsid w:val="000B242A"/>
    <w:rsid w:val="000B24AD"/>
    <w:rsid w:val="000B2709"/>
    <w:rsid w:val="000B2876"/>
    <w:rsid w:val="000B2B72"/>
    <w:rsid w:val="000B2C08"/>
    <w:rsid w:val="000B2D1F"/>
    <w:rsid w:val="000B2D7B"/>
    <w:rsid w:val="000B2EB2"/>
    <w:rsid w:val="000B30EF"/>
    <w:rsid w:val="000B3260"/>
    <w:rsid w:val="000B332D"/>
    <w:rsid w:val="000B3448"/>
    <w:rsid w:val="000B3AB1"/>
    <w:rsid w:val="000B3AD7"/>
    <w:rsid w:val="000B3D07"/>
    <w:rsid w:val="000B3DA3"/>
    <w:rsid w:val="000B3E31"/>
    <w:rsid w:val="000B3E9D"/>
    <w:rsid w:val="000B4011"/>
    <w:rsid w:val="000B41B3"/>
    <w:rsid w:val="000B424F"/>
    <w:rsid w:val="000B45C5"/>
    <w:rsid w:val="000B4E41"/>
    <w:rsid w:val="000B4EDF"/>
    <w:rsid w:val="000B4FD8"/>
    <w:rsid w:val="000B52AF"/>
    <w:rsid w:val="000B5481"/>
    <w:rsid w:val="000B5635"/>
    <w:rsid w:val="000B580D"/>
    <w:rsid w:val="000B58AE"/>
    <w:rsid w:val="000B5A0C"/>
    <w:rsid w:val="000B5BEB"/>
    <w:rsid w:val="000B5D7C"/>
    <w:rsid w:val="000B5EAC"/>
    <w:rsid w:val="000B5F16"/>
    <w:rsid w:val="000B5F3D"/>
    <w:rsid w:val="000B6198"/>
    <w:rsid w:val="000B6226"/>
    <w:rsid w:val="000B65FF"/>
    <w:rsid w:val="000B6653"/>
    <w:rsid w:val="000B6699"/>
    <w:rsid w:val="000B6820"/>
    <w:rsid w:val="000B6AEE"/>
    <w:rsid w:val="000B6ED0"/>
    <w:rsid w:val="000B7419"/>
    <w:rsid w:val="000B75FA"/>
    <w:rsid w:val="000B76DC"/>
    <w:rsid w:val="000B791D"/>
    <w:rsid w:val="000B7995"/>
    <w:rsid w:val="000B79FD"/>
    <w:rsid w:val="000B7A48"/>
    <w:rsid w:val="000B7A49"/>
    <w:rsid w:val="000B7B80"/>
    <w:rsid w:val="000C002E"/>
    <w:rsid w:val="000C0065"/>
    <w:rsid w:val="000C015F"/>
    <w:rsid w:val="000C01BD"/>
    <w:rsid w:val="000C02F1"/>
    <w:rsid w:val="000C0304"/>
    <w:rsid w:val="000C0351"/>
    <w:rsid w:val="000C041D"/>
    <w:rsid w:val="000C0546"/>
    <w:rsid w:val="000C0A08"/>
    <w:rsid w:val="000C0A1D"/>
    <w:rsid w:val="000C0B09"/>
    <w:rsid w:val="000C0B15"/>
    <w:rsid w:val="000C0D0F"/>
    <w:rsid w:val="000C0F1C"/>
    <w:rsid w:val="000C0FD7"/>
    <w:rsid w:val="000C119D"/>
    <w:rsid w:val="000C11B3"/>
    <w:rsid w:val="000C11CB"/>
    <w:rsid w:val="000C122C"/>
    <w:rsid w:val="000C1403"/>
    <w:rsid w:val="000C1554"/>
    <w:rsid w:val="000C17A2"/>
    <w:rsid w:val="000C1826"/>
    <w:rsid w:val="000C1868"/>
    <w:rsid w:val="000C1904"/>
    <w:rsid w:val="000C1B9B"/>
    <w:rsid w:val="000C1C86"/>
    <w:rsid w:val="000C1CA2"/>
    <w:rsid w:val="000C1CFD"/>
    <w:rsid w:val="000C2613"/>
    <w:rsid w:val="000C29BA"/>
    <w:rsid w:val="000C2BCA"/>
    <w:rsid w:val="000C30B2"/>
    <w:rsid w:val="000C30F9"/>
    <w:rsid w:val="000C315C"/>
    <w:rsid w:val="000C3197"/>
    <w:rsid w:val="000C3421"/>
    <w:rsid w:val="000C3474"/>
    <w:rsid w:val="000C354E"/>
    <w:rsid w:val="000C3968"/>
    <w:rsid w:val="000C3BFC"/>
    <w:rsid w:val="000C3DDB"/>
    <w:rsid w:val="000C3E8E"/>
    <w:rsid w:val="000C423B"/>
    <w:rsid w:val="000C4875"/>
    <w:rsid w:val="000C4895"/>
    <w:rsid w:val="000C4975"/>
    <w:rsid w:val="000C4C79"/>
    <w:rsid w:val="000C4CE5"/>
    <w:rsid w:val="000C4E21"/>
    <w:rsid w:val="000C510F"/>
    <w:rsid w:val="000C5113"/>
    <w:rsid w:val="000C51DF"/>
    <w:rsid w:val="000C52E4"/>
    <w:rsid w:val="000C58F0"/>
    <w:rsid w:val="000C5B30"/>
    <w:rsid w:val="000C5B73"/>
    <w:rsid w:val="000C5D07"/>
    <w:rsid w:val="000C6071"/>
    <w:rsid w:val="000C6656"/>
    <w:rsid w:val="000C66A7"/>
    <w:rsid w:val="000C66F3"/>
    <w:rsid w:val="000C6826"/>
    <w:rsid w:val="000C6962"/>
    <w:rsid w:val="000C698F"/>
    <w:rsid w:val="000C6CC7"/>
    <w:rsid w:val="000C6DCB"/>
    <w:rsid w:val="000C6E6A"/>
    <w:rsid w:val="000C6F4B"/>
    <w:rsid w:val="000C7830"/>
    <w:rsid w:val="000C7B39"/>
    <w:rsid w:val="000C7B91"/>
    <w:rsid w:val="000C7C24"/>
    <w:rsid w:val="000C7C56"/>
    <w:rsid w:val="000C7F08"/>
    <w:rsid w:val="000D0092"/>
    <w:rsid w:val="000D0166"/>
    <w:rsid w:val="000D02DD"/>
    <w:rsid w:val="000D0557"/>
    <w:rsid w:val="000D0620"/>
    <w:rsid w:val="000D06C4"/>
    <w:rsid w:val="000D0E0D"/>
    <w:rsid w:val="000D0EEE"/>
    <w:rsid w:val="000D0FBE"/>
    <w:rsid w:val="000D10DF"/>
    <w:rsid w:val="000D155D"/>
    <w:rsid w:val="000D1596"/>
    <w:rsid w:val="000D15E0"/>
    <w:rsid w:val="000D160C"/>
    <w:rsid w:val="000D18C1"/>
    <w:rsid w:val="000D1970"/>
    <w:rsid w:val="000D1AE7"/>
    <w:rsid w:val="000D1D77"/>
    <w:rsid w:val="000D1DF2"/>
    <w:rsid w:val="000D1E7C"/>
    <w:rsid w:val="000D1FCD"/>
    <w:rsid w:val="000D20E6"/>
    <w:rsid w:val="000D219A"/>
    <w:rsid w:val="000D21AA"/>
    <w:rsid w:val="000D21FD"/>
    <w:rsid w:val="000D2327"/>
    <w:rsid w:val="000D2527"/>
    <w:rsid w:val="000D275A"/>
    <w:rsid w:val="000D280D"/>
    <w:rsid w:val="000D30A4"/>
    <w:rsid w:val="000D31A6"/>
    <w:rsid w:val="000D32B4"/>
    <w:rsid w:val="000D33F3"/>
    <w:rsid w:val="000D3491"/>
    <w:rsid w:val="000D3628"/>
    <w:rsid w:val="000D3893"/>
    <w:rsid w:val="000D3A2D"/>
    <w:rsid w:val="000D3C2C"/>
    <w:rsid w:val="000D3E3C"/>
    <w:rsid w:val="000D3EB2"/>
    <w:rsid w:val="000D40C1"/>
    <w:rsid w:val="000D42F5"/>
    <w:rsid w:val="000D430A"/>
    <w:rsid w:val="000D46E8"/>
    <w:rsid w:val="000D4841"/>
    <w:rsid w:val="000D48E6"/>
    <w:rsid w:val="000D4AFD"/>
    <w:rsid w:val="000D4BEA"/>
    <w:rsid w:val="000D4C62"/>
    <w:rsid w:val="000D4CA6"/>
    <w:rsid w:val="000D4D00"/>
    <w:rsid w:val="000D4D18"/>
    <w:rsid w:val="000D4F04"/>
    <w:rsid w:val="000D5119"/>
    <w:rsid w:val="000D511F"/>
    <w:rsid w:val="000D5310"/>
    <w:rsid w:val="000D5388"/>
    <w:rsid w:val="000D5500"/>
    <w:rsid w:val="000D5698"/>
    <w:rsid w:val="000D56D0"/>
    <w:rsid w:val="000D576D"/>
    <w:rsid w:val="000D5805"/>
    <w:rsid w:val="000D5849"/>
    <w:rsid w:val="000D5876"/>
    <w:rsid w:val="000D58F6"/>
    <w:rsid w:val="000D59EF"/>
    <w:rsid w:val="000D5BB3"/>
    <w:rsid w:val="000D5D57"/>
    <w:rsid w:val="000D62B6"/>
    <w:rsid w:val="000D639C"/>
    <w:rsid w:val="000D63E0"/>
    <w:rsid w:val="000D63F5"/>
    <w:rsid w:val="000D6429"/>
    <w:rsid w:val="000D65D4"/>
    <w:rsid w:val="000D68C6"/>
    <w:rsid w:val="000D6981"/>
    <w:rsid w:val="000D6EBD"/>
    <w:rsid w:val="000D718A"/>
    <w:rsid w:val="000D71DF"/>
    <w:rsid w:val="000D7449"/>
    <w:rsid w:val="000D76E9"/>
    <w:rsid w:val="000D77EB"/>
    <w:rsid w:val="000D79FA"/>
    <w:rsid w:val="000D7D05"/>
    <w:rsid w:val="000D7FB7"/>
    <w:rsid w:val="000E008D"/>
    <w:rsid w:val="000E02CA"/>
    <w:rsid w:val="000E04BF"/>
    <w:rsid w:val="000E04E3"/>
    <w:rsid w:val="000E05A3"/>
    <w:rsid w:val="000E092A"/>
    <w:rsid w:val="000E09E5"/>
    <w:rsid w:val="000E0BA1"/>
    <w:rsid w:val="000E0CE3"/>
    <w:rsid w:val="000E0EAE"/>
    <w:rsid w:val="000E1537"/>
    <w:rsid w:val="000E1564"/>
    <w:rsid w:val="000E156F"/>
    <w:rsid w:val="000E166F"/>
    <w:rsid w:val="000E171C"/>
    <w:rsid w:val="000E1789"/>
    <w:rsid w:val="000E1A5C"/>
    <w:rsid w:val="000E1ADD"/>
    <w:rsid w:val="000E1D39"/>
    <w:rsid w:val="000E1E0A"/>
    <w:rsid w:val="000E1FDE"/>
    <w:rsid w:val="000E2714"/>
    <w:rsid w:val="000E27D8"/>
    <w:rsid w:val="000E28DF"/>
    <w:rsid w:val="000E2A64"/>
    <w:rsid w:val="000E2B4D"/>
    <w:rsid w:val="000E2CDB"/>
    <w:rsid w:val="000E2EB0"/>
    <w:rsid w:val="000E3273"/>
    <w:rsid w:val="000E32B5"/>
    <w:rsid w:val="000E3690"/>
    <w:rsid w:val="000E36DC"/>
    <w:rsid w:val="000E3ADE"/>
    <w:rsid w:val="000E3AF7"/>
    <w:rsid w:val="000E3B7A"/>
    <w:rsid w:val="000E3F4A"/>
    <w:rsid w:val="000E3F9B"/>
    <w:rsid w:val="000E402A"/>
    <w:rsid w:val="000E4030"/>
    <w:rsid w:val="000E40C6"/>
    <w:rsid w:val="000E40D1"/>
    <w:rsid w:val="000E478C"/>
    <w:rsid w:val="000E47C4"/>
    <w:rsid w:val="000E483C"/>
    <w:rsid w:val="000E4850"/>
    <w:rsid w:val="000E4D4D"/>
    <w:rsid w:val="000E4D94"/>
    <w:rsid w:val="000E4FC5"/>
    <w:rsid w:val="000E50A7"/>
    <w:rsid w:val="000E510B"/>
    <w:rsid w:val="000E520E"/>
    <w:rsid w:val="000E5438"/>
    <w:rsid w:val="000E5512"/>
    <w:rsid w:val="000E55AD"/>
    <w:rsid w:val="000E572D"/>
    <w:rsid w:val="000E5A76"/>
    <w:rsid w:val="000E5AE1"/>
    <w:rsid w:val="000E5CDC"/>
    <w:rsid w:val="000E61CA"/>
    <w:rsid w:val="000E6221"/>
    <w:rsid w:val="000E6396"/>
    <w:rsid w:val="000E640B"/>
    <w:rsid w:val="000E642A"/>
    <w:rsid w:val="000E6454"/>
    <w:rsid w:val="000E64DD"/>
    <w:rsid w:val="000E64F4"/>
    <w:rsid w:val="000E6513"/>
    <w:rsid w:val="000E67F2"/>
    <w:rsid w:val="000E6A40"/>
    <w:rsid w:val="000E6AFC"/>
    <w:rsid w:val="000E6F4C"/>
    <w:rsid w:val="000E71F6"/>
    <w:rsid w:val="000E7297"/>
    <w:rsid w:val="000E729F"/>
    <w:rsid w:val="000E7627"/>
    <w:rsid w:val="000E7668"/>
    <w:rsid w:val="000E770D"/>
    <w:rsid w:val="000E781A"/>
    <w:rsid w:val="000E785B"/>
    <w:rsid w:val="000E78EB"/>
    <w:rsid w:val="000E7903"/>
    <w:rsid w:val="000E7962"/>
    <w:rsid w:val="000E7E2A"/>
    <w:rsid w:val="000E7F97"/>
    <w:rsid w:val="000E7FF0"/>
    <w:rsid w:val="000F0034"/>
    <w:rsid w:val="000F0439"/>
    <w:rsid w:val="000F04B9"/>
    <w:rsid w:val="000F07D8"/>
    <w:rsid w:val="000F0939"/>
    <w:rsid w:val="000F09C1"/>
    <w:rsid w:val="000F0D09"/>
    <w:rsid w:val="000F0EB5"/>
    <w:rsid w:val="000F0FD7"/>
    <w:rsid w:val="000F1162"/>
    <w:rsid w:val="000F155E"/>
    <w:rsid w:val="000F16D5"/>
    <w:rsid w:val="000F1922"/>
    <w:rsid w:val="000F1AE6"/>
    <w:rsid w:val="000F1D73"/>
    <w:rsid w:val="000F1E79"/>
    <w:rsid w:val="000F1F1D"/>
    <w:rsid w:val="000F1F21"/>
    <w:rsid w:val="000F1F56"/>
    <w:rsid w:val="000F1F8F"/>
    <w:rsid w:val="000F224F"/>
    <w:rsid w:val="000F2256"/>
    <w:rsid w:val="000F229E"/>
    <w:rsid w:val="000F237E"/>
    <w:rsid w:val="000F2476"/>
    <w:rsid w:val="000F256C"/>
    <w:rsid w:val="000F2663"/>
    <w:rsid w:val="000F2920"/>
    <w:rsid w:val="000F2963"/>
    <w:rsid w:val="000F29A9"/>
    <w:rsid w:val="000F2AD8"/>
    <w:rsid w:val="000F2FCE"/>
    <w:rsid w:val="000F3A29"/>
    <w:rsid w:val="000F3A63"/>
    <w:rsid w:val="000F3A66"/>
    <w:rsid w:val="000F3B50"/>
    <w:rsid w:val="000F3B8D"/>
    <w:rsid w:val="000F3CE8"/>
    <w:rsid w:val="000F405B"/>
    <w:rsid w:val="000F42C1"/>
    <w:rsid w:val="000F4331"/>
    <w:rsid w:val="000F4402"/>
    <w:rsid w:val="000F4451"/>
    <w:rsid w:val="000F452D"/>
    <w:rsid w:val="000F4A34"/>
    <w:rsid w:val="000F4ACB"/>
    <w:rsid w:val="000F4B47"/>
    <w:rsid w:val="000F4C30"/>
    <w:rsid w:val="000F4CA6"/>
    <w:rsid w:val="000F4D43"/>
    <w:rsid w:val="000F50BB"/>
    <w:rsid w:val="000F5196"/>
    <w:rsid w:val="000F519C"/>
    <w:rsid w:val="000F533F"/>
    <w:rsid w:val="000F5373"/>
    <w:rsid w:val="000F543B"/>
    <w:rsid w:val="000F56C2"/>
    <w:rsid w:val="000F588F"/>
    <w:rsid w:val="000F59E6"/>
    <w:rsid w:val="000F5C67"/>
    <w:rsid w:val="000F5E75"/>
    <w:rsid w:val="000F610B"/>
    <w:rsid w:val="000F611B"/>
    <w:rsid w:val="000F6266"/>
    <w:rsid w:val="000F6291"/>
    <w:rsid w:val="000F639B"/>
    <w:rsid w:val="000F63BB"/>
    <w:rsid w:val="000F663D"/>
    <w:rsid w:val="000F6792"/>
    <w:rsid w:val="000F67A6"/>
    <w:rsid w:val="000F67E8"/>
    <w:rsid w:val="000F6F74"/>
    <w:rsid w:val="000F70F9"/>
    <w:rsid w:val="000F748B"/>
    <w:rsid w:val="000F7524"/>
    <w:rsid w:val="000F7639"/>
    <w:rsid w:val="000F7781"/>
    <w:rsid w:val="000F7852"/>
    <w:rsid w:val="000F7999"/>
    <w:rsid w:val="000F7B59"/>
    <w:rsid w:val="000F7EA5"/>
    <w:rsid w:val="000F7F3C"/>
    <w:rsid w:val="000F7F63"/>
    <w:rsid w:val="00100057"/>
    <w:rsid w:val="0010011A"/>
    <w:rsid w:val="0010035E"/>
    <w:rsid w:val="00100409"/>
    <w:rsid w:val="001004FD"/>
    <w:rsid w:val="00100869"/>
    <w:rsid w:val="00100913"/>
    <w:rsid w:val="00100BC5"/>
    <w:rsid w:val="00100BD9"/>
    <w:rsid w:val="00100D42"/>
    <w:rsid w:val="00100DDE"/>
    <w:rsid w:val="00101550"/>
    <w:rsid w:val="0010157D"/>
    <w:rsid w:val="0010173B"/>
    <w:rsid w:val="00101A64"/>
    <w:rsid w:val="00101C57"/>
    <w:rsid w:val="00101D3F"/>
    <w:rsid w:val="001020DD"/>
    <w:rsid w:val="00102231"/>
    <w:rsid w:val="00102300"/>
    <w:rsid w:val="00102339"/>
    <w:rsid w:val="00102455"/>
    <w:rsid w:val="001025F9"/>
    <w:rsid w:val="0010282B"/>
    <w:rsid w:val="00102CFD"/>
    <w:rsid w:val="00102D0F"/>
    <w:rsid w:val="00102EA2"/>
    <w:rsid w:val="00102ED3"/>
    <w:rsid w:val="001030AA"/>
    <w:rsid w:val="00103257"/>
    <w:rsid w:val="0010337C"/>
    <w:rsid w:val="001033E5"/>
    <w:rsid w:val="001034D0"/>
    <w:rsid w:val="001035BB"/>
    <w:rsid w:val="001035F8"/>
    <w:rsid w:val="00103607"/>
    <w:rsid w:val="00103A4D"/>
    <w:rsid w:val="00103CC1"/>
    <w:rsid w:val="00103DFF"/>
    <w:rsid w:val="00103E5A"/>
    <w:rsid w:val="00103EF8"/>
    <w:rsid w:val="00103F85"/>
    <w:rsid w:val="00104092"/>
    <w:rsid w:val="00104118"/>
    <w:rsid w:val="00104504"/>
    <w:rsid w:val="00104593"/>
    <w:rsid w:val="0010471A"/>
    <w:rsid w:val="001048F6"/>
    <w:rsid w:val="00104970"/>
    <w:rsid w:val="00104B0A"/>
    <w:rsid w:val="00104C70"/>
    <w:rsid w:val="00104D4C"/>
    <w:rsid w:val="00104FC9"/>
    <w:rsid w:val="00105060"/>
    <w:rsid w:val="001050B5"/>
    <w:rsid w:val="001056B4"/>
    <w:rsid w:val="00105834"/>
    <w:rsid w:val="00105A5F"/>
    <w:rsid w:val="00105C29"/>
    <w:rsid w:val="00105D80"/>
    <w:rsid w:val="00105ED2"/>
    <w:rsid w:val="00105F79"/>
    <w:rsid w:val="00106081"/>
    <w:rsid w:val="00106648"/>
    <w:rsid w:val="001067E1"/>
    <w:rsid w:val="00106B1F"/>
    <w:rsid w:val="00106D71"/>
    <w:rsid w:val="00106F9B"/>
    <w:rsid w:val="00107090"/>
    <w:rsid w:val="001071A4"/>
    <w:rsid w:val="00107705"/>
    <w:rsid w:val="001077E6"/>
    <w:rsid w:val="001079E4"/>
    <w:rsid w:val="00107B45"/>
    <w:rsid w:val="00107C29"/>
    <w:rsid w:val="00107C83"/>
    <w:rsid w:val="00107CEE"/>
    <w:rsid w:val="00107DD8"/>
    <w:rsid w:val="00107DED"/>
    <w:rsid w:val="00107FCF"/>
    <w:rsid w:val="00110005"/>
    <w:rsid w:val="00110373"/>
    <w:rsid w:val="00110627"/>
    <w:rsid w:val="0011075E"/>
    <w:rsid w:val="00110802"/>
    <w:rsid w:val="001109B8"/>
    <w:rsid w:val="0011118E"/>
    <w:rsid w:val="001112EF"/>
    <w:rsid w:val="00111570"/>
    <w:rsid w:val="00111658"/>
    <w:rsid w:val="00111EFB"/>
    <w:rsid w:val="00111F88"/>
    <w:rsid w:val="0011212E"/>
    <w:rsid w:val="001121AC"/>
    <w:rsid w:val="0011220D"/>
    <w:rsid w:val="00112435"/>
    <w:rsid w:val="00112443"/>
    <w:rsid w:val="00112675"/>
    <w:rsid w:val="00112686"/>
    <w:rsid w:val="00112717"/>
    <w:rsid w:val="001128E0"/>
    <w:rsid w:val="00112949"/>
    <w:rsid w:val="00112AFA"/>
    <w:rsid w:val="00112B96"/>
    <w:rsid w:val="00112CE6"/>
    <w:rsid w:val="00112DEB"/>
    <w:rsid w:val="00112EBD"/>
    <w:rsid w:val="00112EFC"/>
    <w:rsid w:val="001130A0"/>
    <w:rsid w:val="001130E8"/>
    <w:rsid w:val="001135CC"/>
    <w:rsid w:val="001136AA"/>
    <w:rsid w:val="00113762"/>
    <w:rsid w:val="00113A95"/>
    <w:rsid w:val="00113B2D"/>
    <w:rsid w:val="00113B53"/>
    <w:rsid w:val="00113D35"/>
    <w:rsid w:val="00114165"/>
    <w:rsid w:val="001141A7"/>
    <w:rsid w:val="001145BC"/>
    <w:rsid w:val="00114605"/>
    <w:rsid w:val="00114723"/>
    <w:rsid w:val="001148BF"/>
    <w:rsid w:val="0011495B"/>
    <w:rsid w:val="001149BA"/>
    <w:rsid w:val="00114D55"/>
    <w:rsid w:val="0011519A"/>
    <w:rsid w:val="001152CB"/>
    <w:rsid w:val="00115304"/>
    <w:rsid w:val="001154F6"/>
    <w:rsid w:val="001155AD"/>
    <w:rsid w:val="0011572C"/>
    <w:rsid w:val="00115744"/>
    <w:rsid w:val="00115781"/>
    <w:rsid w:val="00115844"/>
    <w:rsid w:val="001159AF"/>
    <w:rsid w:val="001159C3"/>
    <w:rsid w:val="00115A35"/>
    <w:rsid w:val="00115BDD"/>
    <w:rsid w:val="00115CC1"/>
    <w:rsid w:val="00115DB0"/>
    <w:rsid w:val="00115DC9"/>
    <w:rsid w:val="00116098"/>
    <w:rsid w:val="001160A2"/>
    <w:rsid w:val="001164BD"/>
    <w:rsid w:val="001165DB"/>
    <w:rsid w:val="00116605"/>
    <w:rsid w:val="00116713"/>
    <w:rsid w:val="0011689E"/>
    <w:rsid w:val="00116997"/>
    <w:rsid w:val="00116AEE"/>
    <w:rsid w:val="00116AFD"/>
    <w:rsid w:val="00116F5A"/>
    <w:rsid w:val="0011714F"/>
    <w:rsid w:val="0011716A"/>
    <w:rsid w:val="00117243"/>
    <w:rsid w:val="001172FA"/>
    <w:rsid w:val="001176D2"/>
    <w:rsid w:val="001176F7"/>
    <w:rsid w:val="00117701"/>
    <w:rsid w:val="0011787B"/>
    <w:rsid w:val="00117996"/>
    <w:rsid w:val="001179A7"/>
    <w:rsid w:val="00117AD0"/>
    <w:rsid w:val="00117ADB"/>
    <w:rsid w:val="00117CB8"/>
    <w:rsid w:val="00117EA3"/>
    <w:rsid w:val="00117EBD"/>
    <w:rsid w:val="001201B8"/>
    <w:rsid w:val="0012020C"/>
    <w:rsid w:val="001204D8"/>
    <w:rsid w:val="00120977"/>
    <w:rsid w:val="00120A6A"/>
    <w:rsid w:val="00120B61"/>
    <w:rsid w:val="001210F0"/>
    <w:rsid w:val="0012128E"/>
    <w:rsid w:val="001212DF"/>
    <w:rsid w:val="0012133E"/>
    <w:rsid w:val="00121345"/>
    <w:rsid w:val="0012145E"/>
    <w:rsid w:val="001215C1"/>
    <w:rsid w:val="00121AAA"/>
    <w:rsid w:val="00121B38"/>
    <w:rsid w:val="00121C0A"/>
    <w:rsid w:val="00121F09"/>
    <w:rsid w:val="00121F1C"/>
    <w:rsid w:val="00121FBC"/>
    <w:rsid w:val="00122066"/>
    <w:rsid w:val="0012208C"/>
    <w:rsid w:val="00122097"/>
    <w:rsid w:val="00122180"/>
    <w:rsid w:val="00122269"/>
    <w:rsid w:val="00122320"/>
    <w:rsid w:val="001223D9"/>
    <w:rsid w:val="00122726"/>
    <w:rsid w:val="0012278F"/>
    <w:rsid w:val="001228F5"/>
    <w:rsid w:val="00122CD7"/>
    <w:rsid w:val="00122DE0"/>
    <w:rsid w:val="00122EF9"/>
    <w:rsid w:val="00123043"/>
    <w:rsid w:val="00123268"/>
    <w:rsid w:val="001234B1"/>
    <w:rsid w:val="001235CD"/>
    <w:rsid w:val="001235F2"/>
    <w:rsid w:val="001237DD"/>
    <w:rsid w:val="001237F2"/>
    <w:rsid w:val="00123AF6"/>
    <w:rsid w:val="00123D7D"/>
    <w:rsid w:val="001240F4"/>
    <w:rsid w:val="0012421F"/>
    <w:rsid w:val="0012432B"/>
    <w:rsid w:val="001243A4"/>
    <w:rsid w:val="00124598"/>
    <w:rsid w:val="001246C6"/>
    <w:rsid w:val="001246F0"/>
    <w:rsid w:val="00124975"/>
    <w:rsid w:val="00124B16"/>
    <w:rsid w:val="00124D59"/>
    <w:rsid w:val="00124D92"/>
    <w:rsid w:val="00124E35"/>
    <w:rsid w:val="0012540F"/>
    <w:rsid w:val="0012556E"/>
    <w:rsid w:val="00125839"/>
    <w:rsid w:val="001259C7"/>
    <w:rsid w:val="00125F3C"/>
    <w:rsid w:val="00125F78"/>
    <w:rsid w:val="00126378"/>
    <w:rsid w:val="00126560"/>
    <w:rsid w:val="0012658A"/>
    <w:rsid w:val="00126627"/>
    <w:rsid w:val="0012662E"/>
    <w:rsid w:val="00126695"/>
    <w:rsid w:val="001268E1"/>
    <w:rsid w:val="00126965"/>
    <w:rsid w:val="00126991"/>
    <w:rsid w:val="00126D01"/>
    <w:rsid w:val="00126E66"/>
    <w:rsid w:val="00126E6D"/>
    <w:rsid w:val="00127076"/>
    <w:rsid w:val="0012716B"/>
    <w:rsid w:val="00127195"/>
    <w:rsid w:val="001273A5"/>
    <w:rsid w:val="00127434"/>
    <w:rsid w:val="0012750C"/>
    <w:rsid w:val="001275D1"/>
    <w:rsid w:val="001276EC"/>
    <w:rsid w:val="0012774D"/>
    <w:rsid w:val="001279C3"/>
    <w:rsid w:val="001300C7"/>
    <w:rsid w:val="00130292"/>
    <w:rsid w:val="001303AA"/>
    <w:rsid w:val="00130C63"/>
    <w:rsid w:val="00130E3B"/>
    <w:rsid w:val="00130F34"/>
    <w:rsid w:val="00131026"/>
    <w:rsid w:val="0013126B"/>
    <w:rsid w:val="0013126E"/>
    <w:rsid w:val="00131333"/>
    <w:rsid w:val="00131372"/>
    <w:rsid w:val="00131533"/>
    <w:rsid w:val="0013158C"/>
    <w:rsid w:val="00131623"/>
    <w:rsid w:val="001318D2"/>
    <w:rsid w:val="00131C50"/>
    <w:rsid w:val="00131F1F"/>
    <w:rsid w:val="001320EF"/>
    <w:rsid w:val="00132294"/>
    <w:rsid w:val="00132594"/>
    <w:rsid w:val="001325A5"/>
    <w:rsid w:val="001326DE"/>
    <w:rsid w:val="0013277D"/>
    <w:rsid w:val="00132821"/>
    <w:rsid w:val="001328D1"/>
    <w:rsid w:val="00132D00"/>
    <w:rsid w:val="001332C1"/>
    <w:rsid w:val="00133386"/>
    <w:rsid w:val="00133455"/>
    <w:rsid w:val="00133555"/>
    <w:rsid w:val="001335AF"/>
    <w:rsid w:val="00133765"/>
    <w:rsid w:val="0013388C"/>
    <w:rsid w:val="00133940"/>
    <w:rsid w:val="00133A2A"/>
    <w:rsid w:val="00133AA6"/>
    <w:rsid w:val="00133D6A"/>
    <w:rsid w:val="00133EA7"/>
    <w:rsid w:val="00133EC4"/>
    <w:rsid w:val="00133F74"/>
    <w:rsid w:val="00133FDE"/>
    <w:rsid w:val="00134069"/>
    <w:rsid w:val="0013412B"/>
    <w:rsid w:val="00134236"/>
    <w:rsid w:val="00134697"/>
    <w:rsid w:val="001347DE"/>
    <w:rsid w:val="001348D7"/>
    <w:rsid w:val="001349E3"/>
    <w:rsid w:val="00134AC6"/>
    <w:rsid w:val="00134B99"/>
    <w:rsid w:val="00134C0C"/>
    <w:rsid w:val="00134CC3"/>
    <w:rsid w:val="00134F5F"/>
    <w:rsid w:val="00134FD8"/>
    <w:rsid w:val="00135134"/>
    <w:rsid w:val="0013514A"/>
    <w:rsid w:val="0013515C"/>
    <w:rsid w:val="00135496"/>
    <w:rsid w:val="0013579D"/>
    <w:rsid w:val="0013584C"/>
    <w:rsid w:val="00135A72"/>
    <w:rsid w:val="00135A94"/>
    <w:rsid w:val="00135C5B"/>
    <w:rsid w:val="00135CB6"/>
    <w:rsid w:val="00135E61"/>
    <w:rsid w:val="0013659C"/>
    <w:rsid w:val="001369C0"/>
    <w:rsid w:val="00136C27"/>
    <w:rsid w:val="00136D15"/>
    <w:rsid w:val="00136F45"/>
    <w:rsid w:val="00137553"/>
    <w:rsid w:val="00137797"/>
    <w:rsid w:val="00137869"/>
    <w:rsid w:val="00137ADA"/>
    <w:rsid w:val="00137AF2"/>
    <w:rsid w:val="00137B23"/>
    <w:rsid w:val="00137B28"/>
    <w:rsid w:val="00137D75"/>
    <w:rsid w:val="00137E4A"/>
    <w:rsid w:val="00140064"/>
    <w:rsid w:val="001401A9"/>
    <w:rsid w:val="001404CE"/>
    <w:rsid w:val="00140598"/>
    <w:rsid w:val="001405A4"/>
    <w:rsid w:val="00140710"/>
    <w:rsid w:val="00140849"/>
    <w:rsid w:val="00140A9F"/>
    <w:rsid w:val="00140B58"/>
    <w:rsid w:val="00140B7C"/>
    <w:rsid w:val="00140BC9"/>
    <w:rsid w:val="00140CC5"/>
    <w:rsid w:val="00140D81"/>
    <w:rsid w:val="00140EF8"/>
    <w:rsid w:val="00140F47"/>
    <w:rsid w:val="0014103F"/>
    <w:rsid w:val="00141159"/>
    <w:rsid w:val="00141214"/>
    <w:rsid w:val="00141264"/>
    <w:rsid w:val="001413EC"/>
    <w:rsid w:val="00141434"/>
    <w:rsid w:val="00141450"/>
    <w:rsid w:val="0014147D"/>
    <w:rsid w:val="001418BA"/>
    <w:rsid w:val="00141A9D"/>
    <w:rsid w:val="00141CF1"/>
    <w:rsid w:val="00142474"/>
    <w:rsid w:val="00142491"/>
    <w:rsid w:val="001424B7"/>
    <w:rsid w:val="00142502"/>
    <w:rsid w:val="00142676"/>
    <w:rsid w:val="0014277A"/>
    <w:rsid w:val="00142FB1"/>
    <w:rsid w:val="0014302F"/>
    <w:rsid w:val="00143650"/>
    <w:rsid w:val="00143B21"/>
    <w:rsid w:val="00143D32"/>
    <w:rsid w:val="00144040"/>
    <w:rsid w:val="0014422E"/>
    <w:rsid w:val="0014426F"/>
    <w:rsid w:val="001442DD"/>
    <w:rsid w:val="00144469"/>
    <w:rsid w:val="0014446F"/>
    <w:rsid w:val="0014448E"/>
    <w:rsid w:val="00144586"/>
    <w:rsid w:val="0014463C"/>
    <w:rsid w:val="001446CF"/>
    <w:rsid w:val="00144761"/>
    <w:rsid w:val="00144955"/>
    <w:rsid w:val="00144D9C"/>
    <w:rsid w:val="00145727"/>
    <w:rsid w:val="00145B08"/>
    <w:rsid w:val="00145C21"/>
    <w:rsid w:val="00145C9B"/>
    <w:rsid w:val="001461BC"/>
    <w:rsid w:val="0014644F"/>
    <w:rsid w:val="001464AA"/>
    <w:rsid w:val="001465B5"/>
    <w:rsid w:val="00146685"/>
    <w:rsid w:val="0014690E"/>
    <w:rsid w:val="0014697A"/>
    <w:rsid w:val="00146DDF"/>
    <w:rsid w:val="00146ECF"/>
    <w:rsid w:val="00146F82"/>
    <w:rsid w:val="001470AD"/>
    <w:rsid w:val="001474F8"/>
    <w:rsid w:val="00147C15"/>
    <w:rsid w:val="00147C4B"/>
    <w:rsid w:val="00147F52"/>
    <w:rsid w:val="00147F98"/>
    <w:rsid w:val="00150060"/>
    <w:rsid w:val="001501CF"/>
    <w:rsid w:val="0015023F"/>
    <w:rsid w:val="00150400"/>
    <w:rsid w:val="0015045C"/>
    <w:rsid w:val="001505B8"/>
    <w:rsid w:val="00150750"/>
    <w:rsid w:val="00150833"/>
    <w:rsid w:val="00150AB5"/>
    <w:rsid w:val="00150B84"/>
    <w:rsid w:val="00150EC4"/>
    <w:rsid w:val="00151002"/>
    <w:rsid w:val="00151111"/>
    <w:rsid w:val="00151218"/>
    <w:rsid w:val="00151381"/>
    <w:rsid w:val="00151664"/>
    <w:rsid w:val="001516B2"/>
    <w:rsid w:val="00151826"/>
    <w:rsid w:val="00151926"/>
    <w:rsid w:val="00151D0C"/>
    <w:rsid w:val="00151EA1"/>
    <w:rsid w:val="00152075"/>
    <w:rsid w:val="001521AD"/>
    <w:rsid w:val="001523A6"/>
    <w:rsid w:val="00152707"/>
    <w:rsid w:val="001527AA"/>
    <w:rsid w:val="001527F2"/>
    <w:rsid w:val="001528B7"/>
    <w:rsid w:val="00152A70"/>
    <w:rsid w:val="00152DE9"/>
    <w:rsid w:val="00153016"/>
    <w:rsid w:val="00153017"/>
    <w:rsid w:val="00153265"/>
    <w:rsid w:val="001532A4"/>
    <w:rsid w:val="001532AA"/>
    <w:rsid w:val="001533D1"/>
    <w:rsid w:val="00153735"/>
    <w:rsid w:val="00153A47"/>
    <w:rsid w:val="00153AFD"/>
    <w:rsid w:val="00153EA5"/>
    <w:rsid w:val="00153FFD"/>
    <w:rsid w:val="00154084"/>
    <w:rsid w:val="001540C3"/>
    <w:rsid w:val="00154157"/>
    <w:rsid w:val="001541F5"/>
    <w:rsid w:val="0015431E"/>
    <w:rsid w:val="00154770"/>
    <w:rsid w:val="0015479B"/>
    <w:rsid w:val="001549B5"/>
    <w:rsid w:val="001549DC"/>
    <w:rsid w:val="00154A13"/>
    <w:rsid w:val="00154AAA"/>
    <w:rsid w:val="00154D5D"/>
    <w:rsid w:val="00154E7C"/>
    <w:rsid w:val="00154F02"/>
    <w:rsid w:val="00155089"/>
    <w:rsid w:val="0015530E"/>
    <w:rsid w:val="0015536B"/>
    <w:rsid w:val="001557B5"/>
    <w:rsid w:val="001558F6"/>
    <w:rsid w:val="001558F7"/>
    <w:rsid w:val="00155B0F"/>
    <w:rsid w:val="00155E54"/>
    <w:rsid w:val="00155E78"/>
    <w:rsid w:val="00155F52"/>
    <w:rsid w:val="0015633F"/>
    <w:rsid w:val="001566C4"/>
    <w:rsid w:val="00156735"/>
    <w:rsid w:val="00156825"/>
    <w:rsid w:val="00156A58"/>
    <w:rsid w:val="00156B2B"/>
    <w:rsid w:val="00156D55"/>
    <w:rsid w:val="00156D8E"/>
    <w:rsid w:val="00156E35"/>
    <w:rsid w:val="00156FA0"/>
    <w:rsid w:val="00156FB1"/>
    <w:rsid w:val="0015705D"/>
    <w:rsid w:val="0015706A"/>
    <w:rsid w:val="00157091"/>
    <w:rsid w:val="00157144"/>
    <w:rsid w:val="0015757C"/>
    <w:rsid w:val="00157654"/>
    <w:rsid w:val="001578AE"/>
    <w:rsid w:val="001578B9"/>
    <w:rsid w:val="00157933"/>
    <w:rsid w:val="00157ACA"/>
    <w:rsid w:val="00157EA1"/>
    <w:rsid w:val="00157F3A"/>
    <w:rsid w:val="00157F3B"/>
    <w:rsid w:val="00157F43"/>
    <w:rsid w:val="00157F50"/>
    <w:rsid w:val="00157F6D"/>
    <w:rsid w:val="0016006D"/>
    <w:rsid w:val="001602B9"/>
    <w:rsid w:val="00160354"/>
    <w:rsid w:val="001603F2"/>
    <w:rsid w:val="001604C3"/>
    <w:rsid w:val="00160699"/>
    <w:rsid w:val="0016088C"/>
    <w:rsid w:val="00160914"/>
    <w:rsid w:val="00160C54"/>
    <w:rsid w:val="00160E2C"/>
    <w:rsid w:val="00161164"/>
    <w:rsid w:val="001615E9"/>
    <w:rsid w:val="00161AC9"/>
    <w:rsid w:val="00161B8C"/>
    <w:rsid w:val="00161C34"/>
    <w:rsid w:val="00161CAE"/>
    <w:rsid w:val="00161FA2"/>
    <w:rsid w:val="001620AB"/>
    <w:rsid w:val="0016231A"/>
    <w:rsid w:val="0016238C"/>
    <w:rsid w:val="00162756"/>
    <w:rsid w:val="001628D1"/>
    <w:rsid w:val="00162ABE"/>
    <w:rsid w:val="00162B15"/>
    <w:rsid w:val="00162BEA"/>
    <w:rsid w:val="00162C32"/>
    <w:rsid w:val="00162C67"/>
    <w:rsid w:val="00162C7E"/>
    <w:rsid w:val="00162D19"/>
    <w:rsid w:val="00162E1E"/>
    <w:rsid w:val="0016305B"/>
    <w:rsid w:val="0016334D"/>
    <w:rsid w:val="00163482"/>
    <w:rsid w:val="0016375D"/>
    <w:rsid w:val="00163767"/>
    <w:rsid w:val="001637EB"/>
    <w:rsid w:val="00163D5F"/>
    <w:rsid w:val="00163E8D"/>
    <w:rsid w:val="00163F32"/>
    <w:rsid w:val="00163F61"/>
    <w:rsid w:val="00163FEB"/>
    <w:rsid w:val="00164292"/>
    <w:rsid w:val="00164330"/>
    <w:rsid w:val="0016441F"/>
    <w:rsid w:val="00164718"/>
    <w:rsid w:val="0016477C"/>
    <w:rsid w:val="001648B1"/>
    <w:rsid w:val="001649E8"/>
    <w:rsid w:val="00164ACD"/>
    <w:rsid w:val="001651CA"/>
    <w:rsid w:val="00165298"/>
    <w:rsid w:val="0016562A"/>
    <w:rsid w:val="0016581D"/>
    <w:rsid w:val="00165C68"/>
    <w:rsid w:val="00165D34"/>
    <w:rsid w:val="00165DB5"/>
    <w:rsid w:val="00165F08"/>
    <w:rsid w:val="0016605D"/>
    <w:rsid w:val="0016640B"/>
    <w:rsid w:val="0016649F"/>
    <w:rsid w:val="0016654B"/>
    <w:rsid w:val="00166610"/>
    <w:rsid w:val="00166649"/>
    <w:rsid w:val="0016669F"/>
    <w:rsid w:val="001668D0"/>
    <w:rsid w:val="0016691A"/>
    <w:rsid w:val="001669F0"/>
    <w:rsid w:val="00166B3E"/>
    <w:rsid w:val="00166DCC"/>
    <w:rsid w:val="00167273"/>
    <w:rsid w:val="00167324"/>
    <w:rsid w:val="00167381"/>
    <w:rsid w:val="00167461"/>
    <w:rsid w:val="0016763C"/>
    <w:rsid w:val="0016772F"/>
    <w:rsid w:val="00167813"/>
    <w:rsid w:val="00167C80"/>
    <w:rsid w:val="0017001E"/>
    <w:rsid w:val="00170164"/>
    <w:rsid w:val="001701FB"/>
    <w:rsid w:val="001702BD"/>
    <w:rsid w:val="001702EB"/>
    <w:rsid w:val="00170427"/>
    <w:rsid w:val="0017049E"/>
    <w:rsid w:val="00170A3A"/>
    <w:rsid w:val="00170AF2"/>
    <w:rsid w:val="00170B9F"/>
    <w:rsid w:val="00170DF3"/>
    <w:rsid w:val="00170E1B"/>
    <w:rsid w:val="00170F9E"/>
    <w:rsid w:val="00171034"/>
    <w:rsid w:val="001712EA"/>
    <w:rsid w:val="0017148A"/>
    <w:rsid w:val="001715FC"/>
    <w:rsid w:val="001717C5"/>
    <w:rsid w:val="001718B9"/>
    <w:rsid w:val="00171922"/>
    <w:rsid w:val="00171CC4"/>
    <w:rsid w:val="00171DCE"/>
    <w:rsid w:val="00171E00"/>
    <w:rsid w:val="00171F01"/>
    <w:rsid w:val="0017212D"/>
    <w:rsid w:val="001721CF"/>
    <w:rsid w:val="001721E3"/>
    <w:rsid w:val="0017256A"/>
    <w:rsid w:val="001727A1"/>
    <w:rsid w:val="00172A29"/>
    <w:rsid w:val="00172AD4"/>
    <w:rsid w:val="00172CBA"/>
    <w:rsid w:val="00172FAF"/>
    <w:rsid w:val="00173061"/>
    <w:rsid w:val="001732A0"/>
    <w:rsid w:val="0017347A"/>
    <w:rsid w:val="001736F8"/>
    <w:rsid w:val="0017372D"/>
    <w:rsid w:val="0017377D"/>
    <w:rsid w:val="00173782"/>
    <w:rsid w:val="00173797"/>
    <w:rsid w:val="00173A80"/>
    <w:rsid w:val="00173AD5"/>
    <w:rsid w:val="00173C2F"/>
    <w:rsid w:val="00173C4F"/>
    <w:rsid w:val="00173F8E"/>
    <w:rsid w:val="00173FCE"/>
    <w:rsid w:val="0017410B"/>
    <w:rsid w:val="00174360"/>
    <w:rsid w:val="00174364"/>
    <w:rsid w:val="00174416"/>
    <w:rsid w:val="00174620"/>
    <w:rsid w:val="00174A61"/>
    <w:rsid w:val="00174A6A"/>
    <w:rsid w:val="00174B97"/>
    <w:rsid w:val="00174C09"/>
    <w:rsid w:val="00175084"/>
    <w:rsid w:val="001750BC"/>
    <w:rsid w:val="001752BC"/>
    <w:rsid w:val="001752D2"/>
    <w:rsid w:val="00175573"/>
    <w:rsid w:val="00175837"/>
    <w:rsid w:val="00175970"/>
    <w:rsid w:val="00175A48"/>
    <w:rsid w:val="00175A4A"/>
    <w:rsid w:val="00175A81"/>
    <w:rsid w:val="00175AC4"/>
    <w:rsid w:val="00175BC0"/>
    <w:rsid w:val="00175C09"/>
    <w:rsid w:val="00175E8F"/>
    <w:rsid w:val="001760FA"/>
    <w:rsid w:val="00176159"/>
    <w:rsid w:val="00176178"/>
    <w:rsid w:val="00176207"/>
    <w:rsid w:val="001764B6"/>
    <w:rsid w:val="001764F4"/>
    <w:rsid w:val="001766DA"/>
    <w:rsid w:val="00176852"/>
    <w:rsid w:val="00176DB6"/>
    <w:rsid w:val="00176EBA"/>
    <w:rsid w:val="00177430"/>
    <w:rsid w:val="00177795"/>
    <w:rsid w:val="00177882"/>
    <w:rsid w:val="00177914"/>
    <w:rsid w:val="00177AC7"/>
    <w:rsid w:val="00177DE3"/>
    <w:rsid w:val="00177E06"/>
    <w:rsid w:val="00177F37"/>
    <w:rsid w:val="001801A7"/>
    <w:rsid w:val="00180266"/>
    <w:rsid w:val="001802F5"/>
    <w:rsid w:val="00180372"/>
    <w:rsid w:val="001805F9"/>
    <w:rsid w:val="001807CD"/>
    <w:rsid w:val="00180820"/>
    <w:rsid w:val="00180AA2"/>
    <w:rsid w:val="00180ACE"/>
    <w:rsid w:val="00180CD1"/>
    <w:rsid w:val="00180F0C"/>
    <w:rsid w:val="00181877"/>
    <w:rsid w:val="0018189A"/>
    <w:rsid w:val="001818AE"/>
    <w:rsid w:val="001818BA"/>
    <w:rsid w:val="001818DF"/>
    <w:rsid w:val="0018190C"/>
    <w:rsid w:val="001819AC"/>
    <w:rsid w:val="00181B0C"/>
    <w:rsid w:val="00181C0C"/>
    <w:rsid w:val="00181E2A"/>
    <w:rsid w:val="00181E91"/>
    <w:rsid w:val="00182010"/>
    <w:rsid w:val="0018206A"/>
    <w:rsid w:val="0018227C"/>
    <w:rsid w:val="001823F8"/>
    <w:rsid w:val="0018252E"/>
    <w:rsid w:val="00182A8B"/>
    <w:rsid w:val="00182B60"/>
    <w:rsid w:val="00182C89"/>
    <w:rsid w:val="00182DE6"/>
    <w:rsid w:val="00182E79"/>
    <w:rsid w:val="001831CC"/>
    <w:rsid w:val="001833ED"/>
    <w:rsid w:val="00183602"/>
    <w:rsid w:val="0018375F"/>
    <w:rsid w:val="001837A1"/>
    <w:rsid w:val="001837D6"/>
    <w:rsid w:val="00183A69"/>
    <w:rsid w:val="00183ED0"/>
    <w:rsid w:val="00184156"/>
    <w:rsid w:val="001841FA"/>
    <w:rsid w:val="00184356"/>
    <w:rsid w:val="0018452B"/>
    <w:rsid w:val="00184704"/>
    <w:rsid w:val="00184A52"/>
    <w:rsid w:val="00184C28"/>
    <w:rsid w:val="00184CBA"/>
    <w:rsid w:val="001850B9"/>
    <w:rsid w:val="00185127"/>
    <w:rsid w:val="0018545F"/>
    <w:rsid w:val="001855C5"/>
    <w:rsid w:val="00185676"/>
    <w:rsid w:val="001856EA"/>
    <w:rsid w:val="00185A23"/>
    <w:rsid w:val="0018607A"/>
    <w:rsid w:val="00186103"/>
    <w:rsid w:val="00186188"/>
    <w:rsid w:val="001861EA"/>
    <w:rsid w:val="0018638D"/>
    <w:rsid w:val="0018674B"/>
    <w:rsid w:val="001868BD"/>
    <w:rsid w:val="001869A6"/>
    <w:rsid w:val="00186A8B"/>
    <w:rsid w:val="00186B3E"/>
    <w:rsid w:val="00186D24"/>
    <w:rsid w:val="00186D44"/>
    <w:rsid w:val="00186D9B"/>
    <w:rsid w:val="00186DCC"/>
    <w:rsid w:val="00186F0A"/>
    <w:rsid w:val="0018704F"/>
    <w:rsid w:val="00187150"/>
    <w:rsid w:val="0018716D"/>
    <w:rsid w:val="001871A3"/>
    <w:rsid w:val="00187382"/>
    <w:rsid w:val="001873DF"/>
    <w:rsid w:val="001874DC"/>
    <w:rsid w:val="00187555"/>
    <w:rsid w:val="001878FA"/>
    <w:rsid w:val="00187906"/>
    <w:rsid w:val="0018793E"/>
    <w:rsid w:val="001879A5"/>
    <w:rsid w:val="00187ADA"/>
    <w:rsid w:val="00187BE1"/>
    <w:rsid w:val="00187C94"/>
    <w:rsid w:val="00187EB1"/>
    <w:rsid w:val="00187F64"/>
    <w:rsid w:val="00187F8B"/>
    <w:rsid w:val="00187FA5"/>
    <w:rsid w:val="0019019B"/>
    <w:rsid w:val="001903A9"/>
    <w:rsid w:val="00190A88"/>
    <w:rsid w:val="00190BC5"/>
    <w:rsid w:val="00190CBA"/>
    <w:rsid w:val="00190EE0"/>
    <w:rsid w:val="0019124C"/>
    <w:rsid w:val="001915AF"/>
    <w:rsid w:val="0019163C"/>
    <w:rsid w:val="0019171F"/>
    <w:rsid w:val="00191784"/>
    <w:rsid w:val="001918AE"/>
    <w:rsid w:val="00191A61"/>
    <w:rsid w:val="00191AF3"/>
    <w:rsid w:val="00191E64"/>
    <w:rsid w:val="00191FB4"/>
    <w:rsid w:val="0019212C"/>
    <w:rsid w:val="0019215E"/>
    <w:rsid w:val="00192220"/>
    <w:rsid w:val="00192461"/>
    <w:rsid w:val="00192793"/>
    <w:rsid w:val="00192877"/>
    <w:rsid w:val="001929EE"/>
    <w:rsid w:val="00192DEF"/>
    <w:rsid w:val="00192F30"/>
    <w:rsid w:val="0019303A"/>
    <w:rsid w:val="0019304A"/>
    <w:rsid w:val="00193147"/>
    <w:rsid w:val="0019330F"/>
    <w:rsid w:val="00193595"/>
    <w:rsid w:val="00193822"/>
    <w:rsid w:val="00193B99"/>
    <w:rsid w:val="00193FDF"/>
    <w:rsid w:val="001943A1"/>
    <w:rsid w:val="0019474B"/>
    <w:rsid w:val="00194858"/>
    <w:rsid w:val="0019493E"/>
    <w:rsid w:val="00194A17"/>
    <w:rsid w:val="00194DAD"/>
    <w:rsid w:val="00194F9D"/>
    <w:rsid w:val="00195414"/>
    <w:rsid w:val="00195434"/>
    <w:rsid w:val="001954ED"/>
    <w:rsid w:val="0019557B"/>
    <w:rsid w:val="001958B1"/>
    <w:rsid w:val="00195A78"/>
    <w:rsid w:val="00195BA7"/>
    <w:rsid w:val="00195CA2"/>
    <w:rsid w:val="00195F57"/>
    <w:rsid w:val="00196019"/>
    <w:rsid w:val="00196022"/>
    <w:rsid w:val="00196538"/>
    <w:rsid w:val="00196776"/>
    <w:rsid w:val="00196839"/>
    <w:rsid w:val="0019685D"/>
    <w:rsid w:val="00196A78"/>
    <w:rsid w:val="00196CBA"/>
    <w:rsid w:val="00196E95"/>
    <w:rsid w:val="00196F95"/>
    <w:rsid w:val="00197006"/>
    <w:rsid w:val="00197536"/>
    <w:rsid w:val="00197604"/>
    <w:rsid w:val="001978E1"/>
    <w:rsid w:val="001978FC"/>
    <w:rsid w:val="0019793A"/>
    <w:rsid w:val="00197A0B"/>
    <w:rsid w:val="00197A3B"/>
    <w:rsid w:val="00197A6F"/>
    <w:rsid w:val="00197EAE"/>
    <w:rsid w:val="00197F3B"/>
    <w:rsid w:val="00197F4D"/>
    <w:rsid w:val="001A0052"/>
    <w:rsid w:val="001A028B"/>
    <w:rsid w:val="001A029F"/>
    <w:rsid w:val="001A02BF"/>
    <w:rsid w:val="001A0AEE"/>
    <w:rsid w:val="001A0BB8"/>
    <w:rsid w:val="001A0BBA"/>
    <w:rsid w:val="001A0C6A"/>
    <w:rsid w:val="001A0DF5"/>
    <w:rsid w:val="001A0E68"/>
    <w:rsid w:val="001A10F1"/>
    <w:rsid w:val="001A1129"/>
    <w:rsid w:val="001A118B"/>
    <w:rsid w:val="001A1567"/>
    <w:rsid w:val="001A159C"/>
    <w:rsid w:val="001A19DD"/>
    <w:rsid w:val="001A1D4E"/>
    <w:rsid w:val="001A1FDA"/>
    <w:rsid w:val="001A20F0"/>
    <w:rsid w:val="001A2117"/>
    <w:rsid w:val="001A22EE"/>
    <w:rsid w:val="001A239D"/>
    <w:rsid w:val="001A2462"/>
    <w:rsid w:val="001A2534"/>
    <w:rsid w:val="001A25B8"/>
    <w:rsid w:val="001A2914"/>
    <w:rsid w:val="001A29D6"/>
    <w:rsid w:val="001A2D09"/>
    <w:rsid w:val="001A2D44"/>
    <w:rsid w:val="001A2F22"/>
    <w:rsid w:val="001A339A"/>
    <w:rsid w:val="001A3550"/>
    <w:rsid w:val="001A356F"/>
    <w:rsid w:val="001A35B0"/>
    <w:rsid w:val="001A35D2"/>
    <w:rsid w:val="001A3665"/>
    <w:rsid w:val="001A374A"/>
    <w:rsid w:val="001A392C"/>
    <w:rsid w:val="001A3B6F"/>
    <w:rsid w:val="001A3C1C"/>
    <w:rsid w:val="001A3D80"/>
    <w:rsid w:val="001A3E84"/>
    <w:rsid w:val="001A4517"/>
    <w:rsid w:val="001A45DB"/>
    <w:rsid w:val="001A4804"/>
    <w:rsid w:val="001A48CA"/>
    <w:rsid w:val="001A493B"/>
    <w:rsid w:val="001A4EAA"/>
    <w:rsid w:val="001A4ED1"/>
    <w:rsid w:val="001A4FDB"/>
    <w:rsid w:val="001A4FF3"/>
    <w:rsid w:val="001A525A"/>
    <w:rsid w:val="001A5802"/>
    <w:rsid w:val="001A580B"/>
    <w:rsid w:val="001A5831"/>
    <w:rsid w:val="001A58E4"/>
    <w:rsid w:val="001A58E6"/>
    <w:rsid w:val="001A593D"/>
    <w:rsid w:val="001A5B43"/>
    <w:rsid w:val="001A5DDD"/>
    <w:rsid w:val="001A5E1C"/>
    <w:rsid w:val="001A5FD7"/>
    <w:rsid w:val="001A6095"/>
    <w:rsid w:val="001A6134"/>
    <w:rsid w:val="001A625E"/>
    <w:rsid w:val="001A6267"/>
    <w:rsid w:val="001A62CE"/>
    <w:rsid w:val="001A646C"/>
    <w:rsid w:val="001A66C7"/>
    <w:rsid w:val="001A67E3"/>
    <w:rsid w:val="001A68F9"/>
    <w:rsid w:val="001A68FE"/>
    <w:rsid w:val="001A6909"/>
    <w:rsid w:val="001A6993"/>
    <w:rsid w:val="001A6BBF"/>
    <w:rsid w:val="001A6C9B"/>
    <w:rsid w:val="001A6D50"/>
    <w:rsid w:val="001A7071"/>
    <w:rsid w:val="001A70F3"/>
    <w:rsid w:val="001A73F6"/>
    <w:rsid w:val="001A7441"/>
    <w:rsid w:val="001A7456"/>
    <w:rsid w:val="001A7571"/>
    <w:rsid w:val="001A7755"/>
    <w:rsid w:val="001A7907"/>
    <w:rsid w:val="001A7BA5"/>
    <w:rsid w:val="001A7DEA"/>
    <w:rsid w:val="001A7EEE"/>
    <w:rsid w:val="001B0020"/>
    <w:rsid w:val="001B003B"/>
    <w:rsid w:val="001B041E"/>
    <w:rsid w:val="001B0548"/>
    <w:rsid w:val="001B074F"/>
    <w:rsid w:val="001B087D"/>
    <w:rsid w:val="001B0912"/>
    <w:rsid w:val="001B0AF7"/>
    <w:rsid w:val="001B0B00"/>
    <w:rsid w:val="001B0ED6"/>
    <w:rsid w:val="001B0EDE"/>
    <w:rsid w:val="001B115D"/>
    <w:rsid w:val="001B1288"/>
    <w:rsid w:val="001B1336"/>
    <w:rsid w:val="001B1453"/>
    <w:rsid w:val="001B14AE"/>
    <w:rsid w:val="001B15FE"/>
    <w:rsid w:val="001B1848"/>
    <w:rsid w:val="001B1C1B"/>
    <w:rsid w:val="001B1D58"/>
    <w:rsid w:val="001B1DA8"/>
    <w:rsid w:val="001B1F92"/>
    <w:rsid w:val="001B1FF1"/>
    <w:rsid w:val="001B2076"/>
    <w:rsid w:val="001B2293"/>
    <w:rsid w:val="001B24D0"/>
    <w:rsid w:val="001B2A4D"/>
    <w:rsid w:val="001B2ED2"/>
    <w:rsid w:val="001B3762"/>
    <w:rsid w:val="001B3864"/>
    <w:rsid w:val="001B3867"/>
    <w:rsid w:val="001B3AAC"/>
    <w:rsid w:val="001B3E33"/>
    <w:rsid w:val="001B3E6C"/>
    <w:rsid w:val="001B3F63"/>
    <w:rsid w:val="001B3F9A"/>
    <w:rsid w:val="001B3FFE"/>
    <w:rsid w:val="001B4183"/>
    <w:rsid w:val="001B42C2"/>
    <w:rsid w:val="001B460E"/>
    <w:rsid w:val="001B4912"/>
    <w:rsid w:val="001B49CF"/>
    <w:rsid w:val="001B4A6F"/>
    <w:rsid w:val="001B4AFA"/>
    <w:rsid w:val="001B4EC9"/>
    <w:rsid w:val="001B4F70"/>
    <w:rsid w:val="001B50C7"/>
    <w:rsid w:val="001B512F"/>
    <w:rsid w:val="001B5180"/>
    <w:rsid w:val="001B531E"/>
    <w:rsid w:val="001B537A"/>
    <w:rsid w:val="001B539D"/>
    <w:rsid w:val="001B5531"/>
    <w:rsid w:val="001B56F5"/>
    <w:rsid w:val="001B5BA0"/>
    <w:rsid w:val="001B5BD3"/>
    <w:rsid w:val="001B5CAF"/>
    <w:rsid w:val="001B5D6B"/>
    <w:rsid w:val="001B5E5A"/>
    <w:rsid w:val="001B5E72"/>
    <w:rsid w:val="001B5ECA"/>
    <w:rsid w:val="001B5FAF"/>
    <w:rsid w:val="001B6064"/>
    <w:rsid w:val="001B60DC"/>
    <w:rsid w:val="001B6119"/>
    <w:rsid w:val="001B61F9"/>
    <w:rsid w:val="001B6216"/>
    <w:rsid w:val="001B62F5"/>
    <w:rsid w:val="001B63A1"/>
    <w:rsid w:val="001B63FE"/>
    <w:rsid w:val="001B6561"/>
    <w:rsid w:val="001B66D5"/>
    <w:rsid w:val="001B67AC"/>
    <w:rsid w:val="001B69A4"/>
    <w:rsid w:val="001B6CAC"/>
    <w:rsid w:val="001B6D71"/>
    <w:rsid w:val="001B6F94"/>
    <w:rsid w:val="001B7045"/>
    <w:rsid w:val="001B70A8"/>
    <w:rsid w:val="001B7140"/>
    <w:rsid w:val="001B7175"/>
    <w:rsid w:val="001B71AC"/>
    <w:rsid w:val="001B73BD"/>
    <w:rsid w:val="001B76BF"/>
    <w:rsid w:val="001B7B04"/>
    <w:rsid w:val="001B7E7B"/>
    <w:rsid w:val="001B7EEB"/>
    <w:rsid w:val="001B7F6C"/>
    <w:rsid w:val="001B7FB5"/>
    <w:rsid w:val="001B7FE9"/>
    <w:rsid w:val="001C00A0"/>
    <w:rsid w:val="001C00FD"/>
    <w:rsid w:val="001C0577"/>
    <w:rsid w:val="001C0635"/>
    <w:rsid w:val="001C0709"/>
    <w:rsid w:val="001C0D05"/>
    <w:rsid w:val="001C0D9F"/>
    <w:rsid w:val="001C1123"/>
    <w:rsid w:val="001C117D"/>
    <w:rsid w:val="001C11E6"/>
    <w:rsid w:val="001C1375"/>
    <w:rsid w:val="001C1570"/>
    <w:rsid w:val="001C1958"/>
    <w:rsid w:val="001C19A6"/>
    <w:rsid w:val="001C19B1"/>
    <w:rsid w:val="001C19F5"/>
    <w:rsid w:val="001C1A2C"/>
    <w:rsid w:val="001C1B49"/>
    <w:rsid w:val="001C1CAF"/>
    <w:rsid w:val="001C1CEA"/>
    <w:rsid w:val="001C1DC8"/>
    <w:rsid w:val="001C1E68"/>
    <w:rsid w:val="001C1E7F"/>
    <w:rsid w:val="001C1EED"/>
    <w:rsid w:val="001C1F0F"/>
    <w:rsid w:val="001C1F35"/>
    <w:rsid w:val="001C20CF"/>
    <w:rsid w:val="001C22B7"/>
    <w:rsid w:val="001C24C0"/>
    <w:rsid w:val="001C2561"/>
    <w:rsid w:val="001C2843"/>
    <w:rsid w:val="001C28E2"/>
    <w:rsid w:val="001C294D"/>
    <w:rsid w:val="001C2A2A"/>
    <w:rsid w:val="001C2AC2"/>
    <w:rsid w:val="001C2C9C"/>
    <w:rsid w:val="001C2CBB"/>
    <w:rsid w:val="001C2CED"/>
    <w:rsid w:val="001C2D4D"/>
    <w:rsid w:val="001C2DA6"/>
    <w:rsid w:val="001C2DB2"/>
    <w:rsid w:val="001C2E46"/>
    <w:rsid w:val="001C2E49"/>
    <w:rsid w:val="001C2F8E"/>
    <w:rsid w:val="001C31AF"/>
    <w:rsid w:val="001C31EB"/>
    <w:rsid w:val="001C35D7"/>
    <w:rsid w:val="001C384E"/>
    <w:rsid w:val="001C3939"/>
    <w:rsid w:val="001C399F"/>
    <w:rsid w:val="001C3AD4"/>
    <w:rsid w:val="001C3B38"/>
    <w:rsid w:val="001C3B73"/>
    <w:rsid w:val="001C3F41"/>
    <w:rsid w:val="001C3F6E"/>
    <w:rsid w:val="001C3F8D"/>
    <w:rsid w:val="001C4080"/>
    <w:rsid w:val="001C4089"/>
    <w:rsid w:val="001C40DD"/>
    <w:rsid w:val="001C4493"/>
    <w:rsid w:val="001C4569"/>
    <w:rsid w:val="001C45E9"/>
    <w:rsid w:val="001C468B"/>
    <w:rsid w:val="001C471D"/>
    <w:rsid w:val="001C4764"/>
    <w:rsid w:val="001C4B68"/>
    <w:rsid w:val="001C4BEA"/>
    <w:rsid w:val="001C4F01"/>
    <w:rsid w:val="001C4F61"/>
    <w:rsid w:val="001C511E"/>
    <w:rsid w:val="001C52F9"/>
    <w:rsid w:val="001C5312"/>
    <w:rsid w:val="001C533B"/>
    <w:rsid w:val="001C54EC"/>
    <w:rsid w:val="001C5651"/>
    <w:rsid w:val="001C5CBD"/>
    <w:rsid w:val="001C5CE6"/>
    <w:rsid w:val="001C5D18"/>
    <w:rsid w:val="001C5EFF"/>
    <w:rsid w:val="001C5F67"/>
    <w:rsid w:val="001C5FB2"/>
    <w:rsid w:val="001C610A"/>
    <w:rsid w:val="001C615C"/>
    <w:rsid w:val="001C6274"/>
    <w:rsid w:val="001C6736"/>
    <w:rsid w:val="001C6815"/>
    <w:rsid w:val="001C6859"/>
    <w:rsid w:val="001C6B61"/>
    <w:rsid w:val="001C6BBB"/>
    <w:rsid w:val="001C6D71"/>
    <w:rsid w:val="001C6E45"/>
    <w:rsid w:val="001C6F2C"/>
    <w:rsid w:val="001C71B7"/>
    <w:rsid w:val="001C71D4"/>
    <w:rsid w:val="001C74B3"/>
    <w:rsid w:val="001C7586"/>
    <w:rsid w:val="001C78B5"/>
    <w:rsid w:val="001C7A17"/>
    <w:rsid w:val="001C7B0E"/>
    <w:rsid w:val="001C7B84"/>
    <w:rsid w:val="001C7BD7"/>
    <w:rsid w:val="001C7C5A"/>
    <w:rsid w:val="001C7DC5"/>
    <w:rsid w:val="001C7EEE"/>
    <w:rsid w:val="001C7FC1"/>
    <w:rsid w:val="001D00CE"/>
    <w:rsid w:val="001D0172"/>
    <w:rsid w:val="001D0481"/>
    <w:rsid w:val="001D0485"/>
    <w:rsid w:val="001D0874"/>
    <w:rsid w:val="001D09C4"/>
    <w:rsid w:val="001D0A21"/>
    <w:rsid w:val="001D0ACF"/>
    <w:rsid w:val="001D0C33"/>
    <w:rsid w:val="001D0CCF"/>
    <w:rsid w:val="001D0F47"/>
    <w:rsid w:val="001D10CB"/>
    <w:rsid w:val="001D1195"/>
    <w:rsid w:val="001D14EC"/>
    <w:rsid w:val="001D169B"/>
    <w:rsid w:val="001D169E"/>
    <w:rsid w:val="001D16A7"/>
    <w:rsid w:val="001D1780"/>
    <w:rsid w:val="001D1858"/>
    <w:rsid w:val="001D1C2F"/>
    <w:rsid w:val="001D1E9A"/>
    <w:rsid w:val="001D1F59"/>
    <w:rsid w:val="001D22AA"/>
    <w:rsid w:val="001D2372"/>
    <w:rsid w:val="001D24A5"/>
    <w:rsid w:val="001D26CE"/>
    <w:rsid w:val="001D2862"/>
    <w:rsid w:val="001D2C82"/>
    <w:rsid w:val="001D2D08"/>
    <w:rsid w:val="001D2FF4"/>
    <w:rsid w:val="001D302E"/>
    <w:rsid w:val="001D302F"/>
    <w:rsid w:val="001D3099"/>
    <w:rsid w:val="001D332D"/>
    <w:rsid w:val="001D338E"/>
    <w:rsid w:val="001D35F4"/>
    <w:rsid w:val="001D374B"/>
    <w:rsid w:val="001D393A"/>
    <w:rsid w:val="001D3AB7"/>
    <w:rsid w:val="001D3AED"/>
    <w:rsid w:val="001D3BC5"/>
    <w:rsid w:val="001D3C65"/>
    <w:rsid w:val="001D41A5"/>
    <w:rsid w:val="001D4312"/>
    <w:rsid w:val="001D431D"/>
    <w:rsid w:val="001D452A"/>
    <w:rsid w:val="001D4A79"/>
    <w:rsid w:val="001D4A89"/>
    <w:rsid w:val="001D4B55"/>
    <w:rsid w:val="001D4D21"/>
    <w:rsid w:val="001D5040"/>
    <w:rsid w:val="001D52DF"/>
    <w:rsid w:val="001D53AF"/>
    <w:rsid w:val="001D54A5"/>
    <w:rsid w:val="001D5540"/>
    <w:rsid w:val="001D555F"/>
    <w:rsid w:val="001D5649"/>
    <w:rsid w:val="001D596D"/>
    <w:rsid w:val="001D5DC8"/>
    <w:rsid w:val="001D6155"/>
    <w:rsid w:val="001D616A"/>
    <w:rsid w:val="001D61EB"/>
    <w:rsid w:val="001D621C"/>
    <w:rsid w:val="001D641C"/>
    <w:rsid w:val="001D64A9"/>
    <w:rsid w:val="001D6618"/>
    <w:rsid w:val="001D66A4"/>
    <w:rsid w:val="001D68B5"/>
    <w:rsid w:val="001D69A8"/>
    <w:rsid w:val="001D69CF"/>
    <w:rsid w:val="001D6A2F"/>
    <w:rsid w:val="001D738D"/>
    <w:rsid w:val="001D74DA"/>
    <w:rsid w:val="001D77DB"/>
    <w:rsid w:val="001D78C0"/>
    <w:rsid w:val="001D7B32"/>
    <w:rsid w:val="001D7CFD"/>
    <w:rsid w:val="001D7D2D"/>
    <w:rsid w:val="001D7E9C"/>
    <w:rsid w:val="001E013B"/>
    <w:rsid w:val="001E03D8"/>
    <w:rsid w:val="001E0822"/>
    <w:rsid w:val="001E0B3B"/>
    <w:rsid w:val="001E0DE5"/>
    <w:rsid w:val="001E0E52"/>
    <w:rsid w:val="001E1016"/>
    <w:rsid w:val="001E106B"/>
    <w:rsid w:val="001E114A"/>
    <w:rsid w:val="001E11FC"/>
    <w:rsid w:val="001E142E"/>
    <w:rsid w:val="001E1485"/>
    <w:rsid w:val="001E14F0"/>
    <w:rsid w:val="001E18A1"/>
    <w:rsid w:val="001E1943"/>
    <w:rsid w:val="001E1A54"/>
    <w:rsid w:val="001E1A5F"/>
    <w:rsid w:val="001E1D0A"/>
    <w:rsid w:val="001E1E4B"/>
    <w:rsid w:val="001E20E6"/>
    <w:rsid w:val="001E219D"/>
    <w:rsid w:val="001E2224"/>
    <w:rsid w:val="001E22D3"/>
    <w:rsid w:val="001E2393"/>
    <w:rsid w:val="001E2655"/>
    <w:rsid w:val="001E26BE"/>
    <w:rsid w:val="001E281A"/>
    <w:rsid w:val="001E2A95"/>
    <w:rsid w:val="001E2ABC"/>
    <w:rsid w:val="001E2C0E"/>
    <w:rsid w:val="001E3017"/>
    <w:rsid w:val="001E3306"/>
    <w:rsid w:val="001E352C"/>
    <w:rsid w:val="001E35B6"/>
    <w:rsid w:val="001E3669"/>
    <w:rsid w:val="001E3ACC"/>
    <w:rsid w:val="001E3C62"/>
    <w:rsid w:val="001E3C81"/>
    <w:rsid w:val="001E3D68"/>
    <w:rsid w:val="001E3DE7"/>
    <w:rsid w:val="001E407B"/>
    <w:rsid w:val="001E410E"/>
    <w:rsid w:val="001E45A7"/>
    <w:rsid w:val="001E4710"/>
    <w:rsid w:val="001E47D2"/>
    <w:rsid w:val="001E4CFF"/>
    <w:rsid w:val="001E4D8C"/>
    <w:rsid w:val="001E4FE1"/>
    <w:rsid w:val="001E4FE3"/>
    <w:rsid w:val="001E5208"/>
    <w:rsid w:val="001E5265"/>
    <w:rsid w:val="001E54F2"/>
    <w:rsid w:val="001E572A"/>
    <w:rsid w:val="001E57FF"/>
    <w:rsid w:val="001E582F"/>
    <w:rsid w:val="001E5A29"/>
    <w:rsid w:val="001E5A48"/>
    <w:rsid w:val="001E5AC2"/>
    <w:rsid w:val="001E5C01"/>
    <w:rsid w:val="001E5F6C"/>
    <w:rsid w:val="001E61BA"/>
    <w:rsid w:val="001E63F0"/>
    <w:rsid w:val="001E64E6"/>
    <w:rsid w:val="001E661A"/>
    <w:rsid w:val="001E6629"/>
    <w:rsid w:val="001E6A4E"/>
    <w:rsid w:val="001E6C1B"/>
    <w:rsid w:val="001E6D46"/>
    <w:rsid w:val="001E6DCF"/>
    <w:rsid w:val="001E6E9C"/>
    <w:rsid w:val="001E6EF6"/>
    <w:rsid w:val="001E751C"/>
    <w:rsid w:val="001E790A"/>
    <w:rsid w:val="001E7942"/>
    <w:rsid w:val="001E7A65"/>
    <w:rsid w:val="001F024F"/>
    <w:rsid w:val="001F025F"/>
    <w:rsid w:val="001F0335"/>
    <w:rsid w:val="001F04CF"/>
    <w:rsid w:val="001F08E8"/>
    <w:rsid w:val="001F09E0"/>
    <w:rsid w:val="001F0A8C"/>
    <w:rsid w:val="001F0CF4"/>
    <w:rsid w:val="001F0D3F"/>
    <w:rsid w:val="001F0DFB"/>
    <w:rsid w:val="001F0FDF"/>
    <w:rsid w:val="001F1084"/>
    <w:rsid w:val="001F12AA"/>
    <w:rsid w:val="001F154D"/>
    <w:rsid w:val="001F158F"/>
    <w:rsid w:val="001F16CB"/>
    <w:rsid w:val="001F1A37"/>
    <w:rsid w:val="001F1AD7"/>
    <w:rsid w:val="001F1D3D"/>
    <w:rsid w:val="001F208D"/>
    <w:rsid w:val="001F20AF"/>
    <w:rsid w:val="001F2111"/>
    <w:rsid w:val="001F22A8"/>
    <w:rsid w:val="001F2431"/>
    <w:rsid w:val="001F25E0"/>
    <w:rsid w:val="001F287C"/>
    <w:rsid w:val="001F2B3D"/>
    <w:rsid w:val="001F2B82"/>
    <w:rsid w:val="001F2F37"/>
    <w:rsid w:val="001F32BF"/>
    <w:rsid w:val="001F3452"/>
    <w:rsid w:val="001F3574"/>
    <w:rsid w:val="001F365A"/>
    <w:rsid w:val="001F3909"/>
    <w:rsid w:val="001F3C49"/>
    <w:rsid w:val="001F3C5E"/>
    <w:rsid w:val="001F3E4D"/>
    <w:rsid w:val="001F3E6B"/>
    <w:rsid w:val="001F4032"/>
    <w:rsid w:val="001F40B4"/>
    <w:rsid w:val="001F40E9"/>
    <w:rsid w:val="001F414B"/>
    <w:rsid w:val="001F42AB"/>
    <w:rsid w:val="001F42F6"/>
    <w:rsid w:val="001F4478"/>
    <w:rsid w:val="001F4545"/>
    <w:rsid w:val="001F4629"/>
    <w:rsid w:val="001F46F1"/>
    <w:rsid w:val="001F4896"/>
    <w:rsid w:val="001F4B38"/>
    <w:rsid w:val="001F4C26"/>
    <w:rsid w:val="001F4D85"/>
    <w:rsid w:val="001F4D95"/>
    <w:rsid w:val="001F4DD4"/>
    <w:rsid w:val="001F4DEF"/>
    <w:rsid w:val="001F4EE0"/>
    <w:rsid w:val="001F4F19"/>
    <w:rsid w:val="001F4FC3"/>
    <w:rsid w:val="001F50EB"/>
    <w:rsid w:val="001F51A6"/>
    <w:rsid w:val="001F5410"/>
    <w:rsid w:val="001F551A"/>
    <w:rsid w:val="001F5685"/>
    <w:rsid w:val="001F574A"/>
    <w:rsid w:val="001F5956"/>
    <w:rsid w:val="001F5AEC"/>
    <w:rsid w:val="001F5B94"/>
    <w:rsid w:val="001F650D"/>
    <w:rsid w:val="001F6592"/>
    <w:rsid w:val="001F6787"/>
    <w:rsid w:val="001F6AFD"/>
    <w:rsid w:val="001F6B94"/>
    <w:rsid w:val="001F6C4F"/>
    <w:rsid w:val="001F6DDE"/>
    <w:rsid w:val="001F6E64"/>
    <w:rsid w:val="001F6F35"/>
    <w:rsid w:val="001F70F6"/>
    <w:rsid w:val="001F7305"/>
    <w:rsid w:val="001F73D7"/>
    <w:rsid w:val="001F74FD"/>
    <w:rsid w:val="001F787D"/>
    <w:rsid w:val="001F7BA5"/>
    <w:rsid w:val="001F7BF9"/>
    <w:rsid w:val="001F7D9F"/>
    <w:rsid w:val="001F7E33"/>
    <w:rsid w:val="001F7FA6"/>
    <w:rsid w:val="00200109"/>
    <w:rsid w:val="002004E5"/>
    <w:rsid w:val="00200740"/>
    <w:rsid w:val="00200926"/>
    <w:rsid w:val="00200960"/>
    <w:rsid w:val="0020096C"/>
    <w:rsid w:val="002009A5"/>
    <w:rsid w:val="00200C44"/>
    <w:rsid w:val="00200DB7"/>
    <w:rsid w:val="00200F51"/>
    <w:rsid w:val="002010ED"/>
    <w:rsid w:val="002012DF"/>
    <w:rsid w:val="00201366"/>
    <w:rsid w:val="0020161B"/>
    <w:rsid w:val="002019C3"/>
    <w:rsid w:val="00201DEF"/>
    <w:rsid w:val="00201E58"/>
    <w:rsid w:val="00202017"/>
    <w:rsid w:val="00202258"/>
    <w:rsid w:val="002022D8"/>
    <w:rsid w:val="002023B0"/>
    <w:rsid w:val="00202472"/>
    <w:rsid w:val="002024F3"/>
    <w:rsid w:val="00202644"/>
    <w:rsid w:val="0020268A"/>
    <w:rsid w:val="0020268D"/>
    <w:rsid w:val="00202CB5"/>
    <w:rsid w:val="00202EA7"/>
    <w:rsid w:val="002033A1"/>
    <w:rsid w:val="0020358C"/>
    <w:rsid w:val="00203746"/>
    <w:rsid w:val="00203789"/>
    <w:rsid w:val="002037A3"/>
    <w:rsid w:val="00203BE5"/>
    <w:rsid w:val="00203DE1"/>
    <w:rsid w:val="00203E0B"/>
    <w:rsid w:val="00203E37"/>
    <w:rsid w:val="00203E4A"/>
    <w:rsid w:val="00203FED"/>
    <w:rsid w:val="00204354"/>
    <w:rsid w:val="002043A6"/>
    <w:rsid w:val="002047C8"/>
    <w:rsid w:val="002049F7"/>
    <w:rsid w:val="00204C8A"/>
    <w:rsid w:val="00204CB4"/>
    <w:rsid w:val="00204D34"/>
    <w:rsid w:val="00204D51"/>
    <w:rsid w:val="00204E99"/>
    <w:rsid w:val="00205299"/>
    <w:rsid w:val="002052E4"/>
    <w:rsid w:val="00205482"/>
    <w:rsid w:val="00205540"/>
    <w:rsid w:val="0020564F"/>
    <w:rsid w:val="00205935"/>
    <w:rsid w:val="002059FB"/>
    <w:rsid w:val="00205A58"/>
    <w:rsid w:val="00205C2D"/>
    <w:rsid w:val="00205D4C"/>
    <w:rsid w:val="00205DAE"/>
    <w:rsid w:val="00205DCB"/>
    <w:rsid w:val="00205F34"/>
    <w:rsid w:val="00205FAD"/>
    <w:rsid w:val="00206085"/>
    <w:rsid w:val="0020617E"/>
    <w:rsid w:val="002063D2"/>
    <w:rsid w:val="0020641A"/>
    <w:rsid w:val="002064D7"/>
    <w:rsid w:val="00206540"/>
    <w:rsid w:val="002065BA"/>
    <w:rsid w:val="0020664D"/>
    <w:rsid w:val="00206676"/>
    <w:rsid w:val="002069C2"/>
    <w:rsid w:val="00206B0F"/>
    <w:rsid w:val="00206BB1"/>
    <w:rsid w:val="00206DFE"/>
    <w:rsid w:val="00206F04"/>
    <w:rsid w:val="0020710B"/>
    <w:rsid w:val="002071E3"/>
    <w:rsid w:val="0020728C"/>
    <w:rsid w:val="0020731D"/>
    <w:rsid w:val="002073D4"/>
    <w:rsid w:val="002074F0"/>
    <w:rsid w:val="0020777A"/>
    <w:rsid w:val="00207824"/>
    <w:rsid w:val="0020795B"/>
    <w:rsid w:val="002079BF"/>
    <w:rsid w:val="002079E9"/>
    <w:rsid w:val="00207A5A"/>
    <w:rsid w:val="00207C55"/>
    <w:rsid w:val="00207D4D"/>
    <w:rsid w:val="00207D5F"/>
    <w:rsid w:val="00207E76"/>
    <w:rsid w:val="00207F12"/>
    <w:rsid w:val="00207F94"/>
    <w:rsid w:val="00210090"/>
    <w:rsid w:val="002100B2"/>
    <w:rsid w:val="00210370"/>
    <w:rsid w:val="00210533"/>
    <w:rsid w:val="00210848"/>
    <w:rsid w:val="002109D5"/>
    <w:rsid w:val="00210AB7"/>
    <w:rsid w:val="00210BD2"/>
    <w:rsid w:val="00210C8E"/>
    <w:rsid w:val="00210CF4"/>
    <w:rsid w:val="00210FA8"/>
    <w:rsid w:val="00211012"/>
    <w:rsid w:val="00211499"/>
    <w:rsid w:val="00211666"/>
    <w:rsid w:val="0021175E"/>
    <w:rsid w:val="0021199B"/>
    <w:rsid w:val="00211A77"/>
    <w:rsid w:val="00211B3A"/>
    <w:rsid w:val="00211CED"/>
    <w:rsid w:val="00211D28"/>
    <w:rsid w:val="00211D2A"/>
    <w:rsid w:val="00211F6B"/>
    <w:rsid w:val="00211FFF"/>
    <w:rsid w:val="002121DF"/>
    <w:rsid w:val="00212283"/>
    <w:rsid w:val="00212824"/>
    <w:rsid w:val="00212989"/>
    <w:rsid w:val="00212C14"/>
    <w:rsid w:val="00212D8C"/>
    <w:rsid w:val="00212F40"/>
    <w:rsid w:val="002130DD"/>
    <w:rsid w:val="002131B9"/>
    <w:rsid w:val="002133E0"/>
    <w:rsid w:val="002134E2"/>
    <w:rsid w:val="0021354F"/>
    <w:rsid w:val="00213620"/>
    <w:rsid w:val="00213828"/>
    <w:rsid w:val="0021396B"/>
    <w:rsid w:val="00213B33"/>
    <w:rsid w:val="00213C22"/>
    <w:rsid w:val="00213CA6"/>
    <w:rsid w:val="00213E6A"/>
    <w:rsid w:val="00213F8C"/>
    <w:rsid w:val="002140B1"/>
    <w:rsid w:val="002140DD"/>
    <w:rsid w:val="00214159"/>
    <w:rsid w:val="00214207"/>
    <w:rsid w:val="00214336"/>
    <w:rsid w:val="00214341"/>
    <w:rsid w:val="002143AC"/>
    <w:rsid w:val="00214552"/>
    <w:rsid w:val="002146BB"/>
    <w:rsid w:val="002146C8"/>
    <w:rsid w:val="00214C47"/>
    <w:rsid w:val="00214F26"/>
    <w:rsid w:val="002150BE"/>
    <w:rsid w:val="002152E0"/>
    <w:rsid w:val="00215333"/>
    <w:rsid w:val="002155C0"/>
    <w:rsid w:val="00215615"/>
    <w:rsid w:val="0021576A"/>
    <w:rsid w:val="00215915"/>
    <w:rsid w:val="00215E36"/>
    <w:rsid w:val="00215EEC"/>
    <w:rsid w:val="00215F9D"/>
    <w:rsid w:val="00216509"/>
    <w:rsid w:val="0021661E"/>
    <w:rsid w:val="00216811"/>
    <w:rsid w:val="00216838"/>
    <w:rsid w:val="00216886"/>
    <w:rsid w:val="00216C8B"/>
    <w:rsid w:val="00216CAD"/>
    <w:rsid w:val="00216CC5"/>
    <w:rsid w:val="00216EDE"/>
    <w:rsid w:val="00216EFC"/>
    <w:rsid w:val="00216F96"/>
    <w:rsid w:val="002171CB"/>
    <w:rsid w:val="00217442"/>
    <w:rsid w:val="002176B7"/>
    <w:rsid w:val="0021780F"/>
    <w:rsid w:val="0021782C"/>
    <w:rsid w:val="0021782F"/>
    <w:rsid w:val="0021795D"/>
    <w:rsid w:val="00217B94"/>
    <w:rsid w:val="00220458"/>
    <w:rsid w:val="0022072C"/>
    <w:rsid w:val="00220A58"/>
    <w:rsid w:val="00220FFC"/>
    <w:rsid w:val="0022186B"/>
    <w:rsid w:val="00221942"/>
    <w:rsid w:val="00221A10"/>
    <w:rsid w:val="00221B1A"/>
    <w:rsid w:val="00221C32"/>
    <w:rsid w:val="00221C43"/>
    <w:rsid w:val="00221D79"/>
    <w:rsid w:val="00221F85"/>
    <w:rsid w:val="002220CC"/>
    <w:rsid w:val="0022212F"/>
    <w:rsid w:val="00222169"/>
    <w:rsid w:val="002222F9"/>
    <w:rsid w:val="0022231A"/>
    <w:rsid w:val="002223C5"/>
    <w:rsid w:val="00222514"/>
    <w:rsid w:val="002225B1"/>
    <w:rsid w:val="00222C73"/>
    <w:rsid w:val="00222D8D"/>
    <w:rsid w:val="00222E5A"/>
    <w:rsid w:val="00222E6F"/>
    <w:rsid w:val="00223071"/>
    <w:rsid w:val="0022307F"/>
    <w:rsid w:val="0022342F"/>
    <w:rsid w:val="002234C2"/>
    <w:rsid w:val="0022389A"/>
    <w:rsid w:val="00223AB3"/>
    <w:rsid w:val="00223CFA"/>
    <w:rsid w:val="00223D12"/>
    <w:rsid w:val="00223DE0"/>
    <w:rsid w:val="00223E8E"/>
    <w:rsid w:val="00223EF3"/>
    <w:rsid w:val="002242FC"/>
    <w:rsid w:val="002243BA"/>
    <w:rsid w:val="002244A8"/>
    <w:rsid w:val="002244A9"/>
    <w:rsid w:val="0022466A"/>
    <w:rsid w:val="00224BD1"/>
    <w:rsid w:val="00224BD7"/>
    <w:rsid w:val="00224F81"/>
    <w:rsid w:val="002250D0"/>
    <w:rsid w:val="00225563"/>
    <w:rsid w:val="00225588"/>
    <w:rsid w:val="0022629C"/>
    <w:rsid w:val="002263E8"/>
    <w:rsid w:val="002263EC"/>
    <w:rsid w:val="002267F4"/>
    <w:rsid w:val="002268A8"/>
    <w:rsid w:val="00226B12"/>
    <w:rsid w:val="00226BA0"/>
    <w:rsid w:val="00226C76"/>
    <w:rsid w:val="00226CC4"/>
    <w:rsid w:val="00226FBF"/>
    <w:rsid w:val="002275A4"/>
    <w:rsid w:val="0022773B"/>
    <w:rsid w:val="0022780E"/>
    <w:rsid w:val="00227984"/>
    <w:rsid w:val="00227F3F"/>
    <w:rsid w:val="00227FB7"/>
    <w:rsid w:val="00230007"/>
    <w:rsid w:val="00230383"/>
    <w:rsid w:val="00230814"/>
    <w:rsid w:val="00230ACA"/>
    <w:rsid w:val="00230B37"/>
    <w:rsid w:val="00230C3E"/>
    <w:rsid w:val="00230C75"/>
    <w:rsid w:val="00230F27"/>
    <w:rsid w:val="00231102"/>
    <w:rsid w:val="00231142"/>
    <w:rsid w:val="00231156"/>
    <w:rsid w:val="002317DA"/>
    <w:rsid w:val="00231985"/>
    <w:rsid w:val="00231D3F"/>
    <w:rsid w:val="0023224A"/>
    <w:rsid w:val="0023227E"/>
    <w:rsid w:val="00232332"/>
    <w:rsid w:val="00232349"/>
    <w:rsid w:val="00232493"/>
    <w:rsid w:val="00232B3B"/>
    <w:rsid w:val="00232C05"/>
    <w:rsid w:val="00232CBA"/>
    <w:rsid w:val="00232DCD"/>
    <w:rsid w:val="0023315C"/>
    <w:rsid w:val="0023341F"/>
    <w:rsid w:val="00233423"/>
    <w:rsid w:val="00233437"/>
    <w:rsid w:val="0023355B"/>
    <w:rsid w:val="0023386A"/>
    <w:rsid w:val="0023398A"/>
    <w:rsid w:val="002339A4"/>
    <w:rsid w:val="00233A8A"/>
    <w:rsid w:val="00233CAD"/>
    <w:rsid w:val="00234205"/>
    <w:rsid w:val="0023429F"/>
    <w:rsid w:val="002342F4"/>
    <w:rsid w:val="002343D4"/>
    <w:rsid w:val="00234515"/>
    <w:rsid w:val="0023456B"/>
    <w:rsid w:val="0023457B"/>
    <w:rsid w:val="002347D1"/>
    <w:rsid w:val="002348CF"/>
    <w:rsid w:val="00234935"/>
    <w:rsid w:val="0023496F"/>
    <w:rsid w:val="002351F8"/>
    <w:rsid w:val="0023521A"/>
    <w:rsid w:val="0023521B"/>
    <w:rsid w:val="00235429"/>
    <w:rsid w:val="00235474"/>
    <w:rsid w:val="002356A8"/>
    <w:rsid w:val="00235799"/>
    <w:rsid w:val="00235A3D"/>
    <w:rsid w:val="00235B21"/>
    <w:rsid w:val="00235CCA"/>
    <w:rsid w:val="00235D40"/>
    <w:rsid w:val="00235DA4"/>
    <w:rsid w:val="00235EE4"/>
    <w:rsid w:val="00235F6B"/>
    <w:rsid w:val="0023625E"/>
    <w:rsid w:val="00236287"/>
    <w:rsid w:val="0023635B"/>
    <w:rsid w:val="00236798"/>
    <w:rsid w:val="002369C5"/>
    <w:rsid w:val="00236A53"/>
    <w:rsid w:val="00236A6B"/>
    <w:rsid w:val="00236B1C"/>
    <w:rsid w:val="00236C1D"/>
    <w:rsid w:val="00236CF7"/>
    <w:rsid w:val="00236E8E"/>
    <w:rsid w:val="00236FDA"/>
    <w:rsid w:val="00237109"/>
    <w:rsid w:val="00237138"/>
    <w:rsid w:val="002371BB"/>
    <w:rsid w:val="00237340"/>
    <w:rsid w:val="002374E4"/>
    <w:rsid w:val="00237803"/>
    <w:rsid w:val="00237841"/>
    <w:rsid w:val="002379A7"/>
    <w:rsid w:val="00237A24"/>
    <w:rsid w:val="00237A92"/>
    <w:rsid w:val="00237BE0"/>
    <w:rsid w:val="00237D75"/>
    <w:rsid w:val="00237EF5"/>
    <w:rsid w:val="00237FEE"/>
    <w:rsid w:val="002400B6"/>
    <w:rsid w:val="002401C8"/>
    <w:rsid w:val="002401C9"/>
    <w:rsid w:val="0024046D"/>
    <w:rsid w:val="0024066F"/>
    <w:rsid w:val="00240C30"/>
    <w:rsid w:val="002410ED"/>
    <w:rsid w:val="002413DB"/>
    <w:rsid w:val="00241476"/>
    <w:rsid w:val="0024162D"/>
    <w:rsid w:val="0024189C"/>
    <w:rsid w:val="00241900"/>
    <w:rsid w:val="00241D07"/>
    <w:rsid w:val="00241FAE"/>
    <w:rsid w:val="00241FC4"/>
    <w:rsid w:val="0024209F"/>
    <w:rsid w:val="002421C3"/>
    <w:rsid w:val="002424D1"/>
    <w:rsid w:val="00242505"/>
    <w:rsid w:val="0024270E"/>
    <w:rsid w:val="0024285C"/>
    <w:rsid w:val="002429CC"/>
    <w:rsid w:val="00242ADA"/>
    <w:rsid w:val="00242E66"/>
    <w:rsid w:val="00242F7B"/>
    <w:rsid w:val="002432AD"/>
    <w:rsid w:val="002433E1"/>
    <w:rsid w:val="00243563"/>
    <w:rsid w:val="00243713"/>
    <w:rsid w:val="00243814"/>
    <w:rsid w:val="002439A9"/>
    <w:rsid w:val="002439D2"/>
    <w:rsid w:val="00243B98"/>
    <w:rsid w:val="00243C6C"/>
    <w:rsid w:val="00243DAC"/>
    <w:rsid w:val="00243EE7"/>
    <w:rsid w:val="00243FAA"/>
    <w:rsid w:val="0024417C"/>
    <w:rsid w:val="00244292"/>
    <w:rsid w:val="002443AE"/>
    <w:rsid w:val="002446A4"/>
    <w:rsid w:val="002448A0"/>
    <w:rsid w:val="00244944"/>
    <w:rsid w:val="00244A03"/>
    <w:rsid w:val="00244A41"/>
    <w:rsid w:val="00244BF9"/>
    <w:rsid w:val="00244C15"/>
    <w:rsid w:val="00244CB8"/>
    <w:rsid w:val="00244DAE"/>
    <w:rsid w:val="00245346"/>
    <w:rsid w:val="00245412"/>
    <w:rsid w:val="0024553C"/>
    <w:rsid w:val="002458A2"/>
    <w:rsid w:val="00245B8A"/>
    <w:rsid w:val="00245DF9"/>
    <w:rsid w:val="00245F99"/>
    <w:rsid w:val="002460F9"/>
    <w:rsid w:val="00246415"/>
    <w:rsid w:val="002465B9"/>
    <w:rsid w:val="002469A1"/>
    <w:rsid w:val="00246A41"/>
    <w:rsid w:val="00246BE8"/>
    <w:rsid w:val="00246CE5"/>
    <w:rsid w:val="00246D0F"/>
    <w:rsid w:val="00246DC7"/>
    <w:rsid w:val="002470D9"/>
    <w:rsid w:val="00247248"/>
    <w:rsid w:val="00247325"/>
    <w:rsid w:val="002474DA"/>
    <w:rsid w:val="00247519"/>
    <w:rsid w:val="002475D7"/>
    <w:rsid w:val="0024765D"/>
    <w:rsid w:val="00247760"/>
    <w:rsid w:val="00247AC6"/>
    <w:rsid w:val="00247C36"/>
    <w:rsid w:val="00247D77"/>
    <w:rsid w:val="00247DFC"/>
    <w:rsid w:val="00247EB8"/>
    <w:rsid w:val="002500A4"/>
    <w:rsid w:val="002501AE"/>
    <w:rsid w:val="00250391"/>
    <w:rsid w:val="002505D9"/>
    <w:rsid w:val="002507E1"/>
    <w:rsid w:val="002508E6"/>
    <w:rsid w:val="00250A64"/>
    <w:rsid w:val="00250B18"/>
    <w:rsid w:val="00250B8F"/>
    <w:rsid w:val="00250BAE"/>
    <w:rsid w:val="00250CCD"/>
    <w:rsid w:val="00250F8E"/>
    <w:rsid w:val="00251191"/>
    <w:rsid w:val="0025125D"/>
    <w:rsid w:val="002512D2"/>
    <w:rsid w:val="002513D9"/>
    <w:rsid w:val="002517BE"/>
    <w:rsid w:val="002518E1"/>
    <w:rsid w:val="002518EB"/>
    <w:rsid w:val="0025190A"/>
    <w:rsid w:val="00251A8F"/>
    <w:rsid w:val="00251C5C"/>
    <w:rsid w:val="00251CA3"/>
    <w:rsid w:val="00251D27"/>
    <w:rsid w:val="00251D33"/>
    <w:rsid w:val="00251D91"/>
    <w:rsid w:val="00251F2F"/>
    <w:rsid w:val="00252493"/>
    <w:rsid w:val="0025277B"/>
    <w:rsid w:val="002527FC"/>
    <w:rsid w:val="0025280C"/>
    <w:rsid w:val="00252881"/>
    <w:rsid w:val="00252968"/>
    <w:rsid w:val="00252EDC"/>
    <w:rsid w:val="00253202"/>
    <w:rsid w:val="002532AF"/>
    <w:rsid w:val="00253696"/>
    <w:rsid w:val="00253750"/>
    <w:rsid w:val="00253900"/>
    <w:rsid w:val="00253BBF"/>
    <w:rsid w:val="00253C35"/>
    <w:rsid w:val="00253E4B"/>
    <w:rsid w:val="00253F86"/>
    <w:rsid w:val="0025417E"/>
    <w:rsid w:val="002546AB"/>
    <w:rsid w:val="002546B3"/>
    <w:rsid w:val="00254798"/>
    <w:rsid w:val="002549E7"/>
    <w:rsid w:val="00254DB8"/>
    <w:rsid w:val="00254E7C"/>
    <w:rsid w:val="00254F32"/>
    <w:rsid w:val="002551E7"/>
    <w:rsid w:val="00255209"/>
    <w:rsid w:val="00255264"/>
    <w:rsid w:val="002552E3"/>
    <w:rsid w:val="002553FC"/>
    <w:rsid w:val="0025542C"/>
    <w:rsid w:val="0025557D"/>
    <w:rsid w:val="00255855"/>
    <w:rsid w:val="002558FF"/>
    <w:rsid w:val="00255B5A"/>
    <w:rsid w:val="00255BCF"/>
    <w:rsid w:val="00255F2C"/>
    <w:rsid w:val="00255F8E"/>
    <w:rsid w:val="00256141"/>
    <w:rsid w:val="0025629C"/>
    <w:rsid w:val="0025647F"/>
    <w:rsid w:val="00256608"/>
    <w:rsid w:val="00256662"/>
    <w:rsid w:val="00256733"/>
    <w:rsid w:val="0025675C"/>
    <w:rsid w:val="00256A3A"/>
    <w:rsid w:val="00256AA9"/>
    <w:rsid w:val="00256B2A"/>
    <w:rsid w:val="00256B63"/>
    <w:rsid w:val="00256DA6"/>
    <w:rsid w:val="00256DD4"/>
    <w:rsid w:val="00257090"/>
    <w:rsid w:val="0025711C"/>
    <w:rsid w:val="00257251"/>
    <w:rsid w:val="002572E0"/>
    <w:rsid w:val="002574D4"/>
    <w:rsid w:val="002575F7"/>
    <w:rsid w:val="00257866"/>
    <w:rsid w:val="002579C0"/>
    <w:rsid w:val="00257B97"/>
    <w:rsid w:val="00257BC2"/>
    <w:rsid w:val="00257CF6"/>
    <w:rsid w:val="00257D17"/>
    <w:rsid w:val="00257D36"/>
    <w:rsid w:val="002601E0"/>
    <w:rsid w:val="00260467"/>
    <w:rsid w:val="0026071D"/>
    <w:rsid w:val="0026093D"/>
    <w:rsid w:val="0026099C"/>
    <w:rsid w:val="00260AB0"/>
    <w:rsid w:val="00260B4B"/>
    <w:rsid w:val="00260EE7"/>
    <w:rsid w:val="00260F4F"/>
    <w:rsid w:val="0026128E"/>
    <w:rsid w:val="00261452"/>
    <w:rsid w:val="0026175F"/>
    <w:rsid w:val="002619E0"/>
    <w:rsid w:val="00261B24"/>
    <w:rsid w:val="00261CDE"/>
    <w:rsid w:val="0026207D"/>
    <w:rsid w:val="00262127"/>
    <w:rsid w:val="0026218D"/>
    <w:rsid w:val="002621F6"/>
    <w:rsid w:val="00262591"/>
    <w:rsid w:val="00262768"/>
    <w:rsid w:val="002627BB"/>
    <w:rsid w:val="00262859"/>
    <w:rsid w:val="00262A1D"/>
    <w:rsid w:val="00262A73"/>
    <w:rsid w:val="00262C6F"/>
    <w:rsid w:val="00263079"/>
    <w:rsid w:val="002631E0"/>
    <w:rsid w:val="002632E1"/>
    <w:rsid w:val="00263318"/>
    <w:rsid w:val="00263344"/>
    <w:rsid w:val="002634B8"/>
    <w:rsid w:val="002635FD"/>
    <w:rsid w:val="002636C3"/>
    <w:rsid w:val="002637DB"/>
    <w:rsid w:val="00263953"/>
    <w:rsid w:val="00263D11"/>
    <w:rsid w:val="00263D73"/>
    <w:rsid w:val="00263DBE"/>
    <w:rsid w:val="0026403A"/>
    <w:rsid w:val="002641B0"/>
    <w:rsid w:val="002641D3"/>
    <w:rsid w:val="002641DA"/>
    <w:rsid w:val="002641DD"/>
    <w:rsid w:val="002641FD"/>
    <w:rsid w:val="002642B5"/>
    <w:rsid w:val="002646FD"/>
    <w:rsid w:val="002647B5"/>
    <w:rsid w:val="00264EC8"/>
    <w:rsid w:val="002654E9"/>
    <w:rsid w:val="0026553F"/>
    <w:rsid w:val="0026557E"/>
    <w:rsid w:val="00265659"/>
    <w:rsid w:val="00265896"/>
    <w:rsid w:val="002658B1"/>
    <w:rsid w:val="00265954"/>
    <w:rsid w:val="00265984"/>
    <w:rsid w:val="002659B4"/>
    <w:rsid w:val="002659C5"/>
    <w:rsid w:val="0026612D"/>
    <w:rsid w:val="002662AE"/>
    <w:rsid w:val="0026650B"/>
    <w:rsid w:val="002666BB"/>
    <w:rsid w:val="002667DD"/>
    <w:rsid w:val="00266CF2"/>
    <w:rsid w:val="00266DB0"/>
    <w:rsid w:val="00266ED2"/>
    <w:rsid w:val="002670E9"/>
    <w:rsid w:val="0026721D"/>
    <w:rsid w:val="0026733E"/>
    <w:rsid w:val="00267491"/>
    <w:rsid w:val="00267493"/>
    <w:rsid w:val="0026758C"/>
    <w:rsid w:val="00267779"/>
    <w:rsid w:val="002677F9"/>
    <w:rsid w:val="00267805"/>
    <w:rsid w:val="00267BB2"/>
    <w:rsid w:val="00267BFB"/>
    <w:rsid w:val="00267DB8"/>
    <w:rsid w:val="002700EC"/>
    <w:rsid w:val="0027066D"/>
    <w:rsid w:val="00270A14"/>
    <w:rsid w:val="00270AE3"/>
    <w:rsid w:val="00270B01"/>
    <w:rsid w:val="00270F11"/>
    <w:rsid w:val="00270F26"/>
    <w:rsid w:val="00271068"/>
    <w:rsid w:val="002711C2"/>
    <w:rsid w:val="0027127A"/>
    <w:rsid w:val="00271421"/>
    <w:rsid w:val="0027148D"/>
    <w:rsid w:val="002719D4"/>
    <w:rsid w:val="00271BA8"/>
    <w:rsid w:val="00271D4C"/>
    <w:rsid w:val="00272370"/>
    <w:rsid w:val="002723A4"/>
    <w:rsid w:val="0027257B"/>
    <w:rsid w:val="00272D81"/>
    <w:rsid w:val="00272E40"/>
    <w:rsid w:val="002730EE"/>
    <w:rsid w:val="002733A4"/>
    <w:rsid w:val="002733A8"/>
    <w:rsid w:val="00273623"/>
    <w:rsid w:val="00273683"/>
    <w:rsid w:val="0027377D"/>
    <w:rsid w:val="00273788"/>
    <w:rsid w:val="00273A0B"/>
    <w:rsid w:val="00273C84"/>
    <w:rsid w:val="00273DAE"/>
    <w:rsid w:val="00273DC7"/>
    <w:rsid w:val="00273F09"/>
    <w:rsid w:val="00273FE6"/>
    <w:rsid w:val="00274050"/>
    <w:rsid w:val="002740FF"/>
    <w:rsid w:val="00274127"/>
    <w:rsid w:val="002742CA"/>
    <w:rsid w:val="002743A0"/>
    <w:rsid w:val="00274607"/>
    <w:rsid w:val="002747C3"/>
    <w:rsid w:val="002747F2"/>
    <w:rsid w:val="00274A8E"/>
    <w:rsid w:val="00274CA4"/>
    <w:rsid w:val="00274EC8"/>
    <w:rsid w:val="00274F07"/>
    <w:rsid w:val="002750D9"/>
    <w:rsid w:val="002751F7"/>
    <w:rsid w:val="00275486"/>
    <w:rsid w:val="002754A6"/>
    <w:rsid w:val="0027578F"/>
    <w:rsid w:val="00275792"/>
    <w:rsid w:val="00275885"/>
    <w:rsid w:val="00275886"/>
    <w:rsid w:val="002758C7"/>
    <w:rsid w:val="00275B81"/>
    <w:rsid w:val="00275B92"/>
    <w:rsid w:val="00275C93"/>
    <w:rsid w:val="00275D4F"/>
    <w:rsid w:val="00276055"/>
    <w:rsid w:val="00276275"/>
    <w:rsid w:val="0027647A"/>
    <w:rsid w:val="00276764"/>
    <w:rsid w:val="002767BF"/>
    <w:rsid w:val="00276975"/>
    <w:rsid w:val="00276B48"/>
    <w:rsid w:val="00276D5E"/>
    <w:rsid w:val="00276FD9"/>
    <w:rsid w:val="002770F0"/>
    <w:rsid w:val="002772A1"/>
    <w:rsid w:val="00277371"/>
    <w:rsid w:val="00277421"/>
    <w:rsid w:val="002774AB"/>
    <w:rsid w:val="00277589"/>
    <w:rsid w:val="002775A0"/>
    <w:rsid w:val="002775BF"/>
    <w:rsid w:val="00277643"/>
    <w:rsid w:val="00277FB7"/>
    <w:rsid w:val="00280037"/>
    <w:rsid w:val="0028004C"/>
    <w:rsid w:val="002801DE"/>
    <w:rsid w:val="00280448"/>
    <w:rsid w:val="0028064A"/>
    <w:rsid w:val="00280775"/>
    <w:rsid w:val="002807C4"/>
    <w:rsid w:val="00280A49"/>
    <w:rsid w:val="00280CDA"/>
    <w:rsid w:val="00280CFB"/>
    <w:rsid w:val="00280FD1"/>
    <w:rsid w:val="00280FDE"/>
    <w:rsid w:val="00281018"/>
    <w:rsid w:val="002810C8"/>
    <w:rsid w:val="00281120"/>
    <w:rsid w:val="00281133"/>
    <w:rsid w:val="00281163"/>
    <w:rsid w:val="002813E5"/>
    <w:rsid w:val="00281503"/>
    <w:rsid w:val="002815A4"/>
    <w:rsid w:val="002816C9"/>
    <w:rsid w:val="00281802"/>
    <w:rsid w:val="002818D1"/>
    <w:rsid w:val="00281A00"/>
    <w:rsid w:val="00281C07"/>
    <w:rsid w:val="00281C0C"/>
    <w:rsid w:val="00281D69"/>
    <w:rsid w:val="00281E9A"/>
    <w:rsid w:val="00281F8E"/>
    <w:rsid w:val="00281FB3"/>
    <w:rsid w:val="002822F1"/>
    <w:rsid w:val="0028240C"/>
    <w:rsid w:val="0028249A"/>
    <w:rsid w:val="002824EE"/>
    <w:rsid w:val="002826C2"/>
    <w:rsid w:val="002828A6"/>
    <w:rsid w:val="0028299C"/>
    <w:rsid w:val="00282AEC"/>
    <w:rsid w:val="00282B17"/>
    <w:rsid w:val="00282CE1"/>
    <w:rsid w:val="00282EC5"/>
    <w:rsid w:val="0028308A"/>
    <w:rsid w:val="002830AC"/>
    <w:rsid w:val="00283142"/>
    <w:rsid w:val="00283162"/>
    <w:rsid w:val="0028317E"/>
    <w:rsid w:val="002831BD"/>
    <w:rsid w:val="00283392"/>
    <w:rsid w:val="002837C4"/>
    <w:rsid w:val="00283923"/>
    <w:rsid w:val="00283BD0"/>
    <w:rsid w:val="00283C04"/>
    <w:rsid w:val="00283DBE"/>
    <w:rsid w:val="00283DD4"/>
    <w:rsid w:val="0028400F"/>
    <w:rsid w:val="00284130"/>
    <w:rsid w:val="002843F5"/>
    <w:rsid w:val="00284721"/>
    <w:rsid w:val="0028480D"/>
    <w:rsid w:val="0028493D"/>
    <w:rsid w:val="00284981"/>
    <w:rsid w:val="00284BB0"/>
    <w:rsid w:val="00284BB8"/>
    <w:rsid w:val="00284C76"/>
    <w:rsid w:val="00284CA0"/>
    <w:rsid w:val="00285211"/>
    <w:rsid w:val="0028524E"/>
    <w:rsid w:val="002852CB"/>
    <w:rsid w:val="00285465"/>
    <w:rsid w:val="00285701"/>
    <w:rsid w:val="0028578A"/>
    <w:rsid w:val="002857A4"/>
    <w:rsid w:val="0028586E"/>
    <w:rsid w:val="0028588A"/>
    <w:rsid w:val="00285A0D"/>
    <w:rsid w:val="00285A2F"/>
    <w:rsid w:val="0028607E"/>
    <w:rsid w:val="00286267"/>
    <w:rsid w:val="00286365"/>
    <w:rsid w:val="002863AC"/>
    <w:rsid w:val="002866AE"/>
    <w:rsid w:val="002866D4"/>
    <w:rsid w:val="00286759"/>
    <w:rsid w:val="00286C08"/>
    <w:rsid w:val="00286D19"/>
    <w:rsid w:val="00286E0C"/>
    <w:rsid w:val="00286EEB"/>
    <w:rsid w:val="002871A1"/>
    <w:rsid w:val="002871DA"/>
    <w:rsid w:val="00287229"/>
    <w:rsid w:val="002873F6"/>
    <w:rsid w:val="0028741D"/>
    <w:rsid w:val="002874AE"/>
    <w:rsid w:val="00287511"/>
    <w:rsid w:val="00287B4E"/>
    <w:rsid w:val="00287C23"/>
    <w:rsid w:val="00287CBF"/>
    <w:rsid w:val="00287E45"/>
    <w:rsid w:val="00290145"/>
    <w:rsid w:val="002906FA"/>
    <w:rsid w:val="00290A74"/>
    <w:rsid w:val="00290BA0"/>
    <w:rsid w:val="00290BD9"/>
    <w:rsid w:val="00290C4F"/>
    <w:rsid w:val="00290E7A"/>
    <w:rsid w:val="0029110D"/>
    <w:rsid w:val="002911DB"/>
    <w:rsid w:val="00291292"/>
    <w:rsid w:val="002912D3"/>
    <w:rsid w:val="002913AF"/>
    <w:rsid w:val="002913E1"/>
    <w:rsid w:val="00291462"/>
    <w:rsid w:val="0029153E"/>
    <w:rsid w:val="00291661"/>
    <w:rsid w:val="002917FB"/>
    <w:rsid w:val="00291BAC"/>
    <w:rsid w:val="00291C82"/>
    <w:rsid w:val="00291F53"/>
    <w:rsid w:val="0029205C"/>
    <w:rsid w:val="00292157"/>
    <w:rsid w:val="002922A7"/>
    <w:rsid w:val="002922CC"/>
    <w:rsid w:val="00292386"/>
    <w:rsid w:val="00292741"/>
    <w:rsid w:val="00292ADA"/>
    <w:rsid w:val="00292C62"/>
    <w:rsid w:val="00292C9D"/>
    <w:rsid w:val="00292DCE"/>
    <w:rsid w:val="00292E0C"/>
    <w:rsid w:val="00292F6D"/>
    <w:rsid w:val="00292FDE"/>
    <w:rsid w:val="00293078"/>
    <w:rsid w:val="00293253"/>
    <w:rsid w:val="00293267"/>
    <w:rsid w:val="00293544"/>
    <w:rsid w:val="00293622"/>
    <w:rsid w:val="00293920"/>
    <w:rsid w:val="0029393F"/>
    <w:rsid w:val="00293973"/>
    <w:rsid w:val="002939A5"/>
    <w:rsid w:val="00293A0F"/>
    <w:rsid w:val="00293A7C"/>
    <w:rsid w:val="00293F32"/>
    <w:rsid w:val="00293FBD"/>
    <w:rsid w:val="002940C6"/>
    <w:rsid w:val="00294154"/>
    <w:rsid w:val="00294516"/>
    <w:rsid w:val="002948A5"/>
    <w:rsid w:val="0029494B"/>
    <w:rsid w:val="00294B6B"/>
    <w:rsid w:val="002950A0"/>
    <w:rsid w:val="0029531B"/>
    <w:rsid w:val="00295907"/>
    <w:rsid w:val="002959B5"/>
    <w:rsid w:val="002959DD"/>
    <w:rsid w:val="00295B9F"/>
    <w:rsid w:val="00296223"/>
    <w:rsid w:val="00296768"/>
    <w:rsid w:val="002968EE"/>
    <w:rsid w:val="00296DEE"/>
    <w:rsid w:val="00296ED7"/>
    <w:rsid w:val="00296F80"/>
    <w:rsid w:val="00296FF0"/>
    <w:rsid w:val="002970C9"/>
    <w:rsid w:val="002970D5"/>
    <w:rsid w:val="00297284"/>
    <w:rsid w:val="002972F1"/>
    <w:rsid w:val="0029734B"/>
    <w:rsid w:val="002974D4"/>
    <w:rsid w:val="0029750F"/>
    <w:rsid w:val="002979B3"/>
    <w:rsid w:val="00297CE3"/>
    <w:rsid w:val="00297E4B"/>
    <w:rsid w:val="002A033D"/>
    <w:rsid w:val="002A041F"/>
    <w:rsid w:val="002A046A"/>
    <w:rsid w:val="002A0630"/>
    <w:rsid w:val="002A06FF"/>
    <w:rsid w:val="002A0D4E"/>
    <w:rsid w:val="002A0ED6"/>
    <w:rsid w:val="002A0F62"/>
    <w:rsid w:val="002A108D"/>
    <w:rsid w:val="002A1685"/>
    <w:rsid w:val="002A171D"/>
    <w:rsid w:val="002A1727"/>
    <w:rsid w:val="002A173C"/>
    <w:rsid w:val="002A18F2"/>
    <w:rsid w:val="002A1C2D"/>
    <w:rsid w:val="002A1F23"/>
    <w:rsid w:val="002A25E5"/>
    <w:rsid w:val="002A2634"/>
    <w:rsid w:val="002A2DC6"/>
    <w:rsid w:val="002A2FDC"/>
    <w:rsid w:val="002A323A"/>
    <w:rsid w:val="002A33BB"/>
    <w:rsid w:val="002A370F"/>
    <w:rsid w:val="002A3781"/>
    <w:rsid w:val="002A387F"/>
    <w:rsid w:val="002A3A48"/>
    <w:rsid w:val="002A3B75"/>
    <w:rsid w:val="002A3D5A"/>
    <w:rsid w:val="002A3E88"/>
    <w:rsid w:val="002A3EE9"/>
    <w:rsid w:val="002A3F27"/>
    <w:rsid w:val="002A3FF6"/>
    <w:rsid w:val="002A429B"/>
    <w:rsid w:val="002A4454"/>
    <w:rsid w:val="002A4466"/>
    <w:rsid w:val="002A447B"/>
    <w:rsid w:val="002A45AB"/>
    <w:rsid w:val="002A46FF"/>
    <w:rsid w:val="002A47EF"/>
    <w:rsid w:val="002A4886"/>
    <w:rsid w:val="002A489F"/>
    <w:rsid w:val="002A4ABC"/>
    <w:rsid w:val="002A4B9A"/>
    <w:rsid w:val="002A526C"/>
    <w:rsid w:val="002A538D"/>
    <w:rsid w:val="002A5717"/>
    <w:rsid w:val="002A592B"/>
    <w:rsid w:val="002A59CA"/>
    <w:rsid w:val="002A5A6B"/>
    <w:rsid w:val="002A5B39"/>
    <w:rsid w:val="002A5C3A"/>
    <w:rsid w:val="002A5EAB"/>
    <w:rsid w:val="002A6028"/>
    <w:rsid w:val="002A602F"/>
    <w:rsid w:val="002A608D"/>
    <w:rsid w:val="002A6150"/>
    <w:rsid w:val="002A6375"/>
    <w:rsid w:val="002A6495"/>
    <w:rsid w:val="002A64B4"/>
    <w:rsid w:val="002A65CF"/>
    <w:rsid w:val="002A6914"/>
    <w:rsid w:val="002A6A8A"/>
    <w:rsid w:val="002A6C07"/>
    <w:rsid w:val="002A6DC2"/>
    <w:rsid w:val="002A7144"/>
    <w:rsid w:val="002A71D1"/>
    <w:rsid w:val="002A74F8"/>
    <w:rsid w:val="002A75C5"/>
    <w:rsid w:val="002A7727"/>
    <w:rsid w:val="002A77D3"/>
    <w:rsid w:val="002A7880"/>
    <w:rsid w:val="002A7D79"/>
    <w:rsid w:val="002A7E15"/>
    <w:rsid w:val="002A7EF1"/>
    <w:rsid w:val="002B00A8"/>
    <w:rsid w:val="002B00D6"/>
    <w:rsid w:val="002B01BF"/>
    <w:rsid w:val="002B0355"/>
    <w:rsid w:val="002B049B"/>
    <w:rsid w:val="002B06D2"/>
    <w:rsid w:val="002B0750"/>
    <w:rsid w:val="002B091C"/>
    <w:rsid w:val="002B0B33"/>
    <w:rsid w:val="002B0C09"/>
    <w:rsid w:val="002B0C6C"/>
    <w:rsid w:val="002B0D74"/>
    <w:rsid w:val="002B10C2"/>
    <w:rsid w:val="002B1134"/>
    <w:rsid w:val="002B17ED"/>
    <w:rsid w:val="002B199D"/>
    <w:rsid w:val="002B1A3E"/>
    <w:rsid w:val="002B1B05"/>
    <w:rsid w:val="002B1BD0"/>
    <w:rsid w:val="002B1C85"/>
    <w:rsid w:val="002B1ECC"/>
    <w:rsid w:val="002B201B"/>
    <w:rsid w:val="002B20AE"/>
    <w:rsid w:val="002B222C"/>
    <w:rsid w:val="002B2441"/>
    <w:rsid w:val="002B2461"/>
    <w:rsid w:val="002B25E2"/>
    <w:rsid w:val="002B26A9"/>
    <w:rsid w:val="002B2706"/>
    <w:rsid w:val="002B287D"/>
    <w:rsid w:val="002B2B26"/>
    <w:rsid w:val="002B2C4C"/>
    <w:rsid w:val="002B2C52"/>
    <w:rsid w:val="002B2D88"/>
    <w:rsid w:val="002B2DE5"/>
    <w:rsid w:val="002B2E21"/>
    <w:rsid w:val="002B2F12"/>
    <w:rsid w:val="002B3011"/>
    <w:rsid w:val="002B32CD"/>
    <w:rsid w:val="002B355D"/>
    <w:rsid w:val="002B3635"/>
    <w:rsid w:val="002B3682"/>
    <w:rsid w:val="002B380D"/>
    <w:rsid w:val="002B3A1B"/>
    <w:rsid w:val="002B3BA3"/>
    <w:rsid w:val="002B3C35"/>
    <w:rsid w:val="002B3CFD"/>
    <w:rsid w:val="002B3EC9"/>
    <w:rsid w:val="002B3FDE"/>
    <w:rsid w:val="002B4032"/>
    <w:rsid w:val="002B4474"/>
    <w:rsid w:val="002B4622"/>
    <w:rsid w:val="002B46A2"/>
    <w:rsid w:val="002B476F"/>
    <w:rsid w:val="002B47FB"/>
    <w:rsid w:val="002B48ED"/>
    <w:rsid w:val="002B492F"/>
    <w:rsid w:val="002B49DA"/>
    <w:rsid w:val="002B4CC1"/>
    <w:rsid w:val="002B5088"/>
    <w:rsid w:val="002B5192"/>
    <w:rsid w:val="002B51AE"/>
    <w:rsid w:val="002B5290"/>
    <w:rsid w:val="002B52D0"/>
    <w:rsid w:val="002B53A8"/>
    <w:rsid w:val="002B53E4"/>
    <w:rsid w:val="002B5785"/>
    <w:rsid w:val="002B59CD"/>
    <w:rsid w:val="002B5AB1"/>
    <w:rsid w:val="002B5B5F"/>
    <w:rsid w:val="002B603A"/>
    <w:rsid w:val="002B6098"/>
    <w:rsid w:val="002B61C3"/>
    <w:rsid w:val="002B6239"/>
    <w:rsid w:val="002B627B"/>
    <w:rsid w:val="002B63C4"/>
    <w:rsid w:val="002B641D"/>
    <w:rsid w:val="002B6501"/>
    <w:rsid w:val="002B65AF"/>
    <w:rsid w:val="002B666F"/>
    <w:rsid w:val="002B6983"/>
    <w:rsid w:val="002B6B93"/>
    <w:rsid w:val="002B6BE9"/>
    <w:rsid w:val="002B6E47"/>
    <w:rsid w:val="002B6F65"/>
    <w:rsid w:val="002B79F3"/>
    <w:rsid w:val="002B7A92"/>
    <w:rsid w:val="002B7BEF"/>
    <w:rsid w:val="002B7CED"/>
    <w:rsid w:val="002B7D70"/>
    <w:rsid w:val="002C006F"/>
    <w:rsid w:val="002C017C"/>
    <w:rsid w:val="002C01DB"/>
    <w:rsid w:val="002C02BE"/>
    <w:rsid w:val="002C03A7"/>
    <w:rsid w:val="002C0557"/>
    <w:rsid w:val="002C058B"/>
    <w:rsid w:val="002C07C2"/>
    <w:rsid w:val="002C091A"/>
    <w:rsid w:val="002C0AFC"/>
    <w:rsid w:val="002C0AFF"/>
    <w:rsid w:val="002C0C51"/>
    <w:rsid w:val="002C0E97"/>
    <w:rsid w:val="002C100E"/>
    <w:rsid w:val="002C10BA"/>
    <w:rsid w:val="002C1105"/>
    <w:rsid w:val="002C11A5"/>
    <w:rsid w:val="002C11DE"/>
    <w:rsid w:val="002C1467"/>
    <w:rsid w:val="002C14E1"/>
    <w:rsid w:val="002C151B"/>
    <w:rsid w:val="002C1534"/>
    <w:rsid w:val="002C156D"/>
    <w:rsid w:val="002C1636"/>
    <w:rsid w:val="002C1931"/>
    <w:rsid w:val="002C19AB"/>
    <w:rsid w:val="002C1DF1"/>
    <w:rsid w:val="002C1F86"/>
    <w:rsid w:val="002C22A5"/>
    <w:rsid w:val="002C2389"/>
    <w:rsid w:val="002C23FF"/>
    <w:rsid w:val="002C2554"/>
    <w:rsid w:val="002C25D2"/>
    <w:rsid w:val="002C274F"/>
    <w:rsid w:val="002C27C1"/>
    <w:rsid w:val="002C29A2"/>
    <w:rsid w:val="002C3018"/>
    <w:rsid w:val="002C3267"/>
    <w:rsid w:val="002C336B"/>
    <w:rsid w:val="002C343D"/>
    <w:rsid w:val="002C3456"/>
    <w:rsid w:val="002C34FA"/>
    <w:rsid w:val="002C35AD"/>
    <w:rsid w:val="002C386C"/>
    <w:rsid w:val="002C3A10"/>
    <w:rsid w:val="002C3A39"/>
    <w:rsid w:val="002C3A87"/>
    <w:rsid w:val="002C3B4A"/>
    <w:rsid w:val="002C3C7D"/>
    <w:rsid w:val="002C3C9D"/>
    <w:rsid w:val="002C4005"/>
    <w:rsid w:val="002C4092"/>
    <w:rsid w:val="002C410D"/>
    <w:rsid w:val="002C4190"/>
    <w:rsid w:val="002C433F"/>
    <w:rsid w:val="002C44C2"/>
    <w:rsid w:val="002C4831"/>
    <w:rsid w:val="002C48C8"/>
    <w:rsid w:val="002C4A8B"/>
    <w:rsid w:val="002C4A93"/>
    <w:rsid w:val="002C4BEA"/>
    <w:rsid w:val="002C4CA1"/>
    <w:rsid w:val="002C4DC1"/>
    <w:rsid w:val="002C4EF7"/>
    <w:rsid w:val="002C4FE0"/>
    <w:rsid w:val="002C5145"/>
    <w:rsid w:val="002C51B3"/>
    <w:rsid w:val="002C531D"/>
    <w:rsid w:val="002C5429"/>
    <w:rsid w:val="002C544F"/>
    <w:rsid w:val="002C55D6"/>
    <w:rsid w:val="002C5660"/>
    <w:rsid w:val="002C582A"/>
    <w:rsid w:val="002C5860"/>
    <w:rsid w:val="002C599C"/>
    <w:rsid w:val="002C5B9C"/>
    <w:rsid w:val="002C5BE0"/>
    <w:rsid w:val="002C5E40"/>
    <w:rsid w:val="002C5F82"/>
    <w:rsid w:val="002C6541"/>
    <w:rsid w:val="002C65EE"/>
    <w:rsid w:val="002C6642"/>
    <w:rsid w:val="002C6A8B"/>
    <w:rsid w:val="002C6CFB"/>
    <w:rsid w:val="002C72A6"/>
    <w:rsid w:val="002C72D7"/>
    <w:rsid w:val="002C787E"/>
    <w:rsid w:val="002C78F7"/>
    <w:rsid w:val="002C7B65"/>
    <w:rsid w:val="002C7EAF"/>
    <w:rsid w:val="002C7ECC"/>
    <w:rsid w:val="002C7F28"/>
    <w:rsid w:val="002D0142"/>
    <w:rsid w:val="002D01B5"/>
    <w:rsid w:val="002D0213"/>
    <w:rsid w:val="002D03B9"/>
    <w:rsid w:val="002D0480"/>
    <w:rsid w:val="002D0748"/>
    <w:rsid w:val="002D098C"/>
    <w:rsid w:val="002D0B45"/>
    <w:rsid w:val="002D0B90"/>
    <w:rsid w:val="002D0CDB"/>
    <w:rsid w:val="002D101E"/>
    <w:rsid w:val="002D10D4"/>
    <w:rsid w:val="002D1529"/>
    <w:rsid w:val="002D1778"/>
    <w:rsid w:val="002D185F"/>
    <w:rsid w:val="002D1B15"/>
    <w:rsid w:val="002D1DD2"/>
    <w:rsid w:val="002D1FC3"/>
    <w:rsid w:val="002D2187"/>
    <w:rsid w:val="002D21D6"/>
    <w:rsid w:val="002D24B5"/>
    <w:rsid w:val="002D2954"/>
    <w:rsid w:val="002D2993"/>
    <w:rsid w:val="002D2994"/>
    <w:rsid w:val="002D29DF"/>
    <w:rsid w:val="002D2A30"/>
    <w:rsid w:val="002D2AF9"/>
    <w:rsid w:val="002D2BC7"/>
    <w:rsid w:val="002D2E2A"/>
    <w:rsid w:val="002D2EB7"/>
    <w:rsid w:val="002D2EF0"/>
    <w:rsid w:val="002D2EF1"/>
    <w:rsid w:val="002D30CC"/>
    <w:rsid w:val="002D32F8"/>
    <w:rsid w:val="002D33F8"/>
    <w:rsid w:val="002D34D7"/>
    <w:rsid w:val="002D355E"/>
    <w:rsid w:val="002D3981"/>
    <w:rsid w:val="002D3BAD"/>
    <w:rsid w:val="002D3BF6"/>
    <w:rsid w:val="002D3CA2"/>
    <w:rsid w:val="002D3D45"/>
    <w:rsid w:val="002D3FD7"/>
    <w:rsid w:val="002D401F"/>
    <w:rsid w:val="002D4096"/>
    <w:rsid w:val="002D4955"/>
    <w:rsid w:val="002D4974"/>
    <w:rsid w:val="002D4A82"/>
    <w:rsid w:val="002D4A83"/>
    <w:rsid w:val="002D4A8B"/>
    <w:rsid w:val="002D4D00"/>
    <w:rsid w:val="002D4D93"/>
    <w:rsid w:val="002D4E1D"/>
    <w:rsid w:val="002D4ED2"/>
    <w:rsid w:val="002D52C7"/>
    <w:rsid w:val="002D544F"/>
    <w:rsid w:val="002D5805"/>
    <w:rsid w:val="002D58A9"/>
    <w:rsid w:val="002D59CF"/>
    <w:rsid w:val="002D5A2F"/>
    <w:rsid w:val="002D5A4F"/>
    <w:rsid w:val="002D5DB5"/>
    <w:rsid w:val="002D5E70"/>
    <w:rsid w:val="002D5EA3"/>
    <w:rsid w:val="002D60E3"/>
    <w:rsid w:val="002D63BB"/>
    <w:rsid w:val="002D63D0"/>
    <w:rsid w:val="002D6584"/>
    <w:rsid w:val="002D65C8"/>
    <w:rsid w:val="002D65FD"/>
    <w:rsid w:val="002D6AA1"/>
    <w:rsid w:val="002D6AEA"/>
    <w:rsid w:val="002D6C17"/>
    <w:rsid w:val="002D6DEC"/>
    <w:rsid w:val="002D6DF9"/>
    <w:rsid w:val="002D6E4C"/>
    <w:rsid w:val="002D6F11"/>
    <w:rsid w:val="002D720F"/>
    <w:rsid w:val="002D7379"/>
    <w:rsid w:val="002D7516"/>
    <w:rsid w:val="002D7740"/>
    <w:rsid w:val="002D77CB"/>
    <w:rsid w:val="002D7A7D"/>
    <w:rsid w:val="002D7ACC"/>
    <w:rsid w:val="002D7AF3"/>
    <w:rsid w:val="002D7C66"/>
    <w:rsid w:val="002D7E97"/>
    <w:rsid w:val="002D7EE2"/>
    <w:rsid w:val="002E024E"/>
    <w:rsid w:val="002E03AB"/>
    <w:rsid w:val="002E03B4"/>
    <w:rsid w:val="002E04A6"/>
    <w:rsid w:val="002E05B0"/>
    <w:rsid w:val="002E07D1"/>
    <w:rsid w:val="002E0985"/>
    <w:rsid w:val="002E09B4"/>
    <w:rsid w:val="002E0B41"/>
    <w:rsid w:val="002E11B9"/>
    <w:rsid w:val="002E11BB"/>
    <w:rsid w:val="002E1390"/>
    <w:rsid w:val="002E1594"/>
    <w:rsid w:val="002E1710"/>
    <w:rsid w:val="002E178C"/>
    <w:rsid w:val="002E19ED"/>
    <w:rsid w:val="002E1B27"/>
    <w:rsid w:val="002E1EEE"/>
    <w:rsid w:val="002E1FD9"/>
    <w:rsid w:val="002E216E"/>
    <w:rsid w:val="002E2186"/>
    <w:rsid w:val="002E21B5"/>
    <w:rsid w:val="002E220E"/>
    <w:rsid w:val="002E2216"/>
    <w:rsid w:val="002E2408"/>
    <w:rsid w:val="002E253F"/>
    <w:rsid w:val="002E2559"/>
    <w:rsid w:val="002E2B59"/>
    <w:rsid w:val="002E318F"/>
    <w:rsid w:val="002E358A"/>
    <w:rsid w:val="002E37C0"/>
    <w:rsid w:val="002E3867"/>
    <w:rsid w:val="002E3AE4"/>
    <w:rsid w:val="002E3C85"/>
    <w:rsid w:val="002E3D00"/>
    <w:rsid w:val="002E42C8"/>
    <w:rsid w:val="002E4344"/>
    <w:rsid w:val="002E456F"/>
    <w:rsid w:val="002E458D"/>
    <w:rsid w:val="002E459A"/>
    <w:rsid w:val="002E46F8"/>
    <w:rsid w:val="002E4908"/>
    <w:rsid w:val="002E4A2D"/>
    <w:rsid w:val="002E4D11"/>
    <w:rsid w:val="002E4DB2"/>
    <w:rsid w:val="002E4E42"/>
    <w:rsid w:val="002E5012"/>
    <w:rsid w:val="002E5086"/>
    <w:rsid w:val="002E5251"/>
    <w:rsid w:val="002E5254"/>
    <w:rsid w:val="002E535A"/>
    <w:rsid w:val="002E53DF"/>
    <w:rsid w:val="002E5503"/>
    <w:rsid w:val="002E556B"/>
    <w:rsid w:val="002E56F5"/>
    <w:rsid w:val="002E57E0"/>
    <w:rsid w:val="002E57F0"/>
    <w:rsid w:val="002E58E0"/>
    <w:rsid w:val="002E58E4"/>
    <w:rsid w:val="002E592B"/>
    <w:rsid w:val="002E5A17"/>
    <w:rsid w:val="002E5B15"/>
    <w:rsid w:val="002E5CB8"/>
    <w:rsid w:val="002E5ED1"/>
    <w:rsid w:val="002E5EE2"/>
    <w:rsid w:val="002E61F9"/>
    <w:rsid w:val="002E6354"/>
    <w:rsid w:val="002E6530"/>
    <w:rsid w:val="002E668C"/>
    <w:rsid w:val="002E6981"/>
    <w:rsid w:val="002E69CA"/>
    <w:rsid w:val="002E6A04"/>
    <w:rsid w:val="002E6BA5"/>
    <w:rsid w:val="002E6BAB"/>
    <w:rsid w:val="002E6C86"/>
    <w:rsid w:val="002E70F9"/>
    <w:rsid w:val="002E716C"/>
    <w:rsid w:val="002E757C"/>
    <w:rsid w:val="002E7591"/>
    <w:rsid w:val="002E75B5"/>
    <w:rsid w:val="002E77AD"/>
    <w:rsid w:val="002E78A6"/>
    <w:rsid w:val="002E78AD"/>
    <w:rsid w:val="002E79E1"/>
    <w:rsid w:val="002E7A37"/>
    <w:rsid w:val="002E7B12"/>
    <w:rsid w:val="002E7DAF"/>
    <w:rsid w:val="002E7E09"/>
    <w:rsid w:val="002E7E7D"/>
    <w:rsid w:val="002E7E81"/>
    <w:rsid w:val="002F01EF"/>
    <w:rsid w:val="002F0223"/>
    <w:rsid w:val="002F046E"/>
    <w:rsid w:val="002F046F"/>
    <w:rsid w:val="002F0485"/>
    <w:rsid w:val="002F054B"/>
    <w:rsid w:val="002F0738"/>
    <w:rsid w:val="002F0B5D"/>
    <w:rsid w:val="002F0D2F"/>
    <w:rsid w:val="002F0D5C"/>
    <w:rsid w:val="002F0D79"/>
    <w:rsid w:val="002F0F77"/>
    <w:rsid w:val="002F10A0"/>
    <w:rsid w:val="002F10A9"/>
    <w:rsid w:val="002F112A"/>
    <w:rsid w:val="002F1180"/>
    <w:rsid w:val="002F11CB"/>
    <w:rsid w:val="002F1224"/>
    <w:rsid w:val="002F13B1"/>
    <w:rsid w:val="002F154F"/>
    <w:rsid w:val="002F171D"/>
    <w:rsid w:val="002F1C06"/>
    <w:rsid w:val="002F1C1D"/>
    <w:rsid w:val="002F1DBB"/>
    <w:rsid w:val="002F23C3"/>
    <w:rsid w:val="002F253E"/>
    <w:rsid w:val="002F2805"/>
    <w:rsid w:val="002F2876"/>
    <w:rsid w:val="002F299A"/>
    <w:rsid w:val="002F2B29"/>
    <w:rsid w:val="002F2BD1"/>
    <w:rsid w:val="002F2EC9"/>
    <w:rsid w:val="002F2FF8"/>
    <w:rsid w:val="002F300B"/>
    <w:rsid w:val="002F30B3"/>
    <w:rsid w:val="002F329D"/>
    <w:rsid w:val="002F3355"/>
    <w:rsid w:val="002F33FF"/>
    <w:rsid w:val="002F3457"/>
    <w:rsid w:val="002F353B"/>
    <w:rsid w:val="002F387D"/>
    <w:rsid w:val="002F3961"/>
    <w:rsid w:val="002F3AF2"/>
    <w:rsid w:val="002F3E77"/>
    <w:rsid w:val="002F3F96"/>
    <w:rsid w:val="002F3F97"/>
    <w:rsid w:val="002F41AA"/>
    <w:rsid w:val="002F4302"/>
    <w:rsid w:val="002F43E8"/>
    <w:rsid w:val="002F471C"/>
    <w:rsid w:val="002F4ECA"/>
    <w:rsid w:val="002F4EE2"/>
    <w:rsid w:val="002F4F3E"/>
    <w:rsid w:val="002F4FE3"/>
    <w:rsid w:val="002F5178"/>
    <w:rsid w:val="002F5405"/>
    <w:rsid w:val="002F5422"/>
    <w:rsid w:val="002F54C1"/>
    <w:rsid w:val="002F55CD"/>
    <w:rsid w:val="002F5698"/>
    <w:rsid w:val="002F5733"/>
    <w:rsid w:val="002F57AC"/>
    <w:rsid w:val="002F57E7"/>
    <w:rsid w:val="002F5B18"/>
    <w:rsid w:val="002F5B50"/>
    <w:rsid w:val="002F5C2A"/>
    <w:rsid w:val="002F5F58"/>
    <w:rsid w:val="002F60C4"/>
    <w:rsid w:val="002F6928"/>
    <w:rsid w:val="002F695D"/>
    <w:rsid w:val="002F6B65"/>
    <w:rsid w:val="002F6DF3"/>
    <w:rsid w:val="002F6F4B"/>
    <w:rsid w:val="002F71D5"/>
    <w:rsid w:val="002F7230"/>
    <w:rsid w:val="002F726F"/>
    <w:rsid w:val="002F7690"/>
    <w:rsid w:val="002F78A0"/>
    <w:rsid w:val="002F7A8C"/>
    <w:rsid w:val="002F7BC8"/>
    <w:rsid w:val="002F7BF2"/>
    <w:rsid w:val="002F7CA4"/>
    <w:rsid w:val="002F7D5A"/>
    <w:rsid w:val="0030022D"/>
    <w:rsid w:val="003003DF"/>
    <w:rsid w:val="003004AA"/>
    <w:rsid w:val="0030069F"/>
    <w:rsid w:val="00300785"/>
    <w:rsid w:val="003008DF"/>
    <w:rsid w:val="003009E2"/>
    <w:rsid w:val="00300ACE"/>
    <w:rsid w:val="00300B1E"/>
    <w:rsid w:val="00300B31"/>
    <w:rsid w:val="00300C11"/>
    <w:rsid w:val="00300C19"/>
    <w:rsid w:val="00300EE0"/>
    <w:rsid w:val="00301328"/>
    <w:rsid w:val="003015E5"/>
    <w:rsid w:val="00301627"/>
    <w:rsid w:val="00301757"/>
    <w:rsid w:val="00301992"/>
    <w:rsid w:val="003019AA"/>
    <w:rsid w:val="00301AE7"/>
    <w:rsid w:val="00301B78"/>
    <w:rsid w:val="00301D1E"/>
    <w:rsid w:val="00302386"/>
    <w:rsid w:val="00302560"/>
    <w:rsid w:val="00302561"/>
    <w:rsid w:val="00302685"/>
    <w:rsid w:val="003027F0"/>
    <w:rsid w:val="00302D4F"/>
    <w:rsid w:val="00302F96"/>
    <w:rsid w:val="00303A05"/>
    <w:rsid w:val="00303A1E"/>
    <w:rsid w:val="00303B00"/>
    <w:rsid w:val="00303C20"/>
    <w:rsid w:val="00303D45"/>
    <w:rsid w:val="00303F57"/>
    <w:rsid w:val="00303FDD"/>
    <w:rsid w:val="00304064"/>
    <w:rsid w:val="003040DB"/>
    <w:rsid w:val="00304418"/>
    <w:rsid w:val="003044A5"/>
    <w:rsid w:val="00304526"/>
    <w:rsid w:val="0030466E"/>
    <w:rsid w:val="003046D3"/>
    <w:rsid w:val="0030470F"/>
    <w:rsid w:val="0030486B"/>
    <w:rsid w:val="003049CC"/>
    <w:rsid w:val="003049ED"/>
    <w:rsid w:val="00304AB3"/>
    <w:rsid w:val="00304ADB"/>
    <w:rsid w:val="00304DBE"/>
    <w:rsid w:val="003051F1"/>
    <w:rsid w:val="0030530A"/>
    <w:rsid w:val="003055FE"/>
    <w:rsid w:val="00305691"/>
    <w:rsid w:val="00305696"/>
    <w:rsid w:val="0030580C"/>
    <w:rsid w:val="00305BDF"/>
    <w:rsid w:val="00305ED4"/>
    <w:rsid w:val="00305F8B"/>
    <w:rsid w:val="00305FE7"/>
    <w:rsid w:val="00306011"/>
    <w:rsid w:val="003060EC"/>
    <w:rsid w:val="00306218"/>
    <w:rsid w:val="00306498"/>
    <w:rsid w:val="003067E0"/>
    <w:rsid w:val="0030680A"/>
    <w:rsid w:val="003068F9"/>
    <w:rsid w:val="00306CD1"/>
    <w:rsid w:val="0030761B"/>
    <w:rsid w:val="003077AB"/>
    <w:rsid w:val="003078D8"/>
    <w:rsid w:val="00307A95"/>
    <w:rsid w:val="00307CF2"/>
    <w:rsid w:val="003100F7"/>
    <w:rsid w:val="00310293"/>
    <w:rsid w:val="003102A5"/>
    <w:rsid w:val="00310375"/>
    <w:rsid w:val="00310460"/>
    <w:rsid w:val="003104AF"/>
    <w:rsid w:val="00310534"/>
    <w:rsid w:val="0031059B"/>
    <w:rsid w:val="003105DD"/>
    <w:rsid w:val="00310A10"/>
    <w:rsid w:val="00310C62"/>
    <w:rsid w:val="00310E1B"/>
    <w:rsid w:val="00311297"/>
    <w:rsid w:val="00311325"/>
    <w:rsid w:val="00311A44"/>
    <w:rsid w:val="00311E55"/>
    <w:rsid w:val="00311ECE"/>
    <w:rsid w:val="003120C9"/>
    <w:rsid w:val="003121FD"/>
    <w:rsid w:val="0031228A"/>
    <w:rsid w:val="0031251B"/>
    <w:rsid w:val="003125ED"/>
    <w:rsid w:val="0031272E"/>
    <w:rsid w:val="0031281C"/>
    <w:rsid w:val="00312863"/>
    <w:rsid w:val="003129CF"/>
    <w:rsid w:val="00312BC0"/>
    <w:rsid w:val="003131A6"/>
    <w:rsid w:val="00313239"/>
    <w:rsid w:val="003132EE"/>
    <w:rsid w:val="0031346C"/>
    <w:rsid w:val="003138B0"/>
    <w:rsid w:val="00313987"/>
    <w:rsid w:val="00313993"/>
    <w:rsid w:val="00313C7F"/>
    <w:rsid w:val="00314032"/>
    <w:rsid w:val="00314084"/>
    <w:rsid w:val="0031415D"/>
    <w:rsid w:val="00314206"/>
    <w:rsid w:val="00314296"/>
    <w:rsid w:val="00314339"/>
    <w:rsid w:val="003144EE"/>
    <w:rsid w:val="00314564"/>
    <w:rsid w:val="003145A9"/>
    <w:rsid w:val="003147BA"/>
    <w:rsid w:val="00314864"/>
    <w:rsid w:val="00314907"/>
    <w:rsid w:val="0031496F"/>
    <w:rsid w:val="00314AA1"/>
    <w:rsid w:val="00314D2E"/>
    <w:rsid w:val="00315004"/>
    <w:rsid w:val="003151F0"/>
    <w:rsid w:val="0031532A"/>
    <w:rsid w:val="0031537E"/>
    <w:rsid w:val="00315BB0"/>
    <w:rsid w:val="00315EEB"/>
    <w:rsid w:val="00315F66"/>
    <w:rsid w:val="0031605A"/>
    <w:rsid w:val="003164E5"/>
    <w:rsid w:val="00316601"/>
    <w:rsid w:val="00316656"/>
    <w:rsid w:val="003168BD"/>
    <w:rsid w:val="003168EF"/>
    <w:rsid w:val="0031690B"/>
    <w:rsid w:val="0031694A"/>
    <w:rsid w:val="003169A4"/>
    <w:rsid w:val="00316A1C"/>
    <w:rsid w:val="00316B2E"/>
    <w:rsid w:val="00316D04"/>
    <w:rsid w:val="00316E1F"/>
    <w:rsid w:val="00316F1F"/>
    <w:rsid w:val="00317015"/>
    <w:rsid w:val="00317587"/>
    <w:rsid w:val="003175F6"/>
    <w:rsid w:val="00317657"/>
    <w:rsid w:val="003176DC"/>
    <w:rsid w:val="00317727"/>
    <w:rsid w:val="0031776C"/>
    <w:rsid w:val="003179A8"/>
    <w:rsid w:val="003179D1"/>
    <w:rsid w:val="00317A4E"/>
    <w:rsid w:val="00317C86"/>
    <w:rsid w:val="003207B5"/>
    <w:rsid w:val="003208A7"/>
    <w:rsid w:val="00320904"/>
    <w:rsid w:val="003209FB"/>
    <w:rsid w:val="00320B5B"/>
    <w:rsid w:val="00320E32"/>
    <w:rsid w:val="00320F1D"/>
    <w:rsid w:val="00320F24"/>
    <w:rsid w:val="003212A5"/>
    <w:rsid w:val="003212CE"/>
    <w:rsid w:val="003218FF"/>
    <w:rsid w:val="003219E9"/>
    <w:rsid w:val="00321B16"/>
    <w:rsid w:val="00321B3D"/>
    <w:rsid w:val="00321D92"/>
    <w:rsid w:val="00321DE8"/>
    <w:rsid w:val="00321EA7"/>
    <w:rsid w:val="00322309"/>
    <w:rsid w:val="003223B1"/>
    <w:rsid w:val="00322411"/>
    <w:rsid w:val="003225F8"/>
    <w:rsid w:val="0032271A"/>
    <w:rsid w:val="0032287B"/>
    <w:rsid w:val="003228D2"/>
    <w:rsid w:val="00322A07"/>
    <w:rsid w:val="00322B05"/>
    <w:rsid w:val="00322EA7"/>
    <w:rsid w:val="00322EC0"/>
    <w:rsid w:val="00323018"/>
    <w:rsid w:val="00323066"/>
    <w:rsid w:val="0032308C"/>
    <w:rsid w:val="003230CF"/>
    <w:rsid w:val="00323705"/>
    <w:rsid w:val="00323814"/>
    <w:rsid w:val="003239D5"/>
    <w:rsid w:val="00323B74"/>
    <w:rsid w:val="00323CEC"/>
    <w:rsid w:val="00323EC1"/>
    <w:rsid w:val="003242C5"/>
    <w:rsid w:val="00324520"/>
    <w:rsid w:val="0032488F"/>
    <w:rsid w:val="003249B6"/>
    <w:rsid w:val="00324A06"/>
    <w:rsid w:val="003250CB"/>
    <w:rsid w:val="003250CE"/>
    <w:rsid w:val="003253AA"/>
    <w:rsid w:val="0032543F"/>
    <w:rsid w:val="00325572"/>
    <w:rsid w:val="00325862"/>
    <w:rsid w:val="0032608F"/>
    <w:rsid w:val="003261BA"/>
    <w:rsid w:val="00326297"/>
    <w:rsid w:val="00326442"/>
    <w:rsid w:val="00326606"/>
    <w:rsid w:val="003266A8"/>
    <w:rsid w:val="00326812"/>
    <w:rsid w:val="0032691C"/>
    <w:rsid w:val="0032693E"/>
    <w:rsid w:val="00326A7A"/>
    <w:rsid w:val="00326DE1"/>
    <w:rsid w:val="003270F7"/>
    <w:rsid w:val="00327160"/>
    <w:rsid w:val="0032736D"/>
    <w:rsid w:val="003276AA"/>
    <w:rsid w:val="003278ED"/>
    <w:rsid w:val="00327C45"/>
    <w:rsid w:val="00327CE2"/>
    <w:rsid w:val="00327CEE"/>
    <w:rsid w:val="00327DE8"/>
    <w:rsid w:val="00330133"/>
    <w:rsid w:val="00330163"/>
    <w:rsid w:val="003302E2"/>
    <w:rsid w:val="003303BD"/>
    <w:rsid w:val="003305B3"/>
    <w:rsid w:val="00330663"/>
    <w:rsid w:val="0033086C"/>
    <w:rsid w:val="00330998"/>
    <w:rsid w:val="00330E65"/>
    <w:rsid w:val="0033128C"/>
    <w:rsid w:val="003313E1"/>
    <w:rsid w:val="003317D8"/>
    <w:rsid w:val="003318CB"/>
    <w:rsid w:val="00331B6E"/>
    <w:rsid w:val="00331CFB"/>
    <w:rsid w:val="00331E35"/>
    <w:rsid w:val="00331F6B"/>
    <w:rsid w:val="00331FCE"/>
    <w:rsid w:val="00332401"/>
    <w:rsid w:val="00332457"/>
    <w:rsid w:val="0033253D"/>
    <w:rsid w:val="00332577"/>
    <w:rsid w:val="00332ABB"/>
    <w:rsid w:val="00332BC9"/>
    <w:rsid w:val="00332CE0"/>
    <w:rsid w:val="00332E67"/>
    <w:rsid w:val="00332EDA"/>
    <w:rsid w:val="003332AF"/>
    <w:rsid w:val="00333466"/>
    <w:rsid w:val="0033347E"/>
    <w:rsid w:val="003336ED"/>
    <w:rsid w:val="00333767"/>
    <w:rsid w:val="003337B8"/>
    <w:rsid w:val="003337C7"/>
    <w:rsid w:val="00333A54"/>
    <w:rsid w:val="00333A71"/>
    <w:rsid w:val="00333C7E"/>
    <w:rsid w:val="00333E12"/>
    <w:rsid w:val="00333ECE"/>
    <w:rsid w:val="00334030"/>
    <w:rsid w:val="00334097"/>
    <w:rsid w:val="003342AD"/>
    <w:rsid w:val="003347BB"/>
    <w:rsid w:val="00334B1D"/>
    <w:rsid w:val="00334DB4"/>
    <w:rsid w:val="00334EB3"/>
    <w:rsid w:val="00334F2E"/>
    <w:rsid w:val="00334FBC"/>
    <w:rsid w:val="00335188"/>
    <w:rsid w:val="003351C3"/>
    <w:rsid w:val="0033525B"/>
    <w:rsid w:val="003353B3"/>
    <w:rsid w:val="00335593"/>
    <w:rsid w:val="00335855"/>
    <w:rsid w:val="00335999"/>
    <w:rsid w:val="00335C13"/>
    <w:rsid w:val="00335D8C"/>
    <w:rsid w:val="00335DC3"/>
    <w:rsid w:val="00336224"/>
    <w:rsid w:val="00336295"/>
    <w:rsid w:val="003362D9"/>
    <w:rsid w:val="0033637A"/>
    <w:rsid w:val="00336405"/>
    <w:rsid w:val="0033665D"/>
    <w:rsid w:val="00336740"/>
    <w:rsid w:val="00336B0F"/>
    <w:rsid w:val="00336C80"/>
    <w:rsid w:val="00336D0F"/>
    <w:rsid w:val="00336D82"/>
    <w:rsid w:val="00336EB9"/>
    <w:rsid w:val="0033700B"/>
    <w:rsid w:val="00337044"/>
    <w:rsid w:val="003370BB"/>
    <w:rsid w:val="003371FB"/>
    <w:rsid w:val="00337314"/>
    <w:rsid w:val="0033745F"/>
    <w:rsid w:val="003374A8"/>
    <w:rsid w:val="00337517"/>
    <w:rsid w:val="0033764A"/>
    <w:rsid w:val="00337985"/>
    <w:rsid w:val="00337A83"/>
    <w:rsid w:val="00337C8A"/>
    <w:rsid w:val="00337CFF"/>
    <w:rsid w:val="00337ED4"/>
    <w:rsid w:val="00340069"/>
    <w:rsid w:val="0034019F"/>
    <w:rsid w:val="00340302"/>
    <w:rsid w:val="00340445"/>
    <w:rsid w:val="00340481"/>
    <w:rsid w:val="003407F4"/>
    <w:rsid w:val="00340894"/>
    <w:rsid w:val="003409F5"/>
    <w:rsid w:val="00340B07"/>
    <w:rsid w:val="00340D24"/>
    <w:rsid w:val="00340E11"/>
    <w:rsid w:val="003412AC"/>
    <w:rsid w:val="003413EF"/>
    <w:rsid w:val="003415ED"/>
    <w:rsid w:val="00341888"/>
    <w:rsid w:val="00341927"/>
    <w:rsid w:val="0034194A"/>
    <w:rsid w:val="00341955"/>
    <w:rsid w:val="00341A4C"/>
    <w:rsid w:val="003421A6"/>
    <w:rsid w:val="00342253"/>
    <w:rsid w:val="0034230D"/>
    <w:rsid w:val="00342627"/>
    <w:rsid w:val="00342714"/>
    <w:rsid w:val="003427DB"/>
    <w:rsid w:val="00342836"/>
    <w:rsid w:val="00342C4C"/>
    <w:rsid w:val="00342F37"/>
    <w:rsid w:val="00342F41"/>
    <w:rsid w:val="00343373"/>
    <w:rsid w:val="003433C7"/>
    <w:rsid w:val="00343439"/>
    <w:rsid w:val="00343629"/>
    <w:rsid w:val="003436D5"/>
    <w:rsid w:val="00343743"/>
    <w:rsid w:val="00343752"/>
    <w:rsid w:val="003437E8"/>
    <w:rsid w:val="003437F9"/>
    <w:rsid w:val="003438BE"/>
    <w:rsid w:val="0034393F"/>
    <w:rsid w:val="00343A24"/>
    <w:rsid w:val="00343DA0"/>
    <w:rsid w:val="003440E7"/>
    <w:rsid w:val="00344321"/>
    <w:rsid w:val="00344546"/>
    <w:rsid w:val="003445A1"/>
    <w:rsid w:val="003445B5"/>
    <w:rsid w:val="003448EA"/>
    <w:rsid w:val="00344D09"/>
    <w:rsid w:val="00344E05"/>
    <w:rsid w:val="00344E72"/>
    <w:rsid w:val="00344FBE"/>
    <w:rsid w:val="00345136"/>
    <w:rsid w:val="003451CE"/>
    <w:rsid w:val="0034527C"/>
    <w:rsid w:val="003452D2"/>
    <w:rsid w:val="00345483"/>
    <w:rsid w:val="00345631"/>
    <w:rsid w:val="0034564D"/>
    <w:rsid w:val="003457BA"/>
    <w:rsid w:val="00345B3B"/>
    <w:rsid w:val="00345C14"/>
    <w:rsid w:val="00345DFA"/>
    <w:rsid w:val="00345E78"/>
    <w:rsid w:val="003460D4"/>
    <w:rsid w:val="00346352"/>
    <w:rsid w:val="0034642B"/>
    <w:rsid w:val="0034663B"/>
    <w:rsid w:val="00346644"/>
    <w:rsid w:val="00346665"/>
    <w:rsid w:val="003467F7"/>
    <w:rsid w:val="003469B4"/>
    <w:rsid w:val="00346A8B"/>
    <w:rsid w:val="00346AB6"/>
    <w:rsid w:val="00346EED"/>
    <w:rsid w:val="00346F89"/>
    <w:rsid w:val="00346FED"/>
    <w:rsid w:val="0034734C"/>
    <w:rsid w:val="003474EE"/>
    <w:rsid w:val="003475A4"/>
    <w:rsid w:val="00347694"/>
    <w:rsid w:val="003477B2"/>
    <w:rsid w:val="0034794F"/>
    <w:rsid w:val="0034797E"/>
    <w:rsid w:val="00347BAA"/>
    <w:rsid w:val="00347C55"/>
    <w:rsid w:val="00347FB0"/>
    <w:rsid w:val="00350051"/>
    <w:rsid w:val="00350359"/>
    <w:rsid w:val="00350511"/>
    <w:rsid w:val="00350675"/>
    <w:rsid w:val="00350831"/>
    <w:rsid w:val="00350854"/>
    <w:rsid w:val="003509DF"/>
    <w:rsid w:val="00350A79"/>
    <w:rsid w:val="00350BD2"/>
    <w:rsid w:val="00350C08"/>
    <w:rsid w:val="00350DE6"/>
    <w:rsid w:val="00350E8B"/>
    <w:rsid w:val="00350F0D"/>
    <w:rsid w:val="0035118E"/>
    <w:rsid w:val="0035129B"/>
    <w:rsid w:val="00351359"/>
    <w:rsid w:val="00351540"/>
    <w:rsid w:val="00351542"/>
    <w:rsid w:val="003516B6"/>
    <w:rsid w:val="00351872"/>
    <w:rsid w:val="0035192C"/>
    <w:rsid w:val="003519F6"/>
    <w:rsid w:val="00351B92"/>
    <w:rsid w:val="00351CF0"/>
    <w:rsid w:val="00351D7B"/>
    <w:rsid w:val="00351D7E"/>
    <w:rsid w:val="00351EF5"/>
    <w:rsid w:val="00351F49"/>
    <w:rsid w:val="0035249E"/>
    <w:rsid w:val="00352921"/>
    <w:rsid w:val="00352A65"/>
    <w:rsid w:val="00352AB2"/>
    <w:rsid w:val="00352B67"/>
    <w:rsid w:val="00352BCD"/>
    <w:rsid w:val="00352BF6"/>
    <w:rsid w:val="00352C27"/>
    <w:rsid w:val="00352C92"/>
    <w:rsid w:val="00352D47"/>
    <w:rsid w:val="003530EA"/>
    <w:rsid w:val="00353354"/>
    <w:rsid w:val="0035375D"/>
    <w:rsid w:val="0035382E"/>
    <w:rsid w:val="0035391B"/>
    <w:rsid w:val="00353928"/>
    <w:rsid w:val="00353A9B"/>
    <w:rsid w:val="00353B25"/>
    <w:rsid w:val="00353B8D"/>
    <w:rsid w:val="00353C3C"/>
    <w:rsid w:val="003540FB"/>
    <w:rsid w:val="003542A3"/>
    <w:rsid w:val="003542DC"/>
    <w:rsid w:val="00354545"/>
    <w:rsid w:val="00354572"/>
    <w:rsid w:val="00354611"/>
    <w:rsid w:val="00354742"/>
    <w:rsid w:val="0035486E"/>
    <w:rsid w:val="003548CC"/>
    <w:rsid w:val="00354E23"/>
    <w:rsid w:val="00354F94"/>
    <w:rsid w:val="003550BE"/>
    <w:rsid w:val="003552AD"/>
    <w:rsid w:val="00355543"/>
    <w:rsid w:val="003557D9"/>
    <w:rsid w:val="003559DC"/>
    <w:rsid w:val="00355D02"/>
    <w:rsid w:val="00355E82"/>
    <w:rsid w:val="0035643A"/>
    <w:rsid w:val="003564B9"/>
    <w:rsid w:val="0035659A"/>
    <w:rsid w:val="00356628"/>
    <w:rsid w:val="003566DE"/>
    <w:rsid w:val="0035677C"/>
    <w:rsid w:val="003567CC"/>
    <w:rsid w:val="0035685F"/>
    <w:rsid w:val="003569A4"/>
    <w:rsid w:val="003569DB"/>
    <w:rsid w:val="00356B01"/>
    <w:rsid w:val="00356D65"/>
    <w:rsid w:val="00357744"/>
    <w:rsid w:val="00357800"/>
    <w:rsid w:val="003578A0"/>
    <w:rsid w:val="003578CB"/>
    <w:rsid w:val="00357ACB"/>
    <w:rsid w:val="00357B72"/>
    <w:rsid w:val="00357B96"/>
    <w:rsid w:val="00357DBE"/>
    <w:rsid w:val="00357FEA"/>
    <w:rsid w:val="0036006B"/>
    <w:rsid w:val="00360072"/>
    <w:rsid w:val="00360157"/>
    <w:rsid w:val="003601F1"/>
    <w:rsid w:val="003603C9"/>
    <w:rsid w:val="003603E2"/>
    <w:rsid w:val="0036044B"/>
    <w:rsid w:val="003607FF"/>
    <w:rsid w:val="003609DD"/>
    <w:rsid w:val="00360D65"/>
    <w:rsid w:val="00360EF7"/>
    <w:rsid w:val="0036105A"/>
    <w:rsid w:val="003611CB"/>
    <w:rsid w:val="0036134D"/>
    <w:rsid w:val="00361466"/>
    <w:rsid w:val="00361B03"/>
    <w:rsid w:val="00361DF9"/>
    <w:rsid w:val="003620F5"/>
    <w:rsid w:val="00362125"/>
    <w:rsid w:val="0036212D"/>
    <w:rsid w:val="0036219A"/>
    <w:rsid w:val="00362625"/>
    <w:rsid w:val="003627CB"/>
    <w:rsid w:val="003627D0"/>
    <w:rsid w:val="003628CB"/>
    <w:rsid w:val="0036297C"/>
    <w:rsid w:val="003629B4"/>
    <w:rsid w:val="00362BD4"/>
    <w:rsid w:val="00362DA8"/>
    <w:rsid w:val="00362E99"/>
    <w:rsid w:val="00362F74"/>
    <w:rsid w:val="00362F7C"/>
    <w:rsid w:val="00363119"/>
    <w:rsid w:val="003631B6"/>
    <w:rsid w:val="0036367D"/>
    <w:rsid w:val="003636EB"/>
    <w:rsid w:val="0036371C"/>
    <w:rsid w:val="0036373E"/>
    <w:rsid w:val="003637AA"/>
    <w:rsid w:val="0036385C"/>
    <w:rsid w:val="0036387B"/>
    <w:rsid w:val="00363BDF"/>
    <w:rsid w:val="00363C84"/>
    <w:rsid w:val="00363D5C"/>
    <w:rsid w:val="00364029"/>
    <w:rsid w:val="003641B7"/>
    <w:rsid w:val="00364379"/>
    <w:rsid w:val="003646D1"/>
    <w:rsid w:val="00364710"/>
    <w:rsid w:val="00364730"/>
    <w:rsid w:val="00364764"/>
    <w:rsid w:val="00364969"/>
    <w:rsid w:val="00364BF5"/>
    <w:rsid w:val="00364CEA"/>
    <w:rsid w:val="00364ECA"/>
    <w:rsid w:val="0036514D"/>
    <w:rsid w:val="003653A7"/>
    <w:rsid w:val="003655D2"/>
    <w:rsid w:val="003658DA"/>
    <w:rsid w:val="00365A19"/>
    <w:rsid w:val="00365CC5"/>
    <w:rsid w:val="00365D57"/>
    <w:rsid w:val="00365E02"/>
    <w:rsid w:val="00365E13"/>
    <w:rsid w:val="00365FD3"/>
    <w:rsid w:val="00366541"/>
    <w:rsid w:val="003665FE"/>
    <w:rsid w:val="003667FF"/>
    <w:rsid w:val="00366869"/>
    <w:rsid w:val="003669A5"/>
    <w:rsid w:val="00366A92"/>
    <w:rsid w:val="00366B42"/>
    <w:rsid w:val="00366C01"/>
    <w:rsid w:val="00366C25"/>
    <w:rsid w:val="00366C47"/>
    <w:rsid w:val="00366C71"/>
    <w:rsid w:val="00366C82"/>
    <w:rsid w:val="00366D48"/>
    <w:rsid w:val="00366D8A"/>
    <w:rsid w:val="00366DC1"/>
    <w:rsid w:val="00366E59"/>
    <w:rsid w:val="00366ECF"/>
    <w:rsid w:val="0036700F"/>
    <w:rsid w:val="0036703C"/>
    <w:rsid w:val="00367688"/>
    <w:rsid w:val="00367935"/>
    <w:rsid w:val="0036793A"/>
    <w:rsid w:val="00367B9E"/>
    <w:rsid w:val="00367F79"/>
    <w:rsid w:val="003702AD"/>
    <w:rsid w:val="00370902"/>
    <w:rsid w:val="00370971"/>
    <w:rsid w:val="003709C9"/>
    <w:rsid w:val="003709F2"/>
    <w:rsid w:val="00370C3A"/>
    <w:rsid w:val="00370D06"/>
    <w:rsid w:val="00370DE5"/>
    <w:rsid w:val="00371181"/>
    <w:rsid w:val="003712D1"/>
    <w:rsid w:val="00371361"/>
    <w:rsid w:val="00371674"/>
    <w:rsid w:val="00371846"/>
    <w:rsid w:val="003718EC"/>
    <w:rsid w:val="00371D0B"/>
    <w:rsid w:val="00371D55"/>
    <w:rsid w:val="00371F7D"/>
    <w:rsid w:val="003720D6"/>
    <w:rsid w:val="003720E5"/>
    <w:rsid w:val="0037217E"/>
    <w:rsid w:val="0037229E"/>
    <w:rsid w:val="00372757"/>
    <w:rsid w:val="00372833"/>
    <w:rsid w:val="003729B9"/>
    <w:rsid w:val="00372B9B"/>
    <w:rsid w:val="00372BD1"/>
    <w:rsid w:val="00372D0D"/>
    <w:rsid w:val="00372DE1"/>
    <w:rsid w:val="00373001"/>
    <w:rsid w:val="00373076"/>
    <w:rsid w:val="0037338B"/>
    <w:rsid w:val="0037343A"/>
    <w:rsid w:val="00373506"/>
    <w:rsid w:val="00373510"/>
    <w:rsid w:val="00373528"/>
    <w:rsid w:val="0037386E"/>
    <w:rsid w:val="00373A78"/>
    <w:rsid w:val="00373DD1"/>
    <w:rsid w:val="00373E10"/>
    <w:rsid w:val="00373EDD"/>
    <w:rsid w:val="00373F7C"/>
    <w:rsid w:val="00374247"/>
    <w:rsid w:val="00374363"/>
    <w:rsid w:val="00374798"/>
    <w:rsid w:val="00374884"/>
    <w:rsid w:val="00374C4A"/>
    <w:rsid w:val="00374D19"/>
    <w:rsid w:val="00374D80"/>
    <w:rsid w:val="00375101"/>
    <w:rsid w:val="00375149"/>
    <w:rsid w:val="0037526B"/>
    <w:rsid w:val="003752E9"/>
    <w:rsid w:val="003756C1"/>
    <w:rsid w:val="003756D1"/>
    <w:rsid w:val="0037575D"/>
    <w:rsid w:val="003757FF"/>
    <w:rsid w:val="003758A6"/>
    <w:rsid w:val="003759FB"/>
    <w:rsid w:val="00375AD2"/>
    <w:rsid w:val="00375C6D"/>
    <w:rsid w:val="00375CB6"/>
    <w:rsid w:val="00375E18"/>
    <w:rsid w:val="00375EEE"/>
    <w:rsid w:val="003763C6"/>
    <w:rsid w:val="003764A5"/>
    <w:rsid w:val="00376597"/>
    <w:rsid w:val="003767E4"/>
    <w:rsid w:val="00376ABC"/>
    <w:rsid w:val="00376B95"/>
    <w:rsid w:val="00376DFE"/>
    <w:rsid w:val="00377076"/>
    <w:rsid w:val="003770DE"/>
    <w:rsid w:val="003771C4"/>
    <w:rsid w:val="0037728D"/>
    <w:rsid w:val="00377314"/>
    <w:rsid w:val="00377346"/>
    <w:rsid w:val="00377B76"/>
    <w:rsid w:val="00377CCC"/>
    <w:rsid w:val="0038007C"/>
    <w:rsid w:val="00380166"/>
    <w:rsid w:val="003802F6"/>
    <w:rsid w:val="003804E9"/>
    <w:rsid w:val="00380564"/>
    <w:rsid w:val="003808F4"/>
    <w:rsid w:val="003809BF"/>
    <w:rsid w:val="00380A87"/>
    <w:rsid w:val="00380B50"/>
    <w:rsid w:val="00380D42"/>
    <w:rsid w:val="00380F3C"/>
    <w:rsid w:val="0038123D"/>
    <w:rsid w:val="00381381"/>
    <w:rsid w:val="003816FA"/>
    <w:rsid w:val="0038171E"/>
    <w:rsid w:val="0038172D"/>
    <w:rsid w:val="00381788"/>
    <w:rsid w:val="00381902"/>
    <w:rsid w:val="00381965"/>
    <w:rsid w:val="00381A70"/>
    <w:rsid w:val="00381AF0"/>
    <w:rsid w:val="00381B61"/>
    <w:rsid w:val="00381D39"/>
    <w:rsid w:val="00381D4F"/>
    <w:rsid w:val="00382464"/>
    <w:rsid w:val="00382688"/>
    <w:rsid w:val="00382863"/>
    <w:rsid w:val="003829D2"/>
    <w:rsid w:val="003829F0"/>
    <w:rsid w:val="00382A89"/>
    <w:rsid w:val="00382D0B"/>
    <w:rsid w:val="00382DEE"/>
    <w:rsid w:val="00382E57"/>
    <w:rsid w:val="00382EAD"/>
    <w:rsid w:val="00382F95"/>
    <w:rsid w:val="003830D9"/>
    <w:rsid w:val="003835BD"/>
    <w:rsid w:val="003838DC"/>
    <w:rsid w:val="00383950"/>
    <w:rsid w:val="00383BB2"/>
    <w:rsid w:val="00383C92"/>
    <w:rsid w:val="00383D16"/>
    <w:rsid w:val="00383DEB"/>
    <w:rsid w:val="00383E36"/>
    <w:rsid w:val="00383EC3"/>
    <w:rsid w:val="00384554"/>
    <w:rsid w:val="003845AA"/>
    <w:rsid w:val="00384622"/>
    <w:rsid w:val="00384662"/>
    <w:rsid w:val="0038478C"/>
    <w:rsid w:val="00384876"/>
    <w:rsid w:val="003848B6"/>
    <w:rsid w:val="00384B6A"/>
    <w:rsid w:val="003852AC"/>
    <w:rsid w:val="003852B8"/>
    <w:rsid w:val="0038530F"/>
    <w:rsid w:val="003853E4"/>
    <w:rsid w:val="003854D6"/>
    <w:rsid w:val="0038558E"/>
    <w:rsid w:val="00385790"/>
    <w:rsid w:val="003858CE"/>
    <w:rsid w:val="00385AA3"/>
    <w:rsid w:val="00385AA8"/>
    <w:rsid w:val="00385BE4"/>
    <w:rsid w:val="00385D27"/>
    <w:rsid w:val="00385D6D"/>
    <w:rsid w:val="00385E3E"/>
    <w:rsid w:val="003862B9"/>
    <w:rsid w:val="00386361"/>
    <w:rsid w:val="00386475"/>
    <w:rsid w:val="003868F4"/>
    <w:rsid w:val="003869DA"/>
    <w:rsid w:val="00386B72"/>
    <w:rsid w:val="00386D40"/>
    <w:rsid w:val="00386F79"/>
    <w:rsid w:val="0038752B"/>
    <w:rsid w:val="003876AA"/>
    <w:rsid w:val="00387722"/>
    <w:rsid w:val="0038781A"/>
    <w:rsid w:val="00387882"/>
    <w:rsid w:val="003879CD"/>
    <w:rsid w:val="00387DE6"/>
    <w:rsid w:val="00387E1C"/>
    <w:rsid w:val="00387FE4"/>
    <w:rsid w:val="00390125"/>
    <w:rsid w:val="00390629"/>
    <w:rsid w:val="0039066F"/>
    <w:rsid w:val="00390799"/>
    <w:rsid w:val="00390924"/>
    <w:rsid w:val="0039097A"/>
    <w:rsid w:val="003909E6"/>
    <w:rsid w:val="00390B4F"/>
    <w:rsid w:val="00390C7E"/>
    <w:rsid w:val="00390D37"/>
    <w:rsid w:val="00390E04"/>
    <w:rsid w:val="00390E1B"/>
    <w:rsid w:val="00390F78"/>
    <w:rsid w:val="00391198"/>
    <w:rsid w:val="003912A6"/>
    <w:rsid w:val="00391309"/>
    <w:rsid w:val="00391313"/>
    <w:rsid w:val="003914D0"/>
    <w:rsid w:val="003916A0"/>
    <w:rsid w:val="0039184C"/>
    <w:rsid w:val="00391A32"/>
    <w:rsid w:val="00391A80"/>
    <w:rsid w:val="00391B3D"/>
    <w:rsid w:val="00391C5C"/>
    <w:rsid w:val="00391C9B"/>
    <w:rsid w:val="00391DB5"/>
    <w:rsid w:val="00391E4C"/>
    <w:rsid w:val="00391E83"/>
    <w:rsid w:val="00391FC3"/>
    <w:rsid w:val="0039203F"/>
    <w:rsid w:val="0039210B"/>
    <w:rsid w:val="0039220E"/>
    <w:rsid w:val="00392397"/>
    <w:rsid w:val="003923D6"/>
    <w:rsid w:val="003927E5"/>
    <w:rsid w:val="003928C9"/>
    <w:rsid w:val="003929B0"/>
    <w:rsid w:val="00392A3D"/>
    <w:rsid w:val="00392AC8"/>
    <w:rsid w:val="00392B67"/>
    <w:rsid w:val="00392DC5"/>
    <w:rsid w:val="00392E0D"/>
    <w:rsid w:val="00392E4B"/>
    <w:rsid w:val="00392E6F"/>
    <w:rsid w:val="00392EBB"/>
    <w:rsid w:val="00392EF0"/>
    <w:rsid w:val="003930D4"/>
    <w:rsid w:val="0039319E"/>
    <w:rsid w:val="003932D4"/>
    <w:rsid w:val="003933C3"/>
    <w:rsid w:val="00393985"/>
    <w:rsid w:val="00393A03"/>
    <w:rsid w:val="00393C01"/>
    <w:rsid w:val="00393CC9"/>
    <w:rsid w:val="00393DF1"/>
    <w:rsid w:val="00393EB3"/>
    <w:rsid w:val="00394274"/>
    <w:rsid w:val="003943E9"/>
    <w:rsid w:val="003943FF"/>
    <w:rsid w:val="003944C4"/>
    <w:rsid w:val="00394612"/>
    <w:rsid w:val="003947F9"/>
    <w:rsid w:val="00394802"/>
    <w:rsid w:val="0039484F"/>
    <w:rsid w:val="0039489C"/>
    <w:rsid w:val="00394AAB"/>
    <w:rsid w:val="00394B7B"/>
    <w:rsid w:val="00394B85"/>
    <w:rsid w:val="00394CED"/>
    <w:rsid w:val="00395108"/>
    <w:rsid w:val="0039540F"/>
    <w:rsid w:val="003959E0"/>
    <w:rsid w:val="00395A28"/>
    <w:rsid w:val="00395A31"/>
    <w:rsid w:val="00395C84"/>
    <w:rsid w:val="00395C92"/>
    <w:rsid w:val="00395D2C"/>
    <w:rsid w:val="00395DF9"/>
    <w:rsid w:val="00396172"/>
    <w:rsid w:val="00396450"/>
    <w:rsid w:val="003965A3"/>
    <w:rsid w:val="003966BD"/>
    <w:rsid w:val="0039680E"/>
    <w:rsid w:val="00396E96"/>
    <w:rsid w:val="003970D3"/>
    <w:rsid w:val="00397327"/>
    <w:rsid w:val="0039741C"/>
    <w:rsid w:val="00397A16"/>
    <w:rsid w:val="00397C67"/>
    <w:rsid w:val="00397D9E"/>
    <w:rsid w:val="00397FC8"/>
    <w:rsid w:val="003A0014"/>
    <w:rsid w:val="003A049A"/>
    <w:rsid w:val="003A05EC"/>
    <w:rsid w:val="003A0691"/>
    <w:rsid w:val="003A0C2D"/>
    <w:rsid w:val="003A0EC1"/>
    <w:rsid w:val="003A0FCF"/>
    <w:rsid w:val="003A10E1"/>
    <w:rsid w:val="003A1154"/>
    <w:rsid w:val="003A11C3"/>
    <w:rsid w:val="003A17C0"/>
    <w:rsid w:val="003A1864"/>
    <w:rsid w:val="003A1992"/>
    <w:rsid w:val="003A1A39"/>
    <w:rsid w:val="003A1F53"/>
    <w:rsid w:val="003A2106"/>
    <w:rsid w:val="003A2476"/>
    <w:rsid w:val="003A249C"/>
    <w:rsid w:val="003A24B8"/>
    <w:rsid w:val="003A2708"/>
    <w:rsid w:val="003A2744"/>
    <w:rsid w:val="003A2749"/>
    <w:rsid w:val="003A2C41"/>
    <w:rsid w:val="003A2F98"/>
    <w:rsid w:val="003A3401"/>
    <w:rsid w:val="003A35D5"/>
    <w:rsid w:val="003A3D53"/>
    <w:rsid w:val="003A4140"/>
    <w:rsid w:val="003A41E6"/>
    <w:rsid w:val="003A4319"/>
    <w:rsid w:val="003A439E"/>
    <w:rsid w:val="003A466B"/>
    <w:rsid w:val="003A4A1B"/>
    <w:rsid w:val="003A4E14"/>
    <w:rsid w:val="003A4EFB"/>
    <w:rsid w:val="003A4FA7"/>
    <w:rsid w:val="003A4FB6"/>
    <w:rsid w:val="003A5220"/>
    <w:rsid w:val="003A5514"/>
    <w:rsid w:val="003A5556"/>
    <w:rsid w:val="003A5561"/>
    <w:rsid w:val="003A5689"/>
    <w:rsid w:val="003A57F8"/>
    <w:rsid w:val="003A5868"/>
    <w:rsid w:val="003A644A"/>
    <w:rsid w:val="003A64AB"/>
    <w:rsid w:val="003A6645"/>
    <w:rsid w:val="003A69FB"/>
    <w:rsid w:val="003A6A53"/>
    <w:rsid w:val="003A6AAE"/>
    <w:rsid w:val="003A6BA0"/>
    <w:rsid w:val="003A6C7E"/>
    <w:rsid w:val="003A70C0"/>
    <w:rsid w:val="003A70C2"/>
    <w:rsid w:val="003A72A3"/>
    <w:rsid w:val="003A7609"/>
    <w:rsid w:val="003A7824"/>
    <w:rsid w:val="003A78A3"/>
    <w:rsid w:val="003A78A6"/>
    <w:rsid w:val="003A7A02"/>
    <w:rsid w:val="003A7CE3"/>
    <w:rsid w:val="003A7F97"/>
    <w:rsid w:val="003B00F6"/>
    <w:rsid w:val="003B02D0"/>
    <w:rsid w:val="003B0446"/>
    <w:rsid w:val="003B04C9"/>
    <w:rsid w:val="003B057A"/>
    <w:rsid w:val="003B0638"/>
    <w:rsid w:val="003B066D"/>
    <w:rsid w:val="003B09BC"/>
    <w:rsid w:val="003B0A1C"/>
    <w:rsid w:val="003B0AC1"/>
    <w:rsid w:val="003B0BFF"/>
    <w:rsid w:val="003B10CD"/>
    <w:rsid w:val="003B11FC"/>
    <w:rsid w:val="003B1342"/>
    <w:rsid w:val="003B1370"/>
    <w:rsid w:val="003B1450"/>
    <w:rsid w:val="003B14B4"/>
    <w:rsid w:val="003B15EC"/>
    <w:rsid w:val="003B1766"/>
    <w:rsid w:val="003B184A"/>
    <w:rsid w:val="003B196F"/>
    <w:rsid w:val="003B19DA"/>
    <w:rsid w:val="003B19DF"/>
    <w:rsid w:val="003B1B85"/>
    <w:rsid w:val="003B1C71"/>
    <w:rsid w:val="003B1D24"/>
    <w:rsid w:val="003B20F2"/>
    <w:rsid w:val="003B23AD"/>
    <w:rsid w:val="003B270F"/>
    <w:rsid w:val="003B27D6"/>
    <w:rsid w:val="003B28DD"/>
    <w:rsid w:val="003B29A3"/>
    <w:rsid w:val="003B29E0"/>
    <w:rsid w:val="003B2A75"/>
    <w:rsid w:val="003B2A77"/>
    <w:rsid w:val="003B2B23"/>
    <w:rsid w:val="003B2DA2"/>
    <w:rsid w:val="003B316D"/>
    <w:rsid w:val="003B3346"/>
    <w:rsid w:val="003B3977"/>
    <w:rsid w:val="003B3983"/>
    <w:rsid w:val="003B3A0D"/>
    <w:rsid w:val="003B3B3D"/>
    <w:rsid w:val="003B3C14"/>
    <w:rsid w:val="003B3DE8"/>
    <w:rsid w:val="003B3DEF"/>
    <w:rsid w:val="003B3E1A"/>
    <w:rsid w:val="003B406B"/>
    <w:rsid w:val="003B4408"/>
    <w:rsid w:val="003B45F7"/>
    <w:rsid w:val="003B463E"/>
    <w:rsid w:val="003B474C"/>
    <w:rsid w:val="003B4A92"/>
    <w:rsid w:val="003B4CD9"/>
    <w:rsid w:val="003B4E26"/>
    <w:rsid w:val="003B4FEB"/>
    <w:rsid w:val="003B5278"/>
    <w:rsid w:val="003B52BA"/>
    <w:rsid w:val="003B53E3"/>
    <w:rsid w:val="003B54F2"/>
    <w:rsid w:val="003B55E8"/>
    <w:rsid w:val="003B5687"/>
    <w:rsid w:val="003B58E3"/>
    <w:rsid w:val="003B5967"/>
    <w:rsid w:val="003B5A22"/>
    <w:rsid w:val="003B5B1B"/>
    <w:rsid w:val="003B5BC8"/>
    <w:rsid w:val="003B5C4D"/>
    <w:rsid w:val="003B5C5A"/>
    <w:rsid w:val="003B5DA5"/>
    <w:rsid w:val="003B61B1"/>
    <w:rsid w:val="003B61D8"/>
    <w:rsid w:val="003B61DB"/>
    <w:rsid w:val="003B649E"/>
    <w:rsid w:val="003B6504"/>
    <w:rsid w:val="003B6A7A"/>
    <w:rsid w:val="003B6B15"/>
    <w:rsid w:val="003B6EA6"/>
    <w:rsid w:val="003B708D"/>
    <w:rsid w:val="003B726D"/>
    <w:rsid w:val="003B72A8"/>
    <w:rsid w:val="003B7450"/>
    <w:rsid w:val="003B76D3"/>
    <w:rsid w:val="003B7787"/>
    <w:rsid w:val="003B7798"/>
    <w:rsid w:val="003B7977"/>
    <w:rsid w:val="003B7B3E"/>
    <w:rsid w:val="003B7B4A"/>
    <w:rsid w:val="003B7FAD"/>
    <w:rsid w:val="003B7FE3"/>
    <w:rsid w:val="003C0131"/>
    <w:rsid w:val="003C0223"/>
    <w:rsid w:val="003C03B4"/>
    <w:rsid w:val="003C08DB"/>
    <w:rsid w:val="003C0A96"/>
    <w:rsid w:val="003C0AE4"/>
    <w:rsid w:val="003C119A"/>
    <w:rsid w:val="003C16B4"/>
    <w:rsid w:val="003C1A96"/>
    <w:rsid w:val="003C1AF3"/>
    <w:rsid w:val="003C1CFB"/>
    <w:rsid w:val="003C1D80"/>
    <w:rsid w:val="003C236E"/>
    <w:rsid w:val="003C2428"/>
    <w:rsid w:val="003C24B5"/>
    <w:rsid w:val="003C24F7"/>
    <w:rsid w:val="003C2545"/>
    <w:rsid w:val="003C256A"/>
    <w:rsid w:val="003C26F6"/>
    <w:rsid w:val="003C2734"/>
    <w:rsid w:val="003C2928"/>
    <w:rsid w:val="003C2BA6"/>
    <w:rsid w:val="003C2BD2"/>
    <w:rsid w:val="003C2C92"/>
    <w:rsid w:val="003C2E73"/>
    <w:rsid w:val="003C2F41"/>
    <w:rsid w:val="003C2F92"/>
    <w:rsid w:val="003C302D"/>
    <w:rsid w:val="003C3362"/>
    <w:rsid w:val="003C336C"/>
    <w:rsid w:val="003C3471"/>
    <w:rsid w:val="003C386A"/>
    <w:rsid w:val="003C3937"/>
    <w:rsid w:val="003C39D2"/>
    <w:rsid w:val="003C41C5"/>
    <w:rsid w:val="003C4267"/>
    <w:rsid w:val="003C42D9"/>
    <w:rsid w:val="003C443A"/>
    <w:rsid w:val="003C4542"/>
    <w:rsid w:val="003C4558"/>
    <w:rsid w:val="003C4754"/>
    <w:rsid w:val="003C477D"/>
    <w:rsid w:val="003C4897"/>
    <w:rsid w:val="003C48A3"/>
    <w:rsid w:val="003C4A44"/>
    <w:rsid w:val="003C4BF7"/>
    <w:rsid w:val="003C4EC6"/>
    <w:rsid w:val="003C4FE9"/>
    <w:rsid w:val="003C50CC"/>
    <w:rsid w:val="003C519E"/>
    <w:rsid w:val="003C5474"/>
    <w:rsid w:val="003C5501"/>
    <w:rsid w:val="003C5639"/>
    <w:rsid w:val="003C57AE"/>
    <w:rsid w:val="003C57FD"/>
    <w:rsid w:val="003C5877"/>
    <w:rsid w:val="003C5891"/>
    <w:rsid w:val="003C5BE2"/>
    <w:rsid w:val="003C5CBE"/>
    <w:rsid w:val="003C5DBA"/>
    <w:rsid w:val="003C5EAB"/>
    <w:rsid w:val="003C5F48"/>
    <w:rsid w:val="003C5F6C"/>
    <w:rsid w:val="003C627C"/>
    <w:rsid w:val="003C62F8"/>
    <w:rsid w:val="003C640B"/>
    <w:rsid w:val="003C648E"/>
    <w:rsid w:val="003C6522"/>
    <w:rsid w:val="003C65CD"/>
    <w:rsid w:val="003C66AE"/>
    <w:rsid w:val="003C6876"/>
    <w:rsid w:val="003C69BF"/>
    <w:rsid w:val="003C6A5C"/>
    <w:rsid w:val="003C6B5D"/>
    <w:rsid w:val="003C6D42"/>
    <w:rsid w:val="003C6E3A"/>
    <w:rsid w:val="003C702F"/>
    <w:rsid w:val="003C7540"/>
    <w:rsid w:val="003C75B4"/>
    <w:rsid w:val="003C7730"/>
    <w:rsid w:val="003C77C4"/>
    <w:rsid w:val="003C77D9"/>
    <w:rsid w:val="003C77E2"/>
    <w:rsid w:val="003C7AA3"/>
    <w:rsid w:val="003C7ADD"/>
    <w:rsid w:val="003C7CB5"/>
    <w:rsid w:val="003C7D33"/>
    <w:rsid w:val="003C7DAA"/>
    <w:rsid w:val="003C7F51"/>
    <w:rsid w:val="003C7FE5"/>
    <w:rsid w:val="003D0162"/>
    <w:rsid w:val="003D02A5"/>
    <w:rsid w:val="003D06DE"/>
    <w:rsid w:val="003D073A"/>
    <w:rsid w:val="003D07B4"/>
    <w:rsid w:val="003D0820"/>
    <w:rsid w:val="003D09D2"/>
    <w:rsid w:val="003D0DA7"/>
    <w:rsid w:val="003D0F70"/>
    <w:rsid w:val="003D14F2"/>
    <w:rsid w:val="003D15ED"/>
    <w:rsid w:val="003D168F"/>
    <w:rsid w:val="003D1A3D"/>
    <w:rsid w:val="003D1B1B"/>
    <w:rsid w:val="003D1EE6"/>
    <w:rsid w:val="003D1F6E"/>
    <w:rsid w:val="003D21E0"/>
    <w:rsid w:val="003D28AA"/>
    <w:rsid w:val="003D2C6C"/>
    <w:rsid w:val="003D2C88"/>
    <w:rsid w:val="003D2DF5"/>
    <w:rsid w:val="003D3013"/>
    <w:rsid w:val="003D333B"/>
    <w:rsid w:val="003D336D"/>
    <w:rsid w:val="003D33D7"/>
    <w:rsid w:val="003D3581"/>
    <w:rsid w:val="003D3905"/>
    <w:rsid w:val="003D395A"/>
    <w:rsid w:val="003D399B"/>
    <w:rsid w:val="003D39C4"/>
    <w:rsid w:val="003D39E4"/>
    <w:rsid w:val="003D3A8E"/>
    <w:rsid w:val="003D3BD8"/>
    <w:rsid w:val="003D3E83"/>
    <w:rsid w:val="003D41F4"/>
    <w:rsid w:val="003D42F9"/>
    <w:rsid w:val="003D4362"/>
    <w:rsid w:val="003D463E"/>
    <w:rsid w:val="003D4A0D"/>
    <w:rsid w:val="003D4A0F"/>
    <w:rsid w:val="003D4BBD"/>
    <w:rsid w:val="003D4C3D"/>
    <w:rsid w:val="003D4CF1"/>
    <w:rsid w:val="003D4E3F"/>
    <w:rsid w:val="003D4F24"/>
    <w:rsid w:val="003D5371"/>
    <w:rsid w:val="003D5520"/>
    <w:rsid w:val="003D55C3"/>
    <w:rsid w:val="003D55E7"/>
    <w:rsid w:val="003D55F2"/>
    <w:rsid w:val="003D55F8"/>
    <w:rsid w:val="003D5678"/>
    <w:rsid w:val="003D56C6"/>
    <w:rsid w:val="003D5935"/>
    <w:rsid w:val="003D5CF0"/>
    <w:rsid w:val="003D5F46"/>
    <w:rsid w:val="003D6036"/>
    <w:rsid w:val="003D6043"/>
    <w:rsid w:val="003D61F9"/>
    <w:rsid w:val="003D65B0"/>
    <w:rsid w:val="003D65C6"/>
    <w:rsid w:val="003D69AB"/>
    <w:rsid w:val="003D6CC6"/>
    <w:rsid w:val="003D70C5"/>
    <w:rsid w:val="003D7310"/>
    <w:rsid w:val="003D756A"/>
    <w:rsid w:val="003D76A2"/>
    <w:rsid w:val="003D7B3C"/>
    <w:rsid w:val="003D7BD9"/>
    <w:rsid w:val="003D7BF7"/>
    <w:rsid w:val="003D7DB2"/>
    <w:rsid w:val="003D7E6C"/>
    <w:rsid w:val="003D7FF2"/>
    <w:rsid w:val="003E011F"/>
    <w:rsid w:val="003E05FF"/>
    <w:rsid w:val="003E0860"/>
    <w:rsid w:val="003E0867"/>
    <w:rsid w:val="003E0D2B"/>
    <w:rsid w:val="003E0D2E"/>
    <w:rsid w:val="003E0D90"/>
    <w:rsid w:val="003E0EEE"/>
    <w:rsid w:val="003E0FC9"/>
    <w:rsid w:val="003E10FB"/>
    <w:rsid w:val="003E1A11"/>
    <w:rsid w:val="003E1A8E"/>
    <w:rsid w:val="003E1CF9"/>
    <w:rsid w:val="003E1E7D"/>
    <w:rsid w:val="003E216B"/>
    <w:rsid w:val="003E233C"/>
    <w:rsid w:val="003E2494"/>
    <w:rsid w:val="003E258F"/>
    <w:rsid w:val="003E27BD"/>
    <w:rsid w:val="003E29D3"/>
    <w:rsid w:val="003E29F7"/>
    <w:rsid w:val="003E2ABE"/>
    <w:rsid w:val="003E2AE7"/>
    <w:rsid w:val="003E2D01"/>
    <w:rsid w:val="003E2D8C"/>
    <w:rsid w:val="003E2EA9"/>
    <w:rsid w:val="003E2F0A"/>
    <w:rsid w:val="003E3289"/>
    <w:rsid w:val="003E3755"/>
    <w:rsid w:val="003E393B"/>
    <w:rsid w:val="003E3AA1"/>
    <w:rsid w:val="003E3ED4"/>
    <w:rsid w:val="003E3FDF"/>
    <w:rsid w:val="003E415C"/>
    <w:rsid w:val="003E4237"/>
    <w:rsid w:val="003E45A7"/>
    <w:rsid w:val="003E466A"/>
    <w:rsid w:val="003E48C5"/>
    <w:rsid w:val="003E5182"/>
    <w:rsid w:val="003E52BD"/>
    <w:rsid w:val="003E52C0"/>
    <w:rsid w:val="003E53EE"/>
    <w:rsid w:val="003E554A"/>
    <w:rsid w:val="003E56E4"/>
    <w:rsid w:val="003E5C0D"/>
    <w:rsid w:val="003E680D"/>
    <w:rsid w:val="003E6859"/>
    <w:rsid w:val="003E68F3"/>
    <w:rsid w:val="003E6C69"/>
    <w:rsid w:val="003E70B8"/>
    <w:rsid w:val="003E72D4"/>
    <w:rsid w:val="003E7387"/>
    <w:rsid w:val="003E75B9"/>
    <w:rsid w:val="003E774E"/>
    <w:rsid w:val="003E7977"/>
    <w:rsid w:val="003E7D96"/>
    <w:rsid w:val="003E7E7D"/>
    <w:rsid w:val="003E7E99"/>
    <w:rsid w:val="003E7F21"/>
    <w:rsid w:val="003F0039"/>
    <w:rsid w:val="003F0169"/>
    <w:rsid w:val="003F0210"/>
    <w:rsid w:val="003F03B8"/>
    <w:rsid w:val="003F0683"/>
    <w:rsid w:val="003F0706"/>
    <w:rsid w:val="003F0835"/>
    <w:rsid w:val="003F083A"/>
    <w:rsid w:val="003F0ACA"/>
    <w:rsid w:val="003F0B60"/>
    <w:rsid w:val="003F0F4E"/>
    <w:rsid w:val="003F100C"/>
    <w:rsid w:val="003F10F8"/>
    <w:rsid w:val="003F11E4"/>
    <w:rsid w:val="003F17EA"/>
    <w:rsid w:val="003F181E"/>
    <w:rsid w:val="003F1822"/>
    <w:rsid w:val="003F191F"/>
    <w:rsid w:val="003F1A07"/>
    <w:rsid w:val="003F1A3F"/>
    <w:rsid w:val="003F1D79"/>
    <w:rsid w:val="003F1DB1"/>
    <w:rsid w:val="003F2082"/>
    <w:rsid w:val="003F21C2"/>
    <w:rsid w:val="003F2345"/>
    <w:rsid w:val="003F23A3"/>
    <w:rsid w:val="003F240C"/>
    <w:rsid w:val="003F2858"/>
    <w:rsid w:val="003F285E"/>
    <w:rsid w:val="003F288E"/>
    <w:rsid w:val="003F291C"/>
    <w:rsid w:val="003F2B0A"/>
    <w:rsid w:val="003F2DFF"/>
    <w:rsid w:val="003F2ED4"/>
    <w:rsid w:val="003F308F"/>
    <w:rsid w:val="003F351F"/>
    <w:rsid w:val="003F3636"/>
    <w:rsid w:val="003F36F4"/>
    <w:rsid w:val="003F3982"/>
    <w:rsid w:val="003F3A56"/>
    <w:rsid w:val="003F3CA4"/>
    <w:rsid w:val="003F3CD2"/>
    <w:rsid w:val="003F3D19"/>
    <w:rsid w:val="003F3ED9"/>
    <w:rsid w:val="003F434D"/>
    <w:rsid w:val="003F436F"/>
    <w:rsid w:val="003F4695"/>
    <w:rsid w:val="003F4879"/>
    <w:rsid w:val="003F4911"/>
    <w:rsid w:val="003F4A75"/>
    <w:rsid w:val="003F4AE0"/>
    <w:rsid w:val="003F4C5F"/>
    <w:rsid w:val="003F4F30"/>
    <w:rsid w:val="003F4FE2"/>
    <w:rsid w:val="003F5078"/>
    <w:rsid w:val="003F507D"/>
    <w:rsid w:val="003F54D4"/>
    <w:rsid w:val="003F58DE"/>
    <w:rsid w:val="003F591B"/>
    <w:rsid w:val="003F5945"/>
    <w:rsid w:val="003F59AD"/>
    <w:rsid w:val="003F5C55"/>
    <w:rsid w:val="003F5D7A"/>
    <w:rsid w:val="003F5FB7"/>
    <w:rsid w:val="003F6371"/>
    <w:rsid w:val="003F66F6"/>
    <w:rsid w:val="003F6A44"/>
    <w:rsid w:val="003F6A5C"/>
    <w:rsid w:val="003F6CA1"/>
    <w:rsid w:val="003F70D2"/>
    <w:rsid w:val="003F713D"/>
    <w:rsid w:val="003F72B1"/>
    <w:rsid w:val="003F736C"/>
    <w:rsid w:val="003F76A3"/>
    <w:rsid w:val="003F7713"/>
    <w:rsid w:val="003F79D5"/>
    <w:rsid w:val="003F7CF8"/>
    <w:rsid w:val="003F7E39"/>
    <w:rsid w:val="004000DE"/>
    <w:rsid w:val="004000E1"/>
    <w:rsid w:val="004001AD"/>
    <w:rsid w:val="00400308"/>
    <w:rsid w:val="004003F2"/>
    <w:rsid w:val="0040058B"/>
    <w:rsid w:val="004006CB"/>
    <w:rsid w:val="0040078C"/>
    <w:rsid w:val="004007C2"/>
    <w:rsid w:val="00400C71"/>
    <w:rsid w:val="00400CB5"/>
    <w:rsid w:val="00400DC2"/>
    <w:rsid w:val="004011D9"/>
    <w:rsid w:val="00401467"/>
    <w:rsid w:val="00401545"/>
    <w:rsid w:val="004016CE"/>
    <w:rsid w:val="00401812"/>
    <w:rsid w:val="00401860"/>
    <w:rsid w:val="004018C2"/>
    <w:rsid w:val="004019EB"/>
    <w:rsid w:val="00402080"/>
    <w:rsid w:val="004020D8"/>
    <w:rsid w:val="0040227C"/>
    <w:rsid w:val="00402401"/>
    <w:rsid w:val="00402597"/>
    <w:rsid w:val="00402684"/>
    <w:rsid w:val="0040285F"/>
    <w:rsid w:val="0040287D"/>
    <w:rsid w:val="004029B0"/>
    <w:rsid w:val="00402C7D"/>
    <w:rsid w:val="00402D70"/>
    <w:rsid w:val="00402E28"/>
    <w:rsid w:val="00402E4A"/>
    <w:rsid w:val="00402E80"/>
    <w:rsid w:val="00402ECD"/>
    <w:rsid w:val="00402FD5"/>
    <w:rsid w:val="00403039"/>
    <w:rsid w:val="0040332B"/>
    <w:rsid w:val="00403435"/>
    <w:rsid w:val="00403754"/>
    <w:rsid w:val="004038A1"/>
    <w:rsid w:val="00403948"/>
    <w:rsid w:val="004039BD"/>
    <w:rsid w:val="00403A6E"/>
    <w:rsid w:val="00403B98"/>
    <w:rsid w:val="00403CBB"/>
    <w:rsid w:val="00403D00"/>
    <w:rsid w:val="00403E83"/>
    <w:rsid w:val="00404142"/>
    <w:rsid w:val="004043EF"/>
    <w:rsid w:val="00404578"/>
    <w:rsid w:val="004046F7"/>
    <w:rsid w:val="00404748"/>
    <w:rsid w:val="004047AA"/>
    <w:rsid w:val="0040481D"/>
    <w:rsid w:val="00404948"/>
    <w:rsid w:val="00404B51"/>
    <w:rsid w:val="00404BA4"/>
    <w:rsid w:val="00404BB2"/>
    <w:rsid w:val="00404BD0"/>
    <w:rsid w:val="00404C0A"/>
    <w:rsid w:val="00404CD6"/>
    <w:rsid w:val="00404D46"/>
    <w:rsid w:val="00404E49"/>
    <w:rsid w:val="004050AF"/>
    <w:rsid w:val="004050DA"/>
    <w:rsid w:val="004051BB"/>
    <w:rsid w:val="00405547"/>
    <w:rsid w:val="004058A6"/>
    <w:rsid w:val="00405A40"/>
    <w:rsid w:val="00405B09"/>
    <w:rsid w:val="00405BBE"/>
    <w:rsid w:val="00405BD9"/>
    <w:rsid w:val="00405D85"/>
    <w:rsid w:val="00405E4C"/>
    <w:rsid w:val="00405E54"/>
    <w:rsid w:val="004063C8"/>
    <w:rsid w:val="004064E3"/>
    <w:rsid w:val="00406644"/>
    <w:rsid w:val="0040677A"/>
    <w:rsid w:val="00406BF3"/>
    <w:rsid w:val="00406C1E"/>
    <w:rsid w:val="00406C32"/>
    <w:rsid w:val="00406D3B"/>
    <w:rsid w:val="00406F46"/>
    <w:rsid w:val="00406FED"/>
    <w:rsid w:val="00407361"/>
    <w:rsid w:val="0040738C"/>
    <w:rsid w:val="00407439"/>
    <w:rsid w:val="004074A5"/>
    <w:rsid w:val="004074F5"/>
    <w:rsid w:val="004076BE"/>
    <w:rsid w:val="0040777B"/>
    <w:rsid w:val="0040794D"/>
    <w:rsid w:val="00407954"/>
    <w:rsid w:val="0040798A"/>
    <w:rsid w:val="00407D1E"/>
    <w:rsid w:val="00407FA9"/>
    <w:rsid w:val="00407FAA"/>
    <w:rsid w:val="00410065"/>
    <w:rsid w:val="004102B1"/>
    <w:rsid w:val="004103A1"/>
    <w:rsid w:val="00410433"/>
    <w:rsid w:val="004107EB"/>
    <w:rsid w:val="00410975"/>
    <w:rsid w:val="00410A9C"/>
    <w:rsid w:val="00410C56"/>
    <w:rsid w:val="00410E82"/>
    <w:rsid w:val="00410FD3"/>
    <w:rsid w:val="0041128D"/>
    <w:rsid w:val="00411463"/>
    <w:rsid w:val="004116B0"/>
    <w:rsid w:val="00411AF6"/>
    <w:rsid w:val="00411B74"/>
    <w:rsid w:val="00411BDF"/>
    <w:rsid w:val="00411C66"/>
    <w:rsid w:val="00411DE3"/>
    <w:rsid w:val="00412108"/>
    <w:rsid w:val="00412148"/>
    <w:rsid w:val="00412177"/>
    <w:rsid w:val="00412AA1"/>
    <w:rsid w:val="00412BB2"/>
    <w:rsid w:val="00412C61"/>
    <w:rsid w:val="00412D5E"/>
    <w:rsid w:val="00412EC0"/>
    <w:rsid w:val="00412FE3"/>
    <w:rsid w:val="00413164"/>
    <w:rsid w:val="004131B4"/>
    <w:rsid w:val="0041335F"/>
    <w:rsid w:val="004134E2"/>
    <w:rsid w:val="004134FA"/>
    <w:rsid w:val="0041363A"/>
    <w:rsid w:val="0041372C"/>
    <w:rsid w:val="00413739"/>
    <w:rsid w:val="0041399E"/>
    <w:rsid w:val="00413C36"/>
    <w:rsid w:val="00413DC7"/>
    <w:rsid w:val="00414101"/>
    <w:rsid w:val="0041410D"/>
    <w:rsid w:val="00414216"/>
    <w:rsid w:val="004143C2"/>
    <w:rsid w:val="00414490"/>
    <w:rsid w:val="0041453A"/>
    <w:rsid w:val="004145CD"/>
    <w:rsid w:val="00414636"/>
    <w:rsid w:val="004147CF"/>
    <w:rsid w:val="00414803"/>
    <w:rsid w:val="0041487B"/>
    <w:rsid w:val="00414957"/>
    <w:rsid w:val="00414DA1"/>
    <w:rsid w:val="00414E11"/>
    <w:rsid w:val="00415116"/>
    <w:rsid w:val="004152B4"/>
    <w:rsid w:val="004152CE"/>
    <w:rsid w:val="004154B7"/>
    <w:rsid w:val="004154E2"/>
    <w:rsid w:val="00415660"/>
    <w:rsid w:val="0041574C"/>
    <w:rsid w:val="0041585A"/>
    <w:rsid w:val="004159AB"/>
    <w:rsid w:val="00415BF0"/>
    <w:rsid w:val="00415CD2"/>
    <w:rsid w:val="00415D60"/>
    <w:rsid w:val="00415E4C"/>
    <w:rsid w:val="00415F72"/>
    <w:rsid w:val="00415FFB"/>
    <w:rsid w:val="0041636A"/>
    <w:rsid w:val="004163DA"/>
    <w:rsid w:val="00416502"/>
    <w:rsid w:val="0041651E"/>
    <w:rsid w:val="0041669D"/>
    <w:rsid w:val="0041684B"/>
    <w:rsid w:val="0041695B"/>
    <w:rsid w:val="0041759D"/>
    <w:rsid w:val="004176F0"/>
    <w:rsid w:val="0041784D"/>
    <w:rsid w:val="004179F7"/>
    <w:rsid w:val="00417C93"/>
    <w:rsid w:val="00417FCF"/>
    <w:rsid w:val="00420297"/>
    <w:rsid w:val="004202C7"/>
    <w:rsid w:val="004203DB"/>
    <w:rsid w:val="00420627"/>
    <w:rsid w:val="00420800"/>
    <w:rsid w:val="0042092E"/>
    <w:rsid w:val="00420A87"/>
    <w:rsid w:val="00420B46"/>
    <w:rsid w:val="00420CBC"/>
    <w:rsid w:val="00420E3B"/>
    <w:rsid w:val="00420F9B"/>
    <w:rsid w:val="004210D7"/>
    <w:rsid w:val="004211B0"/>
    <w:rsid w:val="004211BB"/>
    <w:rsid w:val="004214A6"/>
    <w:rsid w:val="004214EC"/>
    <w:rsid w:val="0042164C"/>
    <w:rsid w:val="004216FD"/>
    <w:rsid w:val="00421BAC"/>
    <w:rsid w:val="00421D3D"/>
    <w:rsid w:val="00421DF2"/>
    <w:rsid w:val="00421F67"/>
    <w:rsid w:val="004221BD"/>
    <w:rsid w:val="00422266"/>
    <w:rsid w:val="00422702"/>
    <w:rsid w:val="00422925"/>
    <w:rsid w:val="00422B1F"/>
    <w:rsid w:val="00422BC5"/>
    <w:rsid w:val="00422C0D"/>
    <w:rsid w:val="00422D0B"/>
    <w:rsid w:val="00422ECE"/>
    <w:rsid w:val="00422EDC"/>
    <w:rsid w:val="00423101"/>
    <w:rsid w:val="00423287"/>
    <w:rsid w:val="0042351E"/>
    <w:rsid w:val="0042354F"/>
    <w:rsid w:val="004238B7"/>
    <w:rsid w:val="0042395E"/>
    <w:rsid w:val="00423976"/>
    <w:rsid w:val="004239F6"/>
    <w:rsid w:val="00423AB7"/>
    <w:rsid w:val="00423B53"/>
    <w:rsid w:val="00424096"/>
    <w:rsid w:val="004240C0"/>
    <w:rsid w:val="0042451E"/>
    <w:rsid w:val="004245E3"/>
    <w:rsid w:val="00424679"/>
    <w:rsid w:val="00424854"/>
    <w:rsid w:val="00424857"/>
    <w:rsid w:val="0042488B"/>
    <w:rsid w:val="0042491C"/>
    <w:rsid w:val="00424E49"/>
    <w:rsid w:val="00424FA0"/>
    <w:rsid w:val="00424FDE"/>
    <w:rsid w:val="004252C7"/>
    <w:rsid w:val="00425317"/>
    <w:rsid w:val="00425475"/>
    <w:rsid w:val="00425516"/>
    <w:rsid w:val="0042564C"/>
    <w:rsid w:val="0042571A"/>
    <w:rsid w:val="00425954"/>
    <w:rsid w:val="004259DF"/>
    <w:rsid w:val="00425AC0"/>
    <w:rsid w:val="00425AC6"/>
    <w:rsid w:val="00425B4D"/>
    <w:rsid w:val="00425C05"/>
    <w:rsid w:val="00425D8D"/>
    <w:rsid w:val="00425D9A"/>
    <w:rsid w:val="00425DC0"/>
    <w:rsid w:val="00425DD5"/>
    <w:rsid w:val="00425E39"/>
    <w:rsid w:val="00425E50"/>
    <w:rsid w:val="00425F2B"/>
    <w:rsid w:val="00426049"/>
    <w:rsid w:val="0042663E"/>
    <w:rsid w:val="004267BA"/>
    <w:rsid w:val="00426807"/>
    <w:rsid w:val="004268C1"/>
    <w:rsid w:val="00426BDE"/>
    <w:rsid w:val="00426C05"/>
    <w:rsid w:val="00426CF5"/>
    <w:rsid w:val="004274A4"/>
    <w:rsid w:val="004276C8"/>
    <w:rsid w:val="004278B9"/>
    <w:rsid w:val="00427AED"/>
    <w:rsid w:val="00427DC4"/>
    <w:rsid w:val="00430037"/>
    <w:rsid w:val="004300D7"/>
    <w:rsid w:val="0043041C"/>
    <w:rsid w:val="00430462"/>
    <w:rsid w:val="004305EC"/>
    <w:rsid w:val="0043080C"/>
    <w:rsid w:val="004308F7"/>
    <w:rsid w:val="0043099A"/>
    <w:rsid w:val="00430B85"/>
    <w:rsid w:val="00430FB5"/>
    <w:rsid w:val="00431394"/>
    <w:rsid w:val="00431513"/>
    <w:rsid w:val="00431980"/>
    <w:rsid w:val="00431987"/>
    <w:rsid w:val="00431A6B"/>
    <w:rsid w:val="00431C5A"/>
    <w:rsid w:val="00431DCA"/>
    <w:rsid w:val="00431E24"/>
    <w:rsid w:val="00431F7B"/>
    <w:rsid w:val="00432877"/>
    <w:rsid w:val="00432935"/>
    <w:rsid w:val="004329B7"/>
    <w:rsid w:val="00432A13"/>
    <w:rsid w:val="00432AA2"/>
    <w:rsid w:val="00432B7C"/>
    <w:rsid w:val="00432C37"/>
    <w:rsid w:val="00432DF1"/>
    <w:rsid w:val="00432EDC"/>
    <w:rsid w:val="00433522"/>
    <w:rsid w:val="004335B5"/>
    <w:rsid w:val="0043364A"/>
    <w:rsid w:val="0043365B"/>
    <w:rsid w:val="00433946"/>
    <w:rsid w:val="00433966"/>
    <w:rsid w:val="00433AA7"/>
    <w:rsid w:val="00433B06"/>
    <w:rsid w:val="00433B15"/>
    <w:rsid w:val="00433BC8"/>
    <w:rsid w:val="00433C3E"/>
    <w:rsid w:val="00433D73"/>
    <w:rsid w:val="00434298"/>
    <w:rsid w:val="004342CF"/>
    <w:rsid w:val="00434336"/>
    <w:rsid w:val="004348D1"/>
    <w:rsid w:val="00434C6D"/>
    <w:rsid w:val="00434D7C"/>
    <w:rsid w:val="00434F96"/>
    <w:rsid w:val="00435120"/>
    <w:rsid w:val="004351D0"/>
    <w:rsid w:val="00435205"/>
    <w:rsid w:val="0043569D"/>
    <w:rsid w:val="00435BA4"/>
    <w:rsid w:val="00435D08"/>
    <w:rsid w:val="00435E87"/>
    <w:rsid w:val="0043606F"/>
    <w:rsid w:val="00436191"/>
    <w:rsid w:val="00436365"/>
    <w:rsid w:val="00436476"/>
    <w:rsid w:val="00436723"/>
    <w:rsid w:val="004373D0"/>
    <w:rsid w:val="00437595"/>
    <w:rsid w:val="00437753"/>
    <w:rsid w:val="00437BF6"/>
    <w:rsid w:val="00437C68"/>
    <w:rsid w:val="00437E70"/>
    <w:rsid w:val="00437E95"/>
    <w:rsid w:val="00440086"/>
    <w:rsid w:val="0044009F"/>
    <w:rsid w:val="004401D5"/>
    <w:rsid w:val="0044026D"/>
    <w:rsid w:val="004405C3"/>
    <w:rsid w:val="00440605"/>
    <w:rsid w:val="0044080C"/>
    <w:rsid w:val="0044086B"/>
    <w:rsid w:val="00440C32"/>
    <w:rsid w:val="00440C3F"/>
    <w:rsid w:val="00440C74"/>
    <w:rsid w:val="00440C83"/>
    <w:rsid w:val="00440F23"/>
    <w:rsid w:val="00440F32"/>
    <w:rsid w:val="00440FCA"/>
    <w:rsid w:val="00441141"/>
    <w:rsid w:val="004411D6"/>
    <w:rsid w:val="004411EB"/>
    <w:rsid w:val="00441438"/>
    <w:rsid w:val="0044144A"/>
    <w:rsid w:val="0044145F"/>
    <w:rsid w:val="004416D8"/>
    <w:rsid w:val="004419C4"/>
    <w:rsid w:val="00441B02"/>
    <w:rsid w:val="00441BC5"/>
    <w:rsid w:val="00441D81"/>
    <w:rsid w:val="00441D92"/>
    <w:rsid w:val="00442266"/>
    <w:rsid w:val="00442387"/>
    <w:rsid w:val="0044246C"/>
    <w:rsid w:val="00442484"/>
    <w:rsid w:val="0044274C"/>
    <w:rsid w:val="004427A1"/>
    <w:rsid w:val="004429AD"/>
    <w:rsid w:val="00442F08"/>
    <w:rsid w:val="0044300F"/>
    <w:rsid w:val="00443290"/>
    <w:rsid w:val="0044333A"/>
    <w:rsid w:val="004433FE"/>
    <w:rsid w:val="004438B6"/>
    <w:rsid w:val="00443BAB"/>
    <w:rsid w:val="00443BED"/>
    <w:rsid w:val="00443C43"/>
    <w:rsid w:val="00443EFF"/>
    <w:rsid w:val="00443F34"/>
    <w:rsid w:val="00443F84"/>
    <w:rsid w:val="0044440A"/>
    <w:rsid w:val="00444505"/>
    <w:rsid w:val="00444811"/>
    <w:rsid w:val="00444C61"/>
    <w:rsid w:val="00445146"/>
    <w:rsid w:val="0044520B"/>
    <w:rsid w:val="004453A5"/>
    <w:rsid w:val="004456B5"/>
    <w:rsid w:val="0044592F"/>
    <w:rsid w:val="004459BE"/>
    <w:rsid w:val="00445A94"/>
    <w:rsid w:val="00445B20"/>
    <w:rsid w:val="00445B33"/>
    <w:rsid w:val="00445BA3"/>
    <w:rsid w:val="00445E3D"/>
    <w:rsid w:val="00445FF1"/>
    <w:rsid w:val="00446036"/>
    <w:rsid w:val="004460D3"/>
    <w:rsid w:val="00446204"/>
    <w:rsid w:val="00446243"/>
    <w:rsid w:val="004462AE"/>
    <w:rsid w:val="00446344"/>
    <w:rsid w:val="004463A5"/>
    <w:rsid w:val="00446506"/>
    <w:rsid w:val="0044659E"/>
    <w:rsid w:val="00446AD0"/>
    <w:rsid w:val="00446D22"/>
    <w:rsid w:val="0044720B"/>
    <w:rsid w:val="00447678"/>
    <w:rsid w:val="00447747"/>
    <w:rsid w:val="004477DE"/>
    <w:rsid w:val="0044780B"/>
    <w:rsid w:val="00447A03"/>
    <w:rsid w:val="00447D87"/>
    <w:rsid w:val="00447EDD"/>
    <w:rsid w:val="00447F86"/>
    <w:rsid w:val="00447FD8"/>
    <w:rsid w:val="00450011"/>
    <w:rsid w:val="004500D3"/>
    <w:rsid w:val="00450281"/>
    <w:rsid w:val="00450318"/>
    <w:rsid w:val="004508D7"/>
    <w:rsid w:val="004508EF"/>
    <w:rsid w:val="00450978"/>
    <w:rsid w:val="00450A90"/>
    <w:rsid w:val="00450B33"/>
    <w:rsid w:val="00450C4B"/>
    <w:rsid w:val="00450CB2"/>
    <w:rsid w:val="00450E08"/>
    <w:rsid w:val="004511D5"/>
    <w:rsid w:val="00451284"/>
    <w:rsid w:val="004512E7"/>
    <w:rsid w:val="004515F0"/>
    <w:rsid w:val="00451AB2"/>
    <w:rsid w:val="00451B80"/>
    <w:rsid w:val="00451D5C"/>
    <w:rsid w:val="00451DFA"/>
    <w:rsid w:val="00451F33"/>
    <w:rsid w:val="00452053"/>
    <w:rsid w:val="0045232A"/>
    <w:rsid w:val="004523F6"/>
    <w:rsid w:val="00452444"/>
    <w:rsid w:val="004525AA"/>
    <w:rsid w:val="004525D7"/>
    <w:rsid w:val="004528B4"/>
    <w:rsid w:val="004528B6"/>
    <w:rsid w:val="00452938"/>
    <w:rsid w:val="00452A0F"/>
    <w:rsid w:val="00452A47"/>
    <w:rsid w:val="00452A6A"/>
    <w:rsid w:val="00452AD1"/>
    <w:rsid w:val="00452D12"/>
    <w:rsid w:val="00452D7E"/>
    <w:rsid w:val="00452F56"/>
    <w:rsid w:val="004532F8"/>
    <w:rsid w:val="0045345F"/>
    <w:rsid w:val="00453758"/>
    <w:rsid w:val="00453CCB"/>
    <w:rsid w:val="00453FDF"/>
    <w:rsid w:val="0045418B"/>
    <w:rsid w:val="004544F6"/>
    <w:rsid w:val="004547C2"/>
    <w:rsid w:val="00454A51"/>
    <w:rsid w:val="00454DA2"/>
    <w:rsid w:val="00454DBC"/>
    <w:rsid w:val="0045531C"/>
    <w:rsid w:val="0045538F"/>
    <w:rsid w:val="00455404"/>
    <w:rsid w:val="004558A7"/>
    <w:rsid w:val="00455D72"/>
    <w:rsid w:val="00455E2F"/>
    <w:rsid w:val="0045604A"/>
    <w:rsid w:val="0045607D"/>
    <w:rsid w:val="0045611D"/>
    <w:rsid w:val="004562FE"/>
    <w:rsid w:val="004564E8"/>
    <w:rsid w:val="004565B5"/>
    <w:rsid w:val="00456617"/>
    <w:rsid w:val="00456BBF"/>
    <w:rsid w:val="00456BE0"/>
    <w:rsid w:val="00456C9C"/>
    <w:rsid w:val="00456CB9"/>
    <w:rsid w:val="00457076"/>
    <w:rsid w:val="00457093"/>
    <w:rsid w:val="004576A3"/>
    <w:rsid w:val="0045778D"/>
    <w:rsid w:val="004577A9"/>
    <w:rsid w:val="0045785B"/>
    <w:rsid w:val="0045788B"/>
    <w:rsid w:val="00457946"/>
    <w:rsid w:val="00457D17"/>
    <w:rsid w:val="004601C4"/>
    <w:rsid w:val="0046024F"/>
    <w:rsid w:val="00460587"/>
    <w:rsid w:val="0046099A"/>
    <w:rsid w:val="00460AD5"/>
    <w:rsid w:val="00460BE7"/>
    <w:rsid w:val="00460C36"/>
    <w:rsid w:val="00460F30"/>
    <w:rsid w:val="00461061"/>
    <w:rsid w:val="00461187"/>
    <w:rsid w:val="004614D1"/>
    <w:rsid w:val="004615C1"/>
    <w:rsid w:val="004615C7"/>
    <w:rsid w:val="00461724"/>
    <w:rsid w:val="0046193C"/>
    <w:rsid w:val="00461A0D"/>
    <w:rsid w:val="00461A3D"/>
    <w:rsid w:val="00461A62"/>
    <w:rsid w:val="00461AEC"/>
    <w:rsid w:val="00461C23"/>
    <w:rsid w:val="00461C2E"/>
    <w:rsid w:val="00461E39"/>
    <w:rsid w:val="00461FA6"/>
    <w:rsid w:val="004620E9"/>
    <w:rsid w:val="004622A0"/>
    <w:rsid w:val="0046230E"/>
    <w:rsid w:val="00462565"/>
    <w:rsid w:val="004627EC"/>
    <w:rsid w:val="0046283E"/>
    <w:rsid w:val="00462ADC"/>
    <w:rsid w:val="00462CA2"/>
    <w:rsid w:val="00462DAF"/>
    <w:rsid w:val="00462E84"/>
    <w:rsid w:val="00462EE4"/>
    <w:rsid w:val="00462F80"/>
    <w:rsid w:val="00463093"/>
    <w:rsid w:val="0046333D"/>
    <w:rsid w:val="004633C2"/>
    <w:rsid w:val="00463706"/>
    <w:rsid w:val="0046372F"/>
    <w:rsid w:val="00463785"/>
    <w:rsid w:val="00463826"/>
    <w:rsid w:val="0046387F"/>
    <w:rsid w:val="00463BB5"/>
    <w:rsid w:val="00463BF3"/>
    <w:rsid w:val="00463C7B"/>
    <w:rsid w:val="00463D50"/>
    <w:rsid w:val="004641E3"/>
    <w:rsid w:val="0046444C"/>
    <w:rsid w:val="004645B5"/>
    <w:rsid w:val="004645F5"/>
    <w:rsid w:val="00464A89"/>
    <w:rsid w:val="00464B2B"/>
    <w:rsid w:val="00464B58"/>
    <w:rsid w:val="00464B80"/>
    <w:rsid w:val="00464C3E"/>
    <w:rsid w:val="00464C5C"/>
    <w:rsid w:val="00464CE1"/>
    <w:rsid w:val="00464E5D"/>
    <w:rsid w:val="00464EE7"/>
    <w:rsid w:val="00465132"/>
    <w:rsid w:val="004651A0"/>
    <w:rsid w:val="004654A4"/>
    <w:rsid w:val="0046562F"/>
    <w:rsid w:val="0046569E"/>
    <w:rsid w:val="004659F0"/>
    <w:rsid w:val="00465B16"/>
    <w:rsid w:val="00465CAF"/>
    <w:rsid w:val="00465CBE"/>
    <w:rsid w:val="00465DF6"/>
    <w:rsid w:val="00465F13"/>
    <w:rsid w:val="00465F35"/>
    <w:rsid w:val="0046633A"/>
    <w:rsid w:val="0046637D"/>
    <w:rsid w:val="004663BA"/>
    <w:rsid w:val="004664DC"/>
    <w:rsid w:val="004666BE"/>
    <w:rsid w:val="0046679D"/>
    <w:rsid w:val="00466831"/>
    <w:rsid w:val="00466A0A"/>
    <w:rsid w:val="00466B31"/>
    <w:rsid w:val="00466C67"/>
    <w:rsid w:val="00466C9E"/>
    <w:rsid w:val="00466CD7"/>
    <w:rsid w:val="00466F30"/>
    <w:rsid w:val="004674F9"/>
    <w:rsid w:val="00467729"/>
    <w:rsid w:val="00467822"/>
    <w:rsid w:val="00467C4B"/>
    <w:rsid w:val="00467C58"/>
    <w:rsid w:val="00467CF9"/>
    <w:rsid w:val="00467DF8"/>
    <w:rsid w:val="00470024"/>
    <w:rsid w:val="00470121"/>
    <w:rsid w:val="00470186"/>
    <w:rsid w:val="004701AD"/>
    <w:rsid w:val="00470292"/>
    <w:rsid w:val="004704D6"/>
    <w:rsid w:val="0047057A"/>
    <w:rsid w:val="00470614"/>
    <w:rsid w:val="00470760"/>
    <w:rsid w:val="00470AA1"/>
    <w:rsid w:val="00470EDE"/>
    <w:rsid w:val="004711C7"/>
    <w:rsid w:val="00471541"/>
    <w:rsid w:val="00471588"/>
    <w:rsid w:val="004717FE"/>
    <w:rsid w:val="0047182B"/>
    <w:rsid w:val="00471ACC"/>
    <w:rsid w:val="00471BB0"/>
    <w:rsid w:val="00471D3B"/>
    <w:rsid w:val="004720D9"/>
    <w:rsid w:val="00472157"/>
    <w:rsid w:val="004722C4"/>
    <w:rsid w:val="00472641"/>
    <w:rsid w:val="0047272B"/>
    <w:rsid w:val="004727D5"/>
    <w:rsid w:val="004727E2"/>
    <w:rsid w:val="004729AF"/>
    <w:rsid w:val="00472A1E"/>
    <w:rsid w:val="00472B21"/>
    <w:rsid w:val="00472F37"/>
    <w:rsid w:val="00472F69"/>
    <w:rsid w:val="004730A5"/>
    <w:rsid w:val="004730EB"/>
    <w:rsid w:val="00473119"/>
    <w:rsid w:val="0047321A"/>
    <w:rsid w:val="004732F0"/>
    <w:rsid w:val="0047335C"/>
    <w:rsid w:val="004734A0"/>
    <w:rsid w:val="00473558"/>
    <w:rsid w:val="0047385E"/>
    <w:rsid w:val="00473D19"/>
    <w:rsid w:val="00473D55"/>
    <w:rsid w:val="00474581"/>
    <w:rsid w:val="0047462A"/>
    <w:rsid w:val="0047463B"/>
    <w:rsid w:val="004747E6"/>
    <w:rsid w:val="00474802"/>
    <w:rsid w:val="004748B8"/>
    <w:rsid w:val="00474934"/>
    <w:rsid w:val="0047496C"/>
    <w:rsid w:val="00474BD5"/>
    <w:rsid w:val="00474C5B"/>
    <w:rsid w:val="00474D55"/>
    <w:rsid w:val="00474D56"/>
    <w:rsid w:val="00474F39"/>
    <w:rsid w:val="00474F87"/>
    <w:rsid w:val="00474FA1"/>
    <w:rsid w:val="004750F5"/>
    <w:rsid w:val="00475416"/>
    <w:rsid w:val="004754D2"/>
    <w:rsid w:val="00475756"/>
    <w:rsid w:val="0047577C"/>
    <w:rsid w:val="00475912"/>
    <w:rsid w:val="00475B43"/>
    <w:rsid w:val="00475B9B"/>
    <w:rsid w:val="00475E7F"/>
    <w:rsid w:val="00475E93"/>
    <w:rsid w:val="004761F5"/>
    <w:rsid w:val="00476200"/>
    <w:rsid w:val="00476468"/>
    <w:rsid w:val="004766CA"/>
    <w:rsid w:val="004766DA"/>
    <w:rsid w:val="004766DF"/>
    <w:rsid w:val="00476704"/>
    <w:rsid w:val="00476769"/>
    <w:rsid w:val="00476A0F"/>
    <w:rsid w:val="00476BAD"/>
    <w:rsid w:val="00476BB3"/>
    <w:rsid w:val="00476D2F"/>
    <w:rsid w:val="00476D5E"/>
    <w:rsid w:val="00476DE2"/>
    <w:rsid w:val="00476E7C"/>
    <w:rsid w:val="0047711A"/>
    <w:rsid w:val="004773C1"/>
    <w:rsid w:val="004774C3"/>
    <w:rsid w:val="00477740"/>
    <w:rsid w:val="00477AA5"/>
    <w:rsid w:val="00477EF5"/>
    <w:rsid w:val="00480079"/>
    <w:rsid w:val="0048009F"/>
    <w:rsid w:val="00480197"/>
    <w:rsid w:val="004801D5"/>
    <w:rsid w:val="004801E4"/>
    <w:rsid w:val="00480309"/>
    <w:rsid w:val="00480310"/>
    <w:rsid w:val="00480541"/>
    <w:rsid w:val="00480672"/>
    <w:rsid w:val="00480711"/>
    <w:rsid w:val="004808DC"/>
    <w:rsid w:val="00480B2D"/>
    <w:rsid w:val="00480DD8"/>
    <w:rsid w:val="004811D6"/>
    <w:rsid w:val="00481885"/>
    <w:rsid w:val="00481E73"/>
    <w:rsid w:val="00481E7D"/>
    <w:rsid w:val="004822A9"/>
    <w:rsid w:val="0048232C"/>
    <w:rsid w:val="00482510"/>
    <w:rsid w:val="0048265A"/>
    <w:rsid w:val="00482B69"/>
    <w:rsid w:val="00482C58"/>
    <w:rsid w:val="00482D72"/>
    <w:rsid w:val="00482DE6"/>
    <w:rsid w:val="00483E0D"/>
    <w:rsid w:val="00483EB0"/>
    <w:rsid w:val="00483EB7"/>
    <w:rsid w:val="00483F01"/>
    <w:rsid w:val="00483FA9"/>
    <w:rsid w:val="004840FE"/>
    <w:rsid w:val="004842A1"/>
    <w:rsid w:val="00484632"/>
    <w:rsid w:val="004847F6"/>
    <w:rsid w:val="00484A18"/>
    <w:rsid w:val="00484A5E"/>
    <w:rsid w:val="00484B1A"/>
    <w:rsid w:val="00484B31"/>
    <w:rsid w:val="00484CEB"/>
    <w:rsid w:val="00484D85"/>
    <w:rsid w:val="00484D8F"/>
    <w:rsid w:val="00484E68"/>
    <w:rsid w:val="00484FB3"/>
    <w:rsid w:val="00484FCF"/>
    <w:rsid w:val="00485040"/>
    <w:rsid w:val="004852D1"/>
    <w:rsid w:val="00485323"/>
    <w:rsid w:val="00485473"/>
    <w:rsid w:val="00485834"/>
    <w:rsid w:val="0048585A"/>
    <w:rsid w:val="00485901"/>
    <w:rsid w:val="004859A1"/>
    <w:rsid w:val="00485AC6"/>
    <w:rsid w:val="00485C29"/>
    <w:rsid w:val="00485CEA"/>
    <w:rsid w:val="00485D4D"/>
    <w:rsid w:val="00485DE5"/>
    <w:rsid w:val="00485F69"/>
    <w:rsid w:val="00486073"/>
    <w:rsid w:val="004862A4"/>
    <w:rsid w:val="0048634D"/>
    <w:rsid w:val="004864CE"/>
    <w:rsid w:val="004865A9"/>
    <w:rsid w:val="0048660F"/>
    <w:rsid w:val="004867B4"/>
    <w:rsid w:val="00486998"/>
    <w:rsid w:val="00486A3D"/>
    <w:rsid w:val="00486D6D"/>
    <w:rsid w:val="00486E87"/>
    <w:rsid w:val="00486EDD"/>
    <w:rsid w:val="00486FDF"/>
    <w:rsid w:val="004874D7"/>
    <w:rsid w:val="004874EB"/>
    <w:rsid w:val="00487526"/>
    <w:rsid w:val="004875D5"/>
    <w:rsid w:val="0048770C"/>
    <w:rsid w:val="00487874"/>
    <w:rsid w:val="004878F0"/>
    <w:rsid w:val="00487CD5"/>
    <w:rsid w:val="00487CF7"/>
    <w:rsid w:val="00487EDE"/>
    <w:rsid w:val="00490044"/>
    <w:rsid w:val="004904B8"/>
    <w:rsid w:val="00490686"/>
    <w:rsid w:val="0049075F"/>
    <w:rsid w:val="0049097D"/>
    <w:rsid w:val="00490C29"/>
    <w:rsid w:val="00490C6A"/>
    <w:rsid w:val="00490D06"/>
    <w:rsid w:val="00490D42"/>
    <w:rsid w:val="00490EB9"/>
    <w:rsid w:val="00490FA0"/>
    <w:rsid w:val="00491010"/>
    <w:rsid w:val="004910C5"/>
    <w:rsid w:val="00491264"/>
    <w:rsid w:val="00491290"/>
    <w:rsid w:val="00491605"/>
    <w:rsid w:val="00491644"/>
    <w:rsid w:val="00491939"/>
    <w:rsid w:val="00491A66"/>
    <w:rsid w:val="00491A9A"/>
    <w:rsid w:val="00491E11"/>
    <w:rsid w:val="0049209A"/>
    <w:rsid w:val="004920EF"/>
    <w:rsid w:val="004922A9"/>
    <w:rsid w:val="004925C4"/>
    <w:rsid w:val="004926B7"/>
    <w:rsid w:val="004929F4"/>
    <w:rsid w:val="00492ABB"/>
    <w:rsid w:val="00492AD3"/>
    <w:rsid w:val="00492D16"/>
    <w:rsid w:val="00492FD7"/>
    <w:rsid w:val="00493148"/>
    <w:rsid w:val="0049316C"/>
    <w:rsid w:val="0049321B"/>
    <w:rsid w:val="004933C7"/>
    <w:rsid w:val="00493526"/>
    <w:rsid w:val="00493693"/>
    <w:rsid w:val="004938E1"/>
    <w:rsid w:val="0049391B"/>
    <w:rsid w:val="004939AF"/>
    <w:rsid w:val="00493B3E"/>
    <w:rsid w:val="00493CCB"/>
    <w:rsid w:val="00493EA1"/>
    <w:rsid w:val="00494549"/>
    <w:rsid w:val="004945B1"/>
    <w:rsid w:val="0049474B"/>
    <w:rsid w:val="0049498F"/>
    <w:rsid w:val="00494C5F"/>
    <w:rsid w:val="00494D92"/>
    <w:rsid w:val="00494DC0"/>
    <w:rsid w:val="00494ED2"/>
    <w:rsid w:val="00494F99"/>
    <w:rsid w:val="00495114"/>
    <w:rsid w:val="004951FD"/>
    <w:rsid w:val="004953AF"/>
    <w:rsid w:val="004955AD"/>
    <w:rsid w:val="0049570C"/>
    <w:rsid w:val="00495717"/>
    <w:rsid w:val="0049592E"/>
    <w:rsid w:val="00495A35"/>
    <w:rsid w:val="00495B3D"/>
    <w:rsid w:val="00495B42"/>
    <w:rsid w:val="00495BB3"/>
    <w:rsid w:val="00495C3A"/>
    <w:rsid w:val="00496156"/>
    <w:rsid w:val="00496336"/>
    <w:rsid w:val="00496409"/>
    <w:rsid w:val="00496865"/>
    <w:rsid w:val="004969D6"/>
    <w:rsid w:val="004969E7"/>
    <w:rsid w:val="00496E47"/>
    <w:rsid w:val="00496E9A"/>
    <w:rsid w:val="00496EEF"/>
    <w:rsid w:val="00496FF2"/>
    <w:rsid w:val="00497041"/>
    <w:rsid w:val="0049709C"/>
    <w:rsid w:val="004972B5"/>
    <w:rsid w:val="004975E4"/>
    <w:rsid w:val="00497679"/>
    <w:rsid w:val="00497C61"/>
    <w:rsid w:val="00497C82"/>
    <w:rsid w:val="00497D0F"/>
    <w:rsid w:val="00497D78"/>
    <w:rsid w:val="00497E86"/>
    <w:rsid w:val="00497F0B"/>
    <w:rsid w:val="004A023E"/>
    <w:rsid w:val="004A03AA"/>
    <w:rsid w:val="004A06E4"/>
    <w:rsid w:val="004A0730"/>
    <w:rsid w:val="004A0800"/>
    <w:rsid w:val="004A0C01"/>
    <w:rsid w:val="004A0CF6"/>
    <w:rsid w:val="004A0E33"/>
    <w:rsid w:val="004A0EAA"/>
    <w:rsid w:val="004A11A2"/>
    <w:rsid w:val="004A1222"/>
    <w:rsid w:val="004A1425"/>
    <w:rsid w:val="004A1548"/>
    <w:rsid w:val="004A17C1"/>
    <w:rsid w:val="004A18DD"/>
    <w:rsid w:val="004A19A7"/>
    <w:rsid w:val="004A1AA2"/>
    <w:rsid w:val="004A1B86"/>
    <w:rsid w:val="004A1C7F"/>
    <w:rsid w:val="004A1D40"/>
    <w:rsid w:val="004A207F"/>
    <w:rsid w:val="004A259A"/>
    <w:rsid w:val="004A2635"/>
    <w:rsid w:val="004A27BC"/>
    <w:rsid w:val="004A299C"/>
    <w:rsid w:val="004A29DF"/>
    <w:rsid w:val="004A2ACA"/>
    <w:rsid w:val="004A2B27"/>
    <w:rsid w:val="004A2DF4"/>
    <w:rsid w:val="004A2EBF"/>
    <w:rsid w:val="004A30EF"/>
    <w:rsid w:val="004A3AAC"/>
    <w:rsid w:val="004A3C3D"/>
    <w:rsid w:val="004A3C49"/>
    <w:rsid w:val="004A3D2A"/>
    <w:rsid w:val="004A3F4F"/>
    <w:rsid w:val="004A3F96"/>
    <w:rsid w:val="004A410C"/>
    <w:rsid w:val="004A44E3"/>
    <w:rsid w:val="004A465F"/>
    <w:rsid w:val="004A49BF"/>
    <w:rsid w:val="004A4B50"/>
    <w:rsid w:val="004A4BA5"/>
    <w:rsid w:val="004A4C9B"/>
    <w:rsid w:val="004A4C9E"/>
    <w:rsid w:val="004A4E72"/>
    <w:rsid w:val="004A502E"/>
    <w:rsid w:val="004A524D"/>
    <w:rsid w:val="004A53E9"/>
    <w:rsid w:val="004A55F8"/>
    <w:rsid w:val="004A5794"/>
    <w:rsid w:val="004A5918"/>
    <w:rsid w:val="004A59E2"/>
    <w:rsid w:val="004A5A47"/>
    <w:rsid w:val="004A5AF4"/>
    <w:rsid w:val="004A5E89"/>
    <w:rsid w:val="004A6161"/>
    <w:rsid w:val="004A6235"/>
    <w:rsid w:val="004A6290"/>
    <w:rsid w:val="004A6336"/>
    <w:rsid w:val="004A636E"/>
    <w:rsid w:val="004A64DF"/>
    <w:rsid w:val="004A6585"/>
    <w:rsid w:val="004A6B57"/>
    <w:rsid w:val="004A6C67"/>
    <w:rsid w:val="004A6CDC"/>
    <w:rsid w:val="004A6E19"/>
    <w:rsid w:val="004A6E32"/>
    <w:rsid w:val="004A6F6B"/>
    <w:rsid w:val="004A7218"/>
    <w:rsid w:val="004A72F0"/>
    <w:rsid w:val="004A7685"/>
    <w:rsid w:val="004A77AC"/>
    <w:rsid w:val="004A78C0"/>
    <w:rsid w:val="004A7CBD"/>
    <w:rsid w:val="004A7D1C"/>
    <w:rsid w:val="004A7DF9"/>
    <w:rsid w:val="004A7F3E"/>
    <w:rsid w:val="004A7F67"/>
    <w:rsid w:val="004B016E"/>
    <w:rsid w:val="004B048C"/>
    <w:rsid w:val="004B051A"/>
    <w:rsid w:val="004B0694"/>
    <w:rsid w:val="004B0695"/>
    <w:rsid w:val="004B0EBD"/>
    <w:rsid w:val="004B106C"/>
    <w:rsid w:val="004B112E"/>
    <w:rsid w:val="004B11AF"/>
    <w:rsid w:val="004B1362"/>
    <w:rsid w:val="004B143C"/>
    <w:rsid w:val="004B1451"/>
    <w:rsid w:val="004B16CA"/>
    <w:rsid w:val="004B1B2C"/>
    <w:rsid w:val="004B1EA9"/>
    <w:rsid w:val="004B1EB3"/>
    <w:rsid w:val="004B21AD"/>
    <w:rsid w:val="004B22D0"/>
    <w:rsid w:val="004B24C8"/>
    <w:rsid w:val="004B25DB"/>
    <w:rsid w:val="004B2775"/>
    <w:rsid w:val="004B286F"/>
    <w:rsid w:val="004B2ADC"/>
    <w:rsid w:val="004B2B32"/>
    <w:rsid w:val="004B2BBD"/>
    <w:rsid w:val="004B2D7B"/>
    <w:rsid w:val="004B2ED9"/>
    <w:rsid w:val="004B2EE3"/>
    <w:rsid w:val="004B2F26"/>
    <w:rsid w:val="004B2FC3"/>
    <w:rsid w:val="004B3153"/>
    <w:rsid w:val="004B31E8"/>
    <w:rsid w:val="004B330F"/>
    <w:rsid w:val="004B3615"/>
    <w:rsid w:val="004B38C7"/>
    <w:rsid w:val="004B391D"/>
    <w:rsid w:val="004B3B06"/>
    <w:rsid w:val="004B3BBC"/>
    <w:rsid w:val="004B3FEA"/>
    <w:rsid w:val="004B40AF"/>
    <w:rsid w:val="004B48D8"/>
    <w:rsid w:val="004B4A27"/>
    <w:rsid w:val="004B4C16"/>
    <w:rsid w:val="004B4ED9"/>
    <w:rsid w:val="004B50E8"/>
    <w:rsid w:val="004B512F"/>
    <w:rsid w:val="004B52FD"/>
    <w:rsid w:val="004B536D"/>
    <w:rsid w:val="004B53A1"/>
    <w:rsid w:val="004B542E"/>
    <w:rsid w:val="004B54D6"/>
    <w:rsid w:val="004B5560"/>
    <w:rsid w:val="004B5A25"/>
    <w:rsid w:val="004B5A33"/>
    <w:rsid w:val="004B5AB3"/>
    <w:rsid w:val="004B5EAC"/>
    <w:rsid w:val="004B5F15"/>
    <w:rsid w:val="004B6025"/>
    <w:rsid w:val="004B611B"/>
    <w:rsid w:val="004B6142"/>
    <w:rsid w:val="004B6272"/>
    <w:rsid w:val="004B6540"/>
    <w:rsid w:val="004B67FB"/>
    <w:rsid w:val="004B6841"/>
    <w:rsid w:val="004B6874"/>
    <w:rsid w:val="004B6C1F"/>
    <w:rsid w:val="004B6E68"/>
    <w:rsid w:val="004B730A"/>
    <w:rsid w:val="004B7353"/>
    <w:rsid w:val="004B74E4"/>
    <w:rsid w:val="004B77D4"/>
    <w:rsid w:val="004B7885"/>
    <w:rsid w:val="004B7A88"/>
    <w:rsid w:val="004B7A8B"/>
    <w:rsid w:val="004B7AD8"/>
    <w:rsid w:val="004B7B58"/>
    <w:rsid w:val="004B7BD7"/>
    <w:rsid w:val="004B7BDD"/>
    <w:rsid w:val="004C0340"/>
    <w:rsid w:val="004C0551"/>
    <w:rsid w:val="004C0583"/>
    <w:rsid w:val="004C067C"/>
    <w:rsid w:val="004C070E"/>
    <w:rsid w:val="004C0B88"/>
    <w:rsid w:val="004C1178"/>
    <w:rsid w:val="004C1408"/>
    <w:rsid w:val="004C1455"/>
    <w:rsid w:val="004C16CD"/>
    <w:rsid w:val="004C1782"/>
    <w:rsid w:val="004C1801"/>
    <w:rsid w:val="004C1ED4"/>
    <w:rsid w:val="004C2653"/>
    <w:rsid w:val="004C279A"/>
    <w:rsid w:val="004C2BBE"/>
    <w:rsid w:val="004C2BFA"/>
    <w:rsid w:val="004C2DAA"/>
    <w:rsid w:val="004C2F71"/>
    <w:rsid w:val="004C31B5"/>
    <w:rsid w:val="004C34D4"/>
    <w:rsid w:val="004C389C"/>
    <w:rsid w:val="004C395C"/>
    <w:rsid w:val="004C41F3"/>
    <w:rsid w:val="004C4531"/>
    <w:rsid w:val="004C4657"/>
    <w:rsid w:val="004C4665"/>
    <w:rsid w:val="004C46A4"/>
    <w:rsid w:val="004C4755"/>
    <w:rsid w:val="004C4771"/>
    <w:rsid w:val="004C4828"/>
    <w:rsid w:val="004C49E0"/>
    <w:rsid w:val="004C4EBA"/>
    <w:rsid w:val="004C4ECB"/>
    <w:rsid w:val="004C4F26"/>
    <w:rsid w:val="004C4F94"/>
    <w:rsid w:val="004C4F9F"/>
    <w:rsid w:val="004C4FE4"/>
    <w:rsid w:val="004C5078"/>
    <w:rsid w:val="004C527E"/>
    <w:rsid w:val="004C5372"/>
    <w:rsid w:val="004C53A9"/>
    <w:rsid w:val="004C541F"/>
    <w:rsid w:val="004C5429"/>
    <w:rsid w:val="004C55CC"/>
    <w:rsid w:val="004C587B"/>
    <w:rsid w:val="004C58F7"/>
    <w:rsid w:val="004C5BCF"/>
    <w:rsid w:val="004C5C18"/>
    <w:rsid w:val="004C5DE3"/>
    <w:rsid w:val="004C5F48"/>
    <w:rsid w:val="004C5FF5"/>
    <w:rsid w:val="004C604F"/>
    <w:rsid w:val="004C63FF"/>
    <w:rsid w:val="004C6450"/>
    <w:rsid w:val="004C681A"/>
    <w:rsid w:val="004C6AE0"/>
    <w:rsid w:val="004C6B92"/>
    <w:rsid w:val="004C6DBA"/>
    <w:rsid w:val="004C7139"/>
    <w:rsid w:val="004C73E1"/>
    <w:rsid w:val="004C740D"/>
    <w:rsid w:val="004C7BD4"/>
    <w:rsid w:val="004C7C69"/>
    <w:rsid w:val="004C7D20"/>
    <w:rsid w:val="004C7F0B"/>
    <w:rsid w:val="004C7F70"/>
    <w:rsid w:val="004C7FF1"/>
    <w:rsid w:val="004D0050"/>
    <w:rsid w:val="004D0392"/>
    <w:rsid w:val="004D045F"/>
    <w:rsid w:val="004D0750"/>
    <w:rsid w:val="004D0819"/>
    <w:rsid w:val="004D0AE3"/>
    <w:rsid w:val="004D0F8F"/>
    <w:rsid w:val="004D0FEE"/>
    <w:rsid w:val="004D1289"/>
    <w:rsid w:val="004D1433"/>
    <w:rsid w:val="004D1659"/>
    <w:rsid w:val="004D181B"/>
    <w:rsid w:val="004D1B2A"/>
    <w:rsid w:val="004D1D12"/>
    <w:rsid w:val="004D1DFF"/>
    <w:rsid w:val="004D1E8F"/>
    <w:rsid w:val="004D2180"/>
    <w:rsid w:val="004D232E"/>
    <w:rsid w:val="004D270B"/>
    <w:rsid w:val="004D28C3"/>
    <w:rsid w:val="004D2936"/>
    <w:rsid w:val="004D29A2"/>
    <w:rsid w:val="004D29DD"/>
    <w:rsid w:val="004D29E8"/>
    <w:rsid w:val="004D2AFD"/>
    <w:rsid w:val="004D2BB4"/>
    <w:rsid w:val="004D2DAA"/>
    <w:rsid w:val="004D2F94"/>
    <w:rsid w:val="004D307E"/>
    <w:rsid w:val="004D323A"/>
    <w:rsid w:val="004D355A"/>
    <w:rsid w:val="004D3620"/>
    <w:rsid w:val="004D368E"/>
    <w:rsid w:val="004D3AC6"/>
    <w:rsid w:val="004D3B9E"/>
    <w:rsid w:val="004D3CC7"/>
    <w:rsid w:val="004D3DD8"/>
    <w:rsid w:val="004D4106"/>
    <w:rsid w:val="004D43E2"/>
    <w:rsid w:val="004D4BA3"/>
    <w:rsid w:val="004D4F72"/>
    <w:rsid w:val="004D5015"/>
    <w:rsid w:val="004D51A8"/>
    <w:rsid w:val="004D5228"/>
    <w:rsid w:val="004D5795"/>
    <w:rsid w:val="004D5BBF"/>
    <w:rsid w:val="004D5EE8"/>
    <w:rsid w:val="004D5F92"/>
    <w:rsid w:val="004D5FA1"/>
    <w:rsid w:val="004D6073"/>
    <w:rsid w:val="004D6081"/>
    <w:rsid w:val="004D60AC"/>
    <w:rsid w:val="004D6461"/>
    <w:rsid w:val="004D6528"/>
    <w:rsid w:val="004D65F9"/>
    <w:rsid w:val="004D67DE"/>
    <w:rsid w:val="004D681E"/>
    <w:rsid w:val="004D6A7F"/>
    <w:rsid w:val="004D6B1C"/>
    <w:rsid w:val="004D6C0E"/>
    <w:rsid w:val="004D6CA7"/>
    <w:rsid w:val="004D6DD6"/>
    <w:rsid w:val="004D6E87"/>
    <w:rsid w:val="004D7052"/>
    <w:rsid w:val="004D70AA"/>
    <w:rsid w:val="004D74C3"/>
    <w:rsid w:val="004D74C9"/>
    <w:rsid w:val="004D761D"/>
    <w:rsid w:val="004D76A5"/>
    <w:rsid w:val="004D780B"/>
    <w:rsid w:val="004D7869"/>
    <w:rsid w:val="004D79EF"/>
    <w:rsid w:val="004D7AB2"/>
    <w:rsid w:val="004E0096"/>
    <w:rsid w:val="004E00E4"/>
    <w:rsid w:val="004E086C"/>
    <w:rsid w:val="004E08E0"/>
    <w:rsid w:val="004E0A60"/>
    <w:rsid w:val="004E0E6C"/>
    <w:rsid w:val="004E0F1D"/>
    <w:rsid w:val="004E10BC"/>
    <w:rsid w:val="004E119E"/>
    <w:rsid w:val="004E13A1"/>
    <w:rsid w:val="004E1444"/>
    <w:rsid w:val="004E1468"/>
    <w:rsid w:val="004E15C1"/>
    <w:rsid w:val="004E1A17"/>
    <w:rsid w:val="004E1B6D"/>
    <w:rsid w:val="004E1BBD"/>
    <w:rsid w:val="004E1E2E"/>
    <w:rsid w:val="004E1F56"/>
    <w:rsid w:val="004E2030"/>
    <w:rsid w:val="004E2328"/>
    <w:rsid w:val="004E284D"/>
    <w:rsid w:val="004E2A12"/>
    <w:rsid w:val="004E2A2B"/>
    <w:rsid w:val="004E2A8B"/>
    <w:rsid w:val="004E2CD6"/>
    <w:rsid w:val="004E2E1D"/>
    <w:rsid w:val="004E2ED1"/>
    <w:rsid w:val="004E3180"/>
    <w:rsid w:val="004E3228"/>
    <w:rsid w:val="004E34B0"/>
    <w:rsid w:val="004E3646"/>
    <w:rsid w:val="004E37EC"/>
    <w:rsid w:val="004E3AAD"/>
    <w:rsid w:val="004E3C89"/>
    <w:rsid w:val="004E3D8E"/>
    <w:rsid w:val="004E3EF1"/>
    <w:rsid w:val="004E3FB9"/>
    <w:rsid w:val="004E4402"/>
    <w:rsid w:val="004E4453"/>
    <w:rsid w:val="004E44EA"/>
    <w:rsid w:val="004E4587"/>
    <w:rsid w:val="004E47B3"/>
    <w:rsid w:val="004E4B96"/>
    <w:rsid w:val="004E4B9E"/>
    <w:rsid w:val="004E4E56"/>
    <w:rsid w:val="004E5023"/>
    <w:rsid w:val="004E5542"/>
    <w:rsid w:val="004E59DA"/>
    <w:rsid w:val="004E5AD5"/>
    <w:rsid w:val="004E5FF7"/>
    <w:rsid w:val="004E62CD"/>
    <w:rsid w:val="004E6382"/>
    <w:rsid w:val="004E6511"/>
    <w:rsid w:val="004E67FE"/>
    <w:rsid w:val="004E6926"/>
    <w:rsid w:val="004E694D"/>
    <w:rsid w:val="004E6AEE"/>
    <w:rsid w:val="004E6C4F"/>
    <w:rsid w:val="004E6E4C"/>
    <w:rsid w:val="004E708C"/>
    <w:rsid w:val="004E7225"/>
    <w:rsid w:val="004E731C"/>
    <w:rsid w:val="004E75C8"/>
    <w:rsid w:val="004E7650"/>
    <w:rsid w:val="004E772E"/>
    <w:rsid w:val="004E7743"/>
    <w:rsid w:val="004E7793"/>
    <w:rsid w:val="004E77C5"/>
    <w:rsid w:val="004E77FE"/>
    <w:rsid w:val="004E7984"/>
    <w:rsid w:val="004E7B4A"/>
    <w:rsid w:val="004E7BE6"/>
    <w:rsid w:val="004E7E9B"/>
    <w:rsid w:val="004E7F36"/>
    <w:rsid w:val="004F027C"/>
    <w:rsid w:val="004F049C"/>
    <w:rsid w:val="004F068A"/>
    <w:rsid w:val="004F081E"/>
    <w:rsid w:val="004F0906"/>
    <w:rsid w:val="004F0B8C"/>
    <w:rsid w:val="004F0EBC"/>
    <w:rsid w:val="004F128B"/>
    <w:rsid w:val="004F14CF"/>
    <w:rsid w:val="004F151B"/>
    <w:rsid w:val="004F15FD"/>
    <w:rsid w:val="004F16E3"/>
    <w:rsid w:val="004F1937"/>
    <w:rsid w:val="004F1995"/>
    <w:rsid w:val="004F1A19"/>
    <w:rsid w:val="004F1A6B"/>
    <w:rsid w:val="004F1C95"/>
    <w:rsid w:val="004F1DF9"/>
    <w:rsid w:val="004F1E27"/>
    <w:rsid w:val="004F1E7D"/>
    <w:rsid w:val="004F1F60"/>
    <w:rsid w:val="004F1FFE"/>
    <w:rsid w:val="004F221F"/>
    <w:rsid w:val="004F2239"/>
    <w:rsid w:val="004F260A"/>
    <w:rsid w:val="004F279F"/>
    <w:rsid w:val="004F281B"/>
    <w:rsid w:val="004F2EA5"/>
    <w:rsid w:val="004F2FCC"/>
    <w:rsid w:val="004F35CA"/>
    <w:rsid w:val="004F38B1"/>
    <w:rsid w:val="004F3985"/>
    <w:rsid w:val="004F3BAE"/>
    <w:rsid w:val="004F3CB4"/>
    <w:rsid w:val="004F42D7"/>
    <w:rsid w:val="004F4489"/>
    <w:rsid w:val="004F4499"/>
    <w:rsid w:val="004F4573"/>
    <w:rsid w:val="004F48FE"/>
    <w:rsid w:val="004F49D5"/>
    <w:rsid w:val="004F4A74"/>
    <w:rsid w:val="004F4AC9"/>
    <w:rsid w:val="004F4E39"/>
    <w:rsid w:val="004F4EDA"/>
    <w:rsid w:val="004F50D8"/>
    <w:rsid w:val="004F519F"/>
    <w:rsid w:val="004F549E"/>
    <w:rsid w:val="004F54C2"/>
    <w:rsid w:val="004F587E"/>
    <w:rsid w:val="004F594A"/>
    <w:rsid w:val="004F5982"/>
    <w:rsid w:val="004F5BAB"/>
    <w:rsid w:val="004F5D98"/>
    <w:rsid w:val="004F5F03"/>
    <w:rsid w:val="004F6083"/>
    <w:rsid w:val="004F6092"/>
    <w:rsid w:val="004F60B8"/>
    <w:rsid w:val="004F610D"/>
    <w:rsid w:val="004F648C"/>
    <w:rsid w:val="004F6538"/>
    <w:rsid w:val="004F6579"/>
    <w:rsid w:val="004F66C4"/>
    <w:rsid w:val="004F674A"/>
    <w:rsid w:val="004F6850"/>
    <w:rsid w:val="004F6A3A"/>
    <w:rsid w:val="004F6B6B"/>
    <w:rsid w:val="004F6D7C"/>
    <w:rsid w:val="004F6FE9"/>
    <w:rsid w:val="004F70F6"/>
    <w:rsid w:val="004F7424"/>
    <w:rsid w:val="004F74FE"/>
    <w:rsid w:val="004F7783"/>
    <w:rsid w:val="004F7DCE"/>
    <w:rsid w:val="0050018F"/>
    <w:rsid w:val="0050026F"/>
    <w:rsid w:val="00500288"/>
    <w:rsid w:val="005005E8"/>
    <w:rsid w:val="005007A8"/>
    <w:rsid w:val="00500D24"/>
    <w:rsid w:val="00500FA1"/>
    <w:rsid w:val="00500FA3"/>
    <w:rsid w:val="005010D6"/>
    <w:rsid w:val="005011D1"/>
    <w:rsid w:val="00501230"/>
    <w:rsid w:val="005012D1"/>
    <w:rsid w:val="0050157E"/>
    <w:rsid w:val="005015FB"/>
    <w:rsid w:val="00501688"/>
    <w:rsid w:val="00501732"/>
    <w:rsid w:val="005018B3"/>
    <w:rsid w:val="00501AEA"/>
    <w:rsid w:val="00501BFB"/>
    <w:rsid w:val="00501C7E"/>
    <w:rsid w:val="00501CE7"/>
    <w:rsid w:val="00501CEC"/>
    <w:rsid w:val="00501F3C"/>
    <w:rsid w:val="00502029"/>
    <w:rsid w:val="005020A5"/>
    <w:rsid w:val="00502201"/>
    <w:rsid w:val="0050221B"/>
    <w:rsid w:val="005022FE"/>
    <w:rsid w:val="00502316"/>
    <w:rsid w:val="0050235E"/>
    <w:rsid w:val="0050255B"/>
    <w:rsid w:val="005026CE"/>
    <w:rsid w:val="00502935"/>
    <w:rsid w:val="005029B6"/>
    <w:rsid w:val="00502AD1"/>
    <w:rsid w:val="00502D62"/>
    <w:rsid w:val="00502E4D"/>
    <w:rsid w:val="00502EE0"/>
    <w:rsid w:val="00503015"/>
    <w:rsid w:val="005030C0"/>
    <w:rsid w:val="005030FE"/>
    <w:rsid w:val="00503298"/>
    <w:rsid w:val="005032BB"/>
    <w:rsid w:val="00503363"/>
    <w:rsid w:val="00503521"/>
    <w:rsid w:val="00503544"/>
    <w:rsid w:val="005035B5"/>
    <w:rsid w:val="005035B7"/>
    <w:rsid w:val="005037DA"/>
    <w:rsid w:val="00503816"/>
    <w:rsid w:val="00503A3B"/>
    <w:rsid w:val="00503A74"/>
    <w:rsid w:val="00503B6D"/>
    <w:rsid w:val="00503BC4"/>
    <w:rsid w:val="00503D1B"/>
    <w:rsid w:val="00503D90"/>
    <w:rsid w:val="00503FB9"/>
    <w:rsid w:val="00504702"/>
    <w:rsid w:val="00504722"/>
    <w:rsid w:val="00504A17"/>
    <w:rsid w:val="00504D10"/>
    <w:rsid w:val="00504D85"/>
    <w:rsid w:val="005050F4"/>
    <w:rsid w:val="00505229"/>
    <w:rsid w:val="0050533E"/>
    <w:rsid w:val="00505696"/>
    <w:rsid w:val="005056DB"/>
    <w:rsid w:val="005056E8"/>
    <w:rsid w:val="005058FB"/>
    <w:rsid w:val="00505C2E"/>
    <w:rsid w:val="00505D88"/>
    <w:rsid w:val="00506205"/>
    <w:rsid w:val="00506230"/>
    <w:rsid w:val="0050647B"/>
    <w:rsid w:val="005066FA"/>
    <w:rsid w:val="00506897"/>
    <w:rsid w:val="005068C7"/>
    <w:rsid w:val="005068F5"/>
    <w:rsid w:val="00506B9D"/>
    <w:rsid w:val="00506BEB"/>
    <w:rsid w:val="00506D55"/>
    <w:rsid w:val="00506D73"/>
    <w:rsid w:val="00506F97"/>
    <w:rsid w:val="0050718E"/>
    <w:rsid w:val="005074EB"/>
    <w:rsid w:val="0050759F"/>
    <w:rsid w:val="0050797B"/>
    <w:rsid w:val="00507A10"/>
    <w:rsid w:val="00507A6B"/>
    <w:rsid w:val="00507E9A"/>
    <w:rsid w:val="00507F2E"/>
    <w:rsid w:val="0051025A"/>
    <w:rsid w:val="0051069E"/>
    <w:rsid w:val="0051077D"/>
    <w:rsid w:val="005108CE"/>
    <w:rsid w:val="00510E86"/>
    <w:rsid w:val="00510F8E"/>
    <w:rsid w:val="00511537"/>
    <w:rsid w:val="0051176C"/>
    <w:rsid w:val="00511806"/>
    <w:rsid w:val="00511860"/>
    <w:rsid w:val="00511913"/>
    <w:rsid w:val="00511B81"/>
    <w:rsid w:val="00511B84"/>
    <w:rsid w:val="00512278"/>
    <w:rsid w:val="0051260A"/>
    <w:rsid w:val="0051277A"/>
    <w:rsid w:val="005128D2"/>
    <w:rsid w:val="00512B27"/>
    <w:rsid w:val="00512D5D"/>
    <w:rsid w:val="00512DBA"/>
    <w:rsid w:val="00512E8D"/>
    <w:rsid w:val="0051307B"/>
    <w:rsid w:val="00513229"/>
    <w:rsid w:val="00513248"/>
    <w:rsid w:val="00513508"/>
    <w:rsid w:val="00513649"/>
    <w:rsid w:val="00513665"/>
    <w:rsid w:val="0051368F"/>
    <w:rsid w:val="005137AD"/>
    <w:rsid w:val="00513951"/>
    <w:rsid w:val="005139AC"/>
    <w:rsid w:val="00513BF2"/>
    <w:rsid w:val="00513EEF"/>
    <w:rsid w:val="005140BD"/>
    <w:rsid w:val="0051413E"/>
    <w:rsid w:val="005141A2"/>
    <w:rsid w:val="005143FA"/>
    <w:rsid w:val="0051444A"/>
    <w:rsid w:val="005144A6"/>
    <w:rsid w:val="005145D7"/>
    <w:rsid w:val="00514916"/>
    <w:rsid w:val="005149AF"/>
    <w:rsid w:val="005149D1"/>
    <w:rsid w:val="00514ACC"/>
    <w:rsid w:val="00514C6D"/>
    <w:rsid w:val="00514E11"/>
    <w:rsid w:val="00515053"/>
    <w:rsid w:val="00515203"/>
    <w:rsid w:val="005152BE"/>
    <w:rsid w:val="00515373"/>
    <w:rsid w:val="005153BA"/>
    <w:rsid w:val="0051547C"/>
    <w:rsid w:val="005154D1"/>
    <w:rsid w:val="005155F5"/>
    <w:rsid w:val="0051562D"/>
    <w:rsid w:val="005156B6"/>
    <w:rsid w:val="005156E3"/>
    <w:rsid w:val="005159E0"/>
    <w:rsid w:val="00515C8B"/>
    <w:rsid w:val="00515F00"/>
    <w:rsid w:val="00515FBE"/>
    <w:rsid w:val="00516177"/>
    <w:rsid w:val="005162E1"/>
    <w:rsid w:val="00516700"/>
    <w:rsid w:val="0051699E"/>
    <w:rsid w:val="00516B60"/>
    <w:rsid w:val="00516C27"/>
    <w:rsid w:val="00516DA9"/>
    <w:rsid w:val="00516F20"/>
    <w:rsid w:val="00517018"/>
    <w:rsid w:val="00517243"/>
    <w:rsid w:val="005173C0"/>
    <w:rsid w:val="005174A5"/>
    <w:rsid w:val="00517589"/>
    <w:rsid w:val="005175A3"/>
    <w:rsid w:val="005175CB"/>
    <w:rsid w:val="005175E9"/>
    <w:rsid w:val="005177F6"/>
    <w:rsid w:val="005179DD"/>
    <w:rsid w:val="00517B3E"/>
    <w:rsid w:val="00517BAF"/>
    <w:rsid w:val="00517C7D"/>
    <w:rsid w:val="00517D1E"/>
    <w:rsid w:val="00517D2F"/>
    <w:rsid w:val="00517FA8"/>
    <w:rsid w:val="00520040"/>
    <w:rsid w:val="00520044"/>
    <w:rsid w:val="005200E9"/>
    <w:rsid w:val="005201EA"/>
    <w:rsid w:val="005203F2"/>
    <w:rsid w:val="005205CB"/>
    <w:rsid w:val="0052075A"/>
    <w:rsid w:val="005207FD"/>
    <w:rsid w:val="00520902"/>
    <w:rsid w:val="00520AC6"/>
    <w:rsid w:val="00520D17"/>
    <w:rsid w:val="00520DB8"/>
    <w:rsid w:val="00520F0C"/>
    <w:rsid w:val="00520F21"/>
    <w:rsid w:val="00521043"/>
    <w:rsid w:val="00521251"/>
    <w:rsid w:val="00521258"/>
    <w:rsid w:val="00521390"/>
    <w:rsid w:val="005213A2"/>
    <w:rsid w:val="00521493"/>
    <w:rsid w:val="0052166D"/>
    <w:rsid w:val="00521857"/>
    <w:rsid w:val="0052185E"/>
    <w:rsid w:val="0052196B"/>
    <w:rsid w:val="00521B76"/>
    <w:rsid w:val="00521C7F"/>
    <w:rsid w:val="00521D27"/>
    <w:rsid w:val="00521EC7"/>
    <w:rsid w:val="00522127"/>
    <w:rsid w:val="00522213"/>
    <w:rsid w:val="005224D1"/>
    <w:rsid w:val="005226FE"/>
    <w:rsid w:val="0052279E"/>
    <w:rsid w:val="005227E5"/>
    <w:rsid w:val="00522DE7"/>
    <w:rsid w:val="00522F46"/>
    <w:rsid w:val="0052324E"/>
    <w:rsid w:val="005232EA"/>
    <w:rsid w:val="0052338E"/>
    <w:rsid w:val="005233BD"/>
    <w:rsid w:val="005234A3"/>
    <w:rsid w:val="0052383D"/>
    <w:rsid w:val="00523885"/>
    <w:rsid w:val="00523913"/>
    <w:rsid w:val="00523AB2"/>
    <w:rsid w:val="00523DDA"/>
    <w:rsid w:val="00523F53"/>
    <w:rsid w:val="00523FEA"/>
    <w:rsid w:val="0052409A"/>
    <w:rsid w:val="00524165"/>
    <w:rsid w:val="0052424A"/>
    <w:rsid w:val="005245E8"/>
    <w:rsid w:val="005248A2"/>
    <w:rsid w:val="0052499E"/>
    <w:rsid w:val="00524B3B"/>
    <w:rsid w:val="00524B9E"/>
    <w:rsid w:val="00524CFB"/>
    <w:rsid w:val="00524E48"/>
    <w:rsid w:val="00524EA5"/>
    <w:rsid w:val="005250CD"/>
    <w:rsid w:val="005250E3"/>
    <w:rsid w:val="00525774"/>
    <w:rsid w:val="0052595E"/>
    <w:rsid w:val="00525C4E"/>
    <w:rsid w:val="00525C69"/>
    <w:rsid w:val="00525CDB"/>
    <w:rsid w:val="00525E60"/>
    <w:rsid w:val="005260B2"/>
    <w:rsid w:val="005260BB"/>
    <w:rsid w:val="005261F0"/>
    <w:rsid w:val="005261FF"/>
    <w:rsid w:val="0052625B"/>
    <w:rsid w:val="005262FB"/>
    <w:rsid w:val="00526301"/>
    <w:rsid w:val="00526696"/>
    <w:rsid w:val="005266B2"/>
    <w:rsid w:val="005266F9"/>
    <w:rsid w:val="00526848"/>
    <w:rsid w:val="00526D95"/>
    <w:rsid w:val="00527291"/>
    <w:rsid w:val="0052731A"/>
    <w:rsid w:val="0052735B"/>
    <w:rsid w:val="00527793"/>
    <w:rsid w:val="005278E6"/>
    <w:rsid w:val="00527A5B"/>
    <w:rsid w:val="00527AB4"/>
    <w:rsid w:val="00527CB3"/>
    <w:rsid w:val="00527CF3"/>
    <w:rsid w:val="00527D29"/>
    <w:rsid w:val="00527D35"/>
    <w:rsid w:val="00527D4B"/>
    <w:rsid w:val="00527FB7"/>
    <w:rsid w:val="00530225"/>
    <w:rsid w:val="005305D4"/>
    <w:rsid w:val="0053065D"/>
    <w:rsid w:val="005308D9"/>
    <w:rsid w:val="0053098C"/>
    <w:rsid w:val="00530A3C"/>
    <w:rsid w:val="00530B5F"/>
    <w:rsid w:val="00530DBA"/>
    <w:rsid w:val="00530DE8"/>
    <w:rsid w:val="00530F3C"/>
    <w:rsid w:val="00530F9C"/>
    <w:rsid w:val="005311DC"/>
    <w:rsid w:val="005312CA"/>
    <w:rsid w:val="005317EE"/>
    <w:rsid w:val="00531925"/>
    <w:rsid w:val="00531958"/>
    <w:rsid w:val="00531B1F"/>
    <w:rsid w:val="00531C0D"/>
    <w:rsid w:val="00531EBF"/>
    <w:rsid w:val="0053205B"/>
    <w:rsid w:val="0053208B"/>
    <w:rsid w:val="0053228B"/>
    <w:rsid w:val="005323C2"/>
    <w:rsid w:val="0053255E"/>
    <w:rsid w:val="005326E2"/>
    <w:rsid w:val="00532720"/>
    <w:rsid w:val="0053274B"/>
    <w:rsid w:val="005327AE"/>
    <w:rsid w:val="005327FA"/>
    <w:rsid w:val="0053283D"/>
    <w:rsid w:val="005329FE"/>
    <w:rsid w:val="00532BA0"/>
    <w:rsid w:val="00532F46"/>
    <w:rsid w:val="00532FB4"/>
    <w:rsid w:val="00533318"/>
    <w:rsid w:val="00533415"/>
    <w:rsid w:val="00533931"/>
    <w:rsid w:val="00533AE2"/>
    <w:rsid w:val="00533B87"/>
    <w:rsid w:val="00533F5E"/>
    <w:rsid w:val="00534046"/>
    <w:rsid w:val="0053453D"/>
    <w:rsid w:val="005347B3"/>
    <w:rsid w:val="00534B9F"/>
    <w:rsid w:val="00534CAD"/>
    <w:rsid w:val="00534D2F"/>
    <w:rsid w:val="00534EF2"/>
    <w:rsid w:val="00534F78"/>
    <w:rsid w:val="005350F5"/>
    <w:rsid w:val="00535381"/>
    <w:rsid w:val="005357D0"/>
    <w:rsid w:val="00535B24"/>
    <w:rsid w:val="00535B76"/>
    <w:rsid w:val="00535B8D"/>
    <w:rsid w:val="00535C39"/>
    <w:rsid w:val="00535E97"/>
    <w:rsid w:val="00535F35"/>
    <w:rsid w:val="00535F6C"/>
    <w:rsid w:val="0053605C"/>
    <w:rsid w:val="00536269"/>
    <w:rsid w:val="00536342"/>
    <w:rsid w:val="005364E4"/>
    <w:rsid w:val="005366F3"/>
    <w:rsid w:val="005367C6"/>
    <w:rsid w:val="00536987"/>
    <w:rsid w:val="00536BFC"/>
    <w:rsid w:val="00536CAF"/>
    <w:rsid w:val="00536F9D"/>
    <w:rsid w:val="0053704F"/>
    <w:rsid w:val="00537110"/>
    <w:rsid w:val="00537130"/>
    <w:rsid w:val="0053723F"/>
    <w:rsid w:val="0053748F"/>
    <w:rsid w:val="00537518"/>
    <w:rsid w:val="0053783A"/>
    <w:rsid w:val="00537887"/>
    <w:rsid w:val="00537A3E"/>
    <w:rsid w:val="00537BDF"/>
    <w:rsid w:val="00537F52"/>
    <w:rsid w:val="0054004C"/>
    <w:rsid w:val="00540068"/>
    <w:rsid w:val="0054025D"/>
    <w:rsid w:val="00540264"/>
    <w:rsid w:val="00540570"/>
    <w:rsid w:val="005405E0"/>
    <w:rsid w:val="005408E4"/>
    <w:rsid w:val="005412C1"/>
    <w:rsid w:val="0054132C"/>
    <w:rsid w:val="0054172A"/>
    <w:rsid w:val="00541820"/>
    <w:rsid w:val="00541A36"/>
    <w:rsid w:val="00541AF1"/>
    <w:rsid w:val="00541C80"/>
    <w:rsid w:val="00541D36"/>
    <w:rsid w:val="00541E87"/>
    <w:rsid w:val="00542054"/>
    <w:rsid w:val="00542275"/>
    <w:rsid w:val="00542322"/>
    <w:rsid w:val="0054234B"/>
    <w:rsid w:val="00542521"/>
    <w:rsid w:val="00542946"/>
    <w:rsid w:val="00542A81"/>
    <w:rsid w:val="00542AE7"/>
    <w:rsid w:val="00542BD9"/>
    <w:rsid w:val="00542CB5"/>
    <w:rsid w:val="00542CC1"/>
    <w:rsid w:val="00542F11"/>
    <w:rsid w:val="005430AF"/>
    <w:rsid w:val="005431EB"/>
    <w:rsid w:val="00543300"/>
    <w:rsid w:val="005434B1"/>
    <w:rsid w:val="00543AAD"/>
    <w:rsid w:val="00543B33"/>
    <w:rsid w:val="00543C66"/>
    <w:rsid w:val="00543C91"/>
    <w:rsid w:val="00543E2F"/>
    <w:rsid w:val="00543EC3"/>
    <w:rsid w:val="00543F20"/>
    <w:rsid w:val="0054417F"/>
    <w:rsid w:val="00544758"/>
    <w:rsid w:val="00544926"/>
    <w:rsid w:val="00544AA5"/>
    <w:rsid w:val="00544B84"/>
    <w:rsid w:val="00544D70"/>
    <w:rsid w:val="00544DBF"/>
    <w:rsid w:val="00544E49"/>
    <w:rsid w:val="00545035"/>
    <w:rsid w:val="0054514B"/>
    <w:rsid w:val="00545453"/>
    <w:rsid w:val="00545553"/>
    <w:rsid w:val="005455CB"/>
    <w:rsid w:val="00545794"/>
    <w:rsid w:val="00545B04"/>
    <w:rsid w:val="00545B60"/>
    <w:rsid w:val="00545CB3"/>
    <w:rsid w:val="00545EE8"/>
    <w:rsid w:val="0054604D"/>
    <w:rsid w:val="005464DD"/>
    <w:rsid w:val="0054663B"/>
    <w:rsid w:val="00546681"/>
    <w:rsid w:val="005467AF"/>
    <w:rsid w:val="00546822"/>
    <w:rsid w:val="0054699B"/>
    <w:rsid w:val="00546B9D"/>
    <w:rsid w:val="00546BAB"/>
    <w:rsid w:val="00546FEC"/>
    <w:rsid w:val="005471BF"/>
    <w:rsid w:val="00547327"/>
    <w:rsid w:val="0054756C"/>
    <w:rsid w:val="0054760E"/>
    <w:rsid w:val="0054763D"/>
    <w:rsid w:val="00547769"/>
    <w:rsid w:val="00547835"/>
    <w:rsid w:val="00547849"/>
    <w:rsid w:val="00547AEF"/>
    <w:rsid w:val="00547B3B"/>
    <w:rsid w:val="00547C44"/>
    <w:rsid w:val="00547C77"/>
    <w:rsid w:val="00547D66"/>
    <w:rsid w:val="00547ED8"/>
    <w:rsid w:val="005502B4"/>
    <w:rsid w:val="0055043B"/>
    <w:rsid w:val="005504B1"/>
    <w:rsid w:val="0055084C"/>
    <w:rsid w:val="0055099C"/>
    <w:rsid w:val="00550D45"/>
    <w:rsid w:val="00550EE7"/>
    <w:rsid w:val="00551369"/>
    <w:rsid w:val="005513CD"/>
    <w:rsid w:val="0055142A"/>
    <w:rsid w:val="0055157F"/>
    <w:rsid w:val="0055172C"/>
    <w:rsid w:val="00551749"/>
    <w:rsid w:val="00551904"/>
    <w:rsid w:val="00551920"/>
    <w:rsid w:val="00551C87"/>
    <w:rsid w:val="005525D9"/>
    <w:rsid w:val="0055262C"/>
    <w:rsid w:val="00552AD9"/>
    <w:rsid w:val="00552D5C"/>
    <w:rsid w:val="00552E9B"/>
    <w:rsid w:val="00552F0F"/>
    <w:rsid w:val="0055318C"/>
    <w:rsid w:val="00553194"/>
    <w:rsid w:val="005532DD"/>
    <w:rsid w:val="005533F1"/>
    <w:rsid w:val="005535CD"/>
    <w:rsid w:val="0055370C"/>
    <w:rsid w:val="005537E1"/>
    <w:rsid w:val="00553981"/>
    <w:rsid w:val="00553C01"/>
    <w:rsid w:val="00553C22"/>
    <w:rsid w:val="00553C58"/>
    <w:rsid w:val="00553CCF"/>
    <w:rsid w:val="00553DFB"/>
    <w:rsid w:val="00553F2A"/>
    <w:rsid w:val="00554122"/>
    <w:rsid w:val="00554238"/>
    <w:rsid w:val="0055436F"/>
    <w:rsid w:val="005543FC"/>
    <w:rsid w:val="005544EC"/>
    <w:rsid w:val="005545A1"/>
    <w:rsid w:val="0055474A"/>
    <w:rsid w:val="005549FD"/>
    <w:rsid w:val="00554A29"/>
    <w:rsid w:val="00554B31"/>
    <w:rsid w:val="00555075"/>
    <w:rsid w:val="005552D9"/>
    <w:rsid w:val="0055533E"/>
    <w:rsid w:val="00555494"/>
    <w:rsid w:val="005559AC"/>
    <w:rsid w:val="00555A03"/>
    <w:rsid w:val="00555B97"/>
    <w:rsid w:val="00555E71"/>
    <w:rsid w:val="00555EC2"/>
    <w:rsid w:val="00555F1A"/>
    <w:rsid w:val="00556024"/>
    <w:rsid w:val="00556064"/>
    <w:rsid w:val="00556229"/>
    <w:rsid w:val="00556386"/>
    <w:rsid w:val="005569F3"/>
    <w:rsid w:val="00556A72"/>
    <w:rsid w:val="00556CCC"/>
    <w:rsid w:val="00557050"/>
    <w:rsid w:val="005572B0"/>
    <w:rsid w:val="005573F7"/>
    <w:rsid w:val="00557445"/>
    <w:rsid w:val="00557529"/>
    <w:rsid w:val="00557639"/>
    <w:rsid w:val="005577F0"/>
    <w:rsid w:val="00557A40"/>
    <w:rsid w:val="00557CD9"/>
    <w:rsid w:val="00557D8A"/>
    <w:rsid w:val="00557E36"/>
    <w:rsid w:val="00557E45"/>
    <w:rsid w:val="00560066"/>
    <w:rsid w:val="005601B8"/>
    <w:rsid w:val="00560312"/>
    <w:rsid w:val="0056038A"/>
    <w:rsid w:val="0056059A"/>
    <w:rsid w:val="005605CC"/>
    <w:rsid w:val="005605F8"/>
    <w:rsid w:val="005606DF"/>
    <w:rsid w:val="0056076C"/>
    <w:rsid w:val="00560B2D"/>
    <w:rsid w:val="00560DB8"/>
    <w:rsid w:val="00560E1D"/>
    <w:rsid w:val="00560F01"/>
    <w:rsid w:val="00560F61"/>
    <w:rsid w:val="00561085"/>
    <w:rsid w:val="005612C2"/>
    <w:rsid w:val="005613BD"/>
    <w:rsid w:val="005618F9"/>
    <w:rsid w:val="00561BF9"/>
    <w:rsid w:val="00561D47"/>
    <w:rsid w:val="00561D5E"/>
    <w:rsid w:val="00561DBE"/>
    <w:rsid w:val="00562059"/>
    <w:rsid w:val="0056230C"/>
    <w:rsid w:val="005624C5"/>
    <w:rsid w:val="00562916"/>
    <w:rsid w:val="00562D09"/>
    <w:rsid w:val="00562D70"/>
    <w:rsid w:val="00562DA9"/>
    <w:rsid w:val="00562E63"/>
    <w:rsid w:val="00562F69"/>
    <w:rsid w:val="00562F8B"/>
    <w:rsid w:val="00563031"/>
    <w:rsid w:val="005630D3"/>
    <w:rsid w:val="005632B8"/>
    <w:rsid w:val="005632BD"/>
    <w:rsid w:val="0056357C"/>
    <w:rsid w:val="00563675"/>
    <w:rsid w:val="0056371F"/>
    <w:rsid w:val="0056397A"/>
    <w:rsid w:val="00563984"/>
    <w:rsid w:val="00563A5D"/>
    <w:rsid w:val="00563B1A"/>
    <w:rsid w:val="00563BB7"/>
    <w:rsid w:val="00563D35"/>
    <w:rsid w:val="00563F70"/>
    <w:rsid w:val="005640E3"/>
    <w:rsid w:val="0056414D"/>
    <w:rsid w:val="00564586"/>
    <w:rsid w:val="0056462A"/>
    <w:rsid w:val="00564641"/>
    <w:rsid w:val="005649B4"/>
    <w:rsid w:val="00564A4C"/>
    <w:rsid w:val="00564A4E"/>
    <w:rsid w:val="00564D48"/>
    <w:rsid w:val="00564D4C"/>
    <w:rsid w:val="00564DB3"/>
    <w:rsid w:val="00564F17"/>
    <w:rsid w:val="005651FB"/>
    <w:rsid w:val="00565313"/>
    <w:rsid w:val="00565619"/>
    <w:rsid w:val="00565695"/>
    <w:rsid w:val="00565886"/>
    <w:rsid w:val="005659F0"/>
    <w:rsid w:val="00565AC3"/>
    <w:rsid w:val="00565BD4"/>
    <w:rsid w:val="00565BE5"/>
    <w:rsid w:val="00565CBB"/>
    <w:rsid w:val="00565D2E"/>
    <w:rsid w:val="00565DD0"/>
    <w:rsid w:val="00565EA5"/>
    <w:rsid w:val="00565F5D"/>
    <w:rsid w:val="0056622B"/>
    <w:rsid w:val="0056624F"/>
    <w:rsid w:val="0056628E"/>
    <w:rsid w:val="005666A8"/>
    <w:rsid w:val="005666F3"/>
    <w:rsid w:val="0056681F"/>
    <w:rsid w:val="005668A5"/>
    <w:rsid w:val="00566CC3"/>
    <w:rsid w:val="00566CD8"/>
    <w:rsid w:val="00566D09"/>
    <w:rsid w:val="00566F7F"/>
    <w:rsid w:val="005670C5"/>
    <w:rsid w:val="0056719C"/>
    <w:rsid w:val="00567424"/>
    <w:rsid w:val="00567497"/>
    <w:rsid w:val="0056756F"/>
    <w:rsid w:val="00567626"/>
    <w:rsid w:val="005677C9"/>
    <w:rsid w:val="00567852"/>
    <w:rsid w:val="005678F5"/>
    <w:rsid w:val="00567C57"/>
    <w:rsid w:val="00567CDF"/>
    <w:rsid w:val="00567D11"/>
    <w:rsid w:val="00567F8D"/>
    <w:rsid w:val="005701E4"/>
    <w:rsid w:val="00570AC8"/>
    <w:rsid w:val="00570C59"/>
    <w:rsid w:val="00570CAA"/>
    <w:rsid w:val="00570DCD"/>
    <w:rsid w:val="00570EE5"/>
    <w:rsid w:val="0057133A"/>
    <w:rsid w:val="005713C4"/>
    <w:rsid w:val="00571496"/>
    <w:rsid w:val="00571630"/>
    <w:rsid w:val="005716C0"/>
    <w:rsid w:val="00571AF1"/>
    <w:rsid w:val="00571F68"/>
    <w:rsid w:val="00571FDA"/>
    <w:rsid w:val="005725F4"/>
    <w:rsid w:val="0057279D"/>
    <w:rsid w:val="005729A3"/>
    <w:rsid w:val="00572A6C"/>
    <w:rsid w:val="00572C21"/>
    <w:rsid w:val="00572C27"/>
    <w:rsid w:val="00572C80"/>
    <w:rsid w:val="00572DD8"/>
    <w:rsid w:val="00573096"/>
    <w:rsid w:val="0057331E"/>
    <w:rsid w:val="0057343D"/>
    <w:rsid w:val="005736B9"/>
    <w:rsid w:val="005737D6"/>
    <w:rsid w:val="005737DF"/>
    <w:rsid w:val="005737F5"/>
    <w:rsid w:val="005740BE"/>
    <w:rsid w:val="00574107"/>
    <w:rsid w:val="005743B6"/>
    <w:rsid w:val="005744C7"/>
    <w:rsid w:val="00574664"/>
    <w:rsid w:val="005746E0"/>
    <w:rsid w:val="005747A7"/>
    <w:rsid w:val="0057480F"/>
    <w:rsid w:val="00574A3E"/>
    <w:rsid w:val="00574D5C"/>
    <w:rsid w:val="00574F90"/>
    <w:rsid w:val="005750B1"/>
    <w:rsid w:val="00575317"/>
    <w:rsid w:val="005753DB"/>
    <w:rsid w:val="005753E2"/>
    <w:rsid w:val="005754DC"/>
    <w:rsid w:val="00575687"/>
    <w:rsid w:val="00575913"/>
    <w:rsid w:val="00576236"/>
    <w:rsid w:val="00576672"/>
    <w:rsid w:val="00576674"/>
    <w:rsid w:val="0057681A"/>
    <w:rsid w:val="005768F3"/>
    <w:rsid w:val="00576AAE"/>
    <w:rsid w:val="00576C04"/>
    <w:rsid w:val="00576C08"/>
    <w:rsid w:val="00576DF6"/>
    <w:rsid w:val="00576E2B"/>
    <w:rsid w:val="00576E3A"/>
    <w:rsid w:val="00576EB4"/>
    <w:rsid w:val="00576FB9"/>
    <w:rsid w:val="00577182"/>
    <w:rsid w:val="00577538"/>
    <w:rsid w:val="005776D1"/>
    <w:rsid w:val="0057771F"/>
    <w:rsid w:val="00577A04"/>
    <w:rsid w:val="00577C96"/>
    <w:rsid w:val="00577DF5"/>
    <w:rsid w:val="00580231"/>
    <w:rsid w:val="005802A0"/>
    <w:rsid w:val="00580478"/>
    <w:rsid w:val="00580854"/>
    <w:rsid w:val="00580BA3"/>
    <w:rsid w:val="00580C43"/>
    <w:rsid w:val="00580F4D"/>
    <w:rsid w:val="005810D3"/>
    <w:rsid w:val="005811E1"/>
    <w:rsid w:val="00581272"/>
    <w:rsid w:val="005814AC"/>
    <w:rsid w:val="00581587"/>
    <w:rsid w:val="0058178F"/>
    <w:rsid w:val="0058187F"/>
    <w:rsid w:val="005819F2"/>
    <w:rsid w:val="00581BE2"/>
    <w:rsid w:val="00581CD5"/>
    <w:rsid w:val="00581E96"/>
    <w:rsid w:val="00581ED6"/>
    <w:rsid w:val="00581F94"/>
    <w:rsid w:val="00582363"/>
    <w:rsid w:val="005823D0"/>
    <w:rsid w:val="00582410"/>
    <w:rsid w:val="005826DD"/>
    <w:rsid w:val="0058283D"/>
    <w:rsid w:val="005828B7"/>
    <w:rsid w:val="005828FB"/>
    <w:rsid w:val="00582A52"/>
    <w:rsid w:val="00582A71"/>
    <w:rsid w:val="00582C86"/>
    <w:rsid w:val="00582E78"/>
    <w:rsid w:val="00582F74"/>
    <w:rsid w:val="00583092"/>
    <w:rsid w:val="00583195"/>
    <w:rsid w:val="00583520"/>
    <w:rsid w:val="00583538"/>
    <w:rsid w:val="005835F5"/>
    <w:rsid w:val="005836BD"/>
    <w:rsid w:val="00583765"/>
    <w:rsid w:val="00583F14"/>
    <w:rsid w:val="0058407F"/>
    <w:rsid w:val="0058421B"/>
    <w:rsid w:val="00584221"/>
    <w:rsid w:val="0058423C"/>
    <w:rsid w:val="00584249"/>
    <w:rsid w:val="0058450F"/>
    <w:rsid w:val="00584598"/>
    <w:rsid w:val="00584936"/>
    <w:rsid w:val="005849CE"/>
    <w:rsid w:val="005849DE"/>
    <w:rsid w:val="00584A8B"/>
    <w:rsid w:val="00584D15"/>
    <w:rsid w:val="00584E24"/>
    <w:rsid w:val="00584F94"/>
    <w:rsid w:val="00584FE7"/>
    <w:rsid w:val="00584FE9"/>
    <w:rsid w:val="00585073"/>
    <w:rsid w:val="005854CD"/>
    <w:rsid w:val="00585589"/>
    <w:rsid w:val="00585D24"/>
    <w:rsid w:val="00585DCB"/>
    <w:rsid w:val="00585E08"/>
    <w:rsid w:val="00585E1C"/>
    <w:rsid w:val="00586144"/>
    <w:rsid w:val="00586208"/>
    <w:rsid w:val="00586232"/>
    <w:rsid w:val="00586267"/>
    <w:rsid w:val="005863AB"/>
    <w:rsid w:val="00586565"/>
    <w:rsid w:val="0058665F"/>
    <w:rsid w:val="005866A8"/>
    <w:rsid w:val="00586D13"/>
    <w:rsid w:val="00587097"/>
    <w:rsid w:val="005876D6"/>
    <w:rsid w:val="005877AB"/>
    <w:rsid w:val="005877ED"/>
    <w:rsid w:val="0058790F"/>
    <w:rsid w:val="005879A6"/>
    <w:rsid w:val="00587B37"/>
    <w:rsid w:val="00587B4E"/>
    <w:rsid w:val="00587B84"/>
    <w:rsid w:val="00587C85"/>
    <w:rsid w:val="00587D0C"/>
    <w:rsid w:val="00587EA7"/>
    <w:rsid w:val="0059007D"/>
    <w:rsid w:val="0059027C"/>
    <w:rsid w:val="00590397"/>
    <w:rsid w:val="0059049A"/>
    <w:rsid w:val="00590593"/>
    <w:rsid w:val="00590778"/>
    <w:rsid w:val="00590960"/>
    <w:rsid w:val="005909E6"/>
    <w:rsid w:val="00590CBF"/>
    <w:rsid w:val="00590DAF"/>
    <w:rsid w:val="00590FB8"/>
    <w:rsid w:val="00591171"/>
    <w:rsid w:val="00591696"/>
    <w:rsid w:val="00591932"/>
    <w:rsid w:val="00591A39"/>
    <w:rsid w:val="00591DDB"/>
    <w:rsid w:val="00591F3C"/>
    <w:rsid w:val="00592019"/>
    <w:rsid w:val="0059214E"/>
    <w:rsid w:val="0059230C"/>
    <w:rsid w:val="00592325"/>
    <w:rsid w:val="00592337"/>
    <w:rsid w:val="00592C4F"/>
    <w:rsid w:val="005931B0"/>
    <w:rsid w:val="00593327"/>
    <w:rsid w:val="005934DA"/>
    <w:rsid w:val="00593685"/>
    <w:rsid w:val="005936F8"/>
    <w:rsid w:val="00593A6F"/>
    <w:rsid w:val="00593F27"/>
    <w:rsid w:val="00593F84"/>
    <w:rsid w:val="00593FF7"/>
    <w:rsid w:val="00594042"/>
    <w:rsid w:val="00594163"/>
    <w:rsid w:val="005941F3"/>
    <w:rsid w:val="00594415"/>
    <w:rsid w:val="005944BE"/>
    <w:rsid w:val="005944F9"/>
    <w:rsid w:val="00594575"/>
    <w:rsid w:val="00594611"/>
    <w:rsid w:val="00594680"/>
    <w:rsid w:val="0059472B"/>
    <w:rsid w:val="00594901"/>
    <w:rsid w:val="0059496B"/>
    <w:rsid w:val="00594A06"/>
    <w:rsid w:val="00594A7D"/>
    <w:rsid w:val="00594BD4"/>
    <w:rsid w:val="00594D9B"/>
    <w:rsid w:val="00594FA4"/>
    <w:rsid w:val="00595146"/>
    <w:rsid w:val="00595191"/>
    <w:rsid w:val="0059521A"/>
    <w:rsid w:val="00595554"/>
    <w:rsid w:val="005957EC"/>
    <w:rsid w:val="005958DD"/>
    <w:rsid w:val="00595A38"/>
    <w:rsid w:val="00595C86"/>
    <w:rsid w:val="00595CFD"/>
    <w:rsid w:val="00595D09"/>
    <w:rsid w:val="00595DB5"/>
    <w:rsid w:val="00595DDF"/>
    <w:rsid w:val="00595E39"/>
    <w:rsid w:val="00596052"/>
    <w:rsid w:val="00596092"/>
    <w:rsid w:val="005960F6"/>
    <w:rsid w:val="00596182"/>
    <w:rsid w:val="00596894"/>
    <w:rsid w:val="00596BDA"/>
    <w:rsid w:val="00596CC4"/>
    <w:rsid w:val="00596D0C"/>
    <w:rsid w:val="00596D17"/>
    <w:rsid w:val="005970F9"/>
    <w:rsid w:val="00597217"/>
    <w:rsid w:val="00597286"/>
    <w:rsid w:val="005972CB"/>
    <w:rsid w:val="005973EE"/>
    <w:rsid w:val="005974E7"/>
    <w:rsid w:val="00597637"/>
    <w:rsid w:val="0059767E"/>
    <w:rsid w:val="00597781"/>
    <w:rsid w:val="0059778B"/>
    <w:rsid w:val="00597824"/>
    <w:rsid w:val="00597A15"/>
    <w:rsid w:val="00597D2B"/>
    <w:rsid w:val="00597D78"/>
    <w:rsid w:val="00597DD6"/>
    <w:rsid w:val="00597E9B"/>
    <w:rsid w:val="00597F7E"/>
    <w:rsid w:val="00597FD2"/>
    <w:rsid w:val="005A0374"/>
    <w:rsid w:val="005A047A"/>
    <w:rsid w:val="005A05AA"/>
    <w:rsid w:val="005A0638"/>
    <w:rsid w:val="005A0927"/>
    <w:rsid w:val="005A09EC"/>
    <w:rsid w:val="005A0A27"/>
    <w:rsid w:val="005A0ACB"/>
    <w:rsid w:val="005A0B71"/>
    <w:rsid w:val="005A0D1A"/>
    <w:rsid w:val="005A0D9D"/>
    <w:rsid w:val="005A0DD0"/>
    <w:rsid w:val="005A0E17"/>
    <w:rsid w:val="005A0E37"/>
    <w:rsid w:val="005A0ED7"/>
    <w:rsid w:val="005A0F81"/>
    <w:rsid w:val="005A1012"/>
    <w:rsid w:val="005A126D"/>
    <w:rsid w:val="005A1408"/>
    <w:rsid w:val="005A146C"/>
    <w:rsid w:val="005A14C4"/>
    <w:rsid w:val="005A154F"/>
    <w:rsid w:val="005A1778"/>
    <w:rsid w:val="005A1996"/>
    <w:rsid w:val="005A1B74"/>
    <w:rsid w:val="005A1B81"/>
    <w:rsid w:val="005A1BCD"/>
    <w:rsid w:val="005A1BFD"/>
    <w:rsid w:val="005A1DC7"/>
    <w:rsid w:val="005A1F98"/>
    <w:rsid w:val="005A21CE"/>
    <w:rsid w:val="005A2568"/>
    <w:rsid w:val="005A2573"/>
    <w:rsid w:val="005A25DF"/>
    <w:rsid w:val="005A2896"/>
    <w:rsid w:val="005A2AF7"/>
    <w:rsid w:val="005A2C8D"/>
    <w:rsid w:val="005A2CC8"/>
    <w:rsid w:val="005A2D31"/>
    <w:rsid w:val="005A2D65"/>
    <w:rsid w:val="005A320D"/>
    <w:rsid w:val="005A32C2"/>
    <w:rsid w:val="005A3320"/>
    <w:rsid w:val="005A3389"/>
    <w:rsid w:val="005A341D"/>
    <w:rsid w:val="005A3456"/>
    <w:rsid w:val="005A349F"/>
    <w:rsid w:val="005A36F2"/>
    <w:rsid w:val="005A37BE"/>
    <w:rsid w:val="005A395F"/>
    <w:rsid w:val="005A4042"/>
    <w:rsid w:val="005A407D"/>
    <w:rsid w:val="005A40A3"/>
    <w:rsid w:val="005A4167"/>
    <w:rsid w:val="005A42A6"/>
    <w:rsid w:val="005A43DD"/>
    <w:rsid w:val="005A43F8"/>
    <w:rsid w:val="005A450F"/>
    <w:rsid w:val="005A45BE"/>
    <w:rsid w:val="005A491D"/>
    <w:rsid w:val="005A4A07"/>
    <w:rsid w:val="005A4B7E"/>
    <w:rsid w:val="005A4DE5"/>
    <w:rsid w:val="005A529F"/>
    <w:rsid w:val="005A5380"/>
    <w:rsid w:val="005A56BE"/>
    <w:rsid w:val="005A582F"/>
    <w:rsid w:val="005A5984"/>
    <w:rsid w:val="005A5E5E"/>
    <w:rsid w:val="005A5F30"/>
    <w:rsid w:val="005A60AF"/>
    <w:rsid w:val="005A63C9"/>
    <w:rsid w:val="005A6419"/>
    <w:rsid w:val="005A64CC"/>
    <w:rsid w:val="005A6657"/>
    <w:rsid w:val="005A66ED"/>
    <w:rsid w:val="005A6991"/>
    <w:rsid w:val="005A6D66"/>
    <w:rsid w:val="005A6E98"/>
    <w:rsid w:val="005A6EA3"/>
    <w:rsid w:val="005A7044"/>
    <w:rsid w:val="005A709A"/>
    <w:rsid w:val="005A70E7"/>
    <w:rsid w:val="005A714A"/>
    <w:rsid w:val="005A71B2"/>
    <w:rsid w:val="005A76AF"/>
    <w:rsid w:val="005A7A5A"/>
    <w:rsid w:val="005A7B94"/>
    <w:rsid w:val="005B01E7"/>
    <w:rsid w:val="005B0221"/>
    <w:rsid w:val="005B0362"/>
    <w:rsid w:val="005B04E7"/>
    <w:rsid w:val="005B0684"/>
    <w:rsid w:val="005B0C0C"/>
    <w:rsid w:val="005B0CAD"/>
    <w:rsid w:val="005B144C"/>
    <w:rsid w:val="005B1492"/>
    <w:rsid w:val="005B15AB"/>
    <w:rsid w:val="005B1699"/>
    <w:rsid w:val="005B1801"/>
    <w:rsid w:val="005B18A4"/>
    <w:rsid w:val="005B18D2"/>
    <w:rsid w:val="005B18DA"/>
    <w:rsid w:val="005B192A"/>
    <w:rsid w:val="005B1EEB"/>
    <w:rsid w:val="005B2019"/>
    <w:rsid w:val="005B2030"/>
    <w:rsid w:val="005B2092"/>
    <w:rsid w:val="005B2191"/>
    <w:rsid w:val="005B233F"/>
    <w:rsid w:val="005B23E9"/>
    <w:rsid w:val="005B2402"/>
    <w:rsid w:val="005B28B7"/>
    <w:rsid w:val="005B29EC"/>
    <w:rsid w:val="005B2CF3"/>
    <w:rsid w:val="005B2D32"/>
    <w:rsid w:val="005B2D7E"/>
    <w:rsid w:val="005B2D91"/>
    <w:rsid w:val="005B2F4E"/>
    <w:rsid w:val="005B3047"/>
    <w:rsid w:val="005B3237"/>
    <w:rsid w:val="005B3317"/>
    <w:rsid w:val="005B3669"/>
    <w:rsid w:val="005B3693"/>
    <w:rsid w:val="005B36B8"/>
    <w:rsid w:val="005B3741"/>
    <w:rsid w:val="005B3760"/>
    <w:rsid w:val="005B3762"/>
    <w:rsid w:val="005B3861"/>
    <w:rsid w:val="005B3880"/>
    <w:rsid w:val="005B3BA0"/>
    <w:rsid w:val="005B3D40"/>
    <w:rsid w:val="005B3E7E"/>
    <w:rsid w:val="005B40D6"/>
    <w:rsid w:val="005B41CB"/>
    <w:rsid w:val="005B41D6"/>
    <w:rsid w:val="005B4642"/>
    <w:rsid w:val="005B4851"/>
    <w:rsid w:val="005B4A85"/>
    <w:rsid w:val="005B4AA0"/>
    <w:rsid w:val="005B4AC1"/>
    <w:rsid w:val="005B4B2F"/>
    <w:rsid w:val="005B50F1"/>
    <w:rsid w:val="005B52DC"/>
    <w:rsid w:val="005B5332"/>
    <w:rsid w:val="005B545C"/>
    <w:rsid w:val="005B5556"/>
    <w:rsid w:val="005B5641"/>
    <w:rsid w:val="005B564C"/>
    <w:rsid w:val="005B58AD"/>
    <w:rsid w:val="005B58AE"/>
    <w:rsid w:val="005B5950"/>
    <w:rsid w:val="005B5A15"/>
    <w:rsid w:val="005B5BB5"/>
    <w:rsid w:val="005B5D08"/>
    <w:rsid w:val="005B5D98"/>
    <w:rsid w:val="005B5EE1"/>
    <w:rsid w:val="005B620E"/>
    <w:rsid w:val="005B6442"/>
    <w:rsid w:val="005B64DF"/>
    <w:rsid w:val="005B67D2"/>
    <w:rsid w:val="005B6837"/>
    <w:rsid w:val="005B6843"/>
    <w:rsid w:val="005B6B2F"/>
    <w:rsid w:val="005B6D76"/>
    <w:rsid w:val="005B6F70"/>
    <w:rsid w:val="005B710F"/>
    <w:rsid w:val="005B756E"/>
    <w:rsid w:val="005B75DE"/>
    <w:rsid w:val="005B762C"/>
    <w:rsid w:val="005B7BBC"/>
    <w:rsid w:val="005B7C90"/>
    <w:rsid w:val="005B7CC8"/>
    <w:rsid w:val="005B7DD7"/>
    <w:rsid w:val="005B7EA6"/>
    <w:rsid w:val="005B7EBA"/>
    <w:rsid w:val="005C010D"/>
    <w:rsid w:val="005C0331"/>
    <w:rsid w:val="005C09E1"/>
    <w:rsid w:val="005C0B58"/>
    <w:rsid w:val="005C0C18"/>
    <w:rsid w:val="005C0D6E"/>
    <w:rsid w:val="005C0DDF"/>
    <w:rsid w:val="005C1340"/>
    <w:rsid w:val="005C1352"/>
    <w:rsid w:val="005C17E3"/>
    <w:rsid w:val="005C1803"/>
    <w:rsid w:val="005C1836"/>
    <w:rsid w:val="005C1839"/>
    <w:rsid w:val="005C1841"/>
    <w:rsid w:val="005C1B51"/>
    <w:rsid w:val="005C1CBB"/>
    <w:rsid w:val="005C1E8B"/>
    <w:rsid w:val="005C1FF7"/>
    <w:rsid w:val="005C2082"/>
    <w:rsid w:val="005C22EA"/>
    <w:rsid w:val="005C2302"/>
    <w:rsid w:val="005C231B"/>
    <w:rsid w:val="005C240D"/>
    <w:rsid w:val="005C25F1"/>
    <w:rsid w:val="005C260D"/>
    <w:rsid w:val="005C27DC"/>
    <w:rsid w:val="005C2824"/>
    <w:rsid w:val="005C2B97"/>
    <w:rsid w:val="005C2FD1"/>
    <w:rsid w:val="005C3019"/>
    <w:rsid w:val="005C3248"/>
    <w:rsid w:val="005C325E"/>
    <w:rsid w:val="005C3487"/>
    <w:rsid w:val="005C3644"/>
    <w:rsid w:val="005C36D4"/>
    <w:rsid w:val="005C3B06"/>
    <w:rsid w:val="005C3BE7"/>
    <w:rsid w:val="005C3C6B"/>
    <w:rsid w:val="005C494C"/>
    <w:rsid w:val="005C4A5C"/>
    <w:rsid w:val="005C4AC9"/>
    <w:rsid w:val="005C4C3B"/>
    <w:rsid w:val="005C4C7B"/>
    <w:rsid w:val="005C4C83"/>
    <w:rsid w:val="005C4CB7"/>
    <w:rsid w:val="005C4D1A"/>
    <w:rsid w:val="005C4EF3"/>
    <w:rsid w:val="005C4F15"/>
    <w:rsid w:val="005C4FEF"/>
    <w:rsid w:val="005C51D2"/>
    <w:rsid w:val="005C56F9"/>
    <w:rsid w:val="005C5777"/>
    <w:rsid w:val="005C59CE"/>
    <w:rsid w:val="005C59FB"/>
    <w:rsid w:val="005C5B5A"/>
    <w:rsid w:val="005C5FEB"/>
    <w:rsid w:val="005C6096"/>
    <w:rsid w:val="005C6495"/>
    <w:rsid w:val="005C65A2"/>
    <w:rsid w:val="005C67E4"/>
    <w:rsid w:val="005C6AC1"/>
    <w:rsid w:val="005C6B1D"/>
    <w:rsid w:val="005C6BBC"/>
    <w:rsid w:val="005C6BCE"/>
    <w:rsid w:val="005C6DB6"/>
    <w:rsid w:val="005C6E2E"/>
    <w:rsid w:val="005C6F15"/>
    <w:rsid w:val="005C6FE3"/>
    <w:rsid w:val="005C700E"/>
    <w:rsid w:val="005C7322"/>
    <w:rsid w:val="005C7349"/>
    <w:rsid w:val="005C739F"/>
    <w:rsid w:val="005C7422"/>
    <w:rsid w:val="005C76C3"/>
    <w:rsid w:val="005C77B8"/>
    <w:rsid w:val="005C7AD0"/>
    <w:rsid w:val="005C7B7F"/>
    <w:rsid w:val="005D0005"/>
    <w:rsid w:val="005D0018"/>
    <w:rsid w:val="005D007D"/>
    <w:rsid w:val="005D0168"/>
    <w:rsid w:val="005D029F"/>
    <w:rsid w:val="005D03F3"/>
    <w:rsid w:val="005D0631"/>
    <w:rsid w:val="005D068E"/>
    <w:rsid w:val="005D0798"/>
    <w:rsid w:val="005D08F9"/>
    <w:rsid w:val="005D0C91"/>
    <w:rsid w:val="005D0F55"/>
    <w:rsid w:val="005D0FA5"/>
    <w:rsid w:val="005D10BE"/>
    <w:rsid w:val="005D14AB"/>
    <w:rsid w:val="005D1547"/>
    <w:rsid w:val="005D181F"/>
    <w:rsid w:val="005D1A3F"/>
    <w:rsid w:val="005D1BF0"/>
    <w:rsid w:val="005D1ED1"/>
    <w:rsid w:val="005D1FF6"/>
    <w:rsid w:val="005D208D"/>
    <w:rsid w:val="005D22E9"/>
    <w:rsid w:val="005D2427"/>
    <w:rsid w:val="005D247E"/>
    <w:rsid w:val="005D25A1"/>
    <w:rsid w:val="005D25BB"/>
    <w:rsid w:val="005D28C8"/>
    <w:rsid w:val="005D2E4C"/>
    <w:rsid w:val="005D2F51"/>
    <w:rsid w:val="005D2F5B"/>
    <w:rsid w:val="005D2FAC"/>
    <w:rsid w:val="005D3085"/>
    <w:rsid w:val="005D3166"/>
    <w:rsid w:val="005D31D9"/>
    <w:rsid w:val="005D3494"/>
    <w:rsid w:val="005D34B5"/>
    <w:rsid w:val="005D35DA"/>
    <w:rsid w:val="005D36CD"/>
    <w:rsid w:val="005D392F"/>
    <w:rsid w:val="005D39EB"/>
    <w:rsid w:val="005D3BBF"/>
    <w:rsid w:val="005D3C11"/>
    <w:rsid w:val="005D3C50"/>
    <w:rsid w:val="005D3F42"/>
    <w:rsid w:val="005D409A"/>
    <w:rsid w:val="005D4187"/>
    <w:rsid w:val="005D421E"/>
    <w:rsid w:val="005D4324"/>
    <w:rsid w:val="005D463D"/>
    <w:rsid w:val="005D4787"/>
    <w:rsid w:val="005D487B"/>
    <w:rsid w:val="005D4A5D"/>
    <w:rsid w:val="005D4B67"/>
    <w:rsid w:val="005D4CDD"/>
    <w:rsid w:val="005D503B"/>
    <w:rsid w:val="005D5099"/>
    <w:rsid w:val="005D512A"/>
    <w:rsid w:val="005D5648"/>
    <w:rsid w:val="005D56E4"/>
    <w:rsid w:val="005D58F3"/>
    <w:rsid w:val="005D5A15"/>
    <w:rsid w:val="005D5AA0"/>
    <w:rsid w:val="005D5BA3"/>
    <w:rsid w:val="005D5BAE"/>
    <w:rsid w:val="005D5BC3"/>
    <w:rsid w:val="005D5D18"/>
    <w:rsid w:val="005D5DCF"/>
    <w:rsid w:val="005D5E54"/>
    <w:rsid w:val="005D5F0C"/>
    <w:rsid w:val="005D5F9B"/>
    <w:rsid w:val="005D5FAE"/>
    <w:rsid w:val="005D61EE"/>
    <w:rsid w:val="005D680D"/>
    <w:rsid w:val="005D6A43"/>
    <w:rsid w:val="005D6A8F"/>
    <w:rsid w:val="005D6B0A"/>
    <w:rsid w:val="005D6B67"/>
    <w:rsid w:val="005D6CBB"/>
    <w:rsid w:val="005D6F6E"/>
    <w:rsid w:val="005D730C"/>
    <w:rsid w:val="005D7405"/>
    <w:rsid w:val="005D7455"/>
    <w:rsid w:val="005D777C"/>
    <w:rsid w:val="005D7797"/>
    <w:rsid w:val="005D782A"/>
    <w:rsid w:val="005D7A87"/>
    <w:rsid w:val="005D7B1C"/>
    <w:rsid w:val="005D7E61"/>
    <w:rsid w:val="005E03B8"/>
    <w:rsid w:val="005E055B"/>
    <w:rsid w:val="005E0869"/>
    <w:rsid w:val="005E089A"/>
    <w:rsid w:val="005E096A"/>
    <w:rsid w:val="005E0CA3"/>
    <w:rsid w:val="005E0E62"/>
    <w:rsid w:val="005E0FAC"/>
    <w:rsid w:val="005E1060"/>
    <w:rsid w:val="005E1185"/>
    <w:rsid w:val="005E1247"/>
    <w:rsid w:val="005E1319"/>
    <w:rsid w:val="005E14AA"/>
    <w:rsid w:val="005E1A93"/>
    <w:rsid w:val="005E1EDC"/>
    <w:rsid w:val="005E2525"/>
    <w:rsid w:val="005E2560"/>
    <w:rsid w:val="005E25D4"/>
    <w:rsid w:val="005E276E"/>
    <w:rsid w:val="005E278B"/>
    <w:rsid w:val="005E2858"/>
    <w:rsid w:val="005E295B"/>
    <w:rsid w:val="005E2A2E"/>
    <w:rsid w:val="005E2A80"/>
    <w:rsid w:val="005E2A88"/>
    <w:rsid w:val="005E31D3"/>
    <w:rsid w:val="005E3491"/>
    <w:rsid w:val="005E34BD"/>
    <w:rsid w:val="005E35B6"/>
    <w:rsid w:val="005E37FB"/>
    <w:rsid w:val="005E3A6C"/>
    <w:rsid w:val="005E3C40"/>
    <w:rsid w:val="005E3D9B"/>
    <w:rsid w:val="005E3E27"/>
    <w:rsid w:val="005E3FF8"/>
    <w:rsid w:val="005E4005"/>
    <w:rsid w:val="005E417C"/>
    <w:rsid w:val="005E448B"/>
    <w:rsid w:val="005E4591"/>
    <w:rsid w:val="005E45C0"/>
    <w:rsid w:val="005E462C"/>
    <w:rsid w:val="005E481D"/>
    <w:rsid w:val="005E4838"/>
    <w:rsid w:val="005E499B"/>
    <w:rsid w:val="005E504B"/>
    <w:rsid w:val="005E50C5"/>
    <w:rsid w:val="005E564F"/>
    <w:rsid w:val="005E575F"/>
    <w:rsid w:val="005E58A8"/>
    <w:rsid w:val="005E590F"/>
    <w:rsid w:val="005E5B33"/>
    <w:rsid w:val="005E5E4E"/>
    <w:rsid w:val="005E641C"/>
    <w:rsid w:val="005E64EC"/>
    <w:rsid w:val="005E65E2"/>
    <w:rsid w:val="005E68D4"/>
    <w:rsid w:val="005E68F6"/>
    <w:rsid w:val="005E6BF1"/>
    <w:rsid w:val="005E6FDB"/>
    <w:rsid w:val="005E6FFF"/>
    <w:rsid w:val="005E7225"/>
    <w:rsid w:val="005E72AF"/>
    <w:rsid w:val="005E74D8"/>
    <w:rsid w:val="005E7583"/>
    <w:rsid w:val="005E758E"/>
    <w:rsid w:val="005E77CF"/>
    <w:rsid w:val="005E7B70"/>
    <w:rsid w:val="005E7E83"/>
    <w:rsid w:val="005F013F"/>
    <w:rsid w:val="005F03FB"/>
    <w:rsid w:val="005F0460"/>
    <w:rsid w:val="005F04B7"/>
    <w:rsid w:val="005F0901"/>
    <w:rsid w:val="005F0939"/>
    <w:rsid w:val="005F0994"/>
    <w:rsid w:val="005F09C1"/>
    <w:rsid w:val="005F0A88"/>
    <w:rsid w:val="005F0B0C"/>
    <w:rsid w:val="005F0E5F"/>
    <w:rsid w:val="005F0E94"/>
    <w:rsid w:val="005F0F32"/>
    <w:rsid w:val="005F12D4"/>
    <w:rsid w:val="005F13E3"/>
    <w:rsid w:val="005F195D"/>
    <w:rsid w:val="005F197D"/>
    <w:rsid w:val="005F1B10"/>
    <w:rsid w:val="005F1FB3"/>
    <w:rsid w:val="005F211C"/>
    <w:rsid w:val="005F236A"/>
    <w:rsid w:val="005F259A"/>
    <w:rsid w:val="005F26CB"/>
    <w:rsid w:val="005F2708"/>
    <w:rsid w:val="005F2912"/>
    <w:rsid w:val="005F2C4A"/>
    <w:rsid w:val="005F2D7F"/>
    <w:rsid w:val="005F2F90"/>
    <w:rsid w:val="005F32D1"/>
    <w:rsid w:val="005F32FD"/>
    <w:rsid w:val="005F3487"/>
    <w:rsid w:val="005F34DB"/>
    <w:rsid w:val="005F3697"/>
    <w:rsid w:val="005F3924"/>
    <w:rsid w:val="005F3ACA"/>
    <w:rsid w:val="005F3B39"/>
    <w:rsid w:val="005F3C47"/>
    <w:rsid w:val="005F3E4F"/>
    <w:rsid w:val="005F3F5F"/>
    <w:rsid w:val="005F4239"/>
    <w:rsid w:val="005F4250"/>
    <w:rsid w:val="005F4266"/>
    <w:rsid w:val="005F430E"/>
    <w:rsid w:val="005F44ED"/>
    <w:rsid w:val="005F453B"/>
    <w:rsid w:val="005F45C9"/>
    <w:rsid w:val="005F4758"/>
    <w:rsid w:val="005F4B23"/>
    <w:rsid w:val="005F4D09"/>
    <w:rsid w:val="005F55BD"/>
    <w:rsid w:val="005F5672"/>
    <w:rsid w:val="005F56C6"/>
    <w:rsid w:val="005F5910"/>
    <w:rsid w:val="005F5AB9"/>
    <w:rsid w:val="005F5B51"/>
    <w:rsid w:val="005F5CD6"/>
    <w:rsid w:val="005F5D51"/>
    <w:rsid w:val="005F5D90"/>
    <w:rsid w:val="005F63E7"/>
    <w:rsid w:val="005F645C"/>
    <w:rsid w:val="005F6471"/>
    <w:rsid w:val="005F64CE"/>
    <w:rsid w:val="005F6565"/>
    <w:rsid w:val="005F66DA"/>
    <w:rsid w:val="005F6703"/>
    <w:rsid w:val="005F6779"/>
    <w:rsid w:val="005F6A3A"/>
    <w:rsid w:val="005F6E75"/>
    <w:rsid w:val="005F7270"/>
    <w:rsid w:val="005F731C"/>
    <w:rsid w:val="005F7410"/>
    <w:rsid w:val="005F751E"/>
    <w:rsid w:val="005F7767"/>
    <w:rsid w:val="005F776E"/>
    <w:rsid w:val="005F784B"/>
    <w:rsid w:val="005F7852"/>
    <w:rsid w:val="005F7970"/>
    <w:rsid w:val="005F7B00"/>
    <w:rsid w:val="005F7C80"/>
    <w:rsid w:val="005F7CD9"/>
    <w:rsid w:val="005F7D43"/>
    <w:rsid w:val="005F7D83"/>
    <w:rsid w:val="005F7EBF"/>
    <w:rsid w:val="005F7FD9"/>
    <w:rsid w:val="006000A8"/>
    <w:rsid w:val="0060021E"/>
    <w:rsid w:val="006003F9"/>
    <w:rsid w:val="00600485"/>
    <w:rsid w:val="006005C3"/>
    <w:rsid w:val="006006D0"/>
    <w:rsid w:val="00600B50"/>
    <w:rsid w:val="00600E17"/>
    <w:rsid w:val="006010B0"/>
    <w:rsid w:val="00601135"/>
    <w:rsid w:val="006011F2"/>
    <w:rsid w:val="006012CA"/>
    <w:rsid w:val="0060181C"/>
    <w:rsid w:val="00601884"/>
    <w:rsid w:val="006019E9"/>
    <w:rsid w:val="00601C00"/>
    <w:rsid w:val="00601C39"/>
    <w:rsid w:val="00601CBF"/>
    <w:rsid w:val="00601DE1"/>
    <w:rsid w:val="00602125"/>
    <w:rsid w:val="006022D1"/>
    <w:rsid w:val="006022F4"/>
    <w:rsid w:val="0060232B"/>
    <w:rsid w:val="006025C4"/>
    <w:rsid w:val="0060265C"/>
    <w:rsid w:val="00602797"/>
    <w:rsid w:val="0060284D"/>
    <w:rsid w:val="006029CA"/>
    <w:rsid w:val="006029D1"/>
    <w:rsid w:val="00602A91"/>
    <w:rsid w:val="00602B7A"/>
    <w:rsid w:val="00602B9A"/>
    <w:rsid w:val="00602C43"/>
    <w:rsid w:val="00602F3F"/>
    <w:rsid w:val="006032A3"/>
    <w:rsid w:val="00603456"/>
    <w:rsid w:val="00603655"/>
    <w:rsid w:val="00603992"/>
    <w:rsid w:val="00603B6C"/>
    <w:rsid w:val="00603B9F"/>
    <w:rsid w:val="00604699"/>
    <w:rsid w:val="006046D4"/>
    <w:rsid w:val="00604849"/>
    <w:rsid w:val="0060489E"/>
    <w:rsid w:val="00604919"/>
    <w:rsid w:val="00604AAE"/>
    <w:rsid w:val="00604B66"/>
    <w:rsid w:val="00604BEB"/>
    <w:rsid w:val="00604C54"/>
    <w:rsid w:val="00604C56"/>
    <w:rsid w:val="00604D23"/>
    <w:rsid w:val="00604DC3"/>
    <w:rsid w:val="00604F0F"/>
    <w:rsid w:val="00605032"/>
    <w:rsid w:val="006050E0"/>
    <w:rsid w:val="006052A9"/>
    <w:rsid w:val="0060548E"/>
    <w:rsid w:val="0060588B"/>
    <w:rsid w:val="006059A3"/>
    <w:rsid w:val="00605E50"/>
    <w:rsid w:val="00606061"/>
    <w:rsid w:val="00606207"/>
    <w:rsid w:val="00606483"/>
    <w:rsid w:val="006065ED"/>
    <w:rsid w:val="0060670B"/>
    <w:rsid w:val="00606731"/>
    <w:rsid w:val="0060680A"/>
    <w:rsid w:val="006069D6"/>
    <w:rsid w:val="00606AB1"/>
    <w:rsid w:val="00606D70"/>
    <w:rsid w:val="00607024"/>
    <w:rsid w:val="00607246"/>
    <w:rsid w:val="006075FD"/>
    <w:rsid w:val="006077CA"/>
    <w:rsid w:val="006078BB"/>
    <w:rsid w:val="006079D7"/>
    <w:rsid w:val="006079ED"/>
    <w:rsid w:val="00607BF8"/>
    <w:rsid w:val="00607EC1"/>
    <w:rsid w:val="006104C1"/>
    <w:rsid w:val="0061086C"/>
    <w:rsid w:val="00610982"/>
    <w:rsid w:val="00610A9E"/>
    <w:rsid w:val="00610BE2"/>
    <w:rsid w:val="00610C0E"/>
    <w:rsid w:val="00610C28"/>
    <w:rsid w:val="00610E0F"/>
    <w:rsid w:val="00611142"/>
    <w:rsid w:val="0061118A"/>
    <w:rsid w:val="00611579"/>
    <w:rsid w:val="00611621"/>
    <w:rsid w:val="0061165B"/>
    <w:rsid w:val="00611727"/>
    <w:rsid w:val="00611764"/>
    <w:rsid w:val="006117D2"/>
    <w:rsid w:val="006118C5"/>
    <w:rsid w:val="00611A02"/>
    <w:rsid w:val="00611BF8"/>
    <w:rsid w:val="00611C02"/>
    <w:rsid w:val="00611C5E"/>
    <w:rsid w:val="00611FDF"/>
    <w:rsid w:val="0061206C"/>
    <w:rsid w:val="006121F5"/>
    <w:rsid w:val="006122CE"/>
    <w:rsid w:val="006123F0"/>
    <w:rsid w:val="0061242D"/>
    <w:rsid w:val="0061295D"/>
    <w:rsid w:val="00612A72"/>
    <w:rsid w:val="00612E32"/>
    <w:rsid w:val="00612F5E"/>
    <w:rsid w:val="00612FFD"/>
    <w:rsid w:val="00613141"/>
    <w:rsid w:val="006131C9"/>
    <w:rsid w:val="0061351F"/>
    <w:rsid w:val="006135AC"/>
    <w:rsid w:val="00613BFE"/>
    <w:rsid w:val="00613C35"/>
    <w:rsid w:val="00613C6B"/>
    <w:rsid w:val="00613CA0"/>
    <w:rsid w:val="00613CB2"/>
    <w:rsid w:val="00613D83"/>
    <w:rsid w:val="00613E61"/>
    <w:rsid w:val="00613F85"/>
    <w:rsid w:val="0061418E"/>
    <w:rsid w:val="00614393"/>
    <w:rsid w:val="00614447"/>
    <w:rsid w:val="00614489"/>
    <w:rsid w:val="0061452D"/>
    <w:rsid w:val="0061458A"/>
    <w:rsid w:val="00614749"/>
    <w:rsid w:val="00614B42"/>
    <w:rsid w:val="00614BB5"/>
    <w:rsid w:val="00614BBF"/>
    <w:rsid w:val="00614D88"/>
    <w:rsid w:val="00614E7B"/>
    <w:rsid w:val="00614F13"/>
    <w:rsid w:val="00614F35"/>
    <w:rsid w:val="00614F68"/>
    <w:rsid w:val="006153C0"/>
    <w:rsid w:val="00615771"/>
    <w:rsid w:val="006159C6"/>
    <w:rsid w:val="00615A61"/>
    <w:rsid w:val="00615C6F"/>
    <w:rsid w:val="00615E3F"/>
    <w:rsid w:val="006160CA"/>
    <w:rsid w:val="006161E0"/>
    <w:rsid w:val="0061626B"/>
    <w:rsid w:val="00616702"/>
    <w:rsid w:val="00616760"/>
    <w:rsid w:val="0061694D"/>
    <w:rsid w:val="00616A3A"/>
    <w:rsid w:val="00616CCE"/>
    <w:rsid w:val="00616CE3"/>
    <w:rsid w:val="00616CEF"/>
    <w:rsid w:val="00616E81"/>
    <w:rsid w:val="00617282"/>
    <w:rsid w:val="006172C0"/>
    <w:rsid w:val="006173EF"/>
    <w:rsid w:val="00617478"/>
    <w:rsid w:val="00617533"/>
    <w:rsid w:val="00617671"/>
    <w:rsid w:val="00617A09"/>
    <w:rsid w:val="00617AC4"/>
    <w:rsid w:val="00617C99"/>
    <w:rsid w:val="00617E44"/>
    <w:rsid w:val="00617E6C"/>
    <w:rsid w:val="00620008"/>
    <w:rsid w:val="00620151"/>
    <w:rsid w:val="00620241"/>
    <w:rsid w:val="006202E7"/>
    <w:rsid w:val="0062030B"/>
    <w:rsid w:val="00620362"/>
    <w:rsid w:val="006203F7"/>
    <w:rsid w:val="00620681"/>
    <w:rsid w:val="00620687"/>
    <w:rsid w:val="0062076C"/>
    <w:rsid w:val="006207C2"/>
    <w:rsid w:val="00620815"/>
    <w:rsid w:val="006209E9"/>
    <w:rsid w:val="00620F0D"/>
    <w:rsid w:val="00621230"/>
    <w:rsid w:val="006212BD"/>
    <w:rsid w:val="006217BD"/>
    <w:rsid w:val="00621949"/>
    <w:rsid w:val="00621B78"/>
    <w:rsid w:val="00621BC2"/>
    <w:rsid w:val="00621BF9"/>
    <w:rsid w:val="00621FBD"/>
    <w:rsid w:val="00622037"/>
    <w:rsid w:val="0062205A"/>
    <w:rsid w:val="006222BD"/>
    <w:rsid w:val="006222D5"/>
    <w:rsid w:val="00622308"/>
    <w:rsid w:val="00622612"/>
    <w:rsid w:val="00622A5E"/>
    <w:rsid w:val="00622C94"/>
    <w:rsid w:val="00622E90"/>
    <w:rsid w:val="00622EAC"/>
    <w:rsid w:val="006232AB"/>
    <w:rsid w:val="006237ED"/>
    <w:rsid w:val="00623884"/>
    <w:rsid w:val="0062391A"/>
    <w:rsid w:val="00623C95"/>
    <w:rsid w:val="00623C9C"/>
    <w:rsid w:val="00623CA0"/>
    <w:rsid w:val="00624303"/>
    <w:rsid w:val="00624359"/>
    <w:rsid w:val="0062437C"/>
    <w:rsid w:val="00624694"/>
    <w:rsid w:val="006247C0"/>
    <w:rsid w:val="0062489A"/>
    <w:rsid w:val="006248DD"/>
    <w:rsid w:val="00624941"/>
    <w:rsid w:val="0062499F"/>
    <w:rsid w:val="006249F9"/>
    <w:rsid w:val="00624B82"/>
    <w:rsid w:val="00624FBB"/>
    <w:rsid w:val="006251FB"/>
    <w:rsid w:val="0062528E"/>
    <w:rsid w:val="0062539D"/>
    <w:rsid w:val="00625470"/>
    <w:rsid w:val="00625475"/>
    <w:rsid w:val="006258A7"/>
    <w:rsid w:val="0062591E"/>
    <w:rsid w:val="00625AB4"/>
    <w:rsid w:val="00625BEA"/>
    <w:rsid w:val="00625C2A"/>
    <w:rsid w:val="00625F82"/>
    <w:rsid w:val="00626098"/>
    <w:rsid w:val="006262BF"/>
    <w:rsid w:val="0062638C"/>
    <w:rsid w:val="006263EE"/>
    <w:rsid w:val="0062641B"/>
    <w:rsid w:val="006268BA"/>
    <w:rsid w:val="00626A52"/>
    <w:rsid w:val="00626CA7"/>
    <w:rsid w:val="00626EE5"/>
    <w:rsid w:val="00626F84"/>
    <w:rsid w:val="00627177"/>
    <w:rsid w:val="006272C2"/>
    <w:rsid w:val="006272F0"/>
    <w:rsid w:val="00627724"/>
    <w:rsid w:val="0062776D"/>
    <w:rsid w:val="00627777"/>
    <w:rsid w:val="006277B8"/>
    <w:rsid w:val="00627861"/>
    <w:rsid w:val="006278A7"/>
    <w:rsid w:val="006278D4"/>
    <w:rsid w:val="00627A0D"/>
    <w:rsid w:val="00627AB7"/>
    <w:rsid w:val="00627C53"/>
    <w:rsid w:val="00627D43"/>
    <w:rsid w:val="00627F2C"/>
    <w:rsid w:val="006303F1"/>
    <w:rsid w:val="006303F5"/>
    <w:rsid w:val="006304C2"/>
    <w:rsid w:val="00630604"/>
    <w:rsid w:val="0063076D"/>
    <w:rsid w:val="0063085B"/>
    <w:rsid w:val="006308E6"/>
    <w:rsid w:val="00630A94"/>
    <w:rsid w:val="00630B26"/>
    <w:rsid w:val="00630C4C"/>
    <w:rsid w:val="00630F0F"/>
    <w:rsid w:val="00630F85"/>
    <w:rsid w:val="00631075"/>
    <w:rsid w:val="006310EA"/>
    <w:rsid w:val="0063123E"/>
    <w:rsid w:val="00631609"/>
    <w:rsid w:val="006316CA"/>
    <w:rsid w:val="00631858"/>
    <w:rsid w:val="0063199D"/>
    <w:rsid w:val="00631A0E"/>
    <w:rsid w:val="00631BA0"/>
    <w:rsid w:val="00631BBC"/>
    <w:rsid w:val="00631C71"/>
    <w:rsid w:val="00631DEC"/>
    <w:rsid w:val="006320C9"/>
    <w:rsid w:val="006321B2"/>
    <w:rsid w:val="0063238A"/>
    <w:rsid w:val="00632542"/>
    <w:rsid w:val="00632592"/>
    <w:rsid w:val="006326F4"/>
    <w:rsid w:val="006327DC"/>
    <w:rsid w:val="00632BBC"/>
    <w:rsid w:val="00632BBE"/>
    <w:rsid w:val="00632F10"/>
    <w:rsid w:val="00632F70"/>
    <w:rsid w:val="00632FC0"/>
    <w:rsid w:val="00633013"/>
    <w:rsid w:val="006334C0"/>
    <w:rsid w:val="00633509"/>
    <w:rsid w:val="0063356D"/>
    <w:rsid w:val="006335D7"/>
    <w:rsid w:val="00633634"/>
    <w:rsid w:val="0063382A"/>
    <w:rsid w:val="00633863"/>
    <w:rsid w:val="00633D01"/>
    <w:rsid w:val="00633F14"/>
    <w:rsid w:val="00633FDF"/>
    <w:rsid w:val="00634362"/>
    <w:rsid w:val="0063453C"/>
    <w:rsid w:val="006345D5"/>
    <w:rsid w:val="00634A0A"/>
    <w:rsid w:val="00634E02"/>
    <w:rsid w:val="00635590"/>
    <w:rsid w:val="006355E2"/>
    <w:rsid w:val="00635B92"/>
    <w:rsid w:val="00635D3F"/>
    <w:rsid w:val="00635D92"/>
    <w:rsid w:val="00635F0D"/>
    <w:rsid w:val="00635F2F"/>
    <w:rsid w:val="0063613E"/>
    <w:rsid w:val="00636243"/>
    <w:rsid w:val="006364AE"/>
    <w:rsid w:val="006364C8"/>
    <w:rsid w:val="0063659D"/>
    <w:rsid w:val="00636833"/>
    <w:rsid w:val="0063684D"/>
    <w:rsid w:val="006369B4"/>
    <w:rsid w:val="00636C23"/>
    <w:rsid w:val="00636D2B"/>
    <w:rsid w:val="00636DD1"/>
    <w:rsid w:val="0063712C"/>
    <w:rsid w:val="00637131"/>
    <w:rsid w:val="00637281"/>
    <w:rsid w:val="006373C0"/>
    <w:rsid w:val="0063743A"/>
    <w:rsid w:val="006374EA"/>
    <w:rsid w:val="00637562"/>
    <w:rsid w:val="006376E7"/>
    <w:rsid w:val="006376F6"/>
    <w:rsid w:val="0063781E"/>
    <w:rsid w:val="006379B3"/>
    <w:rsid w:val="00637D50"/>
    <w:rsid w:val="00637D87"/>
    <w:rsid w:val="00637DEE"/>
    <w:rsid w:val="00637E08"/>
    <w:rsid w:val="0064019C"/>
    <w:rsid w:val="00640284"/>
    <w:rsid w:val="00640323"/>
    <w:rsid w:val="00640370"/>
    <w:rsid w:val="00640408"/>
    <w:rsid w:val="00640463"/>
    <w:rsid w:val="00640521"/>
    <w:rsid w:val="0064059B"/>
    <w:rsid w:val="00640744"/>
    <w:rsid w:val="006407CA"/>
    <w:rsid w:val="006407F7"/>
    <w:rsid w:val="00640835"/>
    <w:rsid w:val="006408A2"/>
    <w:rsid w:val="00640BE5"/>
    <w:rsid w:val="00640D11"/>
    <w:rsid w:val="00640D68"/>
    <w:rsid w:val="00640DFD"/>
    <w:rsid w:val="00640E2A"/>
    <w:rsid w:val="00641017"/>
    <w:rsid w:val="00641059"/>
    <w:rsid w:val="006410E3"/>
    <w:rsid w:val="006415A5"/>
    <w:rsid w:val="00641675"/>
    <w:rsid w:val="006417CD"/>
    <w:rsid w:val="0064186C"/>
    <w:rsid w:val="0064186D"/>
    <w:rsid w:val="00641972"/>
    <w:rsid w:val="006419A9"/>
    <w:rsid w:val="00641B3B"/>
    <w:rsid w:val="00641C04"/>
    <w:rsid w:val="00641C96"/>
    <w:rsid w:val="00641D0E"/>
    <w:rsid w:val="0064203A"/>
    <w:rsid w:val="00642211"/>
    <w:rsid w:val="006424FE"/>
    <w:rsid w:val="006425E9"/>
    <w:rsid w:val="0064277B"/>
    <w:rsid w:val="0064296C"/>
    <w:rsid w:val="006429C7"/>
    <w:rsid w:val="00642A6E"/>
    <w:rsid w:val="00642BB1"/>
    <w:rsid w:val="00642F3C"/>
    <w:rsid w:val="00642F8D"/>
    <w:rsid w:val="00642FD6"/>
    <w:rsid w:val="00643036"/>
    <w:rsid w:val="00643171"/>
    <w:rsid w:val="00643209"/>
    <w:rsid w:val="0064321F"/>
    <w:rsid w:val="0064333B"/>
    <w:rsid w:val="00643364"/>
    <w:rsid w:val="0064368A"/>
    <w:rsid w:val="00643726"/>
    <w:rsid w:val="006438CF"/>
    <w:rsid w:val="0064395A"/>
    <w:rsid w:val="00643A50"/>
    <w:rsid w:val="00643B42"/>
    <w:rsid w:val="0064405B"/>
    <w:rsid w:val="00644074"/>
    <w:rsid w:val="006440D2"/>
    <w:rsid w:val="006441D2"/>
    <w:rsid w:val="0064438D"/>
    <w:rsid w:val="0064458C"/>
    <w:rsid w:val="0064462B"/>
    <w:rsid w:val="006446DF"/>
    <w:rsid w:val="006447B4"/>
    <w:rsid w:val="00644824"/>
    <w:rsid w:val="006448EE"/>
    <w:rsid w:val="00644A0A"/>
    <w:rsid w:val="00644A3C"/>
    <w:rsid w:val="00644B27"/>
    <w:rsid w:val="00644B42"/>
    <w:rsid w:val="00644EA0"/>
    <w:rsid w:val="00644F69"/>
    <w:rsid w:val="0064501A"/>
    <w:rsid w:val="00645109"/>
    <w:rsid w:val="006452E5"/>
    <w:rsid w:val="0064571E"/>
    <w:rsid w:val="00645905"/>
    <w:rsid w:val="0064591E"/>
    <w:rsid w:val="00645BC6"/>
    <w:rsid w:val="00645DF7"/>
    <w:rsid w:val="00645F7F"/>
    <w:rsid w:val="00646444"/>
    <w:rsid w:val="00646520"/>
    <w:rsid w:val="00646567"/>
    <w:rsid w:val="006465A7"/>
    <w:rsid w:val="00646938"/>
    <w:rsid w:val="0064698E"/>
    <w:rsid w:val="00646A22"/>
    <w:rsid w:val="00646A90"/>
    <w:rsid w:val="00646B4C"/>
    <w:rsid w:val="00646F14"/>
    <w:rsid w:val="00647119"/>
    <w:rsid w:val="0064727D"/>
    <w:rsid w:val="00647815"/>
    <w:rsid w:val="00647A7B"/>
    <w:rsid w:val="00647D31"/>
    <w:rsid w:val="0065078D"/>
    <w:rsid w:val="00650820"/>
    <w:rsid w:val="00650946"/>
    <w:rsid w:val="0065098F"/>
    <w:rsid w:val="00650A22"/>
    <w:rsid w:val="00650B5B"/>
    <w:rsid w:val="00650B7B"/>
    <w:rsid w:val="00650CF2"/>
    <w:rsid w:val="00651413"/>
    <w:rsid w:val="006515B7"/>
    <w:rsid w:val="00651759"/>
    <w:rsid w:val="0065194D"/>
    <w:rsid w:val="00651B59"/>
    <w:rsid w:val="00651BD0"/>
    <w:rsid w:val="00651BD1"/>
    <w:rsid w:val="00651D57"/>
    <w:rsid w:val="00651DD3"/>
    <w:rsid w:val="00651E2B"/>
    <w:rsid w:val="00651F89"/>
    <w:rsid w:val="006521A3"/>
    <w:rsid w:val="006522B4"/>
    <w:rsid w:val="0065267F"/>
    <w:rsid w:val="006527BB"/>
    <w:rsid w:val="00652915"/>
    <w:rsid w:val="00652AAB"/>
    <w:rsid w:val="00652B1A"/>
    <w:rsid w:val="00652DBC"/>
    <w:rsid w:val="00652EA5"/>
    <w:rsid w:val="00652F38"/>
    <w:rsid w:val="00652F4A"/>
    <w:rsid w:val="00653146"/>
    <w:rsid w:val="0065316C"/>
    <w:rsid w:val="006534DF"/>
    <w:rsid w:val="00653579"/>
    <w:rsid w:val="006539DC"/>
    <w:rsid w:val="00653DDE"/>
    <w:rsid w:val="00653DDF"/>
    <w:rsid w:val="00653E06"/>
    <w:rsid w:val="00653E66"/>
    <w:rsid w:val="006541D5"/>
    <w:rsid w:val="00654441"/>
    <w:rsid w:val="00654CE6"/>
    <w:rsid w:val="00654F03"/>
    <w:rsid w:val="0065521F"/>
    <w:rsid w:val="00655281"/>
    <w:rsid w:val="00655494"/>
    <w:rsid w:val="006559D5"/>
    <w:rsid w:val="00655AC0"/>
    <w:rsid w:val="00655B5E"/>
    <w:rsid w:val="006561B0"/>
    <w:rsid w:val="0065668F"/>
    <w:rsid w:val="00656775"/>
    <w:rsid w:val="00656857"/>
    <w:rsid w:val="00657081"/>
    <w:rsid w:val="00657143"/>
    <w:rsid w:val="00657288"/>
    <w:rsid w:val="0065745B"/>
    <w:rsid w:val="006576F2"/>
    <w:rsid w:val="00657875"/>
    <w:rsid w:val="006602E6"/>
    <w:rsid w:val="006602ED"/>
    <w:rsid w:val="00660474"/>
    <w:rsid w:val="006605C3"/>
    <w:rsid w:val="006608AF"/>
    <w:rsid w:val="006608C2"/>
    <w:rsid w:val="00660999"/>
    <w:rsid w:val="00660A72"/>
    <w:rsid w:val="00660C3A"/>
    <w:rsid w:val="00660D46"/>
    <w:rsid w:val="006612E7"/>
    <w:rsid w:val="00661354"/>
    <w:rsid w:val="0066135B"/>
    <w:rsid w:val="006614D6"/>
    <w:rsid w:val="006615D6"/>
    <w:rsid w:val="006616DA"/>
    <w:rsid w:val="00661777"/>
    <w:rsid w:val="006617F2"/>
    <w:rsid w:val="0066184F"/>
    <w:rsid w:val="006618A8"/>
    <w:rsid w:val="006619D6"/>
    <w:rsid w:val="00661DA8"/>
    <w:rsid w:val="00661DB9"/>
    <w:rsid w:val="00662234"/>
    <w:rsid w:val="006623C5"/>
    <w:rsid w:val="006623E5"/>
    <w:rsid w:val="0066252F"/>
    <w:rsid w:val="00662857"/>
    <w:rsid w:val="00662978"/>
    <w:rsid w:val="00662A64"/>
    <w:rsid w:val="00662C0D"/>
    <w:rsid w:val="00662F80"/>
    <w:rsid w:val="00663219"/>
    <w:rsid w:val="006632F9"/>
    <w:rsid w:val="006633C5"/>
    <w:rsid w:val="00663433"/>
    <w:rsid w:val="00663447"/>
    <w:rsid w:val="0066349C"/>
    <w:rsid w:val="00663506"/>
    <w:rsid w:val="006635E4"/>
    <w:rsid w:val="00663942"/>
    <w:rsid w:val="00663A3E"/>
    <w:rsid w:val="00663F94"/>
    <w:rsid w:val="00664022"/>
    <w:rsid w:val="006640D5"/>
    <w:rsid w:val="0066445D"/>
    <w:rsid w:val="00664C59"/>
    <w:rsid w:val="00664CD9"/>
    <w:rsid w:val="00664D1D"/>
    <w:rsid w:val="0066508D"/>
    <w:rsid w:val="006650A6"/>
    <w:rsid w:val="006650D5"/>
    <w:rsid w:val="0066522F"/>
    <w:rsid w:val="0066529F"/>
    <w:rsid w:val="0066532F"/>
    <w:rsid w:val="00665331"/>
    <w:rsid w:val="0066557C"/>
    <w:rsid w:val="006656D4"/>
    <w:rsid w:val="006657E0"/>
    <w:rsid w:val="00665A1B"/>
    <w:rsid w:val="00665A84"/>
    <w:rsid w:val="00665B29"/>
    <w:rsid w:val="00665B70"/>
    <w:rsid w:val="00665DEB"/>
    <w:rsid w:val="00665EDF"/>
    <w:rsid w:val="00665F46"/>
    <w:rsid w:val="00665F7C"/>
    <w:rsid w:val="00665FB3"/>
    <w:rsid w:val="006661BB"/>
    <w:rsid w:val="006666CE"/>
    <w:rsid w:val="00666869"/>
    <w:rsid w:val="006668B8"/>
    <w:rsid w:val="006668E4"/>
    <w:rsid w:val="00666BC0"/>
    <w:rsid w:val="0066709F"/>
    <w:rsid w:val="0066739F"/>
    <w:rsid w:val="0066793B"/>
    <w:rsid w:val="00667948"/>
    <w:rsid w:val="00667AD7"/>
    <w:rsid w:val="00667CAB"/>
    <w:rsid w:val="00667CCD"/>
    <w:rsid w:val="00667DF1"/>
    <w:rsid w:val="00667DF6"/>
    <w:rsid w:val="00667F86"/>
    <w:rsid w:val="006702C8"/>
    <w:rsid w:val="0067035F"/>
    <w:rsid w:val="0067044D"/>
    <w:rsid w:val="00670559"/>
    <w:rsid w:val="006709CC"/>
    <w:rsid w:val="00670B01"/>
    <w:rsid w:val="00671153"/>
    <w:rsid w:val="0067123E"/>
    <w:rsid w:val="006712B9"/>
    <w:rsid w:val="006713D2"/>
    <w:rsid w:val="00671448"/>
    <w:rsid w:val="006714E4"/>
    <w:rsid w:val="006716F9"/>
    <w:rsid w:val="006718FA"/>
    <w:rsid w:val="0067196C"/>
    <w:rsid w:val="00671A44"/>
    <w:rsid w:val="00671A69"/>
    <w:rsid w:val="00671B8A"/>
    <w:rsid w:val="00671BE4"/>
    <w:rsid w:val="00671D15"/>
    <w:rsid w:val="00671F9E"/>
    <w:rsid w:val="00671FBC"/>
    <w:rsid w:val="00672083"/>
    <w:rsid w:val="00672146"/>
    <w:rsid w:val="00672390"/>
    <w:rsid w:val="006723DE"/>
    <w:rsid w:val="006724FC"/>
    <w:rsid w:val="0067250C"/>
    <w:rsid w:val="006729E8"/>
    <w:rsid w:val="00672B23"/>
    <w:rsid w:val="00672C4E"/>
    <w:rsid w:val="00672FF7"/>
    <w:rsid w:val="00673026"/>
    <w:rsid w:val="00673105"/>
    <w:rsid w:val="00673173"/>
    <w:rsid w:val="006735AE"/>
    <w:rsid w:val="0067382E"/>
    <w:rsid w:val="0067397C"/>
    <w:rsid w:val="00673A08"/>
    <w:rsid w:val="00673A7E"/>
    <w:rsid w:val="00673A9B"/>
    <w:rsid w:val="00673C8D"/>
    <w:rsid w:val="00673CF6"/>
    <w:rsid w:val="00673E0E"/>
    <w:rsid w:val="00673F67"/>
    <w:rsid w:val="00673FC1"/>
    <w:rsid w:val="0067419F"/>
    <w:rsid w:val="00674260"/>
    <w:rsid w:val="0067494C"/>
    <w:rsid w:val="00674ACF"/>
    <w:rsid w:val="00674D3F"/>
    <w:rsid w:val="00674F4D"/>
    <w:rsid w:val="006751CA"/>
    <w:rsid w:val="006752CF"/>
    <w:rsid w:val="00675480"/>
    <w:rsid w:val="006755E1"/>
    <w:rsid w:val="0067563D"/>
    <w:rsid w:val="00675D68"/>
    <w:rsid w:val="0067680E"/>
    <w:rsid w:val="00676C81"/>
    <w:rsid w:val="00676CD4"/>
    <w:rsid w:val="0067747A"/>
    <w:rsid w:val="00677491"/>
    <w:rsid w:val="006774E1"/>
    <w:rsid w:val="006777EB"/>
    <w:rsid w:val="00677884"/>
    <w:rsid w:val="006778FC"/>
    <w:rsid w:val="006779A8"/>
    <w:rsid w:val="006779C1"/>
    <w:rsid w:val="00677C4E"/>
    <w:rsid w:val="00677CCD"/>
    <w:rsid w:val="00677DF7"/>
    <w:rsid w:val="00677F49"/>
    <w:rsid w:val="00677F6D"/>
    <w:rsid w:val="00680005"/>
    <w:rsid w:val="00680049"/>
    <w:rsid w:val="006800A1"/>
    <w:rsid w:val="00680198"/>
    <w:rsid w:val="006801A3"/>
    <w:rsid w:val="00680324"/>
    <w:rsid w:val="00680371"/>
    <w:rsid w:val="006804BD"/>
    <w:rsid w:val="00680504"/>
    <w:rsid w:val="0068052E"/>
    <w:rsid w:val="00680555"/>
    <w:rsid w:val="006805D7"/>
    <w:rsid w:val="00680672"/>
    <w:rsid w:val="006806E0"/>
    <w:rsid w:val="006807C4"/>
    <w:rsid w:val="0068086A"/>
    <w:rsid w:val="00680AF8"/>
    <w:rsid w:val="00680E63"/>
    <w:rsid w:val="00681207"/>
    <w:rsid w:val="006815CD"/>
    <w:rsid w:val="006816E6"/>
    <w:rsid w:val="006816F6"/>
    <w:rsid w:val="0068176E"/>
    <w:rsid w:val="0068178E"/>
    <w:rsid w:val="0068179C"/>
    <w:rsid w:val="00681901"/>
    <w:rsid w:val="0068193E"/>
    <w:rsid w:val="006819E7"/>
    <w:rsid w:val="00681C1E"/>
    <w:rsid w:val="00682030"/>
    <w:rsid w:val="0068238D"/>
    <w:rsid w:val="00682564"/>
    <w:rsid w:val="006825C4"/>
    <w:rsid w:val="00682600"/>
    <w:rsid w:val="0068261D"/>
    <w:rsid w:val="006828A9"/>
    <w:rsid w:val="00682B7C"/>
    <w:rsid w:val="00682D37"/>
    <w:rsid w:val="00683219"/>
    <w:rsid w:val="0068321F"/>
    <w:rsid w:val="006832FB"/>
    <w:rsid w:val="00683438"/>
    <w:rsid w:val="006837A9"/>
    <w:rsid w:val="00683816"/>
    <w:rsid w:val="00683985"/>
    <w:rsid w:val="00683ADE"/>
    <w:rsid w:val="00683C6A"/>
    <w:rsid w:val="00683C74"/>
    <w:rsid w:val="00684008"/>
    <w:rsid w:val="00684192"/>
    <w:rsid w:val="00684526"/>
    <w:rsid w:val="006847ED"/>
    <w:rsid w:val="00684A33"/>
    <w:rsid w:val="00684BB7"/>
    <w:rsid w:val="00684C06"/>
    <w:rsid w:val="00684D41"/>
    <w:rsid w:val="00684E0E"/>
    <w:rsid w:val="00684ECA"/>
    <w:rsid w:val="00684ED5"/>
    <w:rsid w:val="00685807"/>
    <w:rsid w:val="006858C3"/>
    <w:rsid w:val="006859E2"/>
    <w:rsid w:val="00685AF2"/>
    <w:rsid w:val="00685FCA"/>
    <w:rsid w:val="006865E4"/>
    <w:rsid w:val="0068670B"/>
    <w:rsid w:val="00686746"/>
    <w:rsid w:val="00686A6D"/>
    <w:rsid w:val="00686AF2"/>
    <w:rsid w:val="00686BFE"/>
    <w:rsid w:val="00686C52"/>
    <w:rsid w:val="00686DA4"/>
    <w:rsid w:val="00686E93"/>
    <w:rsid w:val="006873A9"/>
    <w:rsid w:val="006874CE"/>
    <w:rsid w:val="0068757C"/>
    <w:rsid w:val="006876B5"/>
    <w:rsid w:val="006876BE"/>
    <w:rsid w:val="00687706"/>
    <w:rsid w:val="00687D1D"/>
    <w:rsid w:val="00687D7A"/>
    <w:rsid w:val="00687E41"/>
    <w:rsid w:val="00687F26"/>
    <w:rsid w:val="00690066"/>
    <w:rsid w:val="0069018B"/>
    <w:rsid w:val="006901A0"/>
    <w:rsid w:val="006902D9"/>
    <w:rsid w:val="006903A4"/>
    <w:rsid w:val="00690507"/>
    <w:rsid w:val="006908C7"/>
    <w:rsid w:val="00690AD2"/>
    <w:rsid w:val="00690C92"/>
    <w:rsid w:val="00690DA5"/>
    <w:rsid w:val="00690EDF"/>
    <w:rsid w:val="00690EE9"/>
    <w:rsid w:val="00690F50"/>
    <w:rsid w:val="00690F8E"/>
    <w:rsid w:val="00691111"/>
    <w:rsid w:val="0069115B"/>
    <w:rsid w:val="006911E6"/>
    <w:rsid w:val="006911FB"/>
    <w:rsid w:val="00691420"/>
    <w:rsid w:val="00691516"/>
    <w:rsid w:val="006916A3"/>
    <w:rsid w:val="006916F7"/>
    <w:rsid w:val="006917A0"/>
    <w:rsid w:val="006919DD"/>
    <w:rsid w:val="00691A09"/>
    <w:rsid w:val="00691D4F"/>
    <w:rsid w:val="00691E54"/>
    <w:rsid w:val="00691ED1"/>
    <w:rsid w:val="0069202C"/>
    <w:rsid w:val="00692469"/>
    <w:rsid w:val="00692699"/>
    <w:rsid w:val="006928A0"/>
    <w:rsid w:val="006928EF"/>
    <w:rsid w:val="00692927"/>
    <w:rsid w:val="00692F7B"/>
    <w:rsid w:val="006930FD"/>
    <w:rsid w:val="0069322F"/>
    <w:rsid w:val="0069323F"/>
    <w:rsid w:val="00693267"/>
    <w:rsid w:val="0069358B"/>
    <w:rsid w:val="006935DC"/>
    <w:rsid w:val="00693776"/>
    <w:rsid w:val="006937B2"/>
    <w:rsid w:val="00693ABB"/>
    <w:rsid w:val="00693BAE"/>
    <w:rsid w:val="00693E75"/>
    <w:rsid w:val="00693F20"/>
    <w:rsid w:val="00694038"/>
    <w:rsid w:val="006942CE"/>
    <w:rsid w:val="006944E2"/>
    <w:rsid w:val="006944F0"/>
    <w:rsid w:val="0069451E"/>
    <w:rsid w:val="006945C3"/>
    <w:rsid w:val="00694666"/>
    <w:rsid w:val="006946E3"/>
    <w:rsid w:val="006947F2"/>
    <w:rsid w:val="00694855"/>
    <w:rsid w:val="0069496B"/>
    <w:rsid w:val="00694998"/>
    <w:rsid w:val="006949FA"/>
    <w:rsid w:val="00694A00"/>
    <w:rsid w:val="00694B87"/>
    <w:rsid w:val="00694C19"/>
    <w:rsid w:val="00694D89"/>
    <w:rsid w:val="00694DB4"/>
    <w:rsid w:val="00694DF5"/>
    <w:rsid w:val="006950E1"/>
    <w:rsid w:val="00695303"/>
    <w:rsid w:val="00695386"/>
    <w:rsid w:val="00695406"/>
    <w:rsid w:val="00695757"/>
    <w:rsid w:val="00695CAE"/>
    <w:rsid w:val="006960EC"/>
    <w:rsid w:val="006962BC"/>
    <w:rsid w:val="00696767"/>
    <w:rsid w:val="00696806"/>
    <w:rsid w:val="00696AD5"/>
    <w:rsid w:val="00696AFE"/>
    <w:rsid w:val="00696B24"/>
    <w:rsid w:val="00696BFF"/>
    <w:rsid w:val="00696DF0"/>
    <w:rsid w:val="00696F7D"/>
    <w:rsid w:val="006970A2"/>
    <w:rsid w:val="0069738F"/>
    <w:rsid w:val="00697AFD"/>
    <w:rsid w:val="00697FB7"/>
    <w:rsid w:val="006A01CE"/>
    <w:rsid w:val="006A021B"/>
    <w:rsid w:val="006A0272"/>
    <w:rsid w:val="006A02BD"/>
    <w:rsid w:val="006A03BB"/>
    <w:rsid w:val="006A0505"/>
    <w:rsid w:val="006A059B"/>
    <w:rsid w:val="006A0677"/>
    <w:rsid w:val="006A0714"/>
    <w:rsid w:val="006A0962"/>
    <w:rsid w:val="006A0C8E"/>
    <w:rsid w:val="006A0EC1"/>
    <w:rsid w:val="006A0F6F"/>
    <w:rsid w:val="006A125B"/>
    <w:rsid w:val="006A12CE"/>
    <w:rsid w:val="006A135F"/>
    <w:rsid w:val="006A17E0"/>
    <w:rsid w:val="006A1933"/>
    <w:rsid w:val="006A1CDE"/>
    <w:rsid w:val="006A1DC3"/>
    <w:rsid w:val="006A1E67"/>
    <w:rsid w:val="006A1FE3"/>
    <w:rsid w:val="006A20E5"/>
    <w:rsid w:val="006A227B"/>
    <w:rsid w:val="006A2351"/>
    <w:rsid w:val="006A2B1D"/>
    <w:rsid w:val="006A33BE"/>
    <w:rsid w:val="006A3604"/>
    <w:rsid w:val="006A3656"/>
    <w:rsid w:val="006A3676"/>
    <w:rsid w:val="006A3862"/>
    <w:rsid w:val="006A38D7"/>
    <w:rsid w:val="006A39BC"/>
    <w:rsid w:val="006A3B8C"/>
    <w:rsid w:val="006A3CC6"/>
    <w:rsid w:val="006A3CFB"/>
    <w:rsid w:val="006A3F1F"/>
    <w:rsid w:val="006A3FAC"/>
    <w:rsid w:val="006A4235"/>
    <w:rsid w:val="006A435F"/>
    <w:rsid w:val="006A4630"/>
    <w:rsid w:val="006A46DA"/>
    <w:rsid w:val="006A4967"/>
    <w:rsid w:val="006A496E"/>
    <w:rsid w:val="006A4B29"/>
    <w:rsid w:val="006A4C35"/>
    <w:rsid w:val="006A4D14"/>
    <w:rsid w:val="006A5158"/>
    <w:rsid w:val="006A51A2"/>
    <w:rsid w:val="006A58C3"/>
    <w:rsid w:val="006A595D"/>
    <w:rsid w:val="006A5A87"/>
    <w:rsid w:val="006A5AB3"/>
    <w:rsid w:val="006A5E7F"/>
    <w:rsid w:val="006A5ECB"/>
    <w:rsid w:val="006A60D3"/>
    <w:rsid w:val="006A61C4"/>
    <w:rsid w:val="006A63D8"/>
    <w:rsid w:val="006A67A6"/>
    <w:rsid w:val="006A6937"/>
    <w:rsid w:val="006A6B31"/>
    <w:rsid w:val="006A6F26"/>
    <w:rsid w:val="006A6F54"/>
    <w:rsid w:val="006A70A6"/>
    <w:rsid w:val="006A74CF"/>
    <w:rsid w:val="006A7674"/>
    <w:rsid w:val="006A76BF"/>
    <w:rsid w:val="006A7772"/>
    <w:rsid w:val="006A778D"/>
    <w:rsid w:val="006A7A6E"/>
    <w:rsid w:val="006A7A9C"/>
    <w:rsid w:val="006A7DB6"/>
    <w:rsid w:val="006A7F9A"/>
    <w:rsid w:val="006B00F4"/>
    <w:rsid w:val="006B0366"/>
    <w:rsid w:val="006B03F2"/>
    <w:rsid w:val="006B0462"/>
    <w:rsid w:val="006B08A9"/>
    <w:rsid w:val="006B09F3"/>
    <w:rsid w:val="006B0A31"/>
    <w:rsid w:val="006B0BA2"/>
    <w:rsid w:val="006B0BD5"/>
    <w:rsid w:val="006B0C9C"/>
    <w:rsid w:val="006B10A6"/>
    <w:rsid w:val="006B10A9"/>
    <w:rsid w:val="006B1133"/>
    <w:rsid w:val="006B115A"/>
    <w:rsid w:val="006B128D"/>
    <w:rsid w:val="006B1322"/>
    <w:rsid w:val="006B18AA"/>
    <w:rsid w:val="006B1BBB"/>
    <w:rsid w:val="006B1EF7"/>
    <w:rsid w:val="006B1F32"/>
    <w:rsid w:val="006B22EF"/>
    <w:rsid w:val="006B27D0"/>
    <w:rsid w:val="006B2A0C"/>
    <w:rsid w:val="006B2AB6"/>
    <w:rsid w:val="006B2AF2"/>
    <w:rsid w:val="006B2DFA"/>
    <w:rsid w:val="006B30C0"/>
    <w:rsid w:val="006B3233"/>
    <w:rsid w:val="006B32B2"/>
    <w:rsid w:val="006B36F1"/>
    <w:rsid w:val="006B376A"/>
    <w:rsid w:val="006B3927"/>
    <w:rsid w:val="006B3A5B"/>
    <w:rsid w:val="006B3AB6"/>
    <w:rsid w:val="006B3B61"/>
    <w:rsid w:val="006B3D65"/>
    <w:rsid w:val="006B4023"/>
    <w:rsid w:val="006B43A5"/>
    <w:rsid w:val="006B464D"/>
    <w:rsid w:val="006B4A69"/>
    <w:rsid w:val="006B4A8C"/>
    <w:rsid w:val="006B4B6D"/>
    <w:rsid w:val="006B4DE3"/>
    <w:rsid w:val="006B4E04"/>
    <w:rsid w:val="006B4E87"/>
    <w:rsid w:val="006B573E"/>
    <w:rsid w:val="006B579D"/>
    <w:rsid w:val="006B58BE"/>
    <w:rsid w:val="006B5DF2"/>
    <w:rsid w:val="006B5F71"/>
    <w:rsid w:val="006B5FCC"/>
    <w:rsid w:val="006B61DE"/>
    <w:rsid w:val="006B62AC"/>
    <w:rsid w:val="006B63EB"/>
    <w:rsid w:val="006B6413"/>
    <w:rsid w:val="006B6571"/>
    <w:rsid w:val="006B67FA"/>
    <w:rsid w:val="006B69FB"/>
    <w:rsid w:val="006B6A8F"/>
    <w:rsid w:val="006B6B1C"/>
    <w:rsid w:val="006B6C9E"/>
    <w:rsid w:val="006B6CE1"/>
    <w:rsid w:val="006B7067"/>
    <w:rsid w:val="006B70A3"/>
    <w:rsid w:val="006B74A3"/>
    <w:rsid w:val="006B7986"/>
    <w:rsid w:val="006B7D22"/>
    <w:rsid w:val="006B7D95"/>
    <w:rsid w:val="006B7E80"/>
    <w:rsid w:val="006C0045"/>
    <w:rsid w:val="006C0086"/>
    <w:rsid w:val="006C0216"/>
    <w:rsid w:val="006C02D6"/>
    <w:rsid w:val="006C09AF"/>
    <w:rsid w:val="006C0A6C"/>
    <w:rsid w:val="006C0A94"/>
    <w:rsid w:val="006C1133"/>
    <w:rsid w:val="006C16C8"/>
    <w:rsid w:val="006C1765"/>
    <w:rsid w:val="006C1875"/>
    <w:rsid w:val="006C1961"/>
    <w:rsid w:val="006C1A70"/>
    <w:rsid w:val="006C1CCA"/>
    <w:rsid w:val="006C1EA6"/>
    <w:rsid w:val="006C1EBD"/>
    <w:rsid w:val="006C206C"/>
    <w:rsid w:val="006C2095"/>
    <w:rsid w:val="006C218D"/>
    <w:rsid w:val="006C226B"/>
    <w:rsid w:val="006C2358"/>
    <w:rsid w:val="006C2464"/>
    <w:rsid w:val="006C2551"/>
    <w:rsid w:val="006C261F"/>
    <w:rsid w:val="006C26AD"/>
    <w:rsid w:val="006C2AE2"/>
    <w:rsid w:val="006C2FBC"/>
    <w:rsid w:val="006C3149"/>
    <w:rsid w:val="006C3164"/>
    <w:rsid w:val="006C3381"/>
    <w:rsid w:val="006C351C"/>
    <w:rsid w:val="006C35AE"/>
    <w:rsid w:val="006C39FD"/>
    <w:rsid w:val="006C3C2F"/>
    <w:rsid w:val="006C3CBF"/>
    <w:rsid w:val="006C3D6A"/>
    <w:rsid w:val="006C3E13"/>
    <w:rsid w:val="006C3F05"/>
    <w:rsid w:val="006C4031"/>
    <w:rsid w:val="006C40FF"/>
    <w:rsid w:val="006C411D"/>
    <w:rsid w:val="006C4282"/>
    <w:rsid w:val="006C43F8"/>
    <w:rsid w:val="006C4502"/>
    <w:rsid w:val="006C4692"/>
    <w:rsid w:val="006C49CD"/>
    <w:rsid w:val="006C4B9F"/>
    <w:rsid w:val="006C4CC1"/>
    <w:rsid w:val="006C4CC8"/>
    <w:rsid w:val="006C4DAA"/>
    <w:rsid w:val="006C4DEF"/>
    <w:rsid w:val="006C4FC1"/>
    <w:rsid w:val="006C5375"/>
    <w:rsid w:val="006C5473"/>
    <w:rsid w:val="006C55AD"/>
    <w:rsid w:val="006C5ADA"/>
    <w:rsid w:val="006C5B15"/>
    <w:rsid w:val="006C5C09"/>
    <w:rsid w:val="006C5C54"/>
    <w:rsid w:val="006C5DDC"/>
    <w:rsid w:val="006C5FFA"/>
    <w:rsid w:val="006C614E"/>
    <w:rsid w:val="006C64C6"/>
    <w:rsid w:val="006C66EC"/>
    <w:rsid w:val="006C67E1"/>
    <w:rsid w:val="006C68F0"/>
    <w:rsid w:val="006C6AF3"/>
    <w:rsid w:val="006C6C4F"/>
    <w:rsid w:val="006C6E88"/>
    <w:rsid w:val="006C7238"/>
    <w:rsid w:val="006C7263"/>
    <w:rsid w:val="006C74BE"/>
    <w:rsid w:val="006C75D5"/>
    <w:rsid w:val="006C77AC"/>
    <w:rsid w:val="006C77B5"/>
    <w:rsid w:val="006C783E"/>
    <w:rsid w:val="006C78AA"/>
    <w:rsid w:val="006C7AB6"/>
    <w:rsid w:val="006C7CF5"/>
    <w:rsid w:val="006C7E30"/>
    <w:rsid w:val="006D000D"/>
    <w:rsid w:val="006D040B"/>
    <w:rsid w:val="006D0749"/>
    <w:rsid w:val="006D07E2"/>
    <w:rsid w:val="006D0A0E"/>
    <w:rsid w:val="006D0AA8"/>
    <w:rsid w:val="006D0C70"/>
    <w:rsid w:val="006D0D71"/>
    <w:rsid w:val="006D11FD"/>
    <w:rsid w:val="006D1396"/>
    <w:rsid w:val="006D17B0"/>
    <w:rsid w:val="006D18A8"/>
    <w:rsid w:val="006D1B56"/>
    <w:rsid w:val="006D1C48"/>
    <w:rsid w:val="006D1D4A"/>
    <w:rsid w:val="006D1DC1"/>
    <w:rsid w:val="006D1DC5"/>
    <w:rsid w:val="006D1E3A"/>
    <w:rsid w:val="006D20E7"/>
    <w:rsid w:val="006D218E"/>
    <w:rsid w:val="006D2224"/>
    <w:rsid w:val="006D27EF"/>
    <w:rsid w:val="006D2A5C"/>
    <w:rsid w:val="006D2B8C"/>
    <w:rsid w:val="006D2B9D"/>
    <w:rsid w:val="006D2C60"/>
    <w:rsid w:val="006D2FD5"/>
    <w:rsid w:val="006D304E"/>
    <w:rsid w:val="006D31D6"/>
    <w:rsid w:val="006D324E"/>
    <w:rsid w:val="006D3332"/>
    <w:rsid w:val="006D333C"/>
    <w:rsid w:val="006D343C"/>
    <w:rsid w:val="006D3491"/>
    <w:rsid w:val="006D35EC"/>
    <w:rsid w:val="006D364E"/>
    <w:rsid w:val="006D37C9"/>
    <w:rsid w:val="006D38F4"/>
    <w:rsid w:val="006D3952"/>
    <w:rsid w:val="006D3B80"/>
    <w:rsid w:val="006D3C5C"/>
    <w:rsid w:val="006D42E4"/>
    <w:rsid w:val="006D442E"/>
    <w:rsid w:val="006D45E9"/>
    <w:rsid w:val="006D46B4"/>
    <w:rsid w:val="006D4708"/>
    <w:rsid w:val="006D4A03"/>
    <w:rsid w:val="006D4B3A"/>
    <w:rsid w:val="006D4C3F"/>
    <w:rsid w:val="006D4F05"/>
    <w:rsid w:val="006D4F28"/>
    <w:rsid w:val="006D4F34"/>
    <w:rsid w:val="006D507F"/>
    <w:rsid w:val="006D5221"/>
    <w:rsid w:val="006D52BB"/>
    <w:rsid w:val="006D5315"/>
    <w:rsid w:val="006D55CF"/>
    <w:rsid w:val="006D56D5"/>
    <w:rsid w:val="006D5717"/>
    <w:rsid w:val="006D5E38"/>
    <w:rsid w:val="006D60B5"/>
    <w:rsid w:val="006D6142"/>
    <w:rsid w:val="006D6194"/>
    <w:rsid w:val="006D63C1"/>
    <w:rsid w:val="006D640C"/>
    <w:rsid w:val="006D66B0"/>
    <w:rsid w:val="006D66FD"/>
    <w:rsid w:val="006D672D"/>
    <w:rsid w:val="006D674B"/>
    <w:rsid w:val="006D6ABF"/>
    <w:rsid w:val="006D6BDF"/>
    <w:rsid w:val="006D6D12"/>
    <w:rsid w:val="006D7120"/>
    <w:rsid w:val="006D75B2"/>
    <w:rsid w:val="006D75D7"/>
    <w:rsid w:val="006D75F1"/>
    <w:rsid w:val="006D76A6"/>
    <w:rsid w:val="006D7729"/>
    <w:rsid w:val="006D7E70"/>
    <w:rsid w:val="006D7F0B"/>
    <w:rsid w:val="006D7F40"/>
    <w:rsid w:val="006D7FDB"/>
    <w:rsid w:val="006E01DC"/>
    <w:rsid w:val="006E029E"/>
    <w:rsid w:val="006E02F8"/>
    <w:rsid w:val="006E0311"/>
    <w:rsid w:val="006E0312"/>
    <w:rsid w:val="006E059F"/>
    <w:rsid w:val="006E05D9"/>
    <w:rsid w:val="006E074E"/>
    <w:rsid w:val="006E0AB7"/>
    <w:rsid w:val="006E0C63"/>
    <w:rsid w:val="006E0E70"/>
    <w:rsid w:val="006E0EE4"/>
    <w:rsid w:val="006E108C"/>
    <w:rsid w:val="006E10E4"/>
    <w:rsid w:val="006E110B"/>
    <w:rsid w:val="006E1145"/>
    <w:rsid w:val="006E180F"/>
    <w:rsid w:val="006E1DF0"/>
    <w:rsid w:val="006E208F"/>
    <w:rsid w:val="006E2143"/>
    <w:rsid w:val="006E2712"/>
    <w:rsid w:val="006E27DF"/>
    <w:rsid w:val="006E2807"/>
    <w:rsid w:val="006E2902"/>
    <w:rsid w:val="006E2A00"/>
    <w:rsid w:val="006E2B62"/>
    <w:rsid w:val="006E2B98"/>
    <w:rsid w:val="006E2D95"/>
    <w:rsid w:val="006E2DBF"/>
    <w:rsid w:val="006E2E17"/>
    <w:rsid w:val="006E30E9"/>
    <w:rsid w:val="006E3122"/>
    <w:rsid w:val="006E3401"/>
    <w:rsid w:val="006E36DD"/>
    <w:rsid w:val="006E3798"/>
    <w:rsid w:val="006E37EF"/>
    <w:rsid w:val="006E383D"/>
    <w:rsid w:val="006E386F"/>
    <w:rsid w:val="006E3A5D"/>
    <w:rsid w:val="006E3C11"/>
    <w:rsid w:val="006E3CB0"/>
    <w:rsid w:val="006E3D28"/>
    <w:rsid w:val="006E4038"/>
    <w:rsid w:val="006E455F"/>
    <w:rsid w:val="006E45D7"/>
    <w:rsid w:val="006E45F7"/>
    <w:rsid w:val="006E4812"/>
    <w:rsid w:val="006E4818"/>
    <w:rsid w:val="006E493B"/>
    <w:rsid w:val="006E4A0F"/>
    <w:rsid w:val="006E4A6C"/>
    <w:rsid w:val="006E4AEE"/>
    <w:rsid w:val="006E4AEF"/>
    <w:rsid w:val="006E4AF9"/>
    <w:rsid w:val="006E4D07"/>
    <w:rsid w:val="006E4E3D"/>
    <w:rsid w:val="006E4E4C"/>
    <w:rsid w:val="006E4F34"/>
    <w:rsid w:val="006E51E5"/>
    <w:rsid w:val="006E5647"/>
    <w:rsid w:val="006E57E0"/>
    <w:rsid w:val="006E5966"/>
    <w:rsid w:val="006E5ABB"/>
    <w:rsid w:val="006E5BD9"/>
    <w:rsid w:val="006E5C34"/>
    <w:rsid w:val="006E5CA1"/>
    <w:rsid w:val="006E5DDB"/>
    <w:rsid w:val="006E5E54"/>
    <w:rsid w:val="006E6035"/>
    <w:rsid w:val="006E60B8"/>
    <w:rsid w:val="006E64E7"/>
    <w:rsid w:val="006E67C1"/>
    <w:rsid w:val="006E6AAD"/>
    <w:rsid w:val="006E6B22"/>
    <w:rsid w:val="006E6C95"/>
    <w:rsid w:val="006E6D05"/>
    <w:rsid w:val="006E757A"/>
    <w:rsid w:val="006E7659"/>
    <w:rsid w:val="006E7AF7"/>
    <w:rsid w:val="006E7D57"/>
    <w:rsid w:val="006E7E63"/>
    <w:rsid w:val="006E7F5D"/>
    <w:rsid w:val="006F00D9"/>
    <w:rsid w:val="006F00DD"/>
    <w:rsid w:val="006F032D"/>
    <w:rsid w:val="006F050A"/>
    <w:rsid w:val="006F0569"/>
    <w:rsid w:val="006F0692"/>
    <w:rsid w:val="006F070A"/>
    <w:rsid w:val="006F07A6"/>
    <w:rsid w:val="006F07B4"/>
    <w:rsid w:val="006F0A7B"/>
    <w:rsid w:val="006F0B2E"/>
    <w:rsid w:val="006F0D8E"/>
    <w:rsid w:val="006F0E0B"/>
    <w:rsid w:val="006F0E8D"/>
    <w:rsid w:val="006F1039"/>
    <w:rsid w:val="006F11C7"/>
    <w:rsid w:val="006F12CC"/>
    <w:rsid w:val="006F1333"/>
    <w:rsid w:val="006F14D7"/>
    <w:rsid w:val="006F1694"/>
    <w:rsid w:val="006F1744"/>
    <w:rsid w:val="006F1B37"/>
    <w:rsid w:val="006F1B55"/>
    <w:rsid w:val="006F1BD7"/>
    <w:rsid w:val="006F1EE7"/>
    <w:rsid w:val="006F20A5"/>
    <w:rsid w:val="006F2440"/>
    <w:rsid w:val="006F24DF"/>
    <w:rsid w:val="006F2538"/>
    <w:rsid w:val="006F28E7"/>
    <w:rsid w:val="006F290E"/>
    <w:rsid w:val="006F2925"/>
    <w:rsid w:val="006F2A21"/>
    <w:rsid w:val="006F2A2F"/>
    <w:rsid w:val="006F2A77"/>
    <w:rsid w:val="006F2AE6"/>
    <w:rsid w:val="006F2B3B"/>
    <w:rsid w:val="006F2C07"/>
    <w:rsid w:val="006F2FDB"/>
    <w:rsid w:val="006F2FE0"/>
    <w:rsid w:val="006F30A2"/>
    <w:rsid w:val="006F3102"/>
    <w:rsid w:val="006F3139"/>
    <w:rsid w:val="006F33E9"/>
    <w:rsid w:val="006F344B"/>
    <w:rsid w:val="006F35B4"/>
    <w:rsid w:val="006F369E"/>
    <w:rsid w:val="006F3737"/>
    <w:rsid w:val="006F3BF6"/>
    <w:rsid w:val="006F3EF3"/>
    <w:rsid w:val="006F3F2B"/>
    <w:rsid w:val="006F4354"/>
    <w:rsid w:val="006F490F"/>
    <w:rsid w:val="006F49E6"/>
    <w:rsid w:val="006F4A45"/>
    <w:rsid w:val="006F4B37"/>
    <w:rsid w:val="006F4BC9"/>
    <w:rsid w:val="006F4D87"/>
    <w:rsid w:val="006F4F85"/>
    <w:rsid w:val="006F4FA3"/>
    <w:rsid w:val="006F51CE"/>
    <w:rsid w:val="006F59BD"/>
    <w:rsid w:val="006F5AC7"/>
    <w:rsid w:val="006F5AF3"/>
    <w:rsid w:val="006F5B59"/>
    <w:rsid w:val="006F5C66"/>
    <w:rsid w:val="006F5F75"/>
    <w:rsid w:val="006F6123"/>
    <w:rsid w:val="006F6148"/>
    <w:rsid w:val="006F6308"/>
    <w:rsid w:val="006F63C5"/>
    <w:rsid w:val="006F6589"/>
    <w:rsid w:val="006F67F9"/>
    <w:rsid w:val="006F6997"/>
    <w:rsid w:val="006F6C45"/>
    <w:rsid w:val="006F6CC4"/>
    <w:rsid w:val="006F6F34"/>
    <w:rsid w:val="006F71BC"/>
    <w:rsid w:val="006F7206"/>
    <w:rsid w:val="006F7304"/>
    <w:rsid w:val="006F7314"/>
    <w:rsid w:val="006F73F8"/>
    <w:rsid w:val="006F7406"/>
    <w:rsid w:val="006F75C2"/>
    <w:rsid w:val="006F76C6"/>
    <w:rsid w:val="006F7783"/>
    <w:rsid w:val="006F785E"/>
    <w:rsid w:val="006F79F5"/>
    <w:rsid w:val="006F7ABA"/>
    <w:rsid w:val="006F7BCC"/>
    <w:rsid w:val="006F7D07"/>
    <w:rsid w:val="006F7D16"/>
    <w:rsid w:val="006F7DD8"/>
    <w:rsid w:val="006F7FDE"/>
    <w:rsid w:val="00700275"/>
    <w:rsid w:val="00700282"/>
    <w:rsid w:val="007004EA"/>
    <w:rsid w:val="007004F0"/>
    <w:rsid w:val="0070089E"/>
    <w:rsid w:val="00700CEE"/>
    <w:rsid w:val="00700EAF"/>
    <w:rsid w:val="00700EDE"/>
    <w:rsid w:val="0070136F"/>
    <w:rsid w:val="00701BDB"/>
    <w:rsid w:val="00701F92"/>
    <w:rsid w:val="007021C1"/>
    <w:rsid w:val="007022B7"/>
    <w:rsid w:val="007024A4"/>
    <w:rsid w:val="00702528"/>
    <w:rsid w:val="00702530"/>
    <w:rsid w:val="0070262D"/>
    <w:rsid w:val="0070297D"/>
    <w:rsid w:val="007029D5"/>
    <w:rsid w:val="00702AA3"/>
    <w:rsid w:val="00702AEA"/>
    <w:rsid w:val="00702B1A"/>
    <w:rsid w:val="007030E4"/>
    <w:rsid w:val="007030FE"/>
    <w:rsid w:val="0070315E"/>
    <w:rsid w:val="007031AA"/>
    <w:rsid w:val="00703353"/>
    <w:rsid w:val="00703449"/>
    <w:rsid w:val="007034DE"/>
    <w:rsid w:val="007036D9"/>
    <w:rsid w:val="00703720"/>
    <w:rsid w:val="0070377E"/>
    <w:rsid w:val="0070397A"/>
    <w:rsid w:val="0070399F"/>
    <w:rsid w:val="00703A94"/>
    <w:rsid w:val="00703D6A"/>
    <w:rsid w:val="0070402F"/>
    <w:rsid w:val="0070417A"/>
    <w:rsid w:val="007042E3"/>
    <w:rsid w:val="007043EF"/>
    <w:rsid w:val="00704551"/>
    <w:rsid w:val="00704964"/>
    <w:rsid w:val="00704AAC"/>
    <w:rsid w:val="00704CC8"/>
    <w:rsid w:val="0070500E"/>
    <w:rsid w:val="0070504A"/>
    <w:rsid w:val="0070504B"/>
    <w:rsid w:val="007050F7"/>
    <w:rsid w:val="00705146"/>
    <w:rsid w:val="007051D6"/>
    <w:rsid w:val="00705296"/>
    <w:rsid w:val="007052F0"/>
    <w:rsid w:val="007053B5"/>
    <w:rsid w:val="007053C0"/>
    <w:rsid w:val="00705577"/>
    <w:rsid w:val="0070579E"/>
    <w:rsid w:val="00705922"/>
    <w:rsid w:val="007059AF"/>
    <w:rsid w:val="00705A25"/>
    <w:rsid w:val="00705B54"/>
    <w:rsid w:val="00705BB3"/>
    <w:rsid w:val="00706131"/>
    <w:rsid w:val="007065D5"/>
    <w:rsid w:val="007065D8"/>
    <w:rsid w:val="00706917"/>
    <w:rsid w:val="007069D5"/>
    <w:rsid w:val="00706A62"/>
    <w:rsid w:val="00707496"/>
    <w:rsid w:val="007074E2"/>
    <w:rsid w:val="007075BB"/>
    <w:rsid w:val="007076BA"/>
    <w:rsid w:val="00707880"/>
    <w:rsid w:val="007079BB"/>
    <w:rsid w:val="007079D0"/>
    <w:rsid w:val="00707B0A"/>
    <w:rsid w:val="00710069"/>
    <w:rsid w:val="00710090"/>
    <w:rsid w:val="007101CD"/>
    <w:rsid w:val="00710451"/>
    <w:rsid w:val="0071081D"/>
    <w:rsid w:val="00710ED7"/>
    <w:rsid w:val="00711464"/>
    <w:rsid w:val="007115DB"/>
    <w:rsid w:val="007119AC"/>
    <w:rsid w:val="007119C7"/>
    <w:rsid w:val="00711A2F"/>
    <w:rsid w:val="00711B26"/>
    <w:rsid w:val="00711C3C"/>
    <w:rsid w:val="00711CF7"/>
    <w:rsid w:val="00711EDE"/>
    <w:rsid w:val="007120A5"/>
    <w:rsid w:val="0071218D"/>
    <w:rsid w:val="00712218"/>
    <w:rsid w:val="00712256"/>
    <w:rsid w:val="0071256F"/>
    <w:rsid w:val="00712642"/>
    <w:rsid w:val="0071264A"/>
    <w:rsid w:val="007126BF"/>
    <w:rsid w:val="0071282C"/>
    <w:rsid w:val="007128AF"/>
    <w:rsid w:val="00712A54"/>
    <w:rsid w:val="00712B6D"/>
    <w:rsid w:val="00712BE6"/>
    <w:rsid w:val="00712DB0"/>
    <w:rsid w:val="0071315A"/>
    <w:rsid w:val="0071347F"/>
    <w:rsid w:val="00713A5F"/>
    <w:rsid w:val="00713DF5"/>
    <w:rsid w:val="00713F8B"/>
    <w:rsid w:val="00714672"/>
    <w:rsid w:val="00714984"/>
    <w:rsid w:val="00714ABA"/>
    <w:rsid w:val="00714B5C"/>
    <w:rsid w:val="00714B63"/>
    <w:rsid w:val="00714E2E"/>
    <w:rsid w:val="007150DB"/>
    <w:rsid w:val="00715532"/>
    <w:rsid w:val="007155F9"/>
    <w:rsid w:val="00715662"/>
    <w:rsid w:val="007157BD"/>
    <w:rsid w:val="00715C0B"/>
    <w:rsid w:val="00715C21"/>
    <w:rsid w:val="00715C69"/>
    <w:rsid w:val="00715C87"/>
    <w:rsid w:val="00715E71"/>
    <w:rsid w:val="0071609F"/>
    <w:rsid w:val="00716129"/>
    <w:rsid w:val="007161FF"/>
    <w:rsid w:val="0071622F"/>
    <w:rsid w:val="007162C3"/>
    <w:rsid w:val="007164CE"/>
    <w:rsid w:val="007166B7"/>
    <w:rsid w:val="0071670C"/>
    <w:rsid w:val="00716750"/>
    <w:rsid w:val="00716799"/>
    <w:rsid w:val="007167B6"/>
    <w:rsid w:val="0071682D"/>
    <w:rsid w:val="00716992"/>
    <w:rsid w:val="00716C7B"/>
    <w:rsid w:val="00716CA9"/>
    <w:rsid w:val="00716D0A"/>
    <w:rsid w:val="00716EF1"/>
    <w:rsid w:val="0071719C"/>
    <w:rsid w:val="0071738E"/>
    <w:rsid w:val="00717477"/>
    <w:rsid w:val="007174D6"/>
    <w:rsid w:val="007175D3"/>
    <w:rsid w:val="007175E6"/>
    <w:rsid w:val="007176E4"/>
    <w:rsid w:val="0071775D"/>
    <w:rsid w:val="00717762"/>
    <w:rsid w:val="0071786F"/>
    <w:rsid w:val="00717A84"/>
    <w:rsid w:val="00717AB1"/>
    <w:rsid w:val="00717B68"/>
    <w:rsid w:val="00717CAD"/>
    <w:rsid w:val="00717F29"/>
    <w:rsid w:val="00717F30"/>
    <w:rsid w:val="0072006A"/>
    <w:rsid w:val="007200E5"/>
    <w:rsid w:val="00720317"/>
    <w:rsid w:val="0072032D"/>
    <w:rsid w:val="007205AE"/>
    <w:rsid w:val="007206D5"/>
    <w:rsid w:val="0072080D"/>
    <w:rsid w:val="00720839"/>
    <w:rsid w:val="00720AB9"/>
    <w:rsid w:val="00720D0E"/>
    <w:rsid w:val="00720DD6"/>
    <w:rsid w:val="00720F30"/>
    <w:rsid w:val="00720FA8"/>
    <w:rsid w:val="00721208"/>
    <w:rsid w:val="00721481"/>
    <w:rsid w:val="007216AF"/>
    <w:rsid w:val="007216DF"/>
    <w:rsid w:val="0072177C"/>
    <w:rsid w:val="0072188F"/>
    <w:rsid w:val="0072197D"/>
    <w:rsid w:val="007219D0"/>
    <w:rsid w:val="00721A6D"/>
    <w:rsid w:val="00721B92"/>
    <w:rsid w:val="00721E8E"/>
    <w:rsid w:val="007229EB"/>
    <w:rsid w:val="00722C93"/>
    <w:rsid w:val="00722EB3"/>
    <w:rsid w:val="00723289"/>
    <w:rsid w:val="0072339C"/>
    <w:rsid w:val="00723753"/>
    <w:rsid w:val="007237CE"/>
    <w:rsid w:val="007237E9"/>
    <w:rsid w:val="00723B78"/>
    <w:rsid w:val="00723D29"/>
    <w:rsid w:val="00723EB3"/>
    <w:rsid w:val="00723FDB"/>
    <w:rsid w:val="00724032"/>
    <w:rsid w:val="0072434B"/>
    <w:rsid w:val="007246CE"/>
    <w:rsid w:val="007249A7"/>
    <w:rsid w:val="007249B8"/>
    <w:rsid w:val="007249E8"/>
    <w:rsid w:val="00724A20"/>
    <w:rsid w:val="00724A5C"/>
    <w:rsid w:val="00724B8C"/>
    <w:rsid w:val="00724F51"/>
    <w:rsid w:val="007250E2"/>
    <w:rsid w:val="00725242"/>
    <w:rsid w:val="00725296"/>
    <w:rsid w:val="00725342"/>
    <w:rsid w:val="00725344"/>
    <w:rsid w:val="0072542E"/>
    <w:rsid w:val="00725442"/>
    <w:rsid w:val="00725696"/>
    <w:rsid w:val="00725AC7"/>
    <w:rsid w:val="00725B77"/>
    <w:rsid w:val="00725FD7"/>
    <w:rsid w:val="0072623F"/>
    <w:rsid w:val="0072670B"/>
    <w:rsid w:val="0072671B"/>
    <w:rsid w:val="0072693B"/>
    <w:rsid w:val="00726A2F"/>
    <w:rsid w:val="00726C20"/>
    <w:rsid w:val="00726E55"/>
    <w:rsid w:val="00726EB5"/>
    <w:rsid w:val="0072712F"/>
    <w:rsid w:val="00727206"/>
    <w:rsid w:val="0072754A"/>
    <w:rsid w:val="0072795D"/>
    <w:rsid w:val="00727BA3"/>
    <w:rsid w:val="00727C53"/>
    <w:rsid w:val="00727D07"/>
    <w:rsid w:val="007300E1"/>
    <w:rsid w:val="007301E7"/>
    <w:rsid w:val="00730260"/>
    <w:rsid w:val="0073035B"/>
    <w:rsid w:val="007304FC"/>
    <w:rsid w:val="0073096C"/>
    <w:rsid w:val="00730A0D"/>
    <w:rsid w:val="00730A43"/>
    <w:rsid w:val="00730C45"/>
    <w:rsid w:val="00730DDA"/>
    <w:rsid w:val="00730EAB"/>
    <w:rsid w:val="00731012"/>
    <w:rsid w:val="007310C1"/>
    <w:rsid w:val="0073117E"/>
    <w:rsid w:val="007314E9"/>
    <w:rsid w:val="00731715"/>
    <w:rsid w:val="00731862"/>
    <w:rsid w:val="0073193E"/>
    <w:rsid w:val="007319AE"/>
    <w:rsid w:val="00731B9A"/>
    <w:rsid w:val="00731BCF"/>
    <w:rsid w:val="00731FFF"/>
    <w:rsid w:val="0073214F"/>
    <w:rsid w:val="0073216B"/>
    <w:rsid w:val="007326D2"/>
    <w:rsid w:val="007328C4"/>
    <w:rsid w:val="007329DD"/>
    <w:rsid w:val="00732A80"/>
    <w:rsid w:val="00732D8F"/>
    <w:rsid w:val="00732DC2"/>
    <w:rsid w:val="00733085"/>
    <w:rsid w:val="007331C7"/>
    <w:rsid w:val="0073320A"/>
    <w:rsid w:val="007332CB"/>
    <w:rsid w:val="007333FE"/>
    <w:rsid w:val="00733439"/>
    <w:rsid w:val="007336B0"/>
    <w:rsid w:val="007336DB"/>
    <w:rsid w:val="00733782"/>
    <w:rsid w:val="0073386C"/>
    <w:rsid w:val="00733950"/>
    <w:rsid w:val="00733A59"/>
    <w:rsid w:val="00733BD6"/>
    <w:rsid w:val="0073411D"/>
    <w:rsid w:val="00734556"/>
    <w:rsid w:val="007345F9"/>
    <w:rsid w:val="007346DC"/>
    <w:rsid w:val="007347E7"/>
    <w:rsid w:val="00734817"/>
    <w:rsid w:val="0073482D"/>
    <w:rsid w:val="007348EA"/>
    <w:rsid w:val="00734B05"/>
    <w:rsid w:val="00734B6A"/>
    <w:rsid w:val="00734B8D"/>
    <w:rsid w:val="00734BA1"/>
    <w:rsid w:val="00734BA3"/>
    <w:rsid w:val="00734BCF"/>
    <w:rsid w:val="00734D0C"/>
    <w:rsid w:val="00734DD2"/>
    <w:rsid w:val="00734EEB"/>
    <w:rsid w:val="0073517C"/>
    <w:rsid w:val="0073519E"/>
    <w:rsid w:val="007351CA"/>
    <w:rsid w:val="00735260"/>
    <w:rsid w:val="00735302"/>
    <w:rsid w:val="007353F7"/>
    <w:rsid w:val="00735403"/>
    <w:rsid w:val="007354A9"/>
    <w:rsid w:val="0073550D"/>
    <w:rsid w:val="00735548"/>
    <w:rsid w:val="00735785"/>
    <w:rsid w:val="00735BD9"/>
    <w:rsid w:val="00735C1D"/>
    <w:rsid w:val="00735C67"/>
    <w:rsid w:val="00735D99"/>
    <w:rsid w:val="00735FA3"/>
    <w:rsid w:val="00736020"/>
    <w:rsid w:val="007361E5"/>
    <w:rsid w:val="00736309"/>
    <w:rsid w:val="00736344"/>
    <w:rsid w:val="00736474"/>
    <w:rsid w:val="007368C0"/>
    <w:rsid w:val="00736A45"/>
    <w:rsid w:val="00736B37"/>
    <w:rsid w:val="00736BC6"/>
    <w:rsid w:val="00736D37"/>
    <w:rsid w:val="00736DC1"/>
    <w:rsid w:val="00737309"/>
    <w:rsid w:val="0073732E"/>
    <w:rsid w:val="00737469"/>
    <w:rsid w:val="00737548"/>
    <w:rsid w:val="0073771B"/>
    <w:rsid w:val="0073785E"/>
    <w:rsid w:val="007378EC"/>
    <w:rsid w:val="007378F2"/>
    <w:rsid w:val="00737C15"/>
    <w:rsid w:val="00737CA5"/>
    <w:rsid w:val="00737E22"/>
    <w:rsid w:val="0074007C"/>
    <w:rsid w:val="00740108"/>
    <w:rsid w:val="007401FF"/>
    <w:rsid w:val="0074090A"/>
    <w:rsid w:val="00740A94"/>
    <w:rsid w:val="00740B1C"/>
    <w:rsid w:val="00740B62"/>
    <w:rsid w:val="00740C3D"/>
    <w:rsid w:val="00740C4B"/>
    <w:rsid w:val="00740CF4"/>
    <w:rsid w:val="00740E58"/>
    <w:rsid w:val="00740FBE"/>
    <w:rsid w:val="0074145B"/>
    <w:rsid w:val="00741498"/>
    <w:rsid w:val="007416F3"/>
    <w:rsid w:val="00741746"/>
    <w:rsid w:val="0074178C"/>
    <w:rsid w:val="00741891"/>
    <w:rsid w:val="00741CEC"/>
    <w:rsid w:val="00741F89"/>
    <w:rsid w:val="007422CE"/>
    <w:rsid w:val="007428B2"/>
    <w:rsid w:val="00742C7F"/>
    <w:rsid w:val="00742CDC"/>
    <w:rsid w:val="00743081"/>
    <w:rsid w:val="00743454"/>
    <w:rsid w:val="007434B5"/>
    <w:rsid w:val="007438AE"/>
    <w:rsid w:val="00743903"/>
    <w:rsid w:val="00743944"/>
    <w:rsid w:val="0074396C"/>
    <w:rsid w:val="007439DB"/>
    <w:rsid w:val="00743C1D"/>
    <w:rsid w:val="00743CCB"/>
    <w:rsid w:val="00743DEC"/>
    <w:rsid w:val="00743E3E"/>
    <w:rsid w:val="00743F46"/>
    <w:rsid w:val="00744041"/>
    <w:rsid w:val="007441AD"/>
    <w:rsid w:val="007443A3"/>
    <w:rsid w:val="007443E0"/>
    <w:rsid w:val="007444E9"/>
    <w:rsid w:val="00744653"/>
    <w:rsid w:val="00744A27"/>
    <w:rsid w:val="00744A7E"/>
    <w:rsid w:val="00744A8B"/>
    <w:rsid w:val="00744B0C"/>
    <w:rsid w:val="00744DAC"/>
    <w:rsid w:val="00744E14"/>
    <w:rsid w:val="00744EAD"/>
    <w:rsid w:val="007451DA"/>
    <w:rsid w:val="00745227"/>
    <w:rsid w:val="00745702"/>
    <w:rsid w:val="00745784"/>
    <w:rsid w:val="00745941"/>
    <w:rsid w:val="007459A9"/>
    <w:rsid w:val="00745A6A"/>
    <w:rsid w:val="00745AF7"/>
    <w:rsid w:val="00745EED"/>
    <w:rsid w:val="00746091"/>
    <w:rsid w:val="00746131"/>
    <w:rsid w:val="007463E4"/>
    <w:rsid w:val="00746645"/>
    <w:rsid w:val="00746828"/>
    <w:rsid w:val="00746A32"/>
    <w:rsid w:val="00746A8A"/>
    <w:rsid w:val="00746B42"/>
    <w:rsid w:val="00746BBC"/>
    <w:rsid w:val="00746C19"/>
    <w:rsid w:val="00746C46"/>
    <w:rsid w:val="00746D42"/>
    <w:rsid w:val="00746DBC"/>
    <w:rsid w:val="00746DC3"/>
    <w:rsid w:val="00746F5A"/>
    <w:rsid w:val="00746F69"/>
    <w:rsid w:val="0074716D"/>
    <w:rsid w:val="00747266"/>
    <w:rsid w:val="007472FE"/>
    <w:rsid w:val="007476E3"/>
    <w:rsid w:val="00747D11"/>
    <w:rsid w:val="00747EF8"/>
    <w:rsid w:val="00750064"/>
    <w:rsid w:val="007500AF"/>
    <w:rsid w:val="007502C9"/>
    <w:rsid w:val="00750315"/>
    <w:rsid w:val="0075048A"/>
    <w:rsid w:val="0075061D"/>
    <w:rsid w:val="0075095C"/>
    <w:rsid w:val="007509BA"/>
    <w:rsid w:val="007509FD"/>
    <w:rsid w:val="00750AC9"/>
    <w:rsid w:val="00750B6E"/>
    <w:rsid w:val="00750C93"/>
    <w:rsid w:val="0075114A"/>
    <w:rsid w:val="007516AF"/>
    <w:rsid w:val="00751C98"/>
    <w:rsid w:val="00751F97"/>
    <w:rsid w:val="007524E7"/>
    <w:rsid w:val="007524F4"/>
    <w:rsid w:val="007528CD"/>
    <w:rsid w:val="00752B56"/>
    <w:rsid w:val="00752B95"/>
    <w:rsid w:val="00752E7D"/>
    <w:rsid w:val="00752F99"/>
    <w:rsid w:val="007530B8"/>
    <w:rsid w:val="007531FF"/>
    <w:rsid w:val="0075335C"/>
    <w:rsid w:val="007533C4"/>
    <w:rsid w:val="00753628"/>
    <w:rsid w:val="00753804"/>
    <w:rsid w:val="00753AB8"/>
    <w:rsid w:val="00753C8B"/>
    <w:rsid w:val="00753CF7"/>
    <w:rsid w:val="00753D22"/>
    <w:rsid w:val="00753F7D"/>
    <w:rsid w:val="00753F8D"/>
    <w:rsid w:val="00754198"/>
    <w:rsid w:val="00754551"/>
    <w:rsid w:val="00754583"/>
    <w:rsid w:val="007545BF"/>
    <w:rsid w:val="00754650"/>
    <w:rsid w:val="007546FD"/>
    <w:rsid w:val="0075475B"/>
    <w:rsid w:val="007547F5"/>
    <w:rsid w:val="0075485E"/>
    <w:rsid w:val="0075488C"/>
    <w:rsid w:val="00754C18"/>
    <w:rsid w:val="00754C53"/>
    <w:rsid w:val="00754EE3"/>
    <w:rsid w:val="00754F87"/>
    <w:rsid w:val="007551D2"/>
    <w:rsid w:val="00755460"/>
    <w:rsid w:val="007555C7"/>
    <w:rsid w:val="007555F4"/>
    <w:rsid w:val="0075560F"/>
    <w:rsid w:val="00755626"/>
    <w:rsid w:val="007557E8"/>
    <w:rsid w:val="00755837"/>
    <w:rsid w:val="00755975"/>
    <w:rsid w:val="00755B93"/>
    <w:rsid w:val="00755CD1"/>
    <w:rsid w:val="00755CDF"/>
    <w:rsid w:val="00756125"/>
    <w:rsid w:val="0075621B"/>
    <w:rsid w:val="0075634B"/>
    <w:rsid w:val="00756398"/>
    <w:rsid w:val="007567A8"/>
    <w:rsid w:val="00756B39"/>
    <w:rsid w:val="00756E00"/>
    <w:rsid w:val="00756F3F"/>
    <w:rsid w:val="007570B3"/>
    <w:rsid w:val="00757551"/>
    <w:rsid w:val="00757582"/>
    <w:rsid w:val="007576FF"/>
    <w:rsid w:val="007578F3"/>
    <w:rsid w:val="00757AA0"/>
    <w:rsid w:val="00757BBB"/>
    <w:rsid w:val="00757C01"/>
    <w:rsid w:val="00757CFD"/>
    <w:rsid w:val="0076001D"/>
    <w:rsid w:val="007602DE"/>
    <w:rsid w:val="007604F1"/>
    <w:rsid w:val="00760530"/>
    <w:rsid w:val="00760A27"/>
    <w:rsid w:val="00760C6A"/>
    <w:rsid w:val="00760C7F"/>
    <w:rsid w:val="0076105C"/>
    <w:rsid w:val="0076109C"/>
    <w:rsid w:val="007610CF"/>
    <w:rsid w:val="00761118"/>
    <w:rsid w:val="00761220"/>
    <w:rsid w:val="00761262"/>
    <w:rsid w:val="00761343"/>
    <w:rsid w:val="007614B6"/>
    <w:rsid w:val="00761664"/>
    <w:rsid w:val="007618E0"/>
    <w:rsid w:val="0076198B"/>
    <w:rsid w:val="007619D0"/>
    <w:rsid w:val="00761CA6"/>
    <w:rsid w:val="00761E02"/>
    <w:rsid w:val="00761F48"/>
    <w:rsid w:val="0076206F"/>
    <w:rsid w:val="007620B1"/>
    <w:rsid w:val="00762496"/>
    <w:rsid w:val="00762553"/>
    <w:rsid w:val="0076258E"/>
    <w:rsid w:val="0076267B"/>
    <w:rsid w:val="0076276B"/>
    <w:rsid w:val="0076284E"/>
    <w:rsid w:val="0076297A"/>
    <w:rsid w:val="007629E2"/>
    <w:rsid w:val="00762B04"/>
    <w:rsid w:val="00762DA9"/>
    <w:rsid w:val="00762E45"/>
    <w:rsid w:val="00762EFA"/>
    <w:rsid w:val="007631EF"/>
    <w:rsid w:val="007632EC"/>
    <w:rsid w:val="00763597"/>
    <w:rsid w:val="007638D3"/>
    <w:rsid w:val="007638DE"/>
    <w:rsid w:val="00763BE2"/>
    <w:rsid w:val="00763E24"/>
    <w:rsid w:val="00763F4F"/>
    <w:rsid w:val="00763FA7"/>
    <w:rsid w:val="007641F3"/>
    <w:rsid w:val="00764211"/>
    <w:rsid w:val="007642B3"/>
    <w:rsid w:val="007645DF"/>
    <w:rsid w:val="0076465F"/>
    <w:rsid w:val="0076471C"/>
    <w:rsid w:val="00764764"/>
    <w:rsid w:val="0076489F"/>
    <w:rsid w:val="00764AD6"/>
    <w:rsid w:val="00764C96"/>
    <w:rsid w:val="00764F70"/>
    <w:rsid w:val="00764FCA"/>
    <w:rsid w:val="00765040"/>
    <w:rsid w:val="007650E2"/>
    <w:rsid w:val="007654F6"/>
    <w:rsid w:val="00765750"/>
    <w:rsid w:val="00765A4C"/>
    <w:rsid w:val="00765A5D"/>
    <w:rsid w:val="00765BA0"/>
    <w:rsid w:val="00765F9F"/>
    <w:rsid w:val="007661C0"/>
    <w:rsid w:val="00766254"/>
    <w:rsid w:val="00766295"/>
    <w:rsid w:val="00766361"/>
    <w:rsid w:val="0076638C"/>
    <w:rsid w:val="00766596"/>
    <w:rsid w:val="007665A1"/>
    <w:rsid w:val="0076677E"/>
    <w:rsid w:val="00766780"/>
    <w:rsid w:val="00766959"/>
    <w:rsid w:val="007669C8"/>
    <w:rsid w:val="00766B69"/>
    <w:rsid w:val="00766B92"/>
    <w:rsid w:val="00766C01"/>
    <w:rsid w:val="00766C47"/>
    <w:rsid w:val="00766DD3"/>
    <w:rsid w:val="0076705A"/>
    <w:rsid w:val="00767199"/>
    <w:rsid w:val="00767301"/>
    <w:rsid w:val="00767348"/>
    <w:rsid w:val="0076739B"/>
    <w:rsid w:val="007673C9"/>
    <w:rsid w:val="0076745F"/>
    <w:rsid w:val="007674A5"/>
    <w:rsid w:val="007675E9"/>
    <w:rsid w:val="00767627"/>
    <w:rsid w:val="007677A1"/>
    <w:rsid w:val="0076788E"/>
    <w:rsid w:val="00767C9B"/>
    <w:rsid w:val="00767D3C"/>
    <w:rsid w:val="00767EF4"/>
    <w:rsid w:val="00770053"/>
    <w:rsid w:val="007700D8"/>
    <w:rsid w:val="00770143"/>
    <w:rsid w:val="0077018C"/>
    <w:rsid w:val="00770201"/>
    <w:rsid w:val="007702C7"/>
    <w:rsid w:val="007705CC"/>
    <w:rsid w:val="0077079C"/>
    <w:rsid w:val="00770841"/>
    <w:rsid w:val="00770869"/>
    <w:rsid w:val="00770AD9"/>
    <w:rsid w:val="00770C7E"/>
    <w:rsid w:val="00770E53"/>
    <w:rsid w:val="00770F23"/>
    <w:rsid w:val="0077125A"/>
    <w:rsid w:val="00771645"/>
    <w:rsid w:val="00771952"/>
    <w:rsid w:val="0077196D"/>
    <w:rsid w:val="00771A2B"/>
    <w:rsid w:val="00771B55"/>
    <w:rsid w:val="00771B71"/>
    <w:rsid w:val="00771C09"/>
    <w:rsid w:val="00771CAD"/>
    <w:rsid w:val="00771F07"/>
    <w:rsid w:val="00772076"/>
    <w:rsid w:val="007720E0"/>
    <w:rsid w:val="0077212D"/>
    <w:rsid w:val="007722A9"/>
    <w:rsid w:val="007722FC"/>
    <w:rsid w:val="0077271F"/>
    <w:rsid w:val="0077277D"/>
    <w:rsid w:val="007727F1"/>
    <w:rsid w:val="00772867"/>
    <w:rsid w:val="00772ADB"/>
    <w:rsid w:val="00772D68"/>
    <w:rsid w:val="0077312A"/>
    <w:rsid w:val="007732D9"/>
    <w:rsid w:val="007732E4"/>
    <w:rsid w:val="007733C7"/>
    <w:rsid w:val="00773459"/>
    <w:rsid w:val="007735F6"/>
    <w:rsid w:val="0077368E"/>
    <w:rsid w:val="007736CE"/>
    <w:rsid w:val="007738D5"/>
    <w:rsid w:val="007739FD"/>
    <w:rsid w:val="00773A2B"/>
    <w:rsid w:val="00773DE1"/>
    <w:rsid w:val="007742B8"/>
    <w:rsid w:val="007745A5"/>
    <w:rsid w:val="007746BD"/>
    <w:rsid w:val="007747C6"/>
    <w:rsid w:val="007748B9"/>
    <w:rsid w:val="00774942"/>
    <w:rsid w:val="007751AA"/>
    <w:rsid w:val="007751C0"/>
    <w:rsid w:val="007752EC"/>
    <w:rsid w:val="0077534F"/>
    <w:rsid w:val="007753A9"/>
    <w:rsid w:val="0077552C"/>
    <w:rsid w:val="0077564F"/>
    <w:rsid w:val="0077565D"/>
    <w:rsid w:val="0077574F"/>
    <w:rsid w:val="00775789"/>
    <w:rsid w:val="00775942"/>
    <w:rsid w:val="007759AC"/>
    <w:rsid w:val="00775BE8"/>
    <w:rsid w:val="00775D52"/>
    <w:rsid w:val="00775E50"/>
    <w:rsid w:val="00775ECE"/>
    <w:rsid w:val="00775F1F"/>
    <w:rsid w:val="00775FC4"/>
    <w:rsid w:val="007761BC"/>
    <w:rsid w:val="0077628B"/>
    <w:rsid w:val="00776CAA"/>
    <w:rsid w:val="00776F64"/>
    <w:rsid w:val="00777026"/>
    <w:rsid w:val="007772C6"/>
    <w:rsid w:val="00777318"/>
    <w:rsid w:val="00777599"/>
    <w:rsid w:val="007777F3"/>
    <w:rsid w:val="00777EB8"/>
    <w:rsid w:val="00780089"/>
    <w:rsid w:val="00780289"/>
    <w:rsid w:val="007803CD"/>
    <w:rsid w:val="00780739"/>
    <w:rsid w:val="0078080A"/>
    <w:rsid w:val="00780A1B"/>
    <w:rsid w:val="00780AF8"/>
    <w:rsid w:val="00780B70"/>
    <w:rsid w:val="00780CDA"/>
    <w:rsid w:val="00780ED3"/>
    <w:rsid w:val="00781273"/>
    <w:rsid w:val="00781432"/>
    <w:rsid w:val="007816BB"/>
    <w:rsid w:val="00781809"/>
    <w:rsid w:val="007818EE"/>
    <w:rsid w:val="00781A05"/>
    <w:rsid w:val="00781C06"/>
    <w:rsid w:val="00781D61"/>
    <w:rsid w:val="00781D64"/>
    <w:rsid w:val="00781E0F"/>
    <w:rsid w:val="00782249"/>
    <w:rsid w:val="0078225E"/>
    <w:rsid w:val="00782463"/>
    <w:rsid w:val="0078262D"/>
    <w:rsid w:val="00782756"/>
    <w:rsid w:val="00782B85"/>
    <w:rsid w:val="00782BC3"/>
    <w:rsid w:val="00782C6C"/>
    <w:rsid w:val="00782D9A"/>
    <w:rsid w:val="00782FDC"/>
    <w:rsid w:val="00783068"/>
    <w:rsid w:val="007834D8"/>
    <w:rsid w:val="007836F3"/>
    <w:rsid w:val="00783981"/>
    <w:rsid w:val="00783C54"/>
    <w:rsid w:val="00783E4C"/>
    <w:rsid w:val="00784039"/>
    <w:rsid w:val="00784423"/>
    <w:rsid w:val="0078456F"/>
    <w:rsid w:val="007845F7"/>
    <w:rsid w:val="0078496C"/>
    <w:rsid w:val="00784B21"/>
    <w:rsid w:val="00784E44"/>
    <w:rsid w:val="007851C0"/>
    <w:rsid w:val="007854E2"/>
    <w:rsid w:val="0078551D"/>
    <w:rsid w:val="00785659"/>
    <w:rsid w:val="00785856"/>
    <w:rsid w:val="00785BC9"/>
    <w:rsid w:val="00785E5A"/>
    <w:rsid w:val="00785EE6"/>
    <w:rsid w:val="00785FB2"/>
    <w:rsid w:val="007862F4"/>
    <w:rsid w:val="007865C3"/>
    <w:rsid w:val="00786764"/>
    <w:rsid w:val="0078694E"/>
    <w:rsid w:val="00786A18"/>
    <w:rsid w:val="00786A56"/>
    <w:rsid w:val="00786A65"/>
    <w:rsid w:val="00786BB3"/>
    <w:rsid w:val="00786C00"/>
    <w:rsid w:val="00786C4D"/>
    <w:rsid w:val="00786E28"/>
    <w:rsid w:val="00786EAC"/>
    <w:rsid w:val="0078705D"/>
    <w:rsid w:val="007872F1"/>
    <w:rsid w:val="00787369"/>
    <w:rsid w:val="00787524"/>
    <w:rsid w:val="007876F9"/>
    <w:rsid w:val="007877AB"/>
    <w:rsid w:val="00787805"/>
    <w:rsid w:val="007878BF"/>
    <w:rsid w:val="00787AD9"/>
    <w:rsid w:val="00787BBD"/>
    <w:rsid w:val="00787C6A"/>
    <w:rsid w:val="00787CFF"/>
    <w:rsid w:val="00787E83"/>
    <w:rsid w:val="0079017E"/>
    <w:rsid w:val="007903CC"/>
    <w:rsid w:val="00790418"/>
    <w:rsid w:val="00790450"/>
    <w:rsid w:val="007904BF"/>
    <w:rsid w:val="007905A2"/>
    <w:rsid w:val="007905B4"/>
    <w:rsid w:val="007907EF"/>
    <w:rsid w:val="00790A08"/>
    <w:rsid w:val="00790AE9"/>
    <w:rsid w:val="00790B35"/>
    <w:rsid w:val="00790B9F"/>
    <w:rsid w:val="00790BA1"/>
    <w:rsid w:val="00790C07"/>
    <w:rsid w:val="00790CF1"/>
    <w:rsid w:val="00790EAA"/>
    <w:rsid w:val="00790EAC"/>
    <w:rsid w:val="00790EDA"/>
    <w:rsid w:val="00791113"/>
    <w:rsid w:val="0079124F"/>
    <w:rsid w:val="007915DE"/>
    <w:rsid w:val="007915FB"/>
    <w:rsid w:val="00791887"/>
    <w:rsid w:val="00791957"/>
    <w:rsid w:val="00791B18"/>
    <w:rsid w:val="00791C6E"/>
    <w:rsid w:val="00791C84"/>
    <w:rsid w:val="00791C96"/>
    <w:rsid w:val="00791D4A"/>
    <w:rsid w:val="00791E83"/>
    <w:rsid w:val="00791EB0"/>
    <w:rsid w:val="007929A7"/>
    <w:rsid w:val="00792B29"/>
    <w:rsid w:val="00793388"/>
    <w:rsid w:val="0079341B"/>
    <w:rsid w:val="007936B0"/>
    <w:rsid w:val="0079383C"/>
    <w:rsid w:val="00793852"/>
    <w:rsid w:val="0079388A"/>
    <w:rsid w:val="00793D28"/>
    <w:rsid w:val="00793EC0"/>
    <w:rsid w:val="00793ECB"/>
    <w:rsid w:val="007940C6"/>
    <w:rsid w:val="00794200"/>
    <w:rsid w:val="007942AD"/>
    <w:rsid w:val="00794315"/>
    <w:rsid w:val="00794C63"/>
    <w:rsid w:val="00794E10"/>
    <w:rsid w:val="00794EDF"/>
    <w:rsid w:val="0079518F"/>
    <w:rsid w:val="00795262"/>
    <w:rsid w:val="0079528F"/>
    <w:rsid w:val="00795418"/>
    <w:rsid w:val="00795604"/>
    <w:rsid w:val="00795733"/>
    <w:rsid w:val="00795853"/>
    <w:rsid w:val="00795949"/>
    <w:rsid w:val="00795A1B"/>
    <w:rsid w:val="00795A63"/>
    <w:rsid w:val="00795CEA"/>
    <w:rsid w:val="00795DA8"/>
    <w:rsid w:val="00795FFE"/>
    <w:rsid w:val="00796072"/>
    <w:rsid w:val="00796557"/>
    <w:rsid w:val="0079656A"/>
    <w:rsid w:val="0079661D"/>
    <w:rsid w:val="00796731"/>
    <w:rsid w:val="007969EE"/>
    <w:rsid w:val="00796C28"/>
    <w:rsid w:val="00796CAA"/>
    <w:rsid w:val="00796ED2"/>
    <w:rsid w:val="00796F19"/>
    <w:rsid w:val="00796F5C"/>
    <w:rsid w:val="007974B8"/>
    <w:rsid w:val="00797917"/>
    <w:rsid w:val="00797AB1"/>
    <w:rsid w:val="00797B5A"/>
    <w:rsid w:val="00797BE5"/>
    <w:rsid w:val="00797BFC"/>
    <w:rsid w:val="00797E0B"/>
    <w:rsid w:val="00797E17"/>
    <w:rsid w:val="00797E59"/>
    <w:rsid w:val="007A00B1"/>
    <w:rsid w:val="007A00C7"/>
    <w:rsid w:val="007A0367"/>
    <w:rsid w:val="007A071E"/>
    <w:rsid w:val="007A0A92"/>
    <w:rsid w:val="007A0BBB"/>
    <w:rsid w:val="007A0E3E"/>
    <w:rsid w:val="007A0E78"/>
    <w:rsid w:val="007A108C"/>
    <w:rsid w:val="007A1173"/>
    <w:rsid w:val="007A13FE"/>
    <w:rsid w:val="007A1859"/>
    <w:rsid w:val="007A1A94"/>
    <w:rsid w:val="007A1AE5"/>
    <w:rsid w:val="007A1E75"/>
    <w:rsid w:val="007A22CF"/>
    <w:rsid w:val="007A26AA"/>
    <w:rsid w:val="007A2777"/>
    <w:rsid w:val="007A2808"/>
    <w:rsid w:val="007A290C"/>
    <w:rsid w:val="007A29B2"/>
    <w:rsid w:val="007A2A7C"/>
    <w:rsid w:val="007A2B7F"/>
    <w:rsid w:val="007A2F60"/>
    <w:rsid w:val="007A2FF9"/>
    <w:rsid w:val="007A302F"/>
    <w:rsid w:val="007A3317"/>
    <w:rsid w:val="007A33BE"/>
    <w:rsid w:val="007A3437"/>
    <w:rsid w:val="007A3449"/>
    <w:rsid w:val="007A3547"/>
    <w:rsid w:val="007A35B8"/>
    <w:rsid w:val="007A36A6"/>
    <w:rsid w:val="007A3810"/>
    <w:rsid w:val="007A387B"/>
    <w:rsid w:val="007A388F"/>
    <w:rsid w:val="007A3DE6"/>
    <w:rsid w:val="007A3E38"/>
    <w:rsid w:val="007A405E"/>
    <w:rsid w:val="007A4067"/>
    <w:rsid w:val="007A40EB"/>
    <w:rsid w:val="007A414F"/>
    <w:rsid w:val="007A423A"/>
    <w:rsid w:val="007A43B7"/>
    <w:rsid w:val="007A4411"/>
    <w:rsid w:val="007A45A1"/>
    <w:rsid w:val="007A4745"/>
    <w:rsid w:val="007A4B16"/>
    <w:rsid w:val="007A4D8B"/>
    <w:rsid w:val="007A5000"/>
    <w:rsid w:val="007A50E5"/>
    <w:rsid w:val="007A50E8"/>
    <w:rsid w:val="007A514F"/>
    <w:rsid w:val="007A52C1"/>
    <w:rsid w:val="007A531A"/>
    <w:rsid w:val="007A5430"/>
    <w:rsid w:val="007A548D"/>
    <w:rsid w:val="007A5589"/>
    <w:rsid w:val="007A5868"/>
    <w:rsid w:val="007A5A81"/>
    <w:rsid w:val="007A5B38"/>
    <w:rsid w:val="007A5CA4"/>
    <w:rsid w:val="007A5CFA"/>
    <w:rsid w:val="007A5E8E"/>
    <w:rsid w:val="007A5EBD"/>
    <w:rsid w:val="007A5EF2"/>
    <w:rsid w:val="007A5F9D"/>
    <w:rsid w:val="007A60F9"/>
    <w:rsid w:val="007A6269"/>
    <w:rsid w:val="007A6363"/>
    <w:rsid w:val="007A6424"/>
    <w:rsid w:val="007A657D"/>
    <w:rsid w:val="007A6869"/>
    <w:rsid w:val="007A6931"/>
    <w:rsid w:val="007A6A84"/>
    <w:rsid w:val="007A6C60"/>
    <w:rsid w:val="007A6E2D"/>
    <w:rsid w:val="007A6EB6"/>
    <w:rsid w:val="007A6EEC"/>
    <w:rsid w:val="007A6FC7"/>
    <w:rsid w:val="007A6FED"/>
    <w:rsid w:val="007A72B0"/>
    <w:rsid w:val="007A732C"/>
    <w:rsid w:val="007A75EF"/>
    <w:rsid w:val="007A7AE0"/>
    <w:rsid w:val="007A7D4B"/>
    <w:rsid w:val="007A7E2A"/>
    <w:rsid w:val="007B01D1"/>
    <w:rsid w:val="007B03D9"/>
    <w:rsid w:val="007B0574"/>
    <w:rsid w:val="007B092B"/>
    <w:rsid w:val="007B0A9C"/>
    <w:rsid w:val="007B0D71"/>
    <w:rsid w:val="007B0E66"/>
    <w:rsid w:val="007B0EA0"/>
    <w:rsid w:val="007B0F05"/>
    <w:rsid w:val="007B0F7A"/>
    <w:rsid w:val="007B0FB0"/>
    <w:rsid w:val="007B10DE"/>
    <w:rsid w:val="007B13B7"/>
    <w:rsid w:val="007B1622"/>
    <w:rsid w:val="007B165F"/>
    <w:rsid w:val="007B189B"/>
    <w:rsid w:val="007B1D66"/>
    <w:rsid w:val="007B1FE5"/>
    <w:rsid w:val="007B2174"/>
    <w:rsid w:val="007B21E4"/>
    <w:rsid w:val="007B24D1"/>
    <w:rsid w:val="007B28D0"/>
    <w:rsid w:val="007B29CA"/>
    <w:rsid w:val="007B2AF6"/>
    <w:rsid w:val="007B2B8F"/>
    <w:rsid w:val="007B2D53"/>
    <w:rsid w:val="007B3080"/>
    <w:rsid w:val="007B376E"/>
    <w:rsid w:val="007B38E9"/>
    <w:rsid w:val="007B3984"/>
    <w:rsid w:val="007B3994"/>
    <w:rsid w:val="007B3BFF"/>
    <w:rsid w:val="007B3D0D"/>
    <w:rsid w:val="007B4008"/>
    <w:rsid w:val="007B41A5"/>
    <w:rsid w:val="007B4297"/>
    <w:rsid w:val="007B4532"/>
    <w:rsid w:val="007B4D48"/>
    <w:rsid w:val="007B4D50"/>
    <w:rsid w:val="007B4D6B"/>
    <w:rsid w:val="007B4D93"/>
    <w:rsid w:val="007B508A"/>
    <w:rsid w:val="007B50CD"/>
    <w:rsid w:val="007B51DE"/>
    <w:rsid w:val="007B542B"/>
    <w:rsid w:val="007B547C"/>
    <w:rsid w:val="007B56BA"/>
    <w:rsid w:val="007B5728"/>
    <w:rsid w:val="007B587E"/>
    <w:rsid w:val="007B5A21"/>
    <w:rsid w:val="007B5A44"/>
    <w:rsid w:val="007B5C22"/>
    <w:rsid w:val="007B5D47"/>
    <w:rsid w:val="007B6093"/>
    <w:rsid w:val="007B627C"/>
    <w:rsid w:val="007B6620"/>
    <w:rsid w:val="007B6808"/>
    <w:rsid w:val="007B6861"/>
    <w:rsid w:val="007B6A58"/>
    <w:rsid w:val="007B6F57"/>
    <w:rsid w:val="007B72A6"/>
    <w:rsid w:val="007B7341"/>
    <w:rsid w:val="007B73E3"/>
    <w:rsid w:val="007B757A"/>
    <w:rsid w:val="007B7696"/>
    <w:rsid w:val="007B776F"/>
    <w:rsid w:val="007B78E1"/>
    <w:rsid w:val="007B795E"/>
    <w:rsid w:val="007B7B37"/>
    <w:rsid w:val="007B7D7B"/>
    <w:rsid w:val="007B7E64"/>
    <w:rsid w:val="007B7FC9"/>
    <w:rsid w:val="007C001A"/>
    <w:rsid w:val="007C008D"/>
    <w:rsid w:val="007C0475"/>
    <w:rsid w:val="007C0644"/>
    <w:rsid w:val="007C0723"/>
    <w:rsid w:val="007C0769"/>
    <w:rsid w:val="007C0F21"/>
    <w:rsid w:val="007C10E9"/>
    <w:rsid w:val="007C1122"/>
    <w:rsid w:val="007C125E"/>
    <w:rsid w:val="007C13FB"/>
    <w:rsid w:val="007C1401"/>
    <w:rsid w:val="007C15B3"/>
    <w:rsid w:val="007C163E"/>
    <w:rsid w:val="007C1676"/>
    <w:rsid w:val="007C184A"/>
    <w:rsid w:val="007C1A3C"/>
    <w:rsid w:val="007C1D60"/>
    <w:rsid w:val="007C215B"/>
    <w:rsid w:val="007C2271"/>
    <w:rsid w:val="007C23A6"/>
    <w:rsid w:val="007C23AD"/>
    <w:rsid w:val="007C2440"/>
    <w:rsid w:val="007C2585"/>
    <w:rsid w:val="007C25C3"/>
    <w:rsid w:val="007C25FF"/>
    <w:rsid w:val="007C270B"/>
    <w:rsid w:val="007C270F"/>
    <w:rsid w:val="007C27B3"/>
    <w:rsid w:val="007C2829"/>
    <w:rsid w:val="007C2A35"/>
    <w:rsid w:val="007C2A6E"/>
    <w:rsid w:val="007C2DB7"/>
    <w:rsid w:val="007C2E08"/>
    <w:rsid w:val="007C31E3"/>
    <w:rsid w:val="007C3315"/>
    <w:rsid w:val="007C35A6"/>
    <w:rsid w:val="007C3939"/>
    <w:rsid w:val="007C3B90"/>
    <w:rsid w:val="007C3D47"/>
    <w:rsid w:val="007C3F6D"/>
    <w:rsid w:val="007C3F81"/>
    <w:rsid w:val="007C4222"/>
    <w:rsid w:val="007C4253"/>
    <w:rsid w:val="007C4387"/>
    <w:rsid w:val="007C441B"/>
    <w:rsid w:val="007C4516"/>
    <w:rsid w:val="007C472E"/>
    <w:rsid w:val="007C47FA"/>
    <w:rsid w:val="007C49FA"/>
    <w:rsid w:val="007C4B7F"/>
    <w:rsid w:val="007C4C65"/>
    <w:rsid w:val="007C4CA8"/>
    <w:rsid w:val="007C4D21"/>
    <w:rsid w:val="007C510D"/>
    <w:rsid w:val="007C5599"/>
    <w:rsid w:val="007C55C0"/>
    <w:rsid w:val="007C5625"/>
    <w:rsid w:val="007C56DB"/>
    <w:rsid w:val="007C57B0"/>
    <w:rsid w:val="007C58DC"/>
    <w:rsid w:val="007C59DA"/>
    <w:rsid w:val="007C5AE9"/>
    <w:rsid w:val="007C5B4B"/>
    <w:rsid w:val="007C5B96"/>
    <w:rsid w:val="007C5B97"/>
    <w:rsid w:val="007C5B9D"/>
    <w:rsid w:val="007C60BE"/>
    <w:rsid w:val="007C63A4"/>
    <w:rsid w:val="007C6481"/>
    <w:rsid w:val="007C64A0"/>
    <w:rsid w:val="007C66D9"/>
    <w:rsid w:val="007C6712"/>
    <w:rsid w:val="007C6718"/>
    <w:rsid w:val="007C67AA"/>
    <w:rsid w:val="007C6854"/>
    <w:rsid w:val="007C6AE5"/>
    <w:rsid w:val="007C6B51"/>
    <w:rsid w:val="007C6C31"/>
    <w:rsid w:val="007C6D10"/>
    <w:rsid w:val="007C6DF9"/>
    <w:rsid w:val="007C6E1A"/>
    <w:rsid w:val="007C6F02"/>
    <w:rsid w:val="007C6FB2"/>
    <w:rsid w:val="007C707E"/>
    <w:rsid w:val="007C7096"/>
    <w:rsid w:val="007C72C4"/>
    <w:rsid w:val="007C72F0"/>
    <w:rsid w:val="007C7467"/>
    <w:rsid w:val="007C7748"/>
    <w:rsid w:val="007C774E"/>
    <w:rsid w:val="007C77C8"/>
    <w:rsid w:val="007C79C7"/>
    <w:rsid w:val="007C7BDC"/>
    <w:rsid w:val="007C7DEA"/>
    <w:rsid w:val="007C7FA8"/>
    <w:rsid w:val="007D0222"/>
    <w:rsid w:val="007D0559"/>
    <w:rsid w:val="007D0600"/>
    <w:rsid w:val="007D0647"/>
    <w:rsid w:val="007D06BE"/>
    <w:rsid w:val="007D08B3"/>
    <w:rsid w:val="007D08F6"/>
    <w:rsid w:val="007D0941"/>
    <w:rsid w:val="007D0A5F"/>
    <w:rsid w:val="007D0D99"/>
    <w:rsid w:val="007D0E75"/>
    <w:rsid w:val="007D0F99"/>
    <w:rsid w:val="007D1019"/>
    <w:rsid w:val="007D118C"/>
    <w:rsid w:val="007D14EE"/>
    <w:rsid w:val="007D1792"/>
    <w:rsid w:val="007D1816"/>
    <w:rsid w:val="007D1CB6"/>
    <w:rsid w:val="007D1E6E"/>
    <w:rsid w:val="007D1FA8"/>
    <w:rsid w:val="007D1FDD"/>
    <w:rsid w:val="007D205C"/>
    <w:rsid w:val="007D20AB"/>
    <w:rsid w:val="007D25FA"/>
    <w:rsid w:val="007D2776"/>
    <w:rsid w:val="007D2984"/>
    <w:rsid w:val="007D29CC"/>
    <w:rsid w:val="007D2C2C"/>
    <w:rsid w:val="007D2E85"/>
    <w:rsid w:val="007D2EE7"/>
    <w:rsid w:val="007D2F3A"/>
    <w:rsid w:val="007D3021"/>
    <w:rsid w:val="007D30AA"/>
    <w:rsid w:val="007D33B1"/>
    <w:rsid w:val="007D366D"/>
    <w:rsid w:val="007D36FE"/>
    <w:rsid w:val="007D373E"/>
    <w:rsid w:val="007D3AA6"/>
    <w:rsid w:val="007D3B8F"/>
    <w:rsid w:val="007D3CB1"/>
    <w:rsid w:val="007D3F0D"/>
    <w:rsid w:val="007D3F3F"/>
    <w:rsid w:val="007D3F45"/>
    <w:rsid w:val="007D4111"/>
    <w:rsid w:val="007D4168"/>
    <w:rsid w:val="007D4282"/>
    <w:rsid w:val="007D4324"/>
    <w:rsid w:val="007D43B6"/>
    <w:rsid w:val="007D4527"/>
    <w:rsid w:val="007D479D"/>
    <w:rsid w:val="007D4A8E"/>
    <w:rsid w:val="007D4E08"/>
    <w:rsid w:val="007D4E27"/>
    <w:rsid w:val="007D504E"/>
    <w:rsid w:val="007D511A"/>
    <w:rsid w:val="007D51EC"/>
    <w:rsid w:val="007D551A"/>
    <w:rsid w:val="007D557A"/>
    <w:rsid w:val="007D5595"/>
    <w:rsid w:val="007D55B1"/>
    <w:rsid w:val="007D55C0"/>
    <w:rsid w:val="007D5A49"/>
    <w:rsid w:val="007D5B56"/>
    <w:rsid w:val="007D5BE4"/>
    <w:rsid w:val="007D5C21"/>
    <w:rsid w:val="007D6009"/>
    <w:rsid w:val="007D6139"/>
    <w:rsid w:val="007D6204"/>
    <w:rsid w:val="007D644F"/>
    <w:rsid w:val="007D6702"/>
    <w:rsid w:val="007D69D0"/>
    <w:rsid w:val="007D6A28"/>
    <w:rsid w:val="007D6CDB"/>
    <w:rsid w:val="007D6D3F"/>
    <w:rsid w:val="007D6D8E"/>
    <w:rsid w:val="007D6FA1"/>
    <w:rsid w:val="007D6FAA"/>
    <w:rsid w:val="007D6FDE"/>
    <w:rsid w:val="007D7117"/>
    <w:rsid w:val="007D71BB"/>
    <w:rsid w:val="007D7513"/>
    <w:rsid w:val="007D7A47"/>
    <w:rsid w:val="007D7B48"/>
    <w:rsid w:val="007D7BB6"/>
    <w:rsid w:val="007D7BE8"/>
    <w:rsid w:val="007D7C29"/>
    <w:rsid w:val="007D7DBF"/>
    <w:rsid w:val="007D7E23"/>
    <w:rsid w:val="007D7EDD"/>
    <w:rsid w:val="007E008B"/>
    <w:rsid w:val="007E02CA"/>
    <w:rsid w:val="007E0345"/>
    <w:rsid w:val="007E05AF"/>
    <w:rsid w:val="007E0726"/>
    <w:rsid w:val="007E0759"/>
    <w:rsid w:val="007E07DE"/>
    <w:rsid w:val="007E09DB"/>
    <w:rsid w:val="007E0A2F"/>
    <w:rsid w:val="007E0A41"/>
    <w:rsid w:val="007E0AA1"/>
    <w:rsid w:val="007E0C5C"/>
    <w:rsid w:val="007E0CC0"/>
    <w:rsid w:val="007E0E4D"/>
    <w:rsid w:val="007E0E80"/>
    <w:rsid w:val="007E0F25"/>
    <w:rsid w:val="007E0FC9"/>
    <w:rsid w:val="007E103B"/>
    <w:rsid w:val="007E10C5"/>
    <w:rsid w:val="007E127C"/>
    <w:rsid w:val="007E13BF"/>
    <w:rsid w:val="007E14B2"/>
    <w:rsid w:val="007E1662"/>
    <w:rsid w:val="007E1693"/>
    <w:rsid w:val="007E16E4"/>
    <w:rsid w:val="007E191E"/>
    <w:rsid w:val="007E1944"/>
    <w:rsid w:val="007E1A2D"/>
    <w:rsid w:val="007E1A94"/>
    <w:rsid w:val="007E1BED"/>
    <w:rsid w:val="007E1D9E"/>
    <w:rsid w:val="007E1DC5"/>
    <w:rsid w:val="007E20CE"/>
    <w:rsid w:val="007E20FF"/>
    <w:rsid w:val="007E23E1"/>
    <w:rsid w:val="007E24BE"/>
    <w:rsid w:val="007E24D9"/>
    <w:rsid w:val="007E25C4"/>
    <w:rsid w:val="007E25F5"/>
    <w:rsid w:val="007E280A"/>
    <w:rsid w:val="007E2979"/>
    <w:rsid w:val="007E29CD"/>
    <w:rsid w:val="007E2B5F"/>
    <w:rsid w:val="007E2E7D"/>
    <w:rsid w:val="007E2F8F"/>
    <w:rsid w:val="007E32CE"/>
    <w:rsid w:val="007E336F"/>
    <w:rsid w:val="007E3B3D"/>
    <w:rsid w:val="007E3D73"/>
    <w:rsid w:val="007E3F72"/>
    <w:rsid w:val="007E41D3"/>
    <w:rsid w:val="007E42D6"/>
    <w:rsid w:val="007E4410"/>
    <w:rsid w:val="007E44C1"/>
    <w:rsid w:val="007E4616"/>
    <w:rsid w:val="007E4647"/>
    <w:rsid w:val="007E4845"/>
    <w:rsid w:val="007E48CF"/>
    <w:rsid w:val="007E49C9"/>
    <w:rsid w:val="007E4A23"/>
    <w:rsid w:val="007E4A61"/>
    <w:rsid w:val="007E4B5A"/>
    <w:rsid w:val="007E4C2D"/>
    <w:rsid w:val="007E4C6A"/>
    <w:rsid w:val="007E4CF1"/>
    <w:rsid w:val="007E4FAD"/>
    <w:rsid w:val="007E4FC8"/>
    <w:rsid w:val="007E5008"/>
    <w:rsid w:val="007E5112"/>
    <w:rsid w:val="007E5159"/>
    <w:rsid w:val="007E5206"/>
    <w:rsid w:val="007E5453"/>
    <w:rsid w:val="007E56CF"/>
    <w:rsid w:val="007E5C2D"/>
    <w:rsid w:val="007E5FA2"/>
    <w:rsid w:val="007E601B"/>
    <w:rsid w:val="007E6074"/>
    <w:rsid w:val="007E61BB"/>
    <w:rsid w:val="007E62A1"/>
    <w:rsid w:val="007E64C5"/>
    <w:rsid w:val="007E664B"/>
    <w:rsid w:val="007E669E"/>
    <w:rsid w:val="007E6859"/>
    <w:rsid w:val="007E6AD6"/>
    <w:rsid w:val="007E6BDE"/>
    <w:rsid w:val="007E6BF5"/>
    <w:rsid w:val="007E6CCA"/>
    <w:rsid w:val="007E6D0D"/>
    <w:rsid w:val="007E716A"/>
    <w:rsid w:val="007E723D"/>
    <w:rsid w:val="007E739A"/>
    <w:rsid w:val="007E740D"/>
    <w:rsid w:val="007E76CD"/>
    <w:rsid w:val="007E77CC"/>
    <w:rsid w:val="007E78EC"/>
    <w:rsid w:val="007E7948"/>
    <w:rsid w:val="007E7A79"/>
    <w:rsid w:val="007E7AF4"/>
    <w:rsid w:val="007E7BEF"/>
    <w:rsid w:val="007E7C20"/>
    <w:rsid w:val="007E7C37"/>
    <w:rsid w:val="007E7FD2"/>
    <w:rsid w:val="007F02AB"/>
    <w:rsid w:val="007F02B4"/>
    <w:rsid w:val="007F03B4"/>
    <w:rsid w:val="007F0930"/>
    <w:rsid w:val="007F0A6E"/>
    <w:rsid w:val="007F0BB9"/>
    <w:rsid w:val="007F0F5F"/>
    <w:rsid w:val="007F1583"/>
    <w:rsid w:val="007F15AD"/>
    <w:rsid w:val="007F1689"/>
    <w:rsid w:val="007F16C8"/>
    <w:rsid w:val="007F1745"/>
    <w:rsid w:val="007F187B"/>
    <w:rsid w:val="007F1A27"/>
    <w:rsid w:val="007F1A32"/>
    <w:rsid w:val="007F1A4D"/>
    <w:rsid w:val="007F1D79"/>
    <w:rsid w:val="007F1DF0"/>
    <w:rsid w:val="007F1E16"/>
    <w:rsid w:val="007F1E20"/>
    <w:rsid w:val="007F205E"/>
    <w:rsid w:val="007F210E"/>
    <w:rsid w:val="007F21A3"/>
    <w:rsid w:val="007F2274"/>
    <w:rsid w:val="007F2580"/>
    <w:rsid w:val="007F2830"/>
    <w:rsid w:val="007F2963"/>
    <w:rsid w:val="007F2EEF"/>
    <w:rsid w:val="007F2FDA"/>
    <w:rsid w:val="007F330C"/>
    <w:rsid w:val="007F3828"/>
    <w:rsid w:val="007F39EA"/>
    <w:rsid w:val="007F3A40"/>
    <w:rsid w:val="007F3ACE"/>
    <w:rsid w:val="007F3C1C"/>
    <w:rsid w:val="007F406A"/>
    <w:rsid w:val="007F40ED"/>
    <w:rsid w:val="007F457F"/>
    <w:rsid w:val="007F48BB"/>
    <w:rsid w:val="007F492C"/>
    <w:rsid w:val="007F4A02"/>
    <w:rsid w:val="007F4A7B"/>
    <w:rsid w:val="007F4B45"/>
    <w:rsid w:val="007F4B4D"/>
    <w:rsid w:val="007F4D70"/>
    <w:rsid w:val="007F4E13"/>
    <w:rsid w:val="007F4FE8"/>
    <w:rsid w:val="007F5051"/>
    <w:rsid w:val="007F50B3"/>
    <w:rsid w:val="007F534E"/>
    <w:rsid w:val="007F5511"/>
    <w:rsid w:val="007F5522"/>
    <w:rsid w:val="007F55D7"/>
    <w:rsid w:val="007F56A2"/>
    <w:rsid w:val="007F56C5"/>
    <w:rsid w:val="007F56CF"/>
    <w:rsid w:val="007F5AC9"/>
    <w:rsid w:val="007F5C8E"/>
    <w:rsid w:val="007F5F53"/>
    <w:rsid w:val="007F60F7"/>
    <w:rsid w:val="007F6261"/>
    <w:rsid w:val="007F627D"/>
    <w:rsid w:val="007F65EB"/>
    <w:rsid w:val="007F6664"/>
    <w:rsid w:val="007F6686"/>
    <w:rsid w:val="007F67C4"/>
    <w:rsid w:val="007F687C"/>
    <w:rsid w:val="007F68B4"/>
    <w:rsid w:val="007F695A"/>
    <w:rsid w:val="007F69C6"/>
    <w:rsid w:val="007F7016"/>
    <w:rsid w:val="007F7201"/>
    <w:rsid w:val="007F730F"/>
    <w:rsid w:val="007F7384"/>
    <w:rsid w:val="007F742A"/>
    <w:rsid w:val="007F7479"/>
    <w:rsid w:val="007F771C"/>
    <w:rsid w:val="007F7AAF"/>
    <w:rsid w:val="007F7BB8"/>
    <w:rsid w:val="007F7CDB"/>
    <w:rsid w:val="007F7D2F"/>
    <w:rsid w:val="007F7DAC"/>
    <w:rsid w:val="007F7DAF"/>
    <w:rsid w:val="007F7E80"/>
    <w:rsid w:val="007F7ECA"/>
    <w:rsid w:val="007F7EF8"/>
    <w:rsid w:val="0080008C"/>
    <w:rsid w:val="0080008D"/>
    <w:rsid w:val="008001F3"/>
    <w:rsid w:val="008002D1"/>
    <w:rsid w:val="008003E4"/>
    <w:rsid w:val="008005A5"/>
    <w:rsid w:val="00800864"/>
    <w:rsid w:val="008008F2"/>
    <w:rsid w:val="008009AB"/>
    <w:rsid w:val="00800B1D"/>
    <w:rsid w:val="0080101F"/>
    <w:rsid w:val="0080105F"/>
    <w:rsid w:val="0080107F"/>
    <w:rsid w:val="008010C4"/>
    <w:rsid w:val="00801199"/>
    <w:rsid w:val="0080137D"/>
    <w:rsid w:val="0080150A"/>
    <w:rsid w:val="0080155B"/>
    <w:rsid w:val="00801563"/>
    <w:rsid w:val="0080177A"/>
    <w:rsid w:val="0080178B"/>
    <w:rsid w:val="00801AAE"/>
    <w:rsid w:val="00801CB6"/>
    <w:rsid w:val="00801E36"/>
    <w:rsid w:val="00801E8A"/>
    <w:rsid w:val="00801F9C"/>
    <w:rsid w:val="008020ED"/>
    <w:rsid w:val="00802173"/>
    <w:rsid w:val="008021BD"/>
    <w:rsid w:val="008021FD"/>
    <w:rsid w:val="008026FD"/>
    <w:rsid w:val="0080278E"/>
    <w:rsid w:val="0080289A"/>
    <w:rsid w:val="0080295B"/>
    <w:rsid w:val="008029BD"/>
    <w:rsid w:val="00802B8F"/>
    <w:rsid w:val="00802BAA"/>
    <w:rsid w:val="00802D3B"/>
    <w:rsid w:val="00803092"/>
    <w:rsid w:val="0080320D"/>
    <w:rsid w:val="008033DD"/>
    <w:rsid w:val="008033EB"/>
    <w:rsid w:val="00803429"/>
    <w:rsid w:val="008037BC"/>
    <w:rsid w:val="008037F5"/>
    <w:rsid w:val="0080391B"/>
    <w:rsid w:val="00803933"/>
    <w:rsid w:val="00803DB8"/>
    <w:rsid w:val="00804847"/>
    <w:rsid w:val="00804A70"/>
    <w:rsid w:val="00804C0D"/>
    <w:rsid w:val="00804CBC"/>
    <w:rsid w:val="00804D39"/>
    <w:rsid w:val="008050A9"/>
    <w:rsid w:val="008050C7"/>
    <w:rsid w:val="00805169"/>
    <w:rsid w:val="008052A6"/>
    <w:rsid w:val="008052C1"/>
    <w:rsid w:val="008055CD"/>
    <w:rsid w:val="0080577A"/>
    <w:rsid w:val="00805FD8"/>
    <w:rsid w:val="00806132"/>
    <w:rsid w:val="0080617B"/>
    <w:rsid w:val="008061DB"/>
    <w:rsid w:val="0080635D"/>
    <w:rsid w:val="00806663"/>
    <w:rsid w:val="00806BBA"/>
    <w:rsid w:val="00806D09"/>
    <w:rsid w:val="00806F8E"/>
    <w:rsid w:val="00807069"/>
    <w:rsid w:val="00807167"/>
    <w:rsid w:val="008071B9"/>
    <w:rsid w:val="0080725E"/>
    <w:rsid w:val="00807459"/>
    <w:rsid w:val="008074A0"/>
    <w:rsid w:val="008074D2"/>
    <w:rsid w:val="008074EF"/>
    <w:rsid w:val="008075AC"/>
    <w:rsid w:val="008075E8"/>
    <w:rsid w:val="00807780"/>
    <w:rsid w:val="008077D5"/>
    <w:rsid w:val="0080794A"/>
    <w:rsid w:val="00807AAA"/>
    <w:rsid w:val="00807B16"/>
    <w:rsid w:val="00807D24"/>
    <w:rsid w:val="00807D84"/>
    <w:rsid w:val="00807D89"/>
    <w:rsid w:val="00807FE8"/>
    <w:rsid w:val="008103C5"/>
    <w:rsid w:val="00810492"/>
    <w:rsid w:val="00810927"/>
    <w:rsid w:val="00810C51"/>
    <w:rsid w:val="00810E5B"/>
    <w:rsid w:val="00810FCB"/>
    <w:rsid w:val="00811545"/>
    <w:rsid w:val="008115E3"/>
    <w:rsid w:val="0081166B"/>
    <w:rsid w:val="0081192C"/>
    <w:rsid w:val="008119F2"/>
    <w:rsid w:val="00811AF1"/>
    <w:rsid w:val="00811B0A"/>
    <w:rsid w:val="00811B22"/>
    <w:rsid w:val="00811C13"/>
    <w:rsid w:val="00811C7F"/>
    <w:rsid w:val="00811F35"/>
    <w:rsid w:val="00811F72"/>
    <w:rsid w:val="00812233"/>
    <w:rsid w:val="0081269A"/>
    <w:rsid w:val="00812706"/>
    <w:rsid w:val="008127A5"/>
    <w:rsid w:val="00812914"/>
    <w:rsid w:val="00812BFE"/>
    <w:rsid w:val="00812CC5"/>
    <w:rsid w:val="00812CCF"/>
    <w:rsid w:val="00812DA0"/>
    <w:rsid w:val="00812E7B"/>
    <w:rsid w:val="00812EB1"/>
    <w:rsid w:val="00812EF4"/>
    <w:rsid w:val="008130D7"/>
    <w:rsid w:val="0081365B"/>
    <w:rsid w:val="008136D5"/>
    <w:rsid w:val="008137E1"/>
    <w:rsid w:val="0081383C"/>
    <w:rsid w:val="00813A88"/>
    <w:rsid w:val="00813B53"/>
    <w:rsid w:val="00813B8D"/>
    <w:rsid w:val="00813EB6"/>
    <w:rsid w:val="00814243"/>
    <w:rsid w:val="00814299"/>
    <w:rsid w:val="0081466D"/>
    <w:rsid w:val="008146BF"/>
    <w:rsid w:val="00814923"/>
    <w:rsid w:val="008149B1"/>
    <w:rsid w:val="00814BDF"/>
    <w:rsid w:val="0081509C"/>
    <w:rsid w:val="008151C1"/>
    <w:rsid w:val="00815258"/>
    <w:rsid w:val="0081560C"/>
    <w:rsid w:val="008156F7"/>
    <w:rsid w:val="008158E6"/>
    <w:rsid w:val="0081596B"/>
    <w:rsid w:val="00815C50"/>
    <w:rsid w:val="00815CFD"/>
    <w:rsid w:val="0081621B"/>
    <w:rsid w:val="008163D6"/>
    <w:rsid w:val="00816451"/>
    <w:rsid w:val="00816517"/>
    <w:rsid w:val="00816649"/>
    <w:rsid w:val="00816720"/>
    <w:rsid w:val="0081672E"/>
    <w:rsid w:val="008167F1"/>
    <w:rsid w:val="00816995"/>
    <w:rsid w:val="00816C62"/>
    <w:rsid w:val="00816D30"/>
    <w:rsid w:val="00816D37"/>
    <w:rsid w:val="00816E7C"/>
    <w:rsid w:val="00816EFE"/>
    <w:rsid w:val="00816F55"/>
    <w:rsid w:val="00816FD4"/>
    <w:rsid w:val="0081709B"/>
    <w:rsid w:val="0081709C"/>
    <w:rsid w:val="008170E6"/>
    <w:rsid w:val="008170E9"/>
    <w:rsid w:val="008173AF"/>
    <w:rsid w:val="008173D6"/>
    <w:rsid w:val="008175A9"/>
    <w:rsid w:val="00817EB7"/>
    <w:rsid w:val="0082031D"/>
    <w:rsid w:val="008204B0"/>
    <w:rsid w:val="0082059C"/>
    <w:rsid w:val="008206B7"/>
    <w:rsid w:val="0082088F"/>
    <w:rsid w:val="008208AB"/>
    <w:rsid w:val="008209C7"/>
    <w:rsid w:val="00820CFE"/>
    <w:rsid w:val="00820D65"/>
    <w:rsid w:val="00820FB1"/>
    <w:rsid w:val="00821018"/>
    <w:rsid w:val="00821111"/>
    <w:rsid w:val="008215D9"/>
    <w:rsid w:val="0082170C"/>
    <w:rsid w:val="008217F0"/>
    <w:rsid w:val="00821BD0"/>
    <w:rsid w:val="00821F08"/>
    <w:rsid w:val="008221B5"/>
    <w:rsid w:val="00822272"/>
    <w:rsid w:val="00822679"/>
    <w:rsid w:val="00822947"/>
    <w:rsid w:val="008229EF"/>
    <w:rsid w:val="00822CDF"/>
    <w:rsid w:val="00822D04"/>
    <w:rsid w:val="00822E71"/>
    <w:rsid w:val="00822E74"/>
    <w:rsid w:val="008231CC"/>
    <w:rsid w:val="008233C2"/>
    <w:rsid w:val="008236F7"/>
    <w:rsid w:val="0082387F"/>
    <w:rsid w:val="008238E0"/>
    <w:rsid w:val="00823C99"/>
    <w:rsid w:val="00823DC7"/>
    <w:rsid w:val="0082419D"/>
    <w:rsid w:val="00824593"/>
    <w:rsid w:val="00824881"/>
    <w:rsid w:val="008248B1"/>
    <w:rsid w:val="00824CA9"/>
    <w:rsid w:val="00824D72"/>
    <w:rsid w:val="00824E33"/>
    <w:rsid w:val="00824F9A"/>
    <w:rsid w:val="00824FA1"/>
    <w:rsid w:val="00825163"/>
    <w:rsid w:val="00825299"/>
    <w:rsid w:val="008252A1"/>
    <w:rsid w:val="0082549C"/>
    <w:rsid w:val="008255A8"/>
    <w:rsid w:val="008255F1"/>
    <w:rsid w:val="00825600"/>
    <w:rsid w:val="0082575F"/>
    <w:rsid w:val="008257E1"/>
    <w:rsid w:val="00825928"/>
    <w:rsid w:val="008259E0"/>
    <w:rsid w:val="00825A57"/>
    <w:rsid w:val="00825AF5"/>
    <w:rsid w:val="00825BBC"/>
    <w:rsid w:val="00825C00"/>
    <w:rsid w:val="00825E8A"/>
    <w:rsid w:val="00826056"/>
    <w:rsid w:val="00826290"/>
    <w:rsid w:val="00826740"/>
    <w:rsid w:val="00826918"/>
    <w:rsid w:val="0082697B"/>
    <w:rsid w:val="00826B56"/>
    <w:rsid w:val="00826E0A"/>
    <w:rsid w:val="00826E44"/>
    <w:rsid w:val="00827278"/>
    <w:rsid w:val="008274DF"/>
    <w:rsid w:val="0082757F"/>
    <w:rsid w:val="00827934"/>
    <w:rsid w:val="00827AB0"/>
    <w:rsid w:val="00827C67"/>
    <w:rsid w:val="00827FA0"/>
    <w:rsid w:val="008301C4"/>
    <w:rsid w:val="008302C6"/>
    <w:rsid w:val="00830452"/>
    <w:rsid w:val="0083093A"/>
    <w:rsid w:val="00830C2F"/>
    <w:rsid w:val="00830EC4"/>
    <w:rsid w:val="00830F06"/>
    <w:rsid w:val="00831009"/>
    <w:rsid w:val="00831243"/>
    <w:rsid w:val="00831367"/>
    <w:rsid w:val="008314EE"/>
    <w:rsid w:val="00831593"/>
    <w:rsid w:val="00831616"/>
    <w:rsid w:val="00831738"/>
    <w:rsid w:val="00831CCC"/>
    <w:rsid w:val="00831D99"/>
    <w:rsid w:val="008320BB"/>
    <w:rsid w:val="008320D4"/>
    <w:rsid w:val="008325BA"/>
    <w:rsid w:val="008326C0"/>
    <w:rsid w:val="00832700"/>
    <w:rsid w:val="008327AC"/>
    <w:rsid w:val="00832951"/>
    <w:rsid w:val="00832975"/>
    <w:rsid w:val="00832E75"/>
    <w:rsid w:val="00832F61"/>
    <w:rsid w:val="00833521"/>
    <w:rsid w:val="008337EC"/>
    <w:rsid w:val="0083388C"/>
    <w:rsid w:val="008339C1"/>
    <w:rsid w:val="00833D84"/>
    <w:rsid w:val="00833DB1"/>
    <w:rsid w:val="008340AD"/>
    <w:rsid w:val="00834353"/>
    <w:rsid w:val="0083442C"/>
    <w:rsid w:val="008346BA"/>
    <w:rsid w:val="0083474C"/>
    <w:rsid w:val="00834A03"/>
    <w:rsid w:val="00834B1B"/>
    <w:rsid w:val="00834B66"/>
    <w:rsid w:val="00834B8B"/>
    <w:rsid w:val="00834FCA"/>
    <w:rsid w:val="00835028"/>
    <w:rsid w:val="00835112"/>
    <w:rsid w:val="00835136"/>
    <w:rsid w:val="0083516D"/>
    <w:rsid w:val="008353E4"/>
    <w:rsid w:val="00835601"/>
    <w:rsid w:val="0083569D"/>
    <w:rsid w:val="00835935"/>
    <w:rsid w:val="00835CB6"/>
    <w:rsid w:val="00835CE2"/>
    <w:rsid w:val="00835DF7"/>
    <w:rsid w:val="00835EBA"/>
    <w:rsid w:val="0083639F"/>
    <w:rsid w:val="00836418"/>
    <w:rsid w:val="008364AB"/>
    <w:rsid w:val="00836812"/>
    <w:rsid w:val="00836C15"/>
    <w:rsid w:val="00836C63"/>
    <w:rsid w:val="00836D37"/>
    <w:rsid w:val="00836EA0"/>
    <w:rsid w:val="00837110"/>
    <w:rsid w:val="0083741C"/>
    <w:rsid w:val="008374E5"/>
    <w:rsid w:val="008376C1"/>
    <w:rsid w:val="00837C08"/>
    <w:rsid w:val="00837D3C"/>
    <w:rsid w:val="00837DD5"/>
    <w:rsid w:val="00837ECF"/>
    <w:rsid w:val="00837F63"/>
    <w:rsid w:val="0084018C"/>
    <w:rsid w:val="008404CD"/>
    <w:rsid w:val="00840571"/>
    <w:rsid w:val="008405F8"/>
    <w:rsid w:val="00840749"/>
    <w:rsid w:val="0084098B"/>
    <w:rsid w:val="00840D7C"/>
    <w:rsid w:val="00840DE6"/>
    <w:rsid w:val="008410CD"/>
    <w:rsid w:val="008412D7"/>
    <w:rsid w:val="008413F5"/>
    <w:rsid w:val="00841C8C"/>
    <w:rsid w:val="00841EA9"/>
    <w:rsid w:val="00841FCB"/>
    <w:rsid w:val="00842042"/>
    <w:rsid w:val="008420A4"/>
    <w:rsid w:val="00842102"/>
    <w:rsid w:val="00842350"/>
    <w:rsid w:val="00842972"/>
    <w:rsid w:val="00842A3E"/>
    <w:rsid w:val="00842C0D"/>
    <w:rsid w:val="00842DAA"/>
    <w:rsid w:val="00842E40"/>
    <w:rsid w:val="00842EA5"/>
    <w:rsid w:val="00842FD9"/>
    <w:rsid w:val="0084326A"/>
    <w:rsid w:val="0084342D"/>
    <w:rsid w:val="00843491"/>
    <w:rsid w:val="008435CC"/>
    <w:rsid w:val="00843678"/>
    <w:rsid w:val="0084384B"/>
    <w:rsid w:val="0084385F"/>
    <w:rsid w:val="00843C52"/>
    <w:rsid w:val="00843D88"/>
    <w:rsid w:val="00843DAE"/>
    <w:rsid w:val="00843E14"/>
    <w:rsid w:val="008441BC"/>
    <w:rsid w:val="008444CB"/>
    <w:rsid w:val="0084457C"/>
    <w:rsid w:val="008445EB"/>
    <w:rsid w:val="00844742"/>
    <w:rsid w:val="00844844"/>
    <w:rsid w:val="00844D0B"/>
    <w:rsid w:val="00844DDA"/>
    <w:rsid w:val="0084513D"/>
    <w:rsid w:val="00845241"/>
    <w:rsid w:val="0084561C"/>
    <w:rsid w:val="0084586D"/>
    <w:rsid w:val="00845A5D"/>
    <w:rsid w:val="00845D74"/>
    <w:rsid w:val="00846007"/>
    <w:rsid w:val="00846200"/>
    <w:rsid w:val="0084667B"/>
    <w:rsid w:val="008468CB"/>
    <w:rsid w:val="00846965"/>
    <w:rsid w:val="008469B6"/>
    <w:rsid w:val="00846AAE"/>
    <w:rsid w:val="00846AB9"/>
    <w:rsid w:val="00846DFE"/>
    <w:rsid w:val="00846EA9"/>
    <w:rsid w:val="0084793A"/>
    <w:rsid w:val="00847A72"/>
    <w:rsid w:val="00847B3E"/>
    <w:rsid w:val="00847DF7"/>
    <w:rsid w:val="00850084"/>
    <w:rsid w:val="0085013F"/>
    <w:rsid w:val="008501A2"/>
    <w:rsid w:val="0085027B"/>
    <w:rsid w:val="008502CF"/>
    <w:rsid w:val="0085046A"/>
    <w:rsid w:val="008504A1"/>
    <w:rsid w:val="008505C6"/>
    <w:rsid w:val="00850899"/>
    <w:rsid w:val="00850AD2"/>
    <w:rsid w:val="00850DBE"/>
    <w:rsid w:val="00850DF7"/>
    <w:rsid w:val="00850E8D"/>
    <w:rsid w:val="0085131A"/>
    <w:rsid w:val="0085165E"/>
    <w:rsid w:val="008519DF"/>
    <w:rsid w:val="008519E0"/>
    <w:rsid w:val="00851ACC"/>
    <w:rsid w:val="00851C13"/>
    <w:rsid w:val="008520FA"/>
    <w:rsid w:val="008523D4"/>
    <w:rsid w:val="0085249D"/>
    <w:rsid w:val="0085257B"/>
    <w:rsid w:val="008525BC"/>
    <w:rsid w:val="00852840"/>
    <w:rsid w:val="00852A59"/>
    <w:rsid w:val="00852B8B"/>
    <w:rsid w:val="00852CA1"/>
    <w:rsid w:val="00852D39"/>
    <w:rsid w:val="00852D4C"/>
    <w:rsid w:val="00852EAC"/>
    <w:rsid w:val="008531F5"/>
    <w:rsid w:val="008536D7"/>
    <w:rsid w:val="00853708"/>
    <w:rsid w:val="00853873"/>
    <w:rsid w:val="00853888"/>
    <w:rsid w:val="00853923"/>
    <w:rsid w:val="00853A30"/>
    <w:rsid w:val="00853B30"/>
    <w:rsid w:val="00853B4F"/>
    <w:rsid w:val="00853B9D"/>
    <w:rsid w:val="00853E31"/>
    <w:rsid w:val="00853E71"/>
    <w:rsid w:val="00853E9C"/>
    <w:rsid w:val="00854242"/>
    <w:rsid w:val="008542B4"/>
    <w:rsid w:val="0085432D"/>
    <w:rsid w:val="008548EC"/>
    <w:rsid w:val="00854914"/>
    <w:rsid w:val="00854C12"/>
    <w:rsid w:val="00854E72"/>
    <w:rsid w:val="008550F9"/>
    <w:rsid w:val="00855322"/>
    <w:rsid w:val="008556C4"/>
    <w:rsid w:val="00855832"/>
    <w:rsid w:val="0085585D"/>
    <w:rsid w:val="00855ADC"/>
    <w:rsid w:val="00855B64"/>
    <w:rsid w:val="00855D94"/>
    <w:rsid w:val="00855E1F"/>
    <w:rsid w:val="00855EA6"/>
    <w:rsid w:val="00855ECB"/>
    <w:rsid w:val="00855F37"/>
    <w:rsid w:val="008560CD"/>
    <w:rsid w:val="008561E8"/>
    <w:rsid w:val="00856271"/>
    <w:rsid w:val="0085638D"/>
    <w:rsid w:val="00856431"/>
    <w:rsid w:val="008564B9"/>
    <w:rsid w:val="008565C2"/>
    <w:rsid w:val="008566BA"/>
    <w:rsid w:val="00856740"/>
    <w:rsid w:val="0085691D"/>
    <w:rsid w:val="00856947"/>
    <w:rsid w:val="00856985"/>
    <w:rsid w:val="00856B70"/>
    <w:rsid w:val="00856BF9"/>
    <w:rsid w:val="00856DDE"/>
    <w:rsid w:val="00856EA1"/>
    <w:rsid w:val="0085708E"/>
    <w:rsid w:val="008570D1"/>
    <w:rsid w:val="008571D9"/>
    <w:rsid w:val="008572E3"/>
    <w:rsid w:val="00857377"/>
    <w:rsid w:val="008573EF"/>
    <w:rsid w:val="00857766"/>
    <w:rsid w:val="00857DC6"/>
    <w:rsid w:val="00857EE9"/>
    <w:rsid w:val="00860393"/>
    <w:rsid w:val="0086043E"/>
    <w:rsid w:val="00860507"/>
    <w:rsid w:val="0086056B"/>
    <w:rsid w:val="00860667"/>
    <w:rsid w:val="0086067E"/>
    <w:rsid w:val="008609E7"/>
    <w:rsid w:val="00860A45"/>
    <w:rsid w:val="00860D2D"/>
    <w:rsid w:val="00860E81"/>
    <w:rsid w:val="00860E8D"/>
    <w:rsid w:val="00860F9B"/>
    <w:rsid w:val="0086112D"/>
    <w:rsid w:val="0086125C"/>
    <w:rsid w:val="0086135E"/>
    <w:rsid w:val="008613B5"/>
    <w:rsid w:val="00861583"/>
    <w:rsid w:val="00861BD0"/>
    <w:rsid w:val="00861C50"/>
    <w:rsid w:val="00861EEB"/>
    <w:rsid w:val="00861FE9"/>
    <w:rsid w:val="00862011"/>
    <w:rsid w:val="0086213B"/>
    <w:rsid w:val="00862454"/>
    <w:rsid w:val="00862521"/>
    <w:rsid w:val="0086258D"/>
    <w:rsid w:val="0086260B"/>
    <w:rsid w:val="008628FA"/>
    <w:rsid w:val="00862A1C"/>
    <w:rsid w:val="00862B68"/>
    <w:rsid w:val="00862BC4"/>
    <w:rsid w:val="00862EE1"/>
    <w:rsid w:val="00862F84"/>
    <w:rsid w:val="00863036"/>
    <w:rsid w:val="00863125"/>
    <w:rsid w:val="0086316B"/>
    <w:rsid w:val="008636C1"/>
    <w:rsid w:val="00863868"/>
    <w:rsid w:val="00863AE0"/>
    <w:rsid w:val="00863C43"/>
    <w:rsid w:val="00863D4F"/>
    <w:rsid w:val="00863FF2"/>
    <w:rsid w:val="008641A8"/>
    <w:rsid w:val="008641CB"/>
    <w:rsid w:val="00864262"/>
    <w:rsid w:val="008642BF"/>
    <w:rsid w:val="00864325"/>
    <w:rsid w:val="008643DC"/>
    <w:rsid w:val="00864503"/>
    <w:rsid w:val="00864669"/>
    <w:rsid w:val="008647F9"/>
    <w:rsid w:val="00864F46"/>
    <w:rsid w:val="0086539F"/>
    <w:rsid w:val="008653C0"/>
    <w:rsid w:val="00865557"/>
    <w:rsid w:val="00865777"/>
    <w:rsid w:val="00865814"/>
    <w:rsid w:val="00865A2A"/>
    <w:rsid w:val="00865A2B"/>
    <w:rsid w:val="00865BBC"/>
    <w:rsid w:val="00865BF1"/>
    <w:rsid w:val="00865D5D"/>
    <w:rsid w:val="00865E87"/>
    <w:rsid w:val="008660BA"/>
    <w:rsid w:val="0086615A"/>
    <w:rsid w:val="0086635A"/>
    <w:rsid w:val="00866822"/>
    <w:rsid w:val="008668BC"/>
    <w:rsid w:val="00866CEF"/>
    <w:rsid w:val="00866EEA"/>
    <w:rsid w:val="00866FF7"/>
    <w:rsid w:val="0086756C"/>
    <w:rsid w:val="0086766B"/>
    <w:rsid w:val="00867B27"/>
    <w:rsid w:val="00867BB8"/>
    <w:rsid w:val="00867D17"/>
    <w:rsid w:val="00867F15"/>
    <w:rsid w:val="00870176"/>
    <w:rsid w:val="00870195"/>
    <w:rsid w:val="008701E2"/>
    <w:rsid w:val="0087023F"/>
    <w:rsid w:val="0087039F"/>
    <w:rsid w:val="008703F8"/>
    <w:rsid w:val="008704BA"/>
    <w:rsid w:val="008704E0"/>
    <w:rsid w:val="0087086F"/>
    <w:rsid w:val="00870B96"/>
    <w:rsid w:val="00870BA9"/>
    <w:rsid w:val="008711C7"/>
    <w:rsid w:val="00871230"/>
    <w:rsid w:val="00871263"/>
    <w:rsid w:val="00871509"/>
    <w:rsid w:val="00871706"/>
    <w:rsid w:val="00871820"/>
    <w:rsid w:val="00871963"/>
    <w:rsid w:val="00871AE2"/>
    <w:rsid w:val="00871E40"/>
    <w:rsid w:val="00871E59"/>
    <w:rsid w:val="008720B1"/>
    <w:rsid w:val="008720DA"/>
    <w:rsid w:val="00872215"/>
    <w:rsid w:val="00872421"/>
    <w:rsid w:val="008727A2"/>
    <w:rsid w:val="008728C5"/>
    <w:rsid w:val="0087296B"/>
    <w:rsid w:val="00872CC9"/>
    <w:rsid w:val="00872DB8"/>
    <w:rsid w:val="00872E5D"/>
    <w:rsid w:val="00873592"/>
    <w:rsid w:val="0087361A"/>
    <w:rsid w:val="00873A3F"/>
    <w:rsid w:val="00873C7A"/>
    <w:rsid w:val="008740DE"/>
    <w:rsid w:val="008744DF"/>
    <w:rsid w:val="008748C5"/>
    <w:rsid w:val="00874A60"/>
    <w:rsid w:val="00874D9F"/>
    <w:rsid w:val="00874E22"/>
    <w:rsid w:val="00874F31"/>
    <w:rsid w:val="00874FC9"/>
    <w:rsid w:val="0087509C"/>
    <w:rsid w:val="00875187"/>
    <w:rsid w:val="00875251"/>
    <w:rsid w:val="00875387"/>
    <w:rsid w:val="00875713"/>
    <w:rsid w:val="008759AE"/>
    <w:rsid w:val="00875BC2"/>
    <w:rsid w:val="00875D44"/>
    <w:rsid w:val="00875E1B"/>
    <w:rsid w:val="00875FB4"/>
    <w:rsid w:val="00876187"/>
    <w:rsid w:val="008764F9"/>
    <w:rsid w:val="00876657"/>
    <w:rsid w:val="0087676B"/>
    <w:rsid w:val="00876B7D"/>
    <w:rsid w:val="00876CA8"/>
    <w:rsid w:val="00876CFB"/>
    <w:rsid w:val="00876F5C"/>
    <w:rsid w:val="008771BE"/>
    <w:rsid w:val="0087751E"/>
    <w:rsid w:val="008776A3"/>
    <w:rsid w:val="0087772B"/>
    <w:rsid w:val="0087783D"/>
    <w:rsid w:val="00877895"/>
    <w:rsid w:val="008779A3"/>
    <w:rsid w:val="00877A4C"/>
    <w:rsid w:val="00877A76"/>
    <w:rsid w:val="00877C0E"/>
    <w:rsid w:val="00877DE9"/>
    <w:rsid w:val="00877EDE"/>
    <w:rsid w:val="00877FB7"/>
    <w:rsid w:val="00880715"/>
    <w:rsid w:val="00880765"/>
    <w:rsid w:val="00880784"/>
    <w:rsid w:val="008809F0"/>
    <w:rsid w:val="00880A94"/>
    <w:rsid w:val="00880A9B"/>
    <w:rsid w:val="00880C8F"/>
    <w:rsid w:val="008811D9"/>
    <w:rsid w:val="0088146E"/>
    <w:rsid w:val="00881509"/>
    <w:rsid w:val="008815AC"/>
    <w:rsid w:val="00881715"/>
    <w:rsid w:val="0088174C"/>
    <w:rsid w:val="00881764"/>
    <w:rsid w:val="008819EA"/>
    <w:rsid w:val="00881A01"/>
    <w:rsid w:val="00881A1B"/>
    <w:rsid w:val="00881EBC"/>
    <w:rsid w:val="00882368"/>
    <w:rsid w:val="0088239A"/>
    <w:rsid w:val="008825BA"/>
    <w:rsid w:val="00882884"/>
    <w:rsid w:val="00882927"/>
    <w:rsid w:val="0088296E"/>
    <w:rsid w:val="00882DD3"/>
    <w:rsid w:val="00882DF1"/>
    <w:rsid w:val="0088311F"/>
    <w:rsid w:val="00883353"/>
    <w:rsid w:val="00883445"/>
    <w:rsid w:val="00883548"/>
    <w:rsid w:val="00883637"/>
    <w:rsid w:val="008839AF"/>
    <w:rsid w:val="00883C54"/>
    <w:rsid w:val="00883D36"/>
    <w:rsid w:val="00883D95"/>
    <w:rsid w:val="00883E55"/>
    <w:rsid w:val="0088401C"/>
    <w:rsid w:val="008840F6"/>
    <w:rsid w:val="0088411B"/>
    <w:rsid w:val="0088450D"/>
    <w:rsid w:val="00884511"/>
    <w:rsid w:val="008845CB"/>
    <w:rsid w:val="00884629"/>
    <w:rsid w:val="008846D5"/>
    <w:rsid w:val="008846EB"/>
    <w:rsid w:val="00884976"/>
    <w:rsid w:val="00884B53"/>
    <w:rsid w:val="00884B71"/>
    <w:rsid w:val="00884BED"/>
    <w:rsid w:val="00884D68"/>
    <w:rsid w:val="00884E39"/>
    <w:rsid w:val="008851E9"/>
    <w:rsid w:val="008851FA"/>
    <w:rsid w:val="0088530D"/>
    <w:rsid w:val="0088554D"/>
    <w:rsid w:val="00885643"/>
    <w:rsid w:val="00885733"/>
    <w:rsid w:val="00885914"/>
    <w:rsid w:val="008859EE"/>
    <w:rsid w:val="00885ACF"/>
    <w:rsid w:val="00885B04"/>
    <w:rsid w:val="00885CC5"/>
    <w:rsid w:val="00886167"/>
    <w:rsid w:val="00886347"/>
    <w:rsid w:val="008863D3"/>
    <w:rsid w:val="008866F7"/>
    <w:rsid w:val="00886B71"/>
    <w:rsid w:val="00886EEF"/>
    <w:rsid w:val="00886F59"/>
    <w:rsid w:val="00886FB6"/>
    <w:rsid w:val="00887109"/>
    <w:rsid w:val="00887138"/>
    <w:rsid w:val="008871E1"/>
    <w:rsid w:val="008871F0"/>
    <w:rsid w:val="00887684"/>
    <w:rsid w:val="00887711"/>
    <w:rsid w:val="00887828"/>
    <w:rsid w:val="00887865"/>
    <w:rsid w:val="00887A18"/>
    <w:rsid w:val="00887B43"/>
    <w:rsid w:val="00887E9E"/>
    <w:rsid w:val="00887EDE"/>
    <w:rsid w:val="00887EE0"/>
    <w:rsid w:val="00890043"/>
    <w:rsid w:val="008903D5"/>
    <w:rsid w:val="0089061A"/>
    <w:rsid w:val="00890A21"/>
    <w:rsid w:val="00890A44"/>
    <w:rsid w:val="00890A6A"/>
    <w:rsid w:val="00890B01"/>
    <w:rsid w:val="00890B64"/>
    <w:rsid w:val="00890C9A"/>
    <w:rsid w:val="00890DE6"/>
    <w:rsid w:val="00890F28"/>
    <w:rsid w:val="00891578"/>
    <w:rsid w:val="008915D6"/>
    <w:rsid w:val="0089163D"/>
    <w:rsid w:val="0089171C"/>
    <w:rsid w:val="00891B34"/>
    <w:rsid w:val="00891C10"/>
    <w:rsid w:val="00891CF4"/>
    <w:rsid w:val="00891D14"/>
    <w:rsid w:val="00892173"/>
    <w:rsid w:val="008922F5"/>
    <w:rsid w:val="00892586"/>
    <w:rsid w:val="008927FC"/>
    <w:rsid w:val="00892B9E"/>
    <w:rsid w:val="00892C2E"/>
    <w:rsid w:val="00892FBE"/>
    <w:rsid w:val="00892FCC"/>
    <w:rsid w:val="0089311D"/>
    <w:rsid w:val="008932AF"/>
    <w:rsid w:val="00893423"/>
    <w:rsid w:val="0089355F"/>
    <w:rsid w:val="00893581"/>
    <w:rsid w:val="008935D6"/>
    <w:rsid w:val="00894033"/>
    <w:rsid w:val="00894035"/>
    <w:rsid w:val="008940D1"/>
    <w:rsid w:val="008941C5"/>
    <w:rsid w:val="00894435"/>
    <w:rsid w:val="008944F5"/>
    <w:rsid w:val="008946EE"/>
    <w:rsid w:val="00894752"/>
    <w:rsid w:val="00894BC8"/>
    <w:rsid w:val="00894C2E"/>
    <w:rsid w:val="00894EB8"/>
    <w:rsid w:val="0089512F"/>
    <w:rsid w:val="008951F2"/>
    <w:rsid w:val="0089528B"/>
    <w:rsid w:val="00895563"/>
    <w:rsid w:val="0089562B"/>
    <w:rsid w:val="0089580E"/>
    <w:rsid w:val="008958A9"/>
    <w:rsid w:val="0089599D"/>
    <w:rsid w:val="00895A19"/>
    <w:rsid w:val="008961DE"/>
    <w:rsid w:val="008961F9"/>
    <w:rsid w:val="008966F1"/>
    <w:rsid w:val="0089675A"/>
    <w:rsid w:val="0089678E"/>
    <w:rsid w:val="00896DAF"/>
    <w:rsid w:val="00896E20"/>
    <w:rsid w:val="0089708E"/>
    <w:rsid w:val="00897098"/>
    <w:rsid w:val="00897272"/>
    <w:rsid w:val="00897388"/>
    <w:rsid w:val="008973BE"/>
    <w:rsid w:val="00897451"/>
    <w:rsid w:val="0089751D"/>
    <w:rsid w:val="00897586"/>
    <w:rsid w:val="00897634"/>
    <w:rsid w:val="00897738"/>
    <w:rsid w:val="00897AF4"/>
    <w:rsid w:val="00897B4F"/>
    <w:rsid w:val="00897B87"/>
    <w:rsid w:val="00897BD9"/>
    <w:rsid w:val="00897C4F"/>
    <w:rsid w:val="00897CE7"/>
    <w:rsid w:val="00897E2F"/>
    <w:rsid w:val="00897F88"/>
    <w:rsid w:val="008A00D8"/>
    <w:rsid w:val="008A03B7"/>
    <w:rsid w:val="008A043B"/>
    <w:rsid w:val="008A04A9"/>
    <w:rsid w:val="008A0668"/>
    <w:rsid w:val="008A0F71"/>
    <w:rsid w:val="008A1038"/>
    <w:rsid w:val="008A11BD"/>
    <w:rsid w:val="008A11DF"/>
    <w:rsid w:val="008A12D7"/>
    <w:rsid w:val="008A1476"/>
    <w:rsid w:val="008A14CE"/>
    <w:rsid w:val="008A1671"/>
    <w:rsid w:val="008A16E0"/>
    <w:rsid w:val="008A1B9B"/>
    <w:rsid w:val="008A1C33"/>
    <w:rsid w:val="008A1EEB"/>
    <w:rsid w:val="008A217E"/>
    <w:rsid w:val="008A224C"/>
    <w:rsid w:val="008A254E"/>
    <w:rsid w:val="008A2573"/>
    <w:rsid w:val="008A2A86"/>
    <w:rsid w:val="008A2F4E"/>
    <w:rsid w:val="008A34E9"/>
    <w:rsid w:val="008A3544"/>
    <w:rsid w:val="008A3784"/>
    <w:rsid w:val="008A3816"/>
    <w:rsid w:val="008A394A"/>
    <w:rsid w:val="008A3ADE"/>
    <w:rsid w:val="008A3EAF"/>
    <w:rsid w:val="008A3F14"/>
    <w:rsid w:val="008A403E"/>
    <w:rsid w:val="008A44C8"/>
    <w:rsid w:val="008A466A"/>
    <w:rsid w:val="008A4693"/>
    <w:rsid w:val="008A476D"/>
    <w:rsid w:val="008A4894"/>
    <w:rsid w:val="008A4937"/>
    <w:rsid w:val="008A496B"/>
    <w:rsid w:val="008A4A18"/>
    <w:rsid w:val="008A4CF7"/>
    <w:rsid w:val="008A4D34"/>
    <w:rsid w:val="008A4EA2"/>
    <w:rsid w:val="008A5233"/>
    <w:rsid w:val="008A544F"/>
    <w:rsid w:val="008A54ED"/>
    <w:rsid w:val="008A5533"/>
    <w:rsid w:val="008A5666"/>
    <w:rsid w:val="008A57A5"/>
    <w:rsid w:val="008A5849"/>
    <w:rsid w:val="008A5958"/>
    <w:rsid w:val="008A5984"/>
    <w:rsid w:val="008A5A88"/>
    <w:rsid w:val="008A5B59"/>
    <w:rsid w:val="008A5C0A"/>
    <w:rsid w:val="008A5C52"/>
    <w:rsid w:val="008A5ED9"/>
    <w:rsid w:val="008A600A"/>
    <w:rsid w:val="008A6024"/>
    <w:rsid w:val="008A60F7"/>
    <w:rsid w:val="008A613E"/>
    <w:rsid w:val="008A6163"/>
    <w:rsid w:val="008A62FC"/>
    <w:rsid w:val="008A636D"/>
    <w:rsid w:val="008A63C2"/>
    <w:rsid w:val="008A6D9D"/>
    <w:rsid w:val="008A7166"/>
    <w:rsid w:val="008A74A0"/>
    <w:rsid w:val="008A7520"/>
    <w:rsid w:val="008A77C6"/>
    <w:rsid w:val="008A79F2"/>
    <w:rsid w:val="008A7A5B"/>
    <w:rsid w:val="008A7A94"/>
    <w:rsid w:val="008A7F2F"/>
    <w:rsid w:val="008A7FE9"/>
    <w:rsid w:val="008B00DA"/>
    <w:rsid w:val="008B0147"/>
    <w:rsid w:val="008B0553"/>
    <w:rsid w:val="008B067E"/>
    <w:rsid w:val="008B0828"/>
    <w:rsid w:val="008B0960"/>
    <w:rsid w:val="008B098C"/>
    <w:rsid w:val="008B0A13"/>
    <w:rsid w:val="008B0A35"/>
    <w:rsid w:val="008B0A9B"/>
    <w:rsid w:val="008B0B80"/>
    <w:rsid w:val="008B0BD8"/>
    <w:rsid w:val="008B0D68"/>
    <w:rsid w:val="008B0E1A"/>
    <w:rsid w:val="008B0E8B"/>
    <w:rsid w:val="008B0FCA"/>
    <w:rsid w:val="008B1157"/>
    <w:rsid w:val="008B117B"/>
    <w:rsid w:val="008B1195"/>
    <w:rsid w:val="008B11DE"/>
    <w:rsid w:val="008B1358"/>
    <w:rsid w:val="008B13BF"/>
    <w:rsid w:val="008B151E"/>
    <w:rsid w:val="008B1974"/>
    <w:rsid w:val="008B1A76"/>
    <w:rsid w:val="008B1F39"/>
    <w:rsid w:val="008B2581"/>
    <w:rsid w:val="008B26E0"/>
    <w:rsid w:val="008B2804"/>
    <w:rsid w:val="008B28E8"/>
    <w:rsid w:val="008B2C27"/>
    <w:rsid w:val="008B2DC8"/>
    <w:rsid w:val="008B320F"/>
    <w:rsid w:val="008B331F"/>
    <w:rsid w:val="008B3613"/>
    <w:rsid w:val="008B3733"/>
    <w:rsid w:val="008B39F3"/>
    <w:rsid w:val="008B3A5E"/>
    <w:rsid w:val="008B3AE3"/>
    <w:rsid w:val="008B3AEE"/>
    <w:rsid w:val="008B3C0A"/>
    <w:rsid w:val="008B3D15"/>
    <w:rsid w:val="008B4119"/>
    <w:rsid w:val="008B42BC"/>
    <w:rsid w:val="008B43E0"/>
    <w:rsid w:val="008B43FC"/>
    <w:rsid w:val="008B477F"/>
    <w:rsid w:val="008B4A21"/>
    <w:rsid w:val="008B4EC1"/>
    <w:rsid w:val="008B4F5C"/>
    <w:rsid w:val="008B50C3"/>
    <w:rsid w:val="008B51A5"/>
    <w:rsid w:val="008B5440"/>
    <w:rsid w:val="008B56A3"/>
    <w:rsid w:val="008B5758"/>
    <w:rsid w:val="008B579D"/>
    <w:rsid w:val="008B58A5"/>
    <w:rsid w:val="008B5944"/>
    <w:rsid w:val="008B5B89"/>
    <w:rsid w:val="008B5E00"/>
    <w:rsid w:val="008B61F8"/>
    <w:rsid w:val="008B6283"/>
    <w:rsid w:val="008B62D8"/>
    <w:rsid w:val="008B6354"/>
    <w:rsid w:val="008B67DE"/>
    <w:rsid w:val="008B6888"/>
    <w:rsid w:val="008B688C"/>
    <w:rsid w:val="008B6954"/>
    <w:rsid w:val="008B6A98"/>
    <w:rsid w:val="008B6A9B"/>
    <w:rsid w:val="008B6AEF"/>
    <w:rsid w:val="008B6E5C"/>
    <w:rsid w:val="008B7075"/>
    <w:rsid w:val="008B729D"/>
    <w:rsid w:val="008B72D3"/>
    <w:rsid w:val="008B7951"/>
    <w:rsid w:val="008B79CC"/>
    <w:rsid w:val="008C0098"/>
    <w:rsid w:val="008C00B2"/>
    <w:rsid w:val="008C016B"/>
    <w:rsid w:val="008C0269"/>
    <w:rsid w:val="008C04EE"/>
    <w:rsid w:val="008C050F"/>
    <w:rsid w:val="008C0630"/>
    <w:rsid w:val="008C064A"/>
    <w:rsid w:val="008C07AE"/>
    <w:rsid w:val="008C09C5"/>
    <w:rsid w:val="008C0A73"/>
    <w:rsid w:val="008C0B2F"/>
    <w:rsid w:val="008C0C20"/>
    <w:rsid w:val="008C0CC6"/>
    <w:rsid w:val="008C0DBA"/>
    <w:rsid w:val="008C0EA5"/>
    <w:rsid w:val="008C0EBB"/>
    <w:rsid w:val="008C0F90"/>
    <w:rsid w:val="008C1414"/>
    <w:rsid w:val="008C1728"/>
    <w:rsid w:val="008C1767"/>
    <w:rsid w:val="008C17E2"/>
    <w:rsid w:val="008C1AE9"/>
    <w:rsid w:val="008C1C74"/>
    <w:rsid w:val="008C1D4C"/>
    <w:rsid w:val="008C1E2C"/>
    <w:rsid w:val="008C1EC6"/>
    <w:rsid w:val="008C24F9"/>
    <w:rsid w:val="008C25F0"/>
    <w:rsid w:val="008C2641"/>
    <w:rsid w:val="008C285F"/>
    <w:rsid w:val="008C2967"/>
    <w:rsid w:val="008C2AF9"/>
    <w:rsid w:val="008C2B93"/>
    <w:rsid w:val="008C2C3B"/>
    <w:rsid w:val="008C31BB"/>
    <w:rsid w:val="008C320C"/>
    <w:rsid w:val="008C3278"/>
    <w:rsid w:val="008C3351"/>
    <w:rsid w:val="008C3397"/>
    <w:rsid w:val="008C3467"/>
    <w:rsid w:val="008C34A5"/>
    <w:rsid w:val="008C3579"/>
    <w:rsid w:val="008C377B"/>
    <w:rsid w:val="008C3A23"/>
    <w:rsid w:val="008C3DB2"/>
    <w:rsid w:val="008C3F2A"/>
    <w:rsid w:val="008C3F41"/>
    <w:rsid w:val="008C3F8A"/>
    <w:rsid w:val="008C4341"/>
    <w:rsid w:val="008C4696"/>
    <w:rsid w:val="008C469B"/>
    <w:rsid w:val="008C4705"/>
    <w:rsid w:val="008C499D"/>
    <w:rsid w:val="008C4FA8"/>
    <w:rsid w:val="008C5235"/>
    <w:rsid w:val="008C52AD"/>
    <w:rsid w:val="008C55B9"/>
    <w:rsid w:val="008C572B"/>
    <w:rsid w:val="008C59F2"/>
    <w:rsid w:val="008C5C4B"/>
    <w:rsid w:val="008C5CFD"/>
    <w:rsid w:val="008C5F55"/>
    <w:rsid w:val="008C5FEE"/>
    <w:rsid w:val="008C600C"/>
    <w:rsid w:val="008C60B7"/>
    <w:rsid w:val="008C6163"/>
    <w:rsid w:val="008C616B"/>
    <w:rsid w:val="008C64B6"/>
    <w:rsid w:val="008C65A5"/>
    <w:rsid w:val="008C67CC"/>
    <w:rsid w:val="008C695F"/>
    <w:rsid w:val="008C6A9D"/>
    <w:rsid w:val="008C6B1F"/>
    <w:rsid w:val="008C6B64"/>
    <w:rsid w:val="008C6BE6"/>
    <w:rsid w:val="008C6E2E"/>
    <w:rsid w:val="008C6F8F"/>
    <w:rsid w:val="008C7344"/>
    <w:rsid w:val="008C7428"/>
    <w:rsid w:val="008C7584"/>
    <w:rsid w:val="008C77DE"/>
    <w:rsid w:val="008C7B34"/>
    <w:rsid w:val="008C7BA3"/>
    <w:rsid w:val="008C7BCD"/>
    <w:rsid w:val="008C7CA3"/>
    <w:rsid w:val="008C7CE2"/>
    <w:rsid w:val="008C7D2B"/>
    <w:rsid w:val="008C7E35"/>
    <w:rsid w:val="008C7EA5"/>
    <w:rsid w:val="008D0404"/>
    <w:rsid w:val="008D070D"/>
    <w:rsid w:val="008D07AB"/>
    <w:rsid w:val="008D07BD"/>
    <w:rsid w:val="008D083B"/>
    <w:rsid w:val="008D0843"/>
    <w:rsid w:val="008D0C8B"/>
    <w:rsid w:val="008D0CBA"/>
    <w:rsid w:val="008D0F74"/>
    <w:rsid w:val="008D0F84"/>
    <w:rsid w:val="008D0FA5"/>
    <w:rsid w:val="008D10CE"/>
    <w:rsid w:val="008D1187"/>
    <w:rsid w:val="008D1485"/>
    <w:rsid w:val="008D1535"/>
    <w:rsid w:val="008D1758"/>
    <w:rsid w:val="008D17F3"/>
    <w:rsid w:val="008D189F"/>
    <w:rsid w:val="008D19E9"/>
    <w:rsid w:val="008D1F7C"/>
    <w:rsid w:val="008D1F95"/>
    <w:rsid w:val="008D2086"/>
    <w:rsid w:val="008D21DA"/>
    <w:rsid w:val="008D229F"/>
    <w:rsid w:val="008D2477"/>
    <w:rsid w:val="008D25D6"/>
    <w:rsid w:val="008D29B9"/>
    <w:rsid w:val="008D29CC"/>
    <w:rsid w:val="008D2B66"/>
    <w:rsid w:val="008D2BA5"/>
    <w:rsid w:val="008D2BAB"/>
    <w:rsid w:val="008D2C6F"/>
    <w:rsid w:val="008D2DF4"/>
    <w:rsid w:val="008D2E17"/>
    <w:rsid w:val="008D2E8E"/>
    <w:rsid w:val="008D2FF4"/>
    <w:rsid w:val="008D3588"/>
    <w:rsid w:val="008D35AD"/>
    <w:rsid w:val="008D3666"/>
    <w:rsid w:val="008D37CF"/>
    <w:rsid w:val="008D3CA7"/>
    <w:rsid w:val="008D3DEA"/>
    <w:rsid w:val="008D3E3B"/>
    <w:rsid w:val="008D3FF5"/>
    <w:rsid w:val="008D40E9"/>
    <w:rsid w:val="008D45F8"/>
    <w:rsid w:val="008D47E7"/>
    <w:rsid w:val="008D4989"/>
    <w:rsid w:val="008D4ACE"/>
    <w:rsid w:val="008D4C10"/>
    <w:rsid w:val="008D4C8B"/>
    <w:rsid w:val="008D4DF8"/>
    <w:rsid w:val="008D4FFB"/>
    <w:rsid w:val="008D5318"/>
    <w:rsid w:val="008D5806"/>
    <w:rsid w:val="008D59A9"/>
    <w:rsid w:val="008D5AC1"/>
    <w:rsid w:val="008D5CDE"/>
    <w:rsid w:val="008D5F11"/>
    <w:rsid w:val="008D6086"/>
    <w:rsid w:val="008D65E5"/>
    <w:rsid w:val="008D66D7"/>
    <w:rsid w:val="008D6A99"/>
    <w:rsid w:val="008D6D37"/>
    <w:rsid w:val="008D6DE8"/>
    <w:rsid w:val="008D6E09"/>
    <w:rsid w:val="008D6F0E"/>
    <w:rsid w:val="008D7039"/>
    <w:rsid w:val="008D70EE"/>
    <w:rsid w:val="008D70FB"/>
    <w:rsid w:val="008D7254"/>
    <w:rsid w:val="008D74B4"/>
    <w:rsid w:val="008D760B"/>
    <w:rsid w:val="008D7742"/>
    <w:rsid w:val="008D77B4"/>
    <w:rsid w:val="008D7950"/>
    <w:rsid w:val="008D7D15"/>
    <w:rsid w:val="008D7EFB"/>
    <w:rsid w:val="008D7FBD"/>
    <w:rsid w:val="008D7FDC"/>
    <w:rsid w:val="008E03A9"/>
    <w:rsid w:val="008E04B4"/>
    <w:rsid w:val="008E0576"/>
    <w:rsid w:val="008E0696"/>
    <w:rsid w:val="008E08BB"/>
    <w:rsid w:val="008E0999"/>
    <w:rsid w:val="008E0ADF"/>
    <w:rsid w:val="008E0CE7"/>
    <w:rsid w:val="008E10A0"/>
    <w:rsid w:val="008E11D0"/>
    <w:rsid w:val="008E1384"/>
    <w:rsid w:val="008E13C8"/>
    <w:rsid w:val="008E1B36"/>
    <w:rsid w:val="008E1BE4"/>
    <w:rsid w:val="008E1DE2"/>
    <w:rsid w:val="008E1FEE"/>
    <w:rsid w:val="008E21CF"/>
    <w:rsid w:val="008E27EA"/>
    <w:rsid w:val="008E2813"/>
    <w:rsid w:val="008E2814"/>
    <w:rsid w:val="008E28FA"/>
    <w:rsid w:val="008E2BA2"/>
    <w:rsid w:val="008E2CB5"/>
    <w:rsid w:val="008E2E2D"/>
    <w:rsid w:val="008E2E95"/>
    <w:rsid w:val="008E323F"/>
    <w:rsid w:val="008E33BF"/>
    <w:rsid w:val="008E3483"/>
    <w:rsid w:val="008E3588"/>
    <w:rsid w:val="008E35A4"/>
    <w:rsid w:val="008E37DE"/>
    <w:rsid w:val="008E394A"/>
    <w:rsid w:val="008E3BD4"/>
    <w:rsid w:val="008E3FFE"/>
    <w:rsid w:val="008E403B"/>
    <w:rsid w:val="008E40DA"/>
    <w:rsid w:val="008E4122"/>
    <w:rsid w:val="008E4414"/>
    <w:rsid w:val="008E44FF"/>
    <w:rsid w:val="008E46D6"/>
    <w:rsid w:val="008E4965"/>
    <w:rsid w:val="008E49A8"/>
    <w:rsid w:val="008E49AA"/>
    <w:rsid w:val="008E4B45"/>
    <w:rsid w:val="008E4B5C"/>
    <w:rsid w:val="008E4C4C"/>
    <w:rsid w:val="008E4D8A"/>
    <w:rsid w:val="008E4E1F"/>
    <w:rsid w:val="008E4EEA"/>
    <w:rsid w:val="008E4F3A"/>
    <w:rsid w:val="008E5056"/>
    <w:rsid w:val="008E5205"/>
    <w:rsid w:val="008E5207"/>
    <w:rsid w:val="008E55C6"/>
    <w:rsid w:val="008E5605"/>
    <w:rsid w:val="008E5864"/>
    <w:rsid w:val="008E5C4C"/>
    <w:rsid w:val="008E61A1"/>
    <w:rsid w:val="008E61AD"/>
    <w:rsid w:val="008E6230"/>
    <w:rsid w:val="008E6444"/>
    <w:rsid w:val="008E69FA"/>
    <w:rsid w:val="008E6A37"/>
    <w:rsid w:val="008E6A39"/>
    <w:rsid w:val="008E6E0B"/>
    <w:rsid w:val="008E6E28"/>
    <w:rsid w:val="008E704F"/>
    <w:rsid w:val="008E71FB"/>
    <w:rsid w:val="008E75B7"/>
    <w:rsid w:val="008E780C"/>
    <w:rsid w:val="008E7822"/>
    <w:rsid w:val="008E7F28"/>
    <w:rsid w:val="008F0107"/>
    <w:rsid w:val="008F03AB"/>
    <w:rsid w:val="008F053D"/>
    <w:rsid w:val="008F075E"/>
    <w:rsid w:val="008F0763"/>
    <w:rsid w:val="008F08B2"/>
    <w:rsid w:val="008F0942"/>
    <w:rsid w:val="008F0B61"/>
    <w:rsid w:val="008F1047"/>
    <w:rsid w:val="008F11C9"/>
    <w:rsid w:val="008F12CE"/>
    <w:rsid w:val="008F1419"/>
    <w:rsid w:val="008F14BC"/>
    <w:rsid w:val="008F16CC"/>
    <w:rsid w:val="008F1806"/>
    <w:rsid w:val="008F1B92"/>
    <w:rsid w:val="008F1BC1"/>
    <w:rsid w:val="008F1C41"/>
    <w:rsid w:val="008F1C81"/>
    <w:rsid w:val="008F1CB1"/>
    <w:rsid w:val="008F1DCD"/>
    <w:rsid w:val="008F1EC8"/>
    <w:rsid w:val="008F1F60"/>
    <w:rsid w:val="008F1FDD"/>
    <w:rsid w:val="008F203F"/>
    <w:rsid w:val="008F21DC"/>
    <w:rsid w:val="008F2A4B"/>
    <w:rsid w:val="008F2AB0"/>
    <w:rsid w:val="008F2D35"/>
    <w:rsid w:val="008F2E9A"/>
    <w:rsid w:val="008F2ED4"/>
    <w:rsid w:val="008F2EDB"/>
    <w:rsid w:val="008F2F19"/>
    <w:rsid w:val="008F2FCD"/>
    <w:rsid w:val="008F3091"/>
    <w:rsid w:val="008F3398"/>
    <w:rsid w:val="008F37D8"/>
    <w:rsid w:val="008F3A57"/>
    <w:rsid w:val="008F3C0D"/>
    <w:rsid w:val="008F3C10"/>
    <w:rsid w:val="008F3C1C"/>
    <w:rsid w:val="008F3D1D"/>
    <w:rsid w:val="008F3E89"/>
    <w:rsid w:val="008F3EE4"/>
    <w:rsid w:val="008F40B4"/>
    <w:rsid w:val="008F40FB"/>
    <w:rsid w:val="008F4343"/>
    <w:rsid w:val="008F49B4"/>
    <w:rsid w:val="008F4A5E"/>
    <w:rsid w:val="008F4CDE"/>
    <w:rsid w:val="008F4D4A"/>
    <w:rsid w:val="008F4D5F"/>
    <w:rsid w:val="008F4EBF"/>
    <w:rsid w:val="008F5155"/>
    <w:rsid w:val="008F53E3"/>
    <w:rsid w:val="008F54F1"/>
    <w:rsid w:val="008F5642"/>
    <w:rsid w:val="008F5A77"/>
    <w:rsid w:val="008F5AE0"/>
    <w:rsid w:val="008F5CC5"/>
    <w:rsid w:val="008F61C0"/>
    <w:rsid w:val="008F6233"/>
    <w:rsid w:val="008F66E3"/>
    <w:rsid w:val="008F67DC"/>
    <w:rsid w:val="008F6888"/>
    <w:rsid w:val="008F691B"/>
    <w:rsid w:val="008F6AED"/>
    <w:rsid w:val="008F73C0"/>
    <w:rsid w:val="008F7455"/>
    <w:rsid w:val="008F75A6"/>
    <w:rsid w:val="008F76D1"/>
    <w:rsid w:val="008F7727"/>
    <w:rsid w:val="008F791A"/>
    <w:rsid w:val="008F7A07"/>
    <w:rsid w:val="008F7AC0"/>
    <w:rsid w:val="008F7B80"/>
    <w:rsid w:val="008F7BC8"/>
    <w:rsid w:val="008F7BE8"/>
    <w:rsid w:val="008F7E6C"/>
    <w:rsid w:val="008F7E7A"/>
    <w:rsid w:val="0090003A"/>
    <w:rsid w:val="00900070"/>
    <w:rsid w:val="0090017F"/>
    <w:rsid w:val="00900320"/>
    <w:rsid w:val="0090051B"/>
    <w:rsid w:val="0090068A"/>
    <w:rsid w:val="00900824"/>
    <w:rsid w:val="00900865"/>
    <w:rsid w:val="009008F2"/>
    <w:rsid w:val="00900AB2"/>
    <w:rsid w:val="00900AB5"/>
    <w:rsid w:val="00900D94"/>
    <w:rsid w:val="00900F5E"/>
    <w:rsid w:val="00900F89"/>
    <w:rsid w:val="00900FF9"/>
    <w:rsid w:val="00901164"/>
    <w:rsid w:val="0090170C"/>
    <w:rsid w:val="009017E8"/>
    <w:rsid w:val="009018CB"/>
    <w:rsid w:val="00901925"/>
    <w:rsid w:val="00901990"/>
    <w:rsid w:val="00901A02"/>
    <w:rsid w:val="00901BCC"/>
    <w:rsid w:val="00901DDC"/>
    <w:rsid w:val="00901E7E"/>
    <w:rsid w:val="00901EEE"/>
    <w:rsid w:val="00902019"/>
    <w:rsid w:val="00902149"/>
    <w:rsid w:val="00902345"/>
    <w:rsid w:val="0090234A"/>
    <w:rsid w:val="009023D4"/>
    <w:rsid w:val="00902591"/>
    <w:rsid w:val="0090266D"/>
    <w:rsid w:val="009026F4"/>
    <w:rsid w:val="00902728"/>
    <w:rsid w:val="0090283D"/>
    <w:rsid w:val="0090292C"/>
    <w:rsid w:val="00902A4C"/>
    <w:rsid w:val="00902AB8"/>
    <w:rsid w:val="00902B9A"/>
    <w:rsid w:val="00902C56"/>
    <w:rsid w:val="00902CCF"/>
    <w:rsid w:val="00902D8E"/>
    <w:rsid w:val="00902E7B"/>
    <w:rsid w:val="00902F37"/>
    <w:rsid w:val="00903234"/>
    <w:rsid w:val="0090325A"/>
    <w:rsid w:val="00903263"/>
    <w:rsid w:val="00903585"/>
    <w:rsid w:val="00903634"/>
    <w:rsid w:val="00903675"/>
    <w:rsid w:val="009036B2"/>
    <w:rsid w:val="00903706"/>
    <w:rsid w:val="00903733"/>
    <w:rsid w:val="0090433F"/>
    <w:rsid w:val="0090460D"/>
    <w:rsid w:val="0090462D"/>
    <w:rsid w:val="009046AA"/>
    <w:rsid w:val="0090471C"/>
    <w:rsid w:val="00904744"/>
    <w:rsid w:val="00904A6D"/>
    <w:rsid w:val="00904DE5"/>
    <w:rsid w:val="0090500A"/>
    <w:rsid w:val="009050D9"/>
    <w:rsid w:val="009052B1"/>
    <w:rsid w:val="00905345"/>
    <w:rsid w:val="009055C2"/>
    <w:rsid w:val="00905704"/>
    <w:rsid w:val="00905782"/>
    <w:rsid w:val="009059F9"/>
    <w:rsid w:val="00905F26"/>
    <w:rsid w:val="00905FFE"/>
    <w:rsid w:val="009062DA"/>
    <w:rsid w:val="009063D5"/>
    <w:rsid w:val="0090648D"/>
    <w:rsid w:val="00906750"/>
    <w:rsid w:val="0090682B"/>
    <w:rsid w:val="00906835"/>
    <w:rsid w:val="00906A7F"/>
    <w:rsid w:val="00906B7B"/>
    <w:rsid w:val="00906CBB"/>
    <w:rsid w:val="00906D1C"/>
    <w:rsid w:val="00906DBC"/>
    <w:rsid w:val="00907656"/>
    <w:rsid w:val="00907734"/>
    <w:rsid w:val="00907754"/>
    <w:rsid w:val="00907756"/>
    <w:rsid w:val="009079AB"/>
    <w:rsid w:val="00907A4E"/>
    <w:rsid w:val="00907A85"/>
    <w:rsid w:val="00907DA5"/>
    <w:rsid w:val="00907F1A"/>
    <w:rsid w:val="009102B1"/>
    <w:rsid w:val="00910348"/>
    <w:rsid w:val="00910432"/>
    <w:rsid w:val="009106D7"/>
    <w:rsid w:val="009108C9"/>
    <w:rsid w:val="00910943"/>
    <w:rsid w:val="00910B69"/>
    <w:rsid w:val="00910D29"/>
    <w:rsid w:val="00910FF2"/>
    <w:rsid w:val="00911385"/>
    <w:rsid w:val="00911399"/>
    <w:rsid w:val="009114CC"/>
    <w:rsid w:val="009117B5"/>
    <w:rsid w:val="00911800"/>
    <w:rsid w:val="00911AC9"/>
    <w:rsid w:val="00911DCD"/>
    <w:rsid w:val="009121D3"/>
    <w:rsid w:val="0091279F"/>
    <w:rsid w:val="0091280B"/>
    <w:rsid w:val="0091283E"/>
    <w:rsid w:val="00912875"/>
    <w:rsid w:val="009128BA"/>
    <w:rsid w:val="00912A02"/>
    <w:rsid w:val="00912ACC"/>
    <w:rsid w:val="00912DCD"/>
    <w:rsid w:val="00913135"/>
    <w:rsid w:val="0091313A"/>
    <w:rsid w:val="00913436"/>
    <w:rsid w:val="00913520"/>
    <w:rsid w:val="0091373C"/>
    <w:rsid w:val="009138E0"/>
    <w:rsid w:val="00913A7B"/>
    <w:rsid w:val="00913FF5"/>
    <w:rsid w:val="00914113"/>
    <w:rsid w:val="0091433D"/>
    <w:rsid w:val="00914465"/>
    <w:rsid w:val="00914945"/>
    <w:rsid w:val="00914A9A"/>
    <w:rsid w:val="00914AAE"/>
    <w:rsid w:val="00914BDF"/>
    <w:rsid w:val="00914D4C"/>
    <w:rsid w:val="00914D99"/>
    <w:rsid w:val="00914F15"/>
    <w:rsid w:val="00914FA9"/>
    <w:rsid w:val="00915056"/>
    <w:rsid w:val="00915205"/>
    <w:rsid w:val="00915404"/>
    <w:rsid w:val="009154EE"/>
    <w:rsid w:val="009155AC"/>
    <w:rsid w:val="009157F7"/>
    <w:rsid w:val="00915869"/>
    <w:rsid w:val="00915A95"/>
    <w:rsid w:val="00915CB6"/>
    <w:rsid w:val="00915EB6"/>
    <w:rsid w:val="00915F73"/>
    <w:rsid w:val="0091601D"/>
    <w:rsid w:val="00916068"/>
    <w:rsid w:val="00916152"/>
    <w:rsid w:val="0091635A"/>
    <w:rsid w:val="009166F2"/>
    <w:rsid w:val="00916712"/>
    <w:rsid w:val="0091676F"/>
    <w:rsid w:val="009168A5"/>
    <w:rsid w:val="00916939"/>
    <w:rsid w:val="00916959"/>
    <w:rsid w:val="00916997"/>
    <w:rsid w:val="00916ACD"/>
    <w:rsid w:val="00916DAA"/>
    <w:rsid w:val="00916EDD"/>
    <w:rsid w:val="00917012"/>
    <w:rsid w:val="0091706A"/>
    <w:rsid w:val="00917078"/>
    <w:rsid w:val="009170EE"/>
    <w:rsid w:val="00917316"/>
    <w:rsid w:val="0091753B"/>
    <w:rsid w:val="009177B0"/>
    <w:rsid w:val="009177FE"/>
    <w:rsid w:val="0091791E"/>
    <w:rsid w:val="00917BA8"/>
    <w:rsid w:val="00917D60"/>
    <w:rsid w:val="00917F13"/>
    <w:rsid w:val="00920317"/>
    <w:rsid w:val="009203E3"/>
    <w:rsid w:val="0092041B"/>
    <w:rsid w:val="00920482"/>
    <w:rsid w:val="0092093D"/>
    <w:rsid w:val="00920AA3"/>
    <w:rsid w:val="00920B0B"/>
    <w:rsid w:val="00920CC4"/>
    <w:rsid w:val="00920E34"/>
    <w:rsid w:val="00920E44"/>
    <w:rsid w:val="00920F81"/>
    <w:rsid w:val="0092105E"/>
    <w:rsid w:val="009211FA"/>
    <w:rsid w:val="0092147F"/>
    <w:rsid w:val="009214D6"/>
    <w:rsid w:val="00921755"/>
    <w:rsid w:val="00921837"/>
    <w:rsid w:val="00921890"/>
    <w:rsid w:val="00921955"/>
    <w:rsid w:val="009219DE"/>
    <w:rsid w:val="00921B40"/>
    <w:rsid w:val="00921C11"/>
    <w:rsid w:val="00921E25"/>
    <w:rsid w:val="00921E55"/>
    <w:rsid w:val="00921EF5"/>
    <w:rsid w:val="00922026"/>
    <w:rsid w:val="0092216B"/>
    <w:rsid w:val="00922208"/>
    <w:rsid w:val="009222BA"/>
    <w:rsid w:val="0092251F"/>
    <w:rsid w:val="009227CE"/>
    <w:rsid w:val="00922EAB"/>
    <w:rsid w:val="00922EF3"/>
    <w:rsid w:val="00922F10"/>
    <w:rsid w:val="00923151"/>
    <w:rsid w:val="00923166"/>
    <w:rsid w:val="009231F2"/>
    <w:rsid w:val="0092328C"/>
    <w:rsid w:val="00923319"/>
    <w:rsid w:val="0092336C"/>
    <w:rsid w:val="00923713"/>
    <w:rsid w:val="0092386B"/>
    <w:rsid w:val="00923A77"/>
    <w:rsid w:val="00923AF9"/>
    <w:rsid w:val="00923D69"/>
    <w:rsid w:val="00923DCD"/>
    <w:rsid w:val="00923DD8"/>
    <w:rsid w:val="00923E88"/>
    <w:rsid w:val="00924350"/>
    <w:rsid w:val="0092438C"/>
    <w:rsid w:val="009245C4"/>
    <w:rsid w:val="0092462A"/>
    <w:rsid w:val="00924677"/>
    <w:rsid w:val="0092469C"/>
    <w:rsid w:val="00924AD2"/>
    <w:rsid w:val="00924DE8"/>
    <w:rsid w:val="00925076"/>
    <w:rsid w:val="00925126"/>
    <w:rsid w:val="009251B2"/>
    <w:rsid w:val="0092533F"/>
    <w:rsid w:val="0092534E"/>
    <w:rsid w:val="009254EA"/>
    <w:rsid w:val="0092560A"/>
    <w:rsid w:val="00925654"/>
    <w:rsid w:val="0092596A"/>
    <w:rsid w:val="00925A26"/>
    <w:rsid w:val="00925EC2"/>
    <w:rsid w:val="00925FCC"/>
    <w:rsid w:val="009260FC"/>
    <w:rsid w:val="0092615A"/>
    <w:rsid w:val="0092617C"/>
    <w:rsid w:val="00926308"/>
    <w:rsid w:val="009264CA"/>
    <w:rsid w:val="009266D7"/>
    <w:rsid w:val="00926A98"/>
    <w:rsid w:val="00926B0C"/>
    <w:rsid w:val="00926C07"/>
    <w:rsid w:val="00926CC0"/>
    <w:rsid w:val="00926CF3"/>
    <w:rsid w:val="0092724E"/>
    <w:rsid w:val="0092727A"/>
    <w:rsid w:val="00927280"/>
    <w:rsid w:val="009274C2"/>
    <w:rsid w:val="00927584"/>
    <w:rsid w:val="0092782E"/>
    <w:rsid w:val="0092787C"/>
    <w:rsid w:val="00927B1D"/>
    <w:rsid w:val="00927C34"/>
    <w:rsid w:val="00927F6F"/>
    <w:rsid w:val="009300D5"/>
    <w:rsid w:val="009300E1"/>
    <w:rsid w:val="00930387"/>
    <w:rsid w:val="009304EE"/>
    <w:rsid w:val="0093058E"/>
    <w:rsid w:val="009305BD"/>
    <w:rsid w:val="0093063A"/>
    <w:rsid w:val="00930687"/>
    <w:rsid w:val="009307E8"/>
    <w:rsid w:val="00930B22"/>
    <w:rsid w:val="00930B7C"/>
    <w:rsid w:val="00930BBE"/>
    <w:rsid w:val="00930C0E"/>
    <w:rsid w:val="00930C6F"/>
    <w:rsid w:val="00930FDA"/>
    <w:rsid w:val="0093112A"/>
    <w:rsid w:val="0093117B"/>
    <w:rsid w:val="009311A0"/>
    <w:rsid w:val="00931452"/>
    <w:rsid w:val="009315DC"/>
    <w:rsid w:val="009319A5"/>
    <w:rsid w:val="00931B17"/>
    <w:rsid w:val="00931B72"/>
    <w:rsid w:val="00931DB1"/>
    <w:rsid w:val="00931DCF"/>
    <w:rsid w:val="00931DF0"/>
    <w:rsid w:val="00931E5A"/>
    <w:rsid w:val="00931F22"/>
    <w:rsid w:val="00932083"/>
    <w:rsid w:val="00932155"/>
    <w:rsid w:val="0093217A"/>
    <w:rsid w:val="0093224E"/>
    <w:rsid w:val="00932300"/>
    <w:rsid w:val="0093241B"/>
    <w:rsid w:val="009325FB"/>
    <w:rsid w:val="0093275C"/>
    <w:rsid w:val="00932E13"/>
    <w:rsid w:val="00932EEB"/>
    <w:rsid w:val="00933115"/>
    <w:rsid w:val="009331DD"/>
    <w:rsid w:val="00933335"/>
    <w:rsid w:val="009333EB"/>
    <w:rsid w:val="00933567"/>
    <w:rsid w:val="009335A4"/>
    <w:rsid w:val="009337B7"/>
    <w:rsid w:val="00933B78"/>
    <w:rsid w:val="00933BFB"/>
    <w:rsid w:val="00933C4D"/>
    <w:rsid w:val="00933E99"/>
    <w:rsid w:val="00933FF2"/>
    <w:rsid w:val="00934047"/>
    <w:rsid w:val="00934081"/>
    <w:rsid w:val="009340CE"/>
    <w:rsid w:val="0093418E"/>
    <w:rsid w:val="0093418F"/>
    <w:rsid w:val="00934256"/>
    <w:rsid w:val="009342D5"/>
    <w:rsid w:val="009343E5"/>
    <w:rsid w:val="00934472"/>
    <w:rsid w:val="00934524"/>
    <w:rsid w:val="00934528"/>
    <w:rsid w:val="00934706"/>
    <w:rsid w:val="00934B04"/>
    <w:rsid w:val="00934B75"/>
    <w:rsid w:val="00934D4B"/>
    <w:rsid w:val="00934F81"/>
    <w:rsid w:val="00934F9B"/>
    <w:rsid w:val="00934FAB"/>
    <w:rsid w:val="00935057"/>
    <w:rsid w:val="009350ED"/>
    <w:rsid w:val="009352E0"/>
    <w:rsid w:val="0093538C"/>
    <w:rsid w:val="009353A2"/>
    <w:rsid w:val="009353B2"/>
    <w:rsid w:val="00935479"/>
    <w:rsid w:val="00935543"/>
    <w:rsid w:val="009355B5"/>
    <w:rsid w:val="00935856"/>
    <w:rsid w:val="00935931"/>
    <w:rsid w:val="009359AE"/>
    <w:rsid w:val="00935A66"/>
    <w:rsid w:val="00935B9D"/>
    <w:rsid w:val="00935CAE"/>
    <w:rsid w:val="00935D15"/>
    <w:rsid w:val="00935D38"/>
    <w:rsid w:val="00935EB0"/>
    <w:rsid w:val="0093600E"/>
    <w:rsid w:val="009364FA"/>
    <w:rsid w:val="0093665E"/>
    <w:rsid w:val="009368EF"/>
    <w:rsid w:val="00936A7D"/>
    <w:rsid w:val="00936A9F"/>
    <w:rsid w:val="00937914"/>
    <w:rsid w:val="009379D6"/>
    <w:rsid w:val="009379E0"/>
    <w:rsid w:val="009379FF"/>
    <w:rsid w:val="00937A80"/>
    <w:rsid w:val="00937CDA"/>
    <w:rsid w:val="00937EEB"/>
    <w:rsid w:val="00940094"/>
    <w:rsid w:val="00940156"/>
    <w:rsid w:val="009403B1"/>
    <w:rsid w:val="00940414"/>
    <w:rsid w:val="00940443"/>
    <w:rsid w:val="00940446"/>
    <w:rsid w:val="00940475"/>
    <w:rsid w:val="009404C0"/>
    <w:rsid w:val="00940B61"/>
    <w:rsid w:val="00940CB3"/>
    <w:rsid w:val="00940E17"/>
    <w:rsid w:val="00940E74"/>
    <w:rsid w:val="00941028"/>
    <w:rsid w:val="00941189"/>
    <w:rsid w:val="0094150D"/>
    <w:rsid w:val="0094151F"/>
    <w:rsid w:val="0094158A"/>
    <w:rsid w:val="009416F5"/>
    <w:rsid w:val="00941841"/>
    <w:rsid w:val="00941962"/>
    <w:rsid w:val="00941A57"/>
    <w:rsid w:val="00941D38"/>
    <w:rsid w:val="00941D83"/>
    <w:rsid w:val="00941FB5"/>
    <w:rsid w:val="009420BD"/>
    <w:rsid w:val="0094237E"/>
    <w:rsid w:val="00942681"/>
    <w:rsid w:val="00942A8A"/>
    <w:rsid w:val="00942CA0"/>
    <w:rsid w:val="0094331D"/>
    <w:rsid w:val="00943347"/>
    <w:rsid w:val="009434FC"/>
    <w:rsid w:val="00943652"/>
    <w:rsid w:val="0094377B"/>
    <w:rsid w:val="00943A59"/>
    <w:rsid w:val="00943C6C"/>
    <w:rsid w:val="009444F9"/>
    <w:rsid w:val="00944553"/>
    <w:rsid w:val="0094457B"/>
    <w:rsid w:val="009445D0"/>
    <w:rsid w:val="009446A1"/>
    <w:rsid w:val="00944900"/>
    <w:rsid w:val="00944934"/>
    <w:rsid w:val="00944BC1"/>
    <w:rsid w:val="00944C3C"/>
    <w:rsid w:val="009452B1"/>
    <w:rsid w:val="009453A7"/>
    <w:rsid w:val="00945510"/>
    <w:rsid w:val="0094571E"/>
    <w:rsid w:val="009458C3"/>
    <w:rsid w:val="00945A07"/>
    <w:rsid w:val="00945A69"/>
    <w:rsid w:val="00945C7E"/>
    <w:rsid w:val="00945F9D"/>
    <w:rsid w:val="00946288"/>
    <w:rsid w:val="00946581"/>
    <w:rsid w:val="00946614"/>
    <w:rsid w:val="00946869"/>
    <w:rsid w:val="00946B32"/>
    <w:rsid w:val="00946B5E"/>
    <w:rsid w:val="00946ECD"/>
    <w:rsid w:val="0094738A"/>
    <w:rsid w:val="00947629"/>
    <w:rsid w:val="0094764B"/>
    <w:rsid w:val="00947665"/>
    <w:rsid w:val="0094771C"/>
    <w:rsid w:val="00947742"/>
    <w:rsid w:val="00947A1B"/>
    <w:rsid w:val="00947C5F"/>
    <w:rsid w:val="00947E41"/>
    <w:rsid w:val="00947EB5"/>
    <w:rsid w:val="00947FC7"/>
    <w:rsid w:val="0095000E"/>
    <w:rsid w:val="00950091"/>
    <w:rsid w:val="0095010B"/>
    <w:rsid w:val="00950328"/>
    <w:rsid w:val="00950566"/>
    <w:rsid w:val="009505A6"/>
    <w:rsid w:val="009507F9"/>
    <w:rsid w:val="00950B46"/>
    <w:rsid w:val="00950BAD"/>
    <w:rsid w:val="00950D1E"/>
    <w:rsid w:val="00950DD9"/>
    <w:rsid w:val="00950E4B"/>
    <w:rsid w:val="00950FCA"/>
    <w:rsid w:val="00951155"/>
    <w:rsid w:val="00951361"/>
    <w:rsid w:val="009514C6"/>
    <w:rsid w:val="00951733"/>
    <w:rsid w:val="00951933"/>
    <w:rsid w:val="00951A59"/>
    <w:rsid w:val="00951E02"/>
    <w:rsid w:val="00951E07"/>
    <w:rsid w:val="00951E24"/>
    <w:rsid w:val="00951F62"/>
    <w:rsid w:val="00952025"/>
    <w:rsid w:val="0095209A"/>
    <w:rsid w:val="009520E3"/>
    <w:rsid w:val="0095284C"/>
    <w:rsid w:val="00952989"/>
    <w:rsid w:val="00952B6A"/>
    <w:rsid w:val="00952B8E"/>
    <w:rsid w:val="00953121"/>
    <w:rsid w:val="0095313E"/>
    <w:rsid w:val="00953290"/>
    <w:rsid w:val="0095355F"/>
    <w:rsid w:val="00953609"/>
    <w:rsid w:val="0095392E"/>
    <w:rsid w:val="00953A2F"/>
    <w:rsid w:val="00953A92"/>
    <w:rsid w:val="00953A9F"/>
    <w:rsid w:val="00953D30"/>
    <w:rsid w:val="00953E3D"/>
    <w:rsid w:val="009540A6"/>
    <w:rsid w:val="009541FC"/>
    <w:rsid w:val="009542A0"/>
    <w:rsid w:val="0095435F"/>
    <w:rsid w:val="009545E9"/>
    <w:rsid w:val="009548FA"/>
    <w:rsid w:val="00954ABF"/>
    <w:rsid w:val="00954CD7"/>
    <w:rsid w:val="00955095"/>
    <w:rsid w:val="009551A8"/>
    <w:rsid w:val="00955D95"/>
    <w:rsid w:val="00955DD7"/>
    <w:rsid w:val="0095657C"/>
    <w:rsid w:val="009565B9"/>
    <w:rsid w:val="009565FF"/>
    <w:rsid w:val="009568FF"/>
    <w:rsid w:val="00956A96"/>
    <w:rsid w:val="00956DBD"/>
    <w:rsid w:val="00957230"/>
    <w:rsid w:val="009572E4"/>
    <w:rsid w:val="00957374"/>
    <w:rsid w:val="00957394"/>
    <w:rsid w:val="009573AA"/>
    <w:rsid w:val="0095747A"/>
    <w:rsid w:val="00957521"/>
    <w:rsid w:val="0095773B"/>
    <w:rsid w:val="009577E9"/>
    <w:rsid w:val="00957896"/>
    <w:rsid w:val="00957942"/>
    <w:rsid w:val="00957D4A"/>
    <w:rsid w:val="00960041"/>
    <w:rsid w:val="009602AB"/>
    <w:rsid w:val="00960574"/>
    <w:rsid w:val="009608D2"/>
    <w:rsid w:val="00960AC2"/>
    <w:rsid w:val="00960ADF"/>
    <w:rsid w:val="00960BFC"/>
    <w:rsid w:val="00960D0C"/>
    <w:rsid w:val="00960E7A"/>
    <w:rsid w:val="00960FB8"/>
    <w:rsid w:val="00961315"/>
    <w:rsid w:val="00961527"/>
    <w:rsid w:val="0096163B"/>
    <w:rsid w:val="00961681"/>
    <w:rsid w:val="009617EC"/>
    <w:rsid w:val="009617FD"/>
    <w:rsid w:val="009618E3"/>
    <w:rsid w:val="00961CAD"/>
    <w:rsid w:val="00962259"/>
    <w:rsid w:val="00962300"/>
    <w:rsid w:val="00962542"/>
    <w:rsid w:val="009625FA"/>
    <w:rsid w:val="009626EB"/>
    <w:rsid w:val="00962944"/>
    <w:rsid w:val="00962A1D"/>
    <w:rsid w:val="00962AE1"/>
    <w:rsid w:val="00962AE2"/>
    <w:rsid w:val="00962BB1"/>
    <w:rsid w:val="00962BF6"/>
    <w:rsid w:val="0096334E"/>
    <w:rsid w:val="00963387"/>
    <w:rsid w:val="009633E9"/>
    <w:rsid w:val="0096341F"/>
    <w:rsid w:val="00963871"/>
    <w:rsid w:val="009638CF"/>
    <w:rsid w:val="00963A4B"/>
    <w:rsid w:val="00963AA6"/>
    <w:rsid w:val="00963C1E"/>
    <w:rsid w:val="0096418A"/>
    <w:rsid w:val="00964419"/>
    <w:rsid w:val="009644C2"/>
    <w:rsid w:val="009645BA"/>
    <w:rsid w:val="009647AE"/>
    <w:rsid w:val="009647B1"/>
    <w:rsid w:val="009647C1"/>
    <w:rsid w:val="009648F9"/>
    <w:rsid w:val="0096495B"/>
    <w:rsid w:val="00964BB0"/>
    <w:rsid w:val="00964C55"/>
    <w:rsid w:val="00964D7D"/>
    <w:rsid w:val="00964D8D"/>
    <w:rsid w:val="00964E11"/>
    <w:rsid w:val="00965207"/>
    <w:rsid w:val="009653EA"/>
    <w:rsid w:val="009654EA"/>
    <w:rsid w:val="00965565"/>
    <w:rsid w:val="00965575"/>
    <w:rsid w:val="00965897"/>
    <w:rsid w:val="00965E73"/>
    <w:rsid w:val="00965E9E"/>
    <w:rsid w:val="00965ECB"/>
    <w:rsid w:val="00965EDB"/>
    <w:rsid w:val="00965EE5"/>
    <w:rsid w:val="0096612F"/>
    <w:rsid w:val="009661F8"/>
    <w:rsid w:val="00966211"/>
    <w:rsid w:val="0096631E"/>
    <w:rsid w:val="009663B7"/>
    <w:rsid w:val="00966758"/>
    <w:rsid w:val="009667C7"/>
    <w:rsid w:val="00966A46"/>
    <w:rsid w:val="00966B42"/>
    <w:rsid w:val="00966D5D"/>
    <w:rsid w:val="00966DB5"/>
    <w:rsid w:val="00966EDF"/>
    <w:rsid w:val="0096712A"/>
    <w:rsid w:val="0096715E"/>
    <w:rsid w:val="00967256"/>
    <w:rsid w:val="0096742D"/>
    <w:rsid w:val="0096772E"/>
    <w:rsid w:val="00967AE4"/>
    <w:rsid w:val="00967E51"/>
    <w:rsid w:val="0097019F"/>
    <w:rsid w:val="009701AB"/>
    <w:rsid w:val="00970328"/>
    <w:rsid w:val="0097036B"/>
    <w:rsid w:val="00970469"/>
    <w:rsid w:val="009706B2"/>
    <w:rsid w:val="009706CF"/>
    <w:rsid w:val="00970818"/>
    <w:rsid w:val="00970840"/>
    <w:rsid w:val="00970B6D"/>
    <w:rsid w:val="00970F0A"/>
    <w:rsid w:val="00970F2C"/>
    <w:rsid w:val="00970F99"/>
    <w:rsid w:val="00971121"/>
    <w:rsid w:val="00971558"/>
    <w:rsid w:val="009715C7"/>
    <w:rsid w:val="009718F8"/>
    <w:rsid w:val="009718FE"/>
    <w:rsid w:val="00971AB5"/>
    <w:rsid w:val="00971C6E"/>
    <w:rsid w:val="00971CFF"/>
    <w:rsid w:val="00971D84"/>
    <w:rsid w:val="00971DBF"/>
    <w:rsid w:val="00971DD8"/>
    <w:rsid w:val="0097209D"/>
    <w:rsid w:val="0097220D"/>
    <w:rsid w:val="0097237D"/>
    <w:rsid w:val="009723B0"/>
    <w:rsid w:val="00972505"/>
    <w:rsid w:val="0097275D"/>
    <w:rsid w:val="00972A12"/>
    <w:rsid w:val="00972BA7"/>
    <w:rsid w:val="00972BD4"/>
    <w:rsid w:val="00972C31"/>
    <w:rsid w:val="00972C41"/>
    <w:rsid w:val="00972EE5"/>
    <w:rsid w:val="0097308B"/>
    <w:rsid w:val="00973190"/>
    <w:rsid w:val="009731C5"/>
    <w:rsid w:val="009731F7"/>
    <w:rsid w:val="0097341A"/>
    <w:rsid w:val="0097341E"/>
    <w:rsid w:val="009734F1"/>
    <w:rsid w:val="0097351F"/>
    <w:rsid w:val="00973B23"/>
    <w:rsid w:val="00973C73"/>
    <w:rsid w:val="00973CDE"/>
    <w:rsid w:val="00973CF0"/>
    <w:rsid w:val="00974075"/>
    <w:rsid w:val="009740FB"/>
    <w:rsid w:val="00974544"/>
    <w:rsid w:val="00974799"/>
    <w:rsid w:val="0097479B"/>
    <w:rsid w:val="009747FB"/>
    <w:rsid w:val="0097487D"/>
    <w:rsid w:val="00974997"/>
    <w:rsid w:val="009751D7"/>
    <w:rsid w:val="0097542A"/>
    <w:rsid w:val="009755A0"/>
    <w:rsid w:val="009755E3"/>
    <w:rsid w:val="0097564B"/>
    <w:rsid w:val="00975757"/>
    <w:rsid w:val="009758AD"/>
    <w:rsid w:val="00975B18"/>
    <w:rsid w:val="00975C1D"/>
    <w:rsid w:val="00975D7A"/>
    <w:rsid w:val="009760E2"/>
    <w:rsid w:val="0097626A"/>
    <w:rsid w:val="00976416"/>
    <w:rsid w:val="0097642C"/>
    <w:rsid w:val="0097649C"/>
    <w:rsid w:val="00976726"/>
    <w:rsid w:val="009767E4"/>
    <w:rsid w:val="0097681B"/>
    <w:rsid w:val="00976910"/>
    <w:rsid w:val="00976913"/>
    <w:rsid w:val="00976925"/>
    <w:rsid w:val="00976C51"/>
    <w:rsid w:val="00976CE6"/>
    <w:rsid w:val="00976E39"/>
    <w:rsid w:val="00976E89"/>
    <w:rsid w:val="00976E94"/>
    <w:rsid w:val="009770ED"/>
    <w:rsid w:val="009771C2"/>
    <w:rsid w:val="009771CD"/>
    <w:rsid w:val="00977377"/>
    <w:rsid w:val="00977475"/>
    <w:rsid w:val="009775BE"/>
    <w:rsid w:val="00977842"/>
    <w:rsid w:val="009778F0"/>
    <w:rsid w:val="009779F6"/>
    <w:rsid w:val="00977BE4"/>
    <w:rsid w:val="00980041"/>
    <w:rsid w:val="00980062"/>
    <w:rsid w:val="009800EB"/>
    <w:rsid w:val="009804CE"/>
    <w:rsid w:val="009804D8"/>
    <w:rsid w:val="009804F3"/>
    <w:rsid w:val="00980950"/>
    <w:rsid w:val="0098098F"/>
    <w:rsid w:val="009809BE"/>
    <w:rsid w:val="00980AF2"/>
    <w:rsid w:val="00980B48"/>
    <w:rsid w:val="00980BA7"/>
    <w:rsid w:val="00980CDD"/>
    <w:rsid w:val="00980CE4"/>
    <w:rsid w:val="00980DA4"/>
    <w:rsid w:val="00980E7F"/>
    <w:rsid w:val="00980EA3"/>
    <w:rsid w:val="0098110C"/>
    <w:rsid w:val="00981308"/>
    <w:rsid w:val="009813AC"/>
    <w:rsid w:val="00981506"/>
    <w:rsid w:val="00981846"/>
    <w:rsid w:val="00981977"/>
    <w:rsid w:val="00981BCC"/>
    <w:rsid w:val="009820D5"/>
    <w:rsid w:val="0098272F"/>
    <w:rsid w:val="009827DC"/>
    <w:rsid w:val="009829A3"/>
    <w:rsid w:val="00982B27"/>
    <w:rsid w:val="00982D2D"/>
    <w:rsid w:val="00982D50"/>
    <w:rsid w:val="00982EFE"/>
    <w:rsid w:val="009832A3"/>
    <w:rsid w:val="009835D1"/>
    <w:rsid w:val="009837B1"/>
    <w:rsid w:val="009838EE"/>
    <w:rsid w:val="00983A63"/>
    <w:rsid w:val="00983B79"/>
    <w:rsid w:val="00983CCA"/>
    <w:rsid w:val="00983FE2"/>
    <w:rsid w:val="009841E2"/>
    <w:rsid w:val="009842A1"/>
    <w:rsid w:val="0098431D"/>
    <w:rsid w:val="00984332"/>
    <w:rsid w:val="009843BF"/>
    <w:rsid w:val="0098443A"/>
    <w:rsid w:val="00984528"/>
    <w:rsid w:val="00984590"/>
    <w:rsid w:val="0098461C"/>
    <w:rsid w:val="009846EE"/>
    <w:rsid w:val="00984874"/>
    <w:rsid w:val="0098494D"/>
    <w:rsid w:val="009849DE"/>
    <w:rsid w:val="00984A10"/>
    <w:rsid w:val="00984B8E"/>
    <w:rsid w:val="00984CE1"/>
    <w:rsid w:val="00984CEF"/>
    <w:rsid w:val="00985000"/>
    <w:rsid w:val="00985121"/>
    <w:rsid w:val="00985208"/>
    <w:rsid w:val="0098523E"/>
    <w:rsid w:val="00985763"/>
    <w:rsid w:val="009857E7"/>
    <w:rsid w:val="00985822"/>
    <w:rsid w:val="00985BD6"/>
    <w:rsid w:val="00985C26"/>
    <w:rsid w:val="00985D57"/>
    <w:rsid w:val="00985FC0"/>
    <w:rsid w:val="0098623F"/>
    <w:rsid w:val="009862C7"/>
    <w:rsid w:val="009862CF"/>
    <w:rsid w:val="0098631A"/>
    <w:rsid w:val="009865D8"/>
    <w:rsid w:val="00986634"/>
    <w:rsid w:val="00986742"/>
    <w:rsid w:val="00986767"/>
    <w:rsid w:val="00986782"/>
    <w:rsid w:val="0098685B"/>
    <w:rsid w:val="00986975"/>
    <w:rsid w:val="009869E7"/>
    <w:rsid w:val="00986B7C"/>
    <w:rsid w:val="00986D1D"/>
    <w:rsid w:val="00986E50"/>
    <w:rsid w:val="00986E7F"/>
    <w:rsid w:val="0098717D"/>
    <w:rsid w:val="00987510"/>
    <w:rsid w:val="009876B5"/>
    <w:rsid w:val="009878D3"/>
    <w:rsid w:val="00987A14"/>
    <w:rsid w:val="00987A40"/>
    <w:rsid w:val="00987BD8"/>
    <w:rsid w:val="00987E55"/>
    <w:rsid w:val="00987F08"/>
    <w:rsid w:val="00987F43"/>
    <w:rsid w:val="00987F50"/>
    <w:rsid w:val="00990046"/>
    <w:rsid w:val="00990139"/>
    <w:rsid w:val="009903D6"/>
    <w:rsid w:val="00990554"/>
    <w:rsid w:val="0099057E"/>
    <w:rsid w:val="009905A4"/>
    <w:rsid w:val="00990AA5"/>
    <w:rsid w:val="00990BCD"/>
    <w:rsid w:val="00990BF3"/>
    <w:rsid w:val="00990BF6"/>
    <w:rsid w:val="00990D14"/>
    <w:rsid w:val="00990DEA"/>
    <w:rsid w:val="00990DFA"/>
    <w:rsid w:val="00990E15"/>
    <w:rsid w:val="00990F6A"/>
    <w:rsid w:val="009910A4"/>
    <w:rsid w:val="0099127D"/>
    <w:rsid w:val="009912C1"/>
    <w:rsid w:val="00991316"/>
    <w:rsid w:val="0099140A"/>
    <w:rsid w:val="009914F2"/>
    <w:rsid w:val="00991A7C"/>
    <w:rsid w:val="00991BF2"/>
    <w:rsid w:val="00991CEE"/>
    <w:rsid w:val="00991D11"/>
    <w:rsid w:val="00991FA3"/>
    <w:rsid w:val="00991FEA"/>
    <w:rsid w:val="009925B0"/>
    <w:rsid w:val="009929F8"/>
    <w:rsid w:val="00992C77"/>
    <w:rsid w:val="00992D15"/>
    <w:rsid w:val="00992DFC"/>
    <w:rsid w:val="00992F5F"/>
    <w:rsid w:val="00992F9F"/>
    <w:rsid w:val="00993029"/>
    <w:rsid w:val="0099307F"/>
    <w:rsid w:val="00993177"/>
    <w:rsid w:val="0099372C"/>
    <w:rsid w:val="009937C0"/>
    <w:rsid w:val="00993812"/>
    <w:rsid w:val="00993999"/>
    <w:rsid w:val="00993A42"/>
    <w:rsid w:val="00993C83"/>
    <w:rsid w:val="00993D3A"/>
    <w:rsid w:val="00994216"/>
    <w:rsid w:val="009942D8"/>
    <w:rsid w:val="00994656"/>
    <w:rsid w:val="0099474E"/>
    <w:rsid w:val="0099487B"/>
    <w:rsid w:val="00994977"/>
    <w:rsid w:val="00994994"/>
    <w:rsid w:val="009949B7"/>
    <w:rsid w:val="00994C0A"/>
    <w:rsid w:val="00994D66"/>
    <w:rsid w:val="00994F47"/>
    <w:rsid w:val="0099528B"/>
    <w:rsid w:val="009953E4"/>
    <w:rsid w:val="009955D1"/>
    <w:rsid w:val="0099575A"/>
    <w:rsid w:val="0099598B"/>
    <w:rsid w:val="009959F6"/>
    <w:rsid w:val="00995B47"/>
    <w:rsid w:val="00995B8B"/>
    <w:rsid w:val="00995CEB"/>
    <w:rsid w:val="00995F6A"/>
    <w:rsid w:val="0099604B"/>
    <w:rsid w:val="009960B9"/>
    <w:rsid w:val="009963F6"/>
    <w:rsid w:val="0099652D"/>
    <w:rsid w:val="009966DF"/>
    <w:rsid w:val="00996A45"/>
    <w:rsid w:val="00996BAA"/>
    <w:rsid w:val="00997352"/>
    <w:rsid w:val="009973E2"/>
    <w:rsid w:val="00997483"/>
    <w:rsid w:val="009978FC"/>
    <w:rsid w:val="00997A6F"/>
    <w:rsid w:val="00997AB5"/>
    <w:rsid w:val="00997ACF"/>
    <w:rsid w:val="00997BCE"/>
    <w:rsid w:val="009A0136"/>
    <w:rsid w:val="009A0210"/>
    <w:rsid w:val="009A048F"/>
    <w:rsid w:val="009A0563"/>
    <w:rsid w:val="009A07B2"/>
    <w:rsid w:val="009A0E30"/>
    <w:rsid w:val="009A0F47"/>
    <w:rsid w:val="009A0FA9"/>
    <w:rsid w:val="009A0FD6"/>
    <w:rsid w:val="009A15FE"/>
    <w:rsid w:val="009A1673"/>
    <w:rsid w:val="009A167E"/>
    <w:rsid w:val="009A1CA5"/>
    <w:rsid w:val="009A21A8"/>
    <w:rsid w:val="009A230A"/>
    <w:rsid w:val="009A246D"/>
    <w:rsid w:val="009A2480"/>
    <w:rsid w:val="009A26A6"/>
    <w:rsid w:val="009A27F0"/>
    <w:rsid w:val="009A28A5"/>
    <w:rsid w:val="009A2951"/>
    <w:rsid w:val="009A298E"/>
    <w:rsid w:val="009A2A4D"/>
    <w:rsid w:val="009A2B83"/>
    <w:rsid w:val="009A2BD1"/>
    <w:rsid w:val="009A2DC6"/>
    <w:rsid w:val="009A2F7B"/>
    <w:rsid w:val="009A3231"/>
    <w:rsid w:val="009A33AF"/>
    <w:rsid w:val="009A35ED"/>
    <w:rsid w:val="009A3655"/>
    <w:rsid w:val="009A3786"/>
    <w:rsid w:val="009A38F5"/>
    <w:rsid w:val="009A3AA8"/>
    <w:rsid w:val="009A3BF3"/>
    <w:rsid w:val="009A3D7D"/>
    <w:rsid w:val="009A3E50"/>
    <w:rsid w:val="009A3F94"/>
    <w:rsid w:val="009A3FAE"/>
    <w:rsid w:val="009A3FE6"/>
    <w:rsid w:val="009A4072"/>
    <w:rsid w:val="009A415B"/>
    <w:rsid w:val="009A4231"/>
    <w:rsid w:val="009A42A6"/>
    <w:rsid w:val="009A433F"/>
    <w:rsid w:val="009A4378"/>
    <w:rsid w:val="009A43FB"/>
    <w:rsid w:val="009A4AC4"/>
    <w:rsid w:val="009A4CA3"/>
    <w:rsid w:val="009A4EE9"/>
    <w:rsid w:val="009A4F03"/>
    <w:rsid w:val="009A5920"/>
    <w:rsid w:val="009A598F"/>
    <w:rsid w:val="009A5BBB"/>
    <w:rsid w:val="009A5C3F"/>
    <w:rsid w:val="009A5D66"/>
    <w:rsid w:val="009A60B6"/>
    <w:rsid w:val="009A6132"/>
    <w:rsid w:val="009A6182"/>
    <w:rsid w:val="009A664A"/>
    <w:rsid w:val="009A6816"/>
    <w:rsid w:val="009A6AE8"/>
    <w:rsid w:val="009A6B10"/>
    <w:rsid w:val="009A6C7B"/>
    <w:rsid w:val="009A6E5A"/>
    <w:rsid w:val="009A6EF3"/>
    <w:rsid w:val="009A6F3C"/>
    <w:rsid w:val="009A7253"/>
    <w:rsid w:val="009A72AD"/>
    <w:rsid w:val="009A7682"/>
    <w:rsid w:val="009A769F"/>
    <w:rsid w:val="009A76AA"/>
    <w:rsid w:val="009A7722"/>
    <w:rsid w:val="009A78DB"/>
    <w:rsid w:val="009A798F"/>
    <w:rsid w:val="009A7A5F"/>
    <w:rsid w:val="009A7CB2"/>
    <w:rsid w:val="009A7F09"/>
    <w:rsid w:val="009B0029"/>
    <w:rsid w:val="009B025C"/>
    <w:rsid w:val="009B047F"/>
    <w:rsid w:val="009B048A"/>
    <w:rsid w:val="009B05EF"/>
    <w:rsid w:val="009B0BE1"/>
    <w:rsid w:val="009B0DCD"/>
    <w:rsid w:val="009B0F81"/>
    <w:rsid w:val="009B1031"/>
    <w:rsid w:val="009B10DE"/>
    <w:rsid w:val="009B10E0"/>
    <w:rsid w:val="009B1150"/>
    <w:rsid w:val="009B11DA"/>
    <w:rsid w:val="009B125F"/>
    <w:rsid w:val="009B12D8"/>
    <w:rsid w:val="009B13F4"/>
    <w:rsid w:val="009B17D0"/>
    <w:rsid w:val="009B197C"/>
    <w:rsid w:val="009B1B9B"/>
    <w:rsid w:val="009B1C8A"/>
    <w:rsid w:val="009B1E0B"/>
    <w:rsid w:val="009B1E67"/>
    <w:rsid w:val="009B1EDF"/>
    <w:rsid w:val="009B1FC0"/>
    <w:rsid w:val="009B2087"/>
    <w:rsid w:val="009B2184"/>
    <w:rsid w:val="009B220A"/>
    <w:rsid w:val="009B2714"/>
    <w:rsid w:val="009B2831"/>
    <w:rsid w:val="009B2835"/>
    <w:rsid w:val="009B28FB"/>
    <w:rsid w:val="009B292C"/>
    <w:rsid w:val="009B2968"/>
    <w:rsid w:val="009B29CD"/>
    <w:rsid w:val="009B2C23"/>
    <w:rsid w:val="009B2D45"/>
    <w:rsid w:val="009B2F08"/>
    <w:rsid w:val="009B2F3C"/>
    <w:rsid w:val="009B3001"/>
    <w:rsid w:val="009B32BE"/>
    <w:rsid w:val="009B3385"/>
    <w:rsid w:val="009B3442"/>
    <w:rsid w:val="009B36FA"/>
    <w:rsid w:val="009B397E"/>
    <w:rsid w:val="009B39BC"/>
    <w:rsid w:val="009B3B31"/>
    <w:rsid w:val="009B3B47"/>
    <w:rsid w:val="009B3CA1"/>
    <w:rsid w:val="009B3D4E"/>
    <w:rsid w:val="009B419D"/>
    <w:rsid w:val="009B4280"/>
    <w:rsid w:val="009B4380"/>
    <w:rsid w:val="009B43B2"/>
    <w:rsid w:val="009B44AE"/>
    <w:rsid w:val="009B46A2"/>
    <w:rsid w:val="009B46DE"/>
    <w:rsid w:val="009B49F8"/>
    <w:rsid w:val="009B4A6C"/>
    <w:rsid w:val="009B4A9F"/>
    <w:rsid w:val="009B4D8B"/>
    <w:rsid w:val="009B5042"/>
    <w:rsid w:val="009B50D2"/>
    <w:rsid w:val="009B50EA"/>
    <w:rsid w:val="009B510B"/>
    <w:rsid w:val="009B5129"/>
    <w:rsid w:val="009B527B"/>
    <w:rsid w:val="009B5606"/>
    <w:rsid w:val="009B5732"/>
    <w:rsid w:val="009B59D7"/>
    <w:rsid w:val="009B5A53"/>
    <w:rsid w:val="009B5AA7"/>
    <w:rsid w:val="009B5C06"/>
    <w:rsid w:val="009B5FCC"/>
    <w:rsid w:val="009B5FD6"/>
    <w:rsid w:val="009B620B"/>
    <w:rsid w:val="009B64CB"/>
    <w:rsid w:val="009B67A3"/>
    <w:rsid w:val="009B68E9"/>
    <w:rsid w:val="009B69C3"/>
    <w:rsid w:val="009B704F"/>
    <w:rsid w:val="009B71F6"/>
    <w:rsid w:val="009B74C6"/>
    <w:rsid w:val="009B756E"/>
    <w:rsid w:val="009B769B"/>
    <w:rsid w:val="009B76D7"/>
    <w:rsid w:val="009B77A2"/>
    <w:rsid w:val="009B7806"/>
    <w:rsid w:val="009B786E"/>
    <w:rsid w:val="009B7AA5"/>
    <w:rsid w:val="009B7BDF"/>
    <w:rsid w:val="009B7D4E"/>
    <w:rsid w:val="009B7F85"/>
    <w:rsid w:val="009C0066"/>
    <w:rsid w:val="009C0140"/>
    <w:rsid w:val="009C032B"/>
    <w:rsid w:val="009C0561"/>
    <w:rsid w:val="009C05AA"/>
    <w:rsid w:val="009C0650"/>
    <w:rsid w:val="009C0997"/>
    <w:rsid w:val="009C09C8"/>
    <w:rsid w:val="009C0A34"/>
    <w:rsid w:val="009C0A57"/>
    <w:rsid w:val="009C0A99"/>
    <w:rsid w:val="009C0D25"/>
    <w:rsid w:val="009C0D68"/>
    <w:rsid w:val="009C0EEB"/>
    <w:rsid w:val="009C127B"/>
    <w:rsid w:val="009C1382"/>
    <w:rsid w:val="009C13D4"/>
    <w:rsid w:val="009C142C"/>
    <w:rsid w:val="009C1473"/>
    <w:rsid w:val="009C164C"/>
    <w:rsid w:val="009C16F2"/>
    <w:rsid w:val="009C19CD"/>
    <w:rsid w:val="009C1C87"/>
    <w:rsid w:val="009C1CE4"/>
    <w:rsid w:val="009C225D"/>
    <w:rsid w:val="009C23BE"/>
    <w:rsid w:val="009C251E"/>
    <w:rsid w:val="009C2557"/>
    <w:rsid w:val="009C2642"/>
    <w:rsid w:val="009C286B"/>
    <w:rsid w:val="009C2958"/>
    <w:rsid w:val="009C2A57"/>
    <w:rsid w:val="009C2B15"/>
    <w:rsid w:val="009C2B82"/>
    <w:rsid w:val="009C2BCF"/>
    <w:rsid w:val="009C2D1F"/>
    <w:rsid w:val="009C2E96"/>
    <w:rsid w:val="009C2F30"/>
    <w:rsid w:val="009C309B"/>
    <w:rsid w:val="009C30B1"/>
    <w:rsid w:val="009C318A"/>
    <w:rsid w:val="009C322E"/>
    <w:rsid w:val="009C3238"/>
    <w:rsid w:val="009C3243"/>
    <w:rsid w:val="009C32E7"/>
    <w:rsid w:val="009C381A"/>
    <w:rsid w:val="009C3830"/>
    <w:rsid w:val="009C39BE"/>
    <w:rsid w:val="009C39C6"/>
    <w:rsid w:val="009C3A35"/>
    <w:rsid w:val="009C3BB8"/>
    <w:rsid w:val="009C3CBA"/>
    <w:rsid w:val="009C3DD0"/>
    <w:rsid w:val="009C3ECB"/>
    <w:rsid w:val="009C42BF"/>
    <w:rsid w:val="009C43EC"/>
    <w:rsid w:val="009C456C"/>
    <w:rsid w:val="009C4837"/>
    <w:rsid w:val="009C4903"/>
    <w:rsid w:val="009C494F"/>
    <w:rsid w:val="009C4E30"/>
    <w:rsid w:val="009C4EB5"/>
    <w:rsid w:val="009C4F32"/>
    <w:rsid w:val="009C5342"/>
    <w:rsid w:val="009C538E"/>
    <w:rsid w:val="009C53FE"/>
    <w:rsid w:val="009C54FE"/>
    <w:rsid w:val="009C59AF"/>
    <w:rsid w:val="009C59F5"/>
    <w:rsid w:val="009C5AA9"/>
    <w:rsid w:val="009C5B5A"/>
    <w:rsid w:val="009C5B6E"/>
    <w:rsid w:val="009C6026"/>
    <w:rsid w:val="009C60AC"/>
    <w:rsid w:val="009C63B8"/>
    <w:rsid w:val="009C63D6"/>
    <w:rsid w:val="009C64A6"/>
    <w:rsid w:val="009C66C0"/>
    <w:rsid w:val="009C6995"/>
    <w:rsid w:val="009C6A25"/>
    <w:rsid w:val="009C6AA3"/>
    <w:rsid w:val="009C6B4F"/>
    <w:rsid w:val="009C6B54"/>
    <w:rsid w:val="009C6DD4"/>
    <w:rsid w:val="009C721A"/>
    <w:rsid w:val="009C72A7"/>
    <w:rsid w:val="009C7421"/>
    <w:rsid w:val="009C74DD"/>
    <w:rsid w:val="009C74E6"/>
    <w:rsid w:val="009C77D5"/>
    <w:rsid w:val="009C794D"/>
    <w:rsid w:val="009C7A83"/>
    <w:rsid w:val="009C7AB4"/>
    <w:rsid w:val="009C7B5B"/>
    <w:rsid w:val="009C7BEB"/>
    <w:rsid w:val="009C7C35"/>
    <w:rsid w:val="009C7E18"/>
    <w:rsid w:val="009C7E5F"/>
    <w:rsid w:val="009C7FD9"/>
    <w:rsid w:val="009D0221"/>
    <w:rsid w:val="009D0403"/>
    <w:rsid w:val="009D070A"/>
    <w:rsid w:val="009D096F"/>
    <w:rsid w:val="009D09BB"/>
    <w:rsid w:val="009D0D6A"/>
    <w:rsid w:val="009D0ED1"/>
    <w:rsid w:val="009D1175"/>
    <w:rsid w:val="009D11A0"/>
    <w:rsid w:val="009D1429"/>
    <w:rsid w:val="009D1641"/>
    <w:rsid w:val="009D1760"/>
    <w:rsid w:val="009D18DC"/>
    <w:rsid w:val="009D1CFC"/>
    <w:rsid w:val="009D1D79"/>
    <w:rsid w:val="009D1D8D"/>
    <w:rsid w:val="009D221D"/>
    <w:rsid w:val="009D2450"/>
    <w:rsid w:val="009D2543"/>
    <w:rsid w:val="009D26F9"/>
    <w:rsid w:val="009D2A37"/>
    <w:rsid w:val="009D2F35"/>
    <w:rsid w:val="009D3064"/>
    <w:rsid w:val="009D3126"/>
    <w:rsid w:val="009D337F"/>
    <w:rsid w:val="009D34FA"/>
    <w:rsid w:val="009D36B0"/>
    <w:rsid w:val="009D3D58"/>
    <w:rsid w:val="009D3EA3"/>
    <w:rsid w:val="009D3FA9"/>
    <w:rsid w:val="009D3FB9"/>
    <w:rsid w:val="009D43F2"/>
    <w:rsid w:val="009D46B1"/>
    <w:rsid w:val="009D49DE"/>
    <w:rsid w:val="009D4A27"/>
    <w:rsid w:val="009D5161"/>
    <w:rsid w:val="009D51A8"/>
    <w:rsid w:val="009D52DD"/>
    <w:rsid w:val="009D564A"/>
    <w:rsid w:val="009D58AD"/>
    <w:rsid w:val="009D5922"/>
    <w:rsid w:val="009D5A41"/>
    <w:rsid w:val="009D5AD6"/>
    <w:rsid w:val="009D5B01"/>
    <w:rsid w:val="009D5DFB"/>
    <w:rsid w:val="009D5FE8"/>
    <w:rsid w:val="009D61E3"/>
    <w:rsid w:val="009D6407"/>
    <w:rsid w:val="009D642C"/>
    <w:rsid w:val="009D6530"/>
    <w:rsid w:val="009D654F"/>
    <w:rsid w:val="009D67BD"/>
    <w:rsid w:val="009D6934"/>
    <w:rsid w:val="009D698D"/>
    <w:rsid w:val="009D69FE"/>
    <w:rsid w:val="009D6BC1"/>
    <w:rsid w:val="009D6CA0"/>
    <w:rsid w:val="009D6F17"/>
    <w:rsid w:val="009D6FBE"/>
    <w:rsid w:val="009D7191"/>
    <w:rsid w:val="009D7225"/>
    <w:rsid w:val="009D7251"/>
    <w:rsid w:val="009D7253"/>
    <w:rsid w:val="009D7258"/>
    <w:rsid w:val="009D726F"/>
    <w:rsid w:val="009D7405"/>
    <w:rsid w:val="009D7730"/>
    <w:rsid w:val="009D77AF"/>
    <w:rsid w:val="009D7843"/>
    <w:rsid w:val="009D79B8"/>
    <w:rsid w:val="009D7C29"/>
    <w:rsid w:val="009D7C85"/>
    <w:rsid w:val="009E0075"/>
    <w:rsid w:val="009E00C6"/>
    <w:rsid w:val="009E0202"/>
    <w:rsid w:val="009E022C"/>
    <w:rsid w:val="009E0396"/>
    <w:rsid w:val="009E03CE"/>
    <w:rsid w:val="009E04A8"/>
    <w:rsid w:val="009E0951"/>
    <w:rsid w:val="009E0C18"/>
    <w:rsid w:val="009E0C1C"/>
    <w:rsid w:val="009E0F98"/>
    <w:rsid w:val="009E1020"/>
    <w:rsid w:val="009E1108"/>
    <w:rsid w:val="009E13DB"/>
    <w:rsid w:val="009E13DE"/>
    <w:rsid w:val="009E16DD"/>
    <w:rsid w:val="009E1878"/>
    <w:rsid w:val="009E1C90"/>
    <w:rsid w:val="009E1E76"/>
    <w:rsid w:val="009E1F6F"/>
    <w:rsid w:val="009E2136"/>
    <w:rsid w:val="009E22F4"/>
    <w:rsid w:val="009E2440"/>
    <w:rsid w:val="009E2459"/>
    <w:rsid w:val="009E2728"/>
    <w:rsid w:val="009E27B6"/>
    <w:rsid w:val="009E2898"/>
    <w:rsid w:val="009E2A13"/>
    <w:rsid w:val="009E2F75"/>
    <w:rsid w:val="009E30AE"/>
    <w:rsid w:val="009E326B"/>
    <w:rsid w:val="009E3593"/>
    <w:rsid w:val="009E369E"/>
    <w:rsid w:val="009E386E"/>
    <w:rsid w:val="009E39AA"/>
    <w:rsid w:val="009E3C5F"/>
    <w:rsid w:val="009E3D13"/>
    <w:rsid w:val="009E3F40"/>
    <w:rsid w:val="009E40C8"/>
    <w:rsid w:val="009E40E0"/>
    <w:rsid w:val="009E4187"/>
    <w:rsid w:val="009E4476"/>
    <w:rsid w:val="009E44CB"/>
    <w:rsid w:val="009E4777"/>
    <w:rsid w:val="009E4848"/>
    <w:rsid w:val="009E49C9"/>
    <w:rsid w:val="009E4A6B"/>
    <w:rsid w:val="009E4AE2"/>
    <w:rsid w:val="009E4B4E"/>
    <w:rsid w:val="009E4C24"/>
    <w:rsid w:val="009E4CC9"/>
    <w:rsid w:val="009E4CE7"/>
    <w:rsid w:val="009E4D78"/>
    <w:rsid w:val="009E5387"/>
    <w:rsid w:val="009E53B5"/>
    <w:rsid w:val="009E5486"/>
    <w:rsid w:val="009E5711"/>
    <w:rsid w:val="009E57DC"/>
    <w:rsid w:val="009E5BFA"/>
    <w:rsid w:val="009E5DE9"/>
    <w:rsid w:val="009E5E0E"/>
    <w:rsid w:val="009E5F9B"/>
    <w:rsid w:val="009E60E9"/>
    <w:rsid w:val="009E6197"/>
    <w:rsid w:val="009E6255"/>
    <w:rsid w:val="009E628C"/>
    <w:rsid w:val="009E69C1"/>
    <w:rsid w:val="009E6AB9"/>
    <w:rsid w:val="009E6B6F"/>
    <w:rsid w:val="009E6BAC"/>
    <w:rsid w:val="009E6D45"/>
    <w:rsid w:val="009E6FE3"/>
    <w:rsid w:val="009E70E2"/>
    <w:rsid w:val="009E71B4"/>
    <w:rsid w:val="009E75D2"/>
    <w:rsid w:val="009E7685"/>
    <w:rsid w:val="009E785C"/>
    <w:rsid w:val="009E78C6"/>
    <w:rsid w:val="009E7B7E"/>
    <w:rsid w:val="009E7D09"/>
    <w:rsid w:val="009E7F12"/>
    <w:rsid w:val="009F0152"/>
    <w:rsid w:val="009F02AF"/>
    <w:rsid w:val="009F06C6"/>
    <w:rsid w:val="009F0908"/>
    <w:rsid w:val="009F09EE"/>
    <w:rsid w:val="009F0EDD"/>
    <w:rsid w:val="009F109F"/>
    <w:rsid w:val="009F128C"/>
    <w:rsid w:val="009F12A3"/>
    <w:rsid w:val="009F13D9"/>
    <w:rsid w:val="009F13E5"/>
    <w:rsid w:val="009F1745"/>
    <w:rsid w:val="009F17C5"/>
    <w:rsid w:val="009F17E6"/>
    <w:rsid w:val="009F1955"/>
    <w:rsid w:val="009F19DD"/>
    <w:rsid w:val="009F1AF4"/>
    <w:rsid w:val="009F1CFF"/>
    <w:rsid w:val="009F1E2D"/>
    <w:rsid w:val="009F2489"/>
    <w:rsid w:val="009F25C1"/>
    <w:rsid w:val="009F2694"/>
    <w:rsid w:val="009F27FF"/>
    <w:rsid w:val="009F284F"/>
    <w:rsid w:val="009F2BDD"/>
    <w:rsid w:val="009F2D32"/>
    <w:rsid w:val="009F3029"/>
    <w:rsid w:val="009F3082"/>
    <w:rsid w:val="009F32EF"/>
    <w:rsid w:val="009F3314"/>
    <w:rsid w:val="009F34E9"/>
    <w:rsid w:val="009F3669"/>
    <w:rsid w:val="009F39AF"/>
    <w:rsid w:val="009F3CC1"/>
    <w:rsid w:val="009F3D4E"/>
    <w:rsid w:val="009F4024"/>
    <w:rsid w:val="009F4344"/>
    <w:rsid w:val="009F447F"/>
    <w:rsid w:val="009F44B6"/>
    <w:rsid w:val="009F44FD"/>
    <w:rsid w:val="009F45AC"/>
    <w:rsid w:val="009F474F"/>
    <w:rsid w:val="009F48D2"/>
    <w:rsid w:val="009F4956"/>
    <w:rsid w:val="009F4BCA"/>
    <w:rsid w:val="009F4D50"/>
    <w:rsid w:val="009F4F26"/>
    <w:rsid w:val="009F5057"/>
    <w:rsid w:val="009F5291"/>
    <w:rsid w:val="009F52E4"/>
    <w:rsid w:val="009F5493"/>
    <w:rsid w:val="009F5701"/>
    <w:rsid w:val="009F57A3"/>
    <w:rsid w:val="009F58FB"/>
    <w:rsid w:val="009F5BBD"/>
    <w:rsid w:val="009F615E"/>
    <w:rsid w:val="009F616D"/>
    <w:rsid w:val="009F6494"/>
    <w:rsid w:val="009F651E"/>
    <w:rsid w:val="009F65CF"/>
    <w:rsid w:val="009F6636"/>
    <w:rsid w:val="009F6807"/>
    <w:rsid w:val="009F68CE"/>
    <w:rsid w:val="009F6951"/>
    <w:rsid w:val="009F69A2"/>
    <w:rsid w:val="009F6C12"/>
    <w:rsid w:val="009F6D12"/>
    <w:rsid w:val="009F6EF8"/>
    <w:rsid w:val="009F6FDA"/>
    <w:rsid w:val="009F704D"/>
    <w:rsid w:val="009F70FE"/>
    <w:rsid w:val="009F73BE"/>
    <w:rsid w:val="009F743A"/>
    <w:rsid w:val="009F7615"/>
    <w:rsid w:val="009F780C"/>
    <w:rsid w:val="009F791D"/>
    <w:rsid w:val="009F794E"/>
    <w:rsid w:val="009F7BD3"/>
    <w:rsid w:val="009F7C47"/>
    <w:rsid w:val="009F7FE0"/>
    <w:rsid w:val="00A0012B"/>
    <w:rsid w:val="00A0020E"/>
    <w:rsid w:val="00A00296"/>
    <w:rsid w:val="00A003D7"/>
    <w:rsid w:val="00A00418"/>
    <w:rsid w:val="00A004A5"/>
    <w:rsid w:val="00A004C8"/>
    <w:rsid w:val="00A006E0"/>
    <w:rsid w:val="00A0072F"/>
    <w:rsid w:val="00A0077A"/>
    <w:rsid w:val="00A00790"/>
    <w:rsid w:val="00A0092C"/>
    <w:rsid w:val="00A00DBE"/>
    <w:rsid w:val="00A00E01"/>
    <w:rsid w:val="00A00E93"/>
    <w:rsid w:val="00A010F8"/>
    <w:rsid w:val="00A01399"/>
    <w:rsid w:val="00A01408"/>
    <w:rsid w:val="00A0148C"/>
    <w:rsid w:val="00A014B9"/>
    <w:rsid w:val="00A015D6"/>
    <w:rsid w:val="00A01652"/>
    <w:rsid w:val="00A018AA"/>
    <w:rsid w:val="00A01920"/>
    <w:rsid w:val="00A01B41"/>
    <w:rsid w:val="00A01D0C"/>
    <w:rsid w:val="00A01DC4"/>
    <w:rsid w:val="00A02075"/>
    <w:rsid w:val="00A021C1"/>
    <w:rsid w:val="00A0229E"/>
    <w:rsid w:val="00A022DC"/>
    <w:rsid w:val="00A022EE"/>
    <w:rsid w:val="00A02341"/>
    <w:rsid w:val="00A0250B"/>
    <w:rsid w:val="00A025A0"/>
    <w:rsid w:val="00A036C7"/>
    <w:rsid w:val="00A037DE"/>
    <w:rsid w:val="00A037F9"/>
    <w:rsid w:val="00A03972"/>
    <w:rsid w:val="00A039A1"/>
    <w:rsid w:val="00A039AB"/>
    <w:rsid w:val="00A03A38"/>
    <w:rsid w:val="00A03AA6"/>
    <w:rsid w:val="00A03C45"/>
    <w:rsid w:val="00A03D91"/>
    <w:rsid w:val="00A03DC2"/>
    <w:rsid w:val="00A03F13"/>
    <w:rsid w:val="00A04039"/>
    <w:rsid w:val="00A045E4"/>
    <w:rsid w:val="00A048A6"/>
    <w:rsid w:val="00A04B3F"/>
    <w:rsid w:val="00A04C57"/>
    <w:rsid w:val="00A04C78"/>
    <w:rsid w:val="00A04E77"/>
    <w:rsid w:val="00A05222"/>
    <w:rsid w:val="00A05328"/>
    <w:rsid w:val="00A053B6"/>
    <w:rsid w:val="00A05458"/>
    <w:rsid w:val="00A05554"/>
    <w:rsid w:val="00A05BF6"/>
    <w:rsid w:val="00A05D88"/>
    <w:rsid w:val="00A05DD3"/>
    <w:rsid w:val="00A06148"/>
    <w:rsid w:val="00A06250"/>
    <w:rsid w:val="00A0630E"/>
    <w:rsid w:val="00A0663B"/>
    <w:rsid w:val="00A066C5"/>
    <w:rsid w:val="00A0680F"/>
    <w:rsid w:val="00A06827"/>
    <w:rsid w:val="00A068C3"/>
    <w:rsid w:val="00A06A24"/>
    <w:rsid w:val="00A06BCD"/>
    <w:rsid w:val="00A06C35"/>
    <w:rsid w:val="00A06C43"/>
    <w:rsid w:val="00A06C73"/>
    <w:rsid w:val="00A06D27"/>
    <w:rsid w:val="00A06D3F"/>
    <w:rsid w:val="00A06FE8"/>
    <w:rsid w:val="00A0713C"/>
    <w:rsid w:val="00A0717A"/>
    <w:rsid w:val="00A07221"/>
    <w:rsid w:val="00A074C0"/>
    <w:rsid w:val="00A07683"/>
    <w:rsid w:val="00A076F0"/>
    <w:rsid w:val="00A077B3"/>
    <w:rsid w:val="00A07811"/>
    <w:rsid w:val="00A079A2"/>
    <w:rsid w:val="00A079A7"/>
    <w:rsid w:val="00A07A47"/>
    <w:rsid w:val="00A07A9E"/>
    <w:rsid w:val="00A07AB7"/>
    <w:rsid w:val="00A07FB8"/>
    <w:rsid w:val="00A10157"/>
    <w:rsid w:val="00A101FF"/>
    <w:rsid w:val="00A1023A"/>
    <w:rsid w:val="00A1068A"/>
    <w:rsid w:val="00A10C22"/>
    <w:rsid w:val="00A10CF9"/>
    <w:rsid w:val="00A10DA9"/>
    <w:rsid w:val="00A10EC3"/>
    <w:rsid w:val="00A11076"/>
    <w:rsid w:val="00A111F4"/>
    <w:rsid w:val="00A1124C"/>
    <w:rsid w:val="00A112DE"/>
    <w:rsid w:val="00A114F8"/>
    <w:rsid w:val="00A1150E"/>
    <w:rsid w:val="00A1154B"/>
    <w:rsid w:val="00A115EC"/>
    <w:rsid w:val="00A1170C"/>
    <w:rsid w:val="00A11759"/>
    <w:rsid w:val="00A118F8"/>
    <w:rsid w:val="00A1190E"/>
    <w:rsid w:val="00A1193E"/>
    <w:rsid w:val="00A119BD"/>
    <w:rsid w:val="00A11A0F"/>
    <w:rsid w:val="00A11A29"/>
    <w:rsid w:val="00A11DBA"/>
    <w:rsid w:val="00A11F3D"/>
    <w:rsid w:val="00A122D0"/>
    <w:rsid w:val="00A12348"/>
    <w:rsid w:val="00A12504"/>
    <w:rsid w:val="00A12726"/>
    <w:rsid w:val="00A12D56"/>
    <w:rsid w:val="00A13097"/>
    <w:rsid w:val="00A1316E"/>
    <w:rsid w:val="00A1317E"/>
    <w:rsid w:val="00A13453"/>
    <w:rsid w:val="00A13530"/>
    <w:rsid w:val="00A1373E"/>
    <w:rsid w:val="00A138FC"/>
    <w:rsid w:val="00A13D85"/>
    <w:rsid w:val="00A13EA8"/>
    <w:rsid w:val="00A1414F"/>
    <w:rsid w:val="00A1440F"/>
    <w:rsid w:val="00A1443C"/>
    <w:rsid w:val="00A14462"/>
    <w:rsid w:val="00A14642"/>
    <w:rsid w:val="00A14B01"/>
    <w:rsid w:val="00A14BC5"/>
    <w:rsid w:val="00A14D12"/>
    <w:rsid w:val="00A14E05"/>
    <w:rsid w:val="00A14E41"/>
    <w:rsid w:val="00A15037"/>
    <w:rsid w:val="00A15098"/>
    <w:rsid w:val="00A150AE"/>
    <w:rsid w:val="00A1516C"/>
    <w:rsid w:val="00A152D3"/>
    <w:rsid w:val="00A1546E"/>
    <w:rsid w:val="00A1555F"/>
    <w:rsid w:val="00A15891"/>
    <w:rsid w:val="00A159D7"/>
    <w:rsid w:val="00A15A9E"/>
    <w:rsid w:val="00A15C48"/>
    <w:rsid w:val="00A15E7C"/>
    <w:rsid w:val="00A15FA3"/>
    <w:rsid w:val="00A1606E"/>
    <w:rsid w:val="00A161D8"/>
    <w:rsid w:val="00A161E8"/>
    <w:rsid w:val="00A162C7"/>
    <w:rsid w:val="00A165DB"/>
    <w:rsid w:val="00A16690"/>
    <w:rsid w:val="00A16A9C"/>
    <w:rsid w:val="00A16CBB"/>
    <w:rsid w:val="00A16DEB"/>
    <w:rsid w:val="00A16EDC"/>
    <w:rsid w:val="00A16F97"/>
    <w:rsid w:val="00A16FA3"/>
    <w:rsid w:val="00A16FA7"/>
    <w:rsid w:val="00A16FB6"/>
    <w:rsid w:val="00A1709D"/>
    <w:rsid w:val="00A171C4"/>
    <w:rsid w:val="00A17231"/>
    <w:rsid w:val="00A177DB"/>
    <w:rsid w:val="00A17907"/>
    <w:rsid w:val="00A17DFD"/>
    <w:rsid w:val="00A17E20"/>
    <w:rsid w:val="00A17F04"/>
    <w:rsid w:val="00A17F31"/>
    <w:rsid w:val="00A20393"/>
    <w:rsid w:val="00A2068B"/>
    <w:rsid w:val="00A20D61"/>
    <w:rsid w:val="00A20D63"/>
    <w:rsid w:val="00A21014"/>
    <w:rsid w:val="00A212AB"/>
    <w:rsid w:val="00A21359"/>
    <w:rsid w:val="00A213AC"/>
    <w:rsid w:val="00A21572"/>
    <w:rsid w:val="00A216A4"/>
    <w:rsid w:val="00A217DF"/>
    <w:rsid w:val="00A218F1"/>
    <w:rsid w:val="00A219E9"/>
    <w:rsid w:val="00A21BBB"/>
    <w:rsid w:val="00A21D1D"/>
    <w:rsid w:val="00A21D75"/>
    <w:rsid w:val="00A21E5C"/>
    <w:rsid w:val="00A21E95"/>
    <w:rsid w:val="00A21EBA"/>
    <w:rsid w:val="00A21FC7"/>
    <w:rsid w:val="00A22018"/>
    <w:rsid w:val="00A22040"/>
    <w:rsid w:val="00A2242F"/>
    <w:rsid w:val="00A22660"/>
    <w:rsid w:val="00A227CC"/>
    <w:rsid w:val="00A229DC"/>
    <w:rsid w:val="00A229FA"/>
    <w:rsid w:val="00A22E66"/>
    <w:rsid w:val="00A22FF1"/>
    <w:rsid w:val="00A23594"/>
    <w:rsid w:val="00A236ED"/>
    <w:rsid w:val="00A23705"/>
    <w:rsid w:val="00A23827"/>
    <w:rsid w:val="00A2383C"/>
    <w:rsid w:val="00A2398D"/>
    <w:rsid w:val="00A23A26"/>
    <w:rsid w:val="00A23EEC"/>
    <w:rsid w:val="00A23F00"/>
    <w:rsid w:val="00A23F50"/>
    <w:rsid w:val="00A24392"/>
    <w:rsid w:val="00A243A2"/>
    <w:rsid w:val="00A2440B"/>
    <w:rsid w:val="00A244AF"/>
    <w:rsid w:val="00A24580"/>
    <w:rsid w:val="00A2476D"/>
    <w:rsid w:val="00A249BE"/>
    <w:rsid w:val="00A249FD"/>
    <w:rsid w:val="00A24E13"/>
    <w:rsid w:val="00A24FCB"/>
    <w:rsid w:val="00A250AA"/>
    <w:rsid w:val="00A25182"/>
    <w:rsid w:val="00A252CB"/>
    <w:rsid w:val="00A25438"/>
    <w:rsid w:val="00A2543A"/>
    <w:rsid w:val="00A2559B"/>
    <w:rsid w:val="00A25ADE"/>
    <w:rsid w:val="00A25BEF"/>
    <w:rsid w:val="00A25E11"/>
    <w:rsid w:val="00A25E4F"/>
    <w:rsid w:val="00A25E8B"/>
    <w:rsid w:val="00A2615E"/>
    <w:rsid w:val="00A26323"/>
    <w:rsid w:val="00A26342"/>
    <w:rsid w:val="00A26391"/>
    <w:rsid w:val="00A2658E"/>
    <w:rsid w:val="00A265F1"/>
    <w:rsid w:val="00A267F1"/>
    <w:rsid w:val="00A2682A"/>
    <w:rsid w:val="00A26853"/>
    <w:rsid w:val="00A26A41"/>
    <w:rsid w:val="00A26BF5"/>
    <w:rsid w:val="00A26C13"/>
    <w:rsid w:val="00A26C47"/>
    <w:rsid w:val="00A26F45"/>
    <w:rsid w:val="00A27138"/>
    <w:rsid w:val="00A271F2"/>
    <w:rsid w:val="00A271FB"/>
    <w:rsid w:val="00A2725B"/>
    <w:rsid w:val="00A2784B"/>
    <w:rsid w:val="00A278EA"/>
    <w:rsid w:val="00A27AAB"/>
    <w:rsid w:val="00A27AF2"/>
    <w:rsid w:val="00A27C21"/>
    <w:rsid w:val="00A27F0F"/>
    <w:rsid w:val="00A27F63"/>
    <w:rsid w:val="00A3016A"/>
    <w:rsid w:val="00A303B5"/>
    <w:rsid w:val="00A30758"/>
    <w:rsid w:val="00A30779"/>
    <w:rsid w:val="00A3126A"/>
    <w:rsid w:val="00A31308"/>
    <w:rsid w:val="00A31646"/>
    <w:rsid w:val="00A31714"/>
    <w:rsid w:val="00A31731"/>
    <w:rsid w:val="00A31966"/>
    <w:rsid w:val="00A319FE"/>
    <w:rsid w:val="00A31B8D"/>
    <w:rsid w:val="00A3220A"/>
    <w:rsid w:val="00A32313"/>
    <w:rsid w:val="00A32458"/>
    <w:rsid w:val="00A32677"/>
    <w:rsid w:val="00A3272E"/>
    <w:rsid w:val="00A3288B"/>
    <w:rsid w:val="00A32A3F"/>
    <w:rsid w:val="00A32E39"/>
    <w:rsid w:val="00A3304E"/>
    <w:rsid w:val="00A3305D"/>
    <w:rsid w:val="00A33227"/>
    <w:rsid w:val="00A33276"/>
    <w:rsid w:val="00A333C6"/>
    <w:rsid w:val="00A33400"/>
    <w:rsid w:val="00A33519"/>
    <w:rsid w:val="00A335CC"/>
    <w:rsid w:val="00A338F7"/>
    <w:rsid w:val="00A33963"/>
    <w:rsid w:val="00A33A54"/>
    <w:rsid w:val="00A33F83"/>
    <w:rsid w:val="00A3401B"/>
    <w:rsid w:val="00A340BB"/>
    <w:rsid w:val="00A34632"/>
    <w:rsid w:val="00A34840"/>
    <w:rsid w:val="00A349B6"/>
    <w:rsid w:val="00A34F69"/>
    <w:rsid w:val="00A3524E"/>
    <w:rsid w:val="00A3540E"/>
    <w:rsid w:val="00A35512"/>
    <w:rsid w:val="00A356CC"/>
    <w:rsid w:val="00A357C2"/>
    <w:rsid w:val="00A3582B"/>
    <w:rsid w:val="00A358C5"/>
    <w:rsid w:val="00A3590C"/>
    <w:rsid w:val="00A35924"/>
    <w:rsid w:val="00A3599B"/>
    <w:rsid w:val="00A35C5D"/>
    <w:rsid w:val="00A35D29"/>
    <w:rsid w:val="00A35F4A"/>
    <w:rsid w:val="00A36028"/>
    <w:rsid w:val="00A36358"/>
    <w:rsid w:val="00A364D9"/>
    <w:rsid w:val="00A36770"/>
    <w:rsid w:val="00A368BF"/>
    <w:rsid w:val="00A368CB"/>
    <w:rsid w:val="00A36B71"/>
    <w:rsid w:val="00A36E24"/>
    <w:rsid w:val="00A3703D"/>
    <w:rsid w:val="00A37051"/>
    <w:rsid w:val="00A373F2"/>
    <w:rsid w:val="00A37664"/>
    <w:rsid w:val="00A376D2"/>
    <w:rsid w:val="00A3773E"/>
    <w:rsid w:val="00A37BD9"/>
    <w:rsid w:val="00A37C71"/>
    <w:rsid w:val="00A37C84"/>
    <w:rsid w:val="00A37E33"/>
    <w:rsid w:val="00A37F42"/>
    <w:rsid w:val="00A4013D"/>
    <w:rsid w:val="00A402E1"/>
    <w:rsid w:val="00A404B8"/>
    <w:rsid w:val="00A404C2"/>
    <w:rsid w:val="00A404F2"/>
    <w:rsid w:val="00A406EC"/>
    <w:rsid w:val="00A406FD"/>
    <w:rsid w:val="00A408BA"/>
    <w:rsid w:val="00A4097C"/>
    <w:rsid w:val="00A409DE"/>
    <w:rsid w:val="00A40B59"/>
    <w:rsid w:val="00A40C4D"/>
    <w:rsid w:val="00A40C63"/>
    <w:rsid w:val="00A40DBA"/>
    <w:rsid w:val="00A41060"/>
    <w:rsid w:val="00A41116"/>
    <w:rsid w:val="00A412BC"/>
    <w:rsid w:val="00A41560"/>
    <w:rsid w:val="00A41601"/>
    <w:rsid w:val="00A4161F"/>
    <w:rsid w:val="00A41624"/>
    <w:rsid w:val="00A4169E"/>
    <w:rsid w:val="00A416C2"/>
    <w:rsid w:val="00A41703"/>
    <w:rsid w:val="00A41726"/>
    <w:rsid w:val="00A419E3"/>
    <w:rsid w:val="00A41C93"/>
    <w:rsid w:val="00A41EB5"/>
    <w:rsid w:val="00A4202E"/>
    <w:rsid w:val="00A421E4"/>
    <w:rsid w:val="00A42246"/>
    <w:rsid w:val="00A4227D"/>
    <w:rsid w:val="00A422B1"/>
    <w:rsid w:val="00A42953"/>
    <w:rsid w:val="00A42A33"/>
    <w:rsid w:val="00A42A8F"/>
    <w:rsid w:val="00A42CB8"/>
    <w:rsid w:val="00A42E8E"/>
    <w:rsid w:val="00A43256"/>
    <w:rsid w:val="00A433A6"/>
    <w:rsid w:val="00A43454"/>
    <w:rsid w:val="00A4372E"/>
    <w:rsid w:val="00A43816"/>
    <w:rsid w:val="00A43A28"/>
    <w:rsid w:val="00A43C7D"/>
    <w:rsid w:val="00A43DB3"/>
    <w:rsid w:val="00A4404C"/>
    <w:rsid w:val="00A4431C"/>
    <w:rsid w:val="00A4459B"/>
    <w:rsid w:val="00A4485E"/>
    <w:rsid w:val="00A44BD6"/>
    <w:rsid w:val="00A44C25"/>
    <w:rsid w:val="00A44D59"/>
    <w:rsid w:val="00A4503A"/>
    <w:rsid w:val="00A4507E"/>
    <w:rsid w:val="00A4527E"/>
    <w:rsid w:val="00A45309"/>
    <w:rsid w:val="00A454D1"/>
    <w:rsid w:val="00A4561C"/>
    <w:rsid w:val="00A4594B"/>
    <w:rsid w:val="00A45A3F"/>
    <w:rsid w:val="00A45B01"/>
    <w:rsid w:val="00A4600B"/>
    <w:rsid w:val="00A463C9"/>
    <w:rsid w:val="00A46527"/>
    <w:rsid w:val="00A466A4"/>
    <w:rsid w:val="00A46863"/>
    <w:rsid w:val="00A4686C"/>
    <w:rsid w:val="00A46A62"/>
    <w:rsid w:val="00A46AD3"/>
    <w:rsid w:val="00A46DCC"/>
    <w:rsid w:val="00A46DD0"/>
    <w:rsid w:val="00A46EEA"/>
    <w:rsid w:val="00A46F57"/>
    <w:rsid w:val="00A46FB3"/>
    <w:rsid w:val="00A4703D"/>
    <w:rsid w:val="00A470EF"/>
    <w:rsid w:val="00A4714D"/>
    <w:rsid w:val="00A47176"/>
    <w:rsid w:val="00A476A0"/>
    <w:rsid w:val="00A4787F"/>
    <w:rsid w:val="00A47A69"/>
    <w:rsid w:val="00A47AA9"/>
    <w:rsid w:val="00A47D81"/>
    <w:rsid w:val="00A47E06"/>
    <w:rsid w:val="00A47E88"/>
    <w:rsid w:val="00A47E89"/>
    <w:rsid w:val="00A47F43"/>
    <w:rsid w:val="00A47FC1"/>
    <w:rsid w:val="00A50296"/>
    <w:rsid w:val="00A5029D"/>
    <w:rsid w:val="00A50540"/>
    <w:rsid w:val="00A505A5"/>
    <w:rsid w:val="00A505AE"/>
    <w:rsid w:val="00A505B9"/>
    <w:rsid w:val="00A5077E"/>
    <w:rsid w:val="00A508BE"/>
    <w:rsid w:val="00A50979"/>
    <w:rsid w:val="00A50DE3"/>
    <w:rsid w:val="00A50F92"/>
    <w:rsid w:val="00A50F97"/>
    <w:rsid w:val="00A51191"/>
    <w:rsid w:val="00A51316"/>
    <w:rsid w:val="00A51416"/>
    <w:rsid w:val="00A5158F"/>
    <w:rsid w:val="00A515C5"/>
    <w:rsid w:val="00A51685"/>
    <w:rsid w:val="00A519B5"/>
    <w:rsid w:val="00A519F7"/>
    <w:rsid w:val="00A51AAD"/>
    <w:rsid w:val="00A51C04"/>
    <w:rsid w:val="00A51F96"/>
    <w:rsid w:val="00A52164"/>
    <w:rsid w:val="00A52181"/>
    <w:rsid w:val="00A5226F"/>
    <w:rsid w:val="00A5241D"/>
    <w:rsid w:val="00A52444"/>
    <w:rsid w:val="00A52738"/>
    <w:rsid w:val="00A52814"/>
    <w:rsid w:val="00A52829"/>
    <w:rsid w:val="00A5287D"/>
    <w:rsid w:val="00A5292D"/>
    <w:rsid w:val="00A52A9D"/>
    <w:rsid w:val="00A52B85"/>
    <w:rsid w:val="00A52E67"/>
    <w:rsid w:val="00A52E70"/>
    <w:rsid w:val="00A52EC9"/>
    <w:rsid w:val="00A52FC6"/>
    <w:rsid w:val="00A5303D"/>
    <w:rsid w:val="00A53198"/>
    <w:rsid w:val="00A531A6"/>
    <w:rsid w:val="00A5330B"/>
    <w:rsid w:val="00A533B4"/>
    <w:rsid w:val="00A53707"/>
    <w:rsid w:val="00A537CF"/>
    <w:rsid w:val="00A53807"/>
    <w:rsid w:val="00A538BD"/>
    <w:rsid w:val="00A53AD7"/>
    <w:rsid w:val="00A53B9F"/>
    <w:rsid w:val="00A53C05"/>
    <w:rsid w:val="00A53D32"/>
    <w:rsid w:val="00A53D9B"/>
    <w:rsid w:val="00A53F76"/>
    <w:rsid w:val="00A53F92"/>
    <w:rsid w:val="00A54010"/>
    <w:rsid w:val="00A54103"/>
    <w:rsid w:val="00A5417A"/>
    <w:rsid w:val="00A54253"/>
    <w:rsid w:val="00A5443D"/>
    <w:rsid w:val="00A544D5"/>
    <w:rsid w:val="00A5459B"/>
    <w:rsid w:val="00A5486F"/>
    <w:rsid w:val="00A549B5"/>
    <w:rsid w:val="00A549D0"/>
    <w:rsid w:val="00A54A18"/>
    <w:rsid w:val="00A54A1F"/>
    <w:rsid w:val="00A54DBD"/>
    <w:rsid w:val="00A54DE1"/>
    <w:rsid w:val="00A54DE7"/>
    <w:rsid w:val="00A54FEF"/>
    <w:rsid w:val="00A5527D"/>
    <w:rsid w:val="00A555E3"/>
    <w:rsid w:val="00A55787"/>
    <w:rsid w:val="00A55885"/>
    <w:rsid w:val="00A55D21"/>
    <w:rsid w:val="00A55D81"/>
    <w:rsid w:val="00A55E72"/>
    <w:rsid w:val="00A560F0"/>
    <w:rsid w:val="00A56176"/>
    <w:rsid w:val="00A562AA"/>
    <w:rsid w:val="00A565CE"/>
    <w:rsid w:val="00A56870"/>
    <w:rsid w:val="00A56906"/>
    <w:rsid w:val="00A56A19"/>
    <w:rsid w:val="00A56F0F"/>
    <w:rsid w:val="00A56F35"/>
    <w:rsid w:val="00A56FAF"/>
    <w:rsid w:val="00A56FF6"/>
    <w:rsid w:val="00A5703C"/>
    <w:rsid w:val="00A5722A"/>
    <w:rsid w:val="00A57367"/>
    <w:rsid w:val="00A57605"/>
    <w:rsid w:val="00A57655"/>
    <w:rsid w:val="00A576FC"/>
    <w:rsid w:val="00A57A03"/>
    <w:rsid w:val="00A57A40"/>
    <w:rsid w:val="00A57AF3"/>
    <w:rsid w:val="00A57BBE"/>
    <w:rsid w:val="00A57BDE"/>
    <w:rsid w:val="00A57CD7"/>
    <w:rsid w:val="00A57D56"/>
    <w:rsid w:val="00A603F5"/>
    <w:rsid w:val="00A60472"/>
    <w:rsid w:val="00A604EC"/>
    <w:rsid w:val="00A605D0"/>
    <w:rsid w:val="00A609E9"/>
    <w:rsid w:val="00A60B0F"/>
    <w:rsid w:val="00A61033"/>
    <w:rsid w:val="00A61057"/>
    <w:rsid w:val="00A610B4"/>
    <w:rsid w:val="00A610D8"/>
    <w:rsid w:val="00A61120"/>
    <w:rsid w:val="00A613DF"/>
    <w:rsid w:val="00A614E5"/>
    <w:rsid w:val="00A615D3"/>
    <w:rsid w:val="00A61728"/>
    <w:rsid w:val="00A61960"/>
    <w:rsid w:val="00A61A2A"/>
    <w:rsid w:val="00A61A2E"/>
    <w:rsid w:val="00A61A84"/>
    <w:rsid w:val="00A61DF4"/>
    <w:rsid w:val="00A62235"/>
    <w:rsid w:val="00A62738"/>
    <w:rsid w:val="00A629F4"/>
    <w:rsid w:val="00A62A46"/>
    <w:rsid w:val="00A62A89"/>
    <w:rsid w:val="00A62D62"/>
    <w:rsid w:val="00A62E37"/>
    <w:rsid w:val="00A62F9F"/>
    <w:rsid w:val="00A6322B"/>
    <w:rsid w:val="00A633DE"/>
    <w:rsid w:val="00A6380A"/>
    <w:rsid w:val="00A6396D"/>
    <w:rsid w:val="00A63CF0"/>
    <w:rsid w:val="00A63DFC"/>
    <w:rsid w:val="00A63E68"/>
    <w:rsid w:val="00A642D4"/>
    <w:rsid w:val="00A644AF"/>
    <w:rsid w:val="00A645F8"/>
    <w:rsid w:val="00A6467C"/>
    <w:rsid w:val="00A647D2"/>
    <w:rsid w:val="00A649D8"/>
    <w:rsid w:val="00A649FF"/>
    <w:rsid w:val="00A64DA4"/>
    <w:rsid w:val="00A64E11"/>
    <w:rsid w:val="00A65064"/>
    <w:rsid w:val="00A653BD"/>
    <w:rsid w:val="00A65638"/>
    <w:rsid w:val="00A65A74"/>
    <w:rsid w:val="00A65D68"/>
    <w:rsid w:val="00A65EC9"/>
    <w:rsid w:val="00A65F63"/>
    <w:rsid w:val="00A661B0"/>
    <w:rsid w:val="00A66200"/>
    <w:rsid w:val="00A6641F"/>
    <w:rsid w:val="00A6664A"/>
    <w:rsid w:val="00A6683B"/>
    <w:rsid w:val="00A66BFF"/>
    <w:rsid w:val="00A66EA9"/>
    <w:rsid w:val="00A66FFC"/>
    <w:rsid w:val="00A6703C"/>
    <w:rsid w:val="00A674B6"/>
    <w:rsid w:val="00A676BE"/>
    <w:rsid w:val="00A67C62"/>
    <w:rsid w:val="00A67DB5"/>
    <w:rsid w:val="00A7003A"/>
    <w:rsid w:val="00A70145"/>
    <w:rsid w:val="00A70282"/>
    <w:rsid w:val="00A707D2"/>
    <w:rsid w:val="00A708E0"/>
    <w:rsid w:val="00A70965"/>
    <w:rsid w:val="00A7099E"/>
    <w:rsid w:val="00A70C19"/>
    <w:rsid w:val="00A70D11"/>
    <w:rsid w:val="00A70DC4"/>
    <w:rsid w:val="00A70E38"/>
    <w:rsid w:val="00A71106"/>
    <w:rsid w:val="00A711DC"/>
    <w:rsid w:val="00A71342"/>
    <w:rsid w:val="00A7137A"/>
    <w:rsid w:val="00A71876"/>
    <w:rsid w:val="00A71942"/>
    <w:rsid w:val="00A71C00"/>
    <w:rsid w:val="00A71D68"/>
    <w:rsid w:val="00A71E00"/>
    <w:rsid w:val="00A71F3C"/>
    <w:rsid w:val="00A71FF1"/>
    <w:rsid w:val="00A721B8"/>
    <w:rsid w:val="00A72444"/>
    <w:rsid w:val="00A724B8"/>
    <w:rsid w:val="00A725A0"/>
    <w:rsid w:val="00A72775"/>
    <w:rsid w:val="00A727C9"/>
    <w:rsid w:val="00A72893"/>
    <w:rsid w:val="00A7296E"/>
    <w:rsid w:val="00A72B8E"/>
    <w:rsid w:val="00A72F77"/>
    <w:rsid w:val="00A73050"/>
    <w:rsid w:val="00A73160"/>
    <w:rsid w:val="00A7325A"/>
    <w:rsid w:val="00A73275"/>
    <w:rsid w:val="00A7330F"/>
    <w:rsid w:val="00A734C2"/>
    <w:rsid w:val="00A737CB"/>
    <w:rsid w:val="00A73885"/>
    <w:rsid w:val="00A73999"/>
    <w:rsid w:val="00A73A84"/>
    <w:rsid w:val="00A73AC2"/>
    <w:rsid w:val="00A743E9"/>
    <w:rsid w:val="00A74474"/>
    <w:rsid w:val="00A74888"/>
    <w:rsid w:val="00A749EA"/>
    <w:rsid w:val="00A74A0C"/>
    <w:rsid w:val="00A74CAA"/>
    <w:rsid w:val="00A74DEC"/>
    <w:rsid w:val="00A74F6C"/>
    <w:rsid w:val="00A74F81"/>
    <w:rsid w:val="00A7521F"/>
    <w:rsid w:val="00A754FD"/>
    <w:rsid w:val="00A755CB"/>
    <w:rsid w:val="00A757D4"/>
    <w:rsid w:val="00A75801"/>
    <w:rsid w:val="00A75C71"/>
    <w:rsid w:val="00A75D89"/>
    <w:rsid w:val="00A75DDF"/>
    <w:rsid w:val="00A75FB8"/>
    <w:rsid w:val="00A76349"/>
    <w:rsid w:val="00A76553"/>
    <w:rsid w:val="00A76925"/>
    <w:rsid w:val="00A769BB"/>
    <w:rsid w:val="00A76A2E"/>
    <w:rsid w:val="00A76F92"/>
    <w:rsid w:val="00A77375"/>
    <w:rsid w:val="00A773AA"/>
    <w:rsid w:val="00A7741B"/>
    <w:rsid w:val="00A7764A"/>
    <w:rsid w:val="00A776AD"/>
    <w:rsid w:val="00A776CC"/>
    <w:rsid w:val="00A776E9"/>
    <w:rsid w:val="00A7773A"/>
    <w:rsid w:val="00A7778F"/>
    <w:rsid w:val="00A77921"/>
    <w:rsid w:val="00A77B6E"/>
    <w:rsid w:val="00A77D79"/>
    <w:rsid w:val="00A77E6C"/>
    <w:rsid w:val="00A8001A"/>
    <w:rsid w:val="00A80069"/>
    <w:rsid w:val="00A80083"/>
    <w:rsid w:val="00A802A4"/>
    <w:rsid w:val="00A805A1"/>
    <w:rsid w:val="00A80924"/>
    <w:rsid w:val="00A80946"/>
    <w:rsid w:val="00A80E38"/>
    <w:rsid w:val="00A80E88"/>
    <w:rsid w:val="00A80F11"/>
    <w:rsid w:val="00A81050"/>
    <w:rsid w:val="00A81088"/>
    <w:rsid w:val="00A8192C"/>
    <w:rsid w:val="00A81A79"/>
    <w:rsid w:val="00A81AC6"/>
    <w:rsid w:val="00A81C95"/>
    <w:rsid w:val="00A81E85"/>
    <w:rsid w:val="00A81FA6"/>
    <w:rsid w:val="00A8204B"/>
    <w:rsid w:val="00A82243"/>
    <w:rsid w:val="00A82526"/>
    <w:rsid w:val="00A8259B"/>
    <w:rsid w:val="00A82649"/>
    <w:rsid w:val="00A827F4"/>
    <w:rsid w:val="00A828B3"/>
    <w:rsid w:val="00A828BE"/>
    <w:rsid w:val="00A829C7"/>
    <w:rsid w:val="00A82A7C"/>
    <w:rsid w:val="00A82E10"/>
    <w:rsid w:val="00A82E4C"/>
    <w:rsid w:val="00A82EC5"/>
    <w:rsid w:val="00A82F30"/>
    <w:rsid w:val="00A82F9E"/>
    <w:rsid w:val="00A83100"/>
    <w:rsid w:val="00A83207"/>
    <w:rsid w:val="00A83428"/>
    <w:rsid w:val="00A83591"/>
    <w:rsid w:val="00A83785"/>
    <w:rsid w:val="00A838AA"/>
    <w:rsid w:val="00A838B2"/>
    <w:rsid w:val="00A838D3"/>
    <w:rsid w:val="00A838E0"/>
    <w:rsid w:val="00A838E6"/>
    <w:rsid w:val="00A83D74"/>
    <w:rsid w:val="00A83E4E"/>
    <w:rsid w:val="00A84097"/>
    <w:rsid w:val="00A841D8"/>
    <w:rsid w:val="00A841D9"/>
    <w:rsid w:val="00A844CF"/>
    <w:rsid w:val="00A845BA"/>
    <w:rsid w:val="00A8484E"/>
    <w:rsid w:val="00A84A8F"/>
    <w:rsid w:val="00A84D23"/>
    <w:rsid w:val="00A84D37"/>
    <w:rsid w:val="00A84E91"/>
    <w:rsid w:val="00A85026"/>
    <w:rsid w:val="00A850D6"/>
    <w:rsid w:val="00A8519E"/>
    <w:rsid w:val="00A85213"/>
    <w:rsid w:val="00A8547A"/>
    <w:rsid w:val="00A857C7"/>
    <w:rsid w:val="00A85B23"/>
    <w:rsid w:val="00A85C6F"/>
    <w:rsid w:val="00A85D3F"/>
    <w:rsid w:val="00A85EF7"/>
    <w:rsid w:val="00A85FC3"/>
    <w:rsid w:val="00A86068"/>
    <w:rsid w:val="00A8629E"/>
    <w:rsid w:val="00A86620"/>
    <w:rsid w:val="00A86679"/>
    <w:rsid w:val="00A86779"/>
    <w:rsid w:val="00A867BD"/>
    <w:rsid w:val="00A867E6"/>
    <w:rsid w:val="00A86A0D"/>
    <w:rsid w:val="00A87154"/>
    <w:rsid w:val="00A8719B"/>
    <w:rsid w:val="00A8724D"/>
    <w:rsid w:val="00A872E0"/>
    <w:rsid w:val="00A872EA"/>
    <w:rsid w:val="00A87A08"/>
    <w:rsid w:val="00A87C37"/>
    <w:rsid w:val="00A87E2E"/>
    <w:rsid w:val="00A87F0D"/>
    <w:rsid w:val="00A90038"/>
    <w:rsid w:val="00A90403"/>
    <w:rsid w:val="00A9041B"/>
    <w:rsid w:val="00A90445"/>
    <w:rsid w:val="00A904E0"/>
    <w:rsid w:val="00A9053A"/>
    <w:rsid w:val="00A90567"/>
    <w:rsid w:val="00A9074E"/>
    <w:rsid w:val="00A90780"/>
    <w:rsid w:val="00A907B8"/>
    <w:rsid w:val="00A90896"/>
    <w:rsid w:val="00A90B12"/>
    <w:rsid w:val="00A90D02"/>
    <w:rsid w:val="00A90ED0"/>
    <w:rsid w:val="00A90F65"/>
    <w:rsid w:val="00A90F7B"/>
    <w:rsid w:val="00A91066"/>
    <w:rsid w:val="00A910C1"/>
    <w:rsid w:val="00A910EB"/>
    <w:rsid w:val="00A911D1"/>
    <w:rsid w:val="00A914A3"/>
    <w:rsid w:val="00A91586"/>
    <w:rsid w:val="00A915A7"/>
    <w:rsid w:val="00A91740"/>
    <w:rsid w:val="00A91A46"/>
    <w:rsid w:val="00A91CBF"/>
    <w:rsid w:val="00A9200A"/>
    <w:rsid w:val="00A9259C"/>
    <w:rsid w:val="00A925A3"/>
    <w:rsid w:val="00A927EE"/>
    <w:rsid w:val="00A9288A"/>
    <w:rsid w:val="00A9296A"/>
    <w:rsid w:val="00A929D0"/>
    <w:rsid w:val="00A92BBA"/>
    <w:rsid w:val="00A92C8F"/>
    <w:rsid w:val="00A92DD2"/>
    <w:rsid w:val="00A92E08"/>
    <w:rsid w:val="00A9327C"/>
    <w:rsid w:val="00A933B0"/>
    <w:rsid w:val="00A933CC"/>
    <w:rsid w:val="00A93689"/>
    <w:rsid w:val="00A93809"/>
    <w:rsid w:val="00A93833"/>
    <w:rsid w:val="00A938C6"/>
    <w:rsid w:val="00A939C4"/>
    <w:rsid w:val="00A93BCE"/>
    <w:rsid w:val="00A93BFE"/>
    <w:rsid w:val="00A93FEE"/>
    <w:rsid w:val="00A94070"/>
    <w:rsid w:val="00A9411C"/>
    <w:rsid w:val="00A9411E"/>
    <w:rsid w:val="00A94252"/>
    <w:rsid w:val="00A942CE"/>
    <w:rsid w:val="00A94383"/>
    <w:rsid w:val="00A94632"/>
    <w:rsid w:val="00A9466A"/>
    <w:rsid w:val="00A94AAC"/>
    <w:rsid w:val="00A94BE5"/>
    <w:rsid w:val="00A94C6D"/>
    <w:rsid w:val="00A94D6B"/>
    <w:rsid w:val="00A94F79"/>
    <w:rsid w:val="00A95092"/>
    <w:rsid w:val="00A95289"/>
    <w:rsid w:val="00A9530B"/>
    <w:rsid w:val="00A953D3"/>
    <w:rsid w:val="00A9542A"/>
    <w:rsid w:val="00A9560E"/>
    <w:rsid w:val="00A956CD"/>
    <w:rsid w:val="00A957FF"/>
    <w:rsid w:val="00A958D2"/>
    <w:rsid w:val="00A95AF7"/>
    <w:rsid w:val="00A95C6D"/>
    <w:rsid w:val="00A95CBB"/>
    <w:rsid w:val="00A95CF8"/>
    <w:rsid w:val="00A95D31"/>
    <w:rsid w:val="00A95EFF"/>
    <w:rsid w:val="00A96030"/>
    <w:rsid w:val="00A961D2"/>
    <w:rsid w:val="00A964BB"/>
    <w:rsid w:val="00A964DC"/>
    <w:rsid w:val="00A964F5"/>
    <w:rsid w:val="00A96863"/>
    <w:rsid w:val="00A96937"/>
    <w:rsid w:val="00A969E2"/>
    <w:rsid w:val="00A96D9F"/>
    <w:rsid w:val="00A96E4B"/>
    <w:rsid w:val="00A97265"/>
    <w:rsid w:val="00A972D1"/>
    <w:rsid w:val="00A9748B"/>
    <w:rsid w:val="00A9761E"/>
    <w:rsid w:val="00A97740"/>
    <w:rsid w:val="00A97742"/>
    <w:rsid w:val="00A97781"/>
    <w:rsid w:val="00A977A9"/>
    <w:rsid w:val="00A977CD"/>
    <w:rsid w:val="00A9790B"/>
    <w:rsid w:val="00A97955"/>
    <w:rsid w:val="00A97995"/>
    <w:rsid w:val="00A97A24"/>
    <w:rsid w:val="00A97B67"/>
    <w:rsid w:val="00A97D34"/>
    <w:rsid w:val="00A97DD0"/>
    <w:rsid w:val="00A97DF9"/>
    <w:rsid w:val="00AA0122"/>
    <w:rsid w:val="00AA0160"/>
    <w:rsid w:val="00AA0182"/>
    <w:rsid w:val="00AA0196"/>
    <w:rsid w:val="00AA06D8"/>
    <w:rsid w:val="00AA0850"/>
    <w:rsid w:val="00AA0B0A"/>
    <w:rsid w:val="00AA0D36"/>
    <w:rsid w:val="00AA10E0"/>
    <w:rsid w:val="00AA142E"/>
    <w:rsid w:val="00AA1475"/>
    <w:rsid w:val="00AA14C8"/>
    <w:rsid w:val="00AA16A0"/>
    <w:rsid w:val="00AA1825"/>
    <w:rsid w:val="00AA1AC0"/>
    <w:rsid w:val="00AA1BCE"/>
    <w:rsid w:val="00AA1CB2"/>
    <w:rsid w:val="00AA1E30"/>
    <w:rsid w:val="00AA1E66"/>
    <w:rsid w:val="00AA2107"/>
    <w:rsid w:val="00AA225F"/>
    <w:rsid w:val="00AA252D"/>
    <w:rsid w:val="00AA262C"/>
    <w:rsid w:val="00AA26E6"/>
    <w:rsid w:val="00AA2A1A"/>
    <w:rsid w:val="00AA2C20"/>
    <w:rsid w:val="00AA2E75"/>
    <w:rsid w:val="00AA3034"/>
    <w:rsid w:val="00AA3137"/>
    <w:rsid w:val="00AA31AC"/>
    <w:rsid w:val="00AA3347"/>
    <w:rsid w:val="00AA3457"/>
    <w:rsid w:val="00AA36C4"/>
    <w:rsid w:val="00AA376E"/>
    <w:rsid w:val="00AA3B34"/>
    <w:rsid w:val="00AA3C76"/>
    <w:rsid w:val="00AA3CDC"/>
    <w:rsid w:val="00AA3DBF"/>
    <w:rsid w:val="00AA3DC4"/>
    <w:rsid w:val="00AA3E46"/>
    <w:rsid w:val="00AA3E85"/>
    <w:rsid w:val="00AA41A6"/>
    <w:rsid w:val="00AA41B6"/>
    <w:rsid w:val="00AA4320"/>
    <w:rsid w:val="00AA4357"/>
    <w:rsid w:val="00AA4410"/>
    <w:rsid w:val="00AA441C"/>
    <w:rsid w:val="00AA456F"/>
    <w:rsid w:val="00AA473C"/>
    <w:rsid w:val="00AA487D"/>
    <w:rsid w:val="00AA49B0"/>
    <w:rsid w:val="00AA4A2B"/>
    <w:rsid w:val="00AA4B00"/>
    <w:rsid w:val="00AA4B14"/>
    <w:rsid w:val="00AA4C19"/>
    <w:rsid w:val="00AA4C2F"/>
    <w:rsid w:val="00AA4EE0"/>
    <w:rsid w:val="00AA4FCB"/>
    <w:rsid w:val="00AA518F"/>
    <w:rsid w:val="00AA51A7"/>
    <w:rsid w:val="00AA51B2"/>
    <w:rsid w:val="00AA54CA"/>
    <w:rsid w:val="00AA560A"/>
    <w:rsid w:val="00AA56FB"/>
    <w:rsid w:val="00AA5971"/>
    <w:rsid w:val="00AA5ACF"/>
    <w:rsid w:val="00AA5B49"/>
    <w:rsid w:val="00AA5B60"/>
    <w:rsid w:val="00AA5B9A"/>
    <w:rsid w:val="00AA5F13"/>
    <w:rsid w:val="00AA625A"/>
    <w:rsid w:val="00AA637C"/>
    <w:rsid w:val="00AA66A6"/>
    <w:rsid w:val="00AA6722"/>
    <w:rsid w:val="00AA6957"/>
    <w:rsid w:val="00AA6AA0"/>
    <w:rsid w:val="00AA6AD4"/>
    <w:rsid w:val="00AA6CF9"/>
    <w:rsid w:val="00AA714B"/>
    <w:rsid w:val="00AA7328"/>
    <w:rsid w:val="00AA7EC4"/>
    <w:rsid w:val="00AA7ED5"/>
    <w:rsid w:val="00AA7FF0"/>
    <w:rsid w:val="00AB0097"/>
    <w:rsid w:val="00AB00A0"/>
    <w:rsid w:val="00AB06B1"/>
    <w:rsid w:val="00AB0973"/>
    <w:rsid w:val="00AB097B"/>
    <w:rsid w:val="00AB09BD"/>
    <w:rsid w:val="00AB0A21"/>
    <w:rsid w:val="00AB0BB1"/>
    <w:rsid w:val="00AB0ED2"/>
    <w:rsid w:val="00AB0F68"/>
    <w:rsid w:val="00AB0F80"/>
    <w:rsid w:val="00AB1199"/>
    <w:rsid w:val="00AB1396"/>
    <w:rsid w:val="00AB17E0"/>
    <w:rsid w:val="00AB1A3E"/>
    <w:rsid w:val="00AB1CEF"/>
    <w:rsid w:val="00AB1CFB"/>
    <w:rsid w:val="00AB1EE9"/>
    <w:rsid w:val="00AB212E"/>
    <w:rsid w:val="00AB2348"/>
    <w:rsid w:val="00AB29A7"/>
    <w:rsid w:val="00AB2A50"/>
    <w:rsid w:val="00AB2D50"/>
    <w:rsid w:val="00AB2D9F"/>
    <w:rsid w:val="00AB31DD"/>
    <w:rsid w:val="00AB3708"/>
    <w:rsid w:val="00AB3785"/>
    <w:rsid w:val="00AB3792"/>
    <w:rsid w:val="00AB37A9"/>
    <w:rsid w:val="00AB38E0"/>
    <w:rsid w:val="00AB3B85"/>
    <w:rsid w:val="00AB3D08"/>
    <w:rsid w:val="00AB3D23"/>
    <w:rsid w:val="00AB3F51"/>
    <w:rsid w:val="00AB3FB8"/>
    <w:rsid w:val="00AB40D0"/>
    <w:rsid w:val="00AB4411"/>
    <w:rsid w:val="00AB445E"/>
    <w:rsid w:val="00AB44DE"/>
    <w:rsid w:val="00AB45EF"/>
    <w:rsid w:val="00AB4A5E"/>
    <w:rsid w:val="00AB4E38"/>
    <w:rsid w:val="00AB4EED"/>
    <w:rsid w:val="00AB519C"/>
    <w:rsid w:val="00AB52D1"/>
    <w:rsid w:val="00AB533F"/>
    <w:rsid w:val="00AB5373"/>
    <w:rsid w:val="00AB54A9"/>
    <w:rsid w:val="00AB5589"/>
    <w:rsid w:val="00AB55B8"/>
    <w:rsid w:val="00AB5665"/>
    <w:rsid w:val="00AB5827"/>
    <w:rsid w:val="00AB590F"/>
    <w:rsid w:val="00AB5A80"/>
    <w:rsid w:val="00AB5BEE"/>
    <w:rsid w:val="00AB5CEF"/>
    <w:rsid w:val="00AB5D2D"/>
    <w:rsid w:val="00AB5D9C"/>
    <w:rsid w:val="00AB5DEE"/>
    <w:rsid w:val="00AB5E74"/>
    <w:rsid w:val="00AB5EB0"/>
    <w:rsid w:val="00AB5F60"/>
    <w:rsid w:val="00AB5FC7"/>
    <w:rsid w:val="00AB6127"/>
    <w:rsid w:val="00AB64B9"/>
    <w:rsid w:val="00AB64DD"/>
    <w:rsid w:val="00AB6745"/>
    <w:rsid w:val="00AB6870"/>
    <w:rsid w:val="00AB68E5"/>
    <w:rsid w:val="00AB6A5B"/>
    <w:rsid w:val="00AB6AAF"/>
    <w:rsid w:val="00AB6C78"/>
    <w:rsid w:val="00AB6DFE"/>
    <w:rsid w:val="00AB7225"/>
    <w:rsid w:val="00AB72EE"/>
    <w:rsid w:val="00AB74E9"/>
    <w:rsid w:val="00AB74FD"/>
    <w:rsid w:val="00AB7600"/>
    <w:rsid w:val="00AB7601"/>
    <w:rsid w:val="00AB7AF0"/>
    <w:rsid w:val="00AB7B56"/>
    <w:rsid w:val="00AB7DBF"/>
    <w:rsid w:val="00AB7DF6"/>
    <w:rsid w:val="00AC0128"/>
    <w:rsid w:val="00AC012E"/>
    <w:rsid w:val="00AC0623"/>
    <w:rsid w:val="00AC06C3"/>
    <w:rsid w:val="00AC0733"/>
    <w:rsid w:val="00AC0856"/>
    <w:rsid w:val="00AC08E8"/>
    <w:rsid w:val="00AC08F4"/>
    <w:rsid w:val="00AC0D21"/>
    <w:rsid w:val="00AC151F"/>
    <w:rsid w:val="00AC15DB"/>
    <w:rsid w:val="00AC1A8E"/>
    <w:rsid w:val="00AC1C04"/>
    <w:rsid w:val="00AC1EFA"/>
    <w:rsid w:val="00AC2CD2"/>
    <w:rsid w:val="00AC2D05"/>
    <w:rsid w:val="00AC2EA1"/>
    <w:rsid w:val="00AC32B4"/>
    <w:rsid w:val="00AC33CD"/>
    <w:rsid w:val="00AC347E"/>
    <w:rsid w:val="00AC357F"/>
    <w:rsid w:val="00AC35B4"/>
    <w:rsid w:val="00AC3717"/>
    <w:rsid w:val="00AC3747"/>
    <w:rsid w:val="00AC3926"/>
    <w:rsid w:val="00AC3B2D"/>
    <w:rsid w:val="00AC3C9B"/>
    <w:rsid w:val="00AC3D3E"/>
    <w:rsid w:val="00AC4254"/>
    <w:rsid w:val="00AC442F"/>
    <w:rsid w:val="00AC4517"/>
    <w:rsid w:val="00AC45ED"/>
    <w:rsid w:val="00AC4743"/>
    <w:rsid w:val="00AC47BD"/>
    <w:rsid w:val="00AC483F"/>
    <w:rsid w:val="00AC4A63"/>
    <w:rsid w:val="00AC4D77"/>
    <w:rsid w:val="00AC50E1"/>
    <w:rsid w:val="00AC50FE"/>
    <w:rsid w:val="00AC51A8"/>
    <w:rsid w:val="00AC5205"/>
    <w:rsid w:val="00AC576C"/>
    <w:rsid w:val="00AC5C8D"/>
    <w:rsid w:val="00AC5DD2"/>
    <w:rsid w:val="00AC5E0A"/>
    <w:rsid w:val="00AC5EA6"/>
    <w:rsid w:val="00AC5ED6"/>
    <w:rsid w:val="00AC5EF7"/>
    <w:rsid w:val="00AC5F2A"/>
    <w:rsid w:val="00AC6125"/>
    <w:rsid w:val="00AC6129"/>
    <w:rsid w:val="00AC61C5"/>
    <w:rsid w:val="00AC624B"/>
    <w:rsid w:val="00AC62EA"/>
    <w:rsid w:val="00AC636D"/>
    <w:rsid w:val="00AC658D"/>
    <w:rsid w:val="00AC66E1"/>
    <w:rsid w:val="00AC6AE9"/>
    <w:rsid w:val="00AC6C99"/>
    <w:rsid w:val="00AC6EA8"/>
    <w:rsid w:val="00AC7030"/>
    <w:rsid w:val="00AC71A1"/>
    <w:rsid w:val="00AC7268"/>
    <w:rsid w:val="00AC72B4"/>
    <w:rsid w:val="00AC72DD"/>
    <w:rsid w:val="00AC742B"/>
    <w:rsid w:val="00AC7516"/>
    <w:rsid w:val="00AC75F2"/>
    <w:rsid w:val="00AC778D"/>
    <w:rsid w:val="00AC784C"/>
    <w:rsid w:val="00AC7935"/>
    <w:rsid w:val="00AC7997"/>
    <w:rsid w:val="00AC7A8B"/>
    <w:rsid w:val="00AC7B48"/>
    <w:rsid w:val="00AC7BD3"/>
    <w:rsid w:val="00AC7F46"/>
    <w:rsid w:val="00AD0107"/>
    <w:rsid w:val="00AD0208"/>
    <w:rsid w:val="00AD020B"/>
    <w:rsid w:val="00AD023A"/>
    <w:rsid w:val="00AD0308"/>
    <w:rsid w:val="00AD0461"/>
    <w:rsid w:val="00AD0554"/>
    <w:rsid w:val="00AD0662"/>
    <w:rsid w:val="00AD06C3"/>
    <w:rsid w:val="00AD0839"/>
    <w:rsid w:val="00AD09AE"/>
    <w:rsid w:val="00AD09ED"/>
    <w:rsid w:val="00AD0AF4"/>
    <w:rsid w:val="00AD0DB2"/>
    <w:rsid w:val="00AD0EC7"/>
    <w:rsid w:val="00AD10AC"/>
    <w:rsid w:val="00AD10D2"/>
    <w:rsid w:val="00AD126C"/>
    <w:rsid w:val="00AD1286"/>
    <w:rsid w:val="00AD13F8"/>
    <w:rsid w:val="00AD1427"/>
    <w:rsid w:val="00AD14BC"/>
    <w:rsid w:val="00AD1655"/>
    <w:rsid w:val="00AD1734"/>
    <w:rsid w:val="00AD1816"/>
    <w:rsid w:val="00AD1C87"/>
    <w:rsid w:val="00AD1E61"/>
    <w:rsid w:val="00AD205D"/>
    <w:rsid w:val="00AD2192"/>
    <w:rsid w:val="00AD231C"/>
    <w:rsid w:val="00AD23A9"/>
    <w:rsid w:val="00AD250E"/>
    <w:rsid w:val="00AD25DF"/>
    <w:rsid w:val="00AD25F1"/>
    <w:rsid w:val="00AD262D"/>
    <w:rsid w:val="00AD265A"/>
    <w:rsid w:val="00AD2690"/>
    <w:rsid w:val="00AD274E"/>
    <w:rsid w:val="00AD29D8"/>
    <w:rsid w:val="00AD2AAC"/>
    <w:rsid w:val="00AD2AE4"/>
    <w:rsid w:val="00AD2BE8"/>
    <w:rsid w:val="00AD2D25"/>
    <w:rsid w:val="00AD2DB9"/>
    <w:rsid w:val="00AD2DC3"/>
    <w:rsid w:val="00AD2E85"/>
    <w:rsid w:val="00AD3386"/>
    <w:rsid w:val="00AD33FD"/>
    <w:rsid w:val="00AD36BF"/>
    <w:rsid w:val="00AD3985"/>
    <w:rsid w:val="00AD3C2C"/>
    <w:rsid w:val="00AD43EB"/>
    <w:rsid w:val="00AD453C"/>
    <w:rsid w:val="00AD4B0B"/>
    <w:rsid w:val="00AD537B"/>
    <w:rsid w:val="00AD543C"/>
    <w:rsid w:val="00AD55ED"/>
    <w:rsid w:val="00AD5792"/>
    <w:rsid w:val="00AD58A7"/>
    <w:rsid w:val="00AD59B7"/>
    <w:rsid w:val="00AD5A4F"/>
    <w:rsid w:val="00AD5CAA"/>
    <w:rsid w:val="00AD5DEE"/>
    <w:rsid w:val="00AD5E97"/>
    <w:rsid w:val="00AD5EA7"/>
    <w:rsid w:val="00AD5FAD"/>
    <w:rsid w:val="00AD5FDA"/>
    <w:rsid w:val="00AD627C"/>
    <w:rsid w:val="00AD6398"/>
    <w:rsid w:val="00AD6623"/>
    <w:rsid w:val="00AD67CA"/>
    <w:rsid w:val="00AD6AF1"/>
    <w:rsid w:val="00AD6B7A"/>
    <w:rsid w:val="00AD7068"/>
    <w:rsid w:val="00AD7073"/>
    <w:rsid w:val="00AD7274"/>
    <w:rsid w:val="00AD781F"/>
    <w:rsid w:val="00AD791F"/>
    <w:rsid w:val="00AD7ACA"/>
    <w:rsid w:val="00AD7C44"/>
    <w:rsid w:val="00AD7CE0"/>
    <w:rsid w:val="00AD7D4B"/>
    <w:rsid w:val="00AD7E10"/>
    <w:rsid w:val="00AD7FF3"/>
    <w:rsid w:val="00AE0465"/>
    <w:rsid w:val="00AE04C6"/>
    <w:rsid w:val="00AE050C"/>
    <w:rsid w:val="00AE0638"/>
    <w:rsid w:val="00AE0765"/>
    <w:rsid w:val="00AE08B0"/>
    <w:rsid w:val="00AE0A53"/>
    <w:rsid w:val="00AE0DE7"/>
    <w:rsid w:val="00AE0E2D"/>
    <w:rsid w:val="00AE0E75"/>
    <w:rsid w:val="00AE0F5C"/>
    <w:rsid w:val="00AE1038"/>
    <w:rsid w:val="00AE110E"/>
    <w:rsid w:val="00AE11A6"/>
    <w:rsid w:val="00AE135F"/>
    <w:rsid w:val="00AE13C7"/>
    <w:rsid w:val="00AE14A4"/>
    <w:rsid w:val="00AE1572"/>
    <w:rsid w:val="00AE16C3"/>
    <w:rsid w:val="00AE1913"/>
    <w:rsid w:val="00AE19F0"/>
    <w:rsid w:val="00AE1F7D"/>
    <w:rsid w:val="00AE202E"/>
    <w:rsid w:val="00AE2065"/>
    <w:rsid w:val="00AE2328"/>
    <w:rsid w:val="00AE23D0"/>
    <w:rsid w:val="00AE2516"/>
    <w:rsid w:val="00AE2873"/>
    <w:rsid w:val="00AE2A4D"/>
    <w:rsid w:val="00AE2A68"/>
    <w:rsid w:val="00AE2C87"/>
    <w:rsid w:val="00AE2FC5"/>
    <w:rsid w:val="00AE31D3"/>
    <w:rsid w:val="00AE325F"/>
    <w:rsid w:val="00AE329A"/>
    <w:rsid w:val="00AE3488"/>
    <w:rsid w:val="00AE35B1"/>
    <w:rsid w:val="00AE377C"/>
    <w:rsid w:val="00AE3ABC"/>
    <w:rsid w:val="00AE3C74"/>
    <w:rsid w:val="00AE402A"/>
    <w:rsid w:val="00AE4375"/>
    <w:rsid w:val="00AE43F9"/>
    <w:rsid w:val="00AE457E"/>
    <w:rsid w:val="00AE45A8"/>
    <w:rsid w:val="00AE4C9E"/>
    <w:rsid w:val="00AE4FD2"/>
    <w:rsid w:val="00AE4FD4"/>
    <w:rsid w:val="00AE500A"/>
    <w:rsid w:val="00AE51A4"/>
    <w:rsid w:val="00AE52B2"/>
    <w:rsid w:val="00AE53EF"/>
    <w:rsid w:val="00AE5432"/>
    <w:rsid w:val="00AE5458"/>
    <w:rsid w:val="00AE5650"/>
    <w:rsid w:val="00AE5855"/>
    <w:rsid w:val="00AE586F"/>
    <w:rsid w:val="00AE5918"/>
    <w:rsid w:val="00AE5AEF"/>
    <w:rsid w:val="00AE5B0E"/>
    <w:rsid w:val="00AE5B39"/>
    <w:rsid w:val="00AE5B3F"/>
    <w:rsid w:val="00AE5B98"/>
    <w:rsid w:val="00AE5C85"/>
    <w:rsid w:val="00AE5E91"/>
    <w:rsid w:val="00AE60C9"/>
    <w:rsid w:val="00AE60DE"/>
    <w:rsid w:val="00AE6201"/>
    <w:rsid w:val="00AE630B"/>
    <w:rsid w:val="00AE671A"/>
    <w:rsid w:val="00AE68D0"/>
    <w:rsid w:val="00AE68E1"/>
    <w:rsid w:val="00AE693E"/>
    <w:rsid w:val="00AE6A71"/>
    <w:rsid w:val="00AE6A75"/>
    <w:rsid w:val="00AE6B73"/>
    <w:rsid w:val="00AE6C75"/>
    <w:rsid w:val="00AE6D11"/>
    <w:rsid w:val="00AE6D44"/>
    <w:rsid w:val="00AE6DB9"/>
    <w:rsid w:val="00AE6DF9"/>
    <w:rsid w:val="00AE703C"/>
    <w:rsid w:val="00AE712A"/>
    <w:rsid w:val="00AE7534"/>
    <w:rsid w:val="00AE7594"/>
    <w:rsid w:val="00AE7B59"/>
    <w:rsid w:val="00AE7B5A"/>
    <w:rsid w:val="00AF006F"/>
    <w:rsid w:val="00AF0362"/>
    <w:rsid w:val="00AF0460"/>
    <w:rsid w:val="00AF0A8B"/>
    <w:rsid w:val="00AF0AB4"/>
    <w:rsid w:val="00AF0BD2"/>
    <w:rsid w:val="00AF0CD1"/>
    <w:rsid w:val="00AF0CD9"/>
    <w:rsid w:val="00AF0D63"/>
    <w:rsid w:val="00AF0E15"/>
    <w:rsid w:val="00AF0EEC"/>
    <w:rsid w:val="00AF1094"/>
    <w:rsid w:val="00AF13FE"/>
    <w:rsid w:val="00AF1466"/>
    <w:rsid w:val="00AF1561"/>
    <w:rsid w:val="00AF1A35"/>
    <w:rsid w:val="00AF1A52"/>
    <w:rsid w:val="00AF1B5F"/>
    <w:rsid w:val="00AF1C4D"/>
    <w:rsid w:val="00AF1D27"/>
    <w:rsid w:val="00AF1DED"/>
    <w:rsid w:val="00AF1F8C"/>
    <w:rsid w:val="00AF1FA2"/>
    <w:rsid w:val="00AF21D9"/>
    <w:rsid w:val="00AF21DD"/>
    <w:rsid w:val="00AF227D"/>
    <w:rsid w:val="00AF2435"/>
    <w:rsid w:val="00AF263A"/>
    <w:rsid w:val="00AF26AB"/>
    <w:rsid w:val="00AF2853"/>
    <w:rsid w:val="00AF296A"/>
    <w:rsid w:val="00AF29B6"/>
    <w:rsid w:val="00AF2B42"/>
    <w:rsid w:val="00AF2FF4"/>
    <w:rsid w:val="00AF3226"/>
    <w:rsid w:val="00AF3468"/>
    <w:rsid w:val="00AF34AB"/>
    <w:rsid w:val="00AF37F8"/>
    <w:rsid w:val="00AF3AE9"/>
    <w:rsid w:val="00AF3AF0"/>
    <w:rsid w:val="00AF3B72"/>
    <w:rsid w:val="00AF3BB7"/>
    <w:rsid w:val="00AF40A9"/>
    <w:rsid w:val="00AF41BD"/>
    <w:rsid w:val="00AF42EE"/>
    <w:rsid w:val="00AF4343"/>
    <w:rsid w:val="00AF4359"/>
    <w:rsid w:val="00AF451B"/>
    <w:rsid w:val="00AF474F"/>
    <w:rsid w:val="00AF47F6"/>
    <w:rsid w:val="00AF483C"/>
    <w:rsid w:val="00AF48FC"/>
    <w:rsid w:val="00AF4B71"/>
    <w:rsid w:val="00AF4B92"/>
    <w:rsid w:val="00AF4F36"/>
    <w:rsid w:val="00AF4FF1"/>
    <w:rsid w:val="00AF51AF"/>
    <w:rsid w:val="00AF524A"/>
    <w:rsid w:val="00AF528A"/>
    <w:rsid w:val="00AF539C"/>
    <w:rsid w:val="00AF53A7"/>
    <w:rsid w:val="00AF54D5"/>
    <w:rsid w:val="00AF54D7"/>
    <w:rsid w:val="00AF5546"/>
    <w:rsid w:val="00AF569A"/>
    <w:rsid w:val="00AF5803"/>
    <w:rsid w:val="00AF5966"/>
    <w:rsid w:val="00AF5BAB"/>
    <w:rsid w:val="00AF5D86"/>
    <w:rsid w:val="00AF5F64"/>
    <w:rsid w:val="00AF5FF2"/>
    <w:rsid w:val="00AF6071"/>
    <w:rsid w:val="00AF6117"/>
    <w:rsid w:val="00AF62A9"/>
    <w:rsid w:val="00AF633E"/>
    <w:rsid w:val="00AF652F"/>
    <w:rsid w:val="00AF656D"/>
    <w:rsid w:val="00AF6615"/>
    <w:rsid w:val="00AF6634"/>
    <w:rsid w:val="00AF6693"/>
    <w:rsid w:val="00AF6730"/>
    <w:rsid w:val="00AF6BEB"/>
    <w:rsid w:val="00AF6C7A"/>
    <w:rsid w:val="00AF6EF0"/>
    <w:rsid w:val="00AF6F50"/>
    <w:rsid w:val="00AF70CD"/>
    <w:rsid w:val="00AF7139"/>
    <w:rsid w:val="00AF71BD"/>
    <w:rsid w:val="00AF73BA"/>
    <w:rsid w:val="00AF745B"/>
    <w:rsid w:val="00AF76BE"/>
    <w:rsid w:val="00AF76CE"/>
    <w:rsid w:val="00AF7843"/>
    <w:rsid w:val="00AF78AD"/>
    <w:rsid w:val="00AF7973"/>
    <w:rsid w:val="00AF7A9D"/>
    <w:rsid w:val="00AF7AD8"/>
    <w:rsid w:val="00AF7B76"/>
    <w:rsid w:val="00AF7D78"/>
    <w:rsid w:val="00AF7DA6"/>
    <w:rsid w:val="00AF7E1F"/>
    <w:rsid w:val="00B0007B"/>
    <w:rsid w:val="00B002B8"/>
    <w:rsid w:val="00B00495"/>
    <w:rsid w:val="00B004B3"/>
    <w:rsid w:val="00B004D8"/>
    <w:rsid w:val="00B00523"/>
    <w:rsid w:val="00B00928"/>
    <w:rsid w:val="00B00BF1"/>
    <w:rsid w:val="00B00C63"/>
    <w:rsid w:val="00B00CA0"/>
    <w:rsid w:val="00B00E28"/>
    <w:rsid w:val="00B01063"/>
    <w:rsid w:val="00B010AC"/>
    <w:rsid w:val="00B0112C"/>
    <w:rsid w:val="00B0124D"/>
    <w:rsid w:val="00B01417"/>
    <w:rsid w:val="00B01496"/>
    <w:rsid w:val="00B015C5"/>
    <w:rsid w:val="00B0173E"/>
    <w:rsid w:val="00B01883"/>
    <w:rsid w:val="00B01982"/>
    <w:rsid w:val="00B019ED"/>
    <w:rsid w:val="00B01D1D"/>
    <w:rsid w:val="00B01F6A"/>
    <w:rsid w:val="00B01FC0"/>
    <w:rsid w:val="00B02171"/>
    <w:rsid w:val="00B02188"/>
    <w:rsid w:val="00B024C0"/>
    <w:rsid w:val="00B0268B"/>
    <w:rsid w:val="00B0294A"/>
    <w:rsid w:val="00B029EF"/>
    <w:rsid w:val="00B02B10"/>
    <w:rsid w:val="00B02E1B"/>
    <w:rsid w:val="00B03352"/>
    <w:rsid w:val="00B03738"/>
    <w:rsid w:val="00B03869"/>
    <w:rsid w:val="00B03A14"/>
    <w:rsid w:val="00B03B87"/>
    <w:rsid w:val="00B03CE1"/>
    <w:rsid w:val="00B040D9"/>
    <w:rsid w:val="00B044AB"/>
    <w:rsid w:val="00B04788"/>
    <w:rsid w:val="00B04C39"/>
    <w:rsid w:val="00B04C87"/>
    <w:rsid w:val="00B04CF6"/>
    <w:rsid w:val="00B04EA0"/>
    <w:rsid w:val="00B04EA6"/>
    <w:rsid w:val="00B04F60"/>
    <w:rsid w:val="00B04FC5"/>
    <w:rsid w:val="00B05020"/>
    <w:rsid w:val="00B0503A"/>
    <w:rsid w:val="00B050C5"/>
    <w:rsid w:val="00B05124"/>
    <w:rsid w:val="00B0512D"/>
    <w:rsid w:val="00B051AC"/>
    <w:rsid w:val="00B05343"/>
    <w:rsid w:val="00B05649"/>
    <w:rsid w:val="00B056F2"/>
    <w:rsid w:val="00B05731"/>
    <w:rsid w:val="00B05837"/>
    <w:rsid w:val="00B05924"/>
    <w:rsid w:val="00B059C2"/>
    <w:rsid w:val="00B05D3F"/>
    <w:rsid w:val="00B05D5E"/>
    <w:rsid w:val="00B05E72"/>
    <w:rsid w:val="00B05F17"/>
    <w:rsid w:val="00B060F6"/>
    <w:rsid w:val="00B06236"/>
    <w:rsid w:val="00B062F2"/>
    <w:rsid w:val="00B0656E"/>
    <w:rsid w:val="00B065EE"/>
    <w:rsid w:val="00B067C5"/>
    <w:rsid w:val="00B069E0"/>
    <w:rsid w:val="00B06BF7"/>
    <w:rsid w:val="00B06C6F"/>
    <w:rsid w:val="00B06DB5"/>
    <w:rsid w:val="00B06E06"/>
    <w:rsid w:val="00B06E4A"/>
    <w:rsid w:val="00B06FD4"/>
    <w:rsid w:val="00B07045"/>
    <w:rsid w:val="00B070B8"/>
    <w:rsid w:val="00B074DA"/>
    <w:rsid w:val="00B0758F"/>
    <w:rsid w:val="00B07639"/>
    <w:rsid w:val="00B07812"/>
    <w:rsid w:val="00B07856"/>
    <w:rsid w:val="00B078E8"/>
    <w:rsid w:val="00B07F73"/>
    <w:rsid w:val="00B07FF9"/>
    <w:rsid w:val="00B10044"/>
    <w:rsid w:val="00B1018F"/>
    <w:rsid w:val="00B10308"/>
    <w:rsid w:val="00B108D4"/>
    <w:rsid w:val="00B10A02"/>
    <w:rsid w:val="00B10EA6"/>
    <w:rsid w:val="00B11255"/>
    <w:rsid w:val="00B11401"/>
    <w:rsid w:val="00B118A6"/>
    <w:rsid w:val="00B119D9"/>
    <w:rsid w:val="00B11A73"/>
    <w:rsid w:val="00B11BE8"/>
    <w:rsid w:val="00B11D7D"/>
    <w:rsid w:val="00B11E29"/>
    <w:rsid w:val="00B11E6F"/>
    <w:rsid w:val="00B12089"/>
    <w:rsid w:val="00B1237E"/>
    <w:rsid w:val="00B12419"/>
    <w:rsid w:val="00B12433"/>
    <w:rsid w:val="00B125FA"/>
    <w:rsid w:val="00B126C7"/>
    <w:rsid w:val="00B128E4"/>
    <w:rsid w:val="00B12A06"/>
    <w:rsid w:val="00B12CCB"/>
    <w:rsid w:val="00B12D69"/>
    <w:rsid w:val="00B12DFE"/>
    <w:rsid w:val="00B12E23"/>
    <w:rsid w:val="00B12F5E"/>
    <w:rsid w:val="00B1308D"/>
    <w:rsid w:val="00B130D9"/>
    <w:rsid w:val="00B13386"/>
    <w:rsid w:val="00B134F7"/>
    <w:rsid w:val="00B1350B"/>
    <w:rsid w:val="00B13720"/>
    <w:rsid w:val="00B13738"/>
    <w:rsid w:val="00B13848"/>
    <w:rsid w:val="00B13972"/>
    <w:rsid w:val="00B13B4F"/>
    <w:rsid w:val="00B13C5F"/>
    <w:rsid w:val="00B13C65"/>
    <w:rsid w:val="00B13D90"/>
    <w:rsid w:val="00B13E78"/>
    <w:rsid w:val="00B13FBC"/>
    <w:rsid w:val="00B14064"/>
    <w:rsid w:val="00B1459C"/>
    <w:rsid w:val="00B1468B"/>
    <w:rsid w:val="00B146EB"/>
    <w:rsid w:val="00B147C4"/>
    <w:rsid w:val="00B14AC7"/>
    <w:rsid w:val="00B14E96"/>
    <w:rsid w:val="00B153AD"/>
    <w:rsid w:val="00B15509"/>
    <w:rsid w:val="00B1556C"/>
    <w:rsid w:val="00B15853"/>
    <w:rsid w:val="00B158A9"/>
    <w:rsid w:val="00B15A17"/>
    <w:rsid w:val="00B15F8C"/>
    <w:rsid w:val="00B16458"/>
    <w:rsid w:val="00B164AF"/>
    <w:rsid w:val="00B169E2"/>
    <w:rsid w:val="00B16F60"/>
    <w:rsid w:val="00B16FC3"/>
    <w:rsid w:val="00B170AC"/>
    <w:rsid w:val="00B1713D"/>
    <w:rsid w:val="00B172EE"/>
    <w:rsid w:val="00B17398"/>
    <w:rsid w:val="00B174FD"/>
    <w:rsid w:val="00B175E5"/>
    <w:rsid w:val="00B176E1"/>
    <w:rsid w:val="00B17725"/>
    <w:rsid w:val="00B17791"/>
    <w:rsid w:val="00B179F0"/>
    <w:rsid w:val="00B17FA8"/>
    <w:rsid w:val="00B202EA"/>
    <w:rsid w:val="00B2053A"/>
    <w:rsid w:val="00B2085E"/>
    <w:rsid w:val="00B20A87"/>
    <w:rsid w:val="00B20A8E"/>
    <w:rsid w:val="00B20AE9"/>
    <w:rsid w:val="00B20E8B"/>
    <w:rsid w:val="00B211BF"/>
    <w:rsid w:val="00B213B1"/>
    <w:rsid w:val="00B213C4"/>
    <w:rsid w:val="00B21465"/>
    <w:rsid w:val="00B21577"/>
    <w:rsid w:val="00B21680"/>
    <w:rsid w:val="00B219FC"/>
    <w:rsid w:val="00B21B23"/>
    <w:rsid w:val="00B21E23"/>
    <w:rsid w:val="00B22093"/>
    <w:rsid w:val="00B22109"/>
    <w:rsid w:val="00B221AB"/>
    <w:rsid w:val="00B22213"/>
    <w:rsid w:val="00B2221E"/>
    <w:rsid w:val="00B22268"/>
    <w:rsid w:val="00B22304"/>
    <w:rsid w:val="00B22457"/>
    <w:rsid w:val="00B22472"/>
    <w:rsid w:val="00B225BE"/>
    <w:rsid w:val="00B22611"/>
    <w:rsid w:val="00B227B0"/>
    <w:rsid w:val="00B229C0"/>
    <w:rsid w:val="00B229E6"/>
    <w:rsid w:val="00B22C09"/>
    <w:rsid w:val="00B22DAE"/>
    <w:rsid w:val="00B23066"/>
    <w:rsid w:val="00B23071"/>
    <w:rsid w:val="00B2311F"/>
    <w:rsid w:val="00B23653"/>
    <w:rsid w:val="00B239F2"/>
    <w:rsid w:val="00B23DF4"/>
    <w:rsid w:val="00B23E00"/>
    <w:rsid w:val="00B23F18"/>
    <w:rsid w:val="00B23FF7"/>
    <w:rsid w:val="00B241D8"/>
    <w:rsid w:val="00B241FC"/>
    <w:rsid w:val="00B2422A"/>
    <w:rsid w:val="00B2443B"/>
    <w:rsid w:val="00B2472D"/>
    <w:rsid w:val="00B2497B"/>
    <w:rsid w:val="00B24BEC"/>
    <w:rsid w:val="00B24EBB"/>
    <w:rsid w:val="00B24EC9"/>
    <w:rsid w:val="00B24FA6"/>
    <w:rsid w:val="00B251CC"/>
    <w:rsid w:val="00B251D2"/>
    <w:rsid w:val="00B251F5"/>
    <w:rsid w:val="00B252FC"/>
    <w:rsid w:val="00B25309"/>
    <w:rsid w:val="00B25459"/>
    <w:rsid w:val="00B2553D"/>
    <w:rsid w:val="00B257D1"/>
    <w:rsid w:val="00B25BCA"/>
    <w:rsid w:val="00B25D3E"/>
    <w:rsid w:val="00B25FC2"/>
    <w:rsid w:val="00B26067"/>
    <w:rsid w:val="00B262BC"/>
    <w:rsid w:val="00B26514"/>
    <w:rsid w:val="00B26563"/>
    <w:rsid w:val="00B266D2"/>
    <w:rsid w:val="00B26B6C"/>
    <w:rsid w:val="00B26C04"/>
    <w:rsid w:val="00B26D70"/>
    <w:rsid w:val="00B26DED"/>
    <w:rsid w:val="00B272C6"/>
    <w:rsid w:val="00B272E7"/>
    <w:rsid w:val="00B27458"/>
    <w:rsid w:val="00B274D5"/>
    <w:rsid w:val="00B27649"/>
    <w:rsid w:val="00B277D3"/>
    <w:rsid w:val="00B27880"/>
    <w:rsid w:val="00B279D8"/>
    <w:rsid w:val="00B27A1B"/>
    <w:rsid w:val="00B27B01"/>
    <w:rsid w:val="00B27BB3"/>
    <w:rsid w:val="00B27BC0"/>
    <w:rsid w:val="00B27C6C"/>
    <w:rsid w:val="00B27CC9"/>
    <w:rsid w:val="00B27CD5"/>
    <w:rsid w:val="00B27CF0"/>
    <w:rsid w:val="00B27D09"/>
    <w:rsid w:val="00B27DD7"/>
    <w:rsid w:val="00B27E70"/>
    <w:rsid w:val="00B3007D"/>
    <w:rsid w:val="00B300B4"/>
    <w:rsid w:val="00B3036A"/>
    <w:rsid w:val="00B304D0"/>
    <w:rsid w:val="00B3077A"/>
    <w:rsid w:val="00B30914"/>
    <w:rsid w:val="00B309C0"/>
    <w:rsid w:val="00B309EA"/>
    <w:rsid w:val="00B30EDD"/>
    <w:rsid w:val="00B312DB"/>
    <w:rsid w:val="00B31519"/>
    <w:rsid w:val="00B3160D"/>
    <w:rsid w:val="00B31801"/>
    <w:rsid w:val="00B31B0F"/>
    <w:rsid w:val="00B31D29"/>
    <w:rsid w:val="00B31D7E"/>
    <w:rsid w:val="00B31DEB"/>
    <w:rsid w:val="00B31F14"/>
    <w:rsid w:val="00B31F70"/>
    <w:rsid w:val="00B32047"/>
    <w:rsid w:val="00B32421"/>
    <w:rsid w:val="00B32742"/>
    <w:rsid w:val="00B32752"/>
    <w:rsid w:val="00B3283A"/>
    <w:rsid w:val="00B328DD"/>
    <w:rsid w:val="00B32A20"/>
    <w:rsid w:val="00B32A6B"/>
    <w:rsid w:val="00B32DC2"/>
    <w:rsid w:val="00B32E4A"/>
    <w:rsid w:val="00B32EAC"/>
    <w:rsid w:val="00B32F50"/>
    <w:rsid w:val="00B332B6"/>
    <w:rsid w:val="00B33688"/>
    <w:rsid w:val="00B3373C"/>
    <w:rsid w:val="00B33A1D"/>
    <w:rsid w:val="00B33AAB"/>
    <w:rsid w:val="00B33B93"/>
    <w:rsid w:val="00B33C9E"/>
    <w:rsid w:val="00B33E1B"/>
    <w:rsid w:val="00B33FBA"/>
    <w:rsid w:val="00B33FEF"/>
    <w:rsid w:val="00B34096"/>
    <w:rsid w:val="00B3413A"/>
    <w:rsid w:val="00B342E8"/>
    <w:rsid w:val="00B34673"/>
    <w:rsid w:val="00B34773"/>
    <w:rsid w:val="00B34A68"/>
    <w:rsid w:val="00B34B7C"/>
    <w:rsid w:val="00B34D3B"/>
    <w:rsid w:val="00B34F45"/>
    <w:rsid w:val="00B350D5"/>
    <w:rsid w:val="00B3514A"/>
    <w:rsid w:val="00B352C0"/>
    <w:rsid w:val="00B352DD"/>
    <w:rsid w:val="00B35799"/>
    <w:rsid w:val="00B35A82"/>
    <w:rsid w:val="00B35C8C"/>
    <w:rsid w:val="00B35D9D"/>
    <w:rsid w:val="00B35FF6"/>
    <w:rsid w:val="00B36344"/>
    <w:rsid w:val="00B363F9"/>
    <w:rsid w:val="00B364B6"/>
    <w:rsid w:val="00B36823"/>
    <w:rsid w:val="00B368C4"/>
    <w:rsid w:val="00B36C18"/>
    <w:rsid w:val="00B36D31"/>
    <w:rsid w:val="00B37089"/>
    <w:rsid w:val="00B371D8"/>
    <w:rsid w:val="00B37277"/>
    <w:rsid w:val="00B37579"/>
    <w:rsid w:val="00B3762A"/>
    <w:rsid w:val="00B3781C"/>
    <w:rsid w:val="00B37820"/>
    <w:rsid w:val="00B379EA"/>
    <w:rsid w:val="00B37CA6"/>
    <w:rsid w:val="00B37D7F"/>
    <w:rsid w:val="00B37F27"/>
    <w:rsid w:val="00B40114"/>
    <w:rsid w:val="00B40459"/>
    <w:rsid w:val="00B4055B"/>
    <w:rsid w:val="00B40592"/>
    <w:rsid w:val="00B4089D"/>
    <w:rsid w:val="00B40BCB"/>
    <w:rsid w:val="00B40CB1"/>
    <w:rsid w:val="00B40DA3"/>
    <w:rsid w:val="00B40DD8"/>
    <w:rsid w:val="00B41052"/>
    <w:rsid w:val="00B41190"/>
    <w:rsid w:val="00B41282"/>
    <w:rsid w:val="00B41340"/>
    <w:rsid w:val="00B41373"/>
    <w:rsid w:val="00B41423"/>
    <w:rsid w:val="00B41883"/>
    <w:rsid w:val="00B41965"/>
    <w:rsid w:val="00B41981"/>
    <w:rsid w:val="00B41AAA"/>
    <w:rsid w:val="00B41BE2"/>
    <w:rsid w:val="00B41C59"/>
    <w:rsid w:val="00B41E87"/>
    <w:rsid w:val="00B41EBD"/>
    <w:rsid w:val="00B42071"/>
    <w:rsid w:val="00B42426"/>
    <w:rsid w:val="00B42710"/>
    <w:rsid w:val="00B428DF"/>
    <w:rsid w:val="00B42B2F"/>
    <w:rsid w:val="00B42BA6"/>
    <w:rsid w:val="00B42C89"/>
    <w:rsid w:val="00B42D19"/>
    <w:rsid w:val="00B42DBD"/>
    <w:rsid w:val="00B42E25"/>
    <w:rsid w:val="00B42F4B"/>
    <w:rsid w:val="00B43009"/>
    <w:rsid w:val="00B43204"/>
    <w:rsid w:val="00B4340D"/>
    <w:rsid w:val="00B4350C"/>
    <w:rsid w:val="00B43585"/>
    <w:rsid w:val="00B436DA"/>
    <w:rsid w:val="00B43E7F"/>
    <w:rsid w:val="00B43FF2"/>
    <w:rsid w:val="00B443AF"/>
    <w:rsid w:val="00B443B7"/>
    <w:rsid w:val="00B443F7"/>
    <w:rsid w:val="00B444E2"/>
    <w:rsid w:val="00B4494A"/>
    <w:rsid w:val="00B44B71"/>
    <w:rsid w:val="00B44D60"/>
    <w:rsid w:val="00B44EBB"/>
    <w:rsid w:val="00B450D7"/>
    <w:rsid w:val="00B45349"/>
    <w:rsid w:val="00B45589"/>
    <w:rsid w:val="00B45998"/>
    <w:rsid w:val="00B45AF6"/>
    <w:rsid w:val="00B45D87"/>
    <w:rsid w:val="00B45DF6"/>
    <w:rsid w:val="00B4605B"/>
    <w:rsid w:val="00B46192"/>
    <w:rsid w:val="00B463A9"/>
    <w:rsid w:val="00B46451"/>
    <w:rsid w:val="00B464DC"/>
    <w:rsid w:val="00B464E5"/>
    <w:rsid w:val="00B46703"/>
    <w:rsid w:val="00B4673B"/>
    <w:rsid w:val="00B467CC"/>
    <w:rsid w:val="00B46A56"/>
    <w:rsid w:val="00B46A73"/>
    <w:rsid w:val="00B46C2E"/>
    <w:rsid w:val="00B46C7E"/>
    <w:rsid w:val="00B46F05"/>
    <w:rsid w:val="00B47195"/>
    <w:rsid w:val="00B47211"/>
    <w:rsid w:val="00B47332"/>
    <w:rsid w:val="00B47691"/>
    <w:rsid w:val="00B47715"/>
    <w:rsid w:val="00B478F5"/>
    <w:rsid w:val="00B47AEA"/>
    <w:rsid w:val="00B47CF5"/>
    <w:rsid w:val="00B47D5A"/>
    <w:rsid w:val="00B47D96"/>
    <w:rsid w:val="00B47DE8"/>
    <w:rsid w:val="00B47DFA"/>
    <w:rsid w:val="00B47FAE"/>
    <w:rsid w:val="00B5008D"/>
    <w:rsid w:val="00B50141"/>
    <w:rsid w:val="00B502E6"/>
    <w:rsid w:val="00B503D4"/>
    <w:rsid w:val="00B503EC"/>
    <w:rsid w:val="00B50893"/>
    <w:rsid w:val="00B50903"/>
    <w:rsid w:val="00B50AC4"/>
    <w:rsid w:val="00B50BC3"/>
    <w:rsid w:val="00B50BF7"/>
    <w:rsid w:val="00B50C40"/>
    <w:rsid w:val="00B50DD3"/>
    <w:rsid w:val="00B511EC"/>
    <w:rsid w:val="00B513BC"/>
    <w:rsid w:val="00B51513"/>
    <w:rsid w:val="00B51606"/>
    <w:rsid w:val="00B51819"/>
    <w:rsid w:val="00B51913"/>
    <w:rsid w:val="00B51D9F"/>
    <w:rsid w:val="00B521B5"/>
    <w:rsid w:val="00B52569"/>
    <w:rsid w:val="00B52580"/>
    <w:rsid w:val="00B525BD"/>
    <w:rsid w:val="00B52609"/>
    <w:rsid w:val="00B52654"/>
    <w:rsid w:val="00B526BF"/>
    <w:rsid w:val="00B5282E"/>
    <w:rsid w:val="00B52C51"/>
    <w:rsid w:val="00B52D68"/>
    <w:rsid w:val="00B530B3"/>
    <w:rsid w:val="00B530BB"/>
    <w:rsid w:val="00B5334C"/>
    <w:rsid w:val="00B533E3"/>
    <w:rsid w:val="00B535B9"/>
    <w:rsid w:val="00B53611"/>
    <w:rsid w:val="00B53AAD"/>
    <w:rsid w:val="00B53B1D"/>
    <w:rsid w:val="00B53B3B"/>
    <w:rsid w:val="00B5400C"/>
    <w:rsid w:val="00B54154"/>
    <w:rsid w:val="00B542AE"/>
    <w:rsid w:val="00B54387"/>
    <w:rsid w:val="00B548C9"/>
    <w:rsid w:val="00B549B4"/>
    <w:rsid w:val="00B54AF3"/>
    <w:rsid w:val="00B54C00"/>
    <w:rsid w:val="00B54C54"/>
    <w:rsid w:val="00B54DE7"/>
    <w:rsid w:val="00B54E19"/>
    <w:rsid w:val="00B54EE1"/>
    <w:rsid w:val="00B55037"/>
    <w:rsid w:val="00B55365"/>
    <w:rsid w:val="00B553FC"/>
    <w:rsid w:val="00B55465"/>
    <w:rsid w:val="00B55529"/>
    <w:rsid w:val="00B55620"/>
    <w:rsid w:val="00B557BB"/>
    <w:rsid w:val="00B557C3"/>
    <w:rsid w:val="00B55D23"/>
    <w:rsid w:val="00B5643E"/>
    <w:rsid w:val="00B566DE"/>
    <w:rsid w:val="00B56879"/>
    <w:rsid w:val="00B56AC4"/>
    <w:rsid w:val="00B56BA6"/>
    <w:rsid w:val="00B56F11"/>
    <w:rsid w:val="00B56F8D"/>
    <w:rsid w:val="00B56FDF"/>
    <w:rsid w:val="00B5705A"/>
    <w:rsid w:val="00B571C6"/>
    <w:rsid w:val="00B576F9"/>
    <w:rsid w:val="00B578EA"/>
    <w:rsid w:val="00B579EE"/>
    <w:rsid w:val="00B57C18"/>
    <w:rsid w:val="00B57D48"/>
    <w:rsid w:val="00B57DA9"/>
    <w:rsid w:val="00B600CE"/>
    <w:rsid w:val="00B604CE"/>
    <w:rsid w:val="00B605A4"/>
    <w:rsid w:val="00B60626"/>
    <w:rsid w:val="00B607E4"/>
    <w:rsid w:val="00B60915"/>
    <w:rsid w:val="00B60998"/>
    <w:rsid w:val="00B60CBE"/>
    <w:rsid w:val="00B60DFA"/>
    <w:rsid w:val="00B60E1E"/>
    <w:rsid w:val="00B610DB"/>
    <w:rsid w:val="00B61431"/>
    <w:rsid w:val="00B617AF"/>
    <w:rsid w:val="00B617B0"/>
    <w:rsid w:val="00B61C35"/>
    <w:rsid w:val="00B625C5"/>
    <w:rsid w:val="00B62988"/>
    <w:rsid w:val="00B62AD9"/>
    <w:rsid w:val="00B62BD1"/>
    <w:rsid w:val="00B63097"/>
    <w:rsid w:val="00B63130"/>
    <w:rsid w:val="00B63138"/>
    <w:rsid w:val="00B631D8"/>
    <w:rsid w:val="00B633E7"/>
    <w:rsid w:val="00B6347A"/>
    <w:rsid w:val="00B6349B"/>
    <w:rsid w:val="00B63645"/>
    <w:rsid w:val="00B63EBC"/>
    <w:rsid w:val="00B645A7"/>
    <w:rsid w:val="00B645E1"/>
    <w:rsid w:val="00B648DA"/>
    <w:rsid w:val="00B64A23"/>
    <w:rsid w:val="00B64AB4"/>
    <w:rsid w:val="00B650A0"/>
    <w:rsid w:val="00B65139"/>
    <w:rsid w:val="00B65144"/>
    <w:rsid w:val="00B65190"/>
    <w:rsid w:val="00B651A2"/>
    <w:rsid w:val="00B651AB"/>
    <w:rsid w:val="00B655B5"/>
    <w:rsid w:val="00B657C9"/>
    <w:rsid w:val="00B65A9E"/>
    <w:rsid w:val="00B65E70"/>
    <w:rsid w:val="00B65EAC"/>
    <w:rsid w:val="00B65F35"/>
    <w:rsid w:val="00B6617E"/>
    <w:rsid w:val="00B66198"/>
    <w:rsid w:val="00B66372"/>
    <w:rsid w:val="00B6643A"/>
    <w:rsid w:val="00B66498"/>
    <w:rsid w:val="00B664FC"/>
    <w:rsid w:val="00B66896"/>
    <w:rsid w:val="00B66AD0"/>
    <w:rsid w:val="00B66BD1"/>
    <w:rsid w:val="00B66ED0"/>
    <w:rsid w:val="00B67369"/>
    <w:rsid w:val="00B674DA"/>
    <w:rsid w:val="00B6766A"/>
    <w:rsid w:val="00B6789D"/>
    <w:rsid w:val="00B6794E"/>
    <w:rsid w:val="00B679D1"/>
    <w:rsid w:val="00B67C5B"/>
    <w:rsid w:val="00B67D03"/>
    <w:rsid w:val="00B67E67"/>
    <w:rsid w:val="00B70318"/>
    <w:rsid w:val="00B70551"/>
    <w:rsid w:val="00B706B2"/>
    <w:rsid w:val="00B706E3"/>
    <w:rsid w:val="00B7072E"/>
    <w:rsid w:val="00B70DA9"/>
    <w:rsid w:val="00B7114F"/>
    <w:rsid w:val="00B7156E"/>
    <w:rsid w:val="00B716F5"/>
    <w:rsid w:val="00B71872"/>
    <w:rsid w:val="00B71A56"/>
    <w:rsid w:val="00B71E55"/>
    <w:rsid w:val="00B71F14"/>
    <w:rsid w:val="00B72441"/>
    <w:rsid w:val="00B7245F"/>
    <w:rsid w:val="00B72690"/>
    <w:rsid w:val="00B7275C"/>
    <w:rsid w:val="00B727C4"/>
    <w:rsid w:val="00B7288D"/>
    <w:rsid w:val="00B729FF"/>
    <w:rsid w:val="00B72CD8"/>
    <w:rsid w:val="00B72D1D"/>
    <w:rsid w:val="00B72EF3"/>
    <w:rsid w:val="00B72FAF"/>
    <w:rsid w:val="00B73544"/>
    <w:rsid w:val="00B73794"/>
    <w:rsid w:val="00B73A0F"/>
    <w:rsid w:val="00B73B39"/>
    <w:rsid w:val="00B73BA1"/>
    <w:rsid w:val="00B73F4A"/>
    <w:rsid w:val="00B73FE9"/>
    <w:rsid w:val="00B7409B"/>
    <w:rsid w:val="00B740EF"/>
    <w:rsid w:val="00B742B6"/>
    <w:rsid w:val="00B742C1"/>
    <w:rsid w:val="00B742EA"/>
    <w:rsid w:val="00B74367"/>
    <w:rsid w:val="00B743AD"/>
    <w:rsid w:val="00B74441"/>
    <w:rsid w:val="00B7474F"/>
    <w:rsid w:val="00B74A52"/>
    <w:rsid w:val="00B74AD8"/>
    <w:rsid w:val="00B74AEC"/>
    <w:rsid w:val="00B74B4F"/>
    <w:rsid w:val="00B74B85"/>
    <w:rsid w:val="00B74C15"/>
    <w:rsid w:val="00B74C61"/>
    <w:rsid w:val="00B74FB4"/>
    <w:rsid w:val="00B7507D"/>
    <w:rsid w:val="00B75084"/>
    <w:rsid w:val="00B7556B"/>
    <w:rsid w:val="00B75875"/>
    <w:rsid w:val="00B7593C"/>
    <w:rsid w:val="00B75C02"/>
    <w:rsid w:val="00B75CDC"/>
    <w:rsid w:val="00B75D35"/>
    <w:rsid w:val="00B76217"/>
    <w:rsid w:val="00B763DD"/>
    <w:rsid w:val="00B767B6"/>
    <w:rsid w:val="00B768EE"/>
    <w:rsid w:val="00B76BC6"/>
    <w:rsid w:val="00B76C41"/>
    <w:rsid w:val="00B76C5A"/>
    <w:rsid w:val="00B76D97"/>
    <w:rsid w:val="00B76E27"/>
    <w:rsid w:val="00B76F0A"/>
    <w:rsid w:val="00B77090"/>
    <w:rsid w:val="00B77498"/>
    <w:rsid w:val="00B774DB"/>
    <w:rsid w:val="00B77566"/>
    <w:rsid w:val="00B77581"/>
    <w:rsid w:val="00B77CC4"/>
    <w:rsid w:val="00B77D05"/>
    <w:rsid w:val="00B77D0D"/>
    <w:rsid w:val="00B77EC2"/>
    <w:rsid w:val="00B77F05"/>
    <w:rsid w:val="00B8057D"/>
    <w:rsid w:val="00B8084C"/>
    <w:rsid w:val="00B808C4"/>
    <w:rsid w:val="00B80904"/>
    <w:rsid w:val="00B80970"/>
    <w:rsid w:val="00B809BA"/>
    <w:rsid w:val="00B80A3F"/>
    <w:rsid w:val="00B80C59"/>
    <w:rsid w:val="00B80D18"/>
    <w:rsid w:val="00B80E13"/>
    <w:rsid w:val="00B80F35"/>
    <w:rsid w:val="00B810D7"/>
    <w:rsid w:val="00B8113F"/>
    <w:rsid w:val="00B812C6"/>
    <w:rsid w:val="00B81374"/>
    <w:rsid w:val="00B81376"/>
    <w:rsid w:val="00B81518"/>
    <w:rsid w:val="00B815E6"/>
    <w:rsid w:val="00B815EE"/>
    <w:rsid w:val="00B8191B"/>
    <w:rsid w:val="00B81C37"/>
    <w:rsid w:val="00B81F44"/>
    <w:rsid w:val="00B8200E"/>
    <w:rsid w:val="00B822B2"/>
    <w:rsid w:val="00B8237B"/>
    <w:rsid w:val="00B824CB"/>
    <w:rsid w:val="00B826BE"/>
    <w:rsid w:val="00B82841"/>
    <w:rsid w:val="00B8285B"/>
    <w:rsid w:val="00B828B8"/>
    <w:rsid w:val="00B82A31"/>
    <w:rsid w:val="00B82A8A"/>
    <w:rsid w:val="00B82A99"/>
    <w:rsid w:val="00B82C05"/>
    <w:rsid w:val="00B82C84"/>
    <w:rsid w:val="00B82E2F"/>
    <w:rsid w:val="00B8311F"/>
    <w:rsid w:val="00B83685"/>
    <w:rsid w:val="00B836DA"/>
    <w:rsid w:val="00B83708"/>
    <w:rsid w:val="00B8378E"/>
    <w:rsid w:val="00B838BF"/>
    <w:rsid w:val="00B83DB9"/>
    <w:rsid w:val="00B83DF1"/>
    <w:rsid w:val="00B83E1C"/>
    <w:rsid w:val="00B83E82"/>
    <w:rsid w:val="00B83E91"/>
    <w:rsid w:val="00B83F66"/>
    <w:rsid w:val="00B841CF"/>
    <w:rsid w:val="00B843EC"/>
    <w:rsid w:val="00B845AD"/>
    <w:rsid w:val="00B8488A"/>
    <w:rsid w:val="00B848D7"/>
    <w:rsid w:val="00B849E5"/>
    <w:rsid w:val="00B84A95"/>
    <w:rsid w:val="00B84AFD"/>
    <w:rsid w:val="00B84B6B"/>
    <w:rsid w:val="00B84BA7"/>
    <w:rsid w:val="00B84BC7"/>
    <w:rsid w:val="00B84C2D"/>
    <w:rsid w:val="00B84C3E"/>
    <w:rsid w:val="00B84D20"/>
    <w:rsid w:val="00B84E3D"/>
    <w:rsid w:val="00B84F99"/>
    <w:rsid w:val="00B8500B"/>
    <w:rsid w:val="00B850B3"/>
    <w:rsid w:val="00B8513E"/>
    <w:rsid w:val="00B85253"/>
    <w:rsid w:val="00B85509"/>
    <w:rsid w:val="00B85536"/>
    <w:rsid w:val="00B857D2"/>
    <w:rsid w:val="00B8580C"/>
    <w:rsid w:val="00B85893"/>
    <w:rsid w:val="00B85AB0"/>
    <w:rsid w:val="00B85B14"/>
    <w:rsid w:val="00B85BDA"/>
    <w:rsid w:val="00B85DA5"/>
    <w:rsid w:val="00B85DEF"/>
    <w:rsid w:val="00B862B3"/>
    <w:rsid w:val="00B863F8"/>
    <w:rsid w:val="00B8651C"/>
    <w:rsid w:val="00B866DA"/>
    <w:rsid w:val="00B868A6"/>
    <w:rsid w:val="00B868E7"/>
    <w:rsid w:val="00B86C20"/>
    <w:rsid w:val="00B86CA9"/>
    <w:rsid w:val="00B86EC9"/>
    <w:rsid w:val="00B870F1"/>
    <w:rsid w:val="00B8729C"/>
    <w:rsid w:val="00B87392"/>
    <w:rsid w:val="00B87412"/>
    <w:rsid w:val="00B87530"/>
    <w:rsid w:val="00B8799D"/>
    <w:rsid w:val="00B87B52"/>
    <w:rsid w:val="00B87B6D"/>
    <w:rsid w:val="00B87BEA"/>
    <w:rsid w:val="00B87F3E"/>
    <w:rsid w:val="00B90051"/>
    <w:rsid w:val="00B90075"/>
    <w:rsid w:val="00B90366"/>
    <w:rsid w:val="00B9042A"/>
    <w:rsid w:val="00B90681"/>
    <w:rsid w:val="00B9089D"/>
    <w:rsid w:val="00B9099E"/>
    <w:rsid w:val="00B90B43"/>
    <w:rsid w:val="00B90D3C"/>
    <w:rsid w:val="00B90D45"/>
    <w:rsid w:val="00B91077"/>
    <w:rsid w:val="00B91085"/>
    <w:rsid w:val="00B91153"/>
    <w:rsid w:val="00B9124A"/>
    <w:rsid w:val="00B9169A"/>
    <w:rsid w:val="00B9175C"/>
    <w:rsid w:val="00B91994"/>
    <w:rsid w:val="00B91B47"/>
    <w:rsid w:val="00B91B60"/>
    <w:rsid w:val="00B91D56"/>
    <w:rsid w:val="00B91FA0"/>
    <w:rsid w:val="00B922B0"/>
    <w:rsid w:val="00B922CB"/>
    <w:rsid w:val="00B9256F"/>
    <w:rsid w:val="00B9264D"/>
    <w:rsid w:val="00B92729"/>
    <w:rsid w:val="00B9278D"/>
    <w:rsid w:val="00B92804"/>
    <w:rsid w:val="00B92AEE"/>
    <w:rsid w:val="00B92B41"/>
    <w:rsid w:val="00B92E14"/>
    <w:rsid w:val="00B930E9"/>
    <w:rsid w:val="00B93129"/>
    <w:rsid w:val="00B93196"/>
    <w:rsid w:val="00B9322C"/>
    <w:rsid w:val="00B93244"/>
    <w:rsid w:val="00B932E6"/>
    <w:rsid w:val="00B932E9"/>
    <w:rsid w:val="00B935E6"/>
    <w:rsid w:val="00B937C5"/>
    <w:rsid w:val="00B93A1B"/>
    <w:rsid w:val="00B93D73"/>
    <w:rsid w:val="00B93F9C"/>
    <w:rsid w:val="00B9400A"/>
    <w:rsid w:val="00B9408C"/>
    <w:rsid w:val="00B9415C"/>
    <w:rsid w:val="00B941FA"/>
    <w:rsid w:val="00B9428D"/>
    <w:rsid w:val="00B9430E"/>
    <w:rsid w:val="00B94566"/>
    <w:rsid w:val="00B945B4"/>
    <w:rsid w:val="00B945EB"/>
    <w:rsid w:val="00B94863"/>
    <w:rsid w:val="00B94A8D"/>
    <w:rsid w:val="00B94A9B"/>
    <w:rsid w:val="00B94BAA"/>
    <w:rsid w:val="00B9513D"/>
    <w:rsid w:val="00B95242"/>
    <w:rsid w:val="00B95247"/>
    <w:rsid w:val="00B952FE"/>
    <w:rsid w:val="00B95445"/>
    <w:rsid w:val="00B954B6"/>
    <w:rsid w:val="00B95524"/>
    <w:rsid w:val="00B95599"/>
    <w:rsid w:val="00B9572A"/>
    <w:rsid w:val="00B95BF1"/>
    <w:rsid w:val="00B95C24"/>
    <w:rsid w:val="00B962DE"/>
    <w:rsid w:val="00B962E1"/>
    <w:rsid w:val="00B9634A"/>
    <w:rsid w:val="00B96457"/>
    <w:rsid w:val="00B9653B"/>
    <w:rsid w:val="00B9664A"/>
    <w:rsid w:val="00B9669B"/>
    <w:rsid w:val="00B9677A"/>
    <w:rsid w:val="00B96797"/>
    <w:rsid w:val="00B96CC1"/>
    <w:rsid w:val="00B96CF2"/>
    <w:rsid w:val="00B96ED1"/>
    <w:rsid w:val="00B96EF4"/>
    <w:rsid w:val="00B96F6F"/>
    <w:rsid w:val="00B971A0"/>
    <w:rsid w:val="00B9747B"/>
    <w:rsid w:val="00B974CE"/>
    <w:rsid w:val="00B975C2"/>
    <w:rsid w:val="00B977F4"/>
    <w:rsid w:val="00B97951"/>
    <w:rsid w:val="00B97C7C"/>
    <w:rsid w:val="00B97D51"/>
    <w:rsid w:val="00B97DE6"/>
    <w:rsid w:val="00B97EBB"/>
    <w:rsid w:val="00BA0005"/>
    <w:rsid w:val="00BA015D"/>
    <w:rsid w:val="00BA037D"/>
    <w:rsid w:val="00BA0670"/>
    <w:rsid w:val="00BA07DA"/>
    <w:rsid w:val="00BA0E41"/>
    <w:rsid w:val="00BA10B8"/>
    <w:rsid w:val="00BA115E"/>
    <w:rsid w:val="00BA12F1"/>
    <w:rsid w:val="00BA15A2"/>
    <w:rsid w:val="00BA16DA"/>
    <w:rsid w:val="00BA1709"/>
    <w:rsid w:val="00BA17A0"/>
    <w:rsid w:val="00BA17DA"/>
    <w:rsid w:val="00BA197A"/>
    <w:rsid w:val="00BA1A91"/>
    <w:rsid w:val="00BA1C80"/>
    <w:rsid w:val="00BA1DE0"/>
    <w:rsid w:val="00BA2120"/>
    <w:rsid w:val="00BA2188"/>
    <w:rsid w:val="00BA2244"/>
    <w:rsid w:val="00BA2542"/>
    <w:rsid w:val="00BA2555"/>
    <w:rsid w:val="00BA266A"/>
    <w:rsid w:val="00BA266C"/>
    <w:rsid w:val="00BA2942"/>
    <w:rsid w:val="00BA29BA"/>
    <w:rsid w:val="00BA2A67"/>
    <w:rsid w:val="00BA2CE6"/>
    <w:rsid w:val="00BA2D8E"/>
    <w:rsid w:val="00BA2D9C"/>
    <w:rsid w:val="00BA2DBB"/>
    <w:rsid w:val="00BA2EAD"/>
    <w:rsid w:val="00BA2F65"/>
    <w:rsid w:val="00BA3013"/>
    <w:rsid w:val="00BA3048"/>
    <w:rsid w:val="00BA333D"/>
    <w:rsid w:val="00BA3627"/>
    <w:rsid w:val="00BA36DF"/>
    <w:rsid w:val="00BA376E"/>
    <w:rsid w:val="00BA3ADA"/>
    <w:rsid w:val="00BA3CE4"/>
    <w:rsid w:val="00BA3F55"/>
    <w:rsid w:val="00BA3FB8"/>
    <w:rsid w:val="00BA4472"/>
    <w:rsid w:val="00BA45A2"/>
    <w:rsid w:val="00BA45E8"/>
    <w:rsid w:val="00BA45F7"/>
    <w:rsid w:val="00BA4767"/>
    <w:rsid w:val="00BA47DE"/>
    <w:rsid w:val="00BA49F9"/>
    <w:rsid w:val="00BA4C4D"/>
    <w:rsid w:val="00BA4C6B"/>
    <w:rsid w:val="00BA50AC"/>
    <w:rsid w:val="00BA50E7"/>
    <w:rsid w:val="00BA515E"/>
    <w:rsid w:val="00BA524C"/>
    <w:rsid w:val="00BA5425"/>
    <w:rsid w:val="00BA5466"/>
    <w:rsid w:val="00BA563C"/>
    <w:rsid w:val="00BA56D4"/>
    <w:rsid w:val="00BA57DD"/>
    <w:rsid w:val="00BA59EF"/>
    <w:rsid w:val="00BA5A87"/>
    <w:rsid w:val="00BA5BF1"/>
    <w:rsid w:val="00BA5CFE"/>
    <w:rsid w:val="00BA5D16"/>
    <w:rsid w:val="00BA5F2D"/>
    <w:rsid w:val="00BA5FD3"/>
    <w:rsid w:val="00BA5FED"/>
    <w:rsid w:val="00BA67E0"/>
    <w:rsid w:val="00BA6807"/>
    <w:rsid w:val="00BA6987"/>
    <w:rsid w:val="00BA69F3"/>
    <w:rsid w:val="00BA6BF1"/>
    <w:rsid w:val="00BA72AF"/>
    <w:rsid w:val="00BA74F2"/>
    <w:rsid w:val="00BA7508"/>
    <w:rsid w:val="00BA7591"/>
    <w:rsid w:val="00BA781D"/>
    <w:rsid w:val="00BA7825"/>
    <w:rsid w:val="00BA7A33"/>
    <w:rsid w:val="00BA7BC5"/>
    <w:rsid w:val="00BA7D3A"/>
    <w:rsid w:val="00BA7E16"/>
    <w:rsid w:val="00BA7F2E"/>
    <w:rsid w:val="00BB022B"/>
    <w:rsid w:val="00BB0664"/>
    <w:rsid w:val="00BB069D"/>
    <w:rsid w:val="00BB07E7"/>
    <w:rsid w:val="00BB0A51"/>
    <w:rsid w:val="00BB0E1A"/>
    <w:rsid w:val="00BB108D"/>
    <w:rsid w:val="00BB1264"/>
    <w:rsid w:val="00BB13D6"/>
    <w:rsid w:val="00BB13E2"/>
    <w:rsid w:val="00BB14BD"/>
    <w:rsid w:val="00BB1549"/>
    <w:rsid w:val="00BB18D2"/>
    <w:rsid w:val="00BB19CF"/>
    <w:rsid w:val="00BB1B72"/>
    <w:rsid w:val="00BB1BC3"/>
    <w:rsid w:val="00BB1C21"/>
    <w:rsid w:val="00BB1C5D"/>
    <w:rsid w:val="00BB1E82"/>
    <w:rsid w:val="00BB1F99"/>
    <w:rsid w:val="00BB20DB"/>
    <w:rsid w:val="00BB2325"/>
    <w:rsid w:val="00BB239B"/>
    <w:rsid w:val="00BB23CD"/>
    <w:rsid w:val="00BB243F"/>
    <w:rsid w:val="00BB25A9"/>
    <w:rsid w:val="00BB28F0"/>
    <w:rsid w:val="00BB29DD"/>
    <w:rsid w:val="00BB2ADC"/>
    <w:rsid w:val="00BB2B1A"/>
    <w:rsid w:val="00BB2C5B"/>
    <w:rsid w:val="00BB2F67"/>
    <w:rsid w:val="00BB3106"/>
    <w:rsid w:val="00BB32D5"/>
    <w:rsid w:val="00BB3448"/>
    <w:rsid w:val="00BB3894"/>
    <w:rsid w:val="00BB3899"/>
    <w:rsid w:val="00BB3AAE"/>
    <w:rsid w:val="00BB3BF5"/>
    <w:rsid w:val="00BB3D39"/>
    <w:rsid w:val="00BB3D99"/>
    <w:rsid w:val="00BB3F66"/>
    <w:rsid w:val="00BB4093"/>
    <w:rsid w:val="00BB40DA"/>
    <w:rsid w:val="00BB4171"/>
    <w:rsid w:val="00BB41DF"/>
    <w:rsid w:val="00BB4317"/>
    <w:rsid w:val="00BB44CB"/>
    <w:rsid w:val="00BB456E"/>
    <w:rsid w:val="00BB4602"/>
    <w:rsid w:val="00BB462F"/>
    <w:rsid w:val="00BB48CF"/>
    <w:rsid w:val="00BB4AEA"/>
    <w:rsid w:val="00BB4B29"/>
    <w:rsid w:val="00BB4B75"/>
    <w:rsid w:val="00BB50A9"/>
    <w:rsid w:val="00BB5573"/>
    <w:rsid w:val="00BB55B5"/>
    <w:rsid w:val="00BB56A2"/>
    <w:rsid w:val="00BB5839"/>
    <w:rsid w:val="00BB584E"/>
    <w:rsid w:val="00BB58B7"/>
    <w:rsid w:val="00BB58B8"/>
    <w:rsid w:val="00BB5907"/>
    <w:rsid w:val="00BB5D2F"/>
    <w:rsid w:val="00BB5E22"/>
    <w:rsid w:val="00BB5E46"/>
    <w:rsid w:val="00BB5EA5"/>
    <w:rsid w:val="00BB61BA"/>
    <w:rsid w:val="00BB61D4"/>
    <w:rsid w:val="00BB63B2"/>
    <w:rsid w:val="00BB640C"/>
    <w:rsid w:val="00BB6521"/>
    <w:rsid w:val="00BB668F"/>
    <w:rsid w:val="00BB686C"/>
    <w:rsid w:val="00BB68E4"/>
    <w:rsid w:val="00BB6917"/>
    <w:rsid w:val="00BB6D0E"/>
    <w:rsid w:val="00BB6D9E"/>
    <w:rsid w:val="00BB703D"/>
    <w:rsid w:val="00BB70DF"/>
    <w:rsid w:val="00BB72AC"/>
    <w:rsid w:val="00BB7356"/>
    <w:rsid w:val="00BB750B"/>
    <w:rsid w:val="00BB767A"/>
    <w:rsid w:val="00BB7993"/>
    <w:rsid w:val="00BB7A4F"/>
    <w:rsid w:val="00BB7AE8"/>
    <w:rsid w:val="00BB7BF0"/>
    <w:rsid w:val="00BB7F1A"/>
    <w:rsid w:val="00BC0099"/>
    <w:rsid w:val="00BC03CA"/>
    <w:rsid w:val="00BC03F8"/>
    <w:rsid w:val="00BC064C"/>
    <w:rsid w:val="00BC0675"/>
    <w:rsid w:val="00BC06EC"/>
    <w:rsid w:val="00BC0748"/>
    <w:rsid w:val="00BC0814"/>
    <w:rsid w:val="00BC0828"/>
    <w:rsid w:val="00BC090D"/>
    <w:rsid w:val="00BC0AB6"/>
    <w:rsid w:val="00BC0BCC"/>
    <w:rsid w:val="00BC0CAE"/>
    <w:rsid w:val="00BC0CE2"/>
    <w:rsid w:val="00BC1291"/>
    <w:rsid w:val="00BC131D"/>
    <w:rsid w:val="00BC18C4"/>
    <w:rsid w:val="00BC21EA"/>
    <w:rsid w:val="00BC2292"/>
    <w:rsid w:val="00BC2301"/>
    <w:rsid w:val="00BC26AB"/>
    <w:rsid w:val="00BC2726"/>
    <w:rsid w:val="00BC27A5"/>
    <w:rsid w:val="00BC27AB"/>
    <w:rsid w:val="00BC2BF0"/>
    <w:rsid w:val="00BC32D4"/>
    <w:rsid w:val="00BC3390"/>
    <w:rsid w:val="00BC3640"/>
    <w:rsid w:val="00BC3649"/>
    <w:rsid w:val="00BC3763"/>
    <w:rsid w:val="00BC3BB7"/>
    <w:rsid w:val="00BC3BC1"/>
    <w:rsid w:val="00BC3ED7"/>
    <w:rsid w:val="00BC3EDD"/>
    <w:rsid w:val="00BC40A8"/>
    <w:rsid w:val="00BC434B"/>
    <w:rsid w:val="00BC4929"/>
    <w:rsid w:val="00BC4ABC"/>
    <w:rsid w:val="00BC4B15"/>
    <w:rsid w:val="00BC4CAD"/>
    <w:rsid w:val="00BC4D84"/>
    <w:rsid w:val="00BC4FBB"/>
    <w:rsid w:val="00BC50B9"/>
    <w:rsid w:val="00BC5144"/>
    <w:rsid w:val="00BC5152"/>
    <w:rsid w:val="00BC5394"/>
    <w:rsid w:val="00BC53AA"/>
    <w:rsid w:val="00BC53D7"/>
    <w:rsid w:val="00BC53FC"/>
    <w:rsid w:val="00BC5874"/>
    <w:rsid w:val="00BC5A42"/>
    <w:rsid w:val="00BC5A8E"/>
    <w:rsid w:val="00BC5BC6"/>
    <w:rsid w:val="00BC5ED2"/>
    <w:rsid w:val="00BC616A"/>
    <w:rsid w:val="00BC64E1"/>
    <w:rsid w:val="00BC66B6"/>
    <w:rsid w:val="00BC6BE8"/>
    <w:rsid w:val="00BC6E09"/>
    <w:rsid w:val="00BC7004"/>
    <w:rsid w:val="00BC71D8"/>
    <w:rsid w:val="00BC723D"/>
    <w:rsid w:val="00BC73BC"/>
    <w:rsid w:val="00BC782D"/>
    <w:rsid w:val="00BC7AE5"/>
    <w:rsid w:val="00BC7F03"/>
    <w:rsid w:val="00BC7F5D"/>
    <w:rsid w:val="00BD0083"/>
    <w:rsid w:val="00BD00C9"/>
    <w:rsid w:val="00BD0281"/>
    <w:rsid w:val="00BD0338"/>
    <w:rsid w:val="00BD046B"/>
    <w:rsid w:val="00BD051D"/>
    <w:rsid w:val="00BD054B"/>
    <w:rsid w:val="00BD05A8"/>
    <w:rsid w:val="00BD06FD"/>
    <w:rsid w:val="00BD0B7F"/>
    <w:rsid w:val="00BD0D25"/>
    <w:rsid w:val="00BD102F"/>
    <w:rsid w:val="00BD13FC"/>
    <w:rsid w:val="00BD1674"/>
    <w:rsid w:val="00BD16F2"/>
    <w:rsid w:val="00BD17BE"/>
    <w:rsid w:val="00BD19B0"/>
    <w:rsid w:val="00BD1A48"/>
    <w:rsid w:val="00BD1BAA"/>
    <w:rsid w:val="00BD1D68"/>
    <w:rsid w:val="00BD1DEF"/>
    <w:rsid w:val="00BD208A"/>
    <w:rsid w:val="00BD21B3"/>
    <w:rsid w:val="00BD245E"/>
    <w:rsid w:val="00BD2589"/>
    <w:rsid w:val="00BD283C"/>
    <w:rsid w:val="00BD2867"/>
    <w:rsid w:val="00BD292E"/>
    <w:rsid w:val="00BD294A"/>
    <w:rsid w:val="00BD2C76"/>
    <w:rsid w:val="00BD2CFB"/>
    <w:rsid w:val="00BD30C6"/>
    <w:rsid w:val="00BD30D4"/>
    <w:rsid w:val="00BD31A6"/>
    <w:rsid w:val="00BD34C9"/>
    <w:rsid w:val="00BD35B2"/>
    <w:rsid w:val="00BD3790"/>
    <w:rsid w:val="00BD384E"/>
    <w:rsid w:val="00BD3B31"/>
    <w:rsid w:val="00BD3B89"/>
    <w:rsid w:val="00BD3CFB"/>
    <w:rsid w:val="00BD3DC8"/>
    <w:rsid w:val="00BD3EC8"/>
    <w:rsid w:val="00BD437D"/>
    <w:rsid w:val="00BD43CD"/>
    <w:rsid w:val="00BD45D9"/>
    <w:rsid w:val="00BD4854"/>
    <w:rsid w:val="00BD4906"/>
    <w:rsid w:val="00BD4926"/>
    <w:rsid w:val="00BD4D18"/>
    <w:rsid w:val="00BD4D4B"/>
    <w:rsid w:val="00BD4F2D"/>
    <w:rsid w:val="00BD51F5"/>
    <w:rsid w:val="00BD5397"/>
    <w:rsid w:val="00BD55B3"/>
    <w:rsid w:val="00BD565F"/>
    <w:rsid w:val="00BD577F"/>
    <w:rsid w:val="00BD5978"/>
    <w:rsid w:val="00BD59BC"/>
    <w:rsid w:val="00BD5B49"/>
    <w:rsid w:val="00BD5B73"/>
    <w:rsid w:val="00BD5C9B"/>
    <w:rsid w:val="00BD6116"/>
    <w:rsid w:val="00BD6340"/>
    <w:rsid w:val="00BD647A"/>
    <w:rsid w:val="00BD6509"/>
    <w:rsid w:val="00BD65D6"/>
    <w:rsid w:val="00BD6979"/>
    <w:rsid w:val="00BD6CCE"/>
    <w:rsid w:val="00BD6E19"/>
    <w:rsid w:val="00BD7544"/>
    <w:rsid w:val="00BD76BB"/>
    <w:rsid w:val="00BD7789"/>
    <w:rsid w:val="00BD7DF3"/>
    <w:rsid w:val="00BD7FA1"/>
    <w:rsid w:val="00BE0043"/>
    <w:rsid w:val="00BE00E6"/>
    <w:rsid w:val="00BE0307"/>
    <w:rsid w:val="00BE05ED"/>
    <w:rsid w:val="00BE06AB"/>
    <w:rsid w:val="00BE0865"/>
    <w:rsid w:val="00BE09C4"/>
    <w:rsid w:val="00BE09F0"/>
    <w:rsid w:val="00BE0CAD"/>
    <w:rsid w:val="00BE0E55"/>
    <w:rsid w:val="00BE0F10"/>
    <w:rsid w:val="00BE0F80"/>
    <w:rsid w:val="00BE0FE2"/>
    <w:rsid w:val="00BE12CB"/>
    <w:rsid w:val="00BE13C3"/>
    <w:rsid w:val="00BE170C"/>
    <w:rsid w:val="00BE1988"/>
    <w:rsid w:val="00BE1A30"/>
    <w:rsid w:val="00BE1AAC"/>
    <w:rsid w:val="00BE1B90"/>
    <w:rsid w:val="00BE1B9C"/>
    <w:rsid w:val="00BE1C8C"/>
    <w:rsid w:val="00BE1EBC"/>
    <w:rsid w:val="00BE207A"/>
    <w:rsid w:val="00BE20BE"/>
    <w:rsid w:val="00BE219F"/>
    <w:rsid w:val="00BE21C2"/>
    <w:rsid w:val="00BE2649"/>
    <w:rsid w:val="00BE28A9"/>
    <w:rsid w:val="00BE2975"/>
    <w:rsid w:val="00BE2A84"/>
    <w:rsid w:val="00BE2CD6"/>
    <w:rsid w:val="00BE2DCA"/>
    <w:rsid w:val="00BE3051"/>
    <w:rsid w:val="00BE30AB"/>
    <w:rsid w:val="00BE312C"/>
    <w:rsid w:val="00BE313E"/>
    <w:rsid w:val="00BE323B"/>
    <w:rsid w:val="00BE327A"/>
    <w:rsid w:val="00BE3333"/>
    <w:rsid w:val="00BE33CC"/>
    <w:rsid w:val="00BE33E3"/>
    <w:rsid w:val="00BE3537"/>
    <w:rsid w:val="00BE3714"/>
    <w:rsid w:val="00BE3BB6"/>
    <w:rsid w:val="00BE4665"/>
    <w:rsid w:val="00BE48F0"/>
    <w:rsid w:val="00BE4902"/>
    <w:rsid w:val="00BE503F"/>
    <w:rsid w:val="00BE5334"/>
    <w:rsid w:val="00BE54C5"/>
    <w:rsid w:val="00BE564D"/>
    <w:rsid w:val="00BE586B"/>
    <w:rsid w:val="00BE59B5"/>
    <w:rsid w:val="00BE5BFF"/>
    <w:rsid w:val="00BE6075"/>
    <w:rsid w:val="00BE621A"/>
    <w:rsid w:val="00BE6413"/>
    <w:rsid w:val="00BE64A1"/>
    <w:rsid w:val="00BE65B2"/>
    <w:rsid w:val="00BE6725"/>
    <w:rsid w:val="00BE678B"/>
    <w:rsid w:val="00BE6C6E"/>
    <w:rsid w:val="00BE6CAE"/>
    <w:rsid w:val="00BE6D72"/>
    <w:rsid w:val="00BE6E9C"/>
    <w:rsid w:val="00BE6F41"/>
    <w:rsid w:val="00BE6FB9"/>
    <w:rsid w:val="00BE71A4"/>
    <w:rsid w:val="00BE71F8"/>
    <w:rsid w:val="00BE723A"/>
    <w:rsid w:val="00BE72D2"/>
    <w:rsid w:val="00BE75A0"/>
    <w:rsid w:val="00BE78E9"/>
    <w:rsid w:val="00BE79A4"/>
    <w:rsid w:val="00BE7F4C"/>
    <w:rsid w:val="00BF0020"/>
    <w:rsid w:val="00BF0586"/>
    <w:rsid w:val="00BF0693"/>
    <w:rsid w:val="00BF09FF"/>
    <w:rsid w:val="00BF0A18"/>
    <w:rsid w:val="00BF0BFF"/>
    <w:rsid w:val="00BF0DAD"/>
    <w:rsid w:val="00BF1011"/>
    <w:rsid w:val="00BF109D"/>
    <w:rsid w:val="00BF1213"/>
    <w:rsid w:val="00BF1379"/>
    <w:rsid w:val="00BF15AB"/>
    <w:rsid w:val="00BF1650"/>
    <w:rsid w:val="00BF168E"/>
    <w:rsid w:val="00BF1791"/>
    <w:rsid w:val="00BF1C2D"/>
    <w:rsid w:val="00BF1C60"/>
    <w:rsid w:val="00BF1DDC"/>
    <w:rsid w:val="00BF1F1B"/>
    <w:rsid w:val="00BF1FF8"/>
    <w:rsid w:val="00BF2171"/>
    <w:rsid w:val="00BF22DA"/>
    <w:rsid w:val="00BF2329"/>
    <w:rsid w:val="00BF249A"/>
    <w:rsid w:val="00BF2955"/>
    <w:rsid w:val="00BF299D"/>
    <w:rsid w:val="00BF2D7C"/>
    <w:rsid w:val="00BF2F29"/>
    <w:rsid w:val="00BF2FC9"/>
    <w:rsid w:val="00BF30C7"/>
    <w:rsid w:val="00BF3399"/>
    <w:rsid w:val="00BF35DA"/>
    <w:rsid w:val="00BF3601"/>
    <w:rsid w:val="00BF3667"/>
    <w:rsid w:val="00BF3ABA"/>
    <w:rsid w:val="00BF3FB0"/>
    <w:rsid w:val="00BF4428"/>
    <w:rsid w:val="00BF465C"/>
    <w:rsid w:val="00BF4789"/>
    <w:rsid w:val="00BF47C3"/>
    <w:rsid w:val="00BF4997"/>
    <w:rsid w:val="00BF5397"/>
    <w:rsid w:val="00BF53F7"/>
    <w:rsid w:val="00BF548F"/>
    <w:rsid w:val="00BF54F0"/>
    <w:rsid w:val="00BF5A66"/>
    <w:rsid w:val="00BF5AB2"/>
    <w:rsid w:val="00BF5CFC"/>
    <w:rsid w:val="00BF6134"/>
    <w:rsid w:val="00BF6824"/>
    <w:rsid w:val="00BF698B"/>
    <w:rsid w:val="00BF69E6"/>
    <w:rsid w:val="00BF6A84"/>
    <w:rsid w:val="00BF6CE4"/>
    <w:rsid w:val="00BF7103"/>
    <w:rsid w:val="00BF7147"/>
    <w:rsid w:val="00BF7385"/>
    <w:rsid w:val="00BF73E6"/>
    <w:rsid w:val="00BF75C6"/>
    <w:rsid w:val="00BF76E1"/>
    <w:rsid w:val="00BF7FA6"/>
    <w:rsid w:val="00BF7FF1"/>
    <w:rsid w:val="00C00306"/>
    <w:rsid w:val="00C00474"/>
    <w:rsid w:val="00C007F7"/>
    <w:rsid w:val="00C00893"/>
    <w:rsid w:val="00C00B0B"/>
    <w:rsid w:val="00C00B8B"/>
    <w:rsid w:val="00C00D57"/>
    <w:rsid w:val="00C00DB2"/>
    <w:rsid w:val="00C00E6B"/>
    <w:rsid w:val="00C0100C"/>
    <w:rsid w:val="00C01616"/>
    <w:rsid w:val="00C017BD"/>
    <w:rsid w:val="00C01894"/>
    <w:rsid w:val="00C01954"/>
    <w:rsid w:val="00C01A5A"/>
    <w:rsid w:val="00C01B39"/>
    <w:rsid w:val="00C01BFE"/>
    <w:rsid w:val="00C01C1A"/>
    <w:rsid w:val="00C01CE1"/>
    <w:rsid w:val="00C01D63"/>
    <w:rsid w:val="00C01E33"/>
    <w:rsid w:val="00C02013"/>
    <w:rsid w:val="00C0206C"/>
    <w:rsid w:val="00C023E3"/>
    <w:rsid w:val="00C02665"/>
    <w:rsid w:val="00C027CA"/>
    <w:rsid w:val="00C02865"/>
    <w:rsid w:val="00C028D5"/>
    <w:rsid w:val="00C02AB2"/>
    <w:rsid w:val="00C030A8"/>
    <w:rsid w:val="00C0316D"/>
    <w:rsid w:val="00C0330D"/>
    <w:rsid w:val="00C033CC"/>
    <w:rsid w:val="00C0358F"/>
    <w:rsid w:val="00C03606"/>
    <w:rsid w:val="00C0385A"/>
    <w:rsid w:val="00C0387E"/>
    <w:rsid w:val="00C03A2B"/>
    <w:rsid w:val="00C03A6D"/>
    <w:rsid w:val="00C03A8F"/>
    <w:rsid w:val="00C03BC7"/>
    <w:rsid w:val="00C03DC6"/>
    <w:rsid w:val="00C03EB5"/>
    <w:rsid w:val="00C03F3E"/>
    <w:rsid w:val="00C04292"/>
    <w:rsid w:val="00C043A7"/>
    <w:rsid w:val="00C0445F"/>
    <w:rsid w:val="00C046EE"/>
    <w:rsid w:val="00C04708"/>
    <w:rsid w:val="00C047B5"/>
    <w:rsid w:val="00C047D9"/>
    <w:rsid w:val="00C0492F"/>
    <w:rsid w:val="00C04A08"/>
    <w:rsid w:val="00C04A20"/>
    <w:rsid w:val="00C04A7E"/>
    <w:rsid w:val="00C04C04"/>
    <w:rsid w:val="00C04E5F"/>
    <w:rsid w:val="00C05087"/>
    <w:rsid w:val="00C05267"/>
    <w:rsid w:val="00C0598D"/>
    <w:rsid w:val="00C05999"/>
    <w:rsid w:val="00C05D73"/>
    <w:rsid w:val="00C05D7D"/>
    <w:rsid w:val="00C05E96"/>
    <w:rsid w:val="00C0660F"/>
    <w:rsid w:val="00C067F5"/>
    <w:rsid w:val="00C069D1"/>
    <w:rsid w:val="00C06A46"/>
    <w:rsid w:val="00C06BF2"/>
    <w:rsid w:val="00C06CE7"/>
    <w:rsid w:val="00C06D1C"/>
    <w:rsid w:val="00C06DAE"/>
    <w:rsid w:val="00C07116"/>
    <w:rsid w:val="00C071AF"/>
    <w:rsid w:val="00C071E9"/>
    <w:rsid w:val="00C071F5"/>
    <w:rsid w:val="00C0734C"/>
    <w:rsid w:val="00C07646"/>
    <w:rsid w:val="00C076F9"/>
    <w:rsid w:val="00C07972"/>
    <w:rsid w:val="00C07BC3"/>
    <w:rsid w:val="00C07D2F"/>
    <w:rsid w:val="00C07D9C"/>
    <w:rsid w:val="00C07DF2"/>
    <w:rsid w:val="00C07E2D"/>
    <w:rsid w:val="00C10398"/>
    <w:rsid w:val="00C10476"/>
    <w:rsid w:val="00C1065A"/>
    <w:rsid w:val="00C109CF"/>
    <w:rsid w:val="00C10A2E"/>
    <w:rsid w:val="00C10B36"/>
    <w:rsid w:val="00C10BD1"/>
    <w:rsid w:val="00C10C3E"/>
    <w:rsid w:val="00C10C86"/>
    <w:rsid w:val="00C10DC3"/>
    <w:rsid w:val="00C1106B"/>
    <w:rsid w:val="00C114BD"/>
    <w:rsid w:val="00C11C0E"/>
    <w:rsid w:val="00C11CB2"/>
    <w:rsid w:val="00C11F6D"/>
    <w:rsid w:val="00C1264C"/>
    <w:rsid w:val="00C126D7"/>
    <w:rsid w:val="00C1276B"/>
    <w:rsid w:val="00C12AE1"/>
    <w:rsid w:val="00C12AE6"/>
    <w:rsid w:val="00C12BA2"/>
    <w:rsid w:val="00C12BAA"/>
    <w:rsid w:val="00C12BD7"/>
    <w:rsid w:val="00C12C60"/>
    <w:rsid w:val="00C12CBC"/>
    <w:rsid w:val="00C13201"/>
    <w:rsid w:val="00C1329C"/>
    <w:rsid w:val="00C13445"/>
    <w:rsid w:val="00C13908"/>
    <w:rsid w:val="00C13BDC"/>
    <w:rsid w:val="00C13EEE"/>
    <w:rsid w:val="00C13F9A"/>
    <w:rsid w:val="00C14781"/>
    <w:rsid w:val="00C14C72"/>
    <w:rsid w:val="00C14FAC"/>
    <w:rsid w:val="00C1529A"/>
    <w:rsid w:val="00C152CD"/>
    <w:rsid w:val="00C15417"/>
    <w:rsid w:val="00C1559A"/>
    <w:rsid w:val="00C15786"/>
    <w:rsid w:val="00C15DE0"/>
    <w:rsid w:val="00C1609C"/>
    <w:rsid w:val="00C161A9"/>
    <w:rsid w:val="00C162B5"/>
    <w:rsid w:val="00C16715"/>
    <w:rsid w:val="00C1689B"/>
    <w:rsid w:val="00C1694E"/>
    <w:rsid w:val="00C16B9F"/>
    <w:rsid w:val="00C16BB7"/>
    <w:rsid w:val="00C16FC3"/>
    <w:rsid w:val="00C17249"/>
    <w:rsid w:val="00C172DB"/>
    <w:rsid w:val="00C1759F"/>
    <w:rsid w:val="00C17744"/>
    <w:rsid w:val="00C178C1"/>
    <w:rsid w:val="00C17BD9"/>
    <w:rsid w:val="00C17D54"/>
    <w:rsid w:val="00C17E31"/>
    <w:rsid w:val="00C17FFB"/>
    <w:rsid w:val="00C20099"/>
    <w:rsid w:val="00C201B4"/>
    <w:rsid w:val="00C20238"/>
    <w:rsid w:val="00C202C3"/>
    <w:rsid w:val="00C20466"/>
    <w:rsid w:val="00C20650"/>
    <w:rsid w:val="00C20670"/>
    <w:rsid w:val="00C20816"/>
    <w:rsid w:val="00C20866"/>
    <w:rsid w:val="00C2089D"/>
    <w:rsid w:val="00C209D1"/>
    <w:rsid w:val="00C20A86"/>
    <w:rsid w:val="00C20B05"/>
    <w:rsid w:val="00C20B2E"/>
    <w:rsid w:val="00C20BE7"/>
    <w:rsid w:val="00C20D05"/>
    <w:rsid w:val="00C20DC4"/>
    <w:rsid w:val="00C2108D"/>
    <w:rsid w:val="00C21107"/>
    <w:rsid w:val="00C2118A"/>
    <w:rsid w:val="00C2130B"/>
    <w:rsid w:val="00C2144D"/>
    <w:rsid w:val="00C2159B"/>
    <w:rsid w:val="00C21DFC"/>
    <w:rsid w:val="00C21E9B"/>
    <w:rsid w:val="00C21FB8"/>
    <w:rsid w:val="00C22156"/>
    <w:rsid w:val="00C221DB"/>
    <w:rsid w:val="00C2223A"/>
    <w:rsid w:val="00C2226E"/>
    <w:rsid w:val="00C2291F"/>
    <w:rsid w:val="00C22B5E"/>
    <w:rsid w:val="00C22C63"/>
    <w:rsid w:val="00C22CB3"/>
    <w:rsid w:val="00C22CB8"/>
    <w:rsid w:val="00C22E07"/>
    <w:rsid w:val="00C230F3"/>
    <w:rsid w:val="00C23653"/>
    <w:rsid w:val="00C23834"/>
    <w:rsid w:val="00C238A0"/>
    <w:rsid w:val="00C23B37"/>
    <w:rsid w:val="00C23C28"/>
    <w:rsid w:val="00C23C3B"/>
    <w:rsid w:val="00C23CCC"/>
    <w:rsid w:val="00C2427D"/>
    <w:rsid w:val="00C2442D"/>
    <w:rsid w:val="00C245D7"/>
    <w:rsid w:val="00C246C3"/>
    <w:rsid w:val="00C246F0"/>
    <w:rsid w:val="00C24868"/>
    <w:rsid w:val="00C2487C"/>
    <w:rsid w:val="00C24988"/>
    <w:rsid w:val="00C24AD3"/>
    <w:rsid w:val="00C24B9C"/>
    <w:rsid w:val="00C24DF6"/>
    <w:rsid w:val="00C24EA5"/>
    <w:rsid w:val="00C25608"/>
    <w:rsid w:val="00C25622"/>
    <w:rsid w:val="00C25660"/>
    <w:rsid w:val="00C257B4"/>
    <w:rsid w:val="00C2596C"/>
    <w:rsid w:val="00C25AB5"/>
    <w:rsid w:val="00C25C8F"/>
    <w:rsid w:val="00C25D24"/>
    <w:rsid w:val="00C25D52"/>
    <w:rsid w:val="00C262B4"/>
    <w:rsid w:val="00C2631F"/>
    <w:rsid w:val="00C2652C"/>
    <w:rsid w:val="00C268CB"/>
    <w:rsid w:val="00C26A2E"/>
    <w:rsid w:val="00C26A32"/>
    <w:rsid w:val="00C26B47"/>
    <w:rsid w:val="00C26E73"/>
    <w:rsid w:val="00C26EB1"/>
    <w:rsid w:val="00C27105"/>
    <w:rsid w:val="00C271B3"/>
    <w:rsid w:val="00C2724F"/>
    <w:rsid w:val="00C277A7"/>
    <w:rsid w:val="00C277EF"/>
    <w:rsid w:val="00C27BED"/>
    <w:rsid w:val="00C27C4C"/>
    <w:rsid w:val="00C27DAE"/>
    <w:rsid w:val="00C301E9"/>
    <w:rsid w:val="00C3036B"/>
    <w:rsid w:val="00C304EC"/>
    <w:rsid w:val="00C3059A"/>
    <w:rsid w:val="00C309ED"/>
    <w:rsid w:val="00C30B62"/>
    <w:rsid w:val="00C30D66"/>
    <w:rsid w:val="00C30EF7"/>
    <w:rsid w:val="00C3102C"/>
    <w:rsid w:val="00C31209"/>
    <w:rsid w:val="00C312BB"/>
    <w:rsid w:val="00C31319"/>
    <w:rsid w:val="00C3163F"/>
    <w:rsid w:val="00C318BE"/>
    <w:rsid w:val="00C31911"/>
    <w:rsid w:val="00C319F7"/>
    <w:rsid w:val="00C31A81"/>
    <w:rsid w:val="00C31CA4"/>
    <w:rsid w:val="00C31D42"/>
    <w:rsid w:val="00C320CF"/>
    <w:rsid w:val="00C32108"/>
    <w:rsid w:val="00C3221D"/>
    <w:rsid w:val="00C323C3"/>
    <w:rsid w:val="00C326AC"/>
    <w:rsid w:val="00C326EF"/>
    <w:rsid w:val="00C327E8"/>
    <w:rsid w:val="00C32D25"/>
    <w:rsid w:val="00C32D42"/>
    <w:rsid w:val="00C33237"/>
    <w:rsid w:val="00C3353D"/>
    <w:rsid w:val="00C338BD"/>
    <w:rsid w:val="00C33A8E"/>
    <w:rsid w:val="00C33AB0"/>
    <w:rsid w:val="00C33AC4"/>
    <w:rsid w:val="00C34122"/>
    <w:rsid w:val="00C34237"/>
    <w:rsid w:val="00C343E6"/>
    <w:rsid w:val="00C347E7"/>
    <w:rsid w:val="00C34917"/>
    <w:rsid w:val="00C349A0"/>
    <w:rsid w:val="00C34A11"/>
    <w:rsid w:val="00C34C3F"/>
    <w:rsid w:val="00C34E6D"/>
    <w:rsid w:val="00C34F95"/>
    <w:rsid w:val="00C351E4"/>
    <w:rsid w:val="00C3533D"/>
    <w:rsid w:val="00C354A1"/>
    <w:rsid w:val="00C3559D"/>
    <w:rsid w:val="00C357FA"/>
    <w:rsid w:val="00C358AB"/>
    <w:rsid w:val="00C358BD"/>
    <w:rsid w:val="00C3599A"/>
    <w:rsid w:val="00C35A8C"/>
    <w:rsid w:val="00C35C5A"/>
    <w:rsid w:val="00C35DC6"/>
    <w:rsid w:val="00C35DDA"/>
    <w:rsid w:val="00C35EDF"/>
    <w:rsid w:val="00C35F29"/>
    <w:rsid w:val="00C36041"/>
    <w:rsid w:val="00C361BB"/>
    <w:rsid w:val="00C362DF"/>
    <w:rsid w:val="00C3646E"/>
    <w:rsid w:val="00C3654C"/>
    <w:rsid w:val="00C3656B"/>
    <w:rsid w:val="00C367B0"/>
    <w:rsid w:val="00C368B3"/>
    <w:rsid w:val="00C368D5"/>
    <w:rsid w:val="00C368FE"/>
    <w:rsid w:val="00C3691E"/>
    <w:rsid w:val="00C369C8"/>
    <w:rsid w:val="00C36A68"/>
    <w:rsid w:val="00C36DDF"/>
    <w:rsid w:val="00C36E16"/>
    <w:rsid w:val="00C370B9"/>
    <w:rsid w:val="00C370D6"/>
    <w:rsid w:val="00C37367"/>
    <w:rsid w:val="00C37495"/>
    <w:rsid w:val="00C3751F"/>
    <w:rsid w:val="00C376B3"/>
    <w:rsid w:val="00C377F8"/>
    <w:rsid w:val="00C37886"/>
    <w:rsid w:val="00C379F8"/>
    <w:rsid w:val="00C37CD8"/>
    <w:rsid w:val="00C37DCC"/>
    <w:rsid w:val="00C37EA5"/>
    <w:rsid w:val="00C37FA3"/>
    <w:rsid w:val="00C40078"/>
    <w:rsid w:val="00C4036A"/>
    <w:rsid w:val="00C4036B"/>
    <w:rsid w:val="00C4039D"/>
    <w:rsid w:val="00C404F8"/>
    <w:rsid w:val="00C4050A"/>
    <w:rsid w:val="00C40685"/>
    <w:rsid w:val="00C407F3"/>
    <w:rsid w:val="00C4095F"/>
    <w:rsid w:val="00C40BA1"/>
    <w:rsid w:val="00C40D31"/>
    <w:rsid w:val="00C40FC7"/>
    <w:rsid w:val="00C4110D"/>
    <w:rsid w:val="00C41166"/>
    <w:rsid w:val="00C413A9"/>
    <w:rsid w:val="00C4176F"/>
    <w:rsid w:val="00C4180A"/>
    <w:rsid w:val="00C41AB5"/>
    <w:rsid w:val="00C41B15"/>
    <w:rsid w:val="00C41B27"/>
    <w:rsid w:val="00C420F3"/>
    <w:rsid w:val="00C424E4"/>
    <w:rsid w:val="00C425E0"/>
    <w:rsid w:val="00C426F2"/>
    <w:rsid w:val="00C42722"/>
    <w:rsid w:val="00C42B4D"/>
    <w:rsid w:val="00C42DB9"/>
    <w:rsid w:val="00C4324B"/>
    <w:rsid w:val="00C4333F"/>
    <w:rsid w:val="00C433D5"/>
    <w:rsid w:val="00C4344E"/>
    <w:rsid w:val="00C435CC"/>
    <w:rsid w:val="00C43901"/>
    <w:rsid w:val="00C439D4"/>
    <w:rsid w:val="00C43C60"/>
    <w:rsid w:val="00C43CC6"/>
    <w:rsid w:val="00C43DD8"/>
    <w:rsid w:val="00C43F14"/>
    <w:rsid w:val="00C4429C"/>
    <w:rsid w:val="00C44365"/>
    <w:rsid w:val="00C4443B"/>
    <w:rsid w:val="00C44740"/>
    <w:rsid w:val="00C447F3"/>
    <w:rsid w:val="00C44813"/>
    <w:rsid w:val="00C44827"/>
    <w:rsid w:val="00C44A0D"/>
    <w:rsid w:val="00C44B27"/>
    <w:rsid w:val="00C44D5B"/>
    <w:rsid w:val="00C44F6A"/>
    <w:rsid w:val="00C44F75"/>
    <w:rsid w:val="00C450BB"/>
    <w:rsid w:val="00C450F2"/>
    <w:rsid w:val="00C4523B"/>
    <w:rsid w:val="00C45295"/>
    <w:rsid w:val="00C452F8"/>
    <w:rsid w:val="00C45440"/>
    <w:rsid w:val="00C45918"/>
    <w:rsid w:val="00C45952"/>
    <w:rsid w:val="00C45A03"/>
    <w:rsid w:val="00C45CFF"/>
    <w:rsid w:val="00C45EAE"/>
    <w:rsid w:val="00C45F96"/>
    <w:rsid w:val="00C460DB"/>
    <w:rsid w:val="00C4611B"/>
    <w:rsid w:val="00C4612B"/>
    <w:rsid w:val="00C46462"/>
    <w:rsid w:val="00C46565"/>
    <w:rsid w:val="00C468BE"/>
    <w:rsid w:val="00C46BE6"/>
    <w:rsid w:val="00C47016"/>
    <w:rsid w:val="00C47411"/>
    <w:rsid w:val="00C475CC"/>
    <w:rsid w:val="00C47792"/>
    <w:rsid w:val="00C4783E"/>
    <w:rsid w:val="00C47915"/>
    <w:rsid w:val="00C47A03"/>
    <w:rsid w:val="00C47C28"/>
    <w:rsid w:val="00C47C95"/>
    <w:rsid w:val="00C47C98"/>
    <w:rsid w:val="00C47CDD"/>
    <w:rsid w:val="00C502D5"/>
    <w:rsid w:val="00C50415"/>
    <w:rsid w:val="00C5045F"/>
    <w:rsid w:val="00C50469"/>
    <w:rsid w:val="00C50650"/>
    <w:rsid w:val="00C50804"/>
    <w:rsid w:val="00C5085E"/>
    <w:rsid w:val="00C50893"/>
    <w:rsid w:val="00C508E6"/>
    <w:rsid w:val="00C50908"/>
    <w:rsid w:val="00C50982"/>
    <w:rsid w:val="00C509DA"/>
    <w:rsid w:val="00C509E3"/>
    <w:rsid w:val="00C50C18"/>
    <w:rsid w:val="00C50D67"/>
    <w:rsid w:val="00C50DB0"/>
    <w:rsid w:val="00C50FD9"/>
    <w:rsid w:val="00C51119"/>
    <w:rsid w:val="00C5124B"/>
    <w:rsid w:val="00C51265"/>
    <w:rsid w:val="00C512DC"/>
    <w:rsid w:val="00C5131F"/>
    <w:rsid w:val="00C519D0"/>
    <w:rsid w:val="00C51A0D"/>
    <w:rsid w:val="00C51E8A"/>
    <w:rsid w:val="00C52045"/>
    <w:rsid w:val="00C520EC"/>
    <w:rsid w:val="00C52369"/>
    <w:rsid w:val="00C5258D"/>
    <w:rsid w:val="00C528CD"/>
    <w:rsid w:val="00C52BDC"/>
    <w:rsid w:val="00C52EB9"/>
    <w:rsid w:val="00C52FA9"/>
    <w:rsid w:val="00C530B9"/>
    <w:rsid w:val="00C53129"/>
    <w:rsid w:val="00C53154"/>
    <w:rsid w:val="00C531EA"/>
    <w:rsid w:val="00C531FD"/>
    <w:rsid w:val="00C531FF"/>
    <w:rsid w:val="00C53580"/>
    <w:rsid w:val="00C535B0"/>
    <w:rsid w:val="00C5363B"/>
    <w:rsid w:val="00C53812"/>
    <w:rsid w:val="00C53E56"/>
    <w:rsid w:val="00C53FB4"/>
    <w:rsid w:val="00C5404E"/>
    <w:rsid w:val="00C54181"/>
    <w:rsid w:val="00C54486"/>
    <w:rsid w:val="00C54E5C"/>
    <w:rsid w:val="00C54F29"/>
    <w:rsid w:val="00C55673"/>
    <w:rsid w:val="00C557DE"/>
    <w:rsid w:val="00C55E30"/>
    <w:rsid w:val="00C55FCC"/>
    <w:rsid w:val="00C56025"/>
    <w:rsid w:val="00C5622E"/>
    <w:rsid w:val="00C5644F"/>
    <w:rsid w:val="00C56519"/>
    <w:rsid w:val="00C567F1"/>
    <w:rsid w:val="00C56937"/>
    <w:rsid w:val="00C56A26"/>
    <w:rsid w:val="00C56CC9"/>
    <w:rsid w:val="00C57071"/>
    <w:rsid w:val="00C57170"/>
    <w:rsid w:val="00C571A0"/>
    <w:rsid w:val="00C57485"/>
    <w:rsid w:val="00C57495"/>
    <w:rsid w:val="00C57549"/>
    <w:rsid w:val="00C576B3"/>
    <w:rsid w:val="00C57946"/>
    <w:rsid w:val="00C57D4C"/>
    <w:rsid w:val="00C60060"/>
    <w:rsid w:val="00C60438"/>
    <w:rsid w:val="00C6063F"/>
    <w:rsid w:val="00C60667"/>
    <w:rsid w:val="00C606E4"/>
    <w:rsid w:val="00C607A2"/>
    <w:rsid w:val="00C607EF"/>
    <w:rsid w:val="00C60924"/>
    <w:rsid w:val="00C60A24"/>
    <w:rsid w:val="00C60D68"/>
    <w:rsid w:val="00C60DA5"/>
    <w:rsid w:val="00C6131A"/>
    <w:rsid w:val="00C61368"/>
    <w:rsid w:val="00C613C5"/>
    <w:rsid w:val="00C61403"/>
    <w:rsid w:val="00C6163D"/>
    <w:rsid w:val="00C616A8"/>
    <w:rsid w:val="00C61730"/>
    <w:rsid w:val="00C61752"/>
    <w:rsid w:val="00C61957"/>
    <w:rsid w:val="00C61981"/>
    <w:rsid w:val="00C61A08"/>
    <w:rsid w:val="00C61AD7"/>
    <w:rsid w:val="00C61AF7"/>
    <w:rsid w:val="00C61DB1"/>
    <w:rsid w:val="00C61DD9"/>
    <w:rsid w:val="00C61E1A"/>
    <w:rsid w:val="00C61E45"/>
    <w:rsid w:val="00C62018"/>
    <w:rsid w:val="00C62030"/>
    <w:rsid w:val="00C62164"/>
    <w:rsid w:val="00C622C0"/>
    <w:rsid w:val="00C622D2"/>
    <w:rsid w:val="00C6237E"/>
    <w:rsid w:val="00C623C9"/>
    <w:rsid w:val="00C6242B"/>
    <w:rsid w:val="00C62540"/>
    <w:rsid w:val="00C62822"/>
    <w:rsid w:val="00C6286C"/>
    <w:rsid w:val="00C62AEF"/>
    <w:rsid w:val="00C62BA2"/>
    <w:rsid w:val="00C62BB1"/>
    <w:rsid w:val="00C62CA9"/>
    <w:rsid w:val="00C62D23"/>
    <w:rsid w:val="00C62DAD"/>
    <w:rsid w:val="00C62DF9"/>
    <w:rsid w:val="00C63038"/>
    <w:rsid w:val="00C630CF"/>
    <w:rsid w:val="00C63189"/>
    <w:rsid w:val="00C631AF"/>
    <w:rsid w:val="00C631E2"/>
    <w:rsid w:val="00C63241"/>
    <w:rsid w:val="00C633C1"/>
    <w:rsid w:val="00C63465"/>
    <w:rsid w:val="00C635BA"/>
    <w:rsid w:val="00C63701"/>
    <w:rsid w:val="00C63B5E"/>
    <w:rsid w:val="00C63BB4"/>
    <w:rsid w:val="00C63D11"/>
    <w:rsid w:val="00C63E0A"/>
    <w:rsid w:val="00C63F4A"/>
    <w:rsid w:val="00C64207"/>
    <w:rsid w:val="00C64CE4"/>
    <w:rsid w:val="00C64E69"/>
    <w:rsid w:val="00C64F6B"/>
    <w:rsid w:val="00C650AA"/>
    <w:rsid w:val="00C6512A"/>
    <w:rsid w:val="00C65293"/>
    <w:rsid w:val="00C6539C"/>
    <w:rsid w:val="00C65414"/>
    <w:rsid w:val="00C65557"/>
    <w:rsid w:val="00C65AF5"/>
    <w:rsid w:val="00C65C92"/>
    <w:rsid w:val="00C66057"/>
    <w:rsid w:val="00C66353"/>
    <w:rsid w:val="00C663B0"/>
    <w:rsid w:val="00C66485"/>
    <w:rsid w:val="00C66624"/>
    <w:rsid w:val="00C6666E"/>
    <w:rsid w:val="00C66706"/>
    <w:rsid w:val="00C66A72"/>
    <w:rsid w:val="00C66ACF"/>
    <w:rsid w:val="00C66BEB"/>
    <w:rsid w:val="00C66D0E"/>
    <w:rsid w:val="00C66F83"/>
    <w:rsid w:val="00C67313"/>
    <w:rsid w:val="00C673AF"/>
    <w:rsid w:val="00C673E9"/>
    <w:rsid w:val="00C67510"/>
    <w:rsid w:val="00C675B3"/>
    <w:rsid w:val="00C6766A"/>
    <w:rsid w:val="00C676E0"/>
    <w:rsid w:val="00C67A8F"/>
    <w:rsid w:val="00C67AA9"/>
    <w:rsid w:val="00C67D80"/>
    <w:rsid w:val="00C70005"/>
    <w:rsid w:val="00C700C0"/>
    <w:rsid w:val="00C702F1"/>
    <w:rsid w:val="00C70546"/>
    <w:rsid w:val="00C7064E"/>
    <w:rsid w:val="00C70676"/>
    <w:rsid w:val="00C7067B"/>
    <w:rsid w:val="00C70A83"/>
    <w:rsid w:val="00C70AB0"/>
    <w:rsid w:val="00C70B12"/>
    <w:rsid w:val="00C70BAB"/>
    <w:rsid w:val="00C70C49"/>
    <w:rsid w:val="00C70CC4"/>
    <w:rsid w:val="00C70DFC"/>
    <w:rsid w:val="00C70E8D"/>
    <w:rsid w:val="00C70EE7"/>
    <w:rsid w:val="00C7147D"/>
    <w:rsid w:val="00C715D6"/>
    <w:rsid w:val="00C716BC"/>
    <w:rsid w:val="00C71754"/>
    <w:rsid w:val="00C71807"/>
    <w:rsid w:val="00C71945"/>
    <w:rsid w:val="00C71977"/>
    <w:rsid w:val="00C7199D"/>
    <w:rsid w:val="00C71D03"/>
    <w:rsid w:val="00C71EA1"/>
    <w:rsid w:val="00C7210F"/>
    <w:rsid w:val="00C7222B"/>
    <w:rsid w:val="00C722C3"/>
    <w:rsid w:val="00C72386"/>
    <w:rsid w:val="00C725F3"/>
    <w:rsid w:val="00C725FE"/>
    <w:rsid w:val="00C72644"/>
    <w:rsid w:val="00C72CF6"/>
    <w:rsid w:val="00C72DF3"/>
    <w:rsid w:val="00C7319C"/>
    <w:rsid w:val="00C738DD"/>
    <w:rsid w:val="00C73B6E"/>
    <w:rsid w:val="00C73E1C"/>
    <w:rsid w:val="00C74245"/>
    <w:rsid w:val="00C74284"/>
    <w:rsid w:val="00C746DA"/>
    <w:rsid w:val="00C74ABF"/>
    <w:rsid w:val="00C74C9A"/>
    <w:rsid w:val="00C74D35"/>
    <w:rsid w:val="00C74D54"/>
    <w:rsid w:val="00C74EDF"/>
    <w:rsid w:val="00C74F1C"/>
    <w:rsid w:val="00C74FF2"/>
    <w:rsid w:val="00C7536C"/>
    <w:rsid w:val="00C754D2"/>
    <w:rsid w:val="00C754F6"/>
    <w:rsid w:val="00C75544"/>
    <w:rsid w:val="00C75752"/>
    <w:rsid w:val="00C75918"/>
    <w:rsid w:val="00C7595B"/>
    <w:rsid w:val="00C75976"/>
    <w:rsid w:val="00C759C4"/>
    <w:rsid w:val="00C76015"/>
    <w:rsid w:val="00C761CB"/>
    <w:rsid w:val="00C763BD"/>
    <w:rsid w:val="00C76491"/>
    <w:rsid w:val="00C76585"/>
    <w:rsid w:val="00C766F0"/>
    <w:rsid w:val="00C76791"/>
    <w:rsid w:val="00C76923"/>
    <w:rsid w:val="00C769AF"/>
    <w:rsid w:val="00C76A28"/>
    <w:rsid w:val="00C76BC1"/>
    <w:rsid w:val="00C76E25"/>
    <w:rsid w:val="00C76E62"/>
    <w:rsid w:val="00C770BE"/>
    <w:rsid w:val="00C773AB"/>
    <w:rsid w:val="00C774A5"/>
    <w:rsid w:val="00C774C6"/>
    <w:rsid w:val="00C77708"/>
    <w:rsid w:val="00C777AB"/>
    <w:rsid w:val="00C77B2A"/>
    <w:rsid w:val="00C77B66"/>
    <w:rsid w:val="00C77DAA"/>
    <w:rsid w:val="00C77E71"/>
    <w:rsid w:val="00C801E9"/>
    <w:rsid w:val="00C806FA"/>
    <w:rsid w:val="00C80703"/>
    <w:rsid w:val="00C80807"/>
    <w:rsid w:val="00C80940"/>
    <w:rsid w:val="00C8095D"/>
    <w:rsid w:val="00C80D16"/>
    <w:rsid w:val="00C80D1D"/>
    <w:rsid w:val="00C80D5F"/>
    <w:rsid w:val="00C80E3E"/>
    <w:rsid w:val="00C80ECE"/>
    <w:rsid w:val="00C811D6"/>
    <w:rsid w:val="00C81450"/>
    <w:rsid w:val="00C815EA"/>
    <w:rsid w:val="00C8199B"/>
    <w:rsid w:val="00C81B8F"/>
    <w:rsid w:val="00C81F00"/>
    <w:rsid w:val="00C81FBF"/>
    <w:rsid w:val="00C820A6"/>
    <w:rsid w:val="00C8226A"/>
    <w:rsid w:val="00C822EB"/>
    <w:rsid w:val="00C8238E"/>
    <w:rsid w:val="00C826B9"/>
    <w:rsid w:val="00C82896"/>
    <w:rsid w:val="00C82D10"/>
    <w:rsid w:val="00C83138"/>
    <w:rsid w:val="00C831D5"/>
    <w:rsid w:val="00C83206"/>
    <w:rsid w:val="00C83305"/>
    <w:rsid w:val="00C833C9"/>
    <w:rsid w:val="00C83515"/>
    <w:rsid w:val="00C835A7"/>
    <w:rsid w:val="00C8365F"/>
    <w:rsid w:val="00C83AB3"/>
    <w:rsid w:val="00C83BEF"/>
    <w:rsid w:val="00C83DF5"/>
    <w:rsid w:val="00C83E34"/>
    <w:rsid w:val="00C83E90"/>
    <w:rsid w:val="00C8411B"/>
    <w:rsid w:val="00C84138"/>
    <w:rsid w:val="00C842AA"/>
    <w:rsid w:val="00C843B4"/>
    <w:rsid w:val="00C847AC"/>
    <w:rsid w:val="00C84877"/>
    <w:rsid w:val="00C849E7"/>
    <w:rsid w:val="00C84A4E"/>
    <w:rsid w:val="00C84B6E"/>
    <w:rsid w:val="00C85098"/>
    <w:rsid w:val="00C85315"/>
    <w:rsid w:val="00C853D6"/>
    <w:rsid w:val="00C854AE"/>
    <w:rsid w:val="00C8558A"/>
    <w:rsid w:val="00C85707"/>
    <w:rsid w:val="00C8584B"/>
    <w:rsid w:val="00C85913"/>
    <w:rsid w:val="00C85C40"/>
    <w:rsid w:val="00C860B4"/>
    <w:rsid w:val="00C864C1"/>
    <w:rsid w:val="00C86531"/>
    <w:rsid w:val="00C865EF"/>
    <w:rsid w:val="00C8699D"/>
    <w:rsid w:val="00C86CA0"/>
    <w:rsid w:val="00C86E01"/>
    <w:rsid w:val="00C86E4D"/>
    <w:rsid w:val="00C86E8F"/>
    <w:rsid w:val="00C871CD"/>
    <w:rsid w:val="00C872ED"/>
    <w:rsid w:val="00C87349"/>
    <w:rsid w:val="00C873A6"/>
    <w:rsid w:val="00C873B5"/>
    <w:rsid w:val="00C87453"/>
    <w:rsid w:val="00C876DF"/>
    <w:rsid w:val="00C87891"/>
    <w:rsid w:val="00C878CB"/>
    <w:rsid w:val="00C87A88"/>
    <w:rsid w:val="00C87B37"/>
    <w:rsid w:val="00C87BD2"/>
    <w:rsid w:val="00C87CB2"/>
    <w:rsid w:val="00C87D54"/>
    <w:rsid w:val="00C87DF1"/>
    <w:rsid w:val="00C87F41"/>
    <w:rsid w:val="00C9026C"/>
    <w:rsid w:val="00C90550"/>
    <w:rsid w:val="00C908CC"/>
    <w:rsid w:val="00C90DBE"/>
    <w:rsid w:val="00C90E55"/>
    <w:rsid w:val="00C90FDD"/>
    <w:rsid w:val="00C91118"/>
    <w:rsid w:val="00C911EF"/>
    <w:rsid w:val="00C9133B"/>
    <w:rsid w:val="00C91368"/>
    <w:rsid w:val="00C91696"/>
    <w:rsid w:val="00C91728"/>
    <w:rsid w:val="00C91753"/>
    <w:rsid w:val="00C917E1"/>
    <w:rsid w:val="00C9183B"/>
    <w:rsid w:val="00C91B32"/>
    <w:rsid w:val="00C91E3F"/>
    <w:rsid w:val="00C92399"/>
    <w:rsid w:val="00C923FA"/>
    <w:rsid w:val="00C9244A"/>
    <w:rsid w:val="00C9245E"/>
    <w:rsid w:val="00C929A1"/>
    <w:rsid w:val="00C92C41"/>
    <w:rsid w:val="00C92ECA"/>
    <w:rsid w:val="00C93625"/>
    <w:rsid w:val="00C93879"/>
    <w:rsid w:val="00C93BB4"/>
    <w:rsid w:val="00C93BED"/>
    <w:rsid w:val="00C93C6C"/>
    <w:rsid w:val="00C93CCD"/>
    <w:rsid w:val="00C93FF6"/>
    <w:rsid w:val="00C9403B"/>
    <w:rsid w:val="00C9407E"/>
    <w:rsid w:val="00C94160"/>
    <w:rsid w:val="00C9423F"/>
    <w:rsid w:val="00C94291"/>
    <w:rsid w:val="00C944AD"/>
    <w:rsid w:val="00C94524"/>
    <w:rsid w:val="00C946C5"/>
    <w:rsid w:val="00C946C8"/>
    <w:rsid w:val="00C94A28"/>
    <w:rsid w:val="00C94B91"/>
    <w:rsid w:val="00C94E0B"/>
    <w:rsid w:val="00C94E52"/>
    <w:rsid w:val="00C94E95"/>
    <w:rsid w:val="00C9512C"/>
    <w:rsid w:val="00C95199"/>
    <w:rsid w:val="00C952F1"/>
    <w:rsid w:val="00C9549E"/>
    <w:rsid w:val="00C954BC"/>
    <w:rsid w:val="00C95577"/>
    <w:rsid w:val="00C956EE"/>
    <w:rsid w:val="00C95779"/>
    <w:rsid w:val="00C9596C"/>
    <w:rsid w:val="00C95AAA"/>
    <w:rsid w:val="00C95ABC"/>
    <w:rsid w:val="00C95BE7"/>
    <w:rsid w:val="00C95DDC"/>
    <w:rsid w:val="00C95F0B"/>
    <w:rsid w:val="00C960B6"/>
    <w:rsid w:val="00C961BF"/>
    <w:rsid w:val="00C9625A"/>
    <w:rsid w:val="00C96498"/>
    <w:rsid w:val="00C96592"/>
    <w:rsid w:val="00C96824"/>
    <w:rsid w:val="00C96863"/>
    <w:rsid w:val="00C96941"/>
    <w:rsid w:val="00C96A50"/>
    <w:rsid w:val="00C96B18"/>
    <w:rsid w:val="00C96BD1"/>
    <w:rsid w:val="00C96D09"/>
    <w:rsid w:val="00C96D25"/>
    <w:rsid w:val="00C96DB4"/>
    <w:rsid w:val="00C971CA"/>
    <w:rsid w:val="00C9720C"/>
    <w:rsid w:val="00C9765E"/>
    <w:rsid w:val="00C97B84"/>
    <w:rsid w:val="00C97BDC"/>
    <w:rsid w:val="00C97D1A"/>
    <w:rsid w:val="00C97E16"/>
    <w:rsid w:val="00C97FCE"/>
    <w:rsid w:val="00CA011F"/>
    <w:rsid w:val="00CA0234"/>
    <w:rsid w:val="00CA05FD"/>
    <w:rsid w:val="00CA0E81"/>
    <w:rsid w:val="00CA1022"/>
    <w:rsid w:val="00CA1317"/>
    <w:rsid w:val="00CA150A"/>
    <w:rsid w:val="00CA1570"/>
    <w:rsid w:val="00CA160D"/>
    <w:rsid w:val="00CA172E"/>
    <w:rsid w:val="00CA1738"/>
    <w:rsid w:val="00CA1861"/>
    <w:rsid w:val="00CA199A"/>
    <w:rsid w:val="00CA1BB9"/>
    <w:rsid w:val="00CA1D09"/>
    <w:rsid w:val="00CA1E60"/>
    <w:rsid w:val="00CA1F85"/>
    <w:rsid w:val="00CA26F6"/>
    <w:rsid w:val="00CA2883"/>
    <w:rsid w:val="00CA2911"/>
    <w:rsid w:val="00CA29C9"/>
    <w:rsid w:val="00CA2B98"/>
    <w:rsid w:val="00CA2E70"/>
    <w:rsid w:val="00CA33FC"/>
    <w:rsid w:val="00CA3505"/>
    <w:rsid w:val="00CA3888"/>
    <w:rsid w:val="00CA3AFF"/>
    <w:rsid w:val="00CA3D58"/>
    <w:rsid w:val="00CA3ED5"/>
    <w:rsid w:val="00CA3F56"/>
    <w:rsid w:val="00CA3F91"/>
    <w:rsid w:val="00CA437D"/>
    <w:rsid w:val="00CA44CC"/>
    <w:rsid w:val="00CA4551"/>
    <w:rsid w:val="00CA469A"/>
    <w:rsid w:val="00CA4962"/>
    <w:rsid w:val="00CA4A46"/>
    <w:rsid w:val="00CA4B5E"/>
    <w:rsid w:val="00CA50B9"/>
    <w:rsid w:val="00CA5186"/>
    <w:rsid w:val="00CA526D"/>
    <w:rsid w:val="00CA53F1"/>
    <w:rsid w:val="00CA54E5"/>
    <w:rsid w:val="00CA5881"/>
    <w:rsid w:val="00CA5A16"/>
    <w:rsid w:val="00CA5BDB"/>
    <w:rsid w:val="00CA60A9"/>
    <w:rsid w:val="00CA6115"/>
    <w:rsid w:val="00CA61C9"/>
    <w:rsid w:val="00CA6422"/>
    <w:rsid w:val="00CA6551"/>
    <w:rsid w:val="00CA66EF"/>
    <w:rsid w:val="00CA6753"/>
    <w:rsid w:val="00CA697D"/>
    <w:rsid w:val="00CA6981"/>
    <w:rsid w:val="00CA6ABF"/>
    <w:rsid w:val="00CA6CEE"/>
    <w:rsid w:val="00CA6D9F"/>
    <w:rsid w:val="00CA6DA9"/>
    <w:rsid w:val="00CA6EE0"/>
    <w:rsid w:val="00CA6F10"/>
    <w:rsid w:val="00CA7474"/>
    <w:rsid w:val="00CA7544"/>
    <w:rsid w:val="00CA75EA"/>
    <w:rsid w:val="00CA76E7"/>
    <w:rsid w:val="00CA7BA9"/>
    <w:rsid w:val="00CA7F55"/>
    <w:rsid w:val="00CA7F9B"/>
    <w:rsid w:val="00CB00D5"/>
    <w:rsid w:val="00CB011D"/>
    <w:rsid w:val="00CB03EE"/>
    <w:rsid w:val="00CB0443"/>
    <w:rsid w:val="00CB0890"/>
    <w:rsid w:val="00CB0A12"/>
    <w:rsid w:val="00CB0A8E"/>
    <w:rsid w:val="00CB0AC1"/>
    <w:rsid w:val="00CB0C1E"/>
    <w:rsid w:val="00CB0DFC"/>
    <w:rsid w:val="00CB0F1D"/>
    <w:rsid w:val="00CB108B"/>
    <w:rsid w:val="00CB130A"/>
    <w:rsid w:val="00CB1389"/>
    <w:rsid w:val="00CB143D"/>
    <w:rsid w:val="00CB1517"/>
    <w:rsid w:val="00CB158A"/>
    <w:rsid w:val="00CB1BE7"/>
    <w:rsid w:val="00CB1C2D"/>
    <w:rsid w:val="00CB1C4E"/>
    <w:rsid w:val="00CB1E20"/>
    <w:rsid w:val="00CB22C0"/>
    <w:rsid w:val="00CB26D2"/>
    <w:rsid w:val="00CB2973"/>
    <w:rsid w:val="00CB2A59"/>
    <w:rsid w:val="00CB2AE8"/>
    <w:rsid w:val="00CB2BB5"/>
    <w:rsid w:val="00CB2E0C"/>
    <w:rsid w:val="00CB3309"/>
    <w:rsid w:val="00CB34BF"/>
    <w:rsid w:val="00CB3627"/>
    <w:rsid w:val="00CB3759"/>
    <w:rsid w:val="00CB3995"/>
    <w:rsid w:val="00CB3CB5"/>
    <w:rsid w:val="00CB3CBD"/>
    <w:rsid w:val="00CB3D75"/>
    <w:rsid w:val="00CB3D92"/>
    <w:rsid w:val="00CB3EFF"/>
    <w:rsid w:val="00CB4221"/>
    <w:rsid w:val="00CB4617"/>
    <w:rsid w:val="00CB49CC"/>
    <w:rsid w:val="00CB4A68"/>
    <w:rsid w:val="00CB4ABD"/>
    <w:rsid w:val="00CB4B75"/>
    <w:rsid w:val="00CB4B92"/>
    <w:rsid w:val="00CB4BC6"/>
    <w:rsid w:val="00CB4DC5"/>
    <w:rsid w:val="00CB4E43"/>
    <w:rsid w:val="00CB4E45"/>
    <w:rsid w:val="00CB4F72"/>
    <w:rsid w:val="00CB5003"/>
    <w:rsid w:val="00CB532F"/>
    <w:rsid w:val="00CB5406"/>
    <w:rsid w:val="00CB541C"/>
    <w:rsid w:val="00CB542B"/>
    <w:rsid w:val="00CB54D1"/>
    <w:rsid w:val="00CB57E5"/>
    <w:rsid w:val="00CB590C"/>
    <w:rsid w:val="00CB5920"/>
    <w:rsid w:val="00CB5AB5"/>
    <w:rsid w:val="00CB5AFB"/>
    <w:rsid w:val="00CB5B55"/>
    <w:rsid w:val="00CB5BB8"/>
    <w:rsid w:val="00CB5E1A"/>
    <w:rsid w:val="00CB5EA7"/>
    <w:rsid w:val="00CB6054"/>
    <w:rsid w:val="00CB6055"/>
    <w:rsid w:val="00CB6160"/>
    <w:rsid w:val="00CB6261"/>
    <w:rsid w:val="00CB6307"/>
    <w:rsid w:val="00CB664A"/>
    <w:rsid w:val="00CB6799"/>
    <w:rsid w:val="00CB67C4"/>
    <w:rsid w:val="00CB6800"/>
    <w:rsid w:val="00CB6A49"/>
    <w:rsid w:val="00CB6AEB"/>
    <w:rsid w:val="00CB6B51"/>
    <w:rsid w:val="00CB6DAB"/>
    <w:rsid w:val="00CB715B"/>
    <w:rsid w:val="00CB76E2"/>
    <w:rsid w:val="00CB79CC"/>
    <w:rsid w:val="00CB79D4"/>
    <w:rsid w:val="00CB7A7A"/>
    <w:rsid w:val="00CB7B74"/>
    <w:rsid w:val="00CB7C6A"/>
    <w:rsid w:val="00CB7E68"/>
    <w:rsid w:val="00CB7EDC"/>
    <w:rsid w:val="00CC0095"/>
    <w:rsid w:val="00CC00C8"/>
    <w:rsid w:val="00CC020C"/>
    <w:rsid w:val="00CC0372"/>
    <w:rsid w:val="00CC049C"/>
    <w:rsid w:val="00CC0569"/>
    <w:rsid w:val="00CC07BF"/>
    <w:rsid w:val="00CC086B"/>
    <w:rsid w:val="00CC08C7"/>
    <w:rsid w:val="00CC08D8"/>
    <w:rsid w:val="00CC0951"/>
    <w:rsid w:val="00CC0C37"/>
    <w:rsid w:val="00CC0D36"/>
    <w:rsid w:val="00CC0D6D"/>
    <w:rsid w:val="00CC0D77"/>
    <w:rsid w:val="00CC0EBD"/>
    <w:rsid w:val="00CC0EBF"/>
    <w:rsid w:val="00CC0EE0"/>
    <w:rsid w:val="00CC0FCA"/>
    <w:rsid w:val="00CC12CB"/>
    <w:rsid w:val="00CC1436"/>
    <w:rsid w:val="00CC15AC"/>
    <w:rsid w:val="00CC194D"/>
    <w:rsid w:val="00CC1AD6"/>
    <w:rsid w:val="00CC1B0C"/>
    <w:rsid w:val="00CC1E0E"/>
    <w:rsid w:val="00CC1E42"/>
    <w:rsid w:val="00CC1F12"/>
    <w:rsid w:val="00CC2250"/>
    <w:rsid w:val="00CC2339"/>
    <w:rsid w:val="00CC2431"/>
    <w:rsid w:val="00CC245B"/>
    <w:rsid w:val="00CC246A"/>
    <w:rsid w:val="00CC25D6"/>
    <w:rsid w:val="00CC271C"/>
    <w:rsid w:val="00CC2731"/>
    <w:rsid w:val="00CC273D"/>
    <w:rsid w:val="00CC276E"/>
    <w:rsid w:val="00CC2A23"/>
    <w:rsid w:val="00CC2B0F"/>
    <w:rsid w:val="00CC3005"/>
    <w:rsid w:val="00CC3013"/>
    <w:rsid w:val="00CC301A"/>
    <w:rsid w:val="00CC313B"/>
    <w:rsid w:val="00CC355F"/>
    <w:rsid w:val="00CC37B6"/>
    <w:rsid w:val="00CC3857"/>
    <w:rsid w:val="00CC3859"/>
    <w:rsid w:val="00CC38AB"/>
    <w:rsid w:val="00CC3AC4"/>
    <w:rsid w:val="00CC3E79"/>
    <w:rsid w:val="00CC3F75"/>
    <w:rsid w:val="00CC44E9"/>
    <w:rsid w:val="00CC4504"/>
    <w:rsid w:val="00CC4507"/>
    <w:rsid w:val="00CC4531"/>
    <w:rsid w:val="00CC4732"/>
    <w:rsid w:val="00CC4769"/>
    <w:rsid w:val="00CC4809"/>
    <w:rsid w:val="00CC48EA"/>
    <w:rsid w:val="00CC49E5"/>
    <w:rsid w:val="00CC4A5F"/>
    <w:rsid w:val="00CC4C62"/>
    <w:rsid w:val="00CC4D7F"/>
    <w:rsid w:val="00CC4F23"/>
    <w:rsid w:val="00CC5206"/>
    <w:rsid w:val="00CC52C2"/>
    <w:rsid w:val="00CC54AA"/>
    <w:rsid w:val="00CC55CA"/>
    <w:rsid w:val="00CC566D"/>
    <w:rsid w:val="00CC5A07"/>
    <w:rsid w:val="00CC5DA9"/>
    <w:rsid w:val="00CC5EBC"/>
    <w:rsid w:val="00CC6652"/>
    <w:rsid w:val="00CC671B"/>
    <w:rsid w:val="00CC6756"/>
    <w:rsid w:val="00CC67A4"/>
    <w:rsid w:val="00CC6CF7"/>
    <w:rsid w:val="00CC6DA9"/>
    <w:rsid w:val="00CC7253"/>
    <w:rsid w:val="00CC7675"/>
    <w:rsid w:val="00CC7718"/>
    <w:rsid w:val="00CC7BC9"/>
    <w:rsid w:val="00CC7CBF"/>
    <w:rsid w:val="00CC7E9C"/>
    <w:rsid w:val="00CC7F2A"/>
    <w:rsid w:val="00CC7FC9"/>
    <w:rsid w:val="00CD0250"/>
    <w:rsid w:val="00CD0352"/>
    <w:rsid w:val="00CD04E2"/>
    <w:rsid w:val="00CD05BB"/>
    <w:rsid w:val="00CD0857"/>
    <w:rsid w:val="00CD091A"/>
    <w:rsid w:val="00CD09A1"/>
    <w:rsid w:val="00CD0B28"/>
    <w:rsid w:val="00CD0DD3"/>
    <w:rsid w:val="00CD0E7E"/>
    <w:rsid w:val="00CD103A"/>
    <w:rsid w:val="00CD103D"/>
    <w:rsid w:val="00CD1713"/>
    <w:rsid w:val="00CD1836"/>
    <w:rsid w:val="00CD1E7A"/>
    <w:rsid w:val="00CD1F3C"/>
    <w:rsid w:val="00CD2249"/>
    <w:rsid w:val="00CD238E"/>
    <w:rsid w:val="00CD2593"/>
    <w:rsid w:val="00CD306D"/>
    <w:rsid w:val="00CD37AD"/>
    <w:rsid w:val="00CD3865"/>
    <w:rsid w:val="00CD3964"/>
    <w:rsid w:val="00CD3974"/>
    <w:rsid w:val="00CD3D40"/>
    <w:rsid w:val="00CD42D6"/>
    <w:rsid w:val="00CD43F3"/>
    <w:rsid w:val="00CD4440"/>
    <w:rsid w:val="00CD457D"/>
    <w:rsid w:val="00CD4637"/>
    <w:rsid w:val="00CD4D23"/>
    <w:rsid w:val="00CD4D9A"/>
    <w:rsid w:val="00CD50F3"/>
    <w:rsid w:val="00CD52FA"/>
    <w:rsid w:val="00CD5326"/>
    <w:rsid w:val="00CD53AE"/>
    <w:rsid w:val="00CD54EA"/>
    <w:rsid w:val="00CD553D"/>
    <w:rsid w:val="00CD55EF"/>
    <w:rsid w:val="00CD5CB7"/>
    <w:rsid w:val="00CD5D35"/>
    <w:rsid w:val="00CD5DFC"/>
    <w:rsid w:val="00CD5E2E"/>
    <w:rsid w:val="00CD63E0"/>
    <w:rsid w:val="00CD65B3"/>
    <w:rsid w:val="00CD67CD"/>
    <w:rsid w:val="00CD68C0"/>
    <w:rsid w:val="00CD69B0"/>
    <w:rsid w:val="00CD6B2E"/>
    <w:rsid w:val="00CD6D55"/>
    <w:rsid w:val="00CD6E12"/>
    <w:rsid w:val="00CD6E37"/>
    <w:rsid w:val="00CD7104"/>
    <w:rsid w:val="00CD72A8"/>
    <w:rsid w:val="00CD7311"/>
    <w:rsid w:val="00CD7428"/>
    <w:rsid w:val="00CD750E"/>
    <w:rsid w:val="00CD7564"/>
    <w:rsid w:val="00CD7940"/>
    <w:rsid w:val="00CD79C9"/>
    <w:rsid w:val="00CD7BBE"/>
    <w:rsid w:val="00CE01F1"/>
    <w:rsid w:val="00CE02E8"/>
    <w:rsid w:val="00CE04A1"/>
    <w:rsid w:val="00CE04C7"/>
    <w:rsid w:val="00CE0666"/>
    <w:rsid w:val="00CE086E"/>
    <w:rsid w:val="00CE0B4E"/>
    <w:rsid w:val="00CE0BA4"/>
    <w:rsid w:val="00CE0F59"/>
    <w:rsid w:val="00CE1191"/>
    <w:rsid w:val="00CE1209"/>
    <w:rsid w:val="00CE133D"/>
    <w:rsid w:val="00CE153E"/>
    <w:rsid w:val="00CE1A20"/>
    <w:rsid w:val="00CE1A50"/>
    <w:rsid w:val="00CE1E40"/>
    <w:rsid w:val="00CE21A1"/>
    <w:rsid w:val="00CE22AB"/>
    <w:rsid w:val="00CE232C"/>
    <w:rsid w:val="00CE2560"/>
    <w:rsid w:val="00CE2791"/>
    <w:rsid w:val="00CE27D2"/>
    <w:rsid w:val="00CE2957"/>
    <w:rsid w:val="00CE2AB9"/>
    <w:rsid w:val="00CE2CBC"/>
    <w:rsid w:val="00CE2F03"/>
    <w:rsid w:val="00CE32F4"/>
    <w:rsid w:val="00CE33B5"/>
    <w:rsid w:val="00CE33C9"/>
    <w:rsid w:val="00CE3441"/>
    <w:rsid w:val="00CE3476"/>
    <w:rsid w:val="00CE358A"/>
    <w:rsid w:val="00CE369A"/>
    <w:rsid w:val="00CE37C5"/>
    <w:rsid w:val="00CE37FE"/>
    <w:rsid w:val="00CE3901"/>
    <w:rsid w:val="00CE3A98"/>
    <w:rsid w:val="00CE3B94"/>
    <w:rsid w:val="00CE3DFF"/>
    <w:rsid w:val="00CE3E67"/>
    <w:rsid w:val="00CE4488"/>
    <w:rsid w:val="00CE4557"/>
    <w:rsid w:val="00CE4596"/>
    <w:rsid w:val="00CE4649"/>
    <w:rsid w:val="00CE475E"/>
    <w:rsid w:val="00CE4796"/>
    <w:rsid w:val="00CE4A7C"/>
    <w:rsid w:val="00CE4BBA"/>
    <w:rsid w:val="00CE4C85"/>
    <w:rsid w:val="00CE4D34"/>
    <w:rsid w:val="00CE4E7A"/>
    <w:rsid w:val="00CE4F2F"/>
    <w:rsid w:val="00CE4FE0"/>
    <w:rsid w:val="00CE5133"/>
    <w:rsid w:val="00CE5298"/>
    <w:rsid w:val="00CE53BB"/>
    <w:rsid w:val="00CE53F8"/>
    <w:rsid w:val="00CE5418"/>
    <w:rsid w:val="00CE543C"/>
    <w:rsid w:val="00CE5561"/>
    <w:rsid w:val="00CE5652"/>
    <w:rsid w:val="00CE5664"/>
    <w:rsid w:val="00CE57BE"/>
    <w:rsid w:val="00CE5864"/>
    <w:rsid w:val="00CE5A0D"/>
    <w:rsid w:val="00CE5A8F"/>
    <w:rsid w:val="00CE5BAA"/>
    <w:rsid w:val="00CE5C96"/>
    <w:rsid w:val="00CE5CA7"/>
    <w:rsid w:val="00CE5E5D"/>
    <w:rsid w:val="00CE5FC8"/>
    <w:rsid w:val="00CE6118"/>
    <w:rsid w:val="00CE64F0"/>
    <w:rsid w:val="00CE65C1"/>
    <w:rsid w:val="00CE6763"/>
    <w:rsid w:val="00CE676A"/>
    <w:rsid w:val="00CE6877"/>
    <w:rsid w:val="00CE696C"/>
    <w:rsid w:val="00CE6976"/>
    <w:rsid w:val="00CE6E13"/>
    <w:rsid w:val="00CE6F05"/>
    <w:rsid w:val="00CE6FBB"/>
    <w:rsid w:val="00CE714B"/>
    <w:rsid w:val="00CE72B5"/>
    <w:rsid w:val="00CE7797"/>
    <w:rsid w:val="00CE7851"/>
    <w:rsid w:val="00CE789B"/>
    <w:rsid w:val="00CE792A"/>
    <w:rsid w:val="00CE7CA5"/>
    <w:rsid w:val="00CF0333"/>
    <w:rsid w:val="00CF03D1"/>
    <w:rsid w:val="00CF0428"/>
    <w:rsid w:val="00CF043A"/>
    <w:rsid w:val="00CF084C"/>
    <w:rsid w:val="00CF095C"/>
    <w:rsid w:val="00CF0D5D"/>
    <w:rsid w:val="00CF0E66"/>
    <w:rsid w:val="00CF0F36"/>
    <w:rsid w:val="00CF106A"/>
    <w:rsid w:val="00CF10E4"/>
    <w:rsid w:val="00CF156F"/>
    <w:rsid w:val="00CF15DB"/>
    <w:rsid w:val="00CF161D"/>
    <w:rsid w:val="00CF16E2"/>
    <w:rsid w:val="00CF1A3C"/>
    <w:rsid w:val="00CF1B31"/>
    <w:rsid w:val="00CF1B76"/>
    <w:rsid w:val="00CF1BDE"/>
    <w:rsid w:val="00CF1BF4"/>
    <w:rsid w:val="00CF1C25"/>
    <w:rsid w:val="00CF1D95"/>
    <w:rsid w:val="00CF1E74"/>
    <w:rsid w:val="00CF1EEC"/>
    <w:rsid w:val="00CF242E"/>
    <w:rsid w:val="00CF24FE"/>
    <w:rsid w:val="00CF2690"/>
    <w:rsid w:val="00CF2750"/>
    <w:rsid w:val="00CF2776"/>
    <w:rsid w:val="00CF2A79"/>
    <w:rsid w:val="00CF2B3D"/>
    <w:rsid w:val="00CF2BD7"/>
    <w:rsid w:val="00CF2DE8"/>
    <w:rsid w:val="00CF2E5A"/>
    <w:rsid w:val="00CF2F02"/>
    <w:rsid w:val="00CF300B"/>
    <w:rsid w:val="00CF309D"/>
    <w:rsid w:val="00CF31F5"/>
    <w:rsid w:val="00CF3501"/>
    <w:rsid w:val="00CF355E"/>
    <w:rsid w:val="00CF375D"/>
    <w:rsid w:val="00CF3777"/>
    <w:rsid w:val="00CF3945"/>
    <w:rsid w:val="00CF3B67"/>
    <w:rsid w:val="00CF3C47"/>
    <w:rsid w:val="00CF3FE1"/>
    <w:rsid w:val="00CF4039"/>
    <w:rsid w:val="00CF4110"/>
    <w:rsid w:val="00CF430F"/>
    <w:rsid w:val="00CF473E"/>
    <w:rsid w:val="00CF4829"/>
    <w:rsid w:val="00CF4AE1"/>
    <w:rsid w:val="00CF4EE9"/>
    <w:rsid w:val="00CF4F7F"/>
    <w:rsid w:val="00CF5018"/>
    <w:rsid w:val="00CF5209"/>
    <w:rsid w:val="00CF5238"/>
    <w:rsid w:val="00CF528A"/>
    <w:rsid w:val="00CF57F1"/>
    <w:rsid w:val="00CF59E2"/>
    <w:rsid w:val="00CF5E2A"/>
    <w:rsid w:val="00CF6059"/>
    <w:rsid w:val="00CF623E"/>
    <w:rsid w:val="00CF623F"/>
    <w:rsid w:val="00CF6320"/>
    <w:rsid w:val="00CF664F"/>
    <w:rsid w:val="00CF66ED"/>
    <w:rsid w:val="00CF683B"/>
    <w:rsid w:val="00CF6A80"/>
    <w:rsid w:val="00CF6DBB"/>
    <w:rsid w:val="00CF6E07"/>
    <w:rsid w:val="00CF6E92"/>
    <w:rsid w:val="00CF6F74"/>
    <w:rsid w:val="00CF7017"/>
    <w:rsid w:val="00CF7080"/>
    <w:rsid w:val="00CF72E9"/>
    <w:rsid w:val="00CF75A2"/>
    <w:rsid w:val="00CF7B31"/>
    <w:rsid w:val="00CF7B47"/>
    <w:rsid w:val="00CF7BC5"/>
    <w:rsid w:val="00CF7D40"/>
    <w:rsid w:val="00CF7ECD"/>
    <w:rsid w:val="00CF7F7A"/>
    <w:rsid w:val="00CF7FF0"/>
    <w:rsid w:val="00D00009"/>
    <w:rsid w:val="00D001FA"/>
    <w:rsid w:val="00D00312"/>
    <w:rsid w:val="00D003FB"/>
    <w:rsid w:val="00D00490"/>
    <w:rsid w:val="00D00499"/>
    <w:rsid w:val="00D00806"/>
    <w:rsid w:val="00D00AE6"/>
    <w:rsid w:val="00D00BD4"/>
    <w:rsid w:val="00D00EA0"/>
    <w:rsid w:val="00D00F50"/>
    <w:rsid w:val="00D01232"/>
    <w:rsid w:val="00D0132F"/>
    <w:rsid w:val="00D016B3"/>
    <w:rsid w:val="00D016DC"/>
    <w:rsid w:val="00D017C2"/>
    <w:rsid w:val="00D0186C"/>
    <w:rsid w:val="00D01D37"/>
    <w:rsid w:val="00D01DDD"/>
    <w:rsid w:val="00D01F43"/>
    <w:rsid w:val="00D02076"/>
    <w:rsid w:val="00D02139"/>
    <w:rsid w:val="00D02490"/>
    <w:rsid w:val="00D02692"/>
    <w:rsid w:val="00D0286C"/>
    <w:rsid w:val="00D02937"/>
    <w:rsid w:val="00D02962"/>
    <w:rsid w:val="00D02A69"/>
    <w:rsid w:val="00D02B7A"/>
    <w:rsid w:val="00D02BD2"/>
    <w:rsid w:val="00D02D6B"/>
    <w:rsid w:val="00D02E89"/>
    <w:rsid w:val="00D0306E"/>
    <w:rsid w:val="00D030E7"/>
    <w:rsid w:val="00D0310C"/>
    <w:rsid w:val="00D03295"/>
    <w:rsid w:val="00D03358"/>
    <w:rsid w:val="00D03429"/>
    <w:rsid w:val="00D034B0"/>
    <w:rsid w:val="00D03AD7"/>
    <w:rsid w:val="00D03C2D"/>
    <w:rsid w:val="00D03EA8"/>
    <w:rsid w:val="00D043EF"/>
    <w:rsid w:val="00D043F8"/>
    <w:rsid w:val="00D04462"/>
    <w:rsid w:val="00D04463"/>
    <w:rsid w:val="00D0459D"/>
    <w:rsid w:val="00D04F34"/>
    <w:rsid w:val="00D04FF8"/>
    <w:rsid w:val="00D0514D"/>
    <w:rsid w:val="00D055B9"/>
    <w:rsid w:val="00D0572D"/>
    <w:rsid w:val="00D0577E"/>
    <w:rsid w:val="00D0599E"/>
    <w:rsid w:val="00D05A9D"/>
    <w:rsid w:val="00D05AF6"/>
    <w:rsid w:val="00D05B60"/>
    <w:rsid w:val="00D05F20"/>
    <w:rsid w:val="00D05F9D"/>
    <w:rsid w:val="00D05F9E"/>
    <w:rsid w:val="00D05FA7"/>
    <w:rsid w:val="00D060C9"/>
    <w:rsid w:val="00D0614F"/>
    <w:rsid w:val="00D062C0"/>
    <w:rsid w:val="00D0637F"/>
    <w:rsid w:val="00D063AF"/>
    <w:rsid w:val="00D06563"/>
    <w:rsid w:val="00D0664E"/>
    <w:rsid w:val="00D06701"/>
    <w:rsid w:val="00D067F3"/>
    <w:rsid w:val="00D06974"/>
    <w:rsid w:val="00D06984"/>
    <w:rsid w:val="00D069E5"/>
    <w:rsid w:val="00D06B02"/>
    <w:rsid w:val="00D06B0A"/>
    <w:rsid w:val="00D06CA1"/>
    <w:rsid w:val="00D06D2B"/>
    <w:rsid w:val="00D07146"/>
    <w:rsid w:val="00D07204"/>
    <w:rsid w:val="00D072A1"/>
    <w:rsid w:val="00D07542"/>
    <w:rsid w:val="00D076D2"/>
    <w:rsid w:val="00D077D1"/>
    <w:rsid w:val="00D07904"/>
    <w:rsid w:val="00D07961"/>
    <w:rsid w:val="00D0798F"/>
    <w:rsid w:val="00D079A4"/>
    <w:rsid w:val="00D07A05"/>
    <w:rsid w:val="00D07A2F"/>
    <w:rsid w:val="00D07A57"/>
    <w:rsid w:val="00D07BE2"/>
    <w:rsid w:val="00D07C62"/>
    <w:rsid w:val="00D07C70"/>
    <w:rsid w:val="00D07D68"/>
    <w:rsid w:val="00D07D88"/>
    <w:rsid w:val="00D07DB5"/>
    <w:rsid w:val="00D07E2C"/>
    <w:rsid w:val="00D07EA4"/>
    <w:rsid w:val="00D100AC"/>
    <w:rsid w:val="00D10176"/>
    <w:rsid w:val="00D10738"/>
    <w:rsid w:val="00D107A2"/>
    <w:rsid w:val="00D10831"/>
    <w:rsid w:val="00D10853"/>
    <w:rsid w:val="00D10A44"/>
    <w:rsid w:val="00D10FA5"/>
    <w:rsid w:val="00D10FC1"/>
    <w:rsid w:val="00D110BB"/>
    <w:rsid w:val="00D11815"/>
    <w:rsid w:val="00D11914"/>
    <w:rsid w:val="00D11CCA"/>
    <w:rsid w:val="00D11E38"/>
    <w:rsid w:val="00D11EFB"/>
    <w:rsid w:val="00D11FF3"/>
    <w:rsid w:val="00D12076"/>
    <w:rsid w:val="00D1212A"/>
    <w:rsid w:val="00D121F8"/>
    <w:rsid w:val="00D122AB"/>
    <w:rsid w:val="00D12443"/>
    <w:rsid w:val="00D12770"/>
    <w:rsid w:val="00D127E7"/>
    <w:rsid w:val="00D12B00"/>
    <w:rsid w:val="00D12BEF"/>
    <w:rsid w:val="00D12E6F"/>
    <w:rsid w:val="00D13036"/>
    <w:rsid w:val="00D13203"/>
    <w:rsid w:val="00D13308"/>
    <w:rsid w:val="00D13487"/>
    <w:rsid w:val="00D135A8"/>
    <w:rsid w:val="00D135B7"/>
    <w:rsid w:val="00D1377A"/>
    <w:rsid w:val="00D13A9E"/>
    <w:rsid w:val="00D13CE6"/>
    <w:rsid w:val="00D13F18"/>
    <w:rsid w:val="00D1400E"/>
    <w:rsid w:val="00D14336"/>
    <w:rsid w:val="00D144B7"/>
    <w:rsid w:val="00D144E4"/>
    <w:rsid w:val="00D14568"/>
    <w:rsid w:val="00D14587"/>
    <w:rsid w:val="00D148B6"/>
    <w:rsid w:val="00D14CF6"/>
    <w:rsid w:val="00D14D52"/>
    <w:rsid w:val="00D14EE1"/>
    <w:rsid w:val="00D150CF"/>
    <w:rsid w:val="00D1523A"/>
    <w:rsid w:val="00D15242"/>
    <w:rsid w:val="00D152EE"/>
    <w:rsid w:val="00D153EB"/>
    <w:rsid w:val="00D154C4"/>
    <w:rsid w:val="00D159FB"/>
    <w:rsid w:val="00D15B64"/>
    <w:rsid w:val="00D15C25"/>
    <w:rsid w:val="00D15FD3"/>
    <w:rsid w:val="00D1612D"/>
    <w:rsid w:val="00D162AB"/>
    <w:rsid w:val="00D162DC"/>
    <w:rsid w:val="00D16409"/>
    <w:rsid w:val="00D16429"/>
    <w:rsid w:val="00D16588"/>
    <w:rsid w:val="00D1659B"/>
    <w:rsid w:val="00D1669B"/>
    <w:rsid w:val="00D16758"/>
    <w:rsid w:val="00D16809"/>
    <w:rsid w:val="00D168B5"/>
    <w:rsid w:val="00D169C9"/>
    <w:rsid w:val="00D16A63"/>
    <w:rsid w:val="00D16A84"/>
    <w:rsid w:val="00D16AFD"/>
    <w:rsid w:val="00D16C5B"/>
    <w:rsid w:val="00D16D65"/>
    <w:rsid w:val="00D172C8"/>
    <w:rsid w:val="00D17304"/>
    <w:rsid w:val="00D1739F"/>
    <w:rsid w:val="00D177FA"/>
    <w:rsid w:val="00D17873"/>
    <w:rsid w:val="00D17B24"/>
    <w:rsid w:val="00D17D2A"/>
    <w:rsid w:val="00D17D40"/>
    <w:rsid w:val="00D2009D"/>
    <w:rsid w:val="00D200F8"/>
    <w:rsid w:val="00D2021C"/>
    <w:rsid w:val="00D20390"/>
    <w:rsid w:val="00D203F6"/>
    <w:rsid w:val="00D20517"/>
    <w:rsid w:val="00D206BB"/>
    <w:rsid w:val="00D2081F"/>
    <w:rsid w:val="00D208D0"/>
    <w:rsid w:val="00D20D94"/>
    <w:rsid w:val="00D20DB9"/>
    <w:rsid w:val="00D20E63"/>
    <w:rsid w:val="00D21413"/>
    <w:rsid w:val="00D21449"/>
    <w:rsid w:val="00D21629"/>
    <w:rsid w:val="00D218A6"/>
    <w:rsid w:val="00D21AA1"/>
    <w:rsid w:val="00D21B31"/>
    <w:rsid w:val="00D222B2"/>
    <w:rsid w:val="00D222C3"/>
    <w:rsid w:val="00D22406"/>
    <w:rsid w:val="00D2253B"/>
    <w:rsid w:val="00D225A7"/>
    <w:rsid w:val="00D22669"/>
    <w:rsid w:val="00D227A5"/>
    <w:rsid w:val="00D22911"/>
    <w:rsid w:val="00D229EA"/>
    <w:rsid w:val="00D22AC4"/>
    <w:rsid w:val="00D22ADB"/>
    <w:rsid w:val="00D22BA3"/>
    <w:rsid w:val="00D22C0E"/>
    <w:rsid w:val="00D23052"/>
    <w:rsid w:val="00D231BB"/>
    <w:rsid w:val="00D23466"/>
    <w:rsid w:val="00D2347F"/>
    <w:rsid w:val="00D2352D"/>
    <w:rsid w:val="00D237F3"/>
    <w:rsid w:val="00D2388D"/>
    <w:rsid w:val="00D238A1"/>
    <w:rsid w:val="00D239A9"/>
    <w:rsid w:val="00D239C0"/>
    <w:rsid w:val="00D2425A"/>
    <w:rsid w:val="00D2425B"/>
    <w:rsid w:val="00D242C3"/>
    <w:rsid w:val="00D24347"/>
    <w:rsid w:val="00D244FE"/>
    <w:rsid w:val="00D245D1"/>
    <w:rsid w:val="00D249D1"/>
    <w:rsid w:val="00D24B76"/>
    <w:rsid w:val="00D24B7D"/>
    <w:rsid w:val="00D24D4B"/>
    <w:rsid w:val="00D24DD1"/>
    <w:rsid w:val="00D24F01"/>
    <w:rsid w:val="00D24F5B"/>
    <w:rsid w:val="00D24F73"/>
    <w:rsid w:val="00D25142"/>
    <w:rsid w:val="00D251A1"/>
    <w:rsid w:val="00D251DD"/>
    <w:rsid w:val="00D25236"/>
    <w:rsid w:val="00D25328"/>
    <w:rsid w:val="00D254E6"/>
    <w:rsid w:val="00D257DC"/>
    <w:rsid w:val="00D25875"/>
    <w:rsid w:val="00D25BE3"/>
    <w:rsid w:val="00D26161"/>
    <w:rsid w:val="00D26173"/>
    <w:rsid w:val="00D261F1"/>
    <w:rsid w:val="00D2625B"/>
    <w:rsid w:val="00D262DF"/>
    <w:rsid w:val="00D264D1"/>
    <w:rsid w:val="00D265E6"/>
    <w:rsid w:val="00D26638"/>
    <w:rsid w:val="00D269E0"/>
    <w:rsid w:val="00D26B69"/>
    <w:rsid w:val="00D26C4A"/>
    <w:rsid w:val="00D26D77"/>
    <w:rsid w:val="00D26EE2"/>
    <w:rsid w:val="00D27119"/>
    <w:rsid w:val="00D271BA"/>
    <w:rsid w:val="00D27358"/>
    <w:rsid w:val="00D2764A"/>
    <w:rsid w:val="00D27739"/>
    <w:rsid w:val="00D277EC"/>
    <w:rsid w:val="00D27833"/>
    <w:rsid w:val="00D278F2"/>
    <w:rsid w:val="00D27CF5"/>
    <w:rsid w:val="00D27E93"/>
    <w:rsid w:val="00D30948"/>
    <w:rsid w:val="00D30A58"/>
    <w:rsid w:val="00D30AB6"/>
    <w:rsid w:val="00D30C25"/>
    <w:rsid w:val="00D30E31"/>
    <w:rsid w:val="00D30F22"/>
    <w:rsid w:val="00D310A2"/>
    <w:rsid w:val="00D3118F"/>
    <w:rsid w:val="00D311E2"/>
    <w:rsid w:val="00D31493"/>
    <w:rsid w:val="00D31496"/>
    <w:rsid w:val="00D31568"/>
    <w:rsid w:val="00D31573"/>
    <w:rsid w:val="00D31697"/>
    <w:rsid w:val="00D31711"/>
    <w:rsid w:val="00D31B8D"/>
    <w:rsid w:val="00D31BCB"/>
    <w:rsid w:val="00D31C67"/>
    <w:rsid w:val="00D32106"/>
    <w:rsid w:val="00D323D2"/>
    <w:rsid w:val="00D32613"/>
    <w:rsid w:val="00D32709"/>
    <w:rsid w:val="00D32D58"/>
    <w:rsid w:val="00D32E09"/>
    <w:rsid w:val="00D3318D"/>
    <w:rsid w:val="00D33223"/>
    <w:rsid w:val="00D334F5"/>
    <w:rsid w:val="00D33685"/>
    <w:rsid w:val="00D336AE"/>
    <w:rsid w:val="00D3375D"/>
    <w:rsid w:val="00D33786"/>
    <w:rsid w:val="00D338D0"/>
    <w:rsid w:val="00D339E0"/>
    <w:rsid w:val="00D33AA8"/>
    <w:rsid w:val="00D33DB1"/>
    <w:rsid w:val="00D33ED1"/>
    <w:rsid w:val="00D33F10"/>
    <w:rsid w:val="00D34147"/>
    <w:rsid w:val="00D341C2"/>
    <w:rsid w:val="00D348F3"/>
    <w:rsid w:val="00D34B75"/>
    <w:rsid w:val="00D34BA1"/>
    <w:rsid w:val="00D34BAA"/>
    <w:rsid w:val="00D34DA0"/>
    <w:rsid w:val="00D34EA8"/>
    <w:rsid w:val="00D352A4"/>
    <w:rsid w:val="00D353BC"/>
    <w:rsid w:val="00D354B3"/>
    <w:rsid w:val="00D35616"/>
    <w:rsid w:val="00D356F2"/>
    <w:rsid w:val="00D35938"/>
    <w:rsid w:val="00D35A4D"/>
    <w:rsid w:val="00D35D11"/>
    <w:rsid w:val="00D35E8A"/>
    <w:rsid w:val="00D35F14"/>
    <w:rsid w:val="00D35F22"/>
    <w:rsid w:val="00D36245"/>
    <w:rsid w:val="00D36428"/>
    <w:rsid w:val="00D3673B"/>
    <w:rsid w:val="00D36A6D"/>
    <w:rsid w:val="00D36BD4"/>
    <w:rsid w:val="00D36F78"/>
    <w:rsid w:val="00D36FCA"/>
    <w:rsid w:val="00D37166"/>
    <w:rsid w:val="00D37444"/>
    <w:rsid w:val="00D37463"/>
    <w:rsid w:val="00D376D1"/>
    <w:rsid w:val="00D378A5"/>
    <w:rsid w:val="00D37C2C"/>
    <w:rsid w:val="00D37C35"/>
    <w:rsid w:val="00D37E4E"/>
    <w:rsid w:val="00D37EB4"/>
    <w:rsid w:val="00D37ED5"/>
    <w:rsid w:val="00D40192"/>
    <w:rsid w:val="00D40258"/>
    <w:rsid w:val="00D40444"/>
    <w:rsid w:val="00D4057D"/>
    <w:rsid w:val="00D405BB"/>
    <w:rsid w:val="00D408D4"/>
    <w:rsid w:val="00D4090C"/>
    <w:rsid w:val="00D40DC1"/>
    <w:rsid w:val="00D40EB2"/>
    <w:rsid w:val="00D40F28"/>
    <w:rsid w:val="00D40F72"/>
    <w:rsid w:val="00D4107A"/>
    <w:rsid w:val="00D410CA"/>
    <w:rsid w:val="00D41220"/>
    <w:rsid w:val="00D41222"/>
    <w:rsid w:val="00D41237"/>
    <w:rsid w:val="00D4123C"/>
    <w:rsid w:val="00D4163E"/>
    <w:rsid w:val="00D41C23"/>
    <w:rsid w:val="00D41CE0"/>
    <w:rsid w:val="00D41DED"/>
    <w:rsid w:val="00D41F1F"/>
    <w:rsid w:val="00D42026"/>
    <w:rsid w:val="00D420C4"/>
    <w:rsid w:val="00D421E1"/>
    <w:rsid w:val="00D42571"/>
    <w:rsid w:val="00D426C8"/>
    <w:rsid w:val="00D429A6"/>
    <w:rsid w:val="00D42D27"/>
    <w:rsid w:val="00D42DF8"/>
    <w:rsid w:val="00D4318D"/>
    <w:rsid w:val="00D43225"/>
    <w:rsid w:val="00D433CF"/>
    <w:rsid w:val="00D43490"/>
    <w:rsid w:val="00D434C1"/>
    <w:rsid w:val="00D4357A"/>
    <w:rsid w:val="00D436C5"/>
    <w:rsid w:val="00D43788"/>
    <w:rsid w:val="00D439C3"/>
    <w:rsid w:val="00D43A76"/>
    <w:rsid w:val="00D43BEE"/>
    <w:rsid w:val="00D43D75"/>
    <w:rsid w:val="00D43F37"/>
    <w:rsid w:val="00D44124"/>
    <w:rsid w:val="00D441CC"/>
    <w:rsid w:val="00D442FE"/>
    <w:rsid w:val="00D44315"/>
    <w:rsid w:val="00D44366"/>
    <w:rsid w:val="00D4447A"/>
    <w:rsid w:val="00D444C0"/>
    <w:rsid w:val="00D44610"/>
    <w:rsid w:val="00D449B3"/>
    <w:rsid w:val="00D449F9"/>
    <w:rsid w:val="00D44C95"/>
    <w:rsid w:val="00D45013"/>
    <w:rsid w:val="00D45178"/>
    <w:rsid w:val="00D452CB"/>
    <w:rsid w:val="00D454D2"/>
    <w:rsid w:val="00D45564"/>
    <w:rsid w:val="00D456BC"/>
    <w:rsid w:val="00D45793"/>
    <w:rsid w:val="00D45A18"/>
    <w:rsid w:val="00D45B09"/>
    <w:rsid w:val="00D45B9A"/>
    <w:rsid w:val="00D45BFA"/>
    <w:rsid w:val="00D45CF6"/>
    <w:rsid w:val="00D45D3C"/>
    <w:rsid w:val="00D4631A"/>
    <w:rsid w:val="00D46455"/>
    <w:rsid w:val="00D46466"/>
    <w:rsid w:val="00D464BD"/>
    <w:rsid w:val="00D464E0"/>
    <w:rsid w:val="00D4674C"/>
    <w:rsid w:val="00D46788"/>
    <w:rsid w:val="00D46799"/>
    <w:rsid w:val="00D46C43"/>
    <w:rsid w:val="00D46F12"/>
    <w:rsid w:val="00D46F8C"/>
    <w:rsid w:val="00D4719E"/>
    <w:rsid w:val="00D471F8"/>
    <w:rsid w:val="00D4731D"/>
    <w:rsid w:val="00D4735F"/>
    <w:rsid w:val="00D4744C"/>
    <w:rsid w:val="00D476A6"/>
    <w:rsid w:val="00D476BB"/>
    <w:rsid w:val="00D47823"/>
    <w:rsid w:val="00D479E1"/>
    <w:rsid w:val="00D47A41"/>
    <w:rsid w:val="00D47A73"/>
    <w:rsid w:val="00D47A86"/>
    <w:rsid w:val="00D47D45"/>
    <w:rsid w:val="00D47FA3"/>
    <w:rsid w:val="00D47FCA"/>
    <w:rsid w:val="00D500E4"/>
    <w:rsid w:val="00D5028D"/>
    <w:rsid w:val="00D5031A"/>
    <w:rsid w:val="00D50665"/>
    <w:rsid w:val="00D50A6F"/>
    <w:rsid w:val="00D50BB8"/>
    <w:rsid w:val="00D50CA6"/>
    <w:rsid w:val="00D50DF0"/>
    <w:rsid w:val="00D50E5D"/>
    <w:rsid w:val="00D50F26"/>
    <w:rsid w:val="00D50F74"/>
    <w:rsid w:val="00D51083"/>
    <w:rsid w:val="00D51404"/>
    <w:rsid w:val="00D51525"/>
    <w:rsid w:val="00D515C2"/>
    <w:rsid w:val="00D515EF"/>
    <w:rsid w:val="00D517E8"/>
    <w:rsid w:val="00D51854"/>
    <w:rsid w:val="00D519AD"/>
    <w:rsid w:val="00D51D9C"/>
    <w:rsid w:val="00D51DCA"/>
    <w:rsid w:val="00D51E76"/>
    <w:rsid w:val="00D52007"/>
    <w:rsid w:val="00D5213D"/>
    <w:rsid w:val="00D52532"/>
    <w:rsid w:val="00D525D2"/>
    <w:rsid w:val="00D52672"/>
    <w:rsid w:val="00D52A57"/>
    <w:rsid w:val="00D52A88"/>
    <w:rsid w:val="00D52C50"/>
    <w:rsid w:val="00D52D8D"/>
    <w:rsid w:val="00D52EB3"/>
    <w:rsid w:val="00D52F41"/>
    <w:rsid w:val="00D53122"/>
    <w:rsid w:val="00D53266"/>
    <w:rsid w:val="00D5340C"/>
    <w:rsid w:val="00D538DD"/>
    <w:rsid w:val="00D5393B"/>
    <w:rsid w:val="00D53AAA"/>
    <w:rsid w:val="00D53D78"/>
    <w:rsid w:val="00D53E92"/>
    <w:rsid w:val="00D54002"/>
    <w:rsid w:val="00D5410A"/>
    <w:rsid w:val="00D54534"/>
    <w:rsid w:val="00D545A0"/>
    <w:rsid w:val="00D546DC"/>
    <w:rsid w:val="00D54A25"/>
    <w:rsid w:val="00D54A62"/>
    <w:rsid w:val="00D54E63"/>
    <w:rsid w:val="00D54F86"/>
    <w:rsid w:val="00D55191"/>
    <w:rsid w:val="00D55355"/>
    <w:rsid w:val="00D553D4"/>
    <w:rsid w:val="00D554D3"/>
    <w:rsid w:val="00D5577C"/>
    <w:rsid w:val="00D55DE5"/>
    <w:rsid w:val="00D55ECE"/>
    <w:rsid w:val="00D55EF2"/>
    <w:rsid w:val="00D55F69"/>
    <w:rsid w:val="00D56306"/>
    <w:rsid w:val="00D56332"/>
    <w:rsid w:val="00D56334"/>
    <w:rsid w:val="00D5644F"/>
    <w:rsid w:val="00D56452"/>
    <w:rsid w:val="00D56460"/>
    <w:rsid w:val="00D567EF"/>
    <w:rsid w:val="00D56AFE"/>
    <w:rsid w:val="00D56CF9"/>
    <w:rsid w:val="00D56EDD"/>
    <w:rsid w:val="00D571AF"/>
    <w:rsid w:val="00D572AC"/>
    <w:rsid w:val="00D578AF"/>
    <w:rsid w:val="00D579CC"/>
    <w:rsid w:val="00D57ADA"/>
    <w:rsid w:val="00D57E56"/>
    <w:rsid w:val="00D57E84"/>
    <w:rsid w:val="00D6001E"/>
    <w:rsid w:val="00D60274"/>
    <w:rsid w:val="00D602CB"/>
    <w:rsid w:val="00D60436"/>
    <w:rsid w:val="00D605E8"/>
    <w:rsid w:val="00D60814"/>
    <w:rsid w:val="00D60DDE"/>
    <w:rsid w:val="00D6101F"/>
    <w:rsid w:val="00D610ED"/>
    <w:rsid w:val="00D61850"/>
    <w:rsid w:val="00D6198F"/>
    <w:rsid w:val="00D61CE8"/>
    <w:rsid w:val="00D61FFE"/>
    <w:rsid w:val="00D62057"/>
    <w:rsid w:val="00D623AE"/>
    <w:rsid w:val="00D62BF2"/>
    <w:rsid w:val="00D62C18"/>
    <w:rsid w:val="00D62F7B"/>
    <w:rsid w:val="00D62FC2"/>
    <w:rsid w:val="00D63133"/>
    <w:rsid w:val="00D6315C"/>
    <w:rsid w:val="00D6339C"/>
    <w:rsid w:val="00D633D9"/>
    <w:rsid w:val="00D6345A"/>
    <w:rsid w:val="00D63799"/>
    <w:rsid w:val="00D63928"/>
    <w:rsid w:val="00D63A82"/>
    <w:rsid w:val="00D640F9"/>
    <w:rsid w:val="00D6411E"/>
    <w:rsid w:val="00D6427A"/>
    <w:rsid w:val="00D64652"/>
    <w:rsid w:val="00D647E4"/>
    <w:rsid w:val="00D64A54"/>
    <w:rsid w:val="00D64BFF"/>
    <w:rsid w:val="00D64D45"/>
    <w:rsid w:val="00D64D72"/>
    <w:rsid w:val="00D64E59"/>
    <w:rsid w:val="00D64F82"/>
    <w:rsid w:val="00D65269"/>
    <w:rsid w:val="00D65510"/>
    <w:rsid w:val="00D6567A"/>
    <w:rsid w:val="00D656BB"/>
    <w:rsid w:val="00D656DC"/>
    <w:rsid w:val="00D65B18"/>
    <w:rsid w:val="00D65E57"/>
    <w:rsid w:val="00D65E8B"/>
    <w:rsid w:val="00D660DA"/>
    <w:rsid w:val="00D660FA"/>
    <w:rsid w:val="00D6610E"/>
    <w:rsid w:val="00D663C2"/>
    <w:rsid w:val="00D665A4"/>
    <w:rsid w:val="00D6661E"/>
    <w:rsid w:val="00D666A7"/>
    <w:rsid w:val="00D66AA0"/>
    <w:rsid w:val="00D66AFD"/>
    <w:rsid w:val="00D67014"/>
    <w:rsid w:val="00D6731D"/>
    <w:rsid w:val="00D67419"/>
    <w:rsid w:val="00D67774"/>
    <w:rsid w:val="00D679A2"/>
    <w:rsid w:val="00D67A77"/>
    <w:rsid w:val="00D67B6C"/>
    <w:rsid w:val="00D67E76"/>
    <w:rsid w:val="00D67F43"/>
    <w:rsid w:val="00D67FA6"/>
    <w:rsid w:val="00D7018A"/>
    <w:rsid w:val="00D703EA"/>
    <w:rsid w:val="00D70A22"/>
    <w:rsid w:val="00D70B9B"/>
    <w:rsid w:val="00D70BE5"/>
    <w:rsid w:val="00D70DCC"/>
    <w:rsid w:val="00D70F42"/>
    <w:rsid w:val="00D713CD"/>
    <w:rsid w:val="00D71469"/>
    <w:rsid w:val="00D7150F"/>
    <w:rsid w:val="00D71552"/>
    <w:rsid w:val="00D71556"/>
    <w:rsid w:val="00D71629"/>
    <w:rsid w:val="00D71642"/>
    <w:rsid w:val="00D71689"/>
    <w:rsid w:val="00D7178E"/>
    <w:rsid w:val="00D7183D"/>
    <w:rsid w:val="00D71A25"/>
    <w:rsid w:val="00D71A3B"/>
    <w:rsid w:val="00D71A4B"/>
    <w:rsid w:val="00D71C4E"/>
    <w:rsid w:val="00D71EFE"/>
    <w:rsid w:val="00D71F04"/>
    <w:rsid w:val="00D720A9"/>
    <w:rsid w:val="00D724AA"/>
    <w:rsid w:val="00D72558"/>
    <w:rsid w:val="00D726A2"/>
    <w:rsid w:val="00D72AE1"/>
    <w:rsid w:val="00D72DFC"/>
    <w:rsid w:val="00D72ECD"/>
    <w:rsid w:val="00D73040"/>
    <w:rsid w:val="00D73150"/>
    <w:rsid w:val="00D731D5"/>
    <w:rsid w:val="00D7321E"/>
    <w:rsid w:val="00D734C2"/>
    <w:rsid w:val="00D73969"/>
    <w:rsid w:val="00D73CA8"/>
    <w:rsid w:val="00D7400D"/>
    <w:rsid w:val="00D7403D"/>
    <w:rsid w:val="00D7405A"/>
    <w:rsid w:val="00D74119"/>
    <w:rsid w:val="00D742AE"/>
    <w:rsid w:val="00D742F7"/>
    <w:rsid w:val="00D74640"/>
    <w:rsid w:val="00D748D0"/>
    <w:rsid w:val="00D7491D"/>
    <w:rsid w:val="00D74A36"/>
    <w:rsid w:val="00D74C0C"/>
    <w:rsid w:val="00D74D20"/>
    <w:rsid w:val="00D74E11"/>
    <w:rsid w:val="00D75093"/>
    <w:rsid w:val="00D7538E"/>
    <w:rsid w:val="00D753CF"/>
    <w:rsid w:val="00D756F9"/>
    <w:rsid w:val="00D757D6"/>
    <w:rsid w:val="00D759D3"/>
    <w:rsid w:val="00D75B1A"/>
    <w:rsid w:val="00D75FBF"/>
    <w:rsid w:val="00D760F7"/>
    <w:rsid w:val="00D76573"/>
    <w:rsid w:val="00D7663C"/>
    <w:rsid w:val="00D76686"/>
    <w:rsid w:val="00D7674F"/>
    <w:rsid w:val="00D769DA"/>
    <w:rsid w:val="00D76B4D"/>
    <w:rsid w:val="00D76D75"/>
    <w:rsid w:val="00D76F4A"/>
    <w:rsid w:val="00D76F8B"/>
    <w:rsid w:val="00D76FAE"/>
    <w:rsid w:val="00D77267"/>
    <w:rsid w:val="00D77575"/>
    <w:rsid w:val="00D7783B"/>
    <w:rsid w:val="00D77857"/>
    <w:rsid w:val="00D779BC"/>
    <w:rsid w:val="00D77B61"/>
    <w:rsid w:val="00D77C0E"/>
    <w:rsid w:val="00D77D79"/>
    <w:rsid w:val="00D77EC9"/>
    <w:rsid w:val="00D80115"/>
    <w:rsid w:val="00D80167"/>
    <w:rsid w:val="00D80295"/>
    <w:rsid w:val="00D802C0"/>
    <w:rsid w:val="00D8034A"/>
    <w:rsid w:val="00D806FA"/>
    <w:rsid w:val="00D809F2"/>
    <w:rsid w:val="00D80AED"/>
    <w:rsid w:val="00D80B07"/>
    <w:rsid w:val="00D80C22"/>
    <w:rsid w:val="00D80DC6"/>
    <w:rsid w:val="00D80E07"/>
    <w:rsid w:val="00D80EE2"/>
    <w:rsid w:val="00D814AC"/>
    <w:rsid w:val="00D8159F"/>
    <w:rsid w:val="00D81883"/>
    <w:rsid w:val="00D818C8"/>
    <w:rsid w:val="00D819FF"/>
    <w:rsid w:val="00D81B89"/>
    <w:rsid w:val="00D81C38"/>
    <w:rsid w:val="00D81CDA"/>
    <w:rsid w:val="00D81D18"/>
    <w:rsid w:val="00D81D3A"/>
    <w:rsid w:val="00D81D81"/>
    <w:rsid w:val="00D82325"/>
    <w:rsid w:val="00D824E0"/>
    <w:rsid w:val="00D82B5D"/>
    <w:rsid w:val="00D82CDE"/>
    <w:rsid w:val="00D82D32"/>
    <w:rsid w:val="00D82E25"/>
    <w:rsid w:val="00D82F45"/>
    <w:rsid w:val="00D82F87"/>
    <w:rsid w:val="00D8326C"/>
    <w:rsid w:val="00D833AC"/>
    <w:rsid w:val="00D83B24"/>
    <w:rsid w:val="00D83B69"/>
    <w:rsid w:val="00D83DBB"/>
    <w:rsid w:val="00D8416B"/>
    <w:rsid w:val="00D841CD"/>
    <w:rsid w:val="00D84347"/>
    <w:rsid w:val="00D8434B"/>
    <w:rsid w:val="00D84469"/>
    <w:rsid w:val="00D847C7"/>
    <w:rsid w:val="00D848F0"/>
    <w:rsid w:val="00D84A4A"/>
    <w:rsid w:val="00D84AE1"/>
    <w:rsid w:val="00D84BAB"/>
    <w:rsid w:val="00D851A2"/>
    <w:rsid w:val="00D852D9"/>
    <w:rsid w:val="00D85C98"/>
    <w:rsid w:val="00D86073"/>
    <w:rsid w:val="00D8647B"/>
    <w:rsid w:val="00D866FA"/>
    <w:rsid w:val="00D8676F"/>
    <w:rsid w:val="00D8683E"/>
    <w:rsid w:val="00D868E6"/>
    <w:rsid w:val="00D86A16"/>
    <w:rsid w:val="00D86CB5"/>
    <w:rsid w:val="00D86CFD"/>
    <w:rsid w:val="00D86E0A"/>
    <w:rsid w:val="00D86FE9"/>
    <w:rsid w:val="00D870D5"/>
    <w:rsid w:val="00D87198"/>
    <w:rsid w:val="00D8738C"/>
    <w:rsid w:val="00D874DF"/>
    <w:rsid w:val="00D877FA"/>
    <w:rsid w:val="00D87C4C"/>
    <w:rsid w:val="00D87E4B"/>
    <w:rsid w:val="00D87EB8"/>
    <w:rsid w:val="00D87F6A"/>
    <w:rsid w:val="00D9004C"/>
    <w:rsid w:val="00D901F3"/>
    <w:rsid w:val="00D9031F"/>
    <w:rsid w:val="00D9072C"/>
    <w:rsid w:val="00D90803"/>
    <w:rsid w:val="00D90809"/>
    <w:rsid w:val="00D909B1"/>
    <w:rsid w:val="00D90DCE"/>
    <w:rsid w:val="00D90E14"/>
    <w:rsid w:val="00D9103D"/>
    <w:rsid w:val="00D911D4"/>
    <w:rsid w:val="00D911F8"/>
    <w:rsid w:val="00D912CB"/>
    <w:rsid w:val="00D9137D"/>
    <w:rsid w:val="00D91581"/>
    <w:rsid w:val="00D91954"/>
    <w:rsid w:val="00D91A26"/>
    <w:rsid w:val="00D91C0D"/>
    <w:rsid w:val="00D91C95"/>
    <w:rsid w:val="00D91DD0"/>
    <w:rsid w:val="00D91FED"/>
    <w:rsid w:val="00D92154"/>
    <w:rsid w:val="00D92173"/>
    <w:rsid w:val="00D9218A"/>
    <w:rsid w:val="00D92293"/>
    <w:rsid w:val="00D92385"/>
    <w:rsid w:val="00D92744"/>
    <w:rsid w:val="00D9274B"/>
    <w:rsid w:val="00D92904"/>
    <w:rsid w:val="00D92978"/>
    <w:rsid w:val="00D92B48"/>
    <w:rsid w:val="00D92C1F"/>
    <w:rsid w:val="00D92CAF"/>
    <w:rsid w:val="00D92E7B"/>
    <w:rsid w:val="00D92F8E"/>
    <w:rsid w:val="00D9304D"/>
    <w:rsid w:val="00D933E6"/>
    <w:rsid w:val="00D9395B"/>
    <w:rsid w:val="00D93BAE"/>
    <w:rsid w:val="00D93BFA"/>
    <w:rsid w:val="00D93CF8"/>
    <w:rsid w:val="00D93D08"/>
    <w:rsid w:val="00D93D5B"/>
    <w:rsid w:val="00D93E95"/>
    <w:rsid w:val="00D93FF9"/>
    <w:rsid w:val="00D941D1"/>
    <w:rsid w:val="00D942F6"/>
    <w:rsid w:val="00D9470E"/>
    <w:rsid w:val="00D9478F"/>
    <w:rsid w:val="00D94845"/>
    <w:rsid w:val="00D94851"/>
    <w:rsid w:val="00D948C5"/>
    <w:rsid w:val="00D94A91"/>
    <w:rsid w:val="00D94AD7"/>
    <w:rsid w:val="00D94AF3"/>
    <w:rsid w:val="00D94E93"/>
    <w:rsid w:val="00D954F1"/>
    <w:rsid w:val="00D956A1"/>
    <w:rsid w:val="00D95768"/>
    <w:rsid w:val="00D95BFB"/>
    <w:rsid w:val="00D95F3D"/>
    <w:rsid w:val="00D9636B"/>
    <w:rsid w:val="00D9648A"/>
    <w:rsid w:val="00D96633"/>
    <w:rsid w:val="00D967DA"/>
    <w:rsid w:val="00D968E4"/>
    <w:rsid w:val="00D96B51"/>
    <w:rsid w:val="00D96E1F"/>
    <w:rsid w:val="00D97068"/>
    <w:rsid w:val="00D9712E"/>
    <w:rsid w:val="00D97517"/>
    <w:rsid w:val="00D97529"/>
    <w:rsid w:val="00D97AB7"/>
    <w:rsid w:val="00D97CDA"/>
    <w:rsid w:val="00D97DA8"/>
    <w:rsid w:val="00D97E05"/>
    <w:rsid w:val="00DA0128"/>
    <w:rsid w:val="00DA033B"/>
    <w:rsid w:val="00DA09D4"/>
    <w:rsid w:val="00DA0AC1"/>
    <w:rsid w:val="00DA0C64"/>
    <w:rsid w:val="00DA0E33"/>
    <w:rsid w:val="00DA102D"/>
    <w:rsid w:val="00DA1032"/>
    <w:rsid w:val="00DA128F"/>
    <w:rsid w:val="00DA13CB"/>
    <w:rsid w:val="00DA168D"/>
    <w:rsid w:val="00DA184E"/>
    <w:rsid w:val="00DA1885"/>
    <w:rsid w:val="00DA1A07"/>
    <w:rsid w:val="00DA1A77"/>
    <w:rsid w:val="00DA1ABB"/>
    <w:rsid w:val="00DA1B3A"/>
    <w:rsid w:val="00DA1B3D"/>
    <w:rsid w:val="00DA1DC9"/>
    <w:rsid w:val="00DA2042"/>
    <w:rsid w:val="00DA2251"/>
    <w:rsid w:val="00DA2420"/>
    <w:rsid w:val="00DA263A"/>
    <w:rsid w:val="00DA2736"/>
    <w:rsid w:val="00DA278B"/>
    <w:rsid w:val="00DA27D4"/>
    <w:rsid w:val="00DA28B1"/>
    <w:rsid w:val="00DA290D"/>
    <w:rsid w:val="00DA29C9"/>
    <w:rsid w:val="00DA2BAA"/>
    <w:rsid w:val="00DA2D14"/>
    <w:rsid w:val="00DA2E4A"/>
    <w:rsid w:val="00DA3002"/>
    <w:rsid w:val="00DA315F"/>
    <w:rsid w:val="00DA31B1"/>
    <w:rsid w:val="00DA3738"/>
    <w:rsid w:val="00DA39A8"/>
    <w:rsid w:val="00DA3D81"/>
    <w:rsid w:val="00DA3DF2"/>
    <w:rsid w:val="00DA3E46"/>
    <w:rsid w:val="00DA463B"/>
    <w:rsid w:val="00DA4759"/>
    <w:rsid w:val="00DA4805"/>
    <w:rsid w:val="00DA487A"/>
    <w:rsid w:val="00DA4B4F"/>
    <w:rsid w:val="00DA4F8B"/>
    <w:rsid w:val="00DA4F91"/>
    <w:rsid w:val="00DA528A"/>
    <w:rsid w:val="00DA547E"/>
    <w:rsid w:val="00DA57F5"/>
    <w:rsid w:val="00DA5871"/>
    <w:rsid w:val="00DA596F"/>
    <w:rsid w:val="00DA5A2C"/>
    <w:rsid w:val="00DA5C04"/>
    <w:rsid w:val="00DA5C6F"/>
    <w:rsid w:val="00DA5D53"/>
    <w:rsid w:val="00DA60BD"/>
    <w:rsid w:val="00DA6539"/>
    <w:rsid w:val="00DA6591"/>
    <w:rsid w:val="00DA66F3"/>
    <w:rsid w:val="00DA6793"/>
    <w:rsid w:val="00DA69E9"/>
    <w:rsid w:val="00DA6AAA"/>
    <w:rsid w:val="00DA6AAB"/>
    <w:rsid w:val="00DA6BBC"/>
    <w:rsid w:val="00DA6BCF"/>
    <w:rsid w:val="00DA6C8F"/>
    <w:rsid w:val="00DA6D46"/>
    <w:rsid w:val="00DA6DDA"/>
    <w:rsid w:val="00DA6EA5"/>
    <w:rsid w:val="00DA6F57"/>
    <w:rsid w:val="00DA73DE"/>
    <w:rsid w:val="00DA7481"/>
    <w:rsid w:val="00DA7B36"/>
    <w:rsid w:val="00DA7B7E"/>
    <w:rsid w:val="00DA7CA1"/>
    <w:rsid w:val="00DA7D0F"/>
    <w:rsid w:val="00DA7DDE"/>
    <w:rsid w:val="00DA7EF6"/>
    <w:rsid w:val="00DB00C9"/>
    <w:rsid w:val="00DB0107"/>
    <w:rsid w:val="00DB0236"/>
    <w:rsid w:val="00DB0319"/>
    <w:rsid w:val="00DB0400"/>
    <w:rsid w:val="00DB0769"/>
    <w:rsid w:val="00DB09BC"/>
    <w:rsid w:val="00DB0B4C"/>
    <w:rsid w:val="00DB0BF4"/>
    <w:rsid w:val="00DB0CE7"/>
    <w:rsid w:val="00DB0DA9"/>
    <w:rsid w:val="00DB0E4B"/>
    <w:rsid w:val="00DB0F6C"/>
    <w:rsid w:val="00DB1217"/>
    <w:rsid w:val="00DB1228"/>
    <w:rsid w:val="00DB126A"/>
    <w:rsid w:val="00DB1274"/>
    <w:rsid w:val="00DB12E4"/>
    <w:rsid w:val="00DB136C"/>
    <w:rsid w:val="00DB13E1"/>
    <w:rsid w:val="00DB1513"/>
    <w:rsid w:val="00DB1560"/>
    <w:rsid w:val="00DB16E8"/>
    <w:rsid w:val="00DB2122"/>
    <w:rsid w:val="00DB212D"/>
    <w:rsid w:val="00DB22BA"/>
    <w:rsid w:val="00DB2469"/>
    <w:rsid w:val="00DB25C0"/>
    <w:rsid w:val="00DB2798"/>
    <w:rsid w:val="00DB28CA"/>
    <w:rsid w:val="00DB2CA1"/>
    <w:rsid w:val="00DB2DFF"/>
    <w:rsid w:val="00DB307E"/>
    <w:rsid w:val="00DB3202"/>
    <w:rsid w:val="00DB34E6"/>
    <w:rsid w:val="00DB3527"/>
    <w:rsid w:val="00DB3701"/>
    <w:rsid w:val="00DB387E"/>
    <w:rsid w:val="00DB3C06"/>
    <w:rsid w:val="00DB3C46"/>
    <w:rsid w:val="00DB40D5"/>
    <w:rsid w:val="00DB410E"/>
    <w:rsid w:val="00DB42B3"/>
    <w:rsid w:val="00DB4331"/>
    <w:rsid w:val="00DB44DB"/>
    <w:rsid w:val="00DB46C8"/>
    <w:rsid w:val="00DB47F0"/>
    <w:rsid w:val="00DB494A"/>
    <w:rsid w:val="00DB4ADE"/>
    <w:rsid w:val="00DB4B7F"/>
    <w:rsid w:val="00DB4CBA"/>
    <w:rsid w:val="00DB4F29"/>
    <w:rsid w:val="00DB4F67"/>
    <w:rsid w:val="00DB5032"/>
    <w:rsid w:val="00DB57AB"/>
    <w:rsid w:val="00DB57B6"/>
    <w:rsid w:val="00DB57C0"/>
    <w:rsid w:val="00DB58F2"/>
    <w:rsid w:val="00DB5BCC"/>
    <w:rsid w:val="00DB60C8"/>
    <w:rsid w:val="00DB615C"/>
    <w:rsid w:val="00DB6646"/>
    <w:rsid w:val="00DB69D1"/>
    <w:rsid w:val="00DB6ABC"/>
    <w:rsid w:val="00DB6B0B"/>
    <w:rsid w:val="00DB6D25"/>
    <w:rsid w:val="00DB6E9E"/>
    <w:rsid w:val="00DB6F66"/>
    <w:rsid w:val="00DB70B6"/>
    <w:rsid w:val="00DB72F4"/>
    <w:rsid w:val="00DB74EC"/>
    <w:rsid w:val="00DB7531"/>
    <w:rsid w:val="00DB763C"/>
    <w:rsid w:val="00DB7769"/>
    <w:rsid w:val="00DB7875"/>
    <w:rsid w:val="00DB78CC"/>
    <w:rsid w:val="00DB799A"/>
    <w:rsid w:val="00DB7A3A"/>
    <w:rsid w:val="00DB7CC2"/>
    <w:rsid w:val="00DB7D1F"/>
    <w:rsid w:val="00DB7E17"/>
    <w:rsid w:val="00DB7EC2"/>
    <w:rsid w:val="00DB7EE7"/>
    <w:rsid w:val="00DB7F4C"/>
    <w:rsid w:val="00DC0051"/>
    <w:rsid w:val="00DC01FC"/>
    <w:rsid w:val="00DC0254"/>
    <w:rsid w:val="00DC029B"/>
    <w:rsid w:val="00DC02C4"/>
    <w:rsid w:val="00DC041C"/>
    <w:rsid w:val="00DC0463"/>
    <w:rsid w:val="00DC05D0"/>
    <w:rsid w:val="00DC09D9"/>
    <w:rsid w:val="00DC0A5F"/>
    <w:rsid w:val="00DC0AED"/>
    <w:rsid w:val="00DC0B7E"/>
    <w:rsid w:val="00DC0C0A"/>
    <w:rsid w:val="00DC0FF5"/>
    <w:rsid w:val="00DC1478"/>
    <w:rsid w:val="00DC149F"/>
    <w:rsid w:val="00DC1679"/>
    <w:rsid w:val="00DC17BE"/>
    <w:rsid w:val="00DC17E3"/>
    <w:rsid w:val="00DC1A3E"/>
    <w:rsid w:val="00DC1A96"/>
    <w:rsid w:val="00DC1AA3"/>
    <w:rsid w:val="00DC1C3E"/>
    <w:rsid w:val="00DC1F1C"/>
    <w:rsid w:val="00DC2190"/>
    <w:rsid w:val="00DC219D"/>
    <w:rsid w:val="00DC2202"/>
    <w:rsid w:val="00DC228E"/>
    <w:rsid w:val="00DC231C"/>
    <w:rsid w:val="00DC2392"/>
    <w:rsid w:val="00DC24F3"/>
    <w:rsid w:val="00DC267D"/>
    <w:rsid w:val="00DC26AC"/>
    <w:rsid w:val="00DC2703"/>
    <w:rsid w:val="00DC27F4"/>
    <w:rsid w:val="00DC289C"/>
    <w:rsid w:val="00DC28AB"/>
    <w:rsid w:val="00DC2A83"/>
    <w:rsid w:val="00DC2A85"/>
    <w:rsid w:val="00DC2EF5"/>
    <w:rsid w:val="00DC32A2"/>
    <w:rsid w:val="00DC3352"/>
    <w:rsid w:val="00DC37C7"/>
    <w:rsid w:val="00DC37EE"/>
    <w:rsid w:val="00DC39A0"/>
    <w:rsid w:val="00DC3AE3"/>
    <w:rsid w:val="00DC3AFF"/>
    <w:rsid w:val="00DC3B55"/>
    <w:rsid w:val="00DC3D45"/>
    <w:rsid w:val="00DC3DAE"/>
    <w:rsid w:val="00DC4407"/>
    <w:rsid w:val="00DC4425"/>
    <w:rsid w:val="00DC451A"/>
    <w:rsid w:val="00DC4930"/>
    <w:rsid w:val="00DC49CE"/>
    <w:rsid w:val="00DC4D17"/>
    <w:rsid w:val="00DC4D41"/>
    <w:rsid w:val="00DC5001"/>
    <w:rsid w:val="00DC5085"/>
    <w:rsid w:val="00DC5177"/>
    <w:rsid w:val="00DC51DA"/>
    <w:rsid w:val="00DC5241"/>
    <w:rsid w:val="00DC58A5"/>
    <w:rsid w:val="00DC596E"/>
    <w:rsid w:val="00DC5A38"/>
    <w:rsid w:val="00DC5DFF"/>
    <w:rsid w:val="00DC5E9C"/>
    <w:rsid w:val="00DC5EDB"/>
    <w:rsid w:val="00DC5EFE"/>
    <w:rsid w:val="00DC5F73"/>
    <w:rsid w:val="00DC5F91"/>
    <w:rsid w:val="00DC6016"/>
    <w:rsid w:val="00DC6041"/>
    <w:rsid w:val="00DC62C5"/>
    <w:rsid w:val="00DC6BA3"/>
    <w:rsid w:val="00DC6EF0"/>
    <w:rsid w:val="00DC701F"/>
    <w:rsid w:val="00DC70D4"/>
    <w:rsid w:val="00DC73AC"/>
    <w:rsid w:val="00DC76D7"/>
    <w:rsid w:val="00DC7723"/>
    <w:rsid w:val="00DC77AD"/>
    <w:rsid w:val="00DC7856"/>
    <w:rsid w:val="00DC791C"/>
    <w:rsid w:val="00DC797F"/>
    <w:rsid w:val="00DC7B2D"/>
    <w:rsid w:val="00DC7E1D"/>
    <w:rsid w:val="00DC7ECF"/>
    <w:rsid w:val="00DD017A"/>
    <w:rsid w:val="00DD01FD"/>
    <w:rsid w:val="00DD0395"/>
    <w:rsid w:val="00DD0621"/>
    <w:rsid w:val="00DD072C"/>
    <w:rsid w:val="00DD0741"/>
    <w:rsid w:val="00DD0829"/>
    <w:rsid w:val="00DD0BE2"/>
    <w:rsid w:val="00DD0C8A"/>
    <w:rsid w:val="00DD0D06"/>
    <w:rsid w:val="00DD0F2E"/>
    <w:rsid w:val="00DD1350"/>
    <w:rsid w:val="00DD13E1"/>
    <w:rsid w:val="00DD159B"/>
    <w:rsid w:val="00DD170E"/>
    <w:rsid w:val="00DD170F"/>
    <w:rsid w:val="00DD1ADF"/>
    <w:rsid w:val="00DD1AE6"/>
    <w:rsid w:val="00DD1B61"/>
    <w:rsid w:val="00DD1BB8"/>
    <w:rsid w:val="00DD1C63"/>
    <w:rsid w:val="00DD1D0A"/>
    <w:rsid w:val="00DD1DC7"/>
    <w:rsid w:val="00DD2207"/>
    <w:rsid w:val="00DD2220"/>
    <w:rsid w:val="00DD2276"/>
    <w:rsid w:val="00DD22B4"/>
    <w:rsid w:val="00DD2629"/>
    <w:rsid w:val="00DD27ED"/>
    <w:rsid w:val="00DD2827"/>
    <w:rsid w:val="00DD285A"/>
    <w:rsid w:val="00DD2897"/>
    <w:rsid w:val="00DD2A06"/>
    <w:rsid w:val="00DD2ADB"/>
    <w:rsid w:val="00DD2B2E"/>
    <w:rsid w:val="00DD2C10"/>
    <w:rsid w:val="00DD361B"/>
    <w:rsid w:val="00DD3B05"/>
    <w:rsid w:val="00DD4204"/>
    <w:rsid w:val="00DD4344"/>
    <w:rsid w:val="00DD4378"/>
    <w:rsid w:val="00DD43F8"/>
    <w:rsid w:val="00DD448B"/>
    <w:rsid w:val="00DD44A0"/>
    <w:rsid w:val="00DD466E"/>
    <w:rsid w:val="00DD47EE"/>
    <w:rsid w:val="00DD4B22"/>
    <w:rsid w:val="00DD4CC6"/>
    <w:rsid w:val="00DD4D73"/>
    <w:rsid w:val="00DD4E0C"/>
    <w:rsid w:val="00DD4EE7"/>
    <w:rsid w:val="00DD4FE5"/>
    <w:rsid w:val="00DD500D"/>
    <w:rsid w:val="00DD5041"/>
    <w:rsid w:val="00DD51DC"/>
    <w:rsid w:val="00DD5246"/>
    <w:rsid w:val="00DD5358"/>
    <w:rsid w:val="00DD5928"/>
    <w:rsid w:val="00DD5969"/>
    <w:rsid w:val="00DD5A1C"/>
    <w:rsid w:val="00DD5A83"/>
    <w:rsid w:val="00DD5D1C"/>
    <w:rsid w:val="00DD5EDA"/>
    <w:rsid w:val="00DD5F50"/>
    <w:rsid w:val="00DD610C"/>
    <w:rsid w:val="00DD62C4"/>
    <w:rsid w:val="00DD63B9"/>
    <w:rsid w:val="00DD662C"/>
    <w:rsid w:val="00DD6731"/>
    <w:rsid w:val="00DD69A9"/>
    <w:rsid w:val="00DD6A3F"/>
    <w:rsid w:val="00DD6D52"/>
    <w:rsid w:val="00DD6DD2"/>
    <w:rsid w:val="00DD7261"/>
    <w:rsid w:val="00DD7496"/>
    <w:rsid w:val="00DD7834"/>
    <w:rsid w:val="00DD7941"/>
    <w:rsid w:val="00DD7985"/>
    <w:rsid w:val="00DD7B87"/>
    <w:rsid w:val="00DD7BCB"/>
    <w:rsid w:val="00DD7D50"/>
    <w:rsid w:val="00DD7DB1"/>
    <w:rsid w:val="00DE01F5"/>
    <w:rsid w:val="00DE05AE"/>
    <w:rsid w:val="00DE0633"/>
    <w:rsid w:val="00DE0722"/>
    <w:rsid w:val="00DE0ECF"/>
    <w:rsid w:val="00DE0ED2"/>
    <w:rsid w:val="00DE0EF5"/>
    <w:rsid w:val="00DE0F69"/>
    <w:rsid w:val="00DE1124"/>
    <w:rsid w:val="00DE11B7"/>
    <w:rsid w:val="00DE13E8"/>
    <w:rsid w:val="00DE14D3"/>
    <w:rsid w:val="00DE150F"/>
    <w:rsid w:val="00DE1591"/>
    <w:rsid w:val="00DE161C"/>
    <w:rsid w:val="00DE1820"/>
    <w:rsid w:val="00DE190A"/>
    <w:rsid w:val="00DE1952"/>
    <w:rsid w:val="00DE1CE3"/>
    <w:rsid w:val="00DE1EC7"/>
    <w:rsid w:val="00DE1F0F"/>
    <w:rsid w:val="00DE2061"/>
    <w:rsid w:val="00DE20CC"/>
    <w:rsid w:val="00DE212B"/>
    <w:rsid w:val="00DE223A"/>
    <w:rsid w:val="00DE2299"/>
    <w:rsid w:val="00DE22AE"/>
    <w:rsid w:val="00DE23E7"/>
    <w:rsid w:val="00DE25A7"/>
    <w:rsid w:val="00DE2637"/>
    <w:rsid w:val="00DE26E1"/>
    <w:rsid w:val="00DE2A2A"/>
    <w:rsid w:val="00DE2B8D"/>
    <w:rsid w:val="00DE2C40"/>
    <w:rsid w:val="00DE2C8C"/>
    <w:rsid w:val="00DE2D9E"/>
    <w:rsid w:val="00DE2E94"/>
    <w:rsid w:val="00DE2F1F"/>
    <w:rsid w:val="00DE2F83"/>
    <w:rsid w:val="00DE2FA8"/>
    <w:rsid w:val="00DE30E4"/>
    <w:rsid w:val="00DE3160"/>
    <w:rsid w:val="00DE32FB"/>
    <w:rsid w:val="00DE352B"/>
    <w:rsid w:val="00DE35DC"/>
    <w:rsid w:val="00DE3749"/>
    <w:rsid w:val="00DE38D7"/>
    <w:rsid w:val="00DE3C68"/>
    <w:rsid w:val="00DE3C83"/>
    <w:rsid w:val="00DE43B0"/>
    <w:rsid w:val="00DE44EA"/>
    <w:rsid w:val="00DE4601"/>
    <w:rsid w:val="00DE4B1C"/>
    <w:rsid w:val="00DE4D36"/>
    <w:rsid w:val="00DE4F58"/>
    <w:rsid w:val="00DE508E"/>
    <w:rsid w:val="00DE51E0"/>
    <w:rsid w:val="00DE5279"/>
    <w:rsid w:val="00DE54C5"/>
    <w:rsid w:val="00DE54E1"/>
    <w:rsid w:val="00DE587A"/>
    <w:rsid w:val="00DE5880"/>
    <w:rsid w:val="00DE593E"/>
    <w:rsid w:val="00DE59B9"/>
    <w:rsid w:val="00DE5FE2"/>
    <w:rsid w:val="00DE6482"/>
    <w:rsid w:val="00DE64BE"/>
    <w:rsid w:val="00DE6677"/>
    <w:rsid w:val="00DE6856"/>
    <w:rsid w:val="00DE68DA"/>
    <w:rsid w:val="00DE6C63"/>
    <w:rsid w:val="00DE6D02"/>
    <w:rsid w:val="00DE6EAF"/>
    <w:rsid w:val="00DE6F3C"/>
    <w:rsid w:val="00DE6F80"/>
    <w:rsid w:val="00DE6FB0"/>
    <w:rsid w:val="00DE70BF"/>
    <w:rsid w:val="00DE74A4"/>
    <w:rsid w:val="00DE7511"/>
    <w:rsid w:val="00DE7584"/>
    <w:rsid w:val="00DE76F4"/>
    <w:rsid w:val="00DE795C"/>
    <w:rsid w:val="00DE7A4F"/>
    <w:rsid w:val="00DE7B97"/>
    <w:rsid w:val="00DE7C0E"/>
    <w:rsid w:val="00DE7C70"/>
    <w:rsid w:val="00DE7E87"/>
    <w:rsid w:val="00DE7F9D"/>
    <w:rsid w:val="00DF00EF"/>
    <w:rsid w:val="00DF0306"/>
    <w:rsid w:val="00DF0337"/>
    <w:rsid w:val="00DF038E"/>
    <w:rsid w:val="00DF06A4"/>
    <w:rsid w:val="00DF076D"/>
    <w:rsid w:val="00DF07EC"/>
    <w:rsid w:val="00DF0867"/>
    <w:rsid w:val="00DF090A"/>
    <w:rsid w:val="00DF0ED4"/>
    <w:rsid w:val="00DF1079"/>
    <w:rsid w:val="00DF133B"/>
    <w:rsid w:val="00DF1343"/>
    <w:rsid w:val="00DF1372"/>
    <w:rsid w:val="00DF1574"/>
    <w:rsid w:val="00DF15C8"/>
    <w:rsid w:val="00DF1638"/>
    <w:rsid w:val="00DF1A1A"/>
    <w:rsid w:val="00DF1AD1"/>
    <w:rsid w:val="00DF1F74"/>
    <w:rsid w:val="00DF212F"/>
    <w:rsid w:val="00DF2288"/>
    <w:rsid w:val="00DF2571"/>
    <w:rsid w:val="00DF2581"/>
    <w:rsid w:val="00DF25C9"/>
    <w:rsid w:val="00DF2A74"/>
    <w:rsid w:val="00DF2B74"/>
    <w:rsid w:val="00DF2B8D"/>
    <w:rsid w:val="00DF2BBD"/>
    <w:rsid w:val="00DF2CD7"/>
    <w:rsid w:val="00DF321C"/>
    <w:rsid w:val="00DF3277"/>
    <w:rsid w:val="00DF332E"/>
    <w:rsid w:val="00DF3358"/>
    <w:rsid w:val="00DF36F1"/>
    <w:rsid w:val="00DF3922"/>
    <w:rsid w:val="00DF3BFF"/>
    <w:rsid w:val="00DF3EC1"/>
    <w:rsid w:val="00DF3FD8"/>
    <w:rsid w:val="00DF41AE"/>
    <w:rsid w:val="00DF42F6"/>
    <w:rsid w:val="00DF4335"/>
    <w:rsid w:val="00DF4439"/>
    <w:rsid w:val="00DF44E5"/>
    <w:rsid w:val="00DF45BD"/>
    <w:rsid w:val="00DF4781"/>
    <w:rsid w:val="00DF4860"/>
    <w:rsid w:val="00DF49E5"/>
    <w:rsid w:val="00DF4DB0"/>
    <w:rsid w:val="00DF4DBF"/>
    <w:rsid w:val="00DF4E2E"/>
    <w:rsid w:val="00DF4F4A"/>
    <w:rsid w:val="00DF53C4"/>
    <w:rsid w:val="00DF5831"/>
    <w:rsid w:val="00DF5873"/>
    <w:rsid w:val="00DF5A8E"/>
    <w:rsid w:val="00DF60AA"/>
    <w:rsid w:val="00DF6374"/>
    <w:rsid w:val="00DF637D"/>
    <w:rsid w:val="00DF63D1"/>
    <w:rsid w:val="00DF640A"/>
    <w:rsid w:val="00DF64C9"/>
    <w:rsid w:val="00DF64DB"/>
    <w:rsid w:val="00DF651A"/>
    <w:rsid w:val="00DF65E8"/>
    <w:rsid w:val="00DF662C"/>
    <w:rsid w:val="00DF66A1"/>
    <w:rsid w:val="00DF6778"/>
    <w:rsid w:val="00DF68BF"/>
    <w:rsid w:val="00DF70EE"/>
    <w:rsid w:val="00DF720D"/>
    <w:rsid w:val="00DF73F8"/>
    <w:rsid w:val="00DF754B"/>
    <w:rsid w:val="00DF761E"/>
    <w:rsid w:val="00DF76B0"/>
    <w:rsid w:val="00DF7730"/>
    <w:rsid w:val="00DF79BD"/>
    <w:rsid w:val="00DF7A5A"/>
    <w:rsid w:val="00DF7D6A"/>
    <w:rsid w:val="00E0004C"/>
    <w:rsid w:val="00E00133"/>
    <w:rsid w:val="00E0030F"/>
    <w:rsid w:val="00E00BE5"/>
    <w:rsid w:val="00E00D07"/>
    <w:rsid w:val="00E00D1B"/>
    <w:rsid w:val="00E012E5"/>
    <w:rsid w:val="00E014A0"/>
    <w:rsid w:val="00E0190A"/>
    <w:rsid w:val="00E01939"/>
    <w:rsid w:val="00E01A2A"/>
    <w:rsid w:val="00E01B5F"/>
    <w:rsid w:val="00E01D91"/>
    <w:rsid w:val="00E01E55"/>
    <w:rsid w:val="00E01E8E"/>
    <w:rsid w:val="00E022FC"/>
    <w:rsid w:val="00E02509"/>
    <w:rsid w:val="00E027CE"/>
    <w:rsid w:val="00E02B8E"/>
    <w:rsid w:val="00E02BE6"/>
    <w:rsid w:val="00E02C36"/>
    <w:rsid w:val="00E03038"/>
    <w:rsid w:val="00E03115"/>
    <w:rsid w:val="00E03241"/>
    <w:rsid w:val="00E03271"/>
    <w:rsid w:val="00E03461"/>
    <w:rsid w:val="00E03580"/>
    <w:rsid w:val="00E035EA"/>
    <w:rsid w:val="00E0370A"/>
    <w:rsid w:val="00E03B6B"/>
    <w:rsid w:val="00E03C67"/>
    <w:rsid w:val="00E04071"/>
    <w:rsid w:val="00E04083"/>
    <w:rsid w:val="00E0425B"/>
    <w:rsid w:val="00E04366"/>
    <w:rsid w:val="00E0446E"/>
    <w:rsid w:val="00E0452A"/>
    <w:rsid w:val="00E0471E"/>
    <w:rsid w:val="00E04C67"/>
    <w:rsid w:val="00E04E02"/>
    <w:rsid w:val="00E04EB0"/>
    <w:rsid w:val="00E050CC"/>
    <w:rsid w:val="00E05304"/>
    <w:rsid w:val="00E05376"/>
    <w:rsid w:val="00E0545C"/>
    <w:rsid w:val="00E056A4"/>
    <w:rsid w:val="00E05988"/>
    <w:rsid w:val="00E05BEB"/>
    <w:rsid w:val="00E05D1E"/>
    <w:rsid w:val="00E05FE3"/>
    <w:rsid w:val="00E0604A"/>
    <w:rsid w:val="00E0655D"/>
    <w:rsid w:val="00E066D6"/>
    <w:rsid w:val="00E066E4"/>
    <w:rsid w:val="00E06771"/>
    <w:rsid w:val="00E0687A"/>
    <w:rsid w:val="00E068BE"/>
    <w:rsid w:val="00E0693C"/>
    <w:rsid w:val="00E06D0B"/>
    <w:rsid w:val="00E06DFC"/>
    <w:rsid w:val="00E06EB7"/>
    <w:rsid w:val="00E06F3E"/>
    <w:rsid w:val="00E0704C"/>
    <w:rsid w:val="00E07139"/>
    <w:rsid w:val="00E0724D"/>
    <w:rsid w:val="00E0727A"/>
    <w:rsid w:val="00E075E0"/>
    <w:rsid w:val="00E079F1"/>
    <w:rsid w:val="00E07ADE"/>
    <w:rsid w:val="00E07C63"/>
    <w:rsid w:val="00E07CE6"/>
    <w:rsid w:val="00E07D4B"/>
    <w:rsid w:val="00E07D5A"/>
    <w:rsid w:val="00E1002E"/>
    <w:rsid w:val="00E100FD"/>
    <w:rsid w:val="00E100FE"/>
    <w:rsid w:val="00E101D8"/>
    <w:rsid w:val="00E102A2"/>
    <w:rsid w:val="00E102BE"/>
    <w:rsid w:val="00E1031E"/>
    <w:rsid w:val="00E10520"/>
    <w:rsid w:val="00E10529"/>
    <w:rsid w:val="00E106B3"/>
    <w:rsid w:val="00E10739"/>
    <w:rsid w:val="00E10A62"/>
    <w:rsid w:val="00E10B13"/>
    <w:rsid w:val="00E10CF8"/>
    <w:rsid w:val="00E10DA8"/>
    <w:rsid w:val="00E10EAD"/>
    <w:rsid w:val="00E10EB3"/>
    <w:rsid w:val="00E10F77"/>
    <w:rsid w:val="00E113FF"/>
    <w:rsid w:val="00E114E4"/>
    <w:rsid w:val="00E115CD"/>
    <w:rsid w:val="00E11800"/>
    <w:rsid w:val="00E11827"/>
    <w:rsid w:val="00E11ABB"/>
    <w:rsid w:val="00E11D30"/>
    <w:rsid w:val="00E11F27"/>
    <w:rsid w:val="00E11F6E"/>
    <w:rsid w:val="00E12205"/>
    <w:rsid w:val="00E12312"/>
    <w:rsid w:val="00E12479"/>
    <w:rsid w:val="00E1270A"/>
    <w:rsid w:val="00E1279D"/>
    <w:rsid w:val="00E1281C"/>
    <w:rsid w:val="00E128A9"/>
    <w:rsid w:val="00E12A07"/>
    <w:rsid w:val="00E12A1D"/>
    <w:rsid w:val="00E12B17"/>
    <w:rsid w:val="00E12B2F"/>
    <w:rsid w:val="00E12B32"/>
    <w:rsid w:val="00E12B68"/>
    <w:rsid w:val="00E12B81"/>
    <w:rsid w:val="00E12BB3"/>
    <w:rsid w:val="00E1303A"/>
    <w:rsid w:val="00E1324B"/>
    <w:rsid w:val="00E134CC"/>
    <w:rsid w:val="00E1359B"/>
    <w:rsid w:val="00E13656"/>
    <w:rsid w:val="00E1376C"/>
    <w:rsid w:val="00E1385E"/>
    <w:rsid w:val="00E138CF"/>
    <w:rsid w:val="00E13991"/>
    <w:rsid w:val="00E13B3F"/>
    <w:rsid w:val="00E13B4F"/>
    <w:rsid w:val="00E13FF7"/>
    <w:rsid w:val="00E14053"/>
    <w:rsid w:val="00E141EC"/>
    <w:rsid w:val="00E14402"/>
    <w:rsid w:val="00E14590"/>
    <w:rsid w:val="00E146B6"/>
    <w:rsid w:val="00E1475D"/>
    <w:rsid w:val="00E14AD8"/>
    <w:rsid w:val="00E14D24"/>
    <w:rsid w:val="00E14FA6"/>
    <w:rsid w:val="00E15054"/>
    <w:rsid w:val="00E15134"/>
    <w:rsid w:val="00E1520C"/>
    <w:rsid w:val="00E15491"/>
    <w:rsid w:val="00E15684"/>
    <w:rsid w:val="00E156BA"/>
    <w:rsid w:val="00E15897"/>
    <w:rsid w:val="00E15928"/>
    <w:rsid w:val="00E16405"/>
    <w:rsid w:val="00E16415"/>
    <w:rsid w:val="00E16DA5"/>
    <w:rsid w:val="00E16E11"/>
    <w:rsid w:val="00E170C0"/>
    <w:rsid w:val="00E170EA"/>
    <w:rsid w:val="00E17241"/>
    <w:rsid w:val="00E17402"/>
    <w:rsid w:val="00E17433"/>
    <w:rsid w:val="00E175DA"/>
    <w:rsid w:val="00E17AF9"/>
    <w:rsid w:val="00E17E11"/>
    <w:rsid w:val="00E17E37"/>
    <w:rsid w:val="00E17F72"/>
    <w:rsid w:val="00E17FDE"/>
    <w:rsid w:val="00E2029C"/>
    <w:rsid w:val="00E202D7"/>
    <w:rsid w:val="00E20415"/>
    <w:rsid w:val="00E2056B"/>
    <w:rsid w:val="00E20586"/>
    <w:rsid w:val="00E20601"/>
    <w:rsid w:val="00E20B77"/>
    <w:rsid w:val="00E20C0D"/>
    <w:rsid w:val="00E20C6F"/>
    <w:rsid w:val="00E20ED8"/>
    <w:rsid w:val="00E20EF4"/>
    <w:rsid w:val="00E210A4"/>
    <w:rsid w:val="00E210FE"/>
    <w:rsid w:val="00E2116B"/>
    <w:rsid w:val="00E212E5"/>
    <w:rsid w:val="00E214E2"/>
    <w:rsid w:val="00E21794"/>
    <w:rsid w:val="00E218EC"/>
    <w:rsid w:val="00E218F9"/>
    <w:rsid w:val="00E21A48"/>
    <w:rsid w:val="00E21AA6"/>
    <w:rsid w:val="00E21B91"/>
    <w:rsid w:val="00E21DCF"/>
    <w:rsid w:val="00E21F94"/>
    <w:rsid w:val="00E22068"/>
    <w:rsid w:val="00E222B9"/>
    <w:rsid w:val="00E224F8"/>
    <w:rsid w:val="00E2254E"/>
    <w:rsid w:val="00E22765"/>
    <w:rsid w:val="00E227B0"/>
    <w:rsid w:val="00E2280F"/>
    <w:rsid w:val="00E22836"/>
    <w:rsid w:val="00E2289D"/>
    <w:rsid w:val="00E228ED"/>
    <w:rsid w:val="00E22C10"/>
    <w:rsid w:val="00E22D21"/>
    <w:rsid w:val="00E22ECE"/>
    <w:rsid w:val="00E2302B"/>
    <w:rsid w:val="00E23042"/>
    <w:rsid w:val="00E2323A"/>
    <w:rsid w:val="00E23257"/>
    <w:rsid w:val="00E236CC"/>
    <w:rsid w:val="00E23B0E"/>
    <w:rsid w:val="00E23CBD"/>
    <w:rsid w:val="00E23D12"/>
    <w:rsid w:val="00E23F44"/>
    <w:rsid w:val="00E23F77"/>
    <w:rsid w:val="00E240A0"/>
    <w:rsid w:val="00E24280"/>
    <w:rsid w:val="00E24B0F"/>
    <w:rsid w:val="00E24D55"/>
    <w:rsid w:val="00E25121"/>
    <w:rsid w:val="00E2540C"/>
    <w:rsid w:val="00E25666"/>
    <w:rsid w:val="00E2577D"/>
    <w:rsid w:val="00E25A76"/>
    <w:rsid w:val="00E25C13"/>
    <w:rsid w:val="00E25F2A"/>
    <w:rsid w:val="00E26412"/>
    <w:rsid w:val="00E26452"/>
    <w:rsid w:val="00E26519"/>
    <w:rsid w:val="00E26559"/>
    <w:rsid w:val="00E267EE"/>
    <w:rsid w:val="00E26846"/>
    <w:rsid w:val="00E26A5B"/>
    <w:rsid w:val="00E26A95"/>
    <w:rsid w:val="00E26D67"/>
    <w:rsid w:val="00E26FB9"/>
    <w:rsid w:val="00E26FF1"/>
    <w:rsid w:val="00E272C5"/>
    <w:rsid w:val="00E27365"/>
    <w:rsid w:val="00E27607"/>
    <w:rsid w:val="00E27650"/>
    <w:rsid w:val="00E2794C"/>
    <w:rsid w:val="00E27D50"/>
    <w:rsid w:val="00E3001F"/>
    <w:rsid w:val="00E30496"/>
    <w:rsid w:val="00E30557"/>
    <w:rsid w:val="00E30608"/>
    <w:rsid w:val="00E30630"/>
    <w:rsid w:val="00E3066D"/>
    <w:rsid w:val="00E306C4"/>
    <w:rsid w:val="00E30796"/>
    <w:rsid w:val="00E30838"/>
    <w:rsid w:val="00E30A85"/>
    <w:rsid w:val="00E30A8C"/>
    <w:rsid w:val="00E30AAA"/>
    <w:rsid w:val="00E30ACD"/>
    <w:rsid w:val="00E30B4E"/>
    <w:rsid w:val="00E30CF2"/>
    <w:rsid w:val="00E30DA0"/>
    <w:rsid w:val="00E30E69"/>
    <w:rsid w:val="00E31174"/>
    <w:rsid w:val="00E31185"/>
    <w:rsid w:val="00E3126F"/>
    <w:rsid w:val="00E3133E"/>
    <w:rsid w:val="00E3148D"/>
    <w:rsid w:val="00E31738"/>
    <w:rsid w:val="00E31787"/>
    <w:rsid w:val="00E317C7"/>
    <w:rsid w:val="00E3180B"/>
    <w:rsid w:val="00E31B43"/>
    <w:rsid w:val="00E31B6D"/>
    <w:rsid w:val="00E31C5F"/>
    <w:rsid w:val="00E31D18"/>
    <w:rsid w:val="00E31D43"/>
    <w:rsid w:val="00E31E97"/>
    <w:rsid w:val="00E32097"/>
    <w:rsid w:val="00E32416"/>
    <w:rsid w:val="00E32490"/>
    <w:rsid w:val="00E3255C"/>
    <w:rsid w:val="00E328A2"/>
    <w:rsid w:val="00E32B58"/>
    <w:rsid w:val="00E32EBC"/>
    <w:rsid w:val="00E32F20"/>
    <w:rsid w:val="00E3326F"/>
    <w:rsid w:val="00E3331E"/>
    <w:rsid w:val="00E334DA"/>
    <w:rsid w:val="00E33567"/>
    <w:rsid w:val="00E335EB"/>
    <w:rsid w:val="00E3376B"/>
    <w:rsid w:val="00E3394A"/>
    <w:rsid w:val="00E33C37"/>
    <w:rsid w:val="00E33C99"/>
    <w:rsid w:val="00E33FFB"/>
    <w:rsid w:val="00E340A2"/>
    <w:rsid w:val="00E34117"/>
    <w:rsid w:val="00E34146"/>
    <w:rsid w:val="00E34485"/>
    <w:rsid w:val="00E345DC"/>
    <w:rsid w:val="00E345E1"/>
    <w:rsid w:val="00E347E9"/>
    <w:rsid w:val="00E34A1F"/>
    <w:rsid w:val="00E34A37"/>
    <w:rsid w:val="00E34D79"/>
    <w:rsid w:val="00E34F42"/>
    <w:rsid w:val="00E35293"/>
    <w:rsid w:val="00E353F6"/>
    <w:rsid w:val="00E35416"/>
    <w:rsid w:val="00E354A9"/>
    <w:rsid w:val="00E354FC"/>
    <w:rsid w:val="00E359B9"/>
    <w:rsid w:val="00E35B66"/>
    <w:rsid w:val="00E35B6D"/>
    <w:rsid w:val="00E35C48"/>
    <w:rsid w:val="00E35C55"/>
    <w:rsid w:val="00E35D3A"/>
    <w:rsid w:val="00E35DA0"/>
    <w:rsid w:val="00E35E78"/>
    <w:rsid w:val="00E35F58"/>
    <w:rsid w:val="00E3631A"/>
    <w:rsid w:val="00E36382"/>
    <w:rsid w:val="00E366FA"/>
    <w:rsid w:val="00E36729"/>
    <w:rsid w:val="00E367FD"/>
    <w:rsid w:val="00E36AB1"/>
    <w:rsid w:val="00E36BAD"/>
    <w:rsid w:val="00E36D71"/>
    <w:rsid w:val="00E36EDE"/>
    <w:rsid w:val="00E36F49"/>
    <w:rsid w:val="00E372EC"/>
    <w:rsid w:val="00E37579"/>
    <w:rsid w:val="00E3767D"/>
    <w:rsid w:val="00E3767E"/>
    <w:rsid w:val="00E377A0"/>
    <w:rsid w:val="00E3780A"/>
    <w:rsid w:val="00E378F3"/>
    <w:rsid w:val="00E37AF2"/>
    <w:rsid w:val="00E37BCE"/>
    <w:rsid w:val="00E37BD2"/>
    <w:rsid w:val="00E37D52"/>
    <w:rsid w:val="00E37ECA"/>
    <w:rsid w:val="00E40165"/>
    <w:rsid w:val="00E4031B"/>
    <w:rsid w:val="00E4049F"/>
    <w:rsid w:val="00E4062F"/>
    <w:rsid w:val="00E4069B"/>
    <w:rsid w:val="00E407F0"/>
    <w:rsid w:val="00E4083F"/>
    <w:rsid w:val="00E40AAC"/>
    <w:rsid w:val="00E40B19"/>
    <w:rsid w:val="00E40B48"/>
    <w:rsid w:val="00E40FEF"/>
    <w:rsid w:val="00E410E9"/>
    <w:rsid w:val="00E4123B"/>
    <w:rsid w:val="00E4130F"/>
    <w:rsid w:val="00E41407"/>
    <w:rsid w:val="00E414BD"/>
    <w:rsid w:val="00E414EB"/>
    <w:rsid w:val="00E4154A"/>
    <w:rsid w:val="00E41708"/>
    <w:rsid w:val="00E41717"/>
    <w:rsid w:val="00E41804"/>
    <w:rsid w:val="00E41EB2"/>
    <w:rsid w:val="00E42331"/>
    <w:rsid w:val="00E424A9"/>
    <w:rsid w:val="00E425F6"/>
    <w:rsid w:val="00E42621"/>
    <w:rsid w:val="00E42629"/>
    <w:rsid w:val="00E42715"/>
    <w:rsid w:val="00E427AC"/>
    <w:rsid w:val="00E42844"/>
    <w:rsid w:val="00E42D25"/>
    <w:rsid w:val="00E42DBC"/>
    <w:rsid w:val="00E42DF2"/>
    <w:rsid w:val="00E42F9D"/>
    <w:rsid w:val="00E434B8"/>
    <w:rsid w:val="00E43692"/>
    <w:rsid w:val="00E43938"/>
    <w:rsid w:val="00E439B3"/>
    <w:rsid w:val="00E43BA2"/>
    <w:rsid w:val="00E43E53"/>
    <w:rsid w:val="00E440C7"/>
    <w:rsid w:val="00E44239"/>
    <w:rsid w:val="00E4440F"/>
    <w:rsid w:val="00E44668"/>
    <w:rsid w:val="00E44828"/>
    <w:rsid w:val="00E44899"/>
    <w:rsid w:val="00E448C9"/>
    <w:rsid w:val="00E448FB"/>
    <w:rsid w:val="00E449BF"/>
    <w:rsid w:val="00E44A18"/>
    <w:rsid w:val="00E44B2C"/>
    <w:rsid w:val="00E44E96"/>
    <w:rsid w:val="00E453CD"/>
    <w:rsid w:val="00E4554E"/>
    <w:rsid w:val="00E455B3"/>
    <w:rsid w:val="00E457B3"/>
    <w:rsid w:val="00E45A28"/>
    <w:rsid w:val="00E45AC9"/>
    <w:rsid w:val="00E45B76"/>
    <w:rsid w:val="00E45D1E"/>
    <w:rsid w:val="00E45D49"/>
    <w:rsid w:val="00E46543"/>
    <w:rsid w:val="00E46587"/>
    <w:rsid w:val="00E465BC"/>
    <w:rsid w:val="00E46643"/>
    <w:rsid w:val="00E466CA"/>
    <w:rsid w:val="00E466E9"/>
    <w:rsid w:val="00E469B2"/>
    <w:rsid w:val="00E46A34"/>
    <w:rsid w:val="00E46AFC"/>
    <w:rsid w:val="00E46FC1"/>
    <w:rsid w:val="00E47292"/>
    <w:rsid w:val="00E4730D"/>
    <w:rsid w:val="00E4750D"/>
    <w:rsid w:val="00E47549"/>
    <w:rsid w:val="00E47E95"/>
    <w:rsid w:val="00E47FB2"/>
    <w:rsid w:val="00E47FCF"/>
    <w:rsid w:val="00E500DF"/>
    <w:rsid w:val="00E50210"/>
    <w:rsid w:val="00E50299"/>
    <w:rsid w:val="00E50383"/>
    <w:rsid w:val="00E503C6"/>
    <w:rsid w:val="00E507B2"/>
    <w:rsid w:val="00E50D01"/>
    <w:rsid w:val="00E50D36"/>
    <w:rsid w:val="00E50D93"/>
    <w:rsid w:val="00E50DEF"/>
    <w:rsid w:val="00E510DE"/>
    <w:rsid w:val="00E5138A"/>
    <w:rsid w:val="00E515DC"/>
    <w:rsid w:val="00E5163F"/>
    <w:rsid w:val="00E516F5"/>
    <w:rsid w:val="00E518DE"/>
    <w:rsid w:val="00E51906"/>
    <w:rsid w:val="00E51990"/>
    <w:rsid w:val="00E51A7E"/>
    <w:rsid w:val="00E51DC4"/>
    <w:rsid w:val="00E51FE6"/>
    <w:rsid w:val="00E524EC"/>
    <w:rsid w:val="00E525D1"/>
    <w:rsid w:val="00E5263E"/>
    <w:rsid w:val="00E5291D"/>
    <w:rsid w:val="00E52BC9"/>
    <w:rsid w:val="00E52D26"/>
    <w:rsid w:val="00E52D47"/>
    <w:rsid w:val="00E52DE9"/>
    <w:rsid w:val="00E52F0A"/>
    <w:rsid w:val="00E5300E"/>
    <w:rsid w:val="00E53068"/>
    <w:rsid w:val="00E53138"/>
    <w:rsid w:val="00E532A6"/>
    <w:rsid w:val="00E53372"/>
    <w:rsid w:val="00E535B9"/>
    <w:rsid w:val="00E53919"/>
    <w:rsid w:val="00E53A57"/>
    <w:rsid w:val="00E53BFA"/>
    <w:rsid w:val="00E53C22"/>
    <w:rsid w:val="00E53CCA"/>
    <w:rsid w:val="00E53DD4"/>
    <w:rsid w:val="00E53DEA"/>
    <w:rsid w:val="00E53DFA"/>
    <w:rsid w:val="00E53E43"/>
    <w:rsid w:val="00E54040"/>
    <w:rsid w:val="00E54586"/>
    <w:rsid w:val="00E54649"/>
    <w:rsid w:val="00E54C9C"/>
    <w:rsid w:val="00E54CE8"/>
    <w:rsid w:val="00E54E66"/>
    <w:rsid w:val="00E54EFC"/>
    <w:rsid w:val="00E54F48"/>
    <w:rsid w:val="00E55173"/>
    <w:rsid w:val="00E5530C"/>
    <w:rsid w:val="00E553CC"/>
    <w:rsid w:val="00E554DB"/>
    <w:rsid w:val="00E5552E"/>
    <w:rsid w:val="00E55715"/>
    <w:rsid w:val="00E5598D"/>
    <w:rsid w:val="00E55A59"/>
    <w:rsid w:val="00E55A6E"/>
    <w:rsid w:val="00E55BB4"/>
    <w:rsid w:val="00E55D40"/>
    <w:rsid w:val="00E55F1A"/>
    <w:rsid w:val="00E55F40"/>
    <w:rsid w:val="00E56189"/>
    <w:rsid w:val="00E56465"/>
    <w:rsid w:val="00E564EF"/>
    <w:rsid w:val="00E565D4"/>
    <w:rsid w:val="00E56684"/>
    <w:rsid w:val="00E566F8"/>
    <w:rsid w:val="00E56837"/>
    <w:rsid w:val="00E56923"/>
    <w:rsid w:val="00E56956"/>
    <w:rsid w:val="00E56AEC"/>
    <w:rsid w:val="00E56BCC"/>
    <w:rsid w:val="00E56C3B"/>
    <w:rsid w:val="00E56FE4"/>
    <w:rsid w:val="00E5712E"/>
    <w:rsid w:val="00E572C4"/>
    <w:rsid w:val="00E57350"/>
    <w:rsid w:val="00E5740A"/>
    <w:rsid w:val="00E57642"/>
    <w:rsid w:val="00E5778F"/>
    <w:rsid w:val="00E57A4B"/>
    <w:rsid w:val="00E57BC0"/>
    <w:rsid w:val="00E57F7C"/>
    <w:rsid w:val="00E6001E"/>
    <w:rsid w:val="00E607BE"/>
    <w:rsid w:val="00E60975"/>
    <w:rsid w:val="00E60BC2"/>
    <w:rsid w:val="00E60C4F"/>
    <w:rsid w:val="00E60C60"/>
    <w:rsid w:val="00E60FD9"/>
    <w:rsid w:val="00E613E0"/>
    <w:rsid w:val="00E615BA"/>
    <w:rsid w:val="00E61639"/>
    <w:rsid w:val="00E61A30"/>
    <w:rsid w:val="00E61A7F"/>
    <w:rsid w:val="00E61B57"/>
    <w:rsid w:val="00E62000"/>
    <w:rsid w:val="00E6219C"/>
    <w:rsid w:val="00E6233F"/>
    <w:rsid w:val="00E6247C"/>
    <w:rsid w:val="00E624FD"/>
    <w:rsid w:val="00E62565"/>
    <w:rsid w:val="00E6265F"/>
    <w:rsid w:val="00E626FC"/>
    <w:rsid w:val="00E627CA"/>
    <w:rsid w:val="00E62B1B"/>
    <w:rsid w:val="00E62BA1"/>
    <w:rsid w:val="00E62BCC"/>
    <w:rsid w:val="00E62E91"/>
    <w:rsid w:val="00E62F46"/>
    <w:rsid w:val="00E62F4A"/>
    <w:rsid w:val="00E62F6D"/>
    <w:rsid w:val="00E6300A"/>
    <w:rsid w:val="00E63031"/>
    <w:rsid w:val="00E63094"/>
    <w:rsid w:val="00E63315"/>
    <w:rsid w:val="00E634CA"/>
    <w:rsid w:val="00E6355E"/>
    <w:rsid w:val="00E63620"/>
    <w:rsid w:val="00E637A7"/>
    <w:rsid w:val="00E63A73"/>
    <w:rsid w:val="00E63C02"/>
    <w:rsid w:val="00E63EFA"/>
    <w:rsid w:val="00E64094"/>
    <w:rsid w:val="00E64214"/>
    <w:rsid w:val="00E64422"/>
    <w:rsid w:val="00E6443E"/>
    <w:rsid w:val="00E64AA2"/>
    <w:rsid w:val="00E64BAB"/>
    <w:rsid w:val="00E64D0A"/>
    <w:rsid w:val="00E64DBB"/>
    <w:rsid w:val="00E64DD6"/>
    <w:rsid w:val="00E6522F"/>
    <w:rsid w:val="00E6532C"/>
    <w:rsid w:val="00E6538A"/>
    <w:rsid w:val="00E655F7"/>
    <w:rsid w:val="00E656ED"/>
    <w:rsid w:val="00E658CE"/>
    <w:rsid w:val="00E65A0B"/>
    <w:rsid w:val="00E65AA4"/>
    <w:rsid w:val="00E65C02"/>
    <w:rsid w:val="00E65C63"/>
    <w:rsid w:val="00E65D6B"/>
    <w:rsid w:val="00E66324"/>
    <w:rsid w:val="00E66797"/>
    <w:rsid w:val="00E66868"/>
    <w:rsid w:val="00E66963"/>
    <w:rsid w:val="00E66B29"/>
    <w:rsid w:val="00E66CDC"/>
    <w:rsid w:val="00E66D58"/>
    <w:rsid w:val="00E66FC0"/>
    <w:rsid w:val="00E6717D"/>
    <w:rsid w:val="00E6735C"/>
    <w:rsid w:val="00E67636"/>
    <w:rsid w:val="00E676DE"/>
    <w:rsid w:val="00E6778D"/>
    <w:rsid w:val="00E67964"/>
    <w:rsid w:val="00E67CD0"/>
    <w:rsid w:val="00E67CFB"/>
    <w:rsid w:val="00E67EEC"/>
    <w:rsid w:val="00E70488"/>
    <w:rsid w:val="00E704BB"/>
    <w:rsid w:val="00E70524"/>
    <w:rsid w:val="00E70657"/>
    <w:rsid w:val="00E7073E"/>
    <w:rsid w:val="00E7088B"/>
    <w:rsid w:val="00E7090A"/>
    <w:rsid w:val="00E70D69"/>
    <w:rsid w:val="00E715F9"/>
    <w:rsid w:val="00E71712"/>
    <w:rsid w:val="00E71C88"/>
    <w:rsid w:val="00E71CE2"/>
    <w:rsid w:val="00E71D0B"/>
    <w:rsid w:val="00E720E5"/>
    <w:rsid w:val="00E720F0"/>
    <w:rsid w:val="00E721AF"/>
    <w:rsid w:val="00E721CE"/>
    <w:rsid w:val="00E72436"/>
    <w:rsid w:val="00E725EC"/>
    <w:rsid w:val="00E728FB"/>
    <w:rsid w:val="00E7299D"/>
    <w:rsid w:val="00E72F87"/>
    <w:rsid w:val="00E730AE"/>
    <w:rsid w:val="00E730DA"/>
    <w:rsid w:val="00E73184"/>
    <w:rsid w:val="00E73221"/>
    <w:rsid w:val="00E7325A"/>
    <w:rsid w:val="00E73305"/>
    <w:rsid w:val="00E7333B"/>
    <w:rsid w:val="00E73432"/>
    <w:rsid w:val="00E7379F"/>
    <w:rsid w:val="00E737C8"/>
    <w:rsid w:val="00E7385B"/>
    <w:rsid w:val="00E7385D"/>
    <w:rsid w:val="00E73865"/>
    <w:rsid w:val="00E73891"/>
    <w:rsid w:val="00E738C6"/>
    <w:rsid w:val="00E74031"/>
    <w:rsid w:val="00E7415B"/>
    <w:rsid w:val="00E74339"/>
    <w:rsid w:val="00E7442B"/>
    <w:rsid w:val="00E744BB"/>
    <w:rsid w:val="00E74599"/>
    <w:rsid w:val="00E745A7"/>
    <w:rsid w:val="00E74665"/>
    <w:rsid w:val="00E747A1"/>
    <w:rsid w:val="00E748F6"/>
    <w:rsid w:val="00E7492C"/>
    <w:rsid w:val="00E7493A"/>
    <w:rsid w:val="00E74B2B"/>
    <w:rsid w:val="00E74C01"/>
    <w:rsid w:val="00E74FAB"/>
    <w:rsid w:val="00E750D8"/>
    <w:rsid w:val="00E754AA"/>
    <w:rsid w:val="00E75640"/>
    <w:rsid w:val="00E7580D"/>
    <w:rsid w:val="00E75850"/>
    <w:rsid w:val="00E7589A"/>
    <w:rsid w:val="00E758D0"/>
    <w:rsid w:val="00E75A6B"/>
    <w:rsid w:val="00E75E53"/>
    <w:rsid w:val="00E76536"/>
    <w:rsid w:val="00E76582"/>
    <w:rsid w:val="00E76997"/>
    <w:rsid w:val="00E76A83"/>
    <w:rsid w:val="00E76AE4"/>
    <w:rsid w:val="00E76AFB"/>
    <w:rsid w:val="00E76C9E"/>
    <w:rsid w:val="00E76E73"/>
    <w:rsid w:val="00E77145"/>
    <w:rsid w:val="00E77314"/>
    <w:rsid w:val="00E77325"/>
    <w:rsid w:val="00E7732B"/>
    <w:rsid w:val="00E773DE"/>
    <w:rsid w:val="00E7779A"/>
    <w:rsid w:val="00E779F7"/>
    <w:rsid w:val="00E77AE4"/>
    <w:rsid w:val="00E77D51"/>
    <w:rsid w:val="00E77F74"/>
    <w:rsid w:val="00E80180"/>
    <w:rsid w:val="00E80305"/>
    <w:rsid w:val="00E8037D"/>
    <w:rsid w:val="00E80635"/>
    <w:rsid w:val="00E807BB"/>
    <w:rsid w:val="00E807D0"/>
    <w:rsid w:val="00E80946"/>
    <w:rsid w:val="00E80B58"/>
    <w:rsid w:val="00E80CA2"/>
    <w:rsid w:val="00E80D04"/>
    <w:rsid w:val="00E80DB4"/>
    <w:rsid w:val="00E80EDA"/>
    <w:rsid w:val="00E810C7"/>
    <w:rsid w:val="00E81171"/>
    <w:rsid w:val="00E8142A"/>
    <w:rsid w:val="00E8176A"/>
    <w:rsid w:val="00E819D3"/>
    <w:rsid w:val="00E81A3C"/>
    <w:rsid w:val="00E81B78"/>
    <w:rsid w:val="00E81BC2"/>
    <w:rsid w:val="00E81CFF"/>
    <w:rsid w:val="00E81D2A"/>
    <w:rsid w:val="00E81E43"/>
    <w:rsid w:val="00E8203F"/>
    <w:rsid w:val="00E820A1"/>
    <w:rsid w:val="00E8253B"/>
    <w:rsid w:val="00E826BA"/>
    <w:rsid w:val="00E8276B"/>
    <w:rsid w:val="00E82827"/>
    <w:rsid w:val="00E82AC2"/>
    <w:rsid w:val="00E831F7"/>
    <w:rsid w:val="00E83344"/>
    <w:rsid w:val="00E836B2"/>
    <w:rsid w:val="00E839D2"/>
    <w:rsid w:val="00E83B46"/>
    <w:rsid w:val="00E83B84"/>
    <w:rsid w:val="00E83CE1"/>
    <w:rsid w:val="00E83D44"/>
    <w:rsid w:val="00E83DE8"/>
    <w:rsid w:val="00E83E83"/>
    <w:rsid w:val="00E83F31"/>
    <w:rsid w:val="00E83F4D"/>
    <w:rsid w:val="00E83FD0"/>
    <w:rsid w:val="00E8402F"/>
    <w:rsid w:val="00E84065"/>
    <w:rsid w:val="00E84287"/>
    <w:rsid w:val="00E843AB"/>
    <w:rsid w:val="00E843D8"/>
    <w:rsid w:val="00E844B3"/>
    <w:rsid w:val="00E844E4"/>
    <w:rsid w:val="00E8484F"/>
    <w:rsid w:val="00E849C5"/>
    <w:rsid w:val="00E84D57"/>
    <w:rsid w:val="00E84DAA"/>
    <w:rsid w:val="00E84EC8"/>
    <w:rsid w:val="00E8532A"/>
    <w:rsid w:val="00E85417"/>
    <w:rsid w:val="00E8554D"/>
    <w:rsid w:val="00E85612"/>
    <w:rsid w:val="00E8586C"/>
    <w:rsid w:val="00E85A15"/>
    <w:rsid w:val="00E85C49"/>
    <w:rsid w:val="00E85CA5"/>
    <w:rsid w:val="00E85D87"/>
    <w:rsid w:val="00E86222"/>
    <w:rsid w:val="00E8627E"/>
    <w:rsid w:val="00E864AC"/>
    <w:rsid w:val="00E86879"/>
    <w:rsid w:val="00E868E5"/>
    <w:rsid w:val="00E86ACC"/>
    <w:rsid w:val="00E86B1E"/>
    <w:rsid w:val="00E86BEB"/>
    <w:rsid w:val="00E86D0A"/>
    <w:rsid w:val="00E87037"/>
    <w:rsid w:val="00E87302"/>
    <w:rsid w:val="00E875DE"/>
    <w:rsid w:val="00E87A34"/>
    <w:rsid w:val="00E87CE9"/>
    <w:rsid w:val="00E87E5A"/>
    <w:rsid w:val="00E90091"/>
    <w:rsid w:val="00E90305"/>
    <w:rsid w:val="00E90579"/>
    <w:rsid w:val="00E90843"/>
    <w:rsid w:val="00E90BCE"/>
    <w:rsid w:val="00E90C3C"/>
    <w:rsid w:val="00E90D37"/>
    <w:rsid w:val="00E90D69"/>
    <w:rsid w:val="00E90F05"/>
    <w:rsid w:val="00E90F69"/>
    <w:rsid w:val="00E90F74"/>
    <w:rsid w:val="00E911B2"/>
    <w:rsid w:val="00E911DC"/>
    <w:rsid w:val="00E914EC"/>
    <w:rsid w:val="00E91574"/>
    <w:rsid w:val="00E91946"/>
    <w:rsid w:val="00E91B7D"/>
    <w:rsid w:val="00E91C87"/>
    <w:rsid w:val="00E91C98"/>
    <w:rsid w:val="00E91E08"/>
    <w:rsid w:val="00E91E78"/>
    <w:rsid w:val="00E92093"/>
    <w:rsid w:val="00E9209B"/>
    <w:rsid w:val="00E92109"/>
    <w:rsid w:val="00E9250F"/>
    <w:rsid w:val="00E928F0"/>
    <w:rsid w:val="00E92A65"/>
    <w:rsid w:val="00E92B2B"/>
    <w:rsid w:val="00E92B59"/>
    <w:rsid w:val="00E92C7A"/>
    <w:rsid w:val="00E92CC3"/>
    <w:rsid w:val="00E92CF4"/>
    <w:rsid w:val="00E92D23"/>
    <w:rsid w:val="00E92DE0"/>
    <w:rsid w:val="00E92EC9"/>
    <w:rsid w:val="00E93357"/>
    <w:rsid w:val="00E9337D"/>
    <w:rsid w:val="00E93512"/>
    <w:rsid w:val="00E935A9"/>
    <w:rsid w:val="00E93646"/>
    <w:rsid w:val="00E93766"/>
    <w:rsid w:val="00E9382D"/>
    <w:rsid w:val="00E93912"/>
    <w:rsid w:val="00E93D0A"/>
    <w:rsid w:val="00E93F2A"/>
    <w:rsid w:val="00E941F9"/>
    <w:rsid w:val="00E942EB"/>
    <w:rsid w:val="00E945C6"/>
    <w:rsid w:val="00E9478E"/>
    <w:rsid w:val="00E947A2"/>
    <w:rsid w:val="00E94882"/>
    <w:rsid w:val="00E949DA"/>
    <w:rsid w:val="00E94A84"/>
    <w:rsid w:val="00E94B38"/>
    <w:rsid w:val="00E94B8D"/>
    <w:rsid w:val="00E94B9A"/>
    <w:rsid w:val="00E94C60"/>
    <w:rsid w:val="00E95048"/>
    <w:rsid w:val="00E95053"/>
    <w:rsid w:val="00E9507D"/>
    <w:rsid w:val="00E952A5"/>
    <w:rsid w:val="00E952DA"/>
    <w:rsid w:val="00E9540C"/>
    <w:rsid w:val="00E95A8A"/>
    <w:rsid w:val="00E95C07"/>
    <w:rsid w:val="00E95CA0"/>
    <w:rsid w:val="00E95E22"/>
    <w:rsid w:val="00E9611A"/>
    <w:rsid w:val="00E9620C"/>
    <w:rsid w:val="00E96247"/>
    <w:rsid w:val="00E962A8"/>
    <w:rsid w:val="00E966CE"/>
    <w:rsid w:val="00E96A41"/>
    <w:rsid w:val="00E96E0D"/>
    <w:rsid w:val="00E96E11"/>
    <w:rsid w:val="00E96FC0"/>
    <w:rsid w:val="00E97245"/>
    <w:rsid w:val="00E97579"/>
    <w:rsid w:val="00E97653"/>
    <w:rsid w:val="00E97C63"/>
    <w:rsid w:val="00E97D60"/>
    <w:rsid w:val="00EA0326"/>
    <w:rsid w:val="00EA03E6"/>
    <w:rsid w:val="00EA04A0"/>
    <w:rsid w:val="00EA061F"/>
    <w:rsid w:val="00EA09A8"/>
    <w:rsid w:val="00EA0AD9"/>
    <w:rsid w:val="00EA0D0C"/>
    <w:rsid w:val="00EA0D55"/>
    <w:rsid w:val="00EA0DAF"/>
    <w:rsid w:val="00EA0DCB"/>
    <w:rsid w:val="00EA159C"/>
    <w:rsid w:val="00EA1743"/>
    <w:rsid w:val="00EA17FF"/>
    <w:rsid w:val="00EA1D0F"/>
    <w:rsid w:val="00EA1DAB"/>
    <w:rsid w:val="00EA1EA1"/>
    <w:rsid w:val="00EA1F3E"/>
    <w:rsid w:val="00EA2232"/>
    <w:rsid w:val="00EA22DE"/>
    <w:rsid w:val="00EA2377"/>
    <w:rsid w:val="00EA2477"/>
    <w:rsid w:val="00EA251F"/>
    <w:rsid w:val="00EA2613"/>
    <w:rsid w:val="00EA267B"/>
    <w:rsid w:val="00EA2681"/>
    <w:rsid w:val="00EA26B9"/>
    <w:rsid w:val="00EA2869"/>
    <w:rsid w:val="00EA2884"/>
    <w:rsid w:val="00EA294F"/>
    <w:rsid w:val="00EA2A9A"/>
    <w:rsid w:val="00EA2C31"/>
    <w:rsid w:val="00EA2CFC"/>
    <w:rsid w:val="00EA2D54"/>
    <w:rsid w:val="00EA327B"/>
    <w:rsid w:val="00EA337C"/>
    <w:rsid w:val="00EA33E5"/>
    <w:rsid w:val="00EA368F"/>
    <w:rsid w:val="00EA38AA"/>
    <w:rsid w:val="00EA3A53"/>
    <w:rsid w:val="00EA3B9F"/>
    <w:rsid w:val="00EA3EB5"/>
    <w:rsid w:val="00EA3EBA"/>
    <w:rsid w:val="00EA3ED8"/>
    <w:rsid w:val="00EA4163"/>
    <w:rsid w:val="00EA4420"/>
    <w:rsid w:val="00EA454F"/>
    <w:rsid w:val="00EA4603"/>
    <w:rsid w:val="00EA480B"/>
    <w:rsid w:val="00EA4887"/>
    <w:rsid w:val="00EA491C"/>
    <w:rsid w:val="00EA4C86"/>
    <w:rsid w:val="00EA516E"/>
    <w:rsid w:val="00EA54FD"/>
    <w:rsid w:val="00EA57FD"/>
    <w:rsid w:val="00EA5856"/>
    <w:rsid w:val="00EA5929"/>
    <w:rsid w:val="00EA5BFF"/>
    <w:rsid w:val="00EA5C33"/>
    <w:rsid w:val="00EA5E69"/>
    <w:rsid w:val="00EA6046"/>
    <w:rsid w:val="00EA60E7"/>
    <w:rsid w:val="00EA6226"/>
    <w:rsid w:val="00EA64DC"/>
    <w:rsid w:val="00EA6623"/>
    <w:rsid w:val="00EA66FC"/>
    <w:rsid w:val="00EA67A4"/>
    <w:rsid w:val="00EA6A3E"/>
    <w:rsid w:val="00EA6BC4"/>
    <w:rsid w:val="00EA6E1C"/>
    <w:rsid w:val="00EA6F5A"/>
    <w:rsid w:val="00EA70AF"/>
    <w:rsid w:val="00EA70D9"/>
    <w:rsid w:val="00EA72A5"/>
    <w:rsid w:val="00EA72BA"/>
    <w:rsid w:val="00EA7486"/>
    <w:rsid w:val="00EA765A"/>
    <w:rsid w:val="00EA77BF"/>
    <w:rsid w:val="00EA7AC7"/>
    <w:rsid w:val="00EA7B45"/>
    <w:rsid w:val="00EB008B"/>
    <w:rsid w:val="00EB039B"/>
    <w:rsid w:val="00EB03AA"/>
    <w:rsid w:val="00EB0607"/>
    <w:rsid w:val="00EB08F0"/>
    <w:rsid w:val="00EB0C6B"/>
    <w:rsid w:val="00EB0DBF"/>
    <w:rsid w:val="00EB0E0A"/>
    <w:rsid w:val="00EB105E"/>
    <w:rsid w:val="00EB11E3"/>
    <w:rsid w:val="00EB1588"/>
    <w:rsid w:val="00EB16A5"/>
    <w:rsid w:val="00EB1825"/>
    <w:rsid w:val="00EB18C7"/>
    <w:rsid w:val="00EB194F"/>
    <w:rsid w:val="00EB198E"/>
    <w:rsid w:val="00EB1B4B"/>
    <w:rsid w:val="00EB1EFD"/>
    <w:rsid w:val="00EB21FE"/>
    <w:rsid w:val="00EB233A"/>
    <w:rsid w:val="00EB24DF"/>
    <w:rsid w:val="00EB25D2"/>
    <w:rsid w:val="00EB2624"/>
    <w:rsid w:val="00EB290A"/>
    <w:rsid w:val="00EB298C"/>
    <w:rsid w:val="00EB2B10"/>
    <w:rsid w:val="00EB32E3"/>
    <w:rsid w:val="00EB3441"/>
    <w:rsid w:val="00EB358A"/>
    <w:rsid w:val="00EB36F1"/>
    <w:rsid w:val="00EB36F2"/>
    <w:rsid w:val="00EB3809"/>
    <w:rsid w:val="00EB391E"/>
    <w:rsid w:val="00EB3FED"/>
    <w:rsid w:val="00EB4019"/>
    <w:rsid w:val="00EB428A"/>
    <w:rsid w:val="00EB432A"/>
    <w:rsid w:val="00EB4793"/>
    <w:rsid w:val="00EB4DC9"/>
    <w:rsid w:val="00EB4E7E"/>
    <w:rsid w:val="00EB4ECF"/>
    <w:rsid w:val="00EB4FAF"/>
    <w:rsid w:val="00EB5048"/>
    <w:rsid w:val="00EB5303"/>
    <w:rsid w:val="00EB53C2"/>
    <w:rsid w:val="00EB56A6"/>
    <w:rsid w:val="00EB57E3"/>
    <w:rsid w:val="00EB57F5"/>
    <w:rsid w:val="00EB5A64"/>
    <w:rsid w:val="00EB5AB0"/>
    <w:rsid w:val="00EB5B81"/>
    <w:rsid w:val="00EB5EA4"/>
    <w:rsid w:val="00EB61F9"/>
    <w:rsid w:val="00EB651E"/>
    <w:rsid w:val="00EB6556"/>
    <w:rsid w:val="00EB6593"/>
    <w:rsid w:val="00EB674F"/>
    <w:rsid w:val="00EB690F"/>
    <w:rsid w:val="00EB6B31"/>
    <w:rsid w:val="00EB6EE2"/>
    <w:rsid w:val="00EB6FA6"/>
    <w:rsid w:val="00EB7191"/>
    <w:rsid w:val="00EB759B"/>
    <w:rsid w:val="00EB7606"/>
    <w:rsid w:val="00EB7AC7"/>
    <w:rsid w:val="00EB7B1D"/>
    <w:rsid w:val="00EB7B69"/>
    <w:rsid w:val="00EB7CBE"/>
    <w:rsid w:val="00EB7F57"/>
    <w:rsid w:val="00EC0250"/>
    <w:rsid w:val="00EC03BF"/>
    <w:rsid w:val="00EC03CE"/>
    <w:rsid w:val="00EC0420"/>
    <w:rsid w:val="00EC0A19"/>
    <w:rsid w:val="00EC0B79"/>
    <w:rsid w:val="00EC0CB2"/>
    <w:rsid w:val="00EC0D42"/>
    <w:rsid w:val="00EC0F05"/>
    <w:rsid w:val="00EC0F45"/>
    <w:rsid w:val="00EC1571"/>
    <w:rsid w:val="00EC1599"/>
    <w:rsid w:val="00EC16A8"/>
    <w:rsid w:val="00EC16B4"/>
    <w:rsid w:val="00EC16D8"/>
    <w:rsid w:val="00EC17C7"/>
    <w:rsid w:val="00EC18E8"/>
    <w:rsid w:val="00EC1B38"/>
    <w:rsid w:val="00EC1B90"/>
    <w:rsid w:val="00EC1CB8"/>
    <w:rsid w:val="00EC1E10"/>
    <w:rsid w:val="00EC1E58"/>
    <w:rsid w:val="00EC1F85"/>
    <w:rsid w:val="00EC2201"/>
    <w:rsid w:val="00EC235A"/>
    <w:rsid w:val="00EC235F"/>
    <w:rsid w:val="00EC2500"/>
    <w:rsid w:val="00EC25BA"/>
    <w:rsid w:val="00EC28F8"/>
    <w:rsid w:val="00EC2A12"/>
    <w:rsid w:val="00EC2A5E"/>
    <w:rsid w:val="00EC2B94"/>
    <w:rsid w:val="00EC2CF5"/>
    <w:rsid w:val="00EC2DD6"/>
    <w:rsid w:val="00EC2DE3"/>
    <w:rsid w:val="00EC2EB9"/>
    <w:rsid w:val="00EC30F2"/>
    <w:rsid w:val="00EC33B3"/>
    <w:rsid w:val="00EC34BC"/>
    <w:rsid w:val="00EC34C5"/>
    <w:rsid w:val="00EC3771"/>
    <w:rsid w:val="00EC37FD"/>
    <w:rsid w:val="00EC3842"/>
    <w:rsid w:val="00EC3B97"/>
    <w:rsid w:val="00EC3C74"/>
    <w:rsid w:val="00EC3D08"/>
    <w:rsid w:val="00EC3D10"/>
    <w:rsid w:val="00EC3D59"/>
    <w:rsid w:val="00EC3D97"/>
    <w:rsid w:val="00EC4089"/>
    <w:rsid w:val="00EC433B"/>
    <w:rsid w:val="00EC4402"/>
    <w:rsid w:val="00EC4681"/>
    <w:rsid w:val="00EC475E"/>
    <w:rsid w:val="00EC47B2"/>
    <w:rsid w:val="00EC4815"/>
    <w:rsid w:val="00EC48A2"/>
    <w:rsid w:val="00EC48AB"/>
    <w:rsid w:val="00EC48D8"/>
    <w:rsid w:val="00EC4945"/>
    <w:rsid w:val="00EC4A2E"/>
    <w:rsid w:val="00EC4AAD"/>
    <w:rsid w:val="00EC4D37"/>
    <w:rsid w:val="00EC4D87"/>
    <w:rsid w:val="00EC513A"/>
    <w:rsid w:val="00EC51AF"/>
    <w:rsid w:val="00EC545E"/>
    <w:rsid w:val="00EC54F0"/>
    <w:rsid w:val="00EC55B0"/>
    <w:rsid w:val="00EC5864"/>
    <w:rsid w:val="00EC59EE"/>
    <w:rsid w:val="00EC5A52"/>
    <w:rsid w:val="00EC5E73"/>
    <w:rsid w:val="00EC5F1E"/>
    <w:rsid w:val="00EC5FA2"/>
    <w:rsid w:val="00EC61F3"/>
    <w:rsid w:val="00EC64AF"/>
    <w:rsid w:val="00EC64BD"/>
    <w:rsid w:val="00EC6702"/>
    <w:rsid w:val="00EC68D7"/>
    <w:rsid w:val="00EC690E"/>
    <w:rsid w:val="00EC6AFB"/>
    <w:rsid w:val="00EC6C51"/>
    <w:rsid w:val="00EC6FCF"/>
    <w:rsid w:val="00EC6FDA"/>
    <w:rsid w:val="00EC7215"/>
    <w:rsid w:val="00EC7372"/>
    <w:rsid w:val="00EC7799"/>
    <w:rsid w:val="00EC7A48"/>
    <w:rsid w:val="00EC7AD1"/>
    <w:rsid w:val="00EC7CA0"/>
    <w:rsid w:val="00EC7D8A"/>
    <w:rsid w:val="00EC7E36"/>
    <w:rsid w:val="00ED0235"/>
    <w:rsid w:val="00ED04DB"/>
    <w:rsid w:val="00ED0505"/>
    <w:rsid w:val="00ED0596"/>
    <w:rsid w:val="00ED064C"/>
    <w:rsid w:val="00ED091E"/>
    <w:rsid w:val="00ED0A3C"/>
    <w:rsid w:val="00ED0A43"/>
    <w:rsid w:val="00ED0B4A"/>
    <w:rsid w:val="00ED0BF4"/>
    <w:rsid w:val="00ED0C04"/>
    <w:rsid w:val="00ED0CC7"/>
    <w:rsid w:val="00ED0F44"/>
    <w:rsid w:val="00ED1012"/>
    <w:rsid w:val="00ED1082"/>
    <w:rsid w:val="00ED10EF"/>
    <w:rsid w:val="00ED1248"/>
    <w:rsid w:val="00ED15E6"/>
    <w:rsid w:val="00ED1608"/>
    <w:rsid w:val="00ED1712"/>
    <w:rsid w:val="00ED1886"/>
    <w:rsid w:val="00ED1A80"/>
    <w:rsid w:val="00ED1C24"/>
    <w:rsid w:val="00ED1C7F"/>
    <w:rsid w:val="00ED1D47"/>
    <w:rsid w:val="00ED1E20"/>
    <w:rsid w:val="00ED21D6"/>
    <w:rsid w:val="00ED27B1"/>
    <w:rsid w:val="00ED2910"/>
    <w:rsid w:val="00ED2A48"/>
    <w:rsid w:val="00ED2AED"/>
    <w:rsid w:val="00ED2B9F"/>
    <w:rsid w:val="00ED2EC1"/>
    <w:rsid w:val="00ED31F3"/>
    <w:rsid w:val="00ED3270"/>
    <w:rsid w:val="00ED3302"/>
    <w:rsid w:val="00ED341B"/>
    <w:rsid w:val="00ED362E"/>
    <w:rsid w:val="00ED390B"/>
    <w:rsid w:val="00ED3A4E"/>
    <w:rsid w:val="00ED3B25"/>
    <w:rsid w:val="00ED3BE9"/>
    <w:rsid w:val="00ED3E68"/>
    <w:rsid w:val="00ED3EE9"/>
    <w:rsid w:val="00ED3F3B"/>
    <w:rsid w:val="00ED40FF"/>
    <w:rsid w:val="00ED42A1"/>
    <w:rsid w:val="00ED44FC"/>
    <w:rsid w:val="00ED4593"/>
    <w:rsid w:val="00ED4705"/>
    <w:rsid w:val="00ED4809"/>
    <w:rsid w:val="00ED4946"/>
    <w:rsid w:val="00ED4ACD"/>
    <w:rsid w:val="00ED4DAB"/>
    <w:rsid w:val="00ED4F34"/>
    <w:rsid w:val="00ED50C8"/>
    <w:rsid w:val="00ED51A3"/>
    <w:rsid w:val="00ED53D7"/>
    <w:rsid w:val="00ED566F"/>
    <w:rsid w:val="00ED5745"/>
    <w:rsid w:val="00ED575C"/>
    <w:rsid w:val="00ED5D1D"/>
    <w:rsid w:val="00ED5D31"/>
    <w:rsid w:val="00ED5D64"/>
    <w:rsid w:val="00ED6090"/>
    <w:rsid w:val="00ED6525"/>
    <w:rsid w:val="00ED6562"/>
    <w:rsid w:val="00ED6AE2"/>
    <w:rsid w:val="00ED6C63"/>
    <w:rsid w:val="00ED6CCF"/>
    <w:rsid w:val="00ED6D42"/>
    <w:rsid w:val="00ED70D4"/>
    <w:rsid w:val="00ED7210"/>
    <w:rsid w:val="00ED72C5"/>
    <w:rsid w:val="00ED765A"/>
    <w:rsid w:val="00ED7A14"/>
    <w:rsid w:val="00ED7A3F"/>
    <w:rsid w:val="00ED7BB1"/>
    <w:rsid w:val="00EE01B0"/>
    <w:rsid w:val="00EE02D5"/>
    <w:rsid w:val="00EE0382"/>
    <w:rsid w:val="00EE0393"/>
    <w:rsid w:val="00EE0A8A"/>
    <w:rsid w:val="00EE0B15"/>
    <w:rsid w:val="00EE0C89"/>
    <w:rsid w:val="00EE0DA5"/>
    <w:rsid w:val="00EE0F81"/>
    <w:rsid w:val="00EE10B6"/>
    <w:rsid w:val="00EE1166"/>
    <w:rsid w:val="00EE1328"/>
    <w:rsid w:val="00EE144F"/>
    <w:rsid w:val="00EE14CF"/>
    <w:rsid w:val="00EE1647"/>
    <w:rsid w:val="00EE17C7"/>
    <w:rsid w:val="00EE1AE3"/>
    <w:rsid w:val="00EE1AF4"/>
    <w:rsid w:val="00EE1E7D"/>
    <w:rsid w:val="00EE1EEA"/>
    <w:rsid w:val="00EE2207"/>
    <w:rsid w:val="00EE2731"/>
    <w:rsid w:val="00EE2752"/>
    <w:rsid w:val="00EE2754"/>
    <w:rsid w:val="00EE27A1"/>
    <w:rsid w:val="00EE285E"/>
    <w:rsid w:val="00EE28ED"/>
    <w:rsid w:val="00EE2A85"/>
    <w:rsid w:val="00EE2C8B"/>
    <w:rsid w:val="00EE2E3A"/>
    <w:rsid w:val="00EE2F5B"/>
    <w:rsid w:val="00EE2FA6"/>
    <w:rsid w:val="00EE304D"/>
    <w:rsid w:val="00EE306E"/>
    <w:rsid w:val="00EE3224"/>
    <w:rsid w:val="00EE3419"/>
    <w:rsid w:val="00EE36B6"/>
    <w:rsid w:val="00EE36FB"/>
    <w:rsid w:val="00EE385A"/>
    <w:rsid w:val="00EE3B8E"/>
    <w:rsid w:val="00EE3D28"/>
    <w:rsid w:val="00EE3E8D"/>
    <w:rsid w:val="00EE4032"/>
    <w:rsid w:val="00EE4124"/>
    <w:rsid w:val="00EE4255"/>
    <w:rsid w:val="00EE42BA"/>
    <w:rsid w:val="00EE42BD"/>
    <w:rsid w:val="00EE42FE"/>
    <w:rsid w:val="00EE439E"/>
    <w:rsid w:val="00EE4644"/>
    <w:rsid w:val="00EE46DC"/>
    <w:rsid w:val="00EE47E4"/>
    <w:rsid w:val="00EE4818"/>
    <w:rsid w:val="00EE495B"/>
    <w:rsid w:val="00EE4CBA"/>
    <w:rsid w:val="00EE4D62"/>
    <w:rsid w:val="00EE4D6E"/>
    <w:rsid w:val="00EE4FB5"/>
    <w:rsid w:val="00EE5528"/>
    <w:rsid w:val="00EE5605"/>
    <w:rsid w:val="00EE5680"/>
    <w:rsid w:val="00EE569A"/>
    <w:rsid w:val="00EE588C"/>
    <w:rsid w:val="00EE596D"/>
    <w:rsid w:val="00EE5B88"/>
    <w:rsid w:val="00EE5EA6"/>
    <w:rsid w:val="00EE60C3"/>
    <w:rsid w:val="00EE650D"/>
    <w:rsid w:val="00EE655A"/>
    <w:rsid w:val="00EE6762"/>
    <w:rsid w:val="00EE6812"/>
    <w:rsid w:val="00EE6D22"/>
    <w:rsid w:val="00EE6D3F"/>
    <w:rsid w:val="00EE6FF0"/>
    <w:rsid w:val="00EE70B7"/>
    <w:rsid w:val="00EE71D8"/>
    <w:rsid w:val="00EE72AC"/>
    <w:rsid w:val="00EE77D7"/>
    <w:rsid w:val="00EE784E"/>
    <w:rsid w:val="00EE7DBE"/>
    <w:rsid w:val="00EE7E0F"/>
    <w:rsid w:val="00EE7EA7"/>
    <w:rsid w:val="00EF027D"/>
    <w:rsid w:val="00EF0476"/>
    <w:rsid w:val="00EF05A1"/>
    <w:rsid w:val="00EF07EE"/>
    <w:rsid w:val="00EF0876"/>
    <w:rsid w:val="00EF08AA"/>
    <w:rsid w:val="00EF0CFD"/>
    <w:rsid w:val="00EF0D6A"/>
    <w:rsid w:val="00EF12F3"/>
    <w:rsid w:val="00EF1456"/>
    <w:rsid w:val="00EF1579"/>
    <w:rsid w:val="00EF1849"/>
    <w:rsid w:val="00EF18E5"/>
    <w:rsid w:val="00EF199D"/>
    <w:rsid w:val="00EF1AFE"/>
    <w:rsid w:val="00EF1C79"/>
    <w:rsid w:val="00EF1ED0"/>
    <w:rsid w:val="00EF2206"/>
    <w:rsid w:val="00EF2348"/>
    <w:rsid w:val="00EF2467"/>
    <w:rsid w:val="00EF25EC"/>
    <w:rsid w:val="00EF263A"/>
    <w:rsid w:val="00EF2CCE"/>
    <w:rsid w:val="00EF2D49"/>
    <w:rsid w:val="00EF2DD6"/>
    <w:rsid w:val="00EF2F41"/>
    <w:rsid w:val="00EF2FC7"/>
    <w:rsid w:val="00EF3849"/>
    <w:rsid w:val="00EF3917"/>
    <w:rsid w:val="00EF3A24"/>
    <w:rsid w:val="00EF3A62"/>
    <w:rsid w:val="00EF3E70"/>
    <w:rsid w:val="00EF3EA1"/>
    <w:rsid w:val="00EF3EDF"/>
    <w:rsid w:val="00EF41F7"/>
    <w:rsid w:val="00EF4219"/>
    <w:rsid w:val="00EF428B"/>
    <w:rsid w:val="00EF4336"/>
    <w:rsid w:val="00EF441A"/>
    <w:rsid w:val="00EF460D"/>
    <w:rsid w:val="00EF4BEC"/>
    <w:rsid w:val="00EF4E3E"/>
    <w:rsid w:val="00EF4EA2"/>
    <w:rsid w:val="00EF4F67"/>
    <w:rsid w:val="00EF51C1"/>
    <w:rsid w:val="00EF524C"/>
    <w:rsid w:val="00EF5365"/>
    <w:rsid w:val="00EF53E8"/>
    <w:rsid w:val="00EF5457"/>
    <w:rsid w:val="00EF54B8"/>
    <w:rsid w:val="00EF5C7B"/>
    <w:rsid w:val="00EF5DFE"/>
    <w:rsid w:val="00EF5F16"/>
    <w:rsid w:val="00EF5FAC"/>
    <w:rsid w:val="00EF6047"/>
    <w:rsid w:val="00EF616D"/>
    <w:rsid w:val="00EF6255"/>
    <w:rsid w:val="00EF6711"/>
    <w:rsid w:val="00EF6C7A"/>
    <w:rsid w:val="00EF6CA2"/>
    <w:rsid w:val="00EF6E20"/>
    <w:rsid w:val="00EF6EA9"/>
    <w:rsid w:val="00EF6F5F"/>
    <w:rsid w:val="00EF71E5"/>
    <w:rsid w:val="00EF74FE"/>
    <w:rsid w:val="00EF7563"/>
    <w:rsid w:val="00EF758C"/>
    <w:rsid w:val="00EF76DE"/>
    <w:rsid w:val="00EF7ACB"/>
    <w:rsid w:val="00EF7AF5"/>
    <w:rsid w:val="00EF7B18"/>
    <w:rsid w:val="00EF7DBE"/>
    <w:rsid w:val="00EF7E8B"/>
    <w:rsid w:val="00EF7F55"/>
    <w:rsid w:val="00F003EC"/>
    <w:rsid w:val="00F0058A"/>
    <w:rsid w:val="00F007B2"/>
    <w:rsid w:val="00F00A17"/>
    <w:rsid w:val="00F00B16"/>
    <w:rsid w:val="00F00B1A"/>
    <w:rsid w:val="00F010D1"/>
    <w:rsid w:val="00F010D9"/>
    <w:rsid w:val="00F01356"/>
    <w:rsid w:val="00F01358"/>
    <w:rsid w:val="00F013A3"/>
    <w:rsid w:val="00F0153D"/>
    <w:rsid w:val="00F01630"/>
    <w:rsid w:val="00F01653"/>
    <w:rsid w:val="00F01818"/>
    <w:rsid w:val="00F01B50"/>
    <w:rsid w:val="00F01CF0"/>
    <w:rsid w:val="00F01DF3"/>
    <w:rsid w:val="00F01E86"/>
    <w:rsid w:val="00F01E8B"/>
    <w:rsid w:val="00F02115"/>
    <w:rsid w:val="00F02237"/>
    <w:rsid w:val="00F022F2"/>
    <w:rsid w:val="00F024B4"/>
    <w:rsid w:val="00F026F3"/>
    <w:rsid w:val="00F0272A"/>
    <w:rsid w:val="00F028DA"/>
    <w:rsid w:val="00F02BE1"/>
    <w:rsid w:val="00F02DCB"/>
    <w:rsid w:val="00F03174"/>
    <w:rsid w:val="00F032FC"/>
    <w:rsid w:val="00F036E7"/>
    <w:rsid w:val="00F037C4"/>
    <w:rsid w:val="00F03958"/>
    <w:rsid w:val="00F0398A"/>
    <w:rsid w:val="00F039EA"/>
    <w:rsid w:val="00F03AC7"/>
    <w:rsid w:val="00F03D07"/>
    <w:rsid w:val="00F03EC4"/>
    <w:rsid w:val="00F0401A"/>
    <w:rsid w:val="00F04242"/>
    <w:rsid w:val="00F042F3"/>
    <w:rsid w:val="00F045B1"/>
    <w:rsid w:val="00F04648"/>
    <w:rsid w:val="00F048F2"/>
    <w:rsid w:val="00F04940"/>
    <w:rsid w:val="00F04A39"/>
    <w:rsid w:val="00F04BE6"/>
    <w:rsid w:val="00F04C2E"/>
    <w:rsid w:val="00F04D8E"/>
    <w:rsid w:val="00F04E29"/>
    <w:rsid w:val="00F04E44"/>
    <w:rsid w:val="00F04E4A"/>
    <w:rsid w:val="00F05106"/>
    <w:rsid w:val="00F0527A"/>
    <w:rsid w:val="00F05297"/>
    <w:rsid w:val="00F05438"/>
    <w:rsid w:val="00F0571A"/>
    <w:rsid w:val="00F05727"/>
    <w:rsid w:val="00F05970"/>
    <w:rsid w:val="00F05977"/>
    <w:rsid w:val="00F05A53"/>
    <w:rsid w:val="00F05A71"/>
    <w:rsid w:val="00F05CB7"/>
    <w:rsid w:val="00F05CCC"/>
    <w:rsid w:val="00F05E5A"/>
    <w:rsid w:val="00F05FFF"/>
    <w:rsid w:val="00F06253"/>
    <w:rsid w:val="00F06260"/>
    <w:rsid w:val="00F065FE"/>
    <w:rsid w:val="00F0678D"/>
    <w:rsid w:val="00F06827"/>
    <w:rsid w:val="00F069B4"/>
    <w:rsid w:val="00F06C5A"/>
    <w:rsid w:val="00F06E11"/>
    <w:rsid w:val="00F06EAC"/>
    <w:rsid w:val="00F0729D"/>
    <w:rsid w:val="00F07526"/>
    <w:rsid w:val="00F0757A"/>
    <w:rsid w:val="00F075D1"/>
    <w:rsid w:val="00F076A5"/>
    <w:rsid w:val="00F0775E"/>
    <w:rsid w:val="00F07AC0"/>
    <w:rsid w:val="00F07B46"/>
    <w:rsid w:val="00F07B98"/>
    <w:rsid w:val="00F07BFF"/>
    <w:rsid w:val="00F07C68"/>
    <w:rsid w:val="00F101B3"/>
    <w:rsid w:val="00F10287"/>
    <w:rsid w:val="00F1048C"/>
    <w:rsid w:val="00F104FA"/>
    <w:rsid w:val="00F10689"/>
    <w:rsid w:val="00F10B65"/>
    <w:rsid w:val="00F10D05"/>
    <w:rsid w:val="00F10EDF"/>
    <w:rsid w:val="00F111CA"/>
    <w:rsid w:val="00F111E5"/>
    <w:rsid w:val="00F1151A"/>
    <w:rsid w:val="00F11673"/>
    <w:rsid w:val="00F116C4"/>
    <w:rsid w:val="00F11718"/>
    <w:rsid w:val="00F11B4C"/>
    <w:rsid w:val="00F11DF9"/>
    <w:rsid w:val="00F120E4"/>
    <w:rsid w:val="00F12148"/>
    <w:rsid w:val="00F122D8"/>
    <w:rsid w:val="00F1231C"/>
    <w:rsid w:val="00F124FF"/>
    <w:rsid w:val="00F12B01"/>
    <w:rsid w:val="00F12BFF"/>
    <w:rsid w:val="00F12C9B"/>
    <w:rsid w:val="00F12CE7"/>
    <w:rsid w:val="00F134CA"/>
    <w:rsid w:val="00F1355E"/>
    <w:rsid w:val="00F135DD"/>
    <w:rsid w:val="00F136C0"/>
    <w:rsid w:val="00F13A47"/>
    <w:rsid w:val="00F13BEB"/>
    <w:rsid w:val="00F13D95"/>
    <w:rsid w:val="00F140DB"/>
    <w:rsid w:val="00F140E8"/>
    <w:rsid w:val="00F14147"/>
    <w:rsid w:val="00F1423D"/>
    <w:rsid w:val="00F14324"/>
    <w:rsid w:val="00F1452C"/>
    <w:rsid w:val="00F14561"/>
    <w:rsid w:val="00F147EB"/>
    <w:rsid w:val="00F148F9"/>
    <w:rsid w:val="00F14A31"/>
    <w:rsid w:val="00F14BE5"/>
    <w:rsid w:val="00F151C2"/>
    <w:rsid w:val="00F1564D"/>
    <w:rsid w:val="00F1581E"/>
    <w:rsid w:val="00F15872"/>
    <w:rsid w:val="00F15AA7"/>
    <w:rsid w:val="00F15AC3"/>
    <w:rsid w:val="00F15E25"/>
    <w:rsid w:val="00F1609F"/>
    <w:rsid w:val="00F1616C"/>
    <w:rsid w:val="00F16174"/>
    <w:rsid w:val="00F161F2"/>
    <w:rsid w:val="00F163EF"/>
    <w:rsid w:val="00F16822"/>
    <w:rsid w:val="00F16874"/>
    <w:rsid w:val="00F16A5D"/>
    <w:rsid w:val="00F16ABD"/>
    <w:rsid w:val="00F16B1F"/>
    <w:rsid w:val="00F16C47"/>
    <w:rsid w:val="00F16C99"/>
    <w:rsid w:val="00F16E61"/>
    <w:rsid w:val="00F16E6F"/>
    <w:rsid w:val="00F16FF9"/>
    <w:rsid w:val="00F171E0"/>
    <w:rsid w:val="00F17223"/>
    <w:rsid w:val="00F17867"/>
    <w:rsid w:val="00F179E9"/>
    <w:rsid w:val="00F17ACF"/>
    <w:rsid w:val="00F17DA7"/>
    <w:rsid w:val="00F17FEF"/>
    <w:rsid w:val="00F2016D"/>
    <w:rsid w:val="00F201C3"/>
    <w:rsid w:val="00F201D8"/>
    <w:rsid w:val="00F20404"/>
    <w:rsid w:val="00F20923"/>
    <w:rsid w:val="00F20979"/>
    <w:rsid w:val="00F209B6"/>
    <w:rsid w:val="00F20B84"/>
    <w:rsid w:val="00F20BDB"/>
    <w:rsid w:val="00F20FBA"/>
    <w:rsid w:val="00F21099"/>
    <w:rsid w:val="00F212C9"/>
    <w:rsid w:val="00F2146F"/>
    <w:rsid w:val="00F2162E"/>
    <w:rsid w:val="00F2177B"/>
    <w:rsid w:val="00F217DB"/>
    <w:rsid w:val="00F21A91"/>
    <w:rsid w:val="00F21C10"/>
    <w:rsid w:val="00F21E82"/>
    <w:rsid w:val="00F21E84"/>
    <w:rsid w:val="00F21EFC"/>
    <w:rsid w:val="00F21F99"/>
    <w:rsid w:val="00F21FC3"/>
    <w:rsid w:val="00F22102"/>
    <w:rsid w:val="00F22122"/>
    <w:rsid w:val="00F222BE"/>
    <w:rsid w:val="00F2230E"/>
    <w:rsid w:val="00F22470"/>
    <w:rsid w:val="00F22787"/>
    <w:rsid w:val="00F227EE"/>
    <w:rsid w:val="00F229D4"/>
    <w:rsid w:val="00F22B32"/>
    <w:rsid w:val="00F22B43"/>
    <w:rsid w:val="00F22B5F"/>
    <w:rsid w:val="00F230D8"/>
    <w:rsid w:val="00F2332D"/>
    <w:rsid w:val="00F23345"/>
    <w:rsid w:val="00F233E6"/>
    <w:rsid w:val="00F23785"/>
    <w:rsid w:val="00F239C8"/>
    <w:rsid w:val="00F23A24"/>
    <w:rsid w:val="00F23D40"/>
    <w:rsid w:val="00F23E83"/>
    <w:rsid w:val="00F2401B"/>
    <w:rsid w:val="00F240B6"/>
    <w:rsid w:val="00F24338"/>
    <w:rsid w:val="00F24514"/>
    <w:rsid w:val="00F24603"/>
    <w:rsid w:val="00F249B8"/>
    <w:rsid w:val="00F24B03"/>
    <w:rsid w:val="00F24CF8"/>
    <w:rsid w:val="00F24D9D"/>
    <w:rsid w:val="00F24DCB"/>
    <w:rsid w:val="00F2500D"/>
    <w:rsid w:val="00F2523F"/>
    <w:rsid w:val="00F2543D"/>
    <w:rsid w:val="00F25471"/>
    <w:rsid w:val="00F2555B"/>
    <w:rsid w:val="00F258F6"/>
    <w:rsid w:val="00F259F2"/>
    <w:rsid w:val="00F25C55"/>
    <w:rsid w:val="00F25C59"/>
    <w:rsid w:val="00F25C87"/>
    <w:rsid w:val="00F25E26"/>
    <w:rsid w:val="00F25ED4"/>
    <w:rsid w:val="00F25FA7"/>
    <w:rsid w:val="00F26007"/>
    <w:rsid w:val="00F260C8"/>
    <w:rsid w:val="00F26185"/>
    <w:rsid w:val="00F26197"/>
    <w:rsid w:val="00F263F3"/>
    <w:rsid w:val="00F26425"/>
    <w:rsid w:val="00F26648"/>
    <w:rsid w:val="00F266E5"/>
    <w:rsid w:val="00F26805"/>
    <w:rsid w:val="00F2684A"/>
    <w:rsid w:val="00F2690C"/>
    <w:rsid w:val="00F2690E"/>
    <w:rsid w:val="00F26B89"/>
    <w:rsid w:val="00F26C0E"/>
    <w:rsid w:val="00F26C50"/>
    <w:rsid w:val="00F26CF9"/>
    <w:rsid w:val="00F26E0E"/>
    <w:rsid w:val="00F26EC7"/>
    <w:rsid w:val="00F27139"/>
    <w:rsid w:val="00F27206"/>
    <w:rsid w:val="00F274CE"/>
    <w:rsid w:val="00F27509"/>
    <w:rsid w:val="00F27574"/>
    <w:rsid w:val="00F27964"/>
    <w:rsid w:val="00F279A0"/>
    <w:rsid w:val="00F27AB7"/>
    <w:rsid w:val="00F27D03"/>
    <w:rsid w:val="00F27DB1"/>
    <w:rsid w:val="00F27E09"/>
    <w:rsid w:val="00F30090"/>
    <w:rsid w:val="00F3013B"/>
    <w:rsid w:val="00F3019E"/>
    <w:rsid w:val="00F301D8"/>
    <w:rsid w:val="00F3037B"/>
    <w:rsid w:val="00F307E2"/>
    <w:rsid w:val="00F30A9D"/>
    <w:rsid w:val="00F30AE3"/>
    <w:rsid w:val="00F30AE4"/>
    <w:rsid w:val="00F30C1A"/>
    <w:rsid w:val="00F30D76"/>
    <w:rsid w:val="00F30D8E"/>
    <w:rsid w:val="00F30F9F"/>
    <w:rsid w:val="00F310E9"/>
    <w:rsid w:val="00F311CE"/>
    <w:rsid w:val="00F31267"/>
    <w:rsid w:val="00F31304"/>
    <w:rsid w:val="00F31573"/>
    <w:rsid w:val="00F315FF"/>
    <w:rsid w:val="00F31627"/>
    <w:rsid w:val="00F31771"/>
    <w:rsid w:val="00F3192A"/>
    <w:rsid w:val="00F319DE"/>
    <w:rsid w:val="00F31CAC"/>
    <w:rsid w:val="00F31E49"/>
    <w:rsid w:val="00F32015"/>
    <w:rsid w:val="00F32072"/>
    <w:rsid w:val="00F321B3"/>
    <w:rsid w:val="00F322F5"/>
    <w:rsid w:val="00F3261C"/>
    <w:rsid w:val="00F32704"/>
    <w:rsid w:val="00F32899"/>
    <w:rsid w:val="00F3298E"/>
    <w:rsid w:val="00F32C1C"/>
    <w:rsid w:val="00F330AD"/>
    <w:rsid w:val="00F33392"/>
    <w:rsid w:val="00F3388E"/>
    <w:rsid w:val="00F338C9"/>
    <w:rsid w:val="00F33939"/>
    <w:rsid w:val="00F33BE8"/>
    <w:rsid w:val="00F33C69"/>
    <w:rsid w:val="00F33DF2"/>
    <w:rsid w:val="00F33E2E"/>
    <w:rsid w:val="00F33E57"/>
    <w:rsid w:val="00F33F84"/>
    <w:rsid w:val="00F341F6"/>
    <w:rsid w:val="00F342B3"/>
    <w:rsid w:val="00F343E1"/>
    <w:rsid w:val="00F34899"/>
    <w:rsid w:val="00F348C2"/>
    <w:rsid w:val="00F34997"/>
    <w:rsid w:val="00F34CA6"/>
    <w:rsid w:val="00F34DDD"/>
    <w:rsid w:val="00F34DE6"/>
    <w:rsid w:val="00F34E83"/>
    <w:rsid w:val="00F34EC1"/>
    <w:rsid w:val="00F34EC4"/>
    <w:rsid w:val="00F354AD"/>
    <w:rsid w:val="00F35571"/>
    <w:rsid w:val="00F355A4"/>
    <w:rsid w:val="00F3565E"/>
    <w:rsid w:val="00F35813"/>
    <w:rsid w:val="00F3602C"/>
    <w:rsid w:val="00F3607D"/>
    <w:rsid w:val="00F36721"/>
    <w:rsid w:val="00F367D2"/>
    <w:rsid w:val="00F36A50"/>
    <w:rsid w:val="00F36E19"/>
    <w:rsid w:val="00F37058"/>
    <w:rsid w:val="00F37445"/>
    <w:rsid w:val="00F37453"/>
    <w:rsid w:val="00F376C7"/>
    <w:rsid w:val="00F37789"/>
    <w:rsid w:val="00F37C6A"/>
    <w:rsid w:val="00F400DC"/>
    <w:rsid w:val="00F40358"/>
    <w:rsid w:val="00F405DC"/>
    <w:rsid w:val="00F4060A"/>
    <w:rsid w:val="00F406F3"/>
    <w:rsid w:val="00F4088A"/>
    <w:rsid w:val="00F40B68"/>
    <w:rsid w:val="00F40E47"/>
    <w:rsid w:val="00F40EE3"/>
    <w:rsid w:val="00F410B3"/>
    <w:rsid w:val="00F4112C"/>
    <w:rsid w:val="00F41169"/>
    <w:rsid w:val="00F4149E"/>
    <w:rsid w:val="00F41657"/>
    <w:rsid w:val="00F4168E"/>
    <w:rsid w:val="00F416C0"/>
    <w:rsid w:val="00F419A3"/>
    <w:rsid w:val="00F41AA5"/>
    <w:rsid w:val="00F41C48"/>
    <w:rsid w:val="00F41D3D"/>
    <w:rsid w:val="00F41EE8"/>
    <w:rsid w:val="00F41EFE"/>
    <w:rsid w:val="00F41F6D"/>
    <w:rsid w:val="00F42354"/>
    <w:rsid w:val="00F4272F"/>
    <w:rsid w:val="00F428B4"/>
    <w:rsid w:val="00F42BEC"/>
    <w:rsid w:val="00F42E06"/>
    <w:rsid w:val="00F42E88"/>
    <w:rsid w:val="00F4305B"/>
    <w:rsid w:val="00F433E4"/>
    <w:rsid w:val="00F43568"/>
    <w:rsid w:val="00F436D2"/>
    <w:rsid w:val="00F43A13"/>
    <w:rsid w:val="00F43B12"/>
    <w:rsid w:val="00F43C82"/>
    <w:rsid w:val="00F43C88"/>
    <w:rsid w:val="00F446D4"/>
    <w:rsid w:val="00F4472D"/>
    <w:rsid w:val="00F44803"/>
    <w:rsid w:val="00F44942"/>
    <w:rsid w:val="00F44987"/>
    <w:rsid w:val="00F44B28"/>
    <w:rsid w:val="00F44CCB"/>
    <w:rsid w:val="00F451AB"/>
    <w:rsid w:val="00F453A9"/>
    <w:rsid w:val="00F45592"/>
    <w:rsid w:val="00F45B67"/>
    <w:rsid w:val="00F45BCE"/>
    <w:rsid w:val="00F45DC4"/>
    <w:rsid w:val="00F460F8"/>
    <w:rsid w:val="00F461DA"/>
    <w:rsid w:val="00F4622D"/>
    <w:rsid w:val="00F46294"/>
    <w:rsid w:val="00F463FA"/>
    <w:rsid w:val="00F466E2"/>
    <w:rsid w:val="00F46FB0"/>
    <w:rsid w:val="00F4704A"/>
    <w:rsid w:val="00F47057"/>
    <w:rsid w:val="00F47269"/>
    <w:rsid w:val="00F472EC"/>
    <w:rsid w:val="00F473F9"/>
    <w:rsid w:val="00F47513"/>
    <w:rsid w:val="00F47674"/>
    <w:rsid w:val="00F476D5"/>
    <w:rsid w:val="00F477EA"/>
    <w:rsid w:val="00F4788C"/>
    <w:rsid w:val="00F47D0B"/>
    <w:rsid w:val="00F47D2E"/>
    <w:rsid w:val="00F47E44"/>
    <w:rsid w:val="00F47F16"/>
    <w:rsid w:val="00F507B2"/>
    <w:rsid w:val="00F50A18"/>
    <w:rsid w:val="00F50A61"/>
    <w:rsid w:val="00F50BA0"/>
    <w:rsid w:val="00F50D62"/>
    <w:rsid w:val="00F50D8E"/>
    <w:rsid w:val="00F5109C"/>
    <w:rsid w:val="00F51459"/>
    <w:rsid w:val="00F5189E"/>
    <w:rsid w:val="00F5193C"/>
    <w:rsid w:val="00F519A2"/>
    <w:rsid w:val="00F51AAC"/>
    <w:rsid w:val="00F51D12"/>
    <w:rsid w:val="00F51D65"/>
    <w:rsid w:val="00F51FB8"/>
    <w:rsid w:val="00F52573"/>
    <w:rsid w:val="00F5261D"/>
    <w:rsid w:val="00F52683"/>
    <w:rsid w:val="00F52690"/>
    <w:rsid w:val="00F5284C"/>
    <w:rsid w:val="00F528A7"/>
    <w:rsid w:val="00F528DC"/>
    <w:rsid w:val="00F52BC5"/>
    <w:rsid w:val="00F5328F"/>
    <w:rsid w:val="00F5340A"/>
    <w:rsid w:val="00F5343C"/>
    <w:rsid w:val="00F537C7"/>
    <w:rsid w:val="00F53B4D"/>
    <w:rsid w:val="00F53B72"/>
    <w:rsid w:val="00F53C39"/>
    <w:rsid w:val="00F53DBE"/>
    <w:rsid w:val="00F53EB1"/>
    <w:rsid w:val="00F53EE1"/>
    <w:rsid w:val="00F53EEF"/>
    <w:rsid w:val="00F542E8"/>
    <w:rsid w:val="00F54347"/>
    <w:rsid w:val="00F548E9"/>
    <w:rsid w:val="00F54B49"/>
    <w:rsid w:val="00F54D26"/>
    <w:rsid w:val="00F54DBD"/>
    <w:rsid w:val="00F55009"/>
    <w:rsid w:val="00F55253"/>
    <w:rsid w:val="00F552BF"/>
    <w:rsid w:val="00F553B5"/>
    <w:rsid w:val="00F5566F"/>
    <w:rsid w:val="00F557F1"/>
    <w:rsid w:val="00F558F7"/>
    <w:rsid w:val="00F55997"/>
    <w:rsid w:val="00F55CA9"/>
    <w:rsid w:val="00F55DDC"/>
    <w:rsid w:val="00F56238"/>
    <w:rsid w:val="00F56774"/>
    <w:rsid w:val="00F568AE"/>
    <w:rsid w:val="00F56AB3"/>
    <w:rsid w:val="00F56BDB"/>
    <w:rsid w:val="00F5705F"/>
    <w:rsid w:val="00F572E2"/>
    <w:rsid w:val="00F572E8"/>
    <w:rsid w:val="00F574A0"/>
    <w:rsid w:val="00F57526"/>
    <w:rsid w:val="00F57A6F"/>
    <w:rsid w:val="00F57AF5"/>
    <w:rsid w:val="00F57D4F"/>
    <w:rsid w:val="00F57EDA"/>
    <w:rsid w:val="00F57FB3"/>
    <w:rsid w:val="00F600A6"/>
    <w:rsid w:val="00F60128"/>
    <w:rsid w:val="00F60437"/>
    <w:rsid w:val="00F6050A"/>
    <w:rsid w:val="00F606B5"/>
    <w:rsid w:val="00F606CF"/>
    <w:rsid w:val="00F607C9"/>
    <w:rsid w:val="00F608F7"/>
    <w:rsid w:val="00F60AB1"/>
    <w:rsid w:val="00F60C57"/>
    <w:rsid w:val="00F60E2F"/>
    <w:rsid w:val="00F611BD"/>
    <w:rsid w:val="00F611EA"/>
    <w:rsid w:val="00F612DC"/>
    <w:rsid w:val="00F613F1"/>
    <w:rsid w:val="00F6158F"/>
    <w:rsid w:val="00F61602"/>
    <w:rsid w:val="00F61843"/>
    <w:rsid w:val="00F619F0"/>
    <w:rsid w:val="00F61A2F"/>
    <w:rsid w:val="00F61CAA"/>
    <w:rsid w:val="00F61DC2"/>
    <w:rsid w:val="00F62006"/>
    <w:rsid w:val="00F6227F"/>
    <w:rsid w:val="00F623F6"/>
    <w:rsid w:val="00F62664"/>
    <w:rsid w:val="00F6284D"/>
    <w:rsid w:val="00F6286F"/>
    <w:rsid w:val="00F62C80"/>
    <w:rsid w:val="00F62E26"/>
    <w:rsid w:val="00F62F6F"/>
    <w:rsid w:val="00F62FFE"/>
    <w:rsid w:val="00F63021"/>
    <w:rsid w:val="00F636B0"/>
    <w:rsid w:val="00F63923"/>
    <w:rsid w:val="00F63A4F"/>
    <w:rsid w:val="00F63B1A"/>
    <w:rsid w:val="00F63E7D"/>
    <w:rsid w:val="00F63F04"/>
    <w:rsid w:val="00F641DC"/>
    <w:rsid w:val="00F647FE"/>
    <w:rsid w:val="00F648B6"/>
    <w:rsid w:val="00F64A01"/>
    <w:rsid w:val="00F64ACB"/>
    <w:rsid w:val="00F64AD6"/>
    <w:rsid w:val="00F64B18"/>
    <w:rsid w:val="00F64C9A"/>
    <w:rsid w:val="00F64CA0"/>
    <w:rsid w:val="00F64CEE"/>
    <w:rsid w:val="00F64D04"/>
    <w:rsid w:val="00F64E02"/>
    <w:rsid w:val="00F64FAA"/>
    <w:rsid w:val="00F651C5"/>
    <w:rsid w:val="00F651CC"/>
    <w:rsid w:val="00F6552E"/>
    <w:rsid w:val="00F65673"/>
    <w:rsid w:val="00F6567B"/>
    <w:rsid w:val="00F657A9"/>
    <w:rsid w:val="00F6581B"/>
    <w:rsid w:val="00F65971"/>
    <w:rsid w:val="00F65DD1"/>
    <w:rsid w:val="00F65E04"/>
    <w:rsid w:val="00F65EFE"/>
    <w:rsid w:val="00F65FE3"/>
    <w:rsid w:val="00F65FED"/>
    <w:rsid w:val="00F66091"/>
    <w:rsid w:val="00F660C3"/>
    <w:rsid w:val="00F660D0"/>
    <w:rsid w:val="00F661EF"/>
    <w:rsid w:val="00F66324"/>
    <w:rsid w:val="00F66375"/>
    <w:rsid w:val="00F664BC"/>
    <w:rsid w:val="00F664ED"/>
    <w:rsid w:val="00F66651"/>
    <w:rsid w:val="00F6679B"/>
    <w:rsid w:val="00F66902"/>
    <w:rsid w:val="00F66A10"/>
    <w:rsid w:val="00F66B2A"/>
    <w:rsid w:val="00F66C05"/>
    <w:rsid w:val="00F66C19"/>
    <w:rsid w:val="00F66D5A"/>
    <w:rsid w:val="00F66D69"/>
    <w:rsid w:val="00F66FC7"/>
    <w:rsid w:val="00F6703D"/>
    <w:rsid w:val="00F671E8"/>
    <w:rsid w:val="00F677C8"/>
    <w:rsid w:val="00F67881"/>
    <w:rsid w:val="00F679C0"/>
    <w:rsid w:val="00F67BBA"/>
    <w:rsid w:val="00F67BD3"/>
    <w:rsid w:val="00F67D42"/>
    <w:rsid w:val="00F67DE2"/>
    <w:rsid w:val="00F700DC"/>
    <w:rsid w:val="00F700F9"/>
    <w:rsid w:val="00F70323"/>
    <w:rsid w:val="00F704A1"/>
    <w:rsid w:val="00F70501"/>
    <w:rsid w:val="00F70537"/>
    <w:rsid w:val="00F70640"/>
    <w:rsid w:val="00F707D8"/>
    <w:rsid w:val="00F70BD1"/>
    <w:rsid w:val="00F70C4D"/>
    <w:rsid w:val="00F70D1E"/>
    <w:rsid w:val="00F70E32"/>
    <w:rsid w:val="00F7108E"/>
    <w:rsid w:val="00F714A5"/>
    <w:rsid w:val="00F71646"/>
    <w:rsid w:val="00F71660"/>
    <w:rsid w:val="00F71742"/>
    <w:rsid w:val="00F71763"/>
    <w:rsid w:val="00F717B1"/>
    <w:rsid w:val="00F717C0"/>
    <w:rsid w:val="00F719B6"/>
    <w:rsid w:val="00F71A71"/>
    <w:rsid w:val="00F722B9"/>
    <w:rsid w:val="00F723DA"/>
    <w:rsid w:val="00F72434"/>
    <w:rsid w:val="00F72594"/>
    <w:rsid w:val="00F726B6"/>
    <w:rsid w:val="00F727B2"/>
    <w:rsid w:val="00F72959"/>
    <w:rsid w:val="00F729EE"/>
    <w:rsid w:val="00F72D9D"/>
    <w:rsid w:val="00F72E23"/>
    <w:rsid w:val="00F72E42"/>
    <w:rsid w:val="00F72FE1"/>
    <w:rsid w:val="00F73272"/>
    <w:rsid w:val="00F7335F"/>
    <w:rsid w:val="00F733ED"/>
    <w:rsid w:val="00F7345B"/>
    <w:rsid w:val="00F7358F"/>
    <w:rsid w:val="00F7362F"/>
    <w:rsid w:val="00F736B0"/>
    <w:rsid w:val="00F738FA"/>
    <w:rsid w:val="00F73A4A"/>
    <w:rsid w:val="00F7406F"/>
    <w:rsid w:val="00F7415C"/>
    <w:rsid w:val="00F742CB"/>
    <w:rsid w:val="00F74554"/>
    <w:rsid w:val="00F74677"/>
    <w:rsid w:val="00F74965"/>
    <w:rsid w:val="00F74A41"/>
    <w:rsid w:val="00F74B80"/>
    <w:rsid w:val="00F74E75"/>
    <w:rsid w:val="00F74F07"/>
    <w:rsid w:val="00F74F84"/>
    <w:rsid w:val="00F75067"/>
    <w:rsid w:val="00F75214"/>
    <w:rsid w:val="00F75257"/>
    <w:rsid w:val="00F75497"/>
    <w:rsid w:val="00F75682"/>
    <w:rsid w:val="00F756B2"/>
    <w:rsid w:val="00F75735"/>
    <w:rsid w:val="00F75953"/>
    <w:rsid w:val="00F75AF1"/>
    <w:rsid w:val="00F75BA7"/>
    <w:rsid w:val="00F75DFD"/>
    <w:rsid w:val="00F75EEC"/>
    <w:rsid w:val="00F76074"/>
    <w:rsid w:val="00F76277"/>
    <w:rsid w:val="00F76408"/>
    <w:rsid w:val="00F76674"/>
    <w:rsid w:val="00F76681"/>
    <w:rsid w:val="00F768FF"/>
    <w:rsid w:val="00F76955"/>
    <w:rsid w:val="00F76AEE"/>
    <w:rsid w:val="00F76B80"/>
    <w:rsid w:val="00F76D20"/>
    <w:rsid w:val="00F76E7D"/>
    <w:rsid w:val="00F76F78"/>
    <w:rsid w:val="00F7724B"/>
    <w:rsid w:val="00F773DC"/>
    <w:rsid w:val="00F7749F"/>
    <w:rsid w:val="00F7790C"/>
    <w:rsid w:val="00F77A02"/>
    <w:rsid w:val="00F77A92"/>
    <w:rsid w:val="00F77CEB"/>
    <w:rsid w:val="00F77DB4"/>
    <w:rsid w:val="00F77EE8"/>
    <w:rsid w:val="00F800D3"/>
    <w:rsid w:val="00F80274"/>
    <w:rsid w:val="00F805EF"/>
    <w:rsid w:val="00F805FA"/>
    <w:rsid w:val="00F80803"/>
    <w:rsid w:val="00F8099A"/>
    <w:rsid w:val="00F809C5"/>
    <w:rsid w:val="00F80C61"/>
    <w:rsid w:val="00F80DA8"/>
    <w:rsid w:val="00F80FB0"/>
    <w:rsid w:val="00F81048"/>
    <w:rsid w:val="00F815FE"/>
    <w:rsid w:val="00F8187A"/>
    <w:rsid w:val="00F8197E"/>
    <w:rsid w:val="00F81A59"/>
    <w:rsid w:val="00F81C9C"/>
    <w:rsid w:val="00F81D9A"/>
    <w:rsid w:val="00F8201C"/>
    <w:rsid w:val="00F8212E"/>
    <w:rsid w:val="00F824FF"/>
    <w:rsid w:val="00F82503"/>
    <w:rsid w:val="00F826C2"/>
    <w:rsid w:val="00F826C9"/>
    <w:rsid w:val="00F82A28"/>
    <w:rsid w:val="00F82A8D"/>
    <w:rsid w:val="00F82B4E"/>
    <w:rsid w:val="00F82BF9"/>
    <w:rsid w:val="00F82ED0"/>
    <w:rsid w:val="00F82EFF"/>
    <w:rsid w:val="00F82F45"/>
    <w:rsid w:val="00F830DC"/>
    <w:rsid w:val="00F83255"/>
    <w:rsid w:val="00F8326F"/>
    <w:rsid w:val="00F832B3"/>
    <w:rsid w:val="00F833AC"/>
    <w:rsid w:val="00F83634"/>
    <w:rsid w:val="00F83859"/>
    <w:rsid w:val="00F838FD"/>
    <w:rsid w:val="00F83904"/>
    <w:rsid w:val="00F83B36"/>
    <w:rsid w:val="00F83B9E"/>
    <w:rsid w:val="00F83CB3"/>
    <w:rsid w:val="00F83FC8"/>
    <w:rsid w:val="00F83FD6"/>
    <w:rsid w:val="00F84173"/>
    <w:rsid w:val="00F84544"/>
    <w:rsid w:val="00F8488C"/>
    <w:rsid w:val="00F84CC9"/>
    <w:rsid w:val="00F84E91"/>
    <w:rsid w:val="00F84F78"/>
    <w:rsid w:val="00F854FB"/>
    <w:rsid w:val="00F855D1"/>
    <w:rsid w:val="00F855ED"/>
    <w:rsid w:val="00F8585C"/>
    <w:rsid w:val="00F85A35"/>
    <w:rsid w:val="00F85C79"/>
    <w:rsid w:val="00F85F46"/>
    <w:rsid w:val="00F862D6"/>
    <w:rsid w:val="00F8681A"/>
    <w:rsid w:val="00F8685A"/>
    <w:rsid w:val="00F86A37"/>
    <w:rsid w:val="00F86E57"/>
    <w:rsid w:val="00F86EFA"/>
    <w:rsid w:val="00F873F3"/>
    <w:rsid w:val="00F874D1"/>
    <w:rsid w:val="00F876C0"/>
    <w:rsid w:val="00F8786B"/>
    <w:rsid w:val="00F87938"/>
    <w:rsid w:val="00F87DB7"/>
    <w:rsid w:val="00F87E3F"/>
    <w:rsid w:val="00F87EDD"/>
    <w:rsid w:val="00F904A5"/>
    <w:rsid w:val="00F9069E"/>
    <w:rsid w:val="00F906A8"/>
    <w:rsid w:val="00F90866"/>
    <w:rsid w:val="00F90918"/>
    <w:rsid w:val="00F90BB4"/>
    <w:rsid w:val="00F90BCC"/>
    <w:rsid w:val="00F91028"/>
    <w:rsid w:val="00F91045"/>
    <w:rsid w:val="00F917F4"/>
    <w:rsid w:val="00F91A9D"/>
    <w:rsid w:val="00F91AC4"/>
    <w:rsid w:val="00F91D90"/>
    <w:rsid w:val="00F91F3A"/>
    <w:rsid w:val="00F9208A"/>
    <w:rsid w:val="00F920AA"/>
    <w:rsid w:val="00F921EA"/>
    <w:rsid w:val="00F9228A"/>
    <w:rsid w:val="00F92477"/>
    <w:rsid w:val="00F924AD"/>
    <w:rsid w:val="00F92617"/>
    <w:rsid w:val="00F92981"/>
    <w:rsid w:val="00F929C5"/>
    <w:rsid w:val="00F929DD"/>
    <w:rsid w:val="00F92B72"/>
    <w:rsid w:val="00F92BAF"/>
    <w:rsid w:val="00F92D07"/>
    <w:rsid w:val="00F92D28"/>
    <w:rsid w:val="00F932B3"/>
    <w:rsid w:val="00F93413"/>
    <w:rsid w:val="00F93471"/>
    <w:rsid w:val="00F935EF"/>
    <w:rsid w:val="00F93623"/>
    <w:rsid w:val="00F9376D"/>
    <w:rsid w:val="00F93821"/>
    <w:rsid w:val="00F93864"/>
    <w:rsid w:val="00F93A77"/>
    <w:rsid w:val="00F93A95"/>
    <w:rsid w:val="00F93AEC"/>
    <w:rsid w:val="00F93AF9"/>
    <w:rsid w:val="00F93B9D"/>
    <w:rsid w:val="00F93BE1"/>
    <w:rsid w:val="00F93CD9"/>
    <w:rsid w:val="00F93E58"/>
    <w:rsid w:val="00F93EE6"/>
    <w:rsid w:val="00F941DF"/>
    <w:rsid w:val="00F9440B"/>
    <w:rsid w:val="00F945CD"/>
    <w:rsid w:val="00F949FB"/>
    <w:rsid w:val="00F94A29"/>
    <w:rsid w:val="00F94BA7"/>
    <w:rsid w:val="00F94C44"/>
    <w:rsid w:val="00F94D2A"/>
    <w:rsid w:val="00F94ECD"/>
    <w:rsid w:val="00F94F31"/>
    <w:rsid w:val="00F94F88"/>
    <w:rsid w:val="00F94FCB"/>
    <w:rsid w:val="00F95105"/>
    <w:rsid w:val="00F9512A"/>
    <w:rsid w:val="00F95543"/>
    <w:rsid w:val="00F955E9"/>
    <w:rsid w:val="00F9594D"/>
    <w:rsid w:val="00F959BC"/>
    <w:rsid w:val="00F95D84"/>
    <w:rsid w:val="00F960B8"/>
    <w:rsid w:val="00F960FA"/>
    <w:rsid w:val="00F9619E"/>
    <w:rsid w:val="00F96331"/>
    <w:rsid w:val="00F963AB"/>
    <w:rsid w:val="00F96413"/>
    <w:rsid w:val="00F96B14"/>
    <w:rsid w:val="00F96BBE"/>
    <w:rsid w:val="00F96C07"/>
    <w:rsid w:val="00F96D17"/>
    <w:rsid w:val="00F96F8E"/>
    <w:rsid w:val="00F9742B"/>
    <w:rsid w:val="00F97483"/>
    <w:rsid w:val="00F974B8"/>
    <w:rsid w:val="00F9750B"/>
    <w:rsid w:val="00F979B8"/>
    <w:rsid w:val="00F97A45"/>
    <w:rsid w:val="00F97A57"/>
    <w:rsid w:val="00F97A97"/>
    <w:rsid w:val="00F97F70"/>
    <w:rsid w:val="00F97FBA"/>
    <w:rsid w:val="00FA0132"/>
    <w:rsid w:val="00FA01F7"/>
    <w:rsid w:val="00FA0367"/>
    <w:rsid w:val="00FA042B"/>
    <w:rsid w:val="00FA04A4"/>
    <w:rsid w:val="00FA053F"/>
    <w:rsid w:val="00FA060D"/>
    <w:rsid w:val="00FA08F0"/>
    <w:rsid w:val="00FA0912"/>
    <w:rsid w:val="00FA0954"/>
    <w:rsid w:val="00FA0CC1"/>
    <w:rsid w:val="00FA0E2B"/>
    <w:rsid w:val="00FA0ED9"/>
    <w:rsid w:val="00FA0F8F"/>
    <w:rsid w:val="00FA1215"/>
    <w:rsid w:val="00FA146B"/>
    <w:rsid w:val="00FA161B"/>
    <w:rsid w:val="00FA1763"/>
    <w:rsid w:val="00FA1783"/>
    <w:rsid w:val="00FA1A2A"/>
    <w:rsid w:val="00FA1A98"/>
    <w:rsid w:val="00FA1ACE"/>
    <w:rsid w:val="00FA1BB6"/>
    <w:rsid w:val="00FA1C52"/>
    <w:rsid w:val="00FA1CBB"/>
    <w:rsid w:val="00FA1D24"/>
    <w:rsid w:val="00FA1DF8"/>
    <w:rsid w:val="00FA1E10"/>
    <w:rsid w:val="00FA1FD0"/>
    <w:rsid w:val="00FA209C"/>
    <w:rsid w:val="00FA2211"/>
    <w:rsid w:val="00FA236F"/>
    <w:rsid w:val="00FA27C9"/>
    <w:rsid w:val="00FA280C"/>
    <w:rsid w:val="00FA2861"/>
    <w:rsid w:val="00FA2A13"/>
    <w:rsid w:val="00FA2C83"/>
    <w:rsid w:val="00FA317E"/>
    <w:rsid w:val="00FA31DB"/>
    <w:rsid w:val="00FA31F4"/>
    <w:rsid w:val="00FA32BE"/>
    <w:rsid w:val="00FA3396"/>
    <w:rsid w:val="00FA3449"/>
    <w:rsid w:val="00FA3646"/>
    <w:rsid w:val="00FA3761"/>
    <w:rsid w:val="00FA3868"/>
    <w:rsid w:val="00FA4084"/>
    <w:rsid w:val="00FA4172"/>
    <w:rsid w:val="00FA444F"/>
    <w:rsid w:val="00FA46F9"/>
    <w:rsid w:val="00FA4A34"/>
    <w:rsid w:val="00FA4AB4"/>
    <w:rsid w:val="00FA4CC8"/>
    <w:rsid w:val="00FA4DD2"/>
    <w:rsid w:val="00FA4F29"/>
    <w:rsid w:val="00FA4FC9"/>
    <w:rsid w:val="00FA502F"/>
    <w:rsid w:val="00FA503F"/>
    <w:rsid w:val="00FA516A"/>
    <w:rsid w:val="00FA527A"/>
    <w:rsid w:val="00FA528A"/>
    <w:rsid w:val="00FA529D"/>
    <w:rsid w:val="00FA533E"/>
    <w:rsid w:val="00FA54F4"/>
    <w:rsid w:val="00FA5702"/>
    <w:rsid w:val="00FA59DA"/>
    <w:rsid w:val="00FA5C30"/>
    <w:rsid w:val="00FA5E18"/>
    <w:rsid w:val="00FA5E56"/>
    <w:rsid w:val="00FA5ED6"/>
    <w:rsid w:val="00FA601C"/>
    <w:rsid w:val="00FA61B9"/>
    <w:rsid w:val="00FA6504"/>
    <w:rsid w:val="00FA65B0"/>
    <w:rsid w:val="00FA65E4"/>
    <w:rsid w:val="00FA66BF"/>
    <w:rsid w:val="00FA66D5"/>
    <w:rsid w:val="00FA676E"/>
    <w:rsid w:val="00FA6827"/>
    <w:rsid w:val="00FA682E"/>
    <w:rsid w:val="00FA6A4B"/>
    <w:rsid w:val="00FA6B5E"/>
    <w:rsid w:val="00FA6C23"/>
    <w:rsid w:val="00FA6CB9"/>
    <w:rsid w:val="00FA6D94"/>
    <w:rsid w:val="00FA6DEE"/>
    <w:rsid w:val="00FA6F69"/>
    <w:rsid w:val="00FA703A"/>
    <w:rsid w:val="00FA7101"/>
    <w:rsid w:val="00FA71DC"/>
    <w:rsid w:val="00FA7268"/>
    <w:rsid w:val="00FA7288"/>
    <w:rsid w:val="00FA72FA"/>
    <w:rsid w:val="00FA7313"/>
    <w:rsid w:val="00FA750D"/>
    <w:rsid w:val="00FA768C"/>
    <w:rsid w:val="00FA790B"/>
    <w:rsid w:val="00FA79D5"/>
    <w:rsid w:val="00FA7AB2"/>
    <w:rsid w:val="00FA7AE5"/>
    <w:rsid w:val="00FA7E88"/>
    <w:rsid w:val="00FA7F50"/>
    <w:rsid w:val="00FB000A"/>
    <w:rsid w:val="00FB04DF"/>
    <w:rsid w:val="00FB0510"/>
    <w:rsid w:val="00FB05B3"/>
    <w:rsid w:val="00FB08EA"/>
    <w:rsid w:val="00FB0B16"/>
    <w:rsid w:val="00FB0CF4"/>
    <w:rsid w:val="00FB0E29"/>
    <w:rsid w:val="00FB0FEE"/>
    <w:rsid w:val="00FB1280"/>
    <w:rsid w:val="00FB12BC"/>
    <w:rsid w:val="00FB13D6"/>
    <w:rsid w:val="00FB160A"/>
    <w:rsid w:val="00FB199F"/>
    <w:rsid w:val="00FB1A61"/>
    <w:rsid w:val="00FB1B81"/>
    <w:rsid w:val="00FB1B95"/>
    <w:rsid w:val="00FB1C96"/>
    <w:rsid w:val="00FB1CE2"/>
    <w:rsid w:val="00FB1E1F"/>
    <w:rsid w:val="00FB212D"/>
    <w:rsid w:val="00FB226E"/>
    <w:rsid w:val="00FB22FA"/>
    <w:rsid w:val="00FB234D"/>
    <w:rsid w:val="00FB242E"/>
    <w:rsid w:val="00FB2843"/>
    <w:rsid w:val="00FB2A2A"/>
    <w:rsid w:val="00FB2C8C"/>
    <w:rsid w:val="00FB2DB5"/>
    <w:rsid w:val="00FB2F95"/>
    <w:rsid w:val="00FB3150"/>
    <w:rsid w:val="00FB32A2"/>
    <w:rsid w:val="00FB32D9"/>
    <w:rsid w:val="00FB333D"/>
    <w:rsid w:val="00FB3462"/>
    <w:rsid w:val="00FB3516"/>
    <w:rsid w:val="00FB3528"/>
    <w:rsid w:val="00FB3661"/>
    <w:rsid w:val="00FB3839"/>
    <w:rsid w:val="00FB39DE"/>
    <w:rsid w:val="00FB3A85"/>
    <w:rsid w:val="00FB3B52"/>
    <w:rsid w:val="00FB3D68"/>
    <w:rsid w:val="00FB4064"/>
    <w:rsid w:val="00FB40EC"/>
    <w:rsid w:val="00FB4167"/>
    <w:rsid w:val="00FB43A2"/>
    <w:rsid w:val="00FB4427"/>
    <w:rsid w:val="00FB452A"/>
    <w:rsid w:val="00FB490F"/>
    <w:rsid w:val="00FB4940"/>
    <w:rsid w:val="00FB4A41"/>
    <w:rsid w:val="00FB4BB9"/>
    <w:rsid w:val="00FB4C93"/>
    <w:rsid w:val="00FB4DD2"/>
    <w:rsid w:val="00FB5199"/>
    <w:rsid w:val="00FB547B"/>
    <w:rsid w:val="00FB548F"/>
    <w:rsid w:val="00FB55E6"/>
    <w:rsid w:val="00FB5A2D"/>
    <w:rsid w:val="00FB5A90"/>
    <w:rsid w:val="00FB5C0E"/>
    <w:rsid w:val="00FB5D59"/>
    <w:rsid w:val="00FB604D"/>
    <w:rsid w:val="00FB623C"/>
    <w:rsid w:val="00FB628D"/>
    <w:rsid w:val="00FB62E4"/>
    <w:rsid w:val="00FB63F3"/>
    <w:rsid w:val="00FB65FB"/>
    <w:rsid w:val="00FB6616"/>
    <w:rsid w:val="00FB67F3"/>
    <w:rsid w:val="00FB687B"/>
    <w:rsid w:val="00FB6883"/>
    <w:rsid w:val="00FB690F"/>
    <w:rsid w:val="00FB6A37"/>
    <w:rsid w:val="00FB6B02"/>
    <w:rsid w:val="00FB6B10"/>
    <w:rsid w:val="00FB6BED"/>
    <w:rsid w:val="00FB6D30"/>
    <w:rsid w:val="00FB6D33"/>
    <w:rsid w:val="00FB6DCC"/>
    <w:rsid w:val="00FB71E5"/>
    <w:rsid w:val="00FB7227"/>
    <w:rsid w:val="00FB726F"/>
    <w:rsid w:val="00FB739D"/>
    <w:rsid w:val="00FB74BB"/>
    <w:rsid w:val="00FB763A"/>
    <w:rsid w:val="00FB773C"/>
    <w:rsid w:val="00FB77C4"/>
    <w:rsid w:val="00FB7950"/>
    <w:rsid w:val="00FB79E6"/>
    <w:rsid w:val="00FB7CAE"/>
    <w:rsid w:val="00FB7D78"/>
    <w:rsid w:val="00FB7E17"/>
    <w:rsid w:val="00FB7F4B"/>
    <w:rsid w:val="00FC0099"/>
    <w:rsid w:val="00FC044F"/>
    <w:rsid w:val="00FC05C6"/>
    <w:rsid w:val="00FC06CB"/>
    <w:rsid w:val="00FC0729"/>
    <w:rsid w:val="00FC084D"/>
    <w:rsid w:val="00FC0920"/>
    <w:rsid w:val="00FC098E"/>
    <w:rsid w:val="00FC0A5F"/>
    <w:rsid w:val="00FC0AEE"/>
    <w:rsid w:val="00FC0E0D"/>
    <w:rsid w:val="00FC1089"/>
    <w:rsid w:val="00FC114C"/>
    <w:rsid w:val="00FC160F"/>
    <w:rsid w:val="00FC1CE9"/>
    <w:rsid w:val="00FC1D6E"/>
    <w:rsid w:val="00FC22D9"/>
    <w:rsid w:val="00FC237D"/>
    <w:rsid w:val="00FC2695"/>
    <w:rsid w:val="00FC2A19"/>
    <w:rsid w:val="00FC2A77"/>
    <w:rsid w:val="00FC30CF"/>
    <w:rsid w:val="00FC31BC"/>
    <w:rsid w:val="00FC327B"/>
    <w:rsid w:val="00FC3453"/>
    <w:rsid w:val="00FC3504"/>
    <w:rsid w:val="00FC362A"/>
    <w:rsid w:val="00FC3C63"/>
    <w:rsid w:val="00FC3DAA"/>
    <w:rsid w:val="00FC3EC3"/>
    <w:rsid w:val="00FC40B1"/>
    <w:rsid w:val="00FC4254"/>
    <w:rsid w:val="00FC4322"/>
    <w:rsid w:val="00FC43EB"/>
    <w:rsid w:val="00FC446D"/>
    <w:rsid w:val="00FC4516"/>
    <w:rsid w:val="00FC4646"/>
    <w:rsid w:val="00FC4706"/>
    <w:rsid w:val="00FC4B4B"/>
    <w:rsid w:val="00FC4C80"/>
    <w:rsid w:val="00FC4D7A"/>
    <w:rsid w:val="00FC4E5A"/>
    <w:rsid w:val="00FC51F8"/>
    <w:rsid w:val="00FC526E"/>
    <w:rsid w:val="00FC5281"/>
    <w:rsid w:val="00FC5290"/>
    <w:rsid w:val="00FC5486"/>
    <w:rsid w:val="00FC557F"/>
    <w:rsid w:val="00FC581D"/>
    <w:rsid w:val="00FC588C"/>
    <w:rsid w:val="00FC592F"/>
    <w:rsid w:val="00FC5C18"/>
    <w:rsid w:val="00FC5EDA"/>
    <w:rsid w:val="00FC60B5"/>
    <w:rsid w:val="00FC60C9"/>
    <w:rsid w:val="00FC611B"/>
    <w:rsid w:val="00FC6197"/>
    <w:rsid w:val="00FC62C1"/>
    <w:rsid w:val="00FC6398"/>
    <w:rsid w:val="00FC63DA"/>
    <w:rsid w:val="00FC6461"/>
    <w:rsid w:val="00FC6552"/>
    <w:rsid w:val="00FC65CE"/>
    <w:rsid w:val="00FC6928"/>
    <w:rsid w:val="00FC6B2A"/>
    <w:rsid w:val="00FC6EB7"/>
    <w:rsid w:val="00FC7185"/>
    <w:rsid w:val="00FC74B6"/>
    <w:rsid w:val="00FC75E9"/>
    <w:rsid w:val="00FC7EA8"/>
    <w:rsid w:val="00FC7EBB"/>
    <w:rsid w:val="00FC7ED4"/>
    <w:rsid w:val="00FC7F98"/>
    <w:rsid w:val="00FC7FA1"/>
    <w:rsid w:val="00FD0608"/>
    <w:rsid w:val="00FD066A"/>
    <w:rsid w:val="00FD085A"/>
    <w:rsid w:val="00FD0999"/>
    <w:rsid w:val="00FD0A16"/>
    <w:rsid w:val="00FD0A60"/>
    <w:rsid w:val="00FD0A85"/>
    <w:rsid w:val="00FD0ACB"/>
    <w:rsid w:val="00FD0CF6"/>
    <w:rsid w:val="00FD0D8B"/>
    <w:rsid w:val="00FD1111"/>
    <w:rsid w:val="00FD1119"/>
    <w:rsid w:val="00FD11BD"/>
    <w:rsid w:val="00FD1329"/>
    <w:rsid w:val="00FD15F6"/>
    <w:rsid w:val="00FD162D"/>
    <w:rsid w:val="00FD1704"/>
    <w:rsid w:val="00FD1797"/>
    <w:rsid w:val="00FD183A"/>
    <w:rsid w:val="00FD1F05"/>
    <w:rsid w:val="00FD206D"/>
    <w:rsid w:val="00FD20B8"/>
    <w:rsid w:val="00FD2226"/>
    <w:rsid w:val="00FD2408"/>
    <w:rsid w:val="00FD24A2"/>
    <w:rsid w:val="00FD2566"/>
    <w:rsid w:val="00FD259C"/>
    <w:rsid w:val="00FD2725"/>
    <w:rsid w:val="00FD316B"/>
    <w:rsid w:val="00FD3220"/>
    <w:rsid w:val="00FD3232"/>
    <w:rsid w:val="00FD3353"/>
    <w:rsid w:val="00FD33FD"/>
    <w:rsid w:val="00FD365B"/>
    <w:rsid w:val="00FD3AC5"/>
    <w:rsid w:val="00FD3BD6"/>
    <w:rsid w:val="00FD3D5B"/>
    <w:rsid w:val="00FD3DB7"/>
    <w:rsid w:val="00FD3FC0"/>
    <w:rsid w:val="00FD422E"/>
    <w:rsid w:val="00FD4234"/>
    <w:rsid w:val="00FD4272"/>
    <w:rsid w:val="00FD42F7"/>
    <w:rsid w:val="00FD458B"/>
    <w:rsid w:val="00FD49DD"/>
    <w:rsid w:val="00FD4A8A"/>
    <w:rsid w:val="00FD4F3C"/>
    <w:rsid w:val="00FD5312"/>
    <w:rsid w:val="00FD56BD"/>
    <w:rsid w:val="00FD5A64"/>
    <w:rsid w:val="00FD5B62"/>
    <w:rsid w:val="00FD5DA3"/>
    <w:rsid w:val="00FD5EEB"/>
    <w:rsid w:val="00FD605A"/>
    <w:rsid w:val="00FD6250"/>
    <w:rsid w:val="00FD6336"/>
    <w:rsid w:val="00FD6351"/>
    <w:rsid w:val="00FD6421"/>
    <w:rsid w:val="00FD647F"/>
    <w:rsid w:val="00FD6582"/>
    <w:rsid w:val="00FD66BC"/>
    <w:rsid w:val="00FD6990"/>
    <w:rsid w:val="00FD6A58"/>
    <w:rsid w:val="00FD6C94"/>
    <w:rsid w:val="00FD6CE8"/>
    <w:rsid w:val="00FD6D00"/>
    <w:rsid w:val="00FD6DD8"/>
    <w:rsid w:val="00FD72EC"/>
    <w:rsid w:val="00FD7479"/>
    <w:rsid w:val="00FD74C7"/>
    <w:rsid w:val="00FD7601"/>
    <w:rsid w:val="00FD7923"/>
    <w:rsid w:val="00FD7A05"/>
    <w:rsid w:val="00FD7C16"/>
    <w:rsid w:val="00FD7C1E"/>
    <w:rsid w:val="00FD7CDB"/>
    <w:rsid w:val="00FD7DBD"/>
    <w:rsid w:val="00FD7F22"/>
    <w:rsid w:val="00FD7F9A"/>
    <w:rsid w:val="00FD7FC4"/>
    <w:rsid w:val="00FD7FD6"/>
    <w:rsid w:val="00FE012D"/>
    <w:rsid w:val="00FE018F"/>
    <w:rsid w:val="00FE0353"/>
    <w:rsid w:val="00FE0C07"/>
    <w:rsid w:val="00FE0D08"/>
    <w:rsid w:val="00FE100F"/>
    <w:rsid w:val="00FE128C"/>
    <w:rsid w:val="00FE1748"/>
    <w:rsid w:val="00FE1758"/>
    <w:rsid w:val="00FE1935"/>
    <w:rsid w:val="00FE1A5A"/>
    <w:rsid w:val="00FE1B44"/>
    <w:rsid w:val="00FE27C0"/>
    <w:rsid w:val="00FE29CC"/>
    <w:rsid w:val="00FE2B22"/>
    <w:rsid w:val="00FE2D1A"/>
    <w:rsid w:val="00FE2D50"/>
    <w:rsid w:val="00FE30DA"/>
    <w:rsid w:val="00FE30FC"/>
    <w:rsid w:val="00FE3424"/>
    <w:rsid w:val="00FE35D3"/>
    <w:rsid w:val="00FE3689"/>
    <w:rsid w:val="00FE37B5"/>
    <w:rsid w:val="00FE37BB"/>
    <w:rsid w:val="00FE38DF"/>
    <w:rsid w:val="00FE3BE4"/>
    <w:rsid w:val="00FE3C80"/>
    <w:rsid w:val="00FE3E91"/>
    <w:rsid w:val="00FE3FA2"/>
    <w:rsid w:val="00FE4181"/>
    <w:rsid w:val="00FE4973"/>
    <w:rsid w:val="00FE4A13"/>
    <w:rsid w:val="00FE4C1B"/>
    <w:rsid w:val="00FE4CE5"/>
    <w:rsid w:val="00FE4DD2"/>
    <w:rsid w:val="00FE527E"/>
    <w:rsid w:val="00FE5542"/>
    <w:rsid w:val="00FE589D"/>
    <w:rsid w:val="00FE5B18"/>
    <w:rsid w:val="00FE5CAD"/>
    <w:rsid w:val="00FE60AB"/>
    <w:rsid w:val="00FE6376"/>
    <w:rsid w:val="00FE6541"/>
    <w:rsid w:val="00FE6574"/>
    <w:rsid w:val="00FE6654"/>
    <w:rsid w:val="00FE6716"/>
    <w:rsid w:val="00FE672E"/>
    <w:rsid w:val="00FE67BA"/>
    <w:rsid w:val="00FE6C57"/>
    <w:rsid w:val="00FE6D01"/>
    <w:rsid w:val="00FE6DC6"/>
    <w:rsid w:val="00FE6FA0"/>
    <w:rsid w:val="00FE70D9"/>
    <w:rsid w:val="00FE7131"/>
    <w:rsid w:val="00FE73B0"/>
    <w:rsid w:val="00FE7464"/>
    <w:rsid w:val="00FE7581"/>
    <w:rsid w:val="00FE759D"/>
    <w:rsid w:val="00FE78EF"/>
    <w:rsid w:val="00FE7996"/>
    <w:rsid w:val="00FE7DAA"/>
    <w:rsid w:val="00FE7E95"/>
    <w:rsid w:val="00FE7EDA"/>
    <w:rsid w:val="00FF0379"/>
    <w:rsid w:val="00FF039D"/>
    <w:rsid w:val="00FF03A0"/>
    <w:rsid w:val="00FF08F4"/>
    <w:rsid w:val="00FF0A2A"/>
    <w:rsid w:val="00FF0AEA"/>
    <w:rsid w:val="00FF0CEC"/>
    <w:rsid w:val="00FF0ED4"/>
    <w:rsid w:val="00FF0F22"/>
    <w:rsid w:val="00FF0F53"/>
    <w:rsid w:val="00FF0F98"/>
    <w:rsid w:val="00FF1082"/>
    <w:rsid w:val="00FF125E"/>
    <w:rsid w:val="00FF14C7"/>
    <w:rsid w:val="00FF1547"/>
    <w:rsid w:val="00FF18BA"/>
    <w:rsid w:val="00FF1A8E"/>
    <w:rsid w:val="00FF1E89"/>
    <w:rsid w:val="00FF1FA9"/>
    <w:rsid w:val="00FF2162"/>
    <w:rsid w:val="00FF2277"/>
    <w:rsid w:val="00FF23C0"/>
    <w:rsid w:val="00FF269D"/>
    <w:rsid w:val="00FF2792"/>
    <w:rsid w:val="00FF294F"/>
    <w:rsid w:val="00FF2A58"/>
    <w:rsid w:val="00FF2C43"/>
    <w:rsid w:val="00FF2F85"/>
    <w:rsid w:val="00FF2FF3"/>
    <w:rsid w:val="00FF3048"/>
    <w:rsid w:val="00FF306E"/>
    <w:rsid w:val="00FF3113"/>
    <w:rsid w:val="00FF3388"/>
    <w:rsid w:val="00FF3469"/>
    <w:rsid w:val="00FF351A"/>
    <w:rsid w:val="00FF35B6"/>
    <w:rsid w:val="00FF3679"/>
    <w:rsid w:val="00FF39FB"/>
    <w:rsid w:val="00FF3BC5"/>
    <w:rsid w:val="00FF3BF3"/>
    <w:rsid w:val="00FF3D22"/>
    <w:rsid w:val="00FF3D28"/>
    <w:rsid w:val="00FF3E09"/>
    <w:rsid w:val="00FF3EB2"/>
    <w:rsid w:val="00FF40B6"/>
    <w:rsid w:val="00FF43D2"/>
    <w:rsid w:val="00FF4667"/>
    <w:rsid w:val="00FF47AE"/>
    <w:rsid w:val="00FF47E6"/>
    <w:rsid w:val="00FF48D4"/>
    <w:rsid w:val="00FF5024"/>
    <w:rsid w:val="00FF5126"/>
    <w:rsid w:val="00FF5199"/>
    <w:rsid w:val="00FF53FF"/>
    <w:rsid w:val="00FF54A0"/>
    <w:rsid w:val="00FF5561"/>
    <w:rsid w:val="00FF55FC"/>
    <w:rsid w:val="00FF566C"/>
    <w:rsid w:val="00FF57CA"/>
    <w:rsid w:val="00FF5817"/>
    <w:rsid w:val="00FF5958"/>
    <w:rsid w:val="00FF5A50"/>
    <w:rsid w:val="00FF5ADD"/>
    <w:rsid w:val="00FF618F"/>
    <w:rsid w:val="00FF61C9"/>
    <w:rsid w:val="00FF6238"/>
    <w:rsid w:val="00FF64C8"/>
    <w:rsid w:val="00FF65AF"/>
    <w:rsid w:val="00FF66F5"/>
    <w:rsid w:val="00FF6813"/>
    <w:rsid w:val="00FF6843"/>
    <w:rsid w:val="00FF68E3"/>
    <w:rsid w:val="00FF6DF1"/>
    <w:rsid w:val="00FF6E15"/>
    <w:rsid w:val="00FF6F63"/>
    <w:rsid w:val="00FF7090"/>
    <w:rsid w:val="00FF72A0"/>
    <w:rsid w:val="00FF763B"/>
    <w:rsid w:val="00FF76F9"/>
    <w:rsid w:val="00FF7B8D"/>
    <w:rsid w:val="00FF7D2E"/>
    <w:rsid w:val="00FF7FE8"/>
    <w:rsid w:val="01561335"/>
    <w:rsid w:val="020C5795"/>
    <w:rsid w:val="024617F2"/>
    <w:rsid w:val="02A97FD3"/>
    <w:rsid w:val="03AF464F"/>
    <w:rsid w:val="04343AFF"/>
    <w:rsid w:val="04AC342F"/>
    <w:rsid w:val="05CA0C1E"/>
    <w:rsid w:val="061233D2"/>
    <w:rsid w:val="061D0ABC"/>
    <w:rsid w:val="07F13FAE"/>
    <w:rsid w:val="088163A7"/>
    <w:rsid w:val="0B2E0088"/>
    <w:rsid w:val="0D9C49BC"/>
    <w:rsid w:val="0E016F15"/>
    <w:rsid w:val="0E7C659C"/>
    <w:rsid w:val="0ED43D95"/>
    <w:rsid w:val="0F000F7B"/>
    <w:rsid w:val="0FAB3F53"/>
    <w:rsid w:val="0FDA3EBB"/>
    <w:rsid w:val="10335054"/>
    <w:rsid w:val="10A047C3"/>
    <w:rsid w:val="12250F37"/>
    <w:rsid w:val="13196AAF"/>
    <w:rsid w:val="131B15DD"/>
    <w:rsid w:val="139A5D95"/>
    <w:rsid w:val="14CE0495"/>
    <w:rsid w:val="15981F0D"/>
    <w:rsid w:val="16622FB4"/>
    <w:rsid w:val="18A92683"/>
    <w:rsid w:val="197D16FA"/>
    <w:rsid w:val="1AFC6572"/>
    <w:rsid w:val="1B494B31"/>
    <w:rsid w:val="1C0F0A4F"/>
    <w:rsid w:val="1C8256C5"/>
    <w:rsid w:val="1CA0337A"/>
    <w:rsid w:val="1D5C7503"/>
    <w:rsid w:val="1D7A639C"/>
    <w:rsid w:val="1D85546D"/>
    <w:rsid w:val="1E432C32"/>
    <w:rsid w:val="1F5D7D23"/>
    <w:rsid w:val="201E74B3"/>
    <w:rsid w:val="224376A4"/>
    <w:rsid w:val="22E5250A"/>
    <w:rsid w:val="23775858"/>
    <w:rsid w:val="26B24DF9"/>
    <w:rsid w:val="27906EE8"/>
    <w:rsid w:val="279A7D67"/>
    <w:rsid w:val="27EB2370"/>
    <w:rsid w:val="29267246"/>
    <w:rsid w:val="29930F11"/>
    <w:rsid w:val="2A07545B"/>
    <w:rsid w:val="2AA131BA"/>
    <w:rsid w:val="2BA32F62"/>
    <w:rsid w:val="2BD650E5"/>
    <w:rsid w:val="2C356DA8"/>
    <w:rsid w:val="2EA119DB"/>
    <w:rsid w:val="2FE85B7E"/>
    <w:rsid w:val="300A07E1"/>
    <w:rsid w:val="300D0319"/>
    <w:rsid w:val="309B69B4"/>
    <w:rsid w:val="30B359F5"/>
    <w:rsid w:val="3181086D"/>
    <w:rsid w:val="319F3EF1"/>
    <w:rsid w:val="339F52B9"/>
    <w:rsid w:val="33AA7583"/>
    <w:rsid w:val="34337579"/>
    <w:rsid w:val="3529097C"/>
    <w:rsid w:val="36283085"/>
    <w:rsid w:val="36C63736"/>
    <w:rsid w:val="37790F75"/>
    <w:rsid w:val="38325D99"/>
    <w:rsid w:val="385A439D"/>
    <w:rsid w:val="39777F08"/>
    <w:rsid w:val="3A7C32FC"/>
    <w:rsid w:val="3B424545"/>
    <w:rsid w:val="3D1E76B2"/>
    <w:rsid w:val="3D89020A"/>
    <w:rsid w:val="3DDA0E72"/>
    <w:rsid w:val="3E096B90"/>
    <w:rsid w:val="3E7E3AE6"/>
    <w:rsid w:val="3F422D66"/>
    <w:rsid w:val="41F45E6E"/>
    <w:rsid w:val="429C6780"/>
    <w:rsid w:val="42C45840"/>
    <w:rsid w:val="431E7646"/>
    <w:rsid w:val="43D67F21"/>
    <w:rsid w:val="44D635CC"/>
    <w:rsid w:val="450E7246"/>
    <w:rsid w:val="480B0ACA"/>
    <w:rsid w:val="4823755A"/>
    <w:rsid w:val="494E2307"/>
    <w:rsid w:val="49B80EDF"/>
    <w:rsid w:val="4A7364C9"/>
    <w:rsid w:val="4B9C55AC"/>
    <w:rsid w:val="4B9D1B31"/>
    <w:rsid w:val="4BE40D01"/>
    <w:rsid w:val="4CAF545F"/>
    <w:rsid w:val="4D0C78CF"/>
    <w:rsid w:val="4D3455DF"/>
    <w:rsid w:val="4F515F36"/>
    <w:rsid w:val="500065EF"/>
    <w:rsid w:val="507765E7"/>
    <w:rsid w:val="51784F94"/>
    <w:rsid w:val="51D40719"/>
    <w:rsid w:val="522E717A"/>
    <w:rsid w:val="526A6404"/>
    <w:rsid w:val="53CA6685"/>
    <w:rsid w:val="53F82004"/>
    <w:rsid w:val="546450D5"/>
    <w:rsid w:val="55C53951"/>
    <w:rsid w:val="55DF412A"/>
    <w:rsid w:val="57DA7B88"/>
    <w:rsid w:val="58D36385"/>
    <w:rsid w:val="59044790"/>
    <w:rsid w:val="592866D1"/>
    <w:rsid w:val="59396B30"/>
    <w:rsid w:val="595332D2"/>
    <w:rsid w:val="5A584D94"/>
    <w:rsid w:val="5A8B581B"/>
    <w:rsid w:val="5B9B2FD5"/>
    <w:rsid w:val="5BF154A0"/>
    <w:rsid w:val="5D5C35FA"/>
    <w:rsid w:val="5DEA664B"/>
    <w:rsid w:val="5EEE5218"/>
    <w:rsid w:val="5FDC6467"/>
    <w:rsid w:val="6162474A"/>
    <w:rsid w:val="62A2179E"/>
    <w:rsid w:val="62D34090"/>
    <w:rsid w:val="6372336A"/>
    <w:rsid w:val="63983ED0"/>
    <w:rsid w:val="65C854C3"/>
    <w:rsid w:val="66F145A6"/>
    <w:rsid w:val="678971DD"/>
    <w:rsid w:val="69034A64"/>
    <w:rsid w:val="69922DCA"/>
    <w:rsid w:val="6ABC136F"/>
    <w:rsid w:val="6AE54422"/>
    <w:rsid w:val="6B7C0540"/>
    <w:rsid w:val="6C2A3BC0"/>
    <w:rsid w:val="6C473D5B"/>
    <w:rsid w:val="6E027099"/>
    <w:rsid w:val="6F5778B8"/>
    <w:rsid w:val="701E0192"/>
    <w:rsid w:val="7074594F"/>
    <w:rsid w:val="71B72890"/>
    <w:rsid w:val="72D17704"/>
    <w:rsid w:val="74E7348C"/>
    <w:rsid w:val="75622B13"/>
    <w:rsid w:val="75723B97"/>
    <w:rsid w:val="758B5534"/>
    <w:rsid w:val="7609490E"/>
    <w:rsid w:val="7720774B"/>
    <w:rsid w:val="77DA2E34"/>
    <w:rsid w:val="77FD4411"/>
    <w:rsid w:val="785C79FC"/>
    <w:rsid w:val="79352A18"/>
    <w:rsid w:val="7A1A72D4"/>
    <w:rsid w:val="7AB23BF5"/>
    <w:rsid w:val="7B66335D"/>
    <w:rsid w:val="7B9D2AF7"/>
    <w:rsid w:val="7C662EE9"/>
    <w:rsid w:val="7EB663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0"/>
    <w:qFormat/>
    <w:uiPriority w:val="0"/>
    <w:pPr>
      <w:keepNext/>
      <w:keepLines/>
      <w:spacing w:before="260" w:after="260" w:line="416" w:lineRule="auto"/>
      <w:jc w:val="both"/>
      <w:outlineLvl w:val="1"/>
    </w:pPr>
    <w:rPr>
      <w:rFonts w:ascii="Arial" w:hAnsi="Arial" w:eastAsia="黑体"/>
      <w:b/>
      <w:bCs/>
      <w:kern w:val="0"/>
      <w:sz w:val="32"/>
      <w:szCs w:val="32"/>
    </w:rPr>
  </w:style>
  <w:style w:type="paragraph" w:styleId="5">
    <w:name w:val="heading 3"/>
    <w:basedOn w:val="1"/>
    <w:next w:val="1"/>
    <w:link w:val="51"/>
    <w:qFormat/>
    <w:uiPriority w:val="0"/>
    <w:pPr>
      <w:adjustRightInd w:val="0"/>
      <w:spacing w:beforeLines="50"/>
      <w:ind w:firstLine="400"/>
      <w:textAlignment w:val="baseline"/>
      <w:outlineLvl w:val="2"/>
    </w:pPr>
    <w:rPr>
      <w:rFonts w:ascii="Times New Roman" w:hAnsi="Times New Roman"/>
      <w:b/>
      <w:kern w:val="0"/>
      <w:szCs w:val="20"/>
    </w:rPr>
  </w:style>
  <w:style w:type="paragraph" w:styleId="6">
    <w:name w:val="heading 4"/>
    <w:basedOn w:val="1"/>
    <w:next w:val="1"/>
    <w:link w:val="52"/>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53"/>
    <w:qFormat/>
    <w:uiPriority w:val="0"/>
    <w:pPr>
      <w:adjustRightInd w:val="0"/>
      <w:ind w:left="3024" w:hanging="1134"/>
      <w:textAlignment w:val="baseline"/>
      <w:outlineLvl w:val="4"/>
    </w:pPr>
    <w:rPr>
      <w:rFonts w:ascii="Times New Roman" w:hAnsi="Times New Roman"/>
      <w:kern w:val="0"/>
      <w:szCs w:val="21"/>
    </w:rPr>
  </w:style>
  <w:style w:type="paragraph" w:styleId="8">
    <w:name w:val="heading 6"/>
    <w:basedOn w:val="1"/>
    <w:next w:val="1"/>
    <w:link w:val="54"/>
    <w:qFormat/>
    <w:uiPriority w:val="0"/>
    <w:pPr>
      <w:adjustRightInd w:val="0"/>
      <w:spacing w:line="360" w:lineRule="atLeast"/>
      <w:jc w:val="center"/>
      <w:textAlignment w:val="baseline"/>
      <w:outlineLvl w:val="5"/>
    </w:pPr>
    <w:rPr>
      <w:rFonts w:ascii="Times New Roman" w:hAnsi="Times New Roman"/>
      <w:b/>
      <w:kern w:val="0"/>
      <w:sz w:val="30"/>
      <w:szCs w:val="20"/>
    </w:rPr>
  </w:style>
  <w:style w:type="paragraph" w:styleId="9">
    <w:name w:val="heading 7"/>
    <w:basedOn w:val="1"/>
    <w:next w:val="1"/>
    <w:link w:val="55"/>
    <w:qFormat/>
    <w:uiPriority w:val="0"/>
    <w:pPr>
      <w:numPr>
        <w:ilvl w:val="6"/>
        <w:numId w:val="1"/>
      </w:numPr>
      <w:adjustRightInd w:val="0"/>
      <w:spacing w:beforeLines="50" w:afterLines="50"/>
      <w:textAlignment w:val="baseline"/>
      <w:outlineLvl w:val="6"/>
    </w:pPr>
    <w:rPr>
      <w:rFonts w:ascii="黑体" w:hAnsi="Times New Roman" w:eastAsia="黑体"/>
      <w:b/>
      <w:kern w:val="0"/>
      <w:sz w:val="30"/>
      <w:szCs w:val="30"/>
    </w:rPr>
  </w:style>
  <w:style w:type="paragraph" w:styleId="10">
    <w:name w:val="heading 8"/>
    <w:basedOn w:val="1"/>
    <w:next w:val="1"/>
    <w:link w:val="56"/>
    <w:qFormat/>
    <w:uiPriority w:val="0"/>
    <w:pPr>
      <w:keepNext/>
      <w:keepLines/>
      <w:adjustRightInd w:val="0"/>
      <w:spacing w:line="360" w:lineRule="atLeast"/>
      <w:jc w:val="center"/>
      <w:textAlignment w:val="baseline"/>
      <w:outlineLvl w:val="7"/>
    </w:pPr>
    <w:rPr>
      <w:rFonts w:ascii="Times New Roman" w:hAnsi="Times New Roman" w:eastAsia="黑体"/>
      <w:b/>
      <w:kern w:val="0"/>
      <w:sz w:val="30"/>
      <w:szCs w:val="20"/>
    </w:rPr>
  </w:style>
  <w:style w:type="paragraph" w:styleId="11">
    <w:name w:val="heading 9"/>
    <w:basedOn w:val="1"/>
    <w:next w:val="1"/>
    <w:link w:val="57"/>
    <w:qFormat/>
    <w:uiPriority w:val="0"/>
    <w:pPr>
      <w:keepNext/>
      <w:keepLines/>
      <w:adjustRightInd w:val="0"/>
      <w:spacing w:before="240" w:after="240" w:line="240" w:lineRule="auto"/>
      <w:jc w:val="center"/>
      <w:textAlignment w:val="baseline"/>
      <w:outlineLvl w:val="8"/>
    </w:pPr>
    <w:rPr>
      <w:rFonts w:ascii="Times New Roman" w:hAnsi="Times New Roman" w:eastAsia="黑体"/>
      <w:b/>
      <w:kern w:val="0"/>
      <w:sz w:val="28"/>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59"/>
    <w:unhideWhenUsed/>
    <w:qFormat/>
    <w:uiPriority w:val="0"/>
    <w:pPr>
      <w:tabs>
        <w:tab w:val="center" w:pos="4153"/>
        <w:tab w:val="right" w:pos="8306"/>
      </w:tabs>
      <w:snapToGrid w:val="0"/>
      <w:spacing w:line="240" w:lineRule="auto"/>
    </w:pPr>
    <w:rPr>
      <w:sz w:val="18"/>
      <w:szCs w:val="18"/>
    </w:rPr>
  </w:style>
  <w:style w:type="paragraph" w:styleId="12">
    <w:name w:val="toc 7"/>
    <w:basedOn w:val="1"/>
    <w:next w:val="1"/>
    <w:qFormat/>
    <w:uiPriority w:val="0"/>
    <w:pPr>
      <w:spacing w:line="240" w:lineRule="auto"/>
      <w:ind w:left="2520"/>
      <w:jc w:val="both"/>
    </w:pPr>
    <w:rPr>
      <w:rFonts w:ascii="Times New Roman" w:hAnsi="Times New Roman"/>
      <w:szCs w:val="20"/>
    </w:rPr>
  </w:style>
  <w:style w:type="paragraph" w:styleId="13">
    <w:name w:val="List Number"/>
    <w:basedOn w:val="1"/>
    <w:qFormat/>
    <w:uiPriority w:val="0"/>
    <w:pPr>
      <w:tabs>
        <w:tab w:val="left" w:pos="360"/>
      </w:tabs>
      <w:spacing w:line="240" w:lineRule="auto"/>
      <w:ind w:left="360" w:hanging="360"/>
      <w:jc w:val="both"/>
    </w:pPr>
    <w:rPr>
      <w:rFonts w:ascii="Times New Roman" w:hAnsi="Times New Roman"/>
      <w:szCs w:val="24"/>
    </w:rPr>
  </w:style>
  <w:style w:type="paragraph" w:styleId="14">
    <w:name w:val="Normal Indent"/>
    <w:basedOn w:val="1"/>
    <w:qFormat/>
    <w:uiPriority w:val="0"/>
    <w:pPr>
      <w:spacing w:line="240" w:lineRule="auto"/>
      <w:ind w:firstLine="420"/>
      <w:jc w:val="both"/>
    </w:pPr>
    <w:rPr>
      <w:rFonts w:ascii="Times New Roman" w:hAnsi="Times New Roman"/>
      <w:sz w:val="24"/>
      <w:szCs w:val="20"/>
    </w:rPr>
  </w:style>
  <w:style w:type="paragraph" w:styleId="15">
    <w:name w:val="Document Map"/>
    <w:basedOn w:val="1"/>
    <w:link w:val="102"/>
    <w:qFormat/>
    <w:uiPriority w:val="0"/>
    <w:pPr>
      <w:shd w:val="clear" w:color="auto" w:fill="000080"/>
      <w:spacing w:line="240" w:lineRule="auto"/>
      <w:jc w:val="both"/>
    </w:pPr>
    <w:rPr>
      <w:rFonts w:ascii="Times New Roman" w:hAnsi="Times New Roman"/>
      <w:szCs w:val="20"/>
    </w:rPr>
  </w:style>
  <w:style w:type="paragraph" w:styleId="16">
    <w:name w:val="annotation text"/>
    <w:basedOn w:val="1"/>
    <w:link w:val="79"/>
    <w:unhideWhenUsed/>
    <w:qFormat/>
    <w:uiPriority w:val="0"/>
  </w:style>
  <w:style w:type="paragraph" w:styleId="17">
    <w:name w:val="Salutation"/>
    <w:basedOn w:val="1"/>
    <w:next w:val="1"/>
    <w:link w:val="86"/>
    <w:qFormat/>
    <w:uiPriority w:val="0"/>
    <w:pPr>
      <w:spacing w:line="240" w:lineRule="auto"/>
      <w:jc w:val="both"/>
    </w:pPr>
    <w:rPr>
      <w:rFonts w:ascii="Times New Roman" w:hAnsi="Times New Roman"/>
      <w:sz w:val="28"/>
      <w:szCs w:val="20"/>
    </w:rPr>
  </w:style>
  <w:style w:type="paragraph" w:styleId="18">
    <w:name w:val="Body Text 3"/>
    <w:basedOn w:val="1"/>
    <w:link w:val="85"/>
    <w:qFormat/>
    <w:uiPriority w:val="0"/>
    <w:pPr>
      <w:spacing w:after="120" w:line="240" w:lineRule="auto"/>
      <w:jc w:val="both"/>
    </w:pPr>
    <w:rPr>
      <w:rFonts w:ascii="Times New Roman" w:hAnsi="Times New Roman"/>
      <w:sz w:val="16"/>
      <w:szCs w:val="16"/>
    </w:rPr>
  </w:style>
  <w:style w:type="paragraph" w:styleId="19">
    <w:name w:val="Body Text"/>
    <w:basedOn w:val="1"/>
    <w:link w:val="62"/>
    <w:qFormat/>
    <w:uiPriority w:val="0"/>
    <w:pPr>
      <w:spacing w:after="120" w:line="240" w:lineRule="auto"/>
      <w:jc w:val="both"/>
    </w:pPr>
    <w:rPr>
      <w:rFonts w:ascii="Times New Roman" w:hAnsi="Times New Roman"/>
      <w:szCs w:val="24"/>
    </w:rPr>
  </w:style>
  <w:style w:type="paragraph" w:styleId="20">
    <w:name w:val="Body Text Indent"/>
    <w:basedOn w:val="1"/>
    <w:link w:val="65"/>
    <w:unhideWhenUsed/>
    <w:qFormat/>
    <w:uiPriority w:val="99"/>
    <w:pPr>
      <w:spacing w:after="120"/>
      <w:ind w:left="420" w:leftChars="200"/>
    </w:pPr>
  </w:style>
  <w:style w:type="paragraph" w:styleId="21">
    <w:name w:val="List 2"/>
    <w:basedOn w:val="1"/>
    <w:qFormat/>
    <w:uiPriority w:val="0"/>
    <w:pPr>
      <w:adjustRightInd w:val="0"/>
      <w:spacing w:line="360" w:lineRule="atLeast"/>
      <w:ind w:left="840" w:hanging="420"/>
      <w:textAlignment w:val="baseline"/>
    </w:pPr>
    <w:rPr>
      <w:rFonts w:ascii="Times New Roman" w:hAnsi="Times New Roman"/>
      <w:kern w:val="0"/>
      <w:sz w:val="24"/>
      <w:szCs w:val="20"/>
    </w:rPr>
  </w:style>
  <w:style w:type="paragraph" w:styleId="22">
    <w:name w:val="toc 5"/>
    <w:basedOn w:val="1"/>
    <w:next w:val="1"/>
    <w:qFormat/>
    <w:uiPriority w:val="0"/>
    <w:pPr>
      <w:spacing w:line="240" w:lineRule="auto"/>
      <w:ind w:left="1680"/>
      <w:jc w:val="both"/>
    </w:pPr>
    <w:rPr>
      <w:rFonts w:ascii="Times New Roman" w:hAnsi="Times New Roman"/>
      <w:szCs w:val="20"/>
    </w:rPr>
  </w:style>
  <w:style w:type="paragraph" w:styleId="23">
    <w:name w:val="toc 3"/>
    <w:basedOn w:val="1"/>
    <w:next w:val="1"/>
    <w:qFormat/>
    <w:uiPriority w:val="0"/>
    <w:pPr>
      <w:spacing w:line="240" w:lineRule="auto"/>
      <w:ind w:left="840"/>
      <w:jc w:val="both"/>
    </w:pPr>
    <w:rPr>
      <w:rFonts w:ascii="Times New Roman" w:hAnsi="Times New Roman"/>
      <w:szCs w:val="20"/>
    </w:rPr>
  </w:style>
  <w:style w:type="paragraph" w:styleId="24">
    <w:name w:val="Plain Text"/>
    <w:basedOn w:val="1"/>
    <w:link w:val="81"/>
    <w:unhideWhenUsed/>
    <w:qFormat/>
    <w:uiPriority w:val="0"/>
    <w:pPr>
      <w:spacing w:line="240" w:lineRule="auto"/>
      <w:jc w:val="both"/>
    </w:pPr>
    <w:rPr>
      <w:rFonts w:ascii="宋体" w:hAnsi="Courier New" w:eastAsia="华文宋体"/>
      <w:sz w:val="28"/>
    </w:rPr>
  </w:style>
  <w:style w:type="paragraph" w:styleId="25">
    <w:name w:val="toc 8"/>
    <w:basedOn w:val="1"/>
    <w:next w:val="1"/>
    <w:qFormat/>
    <w:uiPriority w:val="0"/>
    <w:pPr>
      <w:spacing w:line="240" w:lineRule="auto"/>
      <w:ind w:left="2940"/>
      <w:jc w:val="both"/>
    </w:pPr>
    <w:rPr>
      <w:rFonts w:ascii="Times New Roman" w:hAnsi="Times New Roman"/>
      <w:szCs w:val="20"/>
    </w:rPr>
  </w:style>
  <w:style w:type="paragraph" w:styleId="26">
    <w:name w:val="Date"/>
    <w:basedOn w:val="1"/>
    <w:next w:val="1"/>
    <w:link w:val="64"/>
    <w:qFormat/>
    <w:uiPriority w:val="0"/>
    <w:pPr>
      <w:tabs>
        <w:tab w:val="left" w:pos="5940"/>
        <w:tab w:val="left" w:pos="7740"/>
        <w:tab w:val="left" w:pos="7920"/>
      </w:tabs>
      <w:adjustRightInd w:val="0"/>
      <w:spacing w:before="120" w:after="120" w:line="300" w:lineRule="auto"/>
      <w:ind w:left="1474"/>
      <w:jc w:val="right"/>
      <w:textAlignment w:val="baseline"/>
    </w:pPr>
    <w:rPr>
      <w:rFonts w:ascii="Times New Roman" w:hAnsi="Times New Roman"/>
      <w:kern w:val="0"/>
      <w:sz w:val="32"/>
      <w:szCs w:val="20"/>
    </w:rPr>
  </w:style>
  <w:style w:type="paragraph" w:styleId="27">
    <w:name w:val="Body Text Indent 2"/>
    <w:basedOn w:val="1"/>
    <w:link w:val="61"/>
    <w:qFormat/>
    <w:uiPriority w:val="0"/>
    <w:pPr>
      <w:spacing w:after="120" w:line="480" w:lineRule="auto"/>
      <w:ind w:left="420" w:leftChars="200"/>
      <w:jc w:val="both"/>
    </w:pPr>
    <w:rPr>
      <w:rFonts w:ascii="Times New Roman" w:hAnsi="Times New Roman"/>
      <w:szCs w:val="24"/>
    </w:rPr>
  </w:style>
  <w:style w:type="paragraph" w:styleId="28">
    <w:name w:val="Balloon Text"/>
    <w:basedOn w:val="1"/>
    <w:link w:val="60"/>
    <w:unhideWhenUsed/>
    <w:qFormat/>
    <w:uiPriority w:val="0"/>
    <w:pPr>
      <w:spacing w:line="240" w:lineRule="auto"/>
    </w:pPr>
    <w:rPr>
      <w:rFonts w:asciiTheme="minorHAnsi" w:hAnsiTheme="minorHAnsi" w:eastAsiaTheme="minorEastAsia" w:cstheme="minorBidi"/>
      <w:sz w:val="18"/>
      <w:szCs w:val="18"/>
    </w:rPr>
  </w:style>
  <w:style w:type="paragraph" w:styleId="29">
    <w:name w:val="header"/>
    <w:basedOn w:val="1"/>
    <w:link w:val="58"/>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30">
    <w:name w:val="toc 1"/>
    <w:basedOn w:val="1"/>
    <w:next w:val="1"/>
    <w:unhideWhenUsed/>
    <w:qFormat/>
    <w:uiPriority w:val="39"/>
  </w:style>
  <w:style w:type="paragraph" w:styleId="31">
    <w:name w:val="toc 4"/>
    <w:basedOn w:val="1"/>
    <w:next w:val="1"/>
    <w:qFormat/>
    <w:uiPriority w:val="0"/>
    <w:pPr>
      <w:spacing w:line="240" w:lineRule="auto"/>
      <w:ind w:left="1260"/>
      <w:jc w:val="both"/>
    </w:pPr>
    <w:rPr>
      <w:rFonts w:ascii="Times New Roman" w:hAnsi="Times New Roman"/>
      <w:szCs w:val="20"/>
    </w:rPr>
  </w:style>
  <w:style w:type="paragraph" w:styleId="32">
    <w:name w:val="footnote text"/>
    <w:basedOn w:val="1"/>
    <w:link w:val="83"/>
    <w:qFormat/>
    <w:uiPriority w:val="0"/>
    <w:pPr>
      <w:snapToGrid w:val="0"/>
      <w:spacing w:line="240" w:lineRule="auto"/>
    </w:pPr>
    <w:rPr>
      <w:rFonts w:asciiTheme="minorHAnsi" w:hAnsiTheme="minorHAnsi" w:eastAsiaTheme="minorEastAsia" w:cstheme="minorBidi"/>
      <w:sz w:val="18"/>
      <w:szCs w:val="18"/>
    </w:rPr>
  </w:style>
  <w:style w:type="paragraph" w:styleId="33">
    <w:name w:val="toc 6"/>
    <w:basedOn w:val="1"/>
    <w:next w:val="1"/>
    <w:qFormat/>
    <w:uiPriority w:val="0"/>
    <w:pPr>
      <w:spacing w:line="240" w:lineRule="auto"/>
      <w:ind w:left="2100"/>
      <w:jc w:val="both"/>
    </w:pPr>
    <w:rPr>
      <w:rFonts w:ascii="Times New Roman" w:hAnsi="Times New Roman"/>
      <w:szCs w:val="20"/>
    </w:rPr>
  </w:style>
  <w:style w:type="paragraph" w:styleId="34">
    <w:name w:val="Body Text Indent 3"/>
    <w:basedOn w:val="1"/>
    <w:link w:val="63"/>
    <w:unhideWhenUsed/>
    <w:qFormat/>
    <w:uiPriority w:val="0"/>
    <w:pPr>
      <w:spacing w:after="120"/>
      <w:ind w:left="420" w:leftChars="200"/>
    </w:pPr>
    <w:rPr>
      <w:rFonts w:asciiTheme="minorHAnsi" w:hAnsiTheme="minorHAnsi" w:eastAsiaTheme="minorEastAsia" w:cstheme="minorBidi"/>
      <w:sz w:val="16"/>
      <w:szCs w:val="16"/>
    </w:rPr>
  </w:style>
  <w:style w:type="paragraph" w:styleId="35">
    <w:name w:val="toc 2"/>
    <w:basedOn w:val="1"/>
    <w:next w:val="1"/>
    <w:unhideWhenUsed/>
    <w:qFormat/>
    <w:uiPriority w:val="39"/>
    <w:pPr>
      <w:ind w:left="420" w:leftChars="200"/>
    </w:pPr>
  </w:style>
  <w:style w:type="paragraph" w:styleId="36">
    <w:name w:val="toc 9"/>
    <w:basedOn w:val="1"/>
    <w:next w:val="1"/>
    <w:qFormat/>
    <w:uiPriority w:val="0"/>
    <w:pPr>
      <w:spacing w:line="240" w:lineRule="auto"/>
      <w:ind w:left="3360"/>
      <w:jc w:val="both"/>
    </w:pPr>
    <w:rPr>
      <w:rFonts w:ascii="Times New Roman" w:hAnsi="Times New Roman"/>
      <w:szCs w:val="20"/>
    </w:rPr>
  </w:style>
  <w:style w:type="paragraph" w:styleId="37">
    <w:name w:val="Body Text 2"/>
    <w:basedOn w:val="1"/>
    <w:link w:val="95"/>
    <w:qFormat/>
    <w:uiPriority w:val="0"/>
    <w:pPr>
      <w:spacing w:line="240" w:lineRule="auto"/>
      <w:ind w:right="-22"/>
      <w:jc w:val="center"/>
    </w:pPr>
    <w:rPr>
      <w:rFonts w:ascii="黑体" w:hAnsi="Times New Roman" w:eastAsia="隶书"/>
      <w:sz w:val="44"/>
      <w:szCs w:val="20"/>
    </w:rPr>
  </w:style>
  <w:style w:type="paragraph" w:styleId="38">
    <w:name w:val="Normal (Web)"/>
    <w:basedOn w:val="1"/>
    <w:qFormat/>
    <w:uiPriority w:val="0"/>
    <w:pPr>
      <w:widowControl/>
      <w:spacing w:before="100" w:beforeAutospacing="1" w:after="100" w:afterAutospacing="1"/>
    </w:pPr>
    <w:rPr>
      <w:rFonts w:ascii="Arial Unicode MS" w:hAnsi="Arial Unicode MS" w:eastAsia="Arial Unicode MS" w:cs="Arial Unicode MS"/>
      <w:color w:val="000000"/>
      <w:kern w:val="0"/>
      <w:sz w:val="24"/>
      <w:szCs w:val="24"/>
    </w:rPr>
  </w:style>
  <w:style w:type="paragraph" w:styleId="39">
    <w:name w:val="annotation subject"/>
    <w:basedOn w:val="16"/>
    <w:next w:val="16"/>
    <w:link w:val="80"/>
    <w:unhideWhenUsed/>
    <w:qFormat/>
    <w:uiPriority w:val="0"/>
    <w:rPr>
      <w:b/>
      <w:bCs/>
    </w:r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b/>
      <w:bCs/>
    </w:rPr>
  </w:style>
  <w:style w:type="character" w:styleId="44">
    <w:name w:val="page number"/>
    <w:basedOn w:val="42"/>
    <w:qFormat/>
    <w:uiPriority w:val="0"/>
  </w:style>
  <w:style w:type="character" w:styleId="45">
    <w:name w:val="FollowedHyperlink"/>
    <w:basedOn w:val="42"/>
    <w:qFormat/>
    <w:uiPriority w:val="99"/>
    <w:rPr>
      <w:color w:val="800080"/>
      <w:u w:val="single"/>
    </w:rPr>
  </w:style>
  <w:style w:type="character" w:styleId="46">
    <w:name w:val="Hyperlink"/>
    <w:unhideWhenUsed/>
    <w:qFormat/>
    <w:uiPriority w:val="99"/>
    <w:rPr>
      <w:color w:val="0000FF"/>
      <w:u w:val="single"/>
    </w:rPr>
  </w:style>
  <w:style w:type="character" w:styleId="47">
    <w:name w:val="annotation reference"/>
    <w:unhideWhenUsed/>
    <w:qFormat/>
    <w:uiPriority w:val="0"/>
    <w:rPr>
      <w:sz w:val="21"/>
      <w:szCs w:val="21"/>
    </w:rPr>
  </w:style>
  <w:style w:type="character" w:styleId="48">
    <w:name w:val="footnote reference"/>
    <w:basedOn w:val="42"/>
    <w:qFormat/>
    <w:uiPriority w:val="0"/>
    <w:rPr>
      <w:vertAlign w:val="superscript"/>
    </w:rPr>
  </w:style>
  <w:style w:type="character" w:customStyle="1" w:styleId="49">
    <w:name w:val="标题 1 字符"/>
    <w:basedOn w:val="42"/>
    <w:link w:val="3"/>
    <w:qFormat/>
    <w:uiPriority w:val="0"/>
    <w:rPr>
      <w:rFonts w:ascii="Calibri" w:hAnsi="Calibri" w:eastAsia="宋体" w:cs="Times New Roman"/>
      <w:b/>
      <w:bCs/>
      <w:kern w:val="44"/>
      <w:sz w:val="44"/>
      <w:szCs w:val="44"/>
    </w:rPr>
  </w:style>
  <w:style w:type="character" w:customStyle="1" w:styleId="50">
    <w:name w:val="标题 2 字符"/>
    <w:basedOn w:val="42"/>
    <w:link w:val="4"/>
    <w:qFormat/>
    <w:uiPriority w:val="0"/>
    <w:rPr>
      <w:rFonts w:ascii="Arial" w:hAnsi="Arial" w:eastAsia="黑体" w:cs="Times New Roman"/>
      <w:b/>
      <w:bCs/>
      <w:kern w:val="0"/>
      <w:sz w:val="32"/>
      <w:szCs w:val="32"/>
    </w:rPr>
  </w:style>
  <w:style w:type="character" w:customStyle="1" w:styleId="51">
    <w:name w:val="标题 3 字符"/>
    <w:basedOn w:val="42"/>
    <w:link w:val="5"/>
    <w:qFormat/>
    <w:uiPriority w:val="0"/>
    <w:rPr>
      <w:rFonts w:ascii="Times New Roman" w:hAnsi="Times New Roman" w:eastAsia="宋体" w:cs="Times New Roman"/>
      <w:b/>
      <w:kern w:val="0"/>
      <w:szCs w:val="20"/>
    </w:rPr>
  </w:style>
  <w:style w:type="character" w:customStyle="1" w:styleId="52">
    <w:name w:val="标题 4 字符"/>
    <w:basedOn w:val="42"/>
    <w:link w:val="6"/>
    <w:qFormat/>
    <w:uiPriority w:val="0"/>
    <w:rPr>
      <w:rFonts w:asciiTheme="majorHAnsi" w:hAnsiTheme="majorHAnsi" w:eastAsiaTheme="majorEastAsia" w:cstheme="majorBidi"/>
      <w:b/>
      <w:bCs/>
      <w:sz w:val="28"/>
      <w:szCs w:val="28"/>
    </w:rPr>
  </w:style>
  <w:style w:type="character" w:customStyle="1" w:styleId="53">
    <w:name w:val="标题 5 字符"/>
    <w:basedOn w:val="42"/>
    <w:link w:val="7"/>
    <w:qFormat/>
    <w:uiPriority w:val="0"/>
    <w:rPr>
      <w:rFonts w:ascii="Times New Roman" w:hAnsi="Times New Roman" w:eastAsia="宋体" w:cs="Times New Roman"/>
      <w:kern w:val="0"/>
      <w:szCs w:val="21"/>
    </w:rPr>
  </w:style>
  <w:style w:type="character" w:customStyle="1" w:styleId="54">
    <w:name w:val="标题 6 字符"/>
    <w:basedOn w:val="42"/>
    <w:link w:val="8"/>
    <w:qFormat/>
    <w:uiPriority w:val="0"/>
    <w:rPr>
      <w:rFonts w:ascii="Times New Roman" w:hAnsi="Times New Roman" w:eastAsia="宋体" w:cs="Times New Roman"/>
      <w:b/>
      <w:kern w:val="0"/>
      <w:sz w:val="30"/>
      <w:szCs w:val="20"/>
    </w:rPr>
  </w:style>
  <w:style w:type="character" w:customStyle="1" w:styleId="55">
    <w:name w:val="标题 7 字符"/>
    <w:basedOn w:val="42"/>
    <w:link w:val="9"/>
    <w:qFormat/>
    <w:uiPriority w:val="0"/>
    <w:rPr>
      <w:rFonts w:ascii="黑体" w:hAnsi="Times New Roman" w:eastAsia="黑体" w:cs="Times New Roman"/>
      <w:b/>
      <w:kern w:val="0"/>
      <w:sz w:val="30"/>
      <w:szCs w:val="30"/>
    </w:rPr>
  </w:style>
  <w:style w:type="character" w:customStyle="1" w:styleId="56">
    <w:name w:val="标题 8 字符"/>
    <w:basedOn w:val="42"/>
    <w:link w:val="10"/>
    <w:qFormat/>
    <w:uiPriority w:val="0"/>
    <w:rPr>
      <w:rFonts w:ascii="Times New Roman" w:hAnsi="Times New Roman" w:eastAsia="黑体" w:cs="Times New Roman"/>
      <w:b/>
      <w:kern w:val="0"/>
      <w:sz w:val="30"/>
      <w:szCs w:val="20"/>
    </w:rPr>
  </w:style>
  <w:style w:type="character" w:customStyle="1" w:styleId="57">
    <w:name w:val="标题 9 字符"/>
    <w:basedOn w:val="42"/>
    <w:link w:val="11"/>
    <w:qFormat/>
    <w:uiPriority w:val="0"/>
    <w:rPr>
      <w:rFonts w:ascii="Times New Roman" w:hAnsi="Times New Roman" w:eastAsia="黑体" w:cs="Times New Roman"/>
      <w:b/>
      <w:kern w:val="0"/>
      <w:sz w:val="28"/>
      <w:szCs w:val="20"/>
    </w:rPr>
  </w:style>
  <w:style w:type="character" w:customStyle="1" w:styleId="58">
    <w:name w:val="页眉 字符"/>
    <w:basedOn w:val="42"/>
    <w:link w:val="29"/>
    <w:qFormat/>
    <w:uiPriority w:val="99"/>
    <w:rPr>
      <w:sz w:val="18"/>
      <w:szCs w:val="18"/>
    </w:rPr>
  </w:style>
  <w:style w:type="character" w:customStyle="1" w:styleId="59">
    <w:name w:val="页脚 字符"/>
    <w:basedOn w:val="42"/>
    <w:link w:val="2"/>
    <w:qFormat/>
    <w:uiPriority w:val="99"/>
    <w:rPr>
      <w:sz w:val="18"/>
      <w:szCs w:val="18"/>
    </w:rPr>
  </w:style>
  <w:style w:type="character" w:customStyle="1" w:styleId="60">
    <w:name w:val="批注框文本 字符"/>
    <w:link w:val="28"/>
    <w:qFormat/>
    <w:uiPriority w:val="0"/>
    <w:rPr>
      <w:sz w:val="18"/>
      <w:szCs w:val="18"/>
    </w:rPr>
  </w:style>
  <w:style w:type="character" w:customStyle="1" w:styleId="61">
    <w:name w:val="正文文本缩进 2 字符"/>
    <w:link w:val="27"/>
    <w:qFormat/>
    <w:uiPriority w:val="0"/>
    <w:rPr>
      <w:rFonts w:ascii="Times New Roman" w:hAnsi="Times New Roman" w:eastAsia="宋体" w:cs="Times New Roman"/>
      <w:szCs w:val="24"/>
    </w:rPr>
  </w:style>
  <w:style w:type="character" w:customStyle="1" w:styleId="62">
    <w:name w:val="正文文本 字符"/>
    <w:link w:val="19"/>
    <w:qFormat/>
    <w:uiPriority w:val="0"/>
    <w:rPr>
      <w:rFonts w:ascii="Times New Roman" w:hAnsi="Times New Roman" w:eastAsia="宋体" w:cs="Times New Roman"/>
      <w:szCs w:val="24"/>
    </w:rPr>
  </w:style>
  <w:style w:type="character" w:customStyle="1" w:styleId="63">
    <w:name w:val="正文文本缩进 3 字符"/>
    <w:link w:val="34"/>
    <w:qFormat/>
    <w:uiPriority w:val="0"/>
    <w:rPr>
      <w:sz w:val="16"/>
      <w:szCs w:val="16"/>
    </w:rPr>
  </w:style>
  <w:style w:type="character" w:customStyle="1" w:styleId="64">
    <w:name w:val="日期 字符"/>
    <w:link w:val="26"/>
    <w:qFormat/>
    <w:uiPriority w:val="0"/>
    <w:rPr>
      <w:rFonts w:ascii="Times New Roman" w:hAnsi="Times New Roman" w:eastAsia="宋体" w:cs="Times New Roman"/>
      <w:kern w:val="0"/>
      <w:sz w:val="32"/>
      <w:szCs w:val="20"/>
    </w:rPr>
  </w:style>
  <w:style w:type="character" w:customStyle="1" w:styleId="65">
    <w:name w:val="正文文本缩进 字符"/>
    <w:basedOn w:val="42"/>
    <w:link w:val="20"/>
    <w:qFormat/>
    <w:uiPriority w:val="99"/>
    <w:rPr>
      <w:rFonts w:ascii="Calibri" w:hAnsi="Calibri" w:eastAsia="宋体" w:cs="Times New Roman"/>
    </w:rPr>
  </w:style>
  <w:style w:type="character" w:customStyle="1" w:styleId="66">
    <w:name w:val="正文文本缩进 Char1"/>
    <w:basedOn w:val="42"/>
    <w:semiHidden/>
    <w:qFormat/>
    <w:uiPriority w:val="99"/>
    <w:rPr>
      <w:rFonts w:ascii="Calibri" w:hAnsi="Calibri" w:eastAsia="宋体" w:cs="Times New Roman"/>
    </w:rPr>
  </w:style>
  <w:style w:type="character" w:customStyle="1" w:styleId="67">
    <w:name w:val="正文文本缩进 2 Char1"/>
    <w:basedOn w:val="42"/>
    <w:semiHidden/>
    <w:qFormat/>
    <w:uiPriority w:val="99"/>
    <w:rPr>
      <w:rFonts w:ascii="Calibri" w:hAnsi="Calibri" w:eastAsia="宋体" w:cs="Times New Roman"/>
    </w:rPr>
  </w:style>
  <w:style w:type="character" w:customStyle="1" w:styleId="68">
    <w:name w:val="正文文本缩进 3 Char1"/>
    <w:basedOn w:val="42"/>
    <w:semiHidden/>
    <w:qFormat/>
    <w:uiPriority w:val="99"/>
    <w:rPr>
      <w:rFonts w:ascii="Calibri" w:hAnsi="Calibri" w:eastAsia="宋体" w:cs="Times New Roman"/>
      <w:sz w:val="16"/>
      <w:szCs w:val="16"/>
    </w:rPr>
  </w:style>
  <w:style w:type="character" w:customStyle="1" w:styleId="69">
    <w:name w:val="批注框文本 Char1"/>
    <w:basedOn w:val="42"/>
    <w:semiHidden/>
    <w:qFormat/>
    <w:uiPriority w:val="99"/>
    <w:rPr>
      <w:rFonts w:ascii="Calibri" w:hAnsi="Calibri" w:eastAsia="宋体" w:cs="Times New Roman"/>
      <w:sz w:val="18"/>
      <w:szCs w:val="18"/>
    </w:rPr>
  </w:style>
  <w:style w:type="character" w:customStyle="1" w:styleId="70">
    <w:name w:val="正文文本 Char1"/>
    <w:basedOn w:val="42"/>
    <w:semiHidden/>
    <w:qFormat/>
    <w:uiPriority w:val="99"/>
    <w:rPr>
      <w:rFonts w:ascii="Calibri" w:hAnsi="Calibri" w:eastAsia="宋体" w:cs="Times New Roman"/>
    </w:rPr>
  </w:style>
  <w:style w:type="character" w:customStyle="1" w:styleId="71">
    <w:name w:val="日期 Char1"/>
    <w:basedOn w:val="42"/>
    <w:semiHidden/>
    <w:qFormat/>
    <w:uiPriority w:val="99"/>
    <w:rPr>
      <w:rFonts w:ascii="Calibri" w:hAnsi="Calibri" w:eastAsia="宋体" w:cs="Times New Roman"/>
    </w:rPr>
  </w:style>
  <w:style w:type="paragraph" w:customStyle="1" w:styleId="72">
    <w:name w:val="列出段落1"/>
    <w:basedOn w:val="1"/>
    <w:qFormat/>
    <w:uiPriority w:val="34"/>
    <w:pPr>
      <w:ind w:firstLine="420" w:firstLineChars="200"/>
    </w:pPr>
  </w:style>
  <w:style w:type="paragraph" w:customStyle="1" w:styleId="73">
    <w:name w:val="[基本段落]"/>
    <w:basedOn w:val="1"/>
    <w:qFormat/>
    <w:uiPriority w:val="0"/>
    <w:pPr>
      <w:autoSpaceDE w:val="0"/>
      <w:autoSpaceDN w:val="0"/>
      <w:adjustRightInd w:val="0"/>
      <w:spacing w:line="288" w:lineRule="auto"/>
      <w:jc w:val="both"/>
      <w:textAlignment w:val="center"/>
    </w:pPr>
    <w:rPr>
      <w:rFonts w:ascii="宋体" w:hAnsi="Times New Roman"/>
      <w:color w:val="000000"/>
      <w:kern w:val="0"/>
      <w:sz w:val="24"/>
      <w:szCs w:val="20"/>
      <w:lang w:val="zh-CN"/>
    </w:rPr>
  </w:style>
  <w:style w:type="paragraph" w:customStyle="1" w:styleId="74">
    <w:name w:val="列出段落11"/>
    <w:basedOn w:val="1"/>
    <w:qFormat/>
    <w:uiPriority w:val="34"/>
    <w:pPr>
      <w:spacing w:line="240" w:lineRule="auto"/>
      <w:ind w:firstLine="420" w:firstLineChars="200"/>
      <w:jc w:val="both"/>
    </w:pPr>
    <w:rPr>
      <w:rFonts w:ascii="Times New Roman" w:hAnsi="Times New Roman"/>
      <w:szCs w:val="24"/>
    </w:rPr>
  </w:style>
  <w:style w:type="paragraph" w:customStyle="1" w:styleId="75">
    <w:name w:val="_Style 1"/>
    <w:basedOn w:val="1"/>
    <w:qFormat/>
    <w:uiPriority w:val="34"/>
    <w:pPr>
      <w:widowControl/>
    </w:pPr>
    <w:rPr>
      <w:rFonts w:ascii="宋体" w:hAnsi="宋体" w:cs="宋体"/>
      <w:kern w:val="0"/>
      <w:sz w:val="24"/>
    </w:rPr>
  </w:style>
  <w:style w:type="paragraph" w:styleId="76">
    <w:name w:val="List Paragraph"/>
    <w:basedOn w:val="1"/>
    <w:link w:val="128"/>
    <w:qFormat/>
    <w:uiPriority w:val="99"/>
    <w:pPr>
      <w:widowControl/>
      <w:spacing w:line="240" w:lineRule="auto"/>
    </w:pPr>
    <w:rPr>
      <w:rFonts w:ascii="宋体" w:hAnsi="宋体" w:cs="宋体"/>
      <w:kern w:val="0"/>
      <w:sz w:val="24"/>
      <w:szCs w:val="24"/>
    </w:rPr>
  </w:style>
  <w:style w:type="paragraph" w:customStyle="1" w:styleId="77">
    <w:name w:val="样式 一 + 加粗"/>
    <w:basedOn w:val="1"/>
    <w:qFormat/>
    <w:uiPriority w:val="0"/>
    <w:pPr>
      <w:tabs>
        <w:tab w:val="left" w:pos="643"/>
        <w:tab w:val="left" w:pos="709"/>
      </w:tabs>
      <w:spacing w:before="240" w:after="360" w:line="240" w:lineRule="auto"/>
      <w:ind w:left="709" w:right="210" w:rightChars="100" w:hanging="567"/>
      <w:jc w:val="both"/>
    </w:pPr>
    <w:rPr>
      <w:rFonts w:ascii="Times New Roman" w:hAnsi="Times New Roman" w:eastAsia="黑体"/>
      <w:bCs/>
      <w:sz w:val="30"/>
      <w:szCs w:val="24"/>
    </w:rPr>
  </w:style>
  <w:style w:type="paragraph" w:customStyle="1" w:styleId="78">
    <w:name w:val="TOC 标题1"/>
    <w:basedOn w:val="3"/>
    <w:next w:val="1"/>
    <w:unhideWhenUsed/>
    <w:qFormat/>
    <w:uiPriority w:val="39"/>
    <w:pPr>
      <w:widowControl/>
      <w:spacing w:before="240" w:after="0" w:line="259" w:lineRule="auto"/>
      <w:outlineLvl w:val="9"/>
    </w:pPr>
    <w:rPr>
      <w:rFonts w:ascii="Calibri Light" w:hAnsi="Calibri Light"/>
      <w:b w:val="0"/>
      <w:bCs w:val="0"/>
      <w:color w:val="2E74B5"/>
      <w:kern w:val="0"/>
      <w:sz w:val="32"/>
      <w:szCs w:val="32"/>
    </w:rPr>
  </w:style>
  <w:style w:type="character" w:customStyle="1" w:styleId="79">
    <w:name w:val="批注文字 字符"/>
    <w:basedOn w:val="42"/>
    <w:link w:val="16"/>
    <w:semiHidden/>
    <w:qFormat/>
    <w:uiPriority w:val="99"/>
    <w:rPr>
      <w:rFonts w:ascii="Calibri" w:hAnsi="Calibri" w:eastAsia="宋体" w:cs="Times New Roman"/>
    </w:rPr>
  </w:style>
  <w:style w:type="character" w:customStyle="1" w:styleId="80">
    <w:name w:val="批注主题 字符"/>
    <w:basedOn w:val="79"/>
    <w:link w:val="39"/>
    <w:qFormat/>
    <w:uiPriority w:val="0"/>
    <w:rPr>
      <w:rFonts w:ascii="Calibri" w:hAnsi="Calibri" w:eastAsia="宋体" w:cs="Times New Roman"/>
      <w:b/>
      <w:bCs/>
    </w:rPr>
  </w:style>
  <w:style w:type="character" w:customStyle="1" w:styleId="81">
    <w:name w:val="纯文本 字符"/>
    <w:basedOn w:val="42"/>
    <w:link w:val="24"/>
    <w:qFormat/>
    <w:uiPriority w:val="0"/>
    <w:rPr>
      <w:rFonts w:ascii="宋体" w:hAnsi="Courier New" w:eastAsia="华文宋体" w:cs="Times New Roman"/>
      <w:sz w:val="28"/>
    </w:rPr>
  </w:style>
  <w:style w:type="paragraph" w:customStyle="1" w:styleId="82">
    <w:name w:val="列出段落2"/>
    <w:basedOn w:val="1"/>
    <w:qFormat/>
    <w:uiPriority w:val="34"/>
    <w:pPr>
      <w:ind w:firstLine="420" w:firstLineChars="200"/>
    </w:pPr>
  </w:style>
  <w:style w:type="character" w:customStyle="1" w:styleId="83">
    <w:name w:val="脚注文本 字符"/>
    <w:basedOn w:val="42"/>
    <w:link w:val="32"/>
    <w:qFormat/>
    <w:uiPriority w:val="0"/>
    <w:rPr>
      <w:sz w:val="18"/>
      <w:szCs w:val="18"/>
    </w:rPr>
  </w:style>
  <w:style w:type="character" w:customStyle="1" w:styleId="84">
    <w:name w:val="样式 (西文) 宋体 小四 黑色"/>
    <w:basedOn w:val="42"/>
    <w:qFormat/>
    <w:uiPriority w:val="0"/>
    <w:rPr>
      <w:rFonts w:ascii="宋体" w:hAnsi="宋体" w:eastAsia="宋体"/>
      <w:color w:val="000000"/>
      <w:sz w:val="21"/>
    </w:rPr>
  </w:style>
  <w:style w:type="character" w:customStyle="1" w:styleId="85">
    <w:name w:val="正文文本 3 字符"/>
    <w:basedOn w:val="42"/>
    <w:link w:val="18"/>
    <w:qFormat/>
    <w:uiPriority w:val="0"/>
    <w:rPr>
      <w:rFonts w:ascii="Times New Roman" w:hAnsi="Times New Roman" w:eastAsia="宋体" w:cs="Times New Roman"/>
      <w:sz w:val="16"/>
      <w:szCs w:val="16"/>
    </w:rPr>
  </w:style>
  <w:style w:type="character" w:customStyle="1" w:styleId="86">
    <w:name w:val="称呼 字符"/>
    <w:basedOn w:val="42"/>
    <w:link w:val="17"/>
    <w:qFormat/>
    <w:uiPriority w:val="0"/>
    <w:rPr>
      <w:rFonts w:ascii="Times New Roman" w:hAnsi="Times New Roman" w:eastAsia="宋体" w:cs="Times New Roman"/>
      <w:sz w:val="28"/>
      <w:szCs w:val="20"/>
    </w:rPr>
  </w:style>
  <w:style w:type="character" w:customStyle="1" w:styleId="87">
    <w:name w:val="脚注文本 Char1"/>
    <w:basedOn w:val="42"/>
    <w:semiHidden/>
    <w:qFormat/>
    <w:uiPriority w:val="99"/>
    <w:rPr>
      <w:rFonts w:ascii="Calibri" w:hAnsi="Calibri" w:eastAsia="宋体" w:cs="Times New Roman"/>
      <w:sz w:val="18"/>
      <w:szCs w:val="18"/>
    </w:rPr>
  </w:style>
  <w:style w:type="paragraph" w:customStyle="1" w:styleId="88">
    <w:name w:val="默认段落字体 Para Char Char Char Char"/>
    <w:basedOn w:val="1"/>
    <w:qFormat/>
    <w:uiPriority w:val="0"/>
    <w:pPr>
      <w:spacing w:line="240" w:lineRule="auto"/>
      <w:jc w:val="both"/>
    </w:pPr>
    <w:rPr>
      <w:rFonts w:ascii="Times New Roman" w:hAnsi="Times New Roman"/>
      <w:sz w:val="28"/>
      <w:szCs w:val="24"/>
    </w:rPr>
  </w:style>
  <w:style w:type="paragraph" w:customStyle="1" w:styleId="89">
    <w:name w:val="样式4"/>
    <w:basedOn w:val="1"/>
    <w:next w:val="1"/>
    <w:qFormat/>
    <w:uiPriority w:val="0"/>
    <w:pPr>
      <w:adjustRightInd w:val="0"/>
      <w:ind w:left="-453"/>
      <w:jc w:val="center"/>
      <w:textAlignment w:val="baseline"/>
    </w:pPr>
    <w:rPr>
      <w:rFonts w:ascii="Times New Roman" w:hAnsi="Times New Roman"/>
      <w:kern w:val="0"/>
      <w:sz w:val="24"/>
      <w:szCs w:val="20"/>
    </w:rPr>
  </w:style>
  <w:style w:type="paragraph" w:customStyle="1" w:styleId="90">
    <w:name w:val="bb"/>
    <w:basedOn w:val="1"/>
    <w:qFormat/>
    <w:uiPriority w:val="0"/>
    <w:pPr>
      <w:widowControl/>
      <w:spacing w:before="100" w:beforeAutospacing="1" w:after="100" w:afterAutospacing="1" w:line="240" w:lineRule="auto"/>
    </w:pPr>
    <w:rPr>
      <w:rFonts w:ascii="宋体" w:hAnsi="宋体" w:cs="宋体"/>
      <w:b/>
      <w:bCs/>
      <w:color w:val="990000"/>
      <w:kern w:val="0"/>
      <w:szCs w:val="21"/>
    </w:rPr>
  </w:style>
  <w:style w:type="paragraph" w:customStyle="1" w:styleId="91">
    <w:name w:val="样式 样式 (西文) 宋体 黑色 首行缩进:  1.01 厘米 行距: 1.5 倍行距 +"/>
    <w:basedOn w:val="92"/>
    <w:qFormat/>
    <w:uiPriority w:val="0"/>
  </w:style>
  <w:style w:type="paragraph" w:customStyle="1" w:styleId="92">
    <w:name w:val="样式 (西文) 宋体 黑色 首行缩进:  1.01 厘米 行距: 1.5 倍行距"/>
    <w:basedOn w:val="1"/>
    <w:qFormat/>
    <w:uiPriority w:val="0"/>
    <w:pPr>
      <w:ind w:firstLine="420" w:firstLineChars="200"/>
      <w:jc w:val="both"/>
    </w:pPr>
    <w:rPr>
      <w:rFonts w:ascii="宋体" w:hAnsi="宋体" w:cs="宋体"/>
      <w:color w:val="000000"/>
      <w:szCs w:val="20"/>
    </w:rPr>
  </w:style>
  <w:style w:type="paragraph" w:customStyle="1" w:styleId="93">
    <w:name w:val="样式2"/>
    <w:basedOn w:val="1"/>
    <w:next w:val="1"/>
    <w:qFormat/>
    <w:uiPriority w:val="0"/>
    <w:pPr>
      <w:tabs>
        <w:tab w:val="left" w:pos="851"/>
      </w:tabs>
      <w:adjustRightInd w:val="0"/>
      <w:spacing w:before="240"/>
      <w:ind w:left="851" w:hanging="851"/>
      <w:textAlignment w:val="baseline"/>
    </w:pPr>
    <w:rPr>
      <w:rFonts w:ascii="Times New Roman" w:hAnsi="Times New Roman"/>
      <w:kern w:val="0"/>
      <w:sz w:val="30"/>
      <w:szCs w:val="20"/>
    </w:rPr>
  </w:style>
  <w:style w:type="paragraph" w:customStyle="1" w:styleId="94">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2"/>
      <w:sz w:val="30"/>
      <w:szCs w:val="20"/>
    </w:rPr>
  </w:style>
  <w:style w:type="character" w:customStyle="1" w:styleId="95">
    <w:name w:val="正文文本 2 字符"/>
    <w:basedOn w:val="42"/>
    <w:link w:val="37"/>
    <w:qFormat/>
    <w:uiPriority w:val="0"/>
    <w:rPr>
      <w:rFonts w:ascii="黑体" w:hAnsi="Times New Roman" w:eastAsia="隶书" w:cs="Times New Roman"/>
      <w:sz w:val="44"/>
      <w:szCs w:val="20"/>
    </w:rPr>
  </w:style>
  <w:style w:type="paragraph" w:customStyle="1" w:styleId="9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7">
    <w:name w:val="扉页"/>
    <w:basedOn w:val="1"/>
    <w:qFormat/>
    <w:uiPriority w:val="0"/>
    <w:pPr>
      <w:spacing w:before="480" w:after="480"/>
      <w:ind w:left="1155" w:leftChars="550"/>
      <w:jc w:val="both"/>
    </w:pPr>
    <w:rPr>
      <w:rFonts w:ascii="宋体" w:hAnsi="宋体" w:cs="宋体"/>
      <w:spacing w:val="-20"/>
      <w:kern w:val="0"/>
      <w:sz w:val="32"/>
      <w:szCs w:val="20"/>
    </w:rPr>
  </w:style>
  <w:style w:type="paragraph" w:customStyle="1" w:styleId="98">
    <w:name w:val="样式3"/>
    <w:basedOn w:val="1"/>
    <w:next w:val="1"/>
    <w:qFormat/>
    <w:uiPriority w:val="0"/>
    <w:pPr>
      <w:widowControl/>
      <w:adjustRightInd w:val="0"/>
      <w:spacing w:line="660" w:lineRule="atLeast"/>
      <w:ind w:left="840" w:right="-70" w:hanging="945"/>
      <w:jc w:val="both"/>
      <w:textAlignment w:val="baseline"/>
    </w:pPr>
    <w:rPr>
      <w:rFonts w:ascii="Times New Roman" w:hAnsi="宋体"/>
      <w:color w:val="000000"/>
      <w:sz w:val="24"/>
      <w:szCs w:val="20"/>
    </w:rPr>
  </w:style>
  <w:style w:type="paragraph" w:customStyle="1" w:styleId="99">
    <w:name w:val="样式 标题 2 + 三号 居中1"/>
    <w:basedOn w:val="4"/>
    <w:qFormat/>
    <w:uiPriority w:val="0"/>
    <w:pPr>
      <w:keepLines w:val="0"/>
      <w:widowControl/>
      <w:adjustRightInd w:val="0"/>
      <w:snapToGrid w:val="0"/>
      <w:spacing w:before="240" w:after="240" w:line="360" w:lineRule="auto"/>
      <w:jc w:val="center"/>
      <w:textAlignment w:val="baseline"/>
    </w:pPr>
    <w:rPr>
      <w:rFonts w:cs="宋体"/>
      <w:color w:val="000000"/>
      <w:sz w:val="30"/>
      <w:szCs w:val="20"/>
    </w:rPr>
  </w:style>
  <w:style w:type="paragraph" w:customStyle="1" w:styleId="100">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01">
    <w:name w:val="Char Char Char Char Char Char1 Char"/>
    <w:basedOn w:val="1"/>
    <w:qFormat/>
    <w:uiPriority w:val="0"/>
    <w:pPr>
      <w:tabs>
        <w:tab w:val="left" w:pos="360"/>
      </w:tabs>
      <w:spacing w:line="240" w:lineRule="auto"/>
      <w:jc w:val="both"/>
    </w:pPr>
    <w:rPr>
      <w:rFonts w:ascii="Times New Roman" w:hAnsi="Times New Roman"/>
      <w:szCs w:val="24"/>
    </w:rPr>
  </w:style>
  <w:style w:type="character" w:customStyle="1" w:styleId="102">
    <w:name w:val="文档结构图 字符"/>
    <w:basedOn w:val="42"/>
    <w:link w:val="15"/>
    <w:qFormat/>
    <w:uiPriority w:val="0"/>
    <w:rPr>
      <w:rFonts w:ascii="Times New Roman" w:hAnsi="Times New Roman" w:eastAsia="宋体" w:cs="Times New Roman"/>
      <w:szCs w:val="20"/>
      <w:shd w:val="clear" w:color="auto" w:fill="000080"/>
    </w:rPr>
  </w:style>
  <w:style w:type="paragraph" w:customStyle="1" w:styleId="103">
    <w:name w:val="样式 (西文) 宋体 小四 黑色 行距: 2 倍行距 首行缩进:  2 字符"/>
    <w:basedOn w:val="1"/>
    <w:qFormat/>
    <w:uiPriority w:val="0"/>
    <w:pPr>
      <w:spacing w:line="480" w:lineRule="auto"/>
      <w:ind w:firstLine="480" w:firstLineChars="200"/>
      <w:jc w:val="both"/>
    </w:pPr>
    <w:rPr>
      <w:rFonts w:ascii="宋体" w:hAnsi="宋体" w:cs="宋体"/>
      <w:color w:val="000000"/>
      <w:szCs w:val="20"/>
    </w:rPr>
  </w:style>
  <w:style w:type="paragraph" w:customStyle="1" w:styleId="104">
    <w:name w:val="样式 标题 2 + 三号 居中"/>
    <w:basedOn w:val="4"/>
    <w:qFormat/>
    <w:uiPriority w:val="0"/>
    <w:pPr>
      <w:keepLines w:val="0"/>
      <w:widowControl/>
      <w:adjustRightInd w:val="0"/>
      <w:snapToGrid w:val="0"/>
      <w:spacing w:before="240" w:after="240" w:line="360" w:lineRule="auto"/>
      <w:jc w:val="center"/>
      <w:textAlignment w:val="baseline"/>
    </w:pPr>
    <w:rPr>
      <w:rFonts w:cs="宋体"/>
      <w:color w:val="000000"/>
      <w:sz w:val="30"/>
      <w:szCs w:val="20"/>
    </w:rPr>
  </w:style>
  <w:style w:type="paragraph" w:customStyle="1" w:styleId="105">
    <w:name w:val="样式X"/>
    <w:basedOn w:val="1"/>
    <w:qFormat/>
    <w:uiPriority w:val="0"/>
    <w:pPr>
      <w:tabs>
        <w:tab w:val="left" w:pos="1134"/>
      </w:tabs>
      <w:adjustRightInd w:val="0"/>
      <w:spacing w:line="360" w:lineRule="atLeast"/>
      <w:ind w:left="1134" w:hanging="1134"/>
      <w:textAlignment w:val="baseline"/>
    </w:pPr>
    <w:rPr>
      <w:rFonts w:ascii="Times New Roman" w:hAnsi="Times New Roman"/>
      <w:kern w:val="0"/>
      <w:sz w:val="24"/>
      <w:szCs w:val="20"/>
    </w:rPr>
  </w:style>
  <w:style w:type="paragraph" w:customStyle="1" w:styleId="106">
    <w:name w:val="样式5"/>
    <w:basedOn w:val="1"/>
    <w:next w:val="1"/>
    <w:qFormat/>
    <w:uiPriority w:val="0"/>
    <w:pPr>
      <w:tabs>
        <w:tab w:val="left" w:pos="840"/>
      </w:tabs>
      <w:adjustRightInd w:val="0"/>
      <w:ind w:left="840" w:hanging="420"/>
      <w:textAlignment w:val="baseline"/>
    </w:pPr>
    <w:rPr>
      <w:rFonts w:ascii="Times New Roman" w:hAnsi="Times New Roman"/>
      <w:kern w:val="0"/>
      <w:sz w:val="30"/>
      <w:szCs w:val="20"/>
    </w:rPr>
  </w:style>
  <w:style w:type="paragraph" w:customStyle="1" w:styleId="107">
    <w:name w:val="Char Char1 Char Char Char"/>
    <w:basedOn w:val="1"/>
    <w:qFormat/>
    <w:uiPriority w:val="0"/>
    <w:pPr>
      <w:spacing w:line="240" w:lineRule="auto"/>
      <w:jc w:val="both"/>
    </w:pPr>
    <w:rPr>
      <w:rFonts w:ascii="Times New Roman" w:hAnsi="Times New Roman"/>
      <w:kern w:val="0"/>
      <w:sz w:val="20"/>
      <w:szCs w:val="20"/>
    </w:rPr>
  </w:style>
  <w:style w:type="paragraph" w:customStyle="1" w:styleId="108">
    <w:name w:val="样式 标题 1 + 宋体 居中 段前: 48 磅 段后: 12 磅 行距: 1.5 倍行距"/>
    <w:basedOn w:val="3"/>
    <w:qFormat/>
    <w:uiPriority w:val="0"/>
    <w:pPr>
      <w:adjustRightInd w:val="0"/>
      <w:spacing w:before="1560" w:after="240" w:line="360" w:lineRule="auto"/>
      <w:jc w:val="center"/>
      <w:textAlignment w:val="baseline"/>
    </w:pPr>
    <w:rPr>
      <w:rFonts w:ascii="宋体" w:hAnsi="宋体" w:cs="宋体"/>
      <w:snapToGrid w:val="0"/>
      <w:kern w:val="2"/>
    </w:rPr>
  </w:style>
  <w:style w:type="paragraph" w:customStyle="1" w:styleId="109">
    <w:name w:val="Char Char Char Char"/>
    <w:basedOn w:val="1"/>
    <w:qFormat/>
    <w:uiPriority w:val="0"/>
    <w:pPr>
      <w:jc w:val="center"/>
    </w:pPr>
    <w:rPr>
      <w:rFonts w:ascii="Times New Roman" w:hAnsi="Times New Roman" w:eastAsia="仿宋_GB2312"/>
      <w:b/>
      <w:sz w:val="28"/>
      <w:szCs w:val="32"/>
    </w:rPr>
  </w:style>
  <w:style w:type="paragraph" w:customStyle="1" w:styleId="110">
    <w:name w:val="样式 (西文) 宋体 小四 黑色 行距: 1.5 倍行距 首行缩进:  2 字符"/>
    <w:basedOn w:val="1"/>
    <w:qFormat/>
    <w:uiPriority w:val="0"/>
    <w:pPr>
      <w:ind w:firstLine="480" w:firstLineChars="200"/>
      <w:jc w:val="both"/>
    </w:pPr>
    <w:rPr>
      <w:rFonts w:ascii="宋体" w:hAnsi="宋体" w:cs="宋体"/>
      <w:color w:val="000000"/>
      <w:szCs w:val="20"/>
    </w:rPr>
  </w:style>
  <w:style w:type="paragraph" w:customStyle="1" w:styleId="111">
    <w:name w:val="样式 标题 3 + (中文) 黑体 小四 非加粗 段前: 7.8 磅 段后: 0 磅 行距: 固定值 20 磅"/>
    <w:basedOn w:val="5"/>
    <w:qFormat/>
    <w:uiPriority w:val="0"/>
    <w:pPr>
      <w:keepNext/>
      <w:keepLines/>
      <w:adjustRightInd/>
      <w:spacing w:line="400" w:lineRule="exact"/>
      <w:jc w:val="both"/>
      <w:textAlignment w:val="auto"/>
    </w:pPr>
    <w:rPr>
      <w:rFonts w:eastAsia="黑体" w:cs="宋体"/>
      <w:kern w:val="2"/>
    </w:rPr>
  </w:style>
  <w:style w:type="paragraph" w:customStyle="1" w:styleId="112">
    <w:name w:val="Char"/>
    <w:basedOn w:val="1"/>
    <w:qFormat/>
    <w:uiPriority w:val="0"/>
    <w:pPr>
      <w:widowControl/>
      <w:spacing w:after="160" w:line="240" w:lineRule="exact"/>
    </w:pPr>
    <w:rPr>
      <w:rFonts w:ascii="Verdana" w:hAnsi="Verdana"/>
      <w:kern w:val="0"/>
      <w:sz w:val="20"/>
      <w:szCs w:val="20"/>
      <w:lang w:eastAsia="en-US"/>
    </w:rPr>
  </w:style>
  <w:style w:type="paragraph" w:customStyle="1" w:styleId="113">
    <w:name w:val="样式 (西文) 宋体 小四 首行缩进:  0.77 厘米 行距: 1.5 倍行距"/>
    <w:basedOn w:val="1"/>
    <w:qFormat/>
    <w:uiPriority w:val="0"/>
    <w:pPr>
      <w:ind w:firstLine="435"/>
      <w:jc w:val="both"/>
    </w:pPr>
    <w:rPr>
      <w:rFonts w:ascii="宋体" w:hAnsi="Times New Roman" w:cs="宋体"/>
      <w:szCs w:val="20"/>
    </w:rPr>
  </w:style>
  <w:style w:type="paragraph" w:customStyle="1" w:styleId="114">
    <w:name w:val="样式1"/>
    <w:basedOn w:val="1"/>
    <w:qFormat/>
    <w:uiPriority w:val="0"/>
    <w:pPr>
      <w:tabs>
        <w:tab w:val="left" w:pos="425"/>
      </w:tabs>
      <w:adjustRightInd w:val="0"/>
      <w:spacing w:before="360"/>
      <w:ind w:left="1134" w:hanging="1134"/>
      <w:jc w:val="center"/>
      <w:textAlignment w:val="baseline"/>
    </w:pPr>
    <w:rPr>
      <w:rFonts w:ascii="Times New Roman" w:hAnsi="Times New Roman"/>
      <w:b/>
      <w:kern w:val="0"/>
      <w:sz w:val="36"/>
      <w:szCs w:val="20"/>
    </w:rPr>
  </w:style>
  <w:style w:type="paragraph" w:customStyle="1" w:styleId="115">
    <w:name w:val="flName"/>
    <w:basedOn w:val="1"/>
    <w:qFormat/>
    <w:uiPriority w:val="0"/>
    <w:pPr>
      <w:adjustRightInd w:val="0"/>
      <w:spacing w:before="320" w:after="160" w:line="360" w:lineRule="atLeast"/>
      <w:jc w:val="center"/>
      <w:textAlignment w:val="baseline"/>
    </w:pPr>
    <w:rPr>
      <w:rFonts w:ascii="Arial" w:hAnsi="Times New Roman" w:eastAsia="黑体"/>
      <w:kern w:val="0"/>
      <w:sz w:val="32"/>
      <w:szCs w:val="20"/>
    </w:rPr>
  </w:style>
  <w:style w:type="paragraph" w:customStyle="1" w:styleId="116">
    <w:name w:val="纯文本1"/>
    <w:basedOn w:val="1"/>
    <w:qFormat/>
    <w:uiPriority w:val="0"/>
    <w:pPr>
      <w:adjustRightInd w:val="0"/>
      <w:spacing w:line="240" w:lineRule="auto"/>
      <w:jc w:val="both"/>
      <w:textAlignment w:val="baseline"/>
    </w:pPr>
    <w:rPr>
      <w:rFonts w:ascii="宋体" w:hAnsi="Courier New"/>
      <w:szCs w:val="20"/>
    </w:rPr>
  </w:style>
  <w:style w:type="paragraph" w:customStyle="1" w:styleId="117">
    <w:name w:val="Char1"/>
    <w:basedOn w:val="1"/>
    <w:qFormat/>
    <w:uiPriority w:val="0"/>
    <w:pPr>
      <w:spacing w:line="240" w:lineRule="auto"/>
      <w:jc w:val="both"/>
    </w:pPr>
    <w:rPr>
      <w:rFonts w:ascii="Tahoma" w:hAnsi="Tahoma"/>
      <w:sz w:val="24"/>
      <w:szCs w:val="20"/>
    </w:rPr>
  </w:style>
  <w:style w:type="paragraph" w:customStyle="1" w:styleId="118">
    <w:name w:val="字元 字元 Char Char 字元 字元"/>
    <w:basedOn w:val="1"/>
    <w:qFormat/>
    <w:uiPriority w:val="0"/>
    <w:pPr>
      <w:spacing w:beforeLines="100" w:line="240" w:lineRule="auto"/>
      <w:jc w:val="both"/>
    </w:pPr>
    <w:rPr>
      <w:rFonts w:ascii="Times New Roman" w:hAnsi="Times New Roman"/>
      <w:szCs w:val="20"/>
    </w:rPr>
  </w:style>
  <w:style w:type="paragraph" w:customStyle="1" w:styleId="119">
    <w:name w:val="样式 纯文本纯文本 Char + (符号) 宋体 小四 黑色 行距: 1.5 倍行距"/>
    <w:basedOn w:val="24"/>
    <w:qFormat/>
    <w:uiPriority w:val="0"/>
    <w:pPr>
      <w:spacing w:line="360" w:lineRule="auto"/>
    </w:pPr>
    <w:rPr>
      <w:rFonts w:hAnsi="宋体" w:eastAsia="宋体" w:cs="宋体"/>
      <w:color w:val="000000"/>
      <w:sz w:val="21"/>
      <w:szCs w:val="20"/>
    </w:rPr>
  </w:style>
  <w:style w:type="character" w:customStyle="1" w:styleId="120">
    <w:name w:val="正文文本缩进 Char Char"/>
    <w:basedOn w:val="42"/>
    <w:qFormat/>
    <w:uiPriority w:val="0"/>
    <w:rPr>
      <w:rFonts w:ascii="宋体" w:hAnsi="宋体"/>
      <w:kern w:val="2"/>
      <w:sz w:val="28"/>
    </w:rPr>
  </w:style>
  <w:style w:type="paragraph" w:customStyle="1" w:styleId="121">
    <w:name w:val="Char Char1 Char Char Char Char Char Char Char Char"/>
    <w:basedOn w:val="1"/>
    <w:qFormat/>
    <w:uiPriority w:val="0"/>
    <w:pPr>
      <w:widowControl/>
      <w:spacing w:after="160" w:line="240" w:lineRule="exact"/>
    </w:pPr>
    <w:rPr>
      <w:rFonts w:ascii="Times New Roman" w:hAnsi="Times New Roman"/>
      <w:szCs w:val="20"/>
    </w:rPr>
  </w:style>
  <w:style w:type="paragraph" w:customStyle="1" w:styleId="122">
    <w:name w:val="Normal_0"/>
    <w:qFormat/>
    <w:uiPriority w:val="0"/>
    <w:pPr>
      <w:spacing w:before="120" w:after="240"/>
      <w:jc w:val="both"/>
    </w:pPr>
    <w:rPr>
      <w:rFonts w:ascii="Times New Roman" w:hAnsi="Times New Roman" w:eastAsia="Times New Roman" w:cs="Times New Roman"/>
      <w:sz w:val="22"/>
      <w:szCs w:val="22"/>
      <w:lang w:val="ru-RU" w:eastAsia="en-US" w:bidi="ar-SA"/>
    </w:rPr>
  </w:style>
  <w:style w:type="character" w:customStyle="1" w:styleId="123">
    <w:name w:val="数字EU Char"/>
    <w:link w:val="124"/>
    <w:qFormat/>
    <w:uiPriority w:val="0"/>
    <w:rPr>
      <w:rFonts w:ascii="EU-F1"/>
      <w:kern w:val="21"/>
      <w:szCs w:val="21"/>
    </w:rPr>
  </w:style>
  <w:style w:type="paragraph" w:customStyle="1" w:styleId="124">
    <w:name w:val="数字EU"/>
    <w:basedOn w:val="1"/>
    <w:link w:val="123"/>
    <w:qFormat/>
    <w:uiPriority w:val="0"/>
    <w:pPr>
      <w:wordWrap w:val="0"/>
      <w:overflowPunct w:val="0"/>
      <w:topLinePunct/>
      <w:spacing w:line="240" w:lineRule="auto"/>
      <w:jc w:val="both"/>
    </w:pPr>
    <w:rPr>
      <w:rFonts w:ascii="EU-F1" w:hAnsiTheme="minorHAnsi" w:eastAsiaTheme="minorEastAsia" w:cstheme="minorBidi"/>
      <w:kern w:val="21"/>
      <w:szCs w:val="21"/>
    </w:rPr>
  </w:style>
  <w:style w:type="character" w:customStyle="1" w:styleId="125">
    <w:name w:val="文件正文 Char"/>
    <w:basedOn w:val="42"/>
    <w:link w:val="126"/>
    <w:qFormat/>
    <w:locked/>
    <w:uiPriority w:val="0"/>
    <w:rPr>
      <w:rFonts w:ascii="宋体" w:hAnsi="宋体" w:eastAsia="宋体"/>
      <w:color w:val="000000"/>
      <w:sz w:val="24"/>
      <w:szCs w:val="24"/>
    </w:rPr>
  </w:style>
  <w:style w:type="paragraph" w:customStyle="1" w:styleId="126">
    <w:name w:val="文件正文"/>
    <w:basedOn w:val="1"/>
    <w:link w:val="125"/>
    <w:qFormat/>
    <w:uiPriority w:val="0"/>
    <w:pPr>
      <w:adjustRightInd w:val="0"/>
      <w:spacing w:line="288" w:lineRule="auto"/>
      <w:ind w:firstLine="200" w:firstLineChars="200"/>
      <w:textAlignment w:val="baseline"/>
    </w:pPr>
    <w:rPr>
      <w:rFonts w:ascii="宋体" w:hAnsi="宋体" w:cstheme="minorBidi"/>
      <w:color w:val="000000"/>
      <w:sz w:val="24"/>
      <w:szCs w:val="24"/>
    </w:rPr>
  </w:style>
  <w:style w:type="paragraph" w:customStyle="1" w:styleId="127">
    <w:name w:val="修订1"/>
    <w:hidden/>
    <w:semiHidden/>
    <w:qFormat/>
    <w:uiPriority w:val="99"/>
    <w:rPr>
      <w:rFonts w:ascii="Calibri" w:hAnsi="Calibri" w:eastAsia="宋体" w:cs="Times New Roman"/>
      <w:kern w:val="2"/>
      <w:sz w:val="21"/>
      <w:szCs w:val="22"/>
      <w:lang w:val="en-US" w:eastAsia="zh-CN" w:bidi="ar-SA"/>
    </w:rPr>
  </w:style>
  <w:style w:type="character" w:customStyle="1" w:styleId="128">
    <w:name w:val="列表段落 字符"/>
    <w:link w:val="76"/>
    <w:qFormat/>
    <w:uiPriority w:val="99"/>
    <w:rPr>
      <w:rFonts w:ascii="宋体" w:hAnsi="宋体" w:cs="宋体"/>
      <w:sz w:val="24"/>
      <w:szCs w:val="24"/>
    </w:rPr>
  </w:style>
  <w:style w:type="paragraph" w:customStyle="1" w:styleId="129">
    <w:name w:val="Body text|5"/>
    <w:basedOn w:val="1"/>
    <w:qFormat/>
    <w:uiPriority w:val="0"/>
    <w:pPr>
      <w:spacing w:after="680" w:line="240" w:lineRule="auto"/>
      <w:jc w:val="center"/>
    </w:pPr>
    <w:rPr>
      <w:rFonts w:ascii="宋体" w:hAnsi="宋体" w:cs="宋体"/>
      <w:b/>
      <w:bCs/>
      <w:color w:val="000000"/>
      <w:kern w:val="0"/>
      <w:sz w:val="44"/>
      <w:szCs w:val="4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782FC-42BF-462A-9EFB-6C1C7F313E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4258</Words>
  <Characters>24275</Characters>
  <Lines>202</Lines>
  <Paragraphs>56</Paragraphs>
  <TotalTime>217</TotalTime>
  <ScaleCrop>false</ScaleCrop>
  <LinksUpToDate>false</LinksUpToDate>
  <CharactersWithSpaces>28477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2023-05-22T03:16:00Z</dcterms:created>
  <dc:creator>王晟弘</dc:creator>
  <cp:lastModifiedBy>欧阳光</cp:lastModifiedBy>
  <cp:lastPrinted>2020-08-28T05:44:00Z</cp:lastPrinted>
  <dcterms:modified xsi:type="dcterms:W3CDTF">2023-09-22T09:00:23Z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AF6F5C8BCB484334822E07DE5F5773F1_13</vt:lpwstr>
  </property>
</Properties>
</file>