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color w:val="000000" w:themeColor="text1"/>
          <w:szCs w:val="21"/>
          <w14:textFill>
            <w14:solidFill>
              <w14:schemeClr w14:val="tx1"/>
            </w14:solidFill>
          </w14:textFill>
        </w:rPr>
      </w:pPr>
    </w:p>
    <w:p>
      <w:pPr>
        <w:spacing w:line="360" w:lineRule="auto"/>
        <w:jc w:val="center"/>
        <w:outlineLvl w:val="1"/>
        <w:rPr>
          <w:rFonts w:ascii="黑体" w:hAnsi="黑体" w:eastAsia="黑体"/>
          <w:color w:val="000000" w:themeColor="text1"/>
          <w:sz w:val="32"/>
          <w:szCs w:val="27"/>
          <w14:textFill>
            <w14:solidFill>
              <w14:schemeClr w14:val="tx1"/>
            </w14:solidFill>
          </w14:textFill>
        </w:rPr>
      </w:pPr>
      <w:bookmarkStart w:id="0" w:name="_Toc259524409"/>
      <w:bookmarkStart w:id="1" w:name="_Toc17451604"/>
      <w:bookmarkStart w:id="2" w:name="_Toc88928077"/>
      <w:bookmarkStart w:id="3" w:name="_Toc17454897"/>
      <w:bookmarkStart w:id="4" w:name="_Toc17452690"/>
      <w:bookmarkStart w:id="5" w:name="_Toc17556902"/>
      <w:bookmarkStart w:id="6" w:name="_Toc17451649"/>
      <w:bookmarkStart w:id="7" w:name="_Toc17451127"/>
      <w:bookmarkStart w:id="8" w:name="_Toc17556957"/>
      <w:bookmarkStart w:id="9" w:name="_Toc17454948"/>
      <w:r>
        <w:rPr>
          <w:rFonts w:hint="eastAsia" w:ascii="黑体" w:hAnsi="黑体" w:eastAsia="黑体"/>
          <w:color w:val="000000" w:themeColor="text1"/>
          <w:sz w:val="32"/>
          <w:szCs w:val="27"/>
          <w14:textFill>
            <w14:solidFill>
              <w14:schemeClr w14:val="tx1"/>
            </w14:solidFill>
          </w14:textFill>
        </w:rPr>
        <w:t>第七章 技术标准和要求</w:t>
      </w:r>
      <w:bookmarkEnd w:id="0"/>
      <w:r>
        <w:rPr>
          <w:rFonts w:hint="eastAsia" w:ascii="黑体" w:hAnsi="黑体" w:eastAsia="黑体"/>
          <w:color w:val="000000" w:themeColor="text1"/>
          <w:sz w:val="32"/>
          <w:szCs w:val="27"/>
          <w14:textFill>
            <w14:solidFill>
              <w14:schemeClr w14:val="tx1"/>
            </w14:solidFill>
          </w14:textFill>
        </w:rPr>
        <w:t>（合同技术条款）</w:t>
      </w:r>
      <w:bookmarkEnd w:id="1"/>
      <w:bookmarkEnd w:id="2"/>
      <w:bookmarkEnd w:id="3"/>
      <w:bookmarkEnd w:id="4"/>
      <w:bookmarkEnd w:id="5"/>
      <w:bookmarkEnd w:id="6"/>
      <w:bookmarkEnd w:id="7"/>
      <w:bookmarkEnd w:id="8"/>
      <w:bookmarkEnd w:id="9"/>
    </w:p>
    <w:p>
      <w:pPr>
        <w:spacing w:line="360" w:lineRule="auto"/>
        <w:jc w:val="center"/>
        <w:rPr>
          <w:rFonts w:ascii="宋体" w:hAnsi="宋体"/>
          <w:b/>
          <w:bCs/>
          <w:color w:val="000000" w:themeColor="text1"/>
          <w:sz w:val="36"/>
          <w:szCs w:val="36"/>
          <w14:textFill>
            <w14:solidFill>
              <w14:schemeClr w14:val="tx1"/>
            </w14:solidFill>
          </w14:textFill>
        </w:rPr>
      </w:pPr>
      <w:bookmarkStart w:id="10" w:name="_Toc434853565"/>
      <w:r>
        <w:rPr>
          <w:rFonts w:hint="eastAsia" w:ascii="宋体" w:hAnsi="宋体"/>
          <w:b/>
          <w:bCs/>
          <w:color w:val="000000" w:themeColor="text1"/>
          <w:sz w:val="36"/>
          <w:szCs w:val="36"/>
          <w14:textFill>
            <w14:solidFill>
              <w14:schemeClr w14:val="tx1"/>
            </w14:solidFill>
          </w14:textFill>
        </w:rPr>
        <w:t>工程技术标准</w:t>
      </w:r>
    </w:p>
    <w:p>
      <w:pPr>
        <w:spacing w:line="360" w:lineRule="auto"/>
        <w:jc w:val="center"/>
        <w:rPr>
          <w:rFonts w:ascii="宋体" w:hAnsi="宋体"/>
          <w:b/>
          <w:bCs/>
          <w:color w:val="000000" w:themeColor="text1"/>
          <w:sz w:val="36"/>
          <w:szCs w:val="36"/>
          <w14:textFill>
            <w14:solidFill>
              <w14:schemeClr w14:val="tx1"/>
            </w14:solidFill>
          </w14:textFill>
        </w:rPr>
      </w:pPr>
    </w:p>
    <w:bookmarkEnd w:id="10"/>
    <w:p>
      <w:pPr>
        <w:spacing w:line="360" w:lineRule="auto"/>
        <w:jc w:val="center"/>
        <w:rPr>
          <w:rFonts w:ascii="宋体" w:hAnsi="宋体"/>
          <w:b/>
          <w:bCs/>
          <w:color w:val="000000" w:themeColor="text1"/>
          <w:sz w:val="30"/>
          <w:szCs w:val="30"/>
          <w14:textFill>
            <w14:solidFill>
              <w14:schemeClr w14:val="tx1"/>
            </w14:solidFill>
          </w14:textFill>
        </w:rPr>
      </w:pPr>
      <w:bookmarkStart w:id="11" w:name="OLE_LINK4"/>
      <w:r>
        <w:rPr>
          <w:rFonts w:hint="eastAsia" w:ascii="宋体" w:hAnsi="宋体"/>
          <w:b/>
          <w:bCs/>
          <w:color w:val="000000" w:themeColor="text1"/>
          <w:sz w:val="30"/>
          <w:szCs w:val="30"/>
          <w14:textFill>
            <w14:solidFill>
              <w14:schemeClr w14:val="tx1"/>
            </w14:solidFill>
          </w14:textFill>
        </w:rPr>
        <w:t>第一部分 材料管理标准</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2.本工程使用商品混凝土及商品砂浆。</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第二部分  路面施工技术要求</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修复标准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（2）管道开挖前需对现状路面进行切缝以保障施工期间开挖面周边路面不被破坏。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（3）纵向挖掘道路为沥青路面的内街巷道，上面层按整幅修复。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（4）纵向挖掘道路为沥青路面的快速路、主干路、次干路、支路、重要区域周边道路，以上面层按下列要求恢复：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当挖掘沟槽位于最外侧车道内时，其修复范围因为该车行道值路缘石边线；</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当挖掘沟槽位于单个中间车道内时，仅修复此被挖车道；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当挖掘沟槽横跨两个或以上中间车道时应修复多有被挖车道。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纵向挖掘道路为水泥混凝土路面，未分幅低等级道路，应按整板宽度修复面板；分幅道路当开挖宽度未超过板宽1/3时，按开挖宽度恢复；开挖宽度超过板宽1/3时，应按整板宽度修复，旧板凿除应保留原有拉杆和传力杆，同时不得造成相邻板块损坏、错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（6）管线横跨道路敷设时，水泥混凝土路面应对破除的所有板块均进行整板修复；沥青路面，修复宽度每侧应大于基层200mm及以上。</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（7）路面修复应咨询市政行政管理部门意见，经建设方同意后，调整修复范围。</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（8）掘路的基层修复应在开挖断面两侧各加宽300~500mm。</w:t>
      </w:r>
    </w:p>
    <w:p>
      <w:pPr>
        <w:numPr>
          <w:ilvl w:val="0"/>
          <w:numId w:val="2"/>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rPr>
      </w:pPr>
      <w:r>
        <w:rPr>
          <w:rFonts w:hint="eastAsia"/>
          <w:szCs w:val="21"/>
        </w:rPr>
        <w:t>3）其他产品参照现行国家或地方标准和技术规范。</w:t>
      </w:r>
    </w:p>
    <w:p>
      <w:pPr>
        <w:spacing w:before="120" w:line="360" w:lineRule="auto"/>
        <w:ind w:firstLine="588"/>
        <w:rPr>
          <w:color w:val="000000" w:themeColor="text1"/>
          <w:szCs w:val="21"/>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第一节  编制要求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一、编制依据</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1、本工程招标文件的有关要求。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《室外排水设计标准》                        （GB 50014-2021）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《给水排水工程管道结构设计规范》            （GB 50332-20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《检查井井盖》                            （GB/T 23858-2009）</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《井盖设施建设技术规范》               （DBJ440100/T160-2013）</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《给水排水工程顶管技术规程》                   （CECS246-20</w:t>
      </w:r>
      <w:r>
        <w:rPr>
          <w:color w:val="000000" w:themeColor="text1"/>
          <w:szCs w:val="21"/>
          <w14:textFill>
            <w14:solidFill>
              <w14:schemeClr w14:val="tx1"/>
            </w14:solidFill>
          </w14:textFill>
        </w:rPr>
        <w:t>19</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《地下工程防水技术规范》                      （GB50108-2008)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《混凝土和钢筋混凝土排水管》                 (GB/T11836-20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《国家给排水标准图集》</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《疏浚与吹填工程技术规范》                      （SL17-2014）</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《城市工程管线综合规划规范》                 （GB 50289-</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《水利水电建设工程验收规程》                   （SL223-2008）</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《水利工程建设项目施工监理规范》              （SL288-2014）</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《水利水电工程土建施工安全技术规程》           （SL399-2007）</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《堤防工程施工质量验收评定标准》             （SL634-2012）</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《堤防工程施工规范》                         （SL260-2014）</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3、施工图纸及有关资料。</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二、具体要求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第二节  施工要求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一、施工机构及现场管理要求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二、施工要求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本工程施工要点如下：</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1、采用先进的施工技术；</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2、投入现代化的施工机械设备；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4、施工过程要求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三、项目施工目标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第四节  主要技术组织要求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第五节  质量、工期保证措施</w:t>
      </w:r>
    </w:p>
    <w:p>
      <w:pPr>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一、质量保证措施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2、严格贯彻“把关”和“积极预防”相结合的质量管理方法。</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二、工期保证措施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3、保证倒排工期，充分做好施工前的准备工作；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第六节  投入的主要机械设备及劳动力计划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第七节  安全文明施工措施</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一、安全生产管理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2、安全方针：安全第一，预防为主</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二、文明施工管理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11、劳动保护</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12、照明安全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bCs/>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13、接地及避雷装置</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14、有害气体的控制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15、消防</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16、安全防护设施</w:t>
      </w:r>
    </w:p>
    <w:p>
      <w:pPr>
        <w:spacing w:line="360" w:lineRule="auto"/>
        <w:rPr>
          <w:color w:val="000000" w:themeColor="text1"/>
          <w:sz w:val="23"/>
          <w:szCs w:val="24"/>
          <w14:textFill>
            <w14:solidFill>
              <w14:schemeClr w14:val="tx1"/>
            </w14:solidFill>
          </w14:textFill>
        </w:rPr>
      </w:pPr>
      <w:r>
        <w:rPr>
          <w:rFonts w:hint="eastAsia"/>
          <w:color w:val="000000" w:themeColor="text1"/>
          <w:szCs w:val="21"/>
          <w14:textFill>
            <w14:solidFill>
              <w14:schemeClr w14:val="tx1"/>
            </w14:solidFill>
          </w14:textFill>
        </w:rPr>
        <w:t xml:space="preserve">     本合同工程施工期间，</w:t>
      </w:r>
      <w:r>
        <w:rPr>
          <w:rFonts w:hint="eastAsia"/>
          <w:color w:val="000000" w:themeColor="text1"/>
          <w:sz w:val="23"/>
          <w:szCs w:val="24"/>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17、安全防护手册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⑴防护衣、安全帽、防护鞋袜及防护用品的使用；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⑵升降机和起重机的使用；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⑶各种施工机械的使用；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⑷汽车驾驶安全；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⑸用电安全；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⑹模板、脚手架作业的安全；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⑺皮带运输机使用的安全；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⑻混凝土浇筑作业的安全；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⑼机修作业的安全；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⑽压缩空气作业的安全；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⑾高空作业的安全；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⑿焊接作业的安全和防护；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⒀油漆作业的安全和防护；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⒁意外事故和火灾的救护程序；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⒂防洪和防气象灾害措施；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信号和告警知识；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其它有关规定。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三、环境保护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1、遵守环境保护的法律、法规和规章</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2、环境保护措施计划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⑴施工弃渣的利用和堆放；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⑵施工场地开挖的边坡保护和水土流失防治措施；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⑶防止饮用水污染措施；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⑷施工活动中的噪声、粉尘、废气、废水和废油等的治理措施；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⑸施工区和生活区的卫生设施以及粪便、垃圾的治理措施；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⑹完工后的场地清理。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3、施工弃渣的治理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4、环境污染的治理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14:textFill>
            <w14:solidFill>
              <w14:schemeClr w14:val="tx1"/>
            </w14:solidFill>
          </w14:textFill>
        </w:rPr>
      </w:pPr>
      <w:r>
        <w:rPr>
          <w:rFonts w:hint="eastAsia"/>
          <w:b/>
          <w:bCs/>
          <w:color w:val="000000" w:themeColor="text1"/>
          <w:sz w:val="23"/>
          <w:szCs w:val="24"/>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14:textFill>
            <w14:solidFill>
              <w14:schemeClr w14:val="tx1"/>
            </w14:solidFill>
          </w14:textFill>
        </w:rPr>
      </w:pPr>
      <w:r>
        <w:rPr>
          <w:rFonts w:eastAsia="黑体"/>
          <w:color w:val="000000" w:themeColor="text1"/>
          <w:kern w:val="0"/>
          <w:sz w:val="24"/>
          <w:szCs w:val="24"/>
          <w14:textFill>
            <w14:solidFill>
              <w14:schemeClr w14:val="tx1"/>
            </w14:solidFill>
          </w14:textFill>
        </w:rPr>
        <w:t>技术标准及参数</w:t>
      </w:r>
    </w:p>
    <w:p>
      <w:pPr>
        <w:spacing w:line="360" w:lineRule="auto"/>
        <w:ind w:firstLine="420" w:firstLineChars="200"/>
        <w:rPr>
          <w:szCs w:val="21"/>
        </w:rPr>
      </w:pPr>
      <w:r>
        <w:rPr>
          <w:color w:val="000000" w:themeColor="text1"/>
          <w:szCs w:val="21"/>
          <w14:textFill>
            <w14:solidFill>
              <w14:schemeClr w14:val="tx1"/>
            </w14:solidFill>
          </w14:textFill>
        </w:rPr>
        <w:t>1、管材</w:t>
      </w:r>
    </w:p>
    <w:p>
      <w:pPr>
        <w:spacing w:line="360" w:lineRule="auto"/>
        <w:ind w:firstLine="420" w:firstLineChars="200"/>
        <w:jc w:val="left"/>
        <w:rPr>
          <w:szCs w:val="21"/>
        </w:rPr>
      </w:pPr>
      <w:r>
        <w:rPr>
          <w:rFonts w:hint="eastAsia"/>
          <w:szCs w:val="21"/>
        </w:rPr>
        <w:t>1）明挖段重力管：主干管主要选用</w:t>
      </w:r>
      <w:r>
        <w:rPr>
          <w:rFonts w:hint="eastAsia" w:ascii="微软雅黑" w:hAnsi="微软雅黑" w:eastAsia="微软雅黑" w:cs="微软雅黑"/>
          <w:szCs w:val="21"/>
        </w:rPr>
        <w:t>Ⅱ</w:t>
      </w:r>
      <w:r>
        <w:rPr>
          <w:rFonts w:hint="eastAsia"/>
          <w:szCs w:val="21"/>
        </w:rPr>
        <w:t>级钢筋混凝土管，</w:t>
      </w:r>
      <w:r>
        <w:t>接口形式</w:t>
      </w:r>
      <w:r>
        <w:rPr>
          <w:rFonts w:hint="eastAsia"/>
        </w:rPr>
        <w:t>采用橡胶圈</w:t>
      </w:r>
      <w:r>
        <w:t>承插式</w:t>
      </w:r>
      <w:r>
        <w:rPr>
          <w:rFonts w:hint="eastAsia"/>
        </w:rPr>
        <w:t>和</w:t>
      </w:r>
      <w:r>
        <w:t>企口式</w:t>
      </w:r>
      <w:r>
        <w:rPr>
          <w:rFonts w:hint="eastAsia"/>
          <w:szCs w:val="21"/>
        </w:rPr>
        <w:t>。管材标准执行《混凝土和钢筋混凝土排水管》（GBT 11836-2009）；</w:t>
      </w:r>
    </w:p>
    <w:p>
      <w:pPr>
        <w:spacing w:line="360" w:lineRule="auto"/>
        <w:ind w:firstLine="420" w:firstLineChars="200"/>
        <w:jc w:val="left"/>
        <w:rPr>
          <w:szCs w:val="21"/>
        </w:rPr>
      </w:pPr>
      <w:r>
        <w:rPr>
          <w:rFonts w:hint="eastAsia"/>
          <w:szCs w:val="21"/>
        </w:rPr>
        <w:t>2）明挖段重力管：部分支管选用明中空壁塑钢缠绕聚乙烯管(HDPE)，接口采用橡胶圈热熔连接</w:t>
      </w:r>
      <w:r>
        <w:rPr>
          <w:rFonts w:hint="eastAsia"/>
        </w:rPr>
        <w:t>（</w:t>
      </w:r>
      <w:r>
        <w:t>环刚度≥8KN/m2</w:t>
      </w:r>
      <w:r>
        <w:rPr>
          <w:rFonts w:hint="eastAsia"/>
        </w:rPr>
        <w:t>），</w:t>
      </w:r>
      <w:r>
        <w:rPr>
          <w:rFonts w:hint="eastAsia"/>
          <w:szCs w:val="21"/>
        </w:rPr>
        <w:t>质量必须符合《中空壁塑钢缠绕聚乙烯管道》（T/GBMA003-2019）的要求。</w:t>
      </w:r>
    </w:p>
    <w:p>
      <w:pPr>
        <w:spacing w:line="440" w:lineRule="exact"/>
        <w:ind w:firstLine="420" w:firstLineChars="200"/>
        <w:rPr>
          <w:szCs w:val="21"/>
        </w:rPr>
      </w:pPr>
      <w:r>
        <w:rPr>
          <w:rFonts w:hint="eastAsia"/>
          <w:szCs w:val="21"/>
        </w:rPr>
        <w:t>3）明挖段重力管：出户接驳管和雨、污水立管采用UPVC材料，埋地段要求环刚度不小于8KN/m²，接口采用胶粘剂连接，质量必须符合《建筑排水用硬聚氯乙烯（PVC-U）管材》（GB/T 5836.1-2018）的要求。</w:t>
      </w:r>
    </w:p>
    <w:p>
      <w:pPr>
        <w:spacing w:line="360" w:lineRule="auto"/>
        <w:ind w:firstLine="420" w:firstLineChars="200"/>
        <w:jc w:val="left"/>
        <w:rPr>
          <w:color w:val="FFFFFF"/>
          <w:szCs w:val="21"/>
        </w:rPr>
      </w:pPr>
      <w:r>
        <w:rPr>
          <w:rFonts w:hint="eastAsia"/>
          <w:szCs w:val="21"/>
        </w:rPr>
        <w:t>砼管道基础为120°混凝土基础，非砼管道为中粗砂基础。具体管材选择详见平面图及对应纵断面图。</w:t>
      </w:r>
      <w:r>
        <w:rPr>
          <w:rFonts w:hint="eastAsia"/>
          <w:color w:val="FFFFFF"/>
          <w:szCs w:val="21"/>
        </w:rPr>
        <w:t xml:space="preserve">  </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级钢筋混凝土管：采用橡胶圈密封承插连接。</w:t>
      </w:r>
    </w:p>
    <w:p>
      <w:pPr>
        <w:spacing w:line="440" w:lineRule="exact"/>
        <w:ind w:firstLine="420" w:firstLineChars="200"/>
      </w:pPr>
      <w:r>
        <w:rPr>
          <w:rFonts w:hint="eastAsia"/>
        </w:rPr>
        <w:t>3）高密度聚乙烯中空壁缠绕结构管采用承插式橡胶圈接口连接。</w:t>
      </w:r>
    </w:p>
    <w:p>
      <w:pPr>
        <w:spacing w:line="440" w:lineRule="exact"/>
        <w:ind w:firstLine="420" w:firstLineChars="200"/>
        <w:rPr>
          <w:szCs w:val="21"/>
        </w:rPr>
      </w:pPr>
      <w:r>
        <w:rPr>
          <w:szCs w:val="21"/>
        </w:rPr>
        <w:t>4）</w:t>
      </w:r>
      <w:r>
        <w:rPr>
          <w:rFonts w:hint="eastAsia"/>
          <w:szCs w:val="21"/>
        </w:rPr>
        <w:t>硬聚氯乙烯（PVC-U）管材采用胶粘剂连接</w:t>
      </w:r>
      <w:r>
        <w:rPr>
          <w:szCs w:val="21"/>
        </w:rPr>
        <w:t>。</w:t>
      </w:r>
    </w:p>
    <w:p>
      <w:pPr>
        <w:spacing w:line="440" w:lineRule="exact"/>
        <w:ind w:firstLine="420" w:firstLineChars="200"/>
      </w:pPr>
      <w:r>
        <w:rPr>
          <w:rFonts w:hint="eastAsia"/>
        </w:rPr>
        <w:t>3、管道防腐</w:t>
      </w:r>
    </w:p>
    <w:p>
      <w:pPr>
        <w:spacing w:line="440" w:lineRule="exact"/>
        <w:ind w:firstLine="420" w:firstLineChars="200"/>
      </w:pPr>
      <w:r>
        <w:rPr>
          <w:rFonts w:hint="eastAsia"/>
        </w:rPr>
        <w:t>1）本工程钢筋混凝土排水管道防腐措施，钢筋混凝土生产厂家应结合排水管道输送介质，并参照工程地质勘察报告中地下水腐蚀性评价报告及规范要求，对产品采取相应的防腐技术措施，以满足本工程防腐需要，确保管道耐久性。</w:t>
      </w:r>
    </w:p>
    <w:p>
      <w:pPr>
        <w:spacing w:line="440" w:lineRule="exact"/>
        <w:ind w:firstLine="420" w:firstLineChars="200"/>
      </w:pPr>
      <w:r>
        <w:rPr>
          <w:rFonts w:hint="eastAsia"/>
        </w:rPr>
        <w:t>2）本工程球磨铸铁管及其管件防腐，外防腐：球墨铸铁管的外防腐采用锌+装饰层，球墨铸铁管的外防腐先在管材外表面作喷锌防腐处理，其中喷锌量平均值不应小于130克/ m²；然后在喷锌防腐处理的基础上，选用符合沥青涂料或与锌涂层相容的合成树脂涂料作为装饰涂层材料，装饰涂层干膜的平均厚度应不小于 70µm。内防腐：球墨铸铁管内防腐采用水泥砂浆内衬，水泥砂浆采用硅酸盐水泥或抗硫酸盐水泥。</w:t>
      </w:r>
    </w:p>
    <w:p>
      <w:pPr>
        <w:spacing w:line="440" w:lineRule="exact"/>
        <w:ind w:firstLine="420" w:firstLineChars="200"/>
      </w:pPr>
      <w:r>
        <w:rPr>
          <w:rFonts w:hint="eastAsia"/>
        </w:rPr>
        <w:t>3）本工程钢构件防腐措施，外防腐：钢管外防腐采用环氧煤沥青特加强级防腐（六油二布），即底漆-面漆-面漆-玻璃布-面漆-面漆-玻璃布-面漆-面漆，干膜厚度≥0.6mm；玻璃布采用中碱，无捻、无腊的玻璃纤维布，其经纬密度为 12x12 根/cm。钢制管件外防腐采用除锈后刷环氧底漆两遍，再涂环氧外漆两遍；顶管段外防腐采用环氧富锌底漆二道，干膜厚度不少于 70um；环氧玻璃磷片重防腐涂料三道，干膜厚度不少于 450um；总干膜厚度不少于 520um。焊缝处采用聚乙烯防腐胶带，采用加强级防腐，厚度≥1.4mm。内防腐：采用水泥砂浆内衬，水泥砂浆采用硅酸盐水泥或抗硫酸盐水泥。钢管、顶管段施工现场的焊缝接口处、现场制作的钢制弯管及管件内防腐采用无毒环氧类涂料，防腐等级为特加强级，二底四面，总干膜厚度大于等于 0.3 毫米。管道与阀门井的连接、连接井壁部分用水泥砂浆填实，外壁做防水层以防渗漏。</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、沟槽开挖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1）沟槽槽底净宽度根据管径大小、土质条件、埋设深度、施工工艺等确定，具体尺寸详见结构设计图。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）开挖沟槽时，应严格控制基底高程，不得扰动基面。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）开挖沟槽时应保留基底设计标高以上0.2～0.3m的原状土，待敷设管道前用人工开挖至设计标高。如果局部超挖或发生扰动，应于超挖或扰动部分换填5～40mm的碎石，整平夯实。</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5、管槽回填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）管顶0.5m以上沟槽采用机械回填压实时应从管轴线两侧同时均匀进行，并夯实、碾压。</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）当沟槽采用钢板桩支护时，在回填达到规定高度后，方可拔除钢板桩。拔桩应间隔进行，随拔随注浆。钢板桩拔除后应及时回填桩孔，并采取措施填实。</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）管道安装完毕且经检验合格后，应进行管道闭水检验，具体要求按照《给排水管道工程施工及验收规范》（GB 50268-2008）中的有关内容执行。管道严密性试验合格后方可进行管道回填。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）管道回填要求详见结构设计说明，并严格按照相关技术要求执行。</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）管道回填材料采用合格原土、石屑、中粗砂回填，详见"排水管道回填大样设计图"。</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、管道基础及软基处理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1）管道基础：</w:t>
      </w:r>
      <w:r>
        <w:rPr>
          <w:rFonts w:hint="eastAsia"/>
          <w:color w:val="000000" w:themeColor="text1"/>
          <w:szCs w:val="21"/>
          <w14:textFill>
            <w14:solidFill>
              <w14:schemeClr w14:val="tx1"/>
            </w14:solidFill>
          </w14:textFill>
        </w:rPr>
        <w:t>具体详见图纸纵断面图</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2）软基处理：</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以下管道地基承载力特征值≥</w:t>
      </w:r>
      <w:r>
        <w:rPr>
          <w:color w:val="000000" w:themeColor="text1"/>
          <w:szCs w:val="21"/>
          <w14:textFill>
            <w14:solidFill>
              <w14:schemeClr w14:val="tx1"/>
            </w14:solidFill>
          </w14:textFill>
        </w:rPr>
        <w:t>100kPa</w:t>
      </w:r>
      <w:r>
        <w:rPr>
          <w:rFonts w:hint="eastAsia"/>
          <w:color w:val="000000" w:themeColor="text1"/>
          <w:szCs w:val="21"/>
          <w14:textFill>
            <w14:solidFill>
              <w14:schemeClr w14:val="tx1"/>
            </w14:solidFill>
          </w14:textFill>
        </w:rPr>
        <w:t>，</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及以上管道地基承载力特征值≥</w:t>
      </w:r>
      <w:r>
        <w:rPr>
          <w:color w:val="000000" w:themeColor="text1"/>
          <w:szCs w:val="21"/>
          <w14:textFill>
            <w14:solidFill>
              <w14:schemeClr w14:val="tx1"/>
            </w14:solidFill>
          </w14:textFill>
        </w:rPr>
        <w:t>120kPa</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7、管道支护及房屋保护</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开挖沟槽施工段需要进行支护，支护形式有：挡土板支护、拉森Ⅲ钢板桩支护、拉森Ⅳ钢板桩支护；具体支护相关设计详设计图纸。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当一倍管沟深度范围内存在老旧房屋时，原则上在支护桩与房屋之间采用旋喷桩隔离保护；当房屋位于</w:t>
      </w:r>
      <w:r>
        <w:rPr>
          <w:color w:val="000000" w:themeColor="text1"/>
          <w14:textFill>
            <w14:solidFill>
              <w14:schemeClr w14:val="tx1"/>
            </w14:solidFill>
          </w14:textFill>
        </w:rPr>
        <w:t>1~2倍</w:t>
      </w:r>
      <w:r>
        <w:rPr>
          <w:rFonts w:hint="eastAsia"/>
          <w:color w:val="000000" w:themeColor="text1"/>
          <w14:textFill>
            <w14:solidFill>
              <w14:schemeClr w14:val="tx1"/>
            </w14:solidFill>
          </w14:textFill>
        </w:rPr>
        <w:t>管沟深度范围</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时，采用</w:t>
      </w:r>
      <w:r>
        <w:rPr>
          <w:color w:val="000000" w:themeColor="text1"/>
          <w14:textFill>
            <w14:solidFill>
              <w14:schemeClr w14:val="tx1"/>
            </w14:solidFill>
          </w14:textFill>
        </w:rPr>
        <w:t>静压钢板桩</w:t>
      </w:r>
      <w:r>
        <w:rPr>
          <w:rFonts w:hint="eastAsia"/>
          <w:color w:val="000000" w:themeColor="text1"/>
          <w14:textFill>
            <w14:solidFill>
              <w14:schemeClr w14:val="tx1"/>
            </w14:solidFill>
          </w14:textFill>
        </w:rPr>
        <w:t>施工保护。当一倍沉井深度范围内存在多层旧民房时，在沉井与房屋之间采用微型桩隔离保护。具体的保护措施，还需结合房屋基础、地质情况综合考虑。</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检查井及雨水口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）井的形状、结构、尺寸及适用要求详见详见《预制装配式钢筋混凝土排水检查井 标准图集（试行）》及相应大样图。</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）雨水口：《预制装配式钢筋混凝土雨水口标准图集（试行）》选用，具体做法详见第9页；本工程范围内部分现状雨水口需改造为污水检查井，做法详见现状雨水口封堵大样图。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）接户小方井采用钢筋混凝土检查井，</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00小方井做法详见“500X500钢筋混凝土小方井大样图”。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）其余特殊井做法详见相关工艺及结构设计图。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）盖板型号的选择根据设计检查井具体所在位置处管道埋深和盖板覆土厚度对应选择。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 xml:space="preserve">）检查井内需设置防坠网，防坠网采用成品，其物理性能、耐侯性应符合国家或行业标准的相关规定；安全网承重能力不小于300kg。防坠网做法详见结构大样图。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）承插口的排水管道，接入检查井时，需插口接入。管道与检查井的连接方式详见结构设计图。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）位于车行道下的检查井井盖开启方向应与行车反向相反。</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排水构筑物技术说明</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材料</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1、混凝土：(本工程全部采用商品砼)</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1）混凝土强度等级：除另有规定外，本工程混凝土等级垫层为C20，素混凝土填料为C20，池体均为C30。</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2）砼中最大氯离子含量小于0.10%，最大碱含量应小于3.0kg/m3。</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2、池体抗渗等级：P6。</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、钢筋：本工程除吊钩、吊环采用HPB300外，其余均采用HRB400钢筋，且吊钩、吊环不得采用冷加工钢筋。所有钢筋强度标准值应具有不小于95%的保证率。</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4、钢材：钢梯、预埋件采用钢材Q235B钢；钢制管件、管道支架等均采用Q235B钢。</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5、焊条：E43型用于Q235钢及HPB300钢筋，E50型用于HRB400钢筋。</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6、砌体：</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1）砖砌体：MU25混凝土普通砖、WM M10水泥砂浆，采用预拌砂浆。</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2）挡土墙：MU10水泥砂浆，M40毛石。</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钢筋制作、安装</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1、受力钢筋宜用自动对焊机对焊接长（焊口需经检验合格）。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2、侧墙竖向钢筋、底板钢筋接头均需采用焊接搭接。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3、钢筋只允许在其长度两头各（1/5~1/4）L及后浇带处接驳。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4、在任一搭接截面范围内，只允许50%钢筋接驳。接驳长度：单面焊10d；双面焊5d；冷驳长度42d。</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5、梁、柱箍筋弯钩135 ，弯钩直段长度10d（d为箍筋直径）。</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6、若图纸未表示底板的构造支撑“Π”筋，则16@1000x1000布置。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7、若图纸未表示侧墙水平“S”拉筋，则按</w:t>
      </w:r>
      <w:r>
        <w:rPr>
          <w:rFonts w:ascii="Cambria Math" w:hAnsi="Cambria Math" w:cs="Cambria Math"/>
          <w:color w:val="000000" w:themeColor="text1"/>
          <w:szCs w:val="21"/>
          <w14:textFill>
            <w14:solidFill>
              <w14:schemeClr w14:val="tx1"/>
            </w14:solidFill>
          </w14:textFill>
        </w:rPr>
        <w:t>∅</w:t>
      </w:r>
      <w:r>
        <w:rPr>
          <w:color w:val="000000" w:themeColor="text1"/>
          <w:szCs w:val="21"/>
          <w14:textFill>
            <w14:solidFill>
              <w14:schemeClr w14:val="tx1"/>
            </w14:solidFill>
          </w14:textFill>
        </w:rPr>
        <w:t>8@600x600布置。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8、钢筋遇孔洞时应尽量绕过，不得截断。如必须截断时，应与孔洞口加固环筋焊接锚固。</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模板要求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1、基坑内的杂物、积水必须清除干净，必要时地模应找坡并设集水井抽升排水。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3、钢筋砼结构构件尺寸误差、结构总体尺寸误差必须符合有关施工与验收规范的要求。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4、各种预埋件、预留孔都必须在模板封闭前按有关图纸（以工艺图为准）要求安装妥当，其标高、中心轴线偏差要求在5mm内。</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施工缝和后浇带</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1、底板施工缝应设在底板上500mm以上位置，除设计要求的施工缝外，不得以施工理由擅自增设施工缝。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2、施工缝和后浇带设计应严格按施工缝有关施工规范、构造要求施工。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3、施工时应将施工缝处先浇砼的浮浆凿除并用高压水冲刷干净，扫水泥浆两遍再浇砼。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4、止水钢片埋设位置应准确、妥善固定；止水钢片接缝应平整、密闭、无渗水，与两侧钢筋拉结牢固。</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5、后浇带应在混凝土浇筑28天后才能焊接钢筋，浇筑后浇带用的混凝土强度等级应比两侧的混凝土高一个等级，并应掺入更高比例的混凝土外加剂。</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砼浇筑</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1、浇筑砼前应将模板内杂物清理干净，用水将模板淋透。</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2、必须做好施工组织计划，合理调配砼及保持砼浇筑的连续性，不得因施工不当而随意留设施工缝。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3、较厚的底板、所有的侧墙（池壁、闸墩）应分层浇筑，层厚300~400mm，循序渐进，砼落高不得超过2m，否则应使用流槽或漏斗管。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4、使用砼震动器时必须防止震动器振动钢筋，破坏已进入初凝阶段的砼。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5、应优先采用商品砼，如在现场搅拌宜建立中心搅拌站及采用砼泵输送。</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1、砼浇筑后4~6小时就应开始淋水养护，养护时间不少于14昼夜。</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2、施工期间应防止太阳暴晒，必要时采取临时遮盖措施。可储水的地下构筑物应注水养护。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3、按要求需要做注水试验的，注水试验后应从速进行防水层的施工。</w:t>
      </w:r>
    </w:p>
    <w:p>
      <w:pPr>
        <w:numPr>
          <w:ilvl w:val="1"/>
          <w:numId w:val="5"/>
        </w:numPr>
        <w:autoSpaceDE w:val="0"/>
        <w:autoSpaceDN w:val="0"/>
        <w:adjustRightInd w:val="0"/>
        <w:spacing w:line="360" w:lineRule="auto"/>
        <w:jc w:val="left"/>
        <w:outlineLvl w:val="2"/>
        <w:rPr>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防水施工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1、构筑物防水涂料采用《水泥基渗透结晶型》（GB18445-2001）</w:t>
      </w:r>
      <w:r>
        <w:rPr>
          <w:rFonts w:hint="eastAsia"/>
          <w:color w:val="000000" w:themeColor="text1"/>
          <w:szCs w:val="21"/>
          <w14:textFill>
            <w14:solidFill>
              <w14:schemeClr w14:val="tx1"/>
            </w14:solidFill>
          </w14:textFill>
        </w:rPr>
        <w:t>Ⅱ</w:t>
      </w:r>
      <w:r>
        <w:rPr>
          <w:color w:val="000000" w:themeColor="text1"/>
          <w:szCs w:val="21"/>
          <w14:textFill>
            <w14:solidFill>
              <w14:schemeClr w14:val="tx1"/>
            </w14:solidFill>
          </w14:textFill>
        </w:rPr>
        <w:t>型防水涂料，涂刷部位为池体底板面、壁板迎水、背水面及面板底面。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2、防水涂料施工前，混凝土结构表面应满刮一道素浆，将气孔、小孔洞堵塞平整。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3、池体底板面、壁板迎水面做二底一面，厚度1.0mm，其余按一底一面做法，厚度0.8mm。</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4、涂料施工应遵守下列规定：</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1）涂料施工前，应将砼面接槎处用砂轮打磨平整.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2）用滚子蘸料时，应先在料桶底部滚动并上下搅拌，不能有局部沉淀。</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3）涂刷时要均匀，每层之间的时间间隔以一层涂膜干固为准。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4）每层用量不过度，应按规定用量取料。</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5）施工温度不应低于5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，雨天不宜施工。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6）施工完毕后应进行养护不少于7天。</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注水试验及渗漏检查</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1、当池体砼强度达到设计强度时，应及时进行满水试验，防止空池暴晒。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2、注水方式：每升高1m水位不少于4小时，然后停止12小时，直至设计水位（墙外未填土，墙面未批荡）。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3、抗渗标准：（1）.24小时渗水量不超过1/1000；（2）.施工缝、后浇带不漏水。</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施工期间排水</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1、基坑施工时应设置排水沟及集水井，防止基坑破坏。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2、各单体建、构筑物在施工期间，要采取有效措施防止其上浮。</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回填土要求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1、基坑超挖部分必须用中粗砂回填，并用平板震动器振实，才能做素砼垫层的施工。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.1.</w:t>
      </w:r>
      <w:r>
        <w:rPr>
          <w:rFonts w:hint="eastAsia" w:eastAsia="黑体"/>
          <w:b/>
          <w:color w:val="000000" w:themeColor="text1"/>
          <w:kern w:val="0"/>
          <w:sz w:val="24"/>
          <w:szCs w:val="24"/>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14:textFill>
            <w14:solidFill>
              <w14:schemeClr w14:val="tx1"/>
            </w14:solidFill>
          </w14:textFill>
        </w:rPr>
      </w:pPr>
      <w:r>
        <w:rPr>
          <w:rFonts w:hint="eastAsia" w:ascii="Times New Roman" w:hAnsi="Times New Roman" w:eastAsia="宋体"/>
          <w:color w:val="000000" w:themeColor="text1"/>
          <w:kern w:val="2"/>
          <w:sz w:val="21"/>
          <w:szCs w:val="22"/>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顶管技术规程（DBJ/T 15-106-2015）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.2.钢板桩施工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1、施工前准备工作</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钢板桩的设置位置应该在基础结构边缘之外并留有支拆模板的余地。钢板桩的平面布置应尽量平直整齐、避免不规则的转角以便充分利用标准钢板桩和便于设置支撑。</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(1)钢板桩的检验及矫正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钢板桩的长度、宽度、厚度、高度等要符合以下要求，不符合要求的要予以矫正。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桩型：U型；有效宽度：±2%；端头矩形比：&lt;2mm；厚度比±0.5mm；平直度&lt;0.15%.L(垂直向)、&lt;0.5%.L(水平向)；重量±4%；长度≤±200mm；表面欠缺&lt;4%δ；锁口。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(2)施工围檩安装</w:t>
      </w:r>
    </w:p>
    <w:p>
      <w:pPr>
        <w:spacing w:line="360" w:lineRule="auto"/>
        <w:rPr>
          <w:color w:val="000000" w:themeColor="text1"/>
          <w:szCs w:val="21"/>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为保证沉桩轴线位置的正确竖直，需设置一定刚度的坚固导架。导架的位置不能与钢板桩相碰，围檩桩不能随着钢板桩的打设而下沉或变形。</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(3)沉桩机械的选择</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采用震动锤振动打入法进行打设和拔除钢板桩，并在桩锤和钢板桩间设桩帽，以使桩锤的冲击力能均匀分布在板桩断面上，保护桩顶免受损坏。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(4)钢板桩的焊接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为保证钢板桩自身的强度，接桩位置不可在同一平面上，必须采用一根上、下颠倒的接桩方法。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2、钢板桩的打设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3、钢板桩的拔除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钢板桩的拨除采用震动锤与起重机机共同拔除，震动锤拔不出的钢板桩，在钢板桩上架设吊架，起重机在震动锤振拔同时向上引拔。对夯桩产生的桩孔需要及时回填。</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4、钢板桩施工监测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在钢板桩施工中，打设的允许偏差一般分别为：桩顶标高偏差±100mm；钢板桩轴线偏差±100mm；钢板桩垂直度偏差1%。</w:t>
      </w:r>
    </w:p>
    <w:p>
      <w:pPr>
        <w:autoSpaceDE w:val="0"/>
        <w:autoSpaceDN w:val="0"/>
        <w:adjustRightInd w:val="0"/>
        <w:spacing w:line="360" w:lineRule="auto"/>
        <w:ind w:left="-1" w:leftChars="-1" w:hanging="1"/>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.3.高压旋喷桩</w:t>
      </w:r>
      <w:r>
        <w:rPr>
          <w:rFonts w:hint="eastAsia" w:eastAsia="黑体"/>
          <w:b/>
          <w:color w:val="000000" w:themeColor="text1"/>
          <w:kern w:val="0"/>
          <w:sz w:val="24"/>
          <w:szCs w:val="24"/>
          <w14:textFill>
            <w14:solidFill>
              <w14:schemeClr w14:val="tx1"/>
            </w14:solidFill>
          </w14:textFill>
        </w:rPr>
        <w:t>施工</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bookmarkStart w:id="12" w:name="_Hlk132377017"/>
      <w:r>
        <w:rPr>
          <w:rFonts w:hint="eastAsia"/>
          <w:color w:val="000000" w:themeColor="text1"/>
          <w:szCs w:val="21"/>
          <w14:textFill>
            <w14:solidFill>
              <w14:schemeClr w14:val="tx1"/>
            </w14:solidFill>
          </w14:textFill>
        </w:rPr>
        <w:t xml:space="preserve"> </w:t>
      </w:r>
      <w:bookmarkStart w:id="13" w:name="_Hlk132377031"/>
      <w:r>
        <w:rPr>
          <w:rFonts w:hint="eastAsia"/>
          <w:color w:val="000000" w:themeColor="text1"/>
          <w:szCs w:val="21"/>
          <w14:textFill>
            <w14:solidFill>
              <w14:schemeClr w14:val="tx1"/>
            </w14:solidFill>
          </w14:textFill>
        </w:rPr>
        <w:t>1、房屋保护、沉井洞口止水桩和部分管道地基处理采用Ф500高压旋喷桩。</w:t>
      </w:r>
      <w:bookmarkEnd w:id="12"/>
    </w:p>
    <w:bookmarkEnd w:id="13"/>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2、高压旋喷桩水泥采用PO42.5级。基础桩要求摆旋喷桩进入密实土层不小于</w:t>
      </w:r>
      <w:r>
        <w:rPr>
          <w:color w:val="000000" w:themeColor="text1"/>
          <w:szCs w:val="21"/>
          <w14:textFill>
            <w14:solidFill>
              <w14:schemeClr w14:val="tx1"/>
            </w14:solidFill>
          </w14:textFill>
        </w:rPr>
        <w:t>1.0m</w:t>
      </w:r>
      <w:r>
        <w:rPr>
          <w:rFonts w:hint="eastAsia"/>
          <w:color w:val="000000" w:themeColor="text1"/>
          <w:szCs w:val="21"/>
          <w14:textFill>
            <w14:solidFill>
              <w14:schemeClr w14:val="tx1"/>
            </w14:solidFill>
          </w14:textFill>
        </w:rPr>
        <w:t>；支护桩最短要求进入基坑开挖面下</w:t>
      </w:r>
      <w:r>
        <w:rPr>
          <w:color w:val="000000" w:themeColor="text1"/>
          <w:szCs w:val="21"/>
          <w14:textFill>
            <w14:solidFill>
              <w14:schemeClr w14:val="tx1"/>
            </w14:solidFill>
          </w14:textFill>
        </w:rPr>
        <w:t>1m</w:t>
      </w:r>
      <w:r>
        <w:rPr>
          <w:rFonts w:hint="eastAsia"/>
          <w:color w:val="000000" w:themeColor="text1"/>
          <w:szCs w:val="21"/>
          <w14:textFill>
            <w14:solidFill>
              <w14:schemeClr w14:val="tx1"/>
            </w14:solidFill>
          </w14:textFill>
        </w:rPr>
        <w:t>。</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3、高压旋喷采用单管法进行施工，承包人在进行高压旋喷桩施工之前先进行成桩及载荷试验，试验结果满足图纸设计要求。 </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试验成功后才能正式施工。其中对止水桩采用抽芯进行成桩检测，并进行止水效果检验；对基础处理桩除进行成桩质量检测外还需进行桩身强度检测，要求单桩承载力特征值满足设计图纸要求。</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4、高压旋喷桩采用42.5R普通硅酸盐水泥配浆，建议成桩实验参数：水灰比为1：1，水泥掺入量不小于3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5、提升速度20cm/min，当达不到要求时可适当增大压力和流量或降低提升速度。摆喷桩的孔位偏差&lt;50mm，桩体垂直度偏差不超过1.0%。 </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7、止水桩施工完成后，开挖基坑前应对基坑进行降水试验，检验基坑止水桩止水效果。</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.4.</w:t>
      </w:r>
      <w:r>
        <w:rPr>
          <w:rFonts w:hint="eastAsia" w:eastAsia="黑体"/>
          <w:b/>
          <w:color w:val="000000" w:themeColor="text1"/>
          <w:kern w:val="0"/>
          <w:sz w:val="24"/>
          <w:szCs w:val="24"/>
          <w14:textFill>
            <w14:solidFill>
              <w14:schemeClr w14:val="tx1"/>
            </w14:solidFill>
          </w14:textFill>
        </w:rPr>
        <w:t>三轴水泥搅拌桩施工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、水泥采用强度等级</w:t>
      </w:r>
      <w:r>
        <w:rPr>
          <w:color w:val="000000" w:themeColor="text1"/>
          <w:szCs w:val="21"/>
          <w14:textFill>
            <w14:solidFill>
              <w14:schemeClr w14:val="tx1"/>
            </w14:solidFill>
          </w14:textFill>
        </w:rPr>
        <w:t>42.5</w:t>
      </w:r>
      <w:r>
        <w:rPr>
          <w:rFonts w:hint="eastAsia"/>
          <w:color w:val="000000" w:themeColor="text1"/>
          <w:szCs w:val="21"/>
          <w14:textFill>
            <w14:solidFill>
              <w14:schemeClr w14:val="tx1"/>
            </w14:solidFill>
          </w14:textFill>
        </w:rPr>
        <w:t>级及以上的普通硅酸盐水泥，水灰比为</w:t>
      </w:r>
      <w:r>
        <w:rPr>
          <w:color w:val="000000" w:themeColor="text1"/>
          <w:szCs w:val="21"/>
          <w14:textFill>
            <w14:solidFill>
              <w14:schemeClr w14:val="tx1"/>
            </w14:solidFill>
          </w14:textFill>
        </w:rPr>
        <w:t>0.8~1.0</w:t>
      </w:r>
      <w:r>
        <w:rPr>
          <w:rFonts w:hint="eastAsia"/>
          <w:color w:val="000000" w:themeColor="text1"/>
          <w:szCs w:val="21"/>
          <w14:textFill>
            <w14:solidFill>
              <w14:schemeClr w14:val="tx1"/>
            </w14:solidFill>
          </w14:textFill>
        </w:rPr>
        <w:t>，水泥掺入量</w:t>
      </w:r>
      <w:r>
        <w:rPr>
          <w:color w:val="000000" w:themeColor="text1"/>
          <w:szCs w:val="21"/>
          <w14:textFill>
            <w14:solidFill>
              <w14:schemeClr w14:val="tx1"/>
            </w14:solidFill>
          </w14:textFill>
        </w:rPr>
        <w:t xml:space="preserve">25% </w:t>
      </w:r>
      <w:r>
        <w:rPr>
          <w:rFonts w:hint="eastAsia"/>
          <w:color w:val="000000" w:themeColor="text1"/>
          <w:szCs w:val="21"/>
          <w14:textFill>
            <w14:solidFill>
              <w14:schemeClr w14:val="tx1"/>
            </w14:solidFill>
          </w14:textFill>
        </w:rPr>
        <w:t>，膨润土用量宜为</w:t>
      </w:r>
      <w:r>
        <w:rPr>
          <w:color w:val="000000" w:themeColor="text1"/>
          <w:szCs w:val="21"/>
          <w14:textFill>
            <w14:solidFill>
              <w14:schemeClr w14:val="tx1"/>
            </w14:solidFill>
          </w14:textFill>
        </w:rPr>
        <w:t xml:space="preserve">10~15Kg/m³ </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、搅拌桩直径</w:t>
      </w:r>
      <w:r>
        <w:rPr>
          <w:color w:val="000000" w:themeColor="text1"/>
          <w:szCs w:val="21"/>
          <w14:textFill>
            <w14:solidFill>
              <w14:schemeClr w14:val="tx1"/>
            </w14:solidFill>
          </w14:textFill>
        </w:rPr>
        <w:t>850mm</w:t>
      </w:r>
      <w:r>
        <w:rPr>
          <w:rFonts w:hint="eastAsia"/>
          <w:color w:val="000000" w:themeColor="text1"/>
          <w:szCs w:val="21"/>
          <w14:textFill>
            <w14:solidFill>
              <w14:schemeClr w14:val="tx1"/>
            </w14:solidFill>
          </w14:textFill>
        </w:rPr>
        <w:t>，桩间距</w:t>
      </w:r>
      <w:r>
        <w:rPr>
          <w:color w:val="000000" w:themeColor="text1"/>
          <w:szCs w:val="21"/>
          <w14:textFill>
            <w14:solidFill>
              <w14:schemeClr w14:val="tx1"/>
            </w14:solidFill>
          </w14:textFill>
        </w:rPr>
        <w:t>600mm</w:t>
      </w:r>
      <w:r>
        <w:rPr>
          <w:rFonts w:hint="eastAsia"/>
          <w:color w:val="000000" w:themeColor="text1"/>
          <w:szCs w:val="21"/>
          <w14:textFill>
            <w14:solidFill>
              <w14:schemeClr w14:val="tx1"/>
            </w14:solidFill>
          </w14:textFill>
        </w:rPr>
        <w:t>，采用湿法</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喷</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搅施工工艺。施工前应做工艺性试桩以确定各项施工技术参数。</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桩身水泥土无侧限抗压强度不宜小于</w:t>
      </w:r>
      <w:r>
        <w:rPr>
          <w:color w:val="000000" w:themeColor="text1"/>
          <w:szCs w:val="21"/>
          <w14:textFill>
            <w14:solidFill>
              <w14:schemeClr w14:val="tx1"/>
            </w14:solidFill>
          </w14:textFill>
        </w:rPr>
        <w:t>1.2MPa</w:t>
      </w:r>
      <w:r>
        <w:rPr>
          <w:rFonts w:hint="eastAsia"/>
          <w:color w:val="000000" w:themeColor="text1"/>
          <w:szCs w:val="21"/>
          <w14:textFill>
            <w14:solidFill>
              <w14:schemeClr w14:val="tx1"/>
            </w14:solidFill>
          </w14:textFill>
        </w:rPr>
        <w:t>。搅拌机机架安装就位应水平，导向塔的垂直度偏差不得超过</w:t>
      </w:r>
      <w:r>
        <w:rPr>
          <w:color w:val="000000" w:themeColor="text1"/>
          <w:szCs w:val="21"/>
          <w14:textFill>
            <w14:solidFill>
              <w14:schemeClr w14:val="tx1"/>
            </w14:solidFill>
          </w14:textFill>
        </w:rPr>
        <w:t>1/300</w:t>
      </w:r>
      <w:r>
        <w:rPr>
          <w:rFonts w:hint="eastAsia"/>
          <w:color w:val="000000" w:themeColor="text1"/>
          <w:szCs w:val="21"/>
          <w14:textFill>
            <w14:solidFill>
              <w14:schemeClr w14:val="tx1"/>
            </w14:solidFill>
          </w14:textFill>
        </w:rPr>
        <w:t>，桩位偏差不得大于</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，桩径偏差不得大于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、钻取搅拌桩施工后</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龄期的水泥土取样，取后的芯样应立即密封并及时进行无侧限抗压强度试验。抽检数量不应少于总桩数的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根，每根桩的取芯数量不宜少于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组，每组不宜少于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件试块。钻孔取芯完成后的空隙应注浆填充，需保存全长芯样照片。</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.5.</w:t>
      </w:r>
      <w:r>
        <w:rPr>
          <w:rFonts w:hint="eastAsia" w:eastAsia="黑体"/>
          <w:b/>
          <w:color w:val="000000" w:themeColor="text1"/>
          <w:kern w:val="0"/>
          <w:sz w:val="24"/>
          <w:szCs w:val="24"/>
          <w14:textFill>
            <w14:solidFill>
              <w14:schemeClr w14:val="tx1"/>
            </w14:solidFill>
          </w14:textFill>
        </w:rPr>
        <w:t>灌注桩施工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、钻孔灌注桩的机具选择、护筒埋设、泥浆护壁、施工要领及清孔等要求应符合现行行业标准《建筑桩基技术规范》</w:t>
      </w:r>
      <w:r>
        <w:rPr>
          <w:color w:val="000000" w:themeColor="text1"/>
          <w:szCs w:val="21"/>
          <w14:textFill>
            <w14:solidFill>
              <w14:schemeClr w14:val="tx1"/>
            </w14:solidFill>
          </w14:textFill>
        </w:rPr>
        <w:t>JGJ94-2008</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、成孔设备就位后，必须平整、稳固，确保在成孔过程中不发生倾斜和偏移。应在成孔钻具上设置控制深度的标尺，并应在施工中进行观测记录。</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、宜采用间隔成桩的施工顺序；对混凝土灌注桩，应在混凝土终凝后，再进行相邻桩的成孔施工。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灌注桩成孔过程中出现流沙、涌泥、塌孔、缩径等异常情况时，应暂停成孔并及时采取有针对性的措施进行处理，防止继续塌孔。当成孔过程中遇到不明障碍物时，应查明其性质，且在不会危害既有地下管线、地下构筑物的情况下方可继续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、灌注桩桩孔成型后必须清除孔底沉渣，清孔后应立即灌注水下混凝土。</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、灌注桩的纵向受力钢筋的接头不宜设置在内力较大处。同一连接区段内，纵向受力钢筋的连接接头面积百分率应符合现行国家标准《混凝土结构设计规范》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对梁类构件的规定。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、灌注桩设有预埋件时，应根据预埋件用途和受力特点的要求，控制其安装位置及方向。</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、钢筋笼制作及安装：纵向钢筋的接长，采用机械连接，纵横钢筋交接处均采用焊接；钢筋笼外侧需设混凝土垫块或采用其它有效措施，以确保钢筋保护层的厚度。钢筋笼长度允许偏差±</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，直径允许偏差±</w:t>
      </w:r>
      <w:r>
        <w:rPr>
          <w:color w:val="000000" w:themeColor="text1"/>
          <w:szCs w:val="21"/>
          <w14:textFill>
            <w14:solidFill>
              <w14:schemeClr w14:val="tx1"/>
            </w14:solidFill>
          </w14:textFill>
        </w:rPr>
        <w:t>10mm</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、灌注桩施工允许偏差：桩位偏差，轴线和垂直轴线方向均不超过±</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，垂直度偏差不大于</w:t>
      </w:r>
      <w:r>
        <w:rPr>
          <w:color w:val="000000" w:themeColor="text1"/>
          <w:szCs w:val="21"/>
          <w14:textFill>
            <w14:solidFill>
              <w14:schemeClr w14:val="tx1"/>
            </w14:solidFill>
          </w14:textFill>
        </w:rPr>
        <w:t>0.5%</w:t>
      </w:r>
      <w:r>
        <w:rPr>
          <w:rFonts w:hint="eastAsia"/>
          <w:color w:val="000000" w:themeColor="text1"/>
          <w:szCs w:val="21"/>
          <w14:textFill>
            <w14:solidFill>
              <w14:schemeClr w14:val="tx1"/>
            </w14:solidFill>
          </w14:textFill>
        </w:rPr>
        <w:t>；浇灌混凝土前桩底沉渣不超过</w:t>
      </w:r>
      <w:r>
        <w:rPr>
          <w:color w:val="000000" w:themeColor="text1"/>
          <w:szCs w:val="21"/>
          <w14:textFill>
            <w14:solidFill>
              <w14:schemeClr w14:val="tx1"/>
            </w14:solidFill>
          </w14:textFill>
        </w:rPr>
        <w:t>100mm</w:t>
      </w:r>
      <w:r>
        <w:rPr>
          <w:rFonts w:hint="eastAsia"/>
          <w:color w:val="000000" w:themeColor="text1"/>
          <w:szCs w:val="21"/>
          <w14:textFill>
            <w14:solidFill>
              <w14:schemeClr w14:val="tx1"/>
            </w14:solidFill>
          </w14:textFill>
        </w:rPr>
        <w:t>；预埋件位置的允许偏差应为</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；桩的其他施工允许偏差应符合现行行业标准《建筑桩基技术规范》</w:t>
      </w:r>
      <w:r>
        <w:rPr>
          <w:color w:val="000000" w:themeColor="text1"/>
          <w:szCs w:val="21"/>
          <w14:textFill>
            <w14:solidFill>
              <w14:schemeClr w14:val="tx1"/>
            </w14:solidFill>
          </w14:textFill>
        </w:rPr>
        <w:t>JGJ94</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、混凝土灌注桩采用低应变动测法检测桩身的结构完整性，检测数量不宜少于总桩数的</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根；当用低应变动测法判定的桩身缺陷可能影响桩的水平承载力时，应用钻芯法进行补充检测，检测数量不宜少于总桩数的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，且不得小于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根。冠梁施工时，应将桩顶浮浆、低强度混凝土及破碎部分清除。冠梁混凝土浇筑采用土模时，土面应修理整平。</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14:textFill>
            <w14:solidFill>
              <w14:schemeClr w14:val="tx1"/>
            </w14:solidFill>
          </w14:textFill>
        </w:rPr>
      </w:pPr>
      <w:r>
        <w:rPr>
          <w:rFonts w:hint="eastAsia" w:eastAsia="黑体"/>
          <w:color w:val="000000" w:themeColor="text1"/>
          <w:sz w:val="24"/>
          <w:szCs w:val="24"/>
          <w14:textFill>
            <w14:solidFill>
              <w14:schemeClr w14:val="tx1"/>
            </w14:solidFill>
          </w14:textFill>
        </w:rPr>
        <w:t>1</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《城市道路交通标志和标线设置规范》（</w:t>
      </w:r>
      <w:r>
        <w:rPr>
          <w:rFonts w:ascii="宋体" w:hAnsi="宋体"/>
          <w:color w:val="000000" w:themeColor="text1"/>
          <w:szCs w:val="21"/>
          <w14:textFill>
            <w14:solidFill>
              <w14:schemeClr w14:val="tx1"/>
            </w14:solidFill>
          </w14:textFill>
        </w:rPr>
        <w:t>GB51038-2015</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《城市道路交通设施设计规范(2019年版)》（</w:t>
      </w:r>
      <w:r>
        <w:rPr>
          <w:rFonts w:ascii="宋体" w:hAnsi="宋体"/>
          <w:color w:val="000000" w:themeColor="text1"/>
          <w:szCs w:val="21"/>
          <w14:textFill>
            <w14:solidFill>
              <w14:schemeClr w14:val="tx1"/>
            </w14:solidFill>
          </w14:textFill>
        </w:rPr>
        <w:t>GB50688-2011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《道路交通标志和标线第1部分：总则》（</w:t>
      </w:r>
      <w:r>
        <w:rPr>
          <w:rFonts w:ascii="宋体" w:hAnsi="宋体"/>
          <w:color w:val="000000" w:themeColor="text1"/>
          <w:szCs w:val="21"/>
          <w14:textFill>
            <w14:solidFill>
              <w14:schemeClr w14:val="tx1"/>
            </w14:solidFill>
          </w14:textFill>
        </w:rPr>
        <w:t>GB5768.1-2009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《道路交通标志和标线第2部分：道路交通标志》（</w:t>
      </w:r>
      <w:r>
        <w:rPr>
          <w:rFonts w:ascii="宋体" w:hAnsi="宋体"/>
          <w:color w:val="000000" w:themeColor="text1"/>
          <w:szCs w:val="21"/>
          <w14:textFill>
            <w14:solidFill>
              <w14:schemeClr w14:val="tx1"/>
            </w14:solidFill>
          </w14:textFill>
        </w:rPr>
        <w:t>GB5768.2-2022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《道路交通标志和标线第3部分：道路交通标线》（</w:t>
      </w:r>
      <w:r>
        <w:rPr>
          <w:rFonts w:ascii="宋体" w:hAnsi="宋体"/>
          <w:color w:val="000000" w:themeColor="text1"/>
          <w:szCs w:val="21"/>
          <w14:textFill>
            <w14:solidFill>
              <w14:schemeClr w14:val="tx1"/>
            </w14:solidFill>
          </w14:textFill>
        </w:rPr>
        <w:t>GB5768.3-2009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《道路交通标志和标线第4部分：作业区》（</w:t>
      </w:r>
      <w:r>
        <w:rPr>
          <w:rFonts w:ascii="宋体" w:hAnsi="宋体"/>
          <w:color w:val="000000" w:themeColor="text1"/>
          <w:szCs w:val="21"/>
          <w14:textFill>
            <w14:solidFill>
              <w14:schemeClr w14:val="tx1"/>
            </w14:solidFill>
          </w14:textFill>
        </w:rPr>
        <w:t>GB5768.4-2017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《道路交通标志和标线第5部分：限制速度》（</w:t>
      </w:r>
      <w:r>
        <w:rPr>
          <w:rFonts w:ascii="宋体" w:hAnsi="宋体"/>
          <w:color w:val="000000" w:themeColor="text1"/>
          <w:szCs w:val="21"/>
          <w14:textFill>
            <w14:solidFill>
              <w14:schemeClr w14:val="tx1"/>
            </w14:solidFill>
          </w14:textFill>
        </w:rPr>
        <w:t>GB5768.5-2017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《道路交通标志和标线第7部分：非机动车和行人》（</w:t>
      </w:r>
      <w:r>
        <w:rPr>
          <w:rFonts w:ascii="宋体" w:hAnsi="宋体"/>
          <w:color w:val="000000" w:themeColor="text1"/>
          <w:szCs w:val="21"/>
          <w14:textFill>
            <w14:solidFill>
              <w14:schemeClr w14:val="tx1"/>
            </w14:solidFill>
          </w14:textFill>
        </w:rPr>
        <w:t>GB5768.7-2018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《道路交通标志和标线第8部分：学校区域》（</w:t>
      </w:r>
      <w:r>
        <w:rPr>
          <w:rFonts w:ascii="宋体" w:hAnsi="宋体"/>
          <w:color w:val="000000" w:themeColor="text1"/>
          <w:szCs w:val="21"/>
          <w14:textFill>
            <w14:solidFill>
              <w14:schemeClr w14:val="tx1"/>
            </w14:solidFill>
          </w14:textFill>
        </w:rPr>
        <w:t>GB5768.8-2018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《建筑与市政工程无障碍通用规范》GB55019-2021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《广州市建设工程绿色施工围蔽指导图集（</w:t>
      </w:r>
      <w:r>
        <w:rPr>
          <w:rFonts w:ascii="宋体" w:hAnsi="宋体"/>
          <w:color w:val="000000" w:themeColor="text1"/>
          <w:szCs w:val="21"/>
          <w14:textFill>
            <w14:solidFill>
              <w14:schemeClr w14:val="tx1"/>
            </w14:solidFill>
          </w14:textFill>
        </w:rPr>
        <w:t>V2.0版）</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其他相关规范</w:t>
      </w:r>
    </w:p>
    <w:p>
      <w:pPr>
        <w:spacing w:line="360" w:lineRule="auto"/>
        <w:ind w:firstLine="480" w:firstLineChars="200"/>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2.</w:t>
      </w:r>
      <w:r>
        <w:rPr>
          <w:rFonts w:hint="eastAsia" w:eastAsia="黑体"/>
          <w:color w:val="000000" w:themeColor="text1"/>
          <w:sz w:val="24"/>
          <w:szCs w:val="24"/>
          <w14:textFill>
            <w14:solidFill>
              <w14:schemeClr w14:val="tx1"/>
            </w14:solidFill>
          </w14:textFill>
        </w:rPr>
        <w:t>技术要求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新画标线：白色反光标线的逆反射亮度系数不应低于150mcd•m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，黄色反光标线的逆反射亮度系数不应低于lOOmcd•m</w:t>
      </w:r>
      <w:r>
        <w:rPr>
          <w:rFonts w:ascii="宋体" w:hAnsi="宋体"/>
          <w:color w:val="000000" w:themeColor="text1"/>
          <w:kern w:val="24"/>
          <w:szCs w:val="21"/>
          <w:vertAlign w:val="superscript"/>
          <w14:textFill>
            <w14:solidFill>
              <w14:schemeClr w14:val="tx1"/>
            </w14:solidFill>
          </w14:textFill>
        </w:rPr>
        <w:t>-</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lx</w:t>
      </w:r>
      <w:r>
        <w:rPr>
          <w:rFonts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w:t>
      </w:r>
      <w:r>
        <w:rPr>
          <w:rFonts w:ascii="宋体" w:hAnsi="宋体"/>
          <w:color w:val="000000" w:themeColor="text1"/>
          <w:szCs w:val="21"/>
          <w14:textFill>
            <w14:solidFill>
              <w14:schemeClr w14:val="tx1"/>
            </w14:solidFill>
          </w14:textFill>
        </w:rPr>
        <w:t>50mcd</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道路预成形标线带的性能应符合现行国家标准《道路预成形标线带》GB/T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（1）设计标准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）标志结构设计风速：基本风速采用广州地区（50年一遇：</w:t>
      </w:r>
      <w:r>
        <w:rPr>
          <w:rFonts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m/s）。</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（2）一般规定（施工完成后永久恢复的标志牌）</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施工注意事项</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1、如无特别标注，一般情况下井面标高以自然地面标高为准，本设计只作参考。</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2、图中所注管线高程，指设计管渠内底标高；所注管长为两检查井中心之间的管道长度。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化工管道需征求管线部门的意见。</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4、所有管渠及检查井均按有地下水的情况施工。管道与检查井及收水井的连接处灌浆要饱满，防止渗漏。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5、当管道在道路下管覆土深度小于700mm，以及管顶覆土虽满足路基密实度要求，但需承受超过相当于公-Ⅰ级汽车荷载时，该处管道及基础应另作加</w:t>
      </w:r>
      <w:bookmarkStart w:id="14" w:name="_GoBack"/>
      <w:bookmarkEnd w:id="14"/>
      <w:r>
        <w:rPr>
          <w:rFonts w:hint="eastAsia"/>
          <w:color w:val="000000" w:themeColor="text1"/>
          <w:szCs w:val="21"/>
          <w14:textFill>
            <w14:solidFill>
              <w14:schemeClr w14:val="tx1"/>
            </w14:solidFill>
          </w14:textFill>
        </w:rPr>
        <w:t>固处理。如采用加宽、加厚混凝土基础，在管上砌筑砖拱以及用混凝土或钢筋混凝土加固管道等措施。一般情况下，对覆土不够700mm的管道须进行包管处理。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施工前必须复测沿线过路管涵、箱涵、桥涵、以及各排水出水口的标高（桥、箱涵底标高），在满足排水设计要求的情况下方可施工。还需对临近建构筑物基础进行刨验和鉴定，满足设计要求时方可施工。如不满足要求，请及时联系设计单位复核设计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7、本工程为雨污分流改造工程，为达到收集雨污分流、提质增效的目的，施工过程中应注意排查沿线排水管道管及污水来源。如有遗漏或与本设计不符合的排污口，应及时通知设计人员到现场处理。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、在道路上施工开挖路面后，要及时对路面进行修复，详见路面修复图。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、施工前要排除各类明水，要在排除明水三天以后，方可开槽施工。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、给排水管道施工完毕须按《给水排水管道工程施工及验收规范》(GB50268－2008)进行验收。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、给排水管道工程施工质量控制应符合下列规定：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a、各分项工程应按照施工技术标准进行质量控制，每分项工程完成后，必须进行检验。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b、相关各分项工程之间，必须进行交接检验，所有隐蔽分项工程必须进行隐蔽验收，未经检验或验收不合格不得进行下道分项工程。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c、通过返修或加固处理仍不能满足结构安全或使用功能要求的分部（子分部）工程、单位（子单位）工程，严禁验收。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、请承包人严格按照国家标准《给水排水管道工程施工及验收规范》（GB50268-2008）进行施工，，其它未尽事宜均按国家现行规范的有关规定执行。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安全技术要求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12、其他未尽事宜，应按照相关安全生产的法律、法规执行。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ind w:left="0" w:firstLine="0"/>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14:textFill>
            <w14:solidFill>
              <w14:schemeClr w14:val="tx1"/>
            </w14:solidFill>
          </w14:textFill>
        </w:rPr>
      </w:pPr>
    </w:p>
    <w:p>
      <w:pPr>
        <w:spacing w:line="360" w:lineRule="auto"/>
        <w:ind w:firstLine="2" w:firstLineChars="200"/>
        <w:jc w:val="left"/>
        <w:rPr>
          <w:color w:val="000000" w:themeColor="text1"/>
          <w:szCs w:val="21"/>
          <w14:textFill>
            <w14:solidFill>
              <w14:schemeClr w14:val="tx1"/>
            </w14:solidFill>
          </w14:textFill>
        </w:rPr>
      </w:pPr>
      <w:r>
        <w:rPr>
          <w:rFonts w:hint="eastAsia" w:ascii="黑体" w:hAnsi="黑体" w:eastAsia="黑体"/>
          <w:b/>
          <w:color w:val="000000" w:themeColor="text1"/>
          <w:w w:val="0"/>
          <w:sz w:val="28"/>
          <w:szCs w:val="28"/>
          <w14:textFill>
            <w14:solidFill>
              <w14:schemeClr w14:val="tx1"/>
            </w14:solidFill>
          </w14:textFill>
        </w:rPr>
        <w:t>注：本说明未尽事宜，按相关技术规范规程及区政府、区水务局、区水务工程建管中心最新规定执行。</w:t>
      </w:r>
    </w:p>
    <w:p>
      <w:pPr>
        <w:spacing w:line="360" w:lineRule="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NGRmODhiOWIwMjBiZjFiZGMxMTdiMDM4NGJjMGMifQ=="/>
  </w:docVars>
  <w:rsids>
    <w:rsidRoot w:val="00172A27"/>
    <w:rsid w:val="00047A9D"/>
    <w:rsid w:val="00086404"/>
    <w:rsid w:val="000A576C"/>
    <w:rsid w:val="000B0AA3"/>
    <w:rsid w:val="000C3138"/>
    <w:rsid w:val="000D3FEE"/>
    <w:rsid w:val="001012B4"/>
    <w:rsid w:val="00125890"/>
    <w:rsid w:val="0017187E"/>
    <w:rsid w:val="00172A27"/>
    <w:rsid w:val="00195561"/>
    <w:rsid w:val="001B799C"/>
    <w:rsid w:val="001E7A70"/>
    <w:rsid w:val="002141CF"/>
    <w:rsid w:val="00266682"/>
    <w:rsid w:val="00286C04"/>
    <w:rsid w:val="00290121"/>
    <w:rsid w:val="00321E90"/>
    <w:rsid w:val="00332391"/>
    <w:rsid w:val="00347EEF"/>
    <w:rsid w:val="003555FC"/>
    <w:rsid w:val="003872AB"/>
    <w:rsid w:val="003C171A"/>
    <w:rsid w:val="003D11F4"/>
    <w:rsid w:val="003E76C0"/>
    <w:rsid w:val="003F7714"/>
    <w:rsid w:val="004116E7"/>
    <w:rsid w:val="00420B12"/>
    <w:rsid w:val="0045661C"/>
    <w:rsid w:val="004C2854"/>
    <w:rsid w:val="004E1F9A"/>
    <w:rsid w:val="004E58F6"/>
    <w:rsid w:val="004F2506"/>
    <w:rsid w:val="005529ED"/>
    <w:rsid w:val="00595BDD"/>
    <w:rsid w:val="005C3230"/>
    <w:rsid w:val="005F6D6A"/>
    <w:rsid w:val="006039A2"/>
    <w:rsid w:val="00653D6C"/>
    <w:rsid w:val="00675790"/>
    <w:rsid w:val="00690D27"/>
    <w:rsid w:val="006914E1"/>
    <w:rsid w:val="006A376E"/>
    <w:rsid w:val="006B21F3"/>
    <w:rsid w:val="006D622D"/>
    <w:rsid w:val="00716C64"/>
    <w:rsid w:val="00720CAD"/>
    <w:rsid w:val="007B482E"/>
    <w:rsid w:val="007C0029"/>
    <w:rsid w:val="0081658A"/>
    <w:rsid w:val="008279B1"/>
    <w:rsid w:val="008A0677"/>
    <w:rsid w:val="008E124E"/>
    <w:rsid w:val="009351E9"/>
    <w:rsid w:val="009363B9"/>
    <w:rsid w:val="00984E70"/>
    <w:rsid w:val="0099779F"/>
    <w:rsid w:val="00A8322B"/>
    <w:rsid w:val="00AA0CD0"/>
    <w:rsid w:val="00AF5283"/>
    <w:rsid w:val="00B835E8"/>
    <w:rsid w:val="00BB4AF7"/>
    <w:rsid w:val="00C063A3"/>
    <w:rsid w:val="00C7408F"/>
    <w:rsid w:val="00CA6D6E"/>
    <w:rsid w:val="00CD7FD0"/>
    <w:rsid w:val="00CF786F"/>
    <w:rsid w:val="00D43AC0"/>
    <w:rsid w:val="00DA0CED"/>
    <w:rsid w:val="00DB12A6"/>
    <w:rsid w:val="00DD31D2"/>
    <w:rsid w:val="00DF4D91"/>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14BC16A3"/>
    <w:rsid w:val="2EAF08C9"/>
    <w:rsid w:val="31B464F5"/>
    <w:rsid w:val="324C1B91"/>
    <w:rsid w:val="34F41DCA"/>
    <w:rsid w:val="36D74A3D"/>
    <w:rsid w:val="3D856C07"/>
    <w:rsid w:val="43333EE2"/>
    <w:rsid w:val="4A8F50B6"/>
    <w:rsid w:val="4C850F79"/>
    <w:rsid w:val="506E5934"/>
    <w:rsid w:val="581B2BB2"/>
    <w:rsid w:val="628A3F58"/>
    <w:rsid w:val="69494393"/>
    <w:rsid w:val="69FF3184"/>
    <w:rsid w:val="6B65596D"/>
    <w:rsid w:val="6F757EAA"/>
    <w:rsid w:val="732631F4"/>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3389</Words>
  <Characters>19319</Characters>
  <Lines>160</Lines>
  <Paragraphs>45</Paragraphs>
  <TotalTime>37</TotalTime>
  <ScaleCrop>false</ScaleCrop>
  <LinksUpToDate>false</LinksUpToDate>
  <CharactersWithSpaces>22663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林贤鑫</cp:lastModifiedBy>
  <dcterms:modified xsi:type="dcterms:W3CDTF">2023-09-21T04:41:19Z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3B352ED2C4F04E198FED3B89F80C3BC4_13</vt:lpwstr>
  </property>
</Properties>
</file>