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2"/>
          <w:szCs w:val="32"/>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逢源街惠城、泰兴片区微改造（惠城、泰兴社区）项目</w:t>
      </w:r>
      <w:r>
        <w:rPr>
          <w:rFonts w:hint="eastAsia" w:ascii="宋体" w:hAnsi="宋体" w:eastAsia="宋体" w:cs="宋体"/>
          <w:b/>
          <w:bCs/>
          <w:color w:val="auto"/>
          <w:sz w:val="44"/>
          <w:szCs w:val="44"/>
          <w:highlight w:val="none"/>
          <w:lang w:val="en-US" w:eastAsia="zh-CN"/>
        </w:rPr>
        <w:t>微改造工程勘察设计施工总承包</w:t>
      </w:r>
    </w:p>
    <w:p>
      <w:pPr>
        <w:jc w:val="center"/>
        <w:rPr>
          <w:rFonts w:hint="eastAsia" w:ascii="宋体" w:hAnsi="宋体" w:eastAsia="宋体" w:cs="宋体"/>
          <w:b/>
          <w:bCs/>
          <w:color w:val="auto"/>
          <w:sz w:val="72"/>
          <w:szCs w:val="72"/>
          <w:highlight w:val="none"/>
        </w:rPr>
      </w:pPr>
    </w:p>
    <w:p>
      <w:pPr>
        <w:jc w:val="center"/>
        <w:rPr>
          <w:rFonts w:hint="eastAsia" w:ascii="宋体" w:hAnsi="宋体" w:eastAsia="宋体" w:cs="宋体"/>
          <w:b/>
          <w:bCs/>
          <w:color w:val="auto"/>
          <w:sz w:val="72"/>
          <w:szCs w:val="72"/>
          <w:highlight w:val="none"/>
        </w:rPr>
      </w:pPr>
    </w:p>
    <w:p>
      <w:pPr>
        <w:spacing w:line="360" w:lineRule="auto"/>
        <w:jc w:val="center"/>
        <w:rPr>
          <w:rFonts w:hint="eastAsia" w:ascii="宋体" w:hAnsi="宋体" w:eastAsia="宋体" w:cs="宋体"/>
          <w:b/>
          <w:bCs/>
          <w:color w:val="auto"/>
          <w:sz w:val="96"/>
          <w:szCs w:val="96"/>
          <w:highlight w:val="none"/>
        </w:rPr>
      </w:pPr>
    </w:p>
    <w:p>
      <w:pPr>
        <w:spacing w:line="360" w:lineRule="auto"/>
        <w:jc w:val="center"/>
        <w:rPr>
          <w:rFonts w:hint="eastAsia" w:ascii="宋体" w:hAnsi="宋体" w:eastAsia="宋体" w:cs="宋体"/>
          <w:b/>
          <w:bCs/>
          <w:color w:val="auto"/>
          <w:sz w:val="96"/>
          <w:szCs w:val="96"/>
          <w:highlight w:val="none"/>
        </w:rPr>
      </w:pPr>
    </w:p>
    <w:p>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招标公告</w:t>
      </w:r>
    </w:p>
    <w:p>
      <w:pPr>
        <w:jc w:val="center"/>
        <w:rPr>
          <w:rFonts w:hint="eastAsia" w:ascii="宋体" w:hAnsi="宋体" w:eastAsia="宋体" w:cs="宋体"/>
          <w:b/>
          <w:bCs/>
          <w:color w:val="auto"/>
          <w:sz w:val="32"/>
          <w:szCs w:val="32"/>
          <w:highlight w:val="none"/>
        </w:rPr>
      </w:pPr>
    </w:p>
    <w:p>
      <w:pPr>
        <w:spacing w:line="400" w:lineRule="exact"/>
        <w:jc w:val="center"/>
        <w:rPr>
          <w:rFonts w:hint="eastAsia" w:ascii="宋体" w:hAnsi="宋体" w:eastAsia="宋体" w:cs="宋体"/>
          <w:b/>
          <w:bCs/>
          <w:color w:val="auto"/>
          <w:highlight w:val="none"/>
        </w:rPr>
      </w:pPr>
    </w:p>
    <w:p>
      <w:pPr>
        <w:spacing w:line="400" w:lineRule="exact"/>
        <w:jc w:val="center"/>
        <w:rPr>
          <w:rFonts w:hint="eastAsia" w:ascii="宋体" w:hAnsi="宋体" w:eastAsia="宋体" w:cs="宋体"/>
          <w:b/>
          <w:bCs/>
          <w:color w:val="auto"/>
          <w:highlight w:val="none"/>
        </w:rPr>
      </w:pPr>
    </w:p>
    <w:p>
      <w:pPr>
        <w:spacing w:line="400" w:lineRule="exact"/>
        <w:jc w:val="center"/>
        <w:rPr>
          <w:rFonts w:hint="eastAsia" w:ascii="宋体" w:hAnsi="宋体" w:eastAsia="宋体" w:cs="宋体"/>
          <w:b/>
          <w:bCs/>
          <w:color w:val="auto"/>
          <w:highlight w:val="none"/>
        </w:rPr>
      </w:pPr>
    </w:p>
    <w:p>
      <w:pPr>
        <w:spacing w:line="400" w:lineRule="exact"/>
        <w:jc w:val="center"/>
        <w:rPr>
          <w:rFonts w:hint="eastAsia" w:ascii="宋体" w:hAnsi="宋体" w:eastAsia="宋体" w:cs="宋体"/>
          <w:b/>
          <w:bCs/>
          <w:color w:val="auto"/>
          <w:highlight w:val="none"/>
        </w:rPr>
      </w:pPr>
    </w:p>
    <w:p>
      <w:pPr>
        <w:spacing w:line="400" w:lineRule="exact"/>
        <w:jc w:val="center"/>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360" w:lineRule="auto"/>
        <w:ind w:firstLine="643" w:firstLineChars="200"/>
        <w:rPr>
          <w:rFonts w:hint="eastAsia" w:ascii="宋体" w:hAnsi="宋体" w:eastAsia="宋体" w:cs="宋体"/>
          <w:b/>
          <w:bCs/>
          <w:color w:val="auto"/>
          <w:sz w:val="32"/>
          <w:szCs w:val="32"/>
          <w:highlight w:val="none"/>
        </w:rPr>
      </w:pPr>
    </w:p>
    <w:p>
      <w:pPr>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w:t>
      </w:r>
      <w:r>
        <w:rPr>
          <w:rFonts w:hint="eastAsia" w:ascii="宋体" w:hAnsi="宋体" w:eastAsia="宋体" w:cs="宋体"/>
          <w:b/>
          <w:bCs/>
          <w:color w:val="auto"/>
          <w:sz w:val="32"/>
          <w:szCs w:val="32"/>
          <w:highlight w:val="none"/>
          <w:lang w:val="en-US" w:eastAsia="zh-CN"/>
        </w:rPr>
        <w:t>单位</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rPr>
        <w:t xml:space="preserve">广州市荔湾区人民政府逢源街道办事处 </w:t>
      </w:r>
    </w:p>
    <w:p>
      <w:pPr>
        <w:spacing w:line="360" w:lineRule="auto"/>
        <w:ind w:firstLine="96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u w:val="single"/>
          <w:lang w:val="en-US" w:eastAsia="zh-CN"/>
        </w:rPr>
        <w:t>中达安股份有限公司</w:t>
      </w:r>
    </w:p>
    <w:p>
      <w:pPr>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日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期：</w:t>
      </w:r>
      <w:r>
        <w:rPr>
          <w:rFonts w:hint="default" w:ascii="宋体" w:hAnsi="宋体" w:eastAsia="宋体" w:cs="宋体"/>
          <w:b/>
          <w:bCs/>
          <w:color w:val="auto"/>
          <w:sz w:val="32"/>
          <w:szCs w:val="32"/>
          <w:highlight w:val="none"/>
          <w:u w:val="single"/>
          <w:lang w:val="en-US" w:eastAsia="zh-CN"/>
        </w:rPr>
        <w:t>2023</w:t>
      </w:r>
      <w:r>
        <w:rPr>
          <w:rFonts w:hint="eastAsia" w:ascii="宋体" w:hAnsi="宋体" w:eastAsia="宋体" w:cs="宋体"/>
          <w:b/>
          <w:bCs/>
          <w:color w:val="auto"/>
          <w:sz w:val="32"/>
          <w:szCs w:val="32"/>
          <w:highlight w:val="none"/>
          <w:lang w:val="en-US" w:eastAsia="zh-CN"/>
        </w:rPr>
        <w:t>年</w:t>
      </w:r>
      <w:r>
        <w:rPr>
          <w:rFonts w:hint="eastAsia" w:ascii="宋体" w:hAnsi="宋体" w:cs="宋体"/>
          <w:b/>
          <w:bCs/>
          <w:color w:val="auto"/>
          <w:sz w:val="32"/>
          <w:szCs w:val="32"/>
          <w:highlight w:val="none"/>
          <w:u w:val="single"/>
          <w:lang w:val="en-US" w:eastAsia="zh-CN"/>
        </w:rPr>
        <w:t>9</w:t>
      </w:r>
      <w:r>
        <w:rPr>
          <w:rFonts w:hint="eastAsia" w:ascii="宋体" w:hAnsi="宋体" w:eastAsia="宋体" w:cs="宋体"/>
          <w:b/>
          <w:bCs/>
          <w:color w:val="auto"/>
          <w:sz w:val="32"/>
          <w:szCs w:val="32"/>
          <w:highlight w:val="none"/>
        </w:rPr>
        <w:t>月</w:t>
      </w:r>
    </w:p>
    <w:p>
      <w:pPr>
        <w:pStyle w:val="10"/>
        <w:adjustRightInd w:val="0"/>
        <w:snapToGrid w:val="0"/>
        <w:spacing w:after="0" w:line="360" w:lineRule="auto"/>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逢源街惠城、泰兴片区微改造（惠城、泰兴社区）项目</w:t>
      </w:r>
      <w:r>
        <w:rPr>
          <w:rFonts w:hint="eastAsia" w:ascii="宋体" w:hAnsi="宋体" w:eastAsia="宋体" w:cs="宋体"/>
          <w:b/>
          <w:bCs w:val="0"/>
          <w:color w:val="auto"/>
          <w:sz w:val="32"/>
          <w:szCs w:val="32"/>
          <w:highlight w:val="none"/>
          <w:lang w:val="en-US" w:eastAsia="zh-CN"/>
        </w:rPr>
        <w:t>微改造</w:t>
      </w:r>
    </w:p>
    <w:p>
      <w:pPr>
        <w:pStyle w:val="10"/>
        <w:adjustRightInd w:val="0"/>
        <w:snapToGrid w:val="0"/>
        <w:spacing w:after="0"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工程勘察设计施工总承包</w:t>
      </w:r>
    </w:p>
    <w:p>
      <w:pPr>
        <w:pStyle w:val="10"/>
        <w:adjustRightInd w:val="0"/>
        <w:snapToGrid w:val="0"/>
        <w:spacing w:after="0"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招标公告</w:t>
      </w:r>
    </w:p>
    <w:p>
      <w:pPr>
        <w:adjustRightInd w:val="0"/>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1.招标条件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b/>
          <w:bCs/>
          <w:color w:val="auto"/>
          <w:sz w:val="24"/>
          <w:highlight w:val="none"/>
          <w:u w:val="single"/>
        </w:rPr>
        <w:t>逢源街惠城、泰兴片区微改造（惠城、泰兴社区）项目</w:t>
      </w:r>
      <w:r>
        <w:rPr>
          <w:rFonts w:hint="eastAsia" w:ascii="宋体" w:hAnsi="宋体" w:eastAsia="宋体" w:cs="宋体"/>
          <w:b/>
          <w:bCs/>
          <w:color w:val="auto"/>
          <w:sz w:val="24"/>
          <w:highlight w:val="none"/>
          <w:u w:val="single"/>
          <w:lang w:val="en-US" w:eastAsia="zh-CN"/>
        </w:rPr>
        <w:t>微改造工程</w:t>
      </w:r>
      <w:r>
        <w:rPr>
          <w:rFonts w:hint="eastAsia" w:ascii="宋体" w:hAnsi="宋体" w:eastAsia="宋体" w:cs="宋体"/>
          <w:color w:val="auto"/>
          <w:sz w:val="24"/>
          <w:highlight w:val="none"/>
        </w:rPr>
        <w:t>已由</w:t>
      </w:r>
      <w:r>
        <w:rPr>
          <w:rFonts w:hint="eastAsia" w:ascii="宋体" w:hAnsi="宋体" w:eastAsia="宋体" w:cs="宋体"/>
          <w:b/>
          <w:bCs/>
          <w:color w:val="auto"/>
          <w:sz w:val="24"/>
          <w:highlight w:val="none"/>
          <w:u w:val="single"/>
          <w:lang w:val="en-US" w:eastAsia="zh-CN"/>
        </w:rPr>
        <w:t>荔发改投批【2023】17号文</w:t>
      </w:r>
      <w:r>
        <w:rPr>
          <w:rFonts w:hint="eastAsia" w:ascii="宋体" w:hAnsi="宋体" w:eastAsia="宋体" w:cs="宋体"/>
          <w:color w:val="auto"/>
          <w:sz w:val="24"/>
          <w:highlight w:val="none"/>
          <w:lang w:val="en-US" w:eastAsia="zh-CN"/>
        </w:rPr>
        <w:t>批准</w:t>
      </w:r>
      <w:r>
        <w:rPr>
          <w:rFonts w:hint="eastAsia" w:ascii="宋体" w:hAnsi="宋体" w:eastAsia="宋体" w:cs="宋体"/>
          <w:color w:val="auto"/>
          <w:sz w:val="24"/>
          <w:highlight w:val="none"/>
        </w:rPr>
        <w:t>实施建设，招标人为</w:t>
      </w:r>
      <w:r>
        <w:rPr>
          <w:rFonts w:hint="eastAsia" w:ascii="宋体" w:hAnsi="宋体" w:eastAsia="宋体" w:cs="宋体"/>
          <w:b/>
          <w:bCs/>
          <w:color w:val="auto"/>
          <w:sz w:val="24"/>
          <w:highlight w:val="none"/>
          <w:u w:val="single"/>
        </w:rPr>
        <w:t>广州市荔湾区人民政府逢源街道办事处</w:t>
      </w:r>
      <w:r>
        <w:rPr>
          <w:rFonts w:hint="eastAsia" w:ascii="宋体" w:hAnsi="宋体" w:eastAsia="宋体" w:cs="宋体"/>
          <w:color w:val="auto"/>
          <w:sz w:val="24"/>
          <w:highlight w:val="none"/>
        </w:rPr>
        <w:t>，建设资金来自</w:t>
      </w:r>
      <w:r>
        <w:rPr>
          <w:rFonts w:hint="eastAsia" w:ascii="宋体" w:hAnsi="宋体" w:eastAsia="宋体" w:cs="宋体"/>
          <w:b/>
          <w:bCs/>
          <w:color w:val="auto"/>
          <w:sz w:val="24"/>
          <w:highlight w:val="none"/>
          <w:u w:val="single"/>
          <w:lang w:val="en-US" w:eastAsia="zh-CN"/>
        </w:rPr>
        <w:t>区财政资金</w:t>
      </w:r>
      <w:r>
        <w:rPr>
          <w:rFonts w:hint="eastAsia" w:ascii="宋体" w:hAnsi="宋体" w:eastAsia="宋体" w:cs="宋体"/>
          <w:color w:val="auto"/>
          <w:sz w:val="24"/>
          <w:highlight w:val="none"/>
        </w:rPr>
        <w:t>，项目出资比例为</w:t>
      </w:r>
      <w:r>
        <w:rPr>
          <w:rFonts w:hint="eastAsia" w:ascii="宋体" w:hAnsi="宋体" w:eastAsia="宋体" w:cs="宋体"/>
          <w:b/>
          <w:bCs/>
          <w:color w:val="auto"/>
          <w:sz w:val="24"/>
          <w:highlight w:val="none"/>
          <w:u w:val="single"/>
        </w:rPr>
        <w:t>100%</w:t>
      </w:r>
      <w:r>
        <w:rPr>
          <w:rFonts w:hint="eastAsia" w:ascii="宋体" w:hAnsi="宋体" w:eastAsia="宋体" w:cs="宋体"/>
          <w:color w:val="auto"/>
          <w:sz w:val="24"/>
          <w:highlight w:val="none"/>
        </w:rPr>
        <w:t>，项目已具备招标条件，现对该项目的</w:t>
      </w:r>
      <w:r>
        <w:rPr>
          <w:rFonts w:hint="eastAsia" w:ascii="宋体" w:hAnsi="宋体" w:eastAsia="宋体" w:cs="宋体"/>
          <w:b/>
          <w:bCs/>
          <w:color w:val="auto"/>
          <w:sz w:val="24"/>
          <w:highlight w:val="none"/>
          <w:u w:val="single"/>
          <w:lang w:val="en-US" w:eastAsia="zh-CN"/>
        </w:rPr>
        <w:t>勘察设计施工总承包</w:t>
      </w:r>
      <w:r>
        <w:rPr>
          <w:rFonts w:hint="eastAsia" w:ascii="宋体" w:hAnsi="宋体" w:eastAsia="宋体" w:cs="宋体"/>
          <w:color w:val="auto"/>
          <w:sz w:val="24"/>
          <w:highlight w:val="none"/>
        </w:rPr>
        <w:t>进行公开招标。</w:t>
      </w:r>
    </w:p>
    <w:p>
      <w:pPr>
        <w:adjustRightInd w:val="0"/>
        <w:snapToGrid w:val="0"/>
        <w:spacing w:line="360" w:lineRule="auto"/>
        <w:ind w:firstLine="0" w:firstLineChars="0"/>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rPr>
        <w:t>2.项目概况与招标范围：</w:t>
      </w:r>
    </w:p>
    <w:p>
      <w:pPr>
        <w:adjustRightInd w:val="0"/>
        <w:snapToGrid w:val="0"/>
        <w:spacing w:line="360" w:lineRule="auto"/>
        <w:ind w:firstLine="482" w:firstLineChars="200"/>
        <w:jc w:val="left"/>
        <w:rPr>
          <w:rFonts w:hint="eastAsia" w:ascii="宋体" w:hAnsi="宋体" w:eastAsia="宋体" w:cs="宋体"/>
          <w:b w:val="0"/>
          <w:bCs/>
          <w:color w:val="auto"/>
          <w:sz w:val="24"/>
          <w:highlight w:val="none"/>
          <w:u w:val="single"/>
        </w:rPr>
      </w:pPr>
      <w:r>
        <w:rPr>
          <w:rFonts w:hint="eastAsia" w:ascii="宋体" w:hAnsi="宋体" w:eastAsia="宋体" w:cs="宋体"/>
          <w:b/>
          <w:color w:val="auto"/>
          <w:sz w:val="24"/>
          <w:highlight w:val="none"/>
        </w:rPr>
        <w:t>2.1 工程建设地点：</w:t>
      </w:r>
      <w:r>
        <w:rPr>
          <w:rFonts w:hint="eastAsia" w:ascii="宋体" w:hAnsi="宋体" w:eastAsia="宋体" w:cs="宋体"/>
          <w:b w:val="0"/>
          <w:bCs/>
          <w:color w:val="auto"/>
          <w:sz w:val="24"/>
          <w:highlight w:val="none"/>
          <w:u w:val="single"/>
        </w:rPr>
        <w:t>项目位于广州市荔湾区逢源街道泰兴、惠城社区范围内</w:t>
      </w:r>
    </w:p>
    <w:p>
      <w:pPr>
        <w:adjustRightInd w:val="0"/>
        <w:snapToGrid w:val="0"/>
        <w:spacing w:line="360" w:lineRule="auto"/>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2.2项目概况及规模：</w:t>
      </w:r>
      <w:r>
        <w:rPr>
          <w:rFonts w:hint="eastAsia" w:ascii="宋体" w:hAnsi="宋体" w:eastAsia="宋体" w:cs="宋体"/>
          <w:b w:val="0"/>
          <w:bCs/>
          <w:color w:val="auto"/>
          <w:sz w:val="24"/>
          <w:highlight w:val="none"/>
          <w:u w:val="single"/>
          <w:lang w:val="en-US" w:eastAsia="zh-CN"/>
        </w:rPr>
        <w:t>本项目微改造范围为逢源街惠城社区、泰兴社区2个社区，改造范围</w:t>
      </w:r>
      <w:r>
        <w:rPr>
          <w:rFonts w:hint="eastAsia" w:ascii="宋体" w:hAnsi="宋体" w:eastAsia="宋体" w:cs="宋体"/>
          <w:b w:val="0"/>
          <w:bCs/>
          <w:color w:val="auto"/>
          <w:sz w:val="24"/>
          <w:highlight w:val="none"/>
          <w:u w:val="single"/>
        </w:rPr>
        <w:t>东至康王中路，南至田料古道，西至文昌北路，北至龙津中路。项目用地总面积约11公顷，总建筑面积60000㎡，涉及</w:t>
      </w:r>
      <w:r>
        <w:rPr>
          <w:rFonts w:hint="eastAsia" w:ascii="宋体" w:hAnsi="宋体" w:eastAsia="宋体" w:cs="宋体"/>
          <w:b w:val="0"/>
          <w:bCs/>
          <w:color w:val="auto"/>
          <w:sz w:val="24"/>
          <w:highlight w:val="none"/>
          <w:u w:val="single"/>
          <w:lang w:val="en-US" w:eastAsia="zh-CN"/>
        </w:rPr>
        <w:t>777栋房屋，</w:t>
      </w:r>
      <w:r>
        <w:rPr>
          <w:rFonts w:hint="eastAsia" w:ascii="宋体" w:hAnsi="宋体" w:eastAsia="宋体" w:cs="宋体"/>
          <w:b w:val="0"/>
          <w:bCs/>
          <w:color w:val="auto"/>
          <w:sz w:val="24"/>
          <w:highlight w:val="none"/>
          <w:u w:val="single"/>
        </w:rPr>
        <w:t>2913户</w:t>
      </w:r>
      <w:r>
        <w:rPr>
          <w:rFonts w:hint="eastAsia" w:ascii="宋体" w:hAnsi="宋体" w:eastAsia="宋体" w:cs="宋体"/>
          <w:b w:val="0"/>
          <w:bCs/>
          <w:color w:val="auto"/>
          <w:sz w:val="24"/>
          <w:highlight w:val="none"/>
          <w:u w:val="single"/>
          <w:lang w:eastAsia="zh-CN"/>
        </w:rPr>
        <w:t>。</w:t>
      </w:r>
      <w:r>
        <w:rPr>
          <w:rFonts w:hint="eastAsia" w:ascii="宋体" w:hAnsi="宋体" w:eastAsia="宋体" w:cs="宋体"/>
          <w:b w:val="0"/>
          <w:bCs/>
          <w:color w:val="auto"/>
          <w:sz w:val="24"/>
          <w:highlight w:val="none"/>
          <w:u w:val="single"/>
          <w:lang w:val="en-US" w:eastAsia="zh-CN"/>
        </w:rPr>
        <w:t>改造内容主要包括建筑房屋本体部分的楼道修缮及照明、三线整治、楼栋消防及排水设施改造、适老化设施改造、化粪池清疏、外立面整饰等，以及公共空间部分的三线整治、围墙修缮、地面铺装、绿化等。</w:t>
      </w:r>
    </w:p>
    <w:p>
      <w:pPr>
        <w:adjustRightInd w:val="0"/>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项目总投资：</w:t>
      </w:r>
      <w:r>
        <w:rPr>
          <w:rFonts w:hint="eastAsia" w:ascii="宋体" w:hAnsi="宋体" w:eastAsia="宋体" w:cs="宋体"/>
          <w:b w:val="0"/>
          <w:bCs/>
          <w:color w:val="000000"/>
          <w:sz w:val="24"/>
          <w:highlight w:val="none"/>
          <w:u w:val="single"/>
          <w:lang w:val="en-US" w:eastAsia="zh-CN"/>
        </w:rPr>
        <w:t>5314.85</w:t>
      </w:r>
      <w:r>
        <w:rPr>
          <w:rFonts w:hint="eastAsia" w:ascii="宋体" w:hAnsi="宋体" w:eastAsia="宋体" w:cs="宋体"/>
          <w:b w:val="0"/>
          <w:bCs/>
          <w:color w:val="000000"/>
          <w:sz w:val="24"/>
          <w:highlight w:val="none"/>
          <w:u w:val="none"/>
        </w:rPr>
        <w:t>万元</w:t>
      </w:r>
      <w:r>
        <w:rPr>
          <w:rFonts w:hint="eastAsia" w:ascii="宋体" w:hAnsi="宋体" w:eastAsia="宋体" w:cs="宋体"/>
          <w:bCs/>
          <w:color w:val="auto"/>
          <w:sz w:val="24"/>
          <w:highlight w:val="none"/>
          <w:u w:val="none"/>
        </w:rPr>
        <w:t xml:space="preserve"> </w:t>
      </w:r>
    </w:p>
    <w:p>
      <w:pPr>
        <w:adjustRightInd w:val="0"/>
        <w:snapToGrid w:val="0"/>
        <w:spacing w:line="360" w:lineRule="auto"/>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2.3 计划工期：</w:t>
      </w:r>
      <w:r>
        <w:rPr>
          <w:rFonts w:hint="eastAsia" w:ascii="宋体" w:hAnsi="宋体" w:eastAsia="宋体" w:cs="宋体"/>
          <w:b w:val="0"/>
          <w:bCs/>
          <w:color w:val="000000"/>
          <w:sz w:val="24"/>
          <w:highlight w:val="none"/>
          <w:u w:val="single"/>
        </w:rPr>
        <w:t>暂定总工期</w:t>
      </w:r>
      <w:r>
        <w:rPr>
          <w:rFonts w:hint="eastAsia" w:ascii="宋体" w:hAnsi="宋体" w:eastAsia="宋体" w:cs="宋体"/>
          <w:b w:val="0"/>
          <w:bCs/>
          <w:color w:val="000000"/>
          <w:sz w:val="24"/>
          <w:highlight w:val="none"/>
          <w:u w:val="single"/>
          <w:lang w:val="en-US" w:eastAsia="zh-CN"/>
        </w:rPr>
        <w:t>34</w:t>
      </w:r>
      <w:r>
        <w:rPr>
          <w:rFonts w:hint="eastAsia" w:ascii="宋体" w:hAnsi="宋体" w:eastAsia="宋体" w:cs="宋体"/>
          <w:b w:val="0"/>
          <w:bCs/>
          <w:color w:val="000000"/>
          <w:sz w:val="24"/>
          <w:highlight w:val="none"/>
          <w:u w:val="single"/>
        </w:rPr>
        <w:t>个月，具体详见合同。</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招标范围：</w:t>
      </w:r>
    </w:p>
    <w:p>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2.4.1标段划分：</w:t>
      </w:r>
      <w:r>
        <w:rPr>
          <w:rFonts w:hint="eastAsia" w:ascii="宋体" w:hAnsi="宋体" w:eastAsia="宋体" w:cs="宋体"/>
          <w:color w:val="auto"/>
          <w:sz w:val="24"/>
          <w:highlight w:val="none"/>
        </w:rPr>
        <w:t>本工程设</w:t>
      </w: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rPr>
        <w:t>个标段。</w:t>
      </w:r>
    </w:p>
    <w:p>
      <w:pPr>
        <w:pStyle w:val="3"/>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2.4.2招标内容：</w:t>
      </w:r>
    </w:p>
    <w:p>
      <w:pPr>
        <w:pStyle w:val="3"/>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sz w:val="24"/>
          <w:highlight w:val="none"/>
          <w:u w:val="single"/>
          <w:lang w:val="en-US" w:eastAsia="zh-CN"/>
        </w:rPr>
        <w:t>勘察</w:t>
      </w:r>
      <w:r>
        <w:rPr>
          <w:rFonts w:hint="eastAsia" w:ascii="宋体" w:hAnsi="宋体" w:eastAsia="宋体" w:cs="宋体"/>
          <w:color w:val="auto"/>
          <w:sz w:val="24"/>
          <w:highlight w:val="none"/>
          <w:u w:val="single"/>
        </w:rPr>
        <w:t>部分包括但不限于：</w:t>
      </w:r>
    </w:p>
    <w:p>
      <w:pPr>
        <w:pStyle w:val="3"/>
        <w:spacing w:line="360" w:lineRule="auto"/>
        <w:ind w:firstLine="48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包括但不限于进行工程勘察[工程测量、工程物探（含施工前管线探测和管线竣工测量）、地形实测（含1:500现状地形图实测）、建筑立面</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楼道</w:t>
      </w:r>
      <w:r>
        <w:rPr>
          <w:rFonts w:hint="eastAsia" w:ascii="宋体" w:hAnsi="宋体" w:eastAsia="宋体" w:cs="宋体"/>
          <w:color w:val="auto"/>
          <w:sz w:val="24"/>
          <w:highlight w:val="none"/>
          <w:u w:val="single"/>
          <w:lang w:eastAsia="zh-CN"/>
        </w:rPr>
        <w:t>测绘、基准点]岩土勘察等后续所有勘察现场服务工作。</w:t>
      </w:r>
    </w:p>
    <w:p>
      <w:pPr>
        <w:pStyle w:val="3"/>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）设计部分包括但不限于：</w:t>
      </w:r>
    </w:p>
    <w:p>
      <w:pPr>
        <w:pStyle w:val="3"/>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包括不限于</w:t>
      </w:r>
      <w:r>
        <w:rPr>
          <w:rFonts w:hint="eastAsia" w:ascii="宋体" w:hAnsi="宋体" w:eastAsia="宋体" w:cs="宋体"/>
          <w:color w:val="auto"/>
          <w:sz w:val="24"/>
          <w:highlight w:val="none"/>
          <w:u w:val="single"/>
          <w:lang w:val="en-US" w:eastAsia="zh-CN"/>
        </w:rPr>
        <w:t>设计</w:t>
      </w:r>
      <w:r>
        <w:rPr>
          <w:rFonts w:hint="eastAsia" w:ascii="宋体" w:hAnsi="宋体" w:eastAsia="宋体" w:cs="宋体"/>
          <w:color w:val="auto"/>
          <w:sz w:val="24"/>
          <w:highlight w:val="none"/>
          <w:u w:val="single"/>
        </w:rPr>
        <w:t>方案、方案估算；初步设计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含概算）</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施工图设计、配合施工图审查及备案（如有）、竣工图编制；协助招标人办理规划报建等报批报建工作、配合完成验收工作、施工配合服务及后续服务工作等。</w:t>
      </w:r>
    </w:p>
    <w:p>
      <w:pPr>
        <w:pStyle w:val="3"/>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）施工部分</w:t>
      </w:r>
    </w:p>
    <w:p>
      <w:pPr>
        <w:pStyle w:val="3"/>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按照招标文件及合同约定的范围和发包人批复的施工图进行施工总承包，具体包括但不限于</w:t>
      </w:r>
      <w:r>
        <w:rPr>
          <w:rFonts w:hint="eastAsia" w:ascii="宋体" w:hAnsi="宋体" w:eastAsia="宋体" w:cs="宋体"/>
          <w:color w:val="auto"/>
          <w:sz w:val="24"/>
          <w:highlight w:val="none"/>
          <w:u w:val="single"/>
          <w:lang w:eastAsia="zh-CN"/>
        </w:rPr>
        <w:t>实施过程中的深化设计、</w:t>
      </w:r>
      <w:r>
        <w:rPr>
          <w:rFonts w:hint="eastAsia" w:ascii="宋体" w:hAnsi="宋体" w:eastAsia="宋体" w:cs="宋体"/>
          <w:color w:val="auto"/>
          <w:sz w:val="24"/>
          <w:highlight w:val="none"/>
          <w:u w:val="single"/>
          <w:lang w:val="en-US" w:eastAsia="zh-CN"/>
        </w:rPr>
        <w:t>建筑房屋本体部分（如</w:t>
      </w:r>
      <w:r>
        <w:rPr>
          <w:rFonts w:hint="eastAsia" w:ascii="宋体" w:hAnsi="宋体" w:eastAsia="宋体" w:cs="宋体"/>
          <w:b w:val="0"/>
          <w:bCs w:val="0"/>
          <w:color w:val="auto"/>
          <w:sz w:val="24"/>
          <w:szCs w:val="24"/>
          <w:highlight w:val="none"/>
          <w:u w:val="single"/>
          <w:lang w:val="en-US" w:eastAsia="zh-CN"/>
        </w:rPr>
        <w:t>基础、柱、梁、板等</w:t>
      </w:r>
      <w:r>
        <w:rPr>
          <w:rFonts w:hint="eastAsia" w:ascii="宋体" w:hAnsi="宋体" w:eastAsia="宋体" w:cs="宋体"/>
          <w:color w:val="auto"/>
          <w:sz w:val="24"/>
          <w:highlight w:val="none"/>
          <w:u w:val="single"/>
          <w:lang w:val="en-US" w:eastAsia="zh-CN"/>
        </w:rPr>
        <w:t>）的结构加固、楼道修缮及照明、三线整治、楼栋消防及排水设施改造、适老化设施改造、化粪池清疏、外立面整饰等，以及公共空间部分的三线整治、围墙修缮、地面铺装、绿化等（</w:t>
      </w:r>
      <w:r>
        <w:rPr>
          <w:rFonts w:hint="eastAsia" w:ascii="宋体" w:hAnsi="宋体"/>
          <w:color w:val="auto"/>
          <w:sz w:val="24"/>
          <w:szCs w:val="24"/>
          <w:highlight w:val="none"/>
          <w:u w:val="single"/>
        </w:rPr>
        <w:t>具体以</w:t>
      </w:r>
      <w:r>
        <w:rPr>
          <w:rFonts w:hint="eastAsia" w:ascii="宋体" w:hAnsi="宋体"/>
          <w:color w:val="auto"/>
          <w:sz w:val="24"/>
          <w:szCs w:val="24"/>
          <w:highlight w:val="none"/>
          <w:u w:val="single"/>
          <w:lang w:val="en-US" w:eastAsia="zh-CN"/>
        </w:rPr>
        <w:t>招标人提供的</w:t>
      </w:r>
      <w:r>
        <w:rPr>
          <w:rFonts w:hint="eastAsia" w:ascii="宋体" w:hAnsi="宋体"/>
          <w:color w:val="auto"/>
          <w:sz w:val="24"/>
          <w:szCs w:val="24"/>
          <w:highlight w:val="none"/>
          <w:u w:val="single"/>
        </w:rPr>
        <w:t>招标图纸、工程量清单及招标过程中所发出的相关文件所包含的全部内容为准）</w:t>
      </w:r>
      <w:r>
        <w:rPr>
          <w:rFonts w:hint="eastAsia" w:ascii="宋体" w:hAnsi="宋体" w:eastAsia="宋体" w:cs="宋体"/>
          <w:color w:val="auto"/>
          <w:sz w:val="24"/>
          <w:highlight w:val="none"/>
          <w:u w:val="single"/>
          <w:lang w:val="en-US" w:eastAsia="zh-CN"/>
        </w:rPr>
        <w:t>。</w:t>
      </w:r>
    </w:p>
    <w:p>
      <w:pPr>
        <w:pStyle w:val="2"/>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szCs w:val="22"/>
          <w:highlight w:val="none"/>
          <w:lang w:val="en-US"/>
        </w:rPr>
        <w:t>2.5 其他事项</w:t>
      </w:r>
    </w:p>
    <w:p>
      <w:pPr>
        <w:widowControl/>
        <w:tabs>
          <w:tab w:val="left" w:pos="105"/>
        </w:tabs>
        <w:adjustRightInd w:val="0"/>
        <w:snapToGrid w:val="0"/>
        <w:spacing w:line="360" w:lineRule="auto"/>
        <w:ind w:firstLine="480" w:firstLineChars="200"/>
        <w:jc w:val="left"/>
        <w:rPr>
          <w:rFonts w:hint="default" w:ascii="宋体" w:hAnsi="宋体" w:eastAsia="宋体" w:cs="宋体"/>
          <w:b/>
          <w:color w:val="auto"/>
          <w:sz w:val="24"/>
          <w:highlight w:val="none"/>
          <w:lang w:val="en-US" w:eastAsia="zh-CN"/>
        </w:rPr>
      </w:pPr>
      <w:r>
        <w:rPr>
          <w:rFonts w:hint="eastAsia" w:ascii="宋体" w:hAnsi="宋体" w:eastAsia="宋体" w:cs="宋体"/>
          <w:color w:val="auto"/>
          <w:sz w:val="24"/>
          <w:highlight w:val="none"/>
        </w:rPr>
        <w:t>2.5.1前期服务机构</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lang w:val="en-US" w:eastAsia="zh-CN"/>
        </w:rPr>
        <w:t>中达安股份有限公司</w:t>
      </w:r>
      <w:r>
        <w:rPr>
          <w:rFonts w:hint="eastAsia" w:ascii="宋体" w:hAnsi="宋体" w:eastAsia="宋体" w:cs="宋体"/>
          <w:color w:val="auto"/>
          <w:sz w:val="24"/>
          <w:highlight w:val="none"/>
          <w:u w:val="single"/>
        </w:rPr>
        <w:t>（可行性研究报告编制单位）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广州市城市更新规划设计研究院有限公司（实施方案编制单位）</w:t>
      </w:r>
    </w:p>
    <w:p>
      <w:pPr>
        <w:widowControl/>
        <w:tabs>
          <w:tab w:val="left" w:pos="105"/>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2.5.2投标时是否需要提交设计模型：</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w:t>
      </w:r>
    </w:p>
    <w:p>
      <w:pPr>
        <w:widowControl/>
        <w:tabs>
          <w:tab w:val="left" w:pos="105"/>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2.5.3有关企业信用档案的办理事宜，详见广州市住建行业信用管理平台施工企业信息录入指引。</w:t>
      </w:r>
    </w:p>
    <w:p>
      <w:pPr>
        <w:widowControl/>
        <w:tabs>
          <w:tab w:val="left" w:pos="105"/>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2.5.4投标人须保证其提供投标资料的真实性，招标人有权在招标的任何阶段进行调查和核实，一旦发现虚假，将上报建设管理部门及相关部门严肃查处。</w:t>
      </w:r>
    </w:p>
    <w:p>
      <w:pPr>
        <w:widowControl/>
        <w:tabs>
          <w:tab w:val="left" w:pos="105"/>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2.5.5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pPr>
        <w:pStyle w:val="2"/>
        <w:adjustRightInd w:val="0"/>
        <w:snapToGrid w:val="0"/>
        <w:spacing w:line="360" w:lineRule="auto"/>
        <w:ind w:firstLine="200"/>
        <w:rPr>
          <w:rFonts w:hint="eastAsia" w:ascii="宋体" w:hAnsi="宋体" w:eastAsia="宋体" w:cs="宋体"/>
          <w:b/>
          <w:color w:val="auto"/>
          <w:sz w:val="24"/>
          <w:highlight w:val="none"/>
        </w:rPr>
      </w:pPr>
      <w:r>
        <w:rPr>
          <w:rFonts w:hint="eastAsia" w:ascii="宋体" w:hAnsi="宋体" w:eastAsia="宋体" w:cs="宋体"/>
          <w:b/>
          <w:color w:val="auto"/>
          <w:sz w:val="24"/>
          <w:szCs w:val="22"/>
          <w:highlight w:val="none"/>
          <w:lang w:val="en-US"/>
        </w:rPr>
        <w:t>2.6投标限价</w:t>
      </w:r>
    </w:p>
    <w:p>
      <w:pPr>
        <w:widowControl/>
        <w:tabs>
          <w:tab w:val="left" w:pos="105"/>
        </w:tabs>
        <w:adjustRightInd w:val="0"/>
        <w:snapToGrid w:val="0"/>
        <w:spacing w:line="360" w:lineRule="auto"/>
        <w:ind w:right="-143" w:rightChars="-68"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本项目最高投标限价为人民币</w:t>
      </w:r>
      <w:r>
        <w:rPr>
          <w:rFonts w:hint="eastAsia" w:ascii="宋体" w:hAnsi="宋体" w:eastAsia="宋体" w:cs="宋体"/>
          <w:b/>
          <w:bCs/>
          <w:color w:val="auto"/>
          <w:sz w:val="24"/>
          <w:highlight w:val="none"/>
          <w:u w:val="single"/>
          <w:lang w:val="en-US" w:eastAsia="zh-CN"/>
        </w:rPr>
        <w:t>44027100.00</w:t>
      </w:r>
      <w:r>
        <w:rPr>
          <w:rFonts w:hint="eastAsia" w:ascii="宋体" w:hAnsi="宋体" w:eastAsia="宋体" w:cs="宋体"/>
          <w:b/>
          <w:bCs/>
          <w:color w:val="auto"/>
          <w:sz w:val="24"/>
          <w:highlight w:val="none"/>
        </w:rPr>
        <w:t>元；其中：</w:t>
      </w:r>
      <w:r>
        <w:rPr>
          <w:rFonts w:hint="eastAsia" w:ascii="宋体" w:hAnsi="宋体" w:cs="宋体"/>
          <w:b/>
          <w:bCs/>
          <w:color w:val="auto"/>
          <w:sz w:val="24"/>
          <w:szCs w:val="24"/>
          <w:highlight w:val="none"/>
          <w:u w:val="none"/>
        </w:rPr>
        <w:t>勘察费投标最高限价为</w:t>
      </w:r>
      <w:r>
        <w:rPr>
          <w:rFonts w:hint="eastAsia" w:ascii="宋体" w:hAnsi="宋体" w:cs="宋体"/>
          <w:b/>
          <w:bCs/>
          <w:color w:val="auto"/>
          <w:sz w:val="24"/>
          <w:szCs w:val="24"/>
          <w:highlight w:val="none"/>
          <w:u w:val="single"/>
          <w:lang w:val="en-US" w:eastAsia="zh-CN"/>
        </w:rPr>
        <w:t>418000.00</w:t>
      </w:r>
      <w:r>
        <w:rPr>
          <w:rFonts w:hint="eastAsia" w:ascii="宋体" w:hAnsi="宋体" w:cs="宋体"/>
          <w:b/>
          <w:bCs/>
          <w:color w:val="auto"/>
          <w:sz w:val="24"/>
          <w:szCs w:val="24"/>
          <w:highlight w:val="none"/>
          <w:u w:val="none"/>
        </w:rPr>
        <w:t>元</w:t>
      </w:r>
      <w:r>
        <w:rPr>
          <w:rFonts w:hint="eastAsia" w:ascii="宋体" w:hAnsi="宋体" w:cs="宋体"/>
          <w:color w:val="auto"/>
          <w:sz w:val="24"/>
          <w:szCs w:val="24"/>
          <w:highlight w:val="none"/>
          <w:u w:val="none"/>
          <w:lang w:eastAsia="zh-CN"/>
        </w:rPr>
        <w:t>；</w:t>
      </w:r>
      <w:r>
        <w:rPr>
          <w:rFonts w:hint="eastAsia" w:ascii="宋体" w:hAnsi="宋体" w:eastAsia="宋体" w:cs="宋体"/>
          <w:b/>
          <w:bCs/>
          <w:color w:val="auto"/>
          <w:sz w:val="24"/>
          <w:highlight w:val="none"/>
        </w:rPr>
        <w:t>设计费投标最高限价为人民币</w:t>
      </w:r>
      <w:r>
        <w:rPr>
          <w:rFonts w:hint="eastAsia" w:ascii="宋体" w:hAnsi="宋体" w:eastAsia="宋体" w:cs="宋体"/>
          <w:b/>
          <w:bCs/>
          <w:color w:val="auto"/>
          <w:sz w:val="24"/>
          <w:highlight w:val="none"/>
          <w:u w:val="single"/>
          <w:lang w:val="en-US" w:eastAsia="zh-CN"/>
        </w:rPr>
        <w:t>1805000.00</w:t>
      </w:r>
      <w:r>
        <w:rPr>
          <w:rFonts w:hint="eastAsia" w:ascii="宋体" w:hAnsi="宋体" w:eastAsia="宋体" w:cs="宋体"/>
          <w:b/>
          <w:bCs/>
          <w:color w:val="auto"/>
          <w:sz w:val="24"/>
          <w:highlight w:val="none"/>
        </w:rPr>
        <w:t>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建筑安装工程费最高投标限价为人民币</w:t>
      </w:r>
      <w:r>
        <w:rPr>
          <w:rFonts w:hint="eastAsia" w:ascii="宋体" w:hAnsi="宋体" w:eastAsia="宋体" w:cs="宋体"/>
          <w:b/>
          <w:bCs/>
          <w:color w:val="auto"/>
          <w:sz w:val="24"/>
          <w:highlight w:val="none"/>
          <w:u w:val="single"/>
          <w:lang w:val="en-US" w:eastAsia="zh-CN"/>
        </w:rPr>
        <w:t>41804100.00</w:t>
      </w:r>
      <w:r>
        <w:rPr>
          <w:rFonts w:hint="eastAsia" w:ascii="宋体" w:hAnsi="宋体" w:eastAsia="宋体" w:cs="宋体"/>
          <w:b/>
          <w:bCs/>
          <w:color w:val="auto"/>
          <w:sz w:val="24"/>
          <w:highlight w:val="none"/>
          <w:u w:val="none"/>
          <w:lang w:val="en-US" w:eastAsia="zh-CN"/>
        </w:rPr>
        <w:t>元</w:t>
      </w:r>
      <w:r>
        <w:rPr>
          <w:rFonts w:hint="eastAsia" w:ascii="宋体" w:hAnsi="宋体" w:eastAsia="宋体" w:cs="宋体"/>
          <w:b/>
          <w:bCs/>
          <w:color w:val="auto"/>
          <w:sz w:val="24"/>
          <w:highlight w:val="none"/>
          <w:u w:val="none"/>
        </w:rPr>
        <w:t xml:space="preserve"> </w:t>
      </w:r>
      <w:r>
        <w:rPr>
          <w:rFonts w:hint="eastAsia" w:ascii="宋体" w:hAnsi="宋体" w:eastAsia="宋体" w:cs="宋体"/>
          <w:b/>
          <w:bCs/>
          <w:color w:val="auto"/>
          <w:sz w:val="24"/>
          <w:highlight w:val="none"/>
          <w:u w:val="none"/>
          <w:lang w:eastAsia="zh-CN"/>
        </w:rPr>
        <w:t>。</w:t>
      </w:r>
    </w:p>
    <w:p>
      <w:pPr>
        <w:widowControl/>
        <w:tabs>
          <w:tab w:val="left" w:pos="105"/>
        </w:tabs>
        <w:adjustRightInd w:val="0"/>
        <w:snapToGrid w:val="0"/>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注：（1）设计投标经济补偿：本工程不设投标补偿，投标费用由投标人自理（包括但不限于未中标的投标单位的设计方案，初步设计的设计费用等）；</w:t>
      </w:r>
    </w:p>
    <w:p>
      <w:pPr>
        <w:widowControl/>
        <w:tabs>
          <w:tab w:val="left" w:pos="105"/>
        </w:tabs>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投标报价超过任一对应的招标控制价的投标文件将被拒绝</w:t>
      </w:r>
      <w:r>
        <w:rPr>
          <w:rFonts w:hint="eastAsia" w:ascii="宋体" w:hAnsi="宋体" w:eastAsia="宋体" w:cs="宋体"/>
          <w:b/>
          <w:bCs/>
          <w:color w:val="auto"/>
          <w:sz w:val="24"/>
          <w:szCs w:val="24"/>
          <w:highlight w:val="none"/>
          <w:lang w:eastAsia="zh-CN"/>
        </w:rPr>
        <w:t>。</w:t>
      </w:r>
    </w:p>
    <w:p>
      <w:pPr>
        <w:pStyle w:val="26"/>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3.投标人资格要求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 本次招标要求投标人须同时具备以下资格要求：</w:t>
      </w:r>
    </w:p>
    <w:p>
      <w:pPr>
        <w:widowControl/>
        <w:spacing w:line="360" w:lineRule="auto"/>
        <w:ind w:firstLine="480" w:firstLineChars="200"/>
        <w:rPr>
          <w:rFonts w:ascii="宋体" w:cs="宋体"/>
          <w:color w:val="auto"/>
          <w:sz w:val="24"/>
          <w:szCs w:val="24"/>
          <w:highlight w:val="none"/>
          <w:u w:val="single"/>
        </w:rPr>
      </w:pPr>
      <w:r>
        <w:rPr>
          <w:rFonts w:hint="eastAsia" w:eastAsia="宋体" w:cs="宋体"/>
          <w:b w:val="0"/>
          <w:bCs/>
          <w:color w:val="auto"/>
          <w:sz w:val="24"/>
          <w:szCs w:val="24"/>
          <w:highlight w:val="none"/>
          <w:u w:val="none"/>
          <w:lang w:val="en-US" w:eastAsia="zh-CN"/>
        </w:rPr>
        <w:t>3.1.1</w:t>
      </w:r>
      <w:r>
        <w:rPr>
          <w:rFonts w:hint="eastAsia" w:ascii="宋体" w:cs="宋体"/>
          <w:bCs/>
          <w:color w:val="auto"/>
          <w:sz w:val="24"/>
          <w:szCs w:val="24"/>
          <w:highlight w:val="none"/>
          <w:u w:val="none"/>
        </w:rPr>
        <w:t>工程勘察资质：</w:t>
      </w:r>
      <w:r>
        <w:rPr>
          <w:rFonts w:hint="eastAsia" w:ascii="宋体" w:cs="宋体"/>
          <w:color w:val="auto"/>
          <w:sz w:val="24"/>
          <w:szCs w:val="24"/>
          <w:highlight w:val="none"/>
          <w:u w:val="single"/>
        </w:rPr>
        <w:t>工程勘察综合资质甲级，或同时具有工程勘察专业类（岩土工程</w:t>
      </w:r>
      <w:r>
        <w:rPr>
          <w:rFonts w:hint="eastAsia" w:ascii="宋体" w:cs="宋体"/>
          <w:color w:val="auto"/>
          <w:sz w:val="24"/>
          <w:szCs w:val="24"/>
          <w:highlight w:val="none"/>
          <w:u w:val="single"/>
          <w:lang w:val="en-US" w:eastAsia="zh-CN"/>
        </w:rPr>
        <w:t>勘察</w:t>
      </w:r>
      <w:r>
        <w:rPr>
          <w:rFonts w:hint="eastAsia" w:ascii="宋体" w:cs="宋体"/>
          <w:color w:val="auto"/>
          <w:sz w:val="24"/>
          <w:szCs w:val="24"/>
          <w:highlight w:val="none"/>
          <w:u w:val="single"/>
        </w:rPr>
        <w:t>）乙级（或以上）资质和工程勘察专业类（工程测量）乙级（或以上）资质,或已备案的香港企业。</w:t>
      </w:r>
    </w:p>
    <w:p>
      <w:pPr>
        <w:widowControl/>
        <w:spacing w:line="360" w:lineRule="auto"/>
        <w:ind w:firstLine="480" w:firstLineChars="200"/>
        <w:rPr>
          <w:rFonts w:hint="eastAsia" w:ascii="宋体"/>
          <w:color w:val="auto"/>
          <w:sz w:val="24"/>
          <w:szCs w:val="24"/>
          <w:highlight w:val="none"/>
          <w:u w:val="single"/>
        </w:rPr>
      </w:pPr>
      <w:r>
        <w:rPr>
          <w:rFonts w:hint="eastAsia" w:ascii="宋体" w:cs="宋体"/>
          <w:color w:val="auto"/>
          <w:sz w:val="24"/>
          <w:szCs w:val="24"/>
          <w:highlight w:val="none"/>
          <w:u w:val="single"/>
        </w:rPr>
        <w:t>香港企业独立参加投标的，须在广东省住房和城乡建设主管部门备案且备案的业务范围满足本项目招标资质要求。</w:t>
      </w:r>
    </w:p>
    <w:p>
      <w:pPr>
        <w:pStyle w:val="2"/>
        <w:spacing w:line="360" w:lineRule="auto"/>
        <w:rPr>
          <w:rFonts w:hint="default" w:eastAsia="宋体"/>
          <w:color w:val="auto"/>
          <w:highlight w:val="none"/>
          <w:lang w:val="en-US" w:eastAsia="zh-CN"/>
        </w:rPr>
      </w:pPr>
    </w:p>
    <w:p>
      <w:pPr>
        <w:pStyle w:val="26"/>
        <w:adjustRightInd w:val="0"/>
        <w:snapToGrid w:val="0"/>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工程设计资质：</w:t>
      </w:r>
      <w:r>
        <w:rPr>
          <w:rFonts w:hint="eastAsia" w:ascii="宋体" w:hAnsi="宋体" w:eastAsia="宋体" w:cs="宋体"/>
          <w:color w:val="auto"/>
          <w:sz w:val="24"/>
          <w:szCs w:val="24"/>
          <w:highlight w:val="none"/>
          <w:u w:val="single"/>
        </w:rPr>
        <w:t>工程设计综合资质甲级，或建筑行业乙级（或以上）资质，或建筑行业（建筑工程）乙级（或以上）资质，或建筑设计事务所资质,或已备案的香港企业。</w:t>
      </w:r>
    </w:p>
    <w:p>
      <w:pPr>
        <w:pStyle w:val="26"/>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2020〕1号）的规定，香港企业参加设计投标的，须在广东省住房和城乡建设主管部门备案且备案业务满足招标资格要求的。</w:t>
      </w:r>
    </w:p>
    <w:p>
      <w:pPr>
        <w:pStyle w:val="26"/>
        <w:adjustRightInd w:val="0"/>
        <w:snapToGrid w:val="0"/>
        <w:ind w:firstLine="54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1）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的要求执行。</w:t>
      </w:r>
    </w:p>
    <w:p>
      <w:pPr>
        <w:pStyle w:val="26"/>
        <w:adjustRightInd w:val="0"/>
        <w:snapToGrid w:val="0"/>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（2）外国或澳门、台湾的设计企业如单独参与设计投标，必须选择一家符合上述条件的国内企业进行合作设计。香港企业如不单独参加设计部分投标，也必须选择一家符合上述条件的企业进行合作设计。</w:t>
      </w:r>
    </w:p>
    <w:p>
      <w:pPr>
        <w:pStyle w:val="26"/>
        <w:adjustRightInd w:val="0"/>
        <w:snapToGrid w:val="0"/>
        <w:ind w:firstLine="54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
          <w:bCs w:val="0"/>
          <w:color w:val="auto"/>
          <w:sz w:val="24"/>
          <w:szCs w:val="24"/>
          <w:highlight w:val="none"/>
          <w:u w:val="single"/>
        </w:rPr>
        <w:t>建筑工程施工总承包</w:t>
      </w:r>
      <w:r>
        <w:rPr>
          <w:rFonts w:hint="eastAsia" w:ascii="宋体" w:hAnsi="宋体" w:eastAsia="宋体" w:cs="宋体"/>
          <w:b/>
          <w:bCs w:val="0"/>
          <w:color w:val="auto"/>
          <w:sz w:val="24"/>
          <w:szCs w:val="24"/>
          <w:highlight w:val="none"/>
          <w:u w:val="single"/>
          <w:lang w:val="en-US" w:eastAsia="zh-CN"/>
        </w:rPr>
        <w:t>叁</w:t>
      </w:r>
      <w:r>
        <w:rPr>
          <w:rFonts w:hint="eastAsia" w:ascii="宋体" w:hAnsi="宋体" w:eastAsia="宋体" w:cs="宋体"/>
          <w:b/>
          <w:bCs w:val="0"/>
          <w:color w:val="auto"/>
          <w:sz w:val="24"/>
          <w:szCs w:val="24"/>
          <w:highlight w:val="none"/>
          <w:u w:val="single"/>
        </w:rPr>
        <w:t>级</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或以上</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资质，并具有建设行政主管部门颁发的安全生产许可证，且在有效期内。</w:t>
      </w:r>
    </w:p>
    <w:p>
      <w:pPr>
        <w:adjustRightInd w:val="0"/>
        <w:snapToGrid w:val="0"/>
        <w:spacing w:line="360" w:lineRule="auto"/>
        <w:ind w:firstLine="540" w:firstLineChars="224"/>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w:t>
      </w:r>
    </w:p>
    <w:p>
      <w:pPr>
        <w:adjustRightInd w:val="0"/>
        <w:snapToGri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3.2 本次招标接受联合体投标。联合体投标的，应满足下列要求：</w:t>
      </w:r>
    </w:p>
    <w:p>
      <w:pPr>
        <w:spacing w:line="360" w:lineRule="auto"/>
        <w:ind w:firstLine="480" w:firstLineChars="200"/>
        <w:jc w:val="left"/>
        <w:rPr>
          <w:rFonts w:hint="eastAsia"/>
          <w:color w:val="auto"/>
          <w:highlight w:val="none"/>
        </w:rPr>
      </w:pPr>
      <w:r>
        <w:rPr>
          <w:rFonts w:hint="eastAsia" w:ascii="宋体" w:hAnsi="宋体" w:eastAsia="宋体" w:cs="宋体"/>
          <w:color w:val="auto"/>
          <w:sz w:val="24"/>
          <w:highlight w:val="none"/>
        </w:rPr>
        <w:t>3.2.1</w:t>
      </w:r>
      <w:r>
        <w:rPr>
          <w:rFonts w:hint="eastAsia" w:ascii="宋体" w:cs="宋体"/>
          <w:color w:val="auto"/>
          <w:sz w:val="24"/>
          <w:szCs w:val="24"/>
          <w:highlight w:val="none"/>
          <w:u w:val="none"/>
        </w:rPr>
        <w:t>允许联合体投标，但只接受最多由</w:t>
      </w:r>
      <w:r>
        <w:rPr>
          <w:rFonts w:hint="eastAsia" w:ascii="宋体" w:cs="宋体"/>
          <w:b/>
          <w:bCs/>
          <w:color w:val="auto"/>
          <w:sz w:val="24"/>
          <w:szCs w:val="24"/>
          <w:highlight w:val="none"/>
          <w:u w:val="single"/>
          <w:lang w:val="en-US" w:eastAsia="zh-CN"/>
        </w:rPr>
        <w:t>3</w:t>
      </w:r>
      <w:r>
        <w:rPr>
          <w:rFonts w:hint="eastAsia" w:ascii="宋体" w:cs="宋体"/>
          <w:color w:val="auto"/>
          <w:sz w:val="24"/>
          <w:szCs w:val="24"/>
          <w:highlight w:val="none"/>
          <w:u w:val="none"/>
        </w:rPr>
        <w:t>家单位组成的联合体。应以承担施工任务的一方为主办方</w:t>
      </w:r>
      <w:r>
        <w:rPr>
          <w:rFonts w:hint="eastAsia" w:ascii="宋体" w:cs="宋体"/>
          <w:color w:val="auto"/>
          <w:sz w:val="24"/>
          <w:szCs w:val="24"/>
          <w:highlight w:val="none"/>
          <w:u w:val="none"/>
          <w:lang w:eastAsia="zh-CN"/>
        </w:rPr>
        <w:t>（主办方仅由满足本公告</w:t>
      </w: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款施工</w:t>
      </w:r>
      <w:r>
        <w:rPr>
          <w:rFonts w:hint="eastAsia" w:ascii="宋体" w:cs="宋体"/>
          <w:bCs/>
          <w:color w:val="auto"/>
          <w:sz w:val="24"/>
          <w:szCs w:val="24"/>
          <w:highlight w:val="none"/>
          <w:u w:val="none"/>
          <w:lang w:eastAsia="zh-CN"/>
        </w:rPr>
        <w:t>资</w:t>
      </w:r>
      <w:r>
        <w:rPr>
          <w:rFonts w:hint="eastAsia" w:ascii="宋体" w:cs="宋体"/>
          <w:color w:val="auto"/>
          <w:sz w:val="24"/>
          <w:szCs w:val="24"/>
          <w:highlight w:val="none"/>
          <w:u w:val="none"/>
          <w:lang w:eastAsia="zh-CN"/>
        </w:rPr>
        <w:t>质要求的</w:t>
      </w:r>
      <w:r>
        <w:rPr>
          <w:rFonts w:hint="eastAsia" w:ascii="宋体" w:cs="宋体"/>
          <w:color w:val="auto"/>
          <w:sz w:val="24"/>
          <w:szCs w:val="24"/>
          <w:highlight w:val="none"/>
          <w:u w:val="none"/>
          <w:lang w:val="en-US" w:eastAsia="zh-CN"/>
        </w:rPr>
        <w:t>1家单位组成</w:t>
      </w:r>
      <w:r>
        <w:rPr>
          <w:rFonts w:hint="eastAsia" w:ascii="宋体" w:cs="宋体"/>
          <w:color w:val="auto"/>
          <w:sz w:val="24"/>
          <w:szCs w:val="24"/>
          <w:highlight w:val="none"/>
          <w:u w:val="none"/>
          <w:lang w:eastAsia="zh-CN"/>
        </w:rPr>
        <w:t>）</w:t>
      </w:r>
      <w:r>
        <w:rPr>
          <w:rFonts w:hint="eastAsia" w:ascii="宋体" w:cs="宋体"/>
          <w:color w:val="auto"/>
          <w:sz w:val="24"/>
          <w:szCs w:val="24"/>
          <w:highlight w:val="none"/>
          <w:u w:val="none"/>
        </w:rPr>
        <w:t>，并签定联合体共同投标协议书。联合体共同投标协议书应明确约定各方拟承担的工作和责任。(注：组成联合体承接按资质标准划分为同一类工程的投标人，在资格审查环节，其资质按联合体成员中最低者确定。)</w:t>
      </w:r>
    </w:p>
    <w:p>
      <w:pPr>
        <w:adjustRightInd w:val="0"/>
        <w:snapToGri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cs="宋体"/>
          <w:color w:val="auto"/>
          <w:sz w:val="24"/>
          <w:szCs w:val="24"/>
          <w:highlight w:val="none"/>
        </w:rPr>
        <w:t>投标人拟任本工程项目负责人、设计负责人必须是联合体中对应分工成员的正式员工；以上2项人员不得重复兼任。</w:t>
      </w:r>
    </w:p>
    <w:p>
      <w:pPr>
        <w:adjustRightInd w:val="0"/>
        <w:snapToGrid w:val="0"/>
        <w:spacing w:line="360" w:lineRule="auto"/>
        <w:ind w:firstLine="537" w:firstLineChars="22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cs="宋体"/>
          <w:color w:val="auto"/>
          <w:sz w:val="24"/>
          <w:szCs w:val="24"/>
          <w:highlight w:val="none"/>
        </w:rPr>
        <w:t>联合体的资格条件按联合体任务分工进行评审[</w:t>
      </w:r>
      <w:r>
        <w:rPr>
          <w:rFonts w:hint="eastAsia" w:ascii="宋体" w:cs="宋体"/>
          <w:color w:val="auto"/>
          <w:sz w:val="24"/>
          <w:szCs w:val="24"/>
          <w:highlight w:val="none"/>
          <w:u w:val="single"/>
        </w:rPr>
        <w:t>其中工程施工资质、安全生产许可证、项目负责人、技术负责人、专职安全人员以承接施工任务的主办方为准；工程设计资质及设计负责人以承接设计任务的成员单位为准；工程勘察资质以承接勘察任务的成员单位为准]。</w:t>
      </w:r>
    </w:p>
    <w:p>
      <w:pPr>
        <w:spacing w:line="360" w:lineRule="auto"/>
        <w:ind w:firstLine="480" w:firstLineChars="200"/>
        <w:outlineLvl w:val="0"/>
        <w:rPr>
          <w:rFonts w:hint="eastAsia" w:ascii="宋体" w:cs="宋体"/>
          <w:color w:val="auto"/>
          <w:sz w:val="24"/>
          <w:szCs w:val="24"/>
          <w:highlight w:val="none"/>
        </w:rPr>
      </w:pPr>
      <w:r>
        <w:rPr>
          <w:rFonts w:hint="eastAsia" w:ascii="宋体" w:cs="宋体"/>
          <w:color w:val="auto"/>
          <w:sz w:val="24"/>
          <w:szCs w:val="24"/>
          <w:highlight w:val="none"/>
          <w:u w:val="none"/>
          <w:lang w:val="en-US" w:eastAsia="zh-CN"/>
        </w:rPr>
        <w:t>3</w:t>
      </w:r>
      <w:r>
        <w:rPr>
          <w:rFonts w:hint="eastAsia" w:ascii="宋体" w:cs="宋体"/>
          <w:color w:val="auto"/>
          <w:sz w:val="24"/>
          <w:szCs w:val="24"/>
          <w:highlight w:val="none"/>
          <w:u w:val="none"/>
        </w:rPr>
        <w:t>.</w:t>
      </w:r>
      <w:r>
        <w:rPr>
          <w:rFonts w:hint="eastAsia" w:ascii="宋体" w:cs="宋体"/>
          <w:color w:val="auto"/>
          <w:sz w:val="24"/>
          <w:szCs w:val="24"/>
          <w:highlight w:val="none"/>
          <w:u w:val="none"/>
          <w:lang w:val="en-US" w:eastAsia="zh-CN"/>
        </w:rPr>
        <w:t>2.</w:t>
      </w:r>
      <w:r>
        <w:rPr>
          <w:rFonts w:hint="eastAsia" w:ascii="宋体" w:cs="宋体"/>
          <w:color w:val="auto"/>
          <w:sz w:val="24"/>
          <w:szCs w:val="24"/>
          <w:highlight w:val="none"/>
          <w:u w:val="none"/>
        </w:rPr>
        <w:t>4</w:t>
      </w:r>
      <w:r>
        <w:rPr>
          <w:rFonts w:hint="eastAsia" w:ascii="宋体" w:cs="宋体"/>
          <w:color w:val="auto"/>
          <w:sz w:val="24"/>
          <w:szCs w:val="24"/>
          <w:highlight w:val="none"/>
        </w:rPr>
        <w:t>联合体各方不得再以自己名义单独或加入其他联合体参加本项目的投标。</w:t>
      </w:r>
    </w:p>
    <w:p>
      <w:pPr>
        <w:adjustRightInd/>
        <w:snapToGrid/>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3.3 拟派主要负责人资格要求：</w:t>
      </w:r>
    </w:p>
    <w:p>
      <w:pPr>
        <w:pStyle w:val="26"/>
        <w:adjustRightInd w:val="0"/>
        <w:snapToGrid w:val="0"/>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3.3.1投标人</w:t>
      </w:r>
      <w:r>
        <w:rPr>
          <w:rFonts w:hint="eastAsia" w:ascii="宋体" w:hAnsi="宋体" w:eastAsia="宋体" w:cs="宋体"/>
          <w:color w:val="auto"/>
          <w:sz w:val="24"/>
          <w:highlight w:val="none"/>
        </w:rPr>
        <w:t>（或联合体</w:t>
      </w:r>
      <w:r>
        <w:rPr>
          <w:rFonts w:hint="eastAsia" w:ascii="宋体" w:hAnsi="宋体" w:eastAsia="宋体" w:cs="宋体"/>
          <w:color w:val="auto"/>
          <w:sz w:val="24"/>
          <w:highlight w:val="none"/>
          <w:lang w:val="en-US" w:eastAsia="zh-CN"/>
        </w:rPr>
        <w:t>主办</w:t>
      </w:r>
      <w:r>
        <w:rPr>
          <w:rFonts w:hint="eastAsia" w:ascii="宋体" w:hAnsi="宋体" w:eastAsia="宋体" w:cs="宋体"/>
          <w:color w:val="auto"/>
          <w:sz w:val="24"/>
          <w:highlight w:val="none"/>
        </w:rPr>
        <w:t>方）</w:t>
      </w:r>
      <w:r>
        <w:rPr>
          <w:rFonts w:hint="eastAsia" w:ascii="宋体" w:hAnsi="宋体" w:eastAsia="宋体" w:cs="宋体"/>
          <w:color w:val="auto"/>
          <w:sz w:val="24"/>
          <w:szCs w:val="24"/>
          <w:highlight w:val="none"/>
        </w:rPr>
        <w:t>拟担任</w:t>
      </w:r>
      <w:r>
        <w:rPr>
          <w:rFonts w:hint="eastAsia" w:ascii="宋体" w:hAnsi="宋体" w:eastAsia="宋体" w:cs="宋体"/>
          <w:b/>
          <w:bCs/>
          <w:color w:val="auto"/>
          <w:sz w:val="24"/>
          <w:szCs w:val="24"/>
          <w:highlight w:val="none"/>
        </w:rPr>
        <w:t>本工程</w:t>
      </w:r>
      <w:r>
        <w:rPr>
          <w:rFonts w:hint="eastAsia" w:ascii="宋体" w:hAnsi="宋体" w:eastAsia="宋体" w:cs="宋体"/>
          <w:b/>
          <w:bCs/>
          <w:color w:val="auto"/>
          <w:sz w:val="24"/>
          <w:szCs w:val="24"/>
          <w:highlight w:val="none"/>
          <w:u w:val="single"/>
        </w:rPr>
        <w:t>项目负责人</w:t>
      </w:r>
      <w:r>
        <w:rPr>
          <w:rFonts w:hint="eastAsia" w:ascii="宋体" w:hAnsi="宋体" w:eastAsia="宋体" w:cs="宋体"/>
          <w:b/>
          <w:bCs/>
          <w:color w:val="auto"/>
          <w:sz w:val="24"/>
          <w:szCs w:val="24"/>
          <w:highlight w:val="none"/>
        </w:rPr>
        <w:t>（兼施工项目负责人）为：</w:t>
      </w:r>
      <w:r>
        <w:rPr>
          <w:rFonts w:hint="eastAsia" w:ascii="宋体" w:hAnsi="宋体" w:eastAsia="宋体" w:cs="宋体"/>
          <w:b/>
          <w:bCs/>
          <w:color w:val="auto"/>
          <w:sz w:val="24"/>
          <w:szCs w:val="24"/>
          <w:highlight w:val="none"/>
          <w:u w:val="single"/>
        </w:rPr>
        <w:t>建筑工程</w:t>
      </w:r>
      <w:r>
        <w:rPr>
          <w:rFonts w:hint="eastAsia" w:ascii="宋体" w:hAnsi="宋体" w:eastAsia="宋体" w:cs="宋体"/>
          <w:b/>
          <w:bCs/>
          <w:color w:val="auto"/>
          <w:sz w:val="24"/>
          <w:szCs w:val="24"/>
          <w:highlight w:val="none"/>
        </w:rPr>
        <w:t>专业</w:t>
      </w:r>
      <w:r>
        <w:rPr>
          <w:rFonts w:hint="eastAsia" w:ascii="宋体" w:hAnsi="宋体" w:eastAsia="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级</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或以上</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rPr>
        <w:t>注册建造师资格</w:t>
      </w:r>
      <w:r>
        <w:rPr>
          <w:rFonts w:hint="eastAsia" w:ascii="宋体" w:hAnsi="宋体" w:eastAsia="宋体" w:cs="宋体"/>
          <w:color w:val="auto"/>
          <w:sz w:val="24"/>
          <w:szCs w:val="24"/>
          <w:highlight w:val="none"/>
        </w:rPr>
        <w:t>；持有项目负责人在有效期内的安全生产考核合格证书（B类），或建筑施工企业项目负责人安全生产考核合格证书。</w:t>
      </w:r>
    </w:p>
    <w:p>
      <w:pPr>
        <w:pStyle w:val="26"/>
        <w:adjustRightInd w:val="0"/>
        <w:snapToGrid w:val="0"/>
        <w:spacing w:line="360" w:lineRule="auto"/>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p>
    <w:p>
      <w:pPr>
        <w:pStyle w:val="26"/>
        <w:adjustRightInd w:val="0"/>
        <w:snapToGrid w:val="0"/>
        <w:spacing w:line="360" w:lineRule="auto"/>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项目负责人在任职期间不得担任专职安全员，项目专职安全员在任职期间也不得担任项目负责人，项目负责人和专职安全员不为同一人。</w:t>
      </w:r>
    </w:p>
    <w:p>
      <w:pPr>
        <w:pStyle w:val="26"/>
        <w:adjustRightInd w:val="0"/>
        <w:snapToGrid w:val="0"/>
        <w:ind w:firstLine="540" w:firstLineChars="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rPr>
        <w:t>若为联合体投标，由设计方提供</w:t>
      </w:r>
      <w:r>
        <w:rPr>
          <w:rFonts w:hint="eastAsia" w:ascii="宋体" w:hAnsi="宋体" w:eastAsia="宋体" w:cs="宋体"/>
          <w:color w:val="auto"/>
          <w:sz w:val="24"/>
          <w:szCs w:val="24"/>
          <w:highlight w:val="none"/>
        </w:rPr>
        <w:t>）拟担任本项目</w:t>
      </w:r>
      <w:r>
        <w:rPr>
          <w:rFonts w:hint="eastAsia" w:ascii="宋体" w:hAnsi="宋体" w:eastAsia="宋体" w:cs="宋体"/>
          <w:b/>
          <w:bCs/>
          <w:color w:val="auto"/>
          <w:sz w:val="24"/>
          <w:szCs w:val="24"/>
          <w:highlight w:val="none"/>
          <w:u w:val="single"/>
        </w:rPr>
        <w:t>设计负责人</w:t>
      </w:r>
      <w:r>
        <w:rPr>
          <w:rFonts w:hint="eastAsia" w:ascii="宋体" w:hAnsi="宋体" w:eastAsia="宋体" w:cs="宋体"/>
          <w:b w:val="0"/>
          <w:bCs w:val="0"/>
          <w:color w:val="auto"/>
          <w:sz w:val="24"/>
          <w:szCs w:val="24"/>
          <w:highlight w:val="none"/>
        </w:rPr>
        <w:t>须</w:t>
      </w:r>
      <w:r>
        <w:rPr>
          <w:rFonts w:hint="eastAsia" w:ascii="宋体" w:hAnsi="宋体" w:eastAsia="宋体" w:cs="宋体"/>
          <w:b/>
          <w:bCs/>
          <w:color w:val="auto"/>
          <w:sz w:val="24"/>
          <w:szCs w:val="24"/>
          <w:highlight w:val="none"/>
          <w:u w:val="single"/>
        </w:rPr>
        <w:t>具备一级注册建筑师资格或备案的业务范围相当于一级注册建筑师的香港专业人士</w:t>
      </w:r>
      <w:r>
        <w:rPr>
          <w:rFonts w:hint="eastAsia" w:ascii="宋体" w:hAnsi="宋体" w:eastAsia="宋体" w:cs="宋体"/>
          <w:b w:val="0"/>
          <w:bCs w:val="0"/>
          <w:color w:val="auto"/>
          <w:sz w:val="24"/>
          <w:szCs w:val="24"/>
          <w:highlight w:val="none"/>
        </w:rPr>
        <w:t>；设计负责人与项目负责人不能为同一人。</w:t>
      </w:r>
    </w:p>
    <w:p>
      <w:pPr>
        <w:pStyle w:val="26"/>
        <w:adjustRightInd w:val="0"/>
        <w:snapToGrid w:val="0"/>
        <w:ind w:firstLine="54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注：香港专业人士的备案业务范围依据《广东省住房和城乡建设厅关于印发香港工程建设咨询企业和专业人士在粤港澳大湾区内地城市开业执业试点管理暂行办法的通知》（粤建规范〔2020〕1号）确定。</w:t>
      </w:r>
    </w:p>
    <w:p>
      <w:pPr>
        <w:pStyle w:val="26"/>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投标人（</w:t>
      </w:r>
      <w:r>
        <w:rPr>
          <w:rFonts w:hint="eastAsia" w:ascii="宋体" w:eastAsia="宋体" w:cs="宋体"/>
          <w:b/>
          <w:bCs/>
          <w:color w:val="auto"/>
          <w:sz w:val="24"/>
          <w:szCs w:val="24"/>
          <w:highlight w:val="none"/>
          <w:u w:val="single"/>
        </w:rPr>
        <w:t>若为联合体投标，由主办方提供</w:t>
      </w:r>
      <w:r>
        <w:rPr>
          <w:rFonts w:hint="eastAsia" w:ascii="宋体" w:hAnsi="宋体" w:eastAsia="宋体" w:cs="宋体"/>
          <w:color w:val="auto"/>
          <w:sz w:val="24"/>
          <w:szCs w:val="24"/>
          <w:highlight w:val="none"/>
        </w:rPr>
        <w:t>）拟担任本工程</w:t>
      </w:r>
      <w:r>
        <w:rPr>
          <w:rFonts w:hint="eastAsia" w:ascii="宋体" w:hAnsi="宋体" w:eastAsia="宋体" w:cs="宋体"/>
          <w:b w:val="0"/>
          <w:bCs w:val="0"/>
          <w:color w:val="auto"/>
          <w:sz w:val="24"/>
          <w:szCs w:val="24"/>
          <w:highlight w:val="none"/>
        </w:rPr>
        <w:t>技术负责人</w:t>
      </w:r>
      <w:r>
        <w:rPr>
          <w:rFonts w:hint="eastAsia" w:ascii="宋体" w:hAnsi="宋体" w:eastAsia="宋体" w:cs="宋体"/>
          <w:color w:val="auto"/>
          <w:sz w:val="24"/>
          <w:szCs w:val="24"/>
          <w:highlight w:val="none"/>
        </w:rPr>
        <w:t>的资格要求为：</w:t>
      </w:r>
      <w:r>
        <w:rPr>
          <w:rFonts w:hint="eastAsia" w:ascii="宋体" w:hAnsi="宋体" w:eastAsia="宋体" w:cs="宋体"/>
          <w:b/>
          <w:bCs/>
          <w:color w:val="auto"/>
          <w:sz w:val="24"/>
          <w:szCs w:val="24"/>
          <w:highlight w:val="none"/>
          <w:u w:val="single"/>
        </w:rPr>
        <w:t>建筑工程相关专业工程师</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或以上</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技术职称</w:t>
      </w:r>
      <w:r>
        <w:rPr>
          <w:rFonts w:hint="eastAsia" w:ascii="宋体" w:hAnsi="宋体" w:eastAsia="宋体" w:cs="宋体"/>
          <w:color w:val="auto"/>
          <w:sz w:val="24"/>
          <w:szCs w:val="24"/>
          <w:highlight w:val="none"/>
        </w:rPr>
        <w:t>。</w:t>
      </w:r>
    </w:p>
    <w:p>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3.3.4投标人（</w:t>
      </w:r>
      <w:r>
        <w:rPr>
          <w:rFonts w:hint="eastAsia" w:ascii="宋体" w:hAnsi="仿宋_GB2312" w:eastAsia="宋体" w:cs="宋体"/>
          <w:b/>
          <w:bCs/>
          <w:color w:val="auto"/>
          <w:sz w:val="24"/>
          <w:szCs w:val="24"/>
          <w:highlight w:val="none"/>
          <w:u w:val="single"/>
          <w:lang w:val="en-US"/>
        </w:rPr>
        <w:t>若为联合体投标，由主办方提供</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专职安全员</w:t>
      </w:r>
      <w:r>
        <w:rPr>
          <w:rFonts w:hint="eastAsia" w:ascii="宋体" w:hAnsi="宋体" w:eastAsia="宋体" w:cs="宋体"/>
          <w:color w:val="auto"/>
          <w:sz w:val="24"/>
          <w:szCs w:val="24"/>
          <w:highlight w:val="none"/>
          <w:u w:val="single"/>
        </w:rPr>
        <w:t>须具有在有效期内的安全生产考核合格证书（C类）或建筑施工企业专职安全生产管理人员安全生产考核合格证书（C3）。</w:t>
      </w:r>
    </w:p>
    <w:p>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w:t>
      </w:r>
      <w:r>
        <w:rPr>
          <w:rFonts w:hint="eastAsia" w:ascii="宋体" w:hAnsi="宋体" w:eastAsia="宋体" w:cs="宋体"/>
          <w:color w:val="auto"/>
          <w:sz w:val="24"/>
          <w:szCs w:val="24"/>
          <w:highlight w:val="none"/>
          <w:u w:val="single"/>
        </w:rPr>
        <w:t>资格审查前，投标人在广州市住建行业信用管理平台建立企业信用档案，且拟担任本项目的项目负责人、专职安全员、设计负责人是本企业信用档案中的在册人员（联合体投标的，信用档案信息和人员在册情况为联合体协议分工对应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pPr>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其他要求：</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color w:val="auto"/>
          <w:sz w:val="24"/>
          <w:highlight w:val="none"/>
        </w:rPr>
        <w:t>投标人（联合体各成员）均具有独立法人资格，持有工商行政（市场监督）管理部门核发的法人营业执照</w:t>
      </w:r>
      <w:r>
        <w:rPr>
          <w:rFonts w:hint="eastAsia" w:ascii="宋体" w:hAnsi="宋体" w:eastAsia="宋体" w:cs="宋体"/>
          <w:color w:val="auto"/>
          <w:sz w:val="24"/>
          <w:szCs w:val="24"/>
          <w:highlight w:val="none"/>
        </w:rPr>
        <w:t>或各级政府事业单位登记管理机关颁发的事业单位法人证书</w:t>
      </w:r>
      <w:r>
        <w:rPr>
          <w:rFonts w:hint="eastAsia" w:ascii="宋体" w:hAnsi="宋体" w:eastAsia="宋体" w:cs="宋体"/>
          <w:color w:val="auto"/>
          <w:sz w:val="24"/>
          <w:highlight w:val="none"/>
        </w:rPr>
        <w:t>[联合体承担设计任务的一方为</w:t>
      </w:r>
      <w:r>
        <w:rPr>
          <w:rFonts w:hint="eastAsia" w:ascii="宋体" w:hAnsi="宋体" w:eastAsia="宋体" w:cs="宋体"/>
          <w:color w:val="auto"/>
          <w:sz w:val="24"/>
          <w:szCs w:val="24"/>
          <w:highlight w:val="none"/>
        </w:rPr>
        <w:t>单独投标的香港企业的，</w:t>
      </w:r>
      <w:r>
        <w:rPr>
          <w:rFonts w:hint="eastAsia" w:ascii="宋体" w:hAnsi="宋体" w:eastAsia="宋体" w:cs="宋体"/>
          <w:color w:val="auto"/>
          <w:sz w:val="24"/>
          <w:highlight w:val="none"/>
        </w:rPr>
        <w:t>需持有在香港进行商业登记的证明文书]，按国家法律经营。</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w:t>
      </w:r>
      <w:r>
        <w:rPr>
          <w:rFonts w:hint="eastAsia" w:ascii="宋体" w:hAnsi="宋体" w:eastAsia="宋体" w:cs="宋体"/>
          <w:color w:val="auto"/>
          <w:sz w:val="24"/>
          <w:highlight w:val="none"/>
        </w:rPr>
        <w:t>投标人已按照附件一的内容签署盖章的投标申请人声明</w:t>
      </w:r>
      <w:r>
        <w:rPr>
          <w:rFonts w:hint="eastAsia" w:ascii="宋体" w:hAnsi="宋体" w:eastAsia="宋体" w:cs="宋体"/>
          <w:color w:val="auto"/>
          <w:sz w:val="24"/>
          <w:szCs w:val="24"/>
          <w:highlight w:val="none"/>
        </w:rPr>
        <w:t>（格式见招标公告附件一）。</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highlight w:val="none"/>
        </w:rPr>
        <w:t>投标人（或联合体各成员）未出现以下情形：与其它投标人的单位负责人为同一人或者存在控股、管理关系的（按投标人提供的《投标申请人声明》第八条内容进行评审），否则相关投标均无效</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3.4.4未被列入拖欠农民工工资失信联合惩戒对象名单。</w:t>
      </w:r>
    </w:p>
    <w:p>
      <w:pPr>
        <w:adjustRightInd w:val="0"/>
        <w:snapToGrid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注：（1）对于取自投标人在广州市住建行业信用管理平台内信息的，平台内记录的该部分信息将被视为投标人递交投标文件（资格审查资料）的一部分。评标委员会对该部分资料的审查以递交投标文件截止时间在广州市住建行业信用管理平台内的上传件为依据。若招标人延长递交投标文件截止时间，以延长递交投标文件截止时在广州市住建行业信用管理平台内的上传件为依据,且投标人应及时维护相关上传件，确保各项上传件的有效性。（诚信档案办理详见http://zfcj.gz.gov.cn/zwgk/zsdwxxgkzl/gzsjzyglfwzx/中企业办事指南）。</w:t>
      </w:r>
    </w:p>
    <w:p>
      <w:pPr>
        <w:adjustRightInd w:val="0"/>
        <w:snapToGrid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设计和监理项目的投标，允许经备案且备案的业务范围满足招标文件要求的香港专业人士担任设计和监理项目管理团队中的相应职务。满足前述内容的香港企业及香港专业人士参与本次投标的，应按招标文件要求提供满足评审的相关证明文件。</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（3）未在招标公告第3条单列的资审合格条件，不作为资审不合格的依据。</w:t>
      </w:r>
    </w:p>
    <w:p>
      <w:pPr>
        <w:adjustRightInd w:val="0"/>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4.招标文件的获取</w:t>
      </w:r>
    </w:p>
    <w:p>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cs="宋体"/>
          <w:color w:val="auto"/>
          <w:sz w:val="24"/>
          <w:szCs w:val="21"/>
          <w:highlight w:val="none"/>
        </w:rPr>
        <w:t>凡有意参加投标者，请于</w:t>
      </w:r>
      <w:r>
        <w:rPr>
          <w:rFonts w:hint="eastAsia" w:ascii="宋体" w:hAnsi="宋体" w:eastAsia="宋体" w:cs="宋体"/>
          <w:color w:val="auto"/>
          <w:sz w:val="24"/>
          <w:szCs w:val="21"/>
          <w:highlight w:val="none"/>
          <w:u w:val="single"/>
        </w:rPr>
        <w:t>2023</w:t>
      </w:r>
      <w:r>
        <w:rPr>
          <w:rFonts w:hint="eastAsia" w:ascii="宋体" w:hAnsi="宋体" w:cs="宋体"/>
          <w:color w:val="auto"/>
          <w:sz w:val="24"/>
          <w:szCs w:val="21"/>
          <w:highlight w:val="none"/>
        </w:rPr>
        <w:t>年</w:t>
      </w:r>
      <w:r>
        <w:rPr>
          <w:rFonts w:hint="eastAsia" w:ascii="宋体" w:hAnsi="宋体" w:eastAsia="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月</w:t>
      </w:r>
      <w:r>
        <w:rPr>
          <w:rFonts w:hint="eastAsia" w:ascii="宋体" w:hAnsi="宋体" w:eastAsia="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日</w:t>
      </w:r>
      <w:r>
        <w:rPr>
          <w:rFonts w:hint="eastAsia" w:ascii="宋体" w:hAnsi="宋体" w:eastAsia="宋体" w:cs="宋体"/>
          <w:color w:val="auto"/>
          <w:sz w:val="24"/>
          <w:szCs w:val="21"/>
          <w:highlight w:val="none"/>
          <w:u w:val="single"/>
        </w:rPr>
        <w:t>00</w:t>
      </w:r>
      <w:r>
        <w:rPr>
          <w:rFonts w:hint="eastAsia" w:ascii="宋体" w:hAnsi="宋体" w:cs="宋体"/>
          <w:color w:val="auto"/>
          <w:sz w:val="24"/>
          <w:szCs w:val="21"/>
          <w:highlight w:val="none"/>
        </w:rPr>
        <w:t>时</w:t>
      </w:r>
      <w:r>
        <w:rPr>
          <w:rFonts w:hint="eastAsia" w:ascii="宋体" w:hAnsi="宋体" w:cs="宋体"/>
          <w:color w:val="auto"/>
          <w:sz w:val="24"/>
          <w:szCs w:val="21"/>
          <w:highlight w:val="none"/>
          <w:u w:val="single"/>
        </w:rPr>
        <w:t>00</w:t>
      </w:r>
      <w:r>
        <w:rPr>
          <w:rFonts w:hint="eastAsia" w:ascii="宋体" w:hAnsi="宋体" w:cs="宋体"/>
          <w:color w:val="auto"/>
          <w:sz w:val="24"/>
          <w:szCs w:val="21"/>
          <w:highlight w:val="none"/>
        </w:rPr>
        <w:t>分至</w:t>
      </w:r>
      <w:r>
        <w:rPr>
          <w:rFonts w:hint="eastAsia" w:ascii="宋体" w:hAnsi="宋体" w:cs="宋体"/>
          <w:color w:val="auto"/>
          <w:sz w:val="24"/>
          <w:szCs w:val="21"/>
          <w:highlight w:val="none"/>
          <w:u w:val="single"/>
        </w:rPr>
        <w:t>2023</w:t>
      </w:r>
      <w:r>
        <w:rPr>
          <w:rFonts w:hint="eastAsia" w:ascii="宋体" w:hAnsi="宋体" w:cs="宋体"/>
          <w:color w:val="auto"/>
          <w:sz w:val="24"/>
          <w:szCs w:val="21"/>
          <w:highlight w:val="none"/>
        </w:rPr>
        <w:t>年</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月</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日</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时  分（北京时间，下同）登录广州公共资源交易中心网站（</w:t>
      </w:r>
      <w:r>
        <w:rPr>
          <w:rFonts w:ascii="宋体" w:hAnsi="宋体" w:cs="宋体"/>
          <w:color w:val="auto"/>
          <w:sz w:val="24"/>
          <w:szCs w:val="21"/>
          <w:highlight w:val="none"/>
        </w:rPr>
        <w:t>http://www.gzggzy.cn/</w:t>
      </w:r>
      <w:r>
        <w:rPr>
          <w:rFonts w:hint="eastAsia" w:ascii="宋体" w:hAnsi="宋体" w:cs="宋体"/>
          <w:color w:val="auto"/>
          <w:sz w:val="24"/>
          <w:szCs w:val="21"/>
          <w:highlight w:val="none"/>
        </w:rPr>
        <w:t>）（电子招标投标交易平台）下载电子招标文件。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 本项目资格审查方式：本工程采用全流程电子化资格后审方式资格后审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4.2.1由评标委员会负责对投标人的资格进行审查，评标时只对通过资格审查的投标人进行下一阶段的评审。满足投标人资格条件的投标人不足3名、或经评审有效的投标单位不足3名时为招标失败。招标人分析招标失败原因，修正招标方案，报有关管理部门核准后，重新组织招标。</w:t>
      </w:r>
    </w:p>
    <w:p>
      <w:pPr>
        <w:pStyle w:val="2"/>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4.2.2资格审查结果及中标结果将在广州公共资源交易中心网站等法定媒体公示，公开接受投标人的监督。</w:t>
      </w:r>
    </w:p>
    <w:p>
      <w:pPr>
        <w:adjustRightInd w:val="0"/>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5.投标文件的递交：</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公告发布日期（含本日）：</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注：发布招标公告的时间为招标公告发出之日起至投标截止时间止。</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 投标文件递交的截止时间（投标截止时间，下同）为</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投标人应在截止时间前通过广州交易集团有限公司（广州公共资源交易中心）数字交易平台（网址：http://www.gzggzy.cn/）递交电子投标文件。投标人应在递交投标文件截止前，应登陆广州交易集团有限公司（广州公共资源交易中心）数字交易平台网站办理网上投标登记手续。按照广州交易集团有限公司（广州公共资源交易中心）交易平台关于全流程电子化项目的相关指南进行操作，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olor w:val="auto"/>
          <w:sz w:val="24"/>
          <w:szCs w:val="22"/>
          <w:highlight w:val="none"/>
          <w:lang w:val="en-US" w:eastAsia="zh-CN"/>
        </w:rPr>
        <w:t>5.3</w:t>
      </w:r>
      <w:r>
        <w:rPr>
          <w:rFonts w:hint="eastAsia" w:ascii="宋体" w:hAnsi="宋体"/>
          <w:color w:val="auto"/>
          <w:sz w:val="24"/>
          <w:szCs w:val="22"/>
          <w:highlight w:val="none"/>
        </w:rPr>
        <w:t>递交投标文件光盘</w:t>
      </w:r>
      <w:r>
        <w:rPr>
          <w:rFonts w:hint="eastAsia" w:ascii="宋体" w:hAnsi="宋体"/>
          <w:color w:val="auto"/>
          <w:sz w:val="24"/>
          <w:szCs w:val="22"/>
          <w:highlight w:val="none"/>
          <w:lang w:val="en-US" w:eastAsia="zh-CN"/>
        </w:rPr>
        <w:t>或U盘</w:t>
      </w:r>
      <w:r>
        <w:rPr>
          <w:rFonts w:hint="eastAsia" w:ascii="宋体" w:hAnsi="宋体"/>
          <w:color w:val="auto"/>
          <w:sz w:val="24"/>
          <w:szCs w:val="22"/>
          <w:highlight w:val="none"/>
        </w:rPr>
        <w:t>（备用）的</w:t>
      </w:r>
      <w:r>
        <w:rPr>
          <w:rFonts w:ascii="宋体" w:hAnsi="宋体"/>
          <w:color w:val="auto"/>
          <w:sz w:val="24"/>
          <w:szCs w:val="22"/>
          <w:highlight w:val="none"/>
        </w:rPr>
        <w:t>规定时间</w:t>
      </w:r>
      <w:r>
        <w:rPr>
          <w:rFonts w:hint="eastAsia" w:ascii="宋体" w:hAnsi="宋体"/>
          <w:color w:val="auto"/>
          <w:sz w:val="24"/>
          <w:szCs w:val="22"/>
          <w:highlight w:val="none"/>
        </w:rPr>
        <w:t>为</w:t>
      </w:r>
      <w:r>
        <w:rPr>
          <w:rFonts w:ascii="宋体" w:hAnsi="宋体"/>
          <w:color w:val="auto"/>
          <w:sz w:val="24"/>
          <w:szCs w:val="22"/>
          <w:highlight w:val="none"/>
        </w:rPr>
        <w:t>：</w:t>
      </w:r>
      <w:r>
        <w:rPr>
          <w:rFonts w:hint="eastAsia" w:ascii="宋体" w:hAnsi="宋体"/>
          <w:color w:val="auto"/>
          <w:sz w:val="24"/>
          <w:szCs w:val="22"/>
          <w:highlight w:val="none"/>
          <w:u w:val="single"/>
        </w:rPr>
        <w:t>2023</w:t>
      </w:r>
      <w:r>
        <w:rPr>
          <w:rFonts w:ascii="宋体" w:hAnsi="宋体"/>
          <w:color w:val="auto"/>
          <w:sz w:val="24"/>
          <w:szCs w:val="22"/>
          <w:highlight w:val="none"/>
        </w:rPr>
        <w:t>年</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rPr>
        <w:t>月</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日</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时</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分</w:t>
      </w:r>
      <w:r>
        <w:rPr>
          <w:rFonts w:hint="eastAsia" w:ascii="宋体" w:hAnsi="宋体"/>
          <w:color w:val="auto"/>
          <w:sz w:val="24"/>
          <w:szCs w:val="22"/>
          <w:highlight w:val="none"/>
          <w:u w:val="single"/>
        </w:rPr>
        <w:t>至2022</w:t>
      </w:r>
      <w:r>
        <w:rPr>
          <w:rFonts w:ascii="宋体" w:hAnsi="宋体"/>
          <w:color w:val="auto"/>
          <w:sz w:val="24"/>
          <w:szCs w:val="22"/>
          <w:highlight w:val="none"/>
        </w:rPr>
        <w:t>年</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rPr>
        <w:t>月</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日</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时</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分</w:t>
      </w:r>
      <w:r>
        <w:rPr>
          <w:rFonts w:hint="eastAsia" w:ascii="宋体" w:hAnsi="宋体"/>
          <w:color w:val="auto"/>
          <w:sz w:val="24"/>
          <w:szCs w:val="22"/>
          <w:highlight w:val="none"/>
        </w:rPr>
        <w:t>；地点</w:t>
      </w:r>
      <w:r>
        <w:rPr>
          <w:rFonts w:ascii="宋体" w:hAnsi="宋体"/>
          <w:color w:val="auto"/>
          <w:sz w:val="24"/>
          <w:szCs w:val="22"/>
          <w:highlight w:val="none"/>
        </w:rPr>
        <w:t>：</w:t>
      </w:r>
      <w:r>
        <w:rPr>
          <w:rFonts w:hint="eastAsia" w:ascii="宋体" w:hAnsi="宋体"/>
          <w:color w:val="auto"/>
          <w:sz w:val="24"/>
          <w:szCs w:val="22"/>
          <w:highlight w:val="none"/>
          <w:u w:val="single"/>
        </w:rPr>
        <w:t>广州交易集团有限公司（广州公共资源交易中心）（广州市天河区天润路333号）第  开标室。</w:t>
      </w:r>
      <w:r>
        <w:rPr>
          <w:rFonts w:hint="eastAsia" w:ascii="宋体" w:hAnsi="宋体"/>
          <w:color w:val="auto"/>
          <w:sz w:val="24"/>
          <w:szCs w:val="22"/>
          <w:highlight w:val="none"/>
        </w:rPr>
        <w:t>（投标文件光盘</w:t>
      </w:r>
      <w:r>
        <w:rPr>
          <w:rFonts w:hint="eastAsia" w:ascii="宋体" w:hAnsi="宋体"/>
          <w:color w:val="auto"/>
          <w:sz w:val="24"/>
          <w:szCs w:val="22"/>
          <w:highlight w:val="none"/>
          <w:lang w:val="en-US" w:eastAsia="zh-CN"/>
        </w:rPr>
        <w:t>或U盘</w:t>
      </w:r>
      <w:r>
        <w:rPr>
          <w:rFonts w:hint="eastAsia" w:ascii="宋体" w:hAnsi="宋体"/>
          <w:color w:val="auto"/>
          <w:sz w:val="24"/>
          <w:szCs w:val="22"/>
          <w:highlight w:val="none"/>
        </w:rPr>
        <w:t>（备用）需按规定封装，投标人将数据刻录到光盘或u盘之后，请于投标前自行检查文件是否可以读取）。</w:t>
      </w:r>
    </w:p>
    <w:p>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5.3 开标开始时间：</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 递交投标文件截止时间及开标时间是否有变化，请密切留意广州交易集团有限公司（广州公共资源交易中心）网站的相关信息。</w:t>
      </w:r>
    </w:p>
    <w:p>
      <w:pPr>
        <w:widowControl/>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 xml:space="preserve"> 投标文件全部采用电子文档，投标人按招标文件要求提交投标文件。若投标文件中的部分内容要求取自广州市住建行业信用管理平台内的，则投标人选择广州市住建行业信用管理平台内中记录的该部分上传件将被视为投标人递交投标文件的一部分，不需重复提交。评标委员会对该部分资料的审查将以递交投标文件截止时间在广州市住建行业信用管理平台内内上传件为依据。若招标人延后递交投标文件截止时间，以上资料的评审时点也相应延长。投标人应及时维护其在广州市住建行业信用管理平台内登记的信息及上传件，确保各项信息及上传件在有效期内。</w:t>
      </w:r>
    </w:p>
    <w:p>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逾期送达的投标文件，电子招标投标交易平台将予以拒收。</w:t>
      </w:r>
    </w:p>
    <w:p>
      <w:pPr>
        <w:widowControl/>
        <w:shd w:val="clear" w:color="auto" w:fill="FFFFFF"/>
        <w:adjustRightInd/>
        <w:snapToGrid w:val="0"/>
        <w:spacing w:line="360" w:lineRule="auto"/>
        <w:ind w:firstLine="0" w:firstLineChars="0"/>
        <w:jc w:val="left"/>
        <w:rPr>
          <w:rFonts w:hint="eastAsia" w:ascii="宋体" w:hAnsi="宋体" w:eastAsia="宋体" w:cs="宋体"/>
          <w:b/>
          <w:color w:val="auto"/>
          <w:sz w:val="28"/>
          <w:szCs w:val="28"/>
          <w:highlight w:val="none"/>
        </w:rPr>
      </w:pPr>
    </w:p>
    <w:p>
      <w:pPr>
        <w:widowControl/>
        <w:shd w:val="clear" w:color="auto" w:fill="FFFFFF"/>
        <w:adjustRightInd/>
        <w:snapToGrid w:val="0"/>
        <w:spacing w:line="360" w:lineRule="auto"/>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6.发布公告的媒介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广州公共资源交易网（网址：http://www.gzggzy.cn）、中国招标投标公共服务平台（网址：http://www.cebpubservice.com/）、广东省招标投标监管网(网址：http://zbtb.gd.gov.cn/login) 发</w:t>
      </w:r>
      <w:r>
        <w:rPr>
          <w:rFonts w:hint="eastAsia" w:ascii="宋体" w:hAnsi="宋体" w:eastAsia="宋体" w:cs="宋体"/>
          <w:color w:val="auto"/>
          <w:sz w:val="24"/>
          <w:szCs w:val="24"/>
          <w:highlight w:val="none"/>
        </w:rPr>
        <w:t>布。本公告的修改、补充，在广州公共资源交易网发布。本公告在各媒体发布的文本如有不同之处，以在广州公共资源交易网发布的文本为准。</w:t>
      </w:r>
    </w:p>
    <w:p>
      <w:pPr>
        <w:adjustRightInd w:val="0"/>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7.联系方式</w:t>
      </w:r>
    </w:p>
    <w:p>
      <w:pPr>
        <w:keepNext w:val="0"/>
        <w:keepLines w:val="0"/>
        <w:pageBreakBefore w:val="0"/>
        <w:numPr>
          <w:ilvl w:val="0"/>
          <w:numId w:val="0"/>
        </w:numPr>
        <w:kinsoku/>
        <w:wordWrap/>
        <w:overflowPunct/>
        <w:topLinePunct w:val="0"/>
        <w:autoSpaceDE/>
        <w:autoSpaceDN/>
        <w:bidi w:val="0"/>
        <w:spacing w:line="360" w:lineRule="auto"/>
        <w:ind w:left="420" w:firstLine="0"/>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highlight w:val="none"/>
          <w:lang w:val="en-US" w:eastAsia="zh-CN"/>
        </w:rPr>
        <w:t>招</w:t>
      </w:r>
      <w:r>
        <w:rPr>
          <w:rFonts w:hint="eastAsia" w:ascii="宋体" w:hAnsi="宋体" w:eastAsia="宋体" w:cs="宋体"/>
          <w:color w:val="auto"/>
          <w:sz w:val="24"/>
          <w:highlight w:val="none"/>
        </w:rPr>
        <w:t>标单位：</w:t>
      </w:r>
      <w:r>
        <w:rPr>
          <w:rFonts w:hint="eastAsia" w:ascii="宋体" w:hAnsi="宋体" w:cs="宋体"/>
          <w:color w:val="auto"/>
          <w:sz w:val="24"/>
          <w:highlight w:val="none"/>
          <w:u w:val="single"/>
        </w:rPr>
        <w:t>广州市荔湾区人民政府逢源街道办事处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任生、钱生</w:t>
      </w:r>
      <w:r>
        <w:rPr>
          <w:rFonts w:hint="eastAsia" w:ascii="宋体" w:hAnsi="宋体" w:cs="宋体"/>
          <w:color w:val="auto"/>
          <w:sz w:val="24"/>
          <w:szCs w:val="24"/>
          <w:highlight w:val="none"/>
        </w:rPr>
        <w:t>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81382415</w:t>
      </w:r>
    </w:p>
    <w:p>
      <w:pPr>
        <w:widowControl/>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联系地址：</w:t>
      </w:r>
      <w:r>
        <w:rPr>
          <w:rFonts w:hint="eastAsia" w:ascii="宋体" w:hAnsi="宋体" w:eastAsia="宋体" w:cs="宋体"/>
          <w:color w:val="auto"/>
          <w:sz w:val="24"/>
          <w:szCs w:val="24"/>
          <w:highlight w:val="none"/>
          <w:u w:val="single"/>
          <w:lang w:val="en-US" w:eastAsia="zh-CN"/>
        </w:rPr>
        <w:t>广州市荔湾区华贵路华贵横街25号</w:t>
      </w:r>
    </w:p>
    <w:p>
      <w:pPr>
        <w:spacing w:line="360" w:lineRule="auto"/>
        <w:ind w:firstLine="420" w:firstLineChars="200"/>
        <w:rPr>
          <w:rFonts w:hint="eastAsia" w:ascii="宋体" w:hAnsi="宋体" w:eastAsia="宋体" w:cs="宋体"/>
          <w:color w:val="auto"/>
          <w:highlight w:val="none"/>
        </w:rPr>
      </w:pPr>
    </w:p>
    <w:p>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lang w:val="en-US" w:eastAsia="zh-CN"/>
        </w:rPr>
        <w:t>中达安股份有限公司</w:t>
      </w:r>
      <w:r>
        <w:rPr>
          <w:rFonts w:hint="eastAsia" w:ascii="宋体" w:hAnsi="宋体" w:eastAsia="宋体" w:cs="宋体"/>
          <w:color w:val="auto"/>
          <w:sz w:val="24"/>
          <w:highlight w:val="none"/>
          <w:u w:val="single"/>
        </w:rPr>
        <w:t xml:space="preserve"> </w:t>
      </w:r>
    </w:p>
    <w:p>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highlight w:val="none"/>
          <w:u w:val="single"/>
          <w:lang w:val="en-US" w:eastAsia="zh-CN"/>
        </w:rPr>
        <w:t>莫 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lang w:val="en-US" w:eastAsia="zh-CN"/>
        </w:rPr>
        <w:t>13556073240</w:t>
      </w:r>
    </w:p>
    <w:p>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联系地址：</w:t>
      </w:r>
      <w:r>
        <w:rPr>
          <w:rFonts w:hint="eastAsia" w:ascii="宋体" w:hAnsi="宋体" w:eastAsia="宋体" w:cs="宋体"/>
          <w:color w:val="auto"/>
          <w:sz w:val="24"/>
          <w:highlight w:val="none"/>
          <w:u w:val="single"/>
        </w:rPr>
        <w:t>广州市天河区体育西路103号维多利广场A塔20层</w:t>
      </w:r>
    </w:p>
    <w:p>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p>
    <w:p>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招标监督机构：</w:t>
      </w:r>
      <w:r>
        <w:rPr>
          <w:rFonts w:hint="eastAsia" w:ascii="宋体" w:eastAsia="宋体"/>
          <w:bCs/>
          <w:color w:val="auto"/>
          <w:sz w:val="24"/>
          <w:szCs w:val="24"/>
          <w:highlight w:val="none"/>
          <w:u w:val="single"/>
        </w:rPr>
        <w:t>广州市荔湾区建设工程招标管理办公室</w:t>
      </w:r>
    </w:p>
    <w:p>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监管电话：</w:t>
      </w:r>
      <w:r>
        <w:rPr>
          <w:rFonts w:hint="eastAsia" w:ascii="宋体" w:hAnsi="宋体" w:eastAsia="宋体" w:cs="宋体"/>
          <w:color w:val="auto"/>
          <w:sz w:val="24"/>
          <w:highlight w:val="none"/>
          <w:u w:val="single"/>
        </w:rPr>
        <w:t>020-81561896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eastAsia="宋体"/>
          <w:color w:val="auto"/>
          <w:sz w:val="24"/>
          <w:szCs w:val="24"/>
          <w:highlight w:val="none"/>
          <w:u w:val="single"/>
        </w:rPr>
        <w:t>广州市荔湾区信义路21号</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潜在投标人或利害关系人对本招标公告及招标内容有异议的，向招标人提出。</w:t>
      </w:r>
    </w:p>
    <w:p>
      <w:pPr>
        <w:keepNext w:val="0"/>
        <w:keepLines w:val="0"/>
        <w:pageBreakBefore w:val="0"/>
        <w:numPr>
          <w:ilvl w:val="0"/>
          <w:numId w:val="0"/>
        </w:numPr>
        <w:kinsoku/>
        <w:wordWrap/>
        <w:overflowPunct/>
        <w:topLinePunct w:val="0"/>
        <w:autoSpaceDE/>
        <w:autoSpaceDN/>
        <w:bidi w:val="0"/>
        <w:spacing w:line="360" w:lineRule="auto"/>
        <w:ind w:left="420" w:firstLine="0"/>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highlight w:val="none"/>
        </w:rPr>
        <w:t>异议受理部门：</w:t>
      </w:r>
      <w:r>
        <w:rPr>
          <w:rFonts w:hint="eastAsia" w:ascii="宋体" w:hAnsi="宋体" w:cs="宋体"/>
          <w:color w:val="auto"/>
          <w:sz w:val="24"/>
          <w:highlight w:val="none"/>
          <w:u w:val="single"/>
        </w:rPr>
        <w:t>广州市荔湾区人民政府逢源街道办事处</w:t>
      </w:r>
    </w:p>
    <w:p>
      <w:pPr>
        <w:adjustRightInd w:val="0"/>
        <w:snapToGrid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81382415</w:t>
      </w:r>
    </w:p>
    <w:p>
      <w:pPr>
        <w:adjustRightInd w:val="0"/>
        <w:snapToGrid w:val="0"/>
        <w:spacing w:line="360" w:lineRule="auto"/>
        <w:ind w:left="0" w:leftChars="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szCs w:val="24"/>
          <w:highlight w:val="none"/>
          <w:u w:val="single"/>
          <w:lang w:val="en-US" w:eastAsia="zh-CN"/>
        </w:rPr>
        <w:t>广州市荔湾区华贵路华贵横街25号</w:t>
      </w:r>
    </w:p>
    <w:p>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adjustRightInd w:val="0"/>
        <w:snapToGrid/>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8.特别提示</w:t>
      </w:r>
    </w:p>
    <w:p>
      <w:pPr>
        <w:adjustRightInd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（1）投标人在本项目招标人的工程项目中存在下列行为的，将被拒绝一年内参与招标人后续工程投标。（注：拒绝投标时限自招标人发出通知之日起计）：</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1.将中标工程转包或者违法分包的；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2.在中标工程中不执行质量、安全生产相关规定的，造成质量或安全事故的；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3.存在围标或串标情形的；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4.在投标文件中提供虚假材料的；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5.存在行贿情形的;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6.拖欠农民工工资的；</w:t>
      </w:r>
    </w:p>
    <w:p>
      <w:pPr>
        <w:adjustRightInd w:val="0"/>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7.未按照国家、省、市有关建筑施工实名制管理和工人工资支付分账管理的规定执行，被行政监管部门通报或处罚的。</w:t>
      </w:r>
    </w:p>
    <w:p>
      <w:pPr>
        <w:pStyle w:val="2"/>
        <w:spacing w:line="360" w:lineRule="auto"/>
        <w:rPr>
          <w:rFonts w:hint="eastAsia" w:ascii="宋体" w:hAnsi="宋体" w:eastAsia="宋体" w:cs="宋体"/>
          <w:color w:val="auto"/>
          <w:sz w:val="24"/>
          <w:highlight w:val="none"/>
        </w:rPr>
      </w:pPr>
    </w:p>
    <w:p>
      <w:pPr>
        <w:pStyle w:val="2"/>
        <w:spacing w:line="360" w:lineRule="auto"/>
        <w:rPr>
          <w:rFonts w:hint="eastAsia" w:ascii="宋体" w:hAnsi="宋体" w:eastAsia="宋体" w:cs="宋体"/>
          <w:color w:val="auto"/>
          <w:highlight w:val="none"/>
        </w:rPr>
      </w:pPr>
    </w:p>
    <w:p>
      <w:pPr>
        <w:wordWrap w:val="0"/>
        <w:adjustRightInd w:val="0"/>
        <w:snapToGrid w:val="0"/>
        <w:spacing w:line="360" w:lineRule="auto"/>
        <w:ind w:right="-20" w:firstLine="537" w:firstLineChars="224"/>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ordWrap w:val="0"/>
        <w:adjustRightInd w:val="0"/>
        <w:snapToGrid w:val="0"/>
        <w:spacing w:line="360" w:lineRule="auto"/>
        <w:ind w:right="-20" w:firstLine="537" w:firstLineChars="224"/>
        <w:jc w:val="right"/>
        <w:rPr>
          <w:rFonts w:hint="eastAsia" w:ascii="宋体" w:hAnsi="宋体" w:eastAsia="宋体" w:cs="宋体"/>
          <w:color w:val="auto"/>
          <w:sz w:val="24"/>
          <w:highlight w:val="none"/>
        </w:rPr>
      </w:pPr>
    </w:p>
    <w:p>
      <w:pPr>
        <w:wordWrap w:val="0"/>
        <w:adjustRightInd w:val="0"/>
        <w:snapToGrid w:val="0"/>
        <w:spacing w:line="360" w:lineRule="auto"/>
        <w:ind w:right="-20" w:firstLine="537" w:firstLineChars="224"/>
        <w:jc w:val="right"/>
        <w:rPr>
          <w:rFonts w:hint="eastAsia" w:ascii="宋体" w:hAnsi="宋体" w:eastAsia="宋体" w:cs="宋体"/>
          <w:color w:val="auto"/>
          <w:sz w:val="24"/>
          <w:highlight w:val="none"/>
        </w:rPr>
      </w:pPr>
    </w:p>
    <w:p>
      <w:pPr>
        <w:wordWrap w:val="0"/>
        <w:adjustRightInd w:val="0"/>
        <w:snapToGrid w:val="0"/>
        <w:spacing w:line="360" w:lineRule="auto"/>
        <w:ind w:right="-20" w:firstLine="537" w:firstLineChars="224"/>
        <w:jc w:val="right"/>
        <w:rPr>
          <w:rFonts w:hint="eastAsia" w:ascii="宋体" w:hAnsi="宋体" w:eastAsia="宋体" w:cs="宋体"/>
          <w:color w:val="auto"/>
          <w:sz w:val="24"/>
          <w:highlight w:val="none"/>
        </w:rPr>
      </w:pPr>
    </w:p>
    <w:p>
      <w:pPr>
        <w:wordWrap w:val="0"/>
        <w:adjustRightInd w:val="0"/>
        <w:snapToGrid w:val="0"/>
        <w:spacing w:line="360" w:lineRule="auto"/>
        <w:ind w:right="-20" w:firstLine="537" w:firstLineChars="22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招标单位：</w:t>
      </w:r>
      <w:r>
        <w:rPr>
          <w:rFonts w:hint="eastAsia" w:ascii="宋体" w:hAnsi="宋体" w:cs="宋体"/>
          <w:color w:val="auto"/>
          <w:sz w:val="24"/>
          <w:highlight w:val="none"/>
          <w:u w:val="single"/>
        </w:rPr>
        <w:t>广州市荔湾区人民政府逢源街道办事处</w:t>
      </w:r>
    </w:p>
    <w:p>
      <w:pPr>
        <w:adjustRightInd w:val="0"/>
        <w:snapToGrid w:val="0"/>
        <w:spacing w:line="360" w:lineRule="auto"/>
        <w:ind w:right="-20" w:firstLine="537" w:firstLineChars="224"/>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lang w:val="en-US" w:eastAsia="zh-CN"/>
        </w:rPr>
        <w:t>中达安股份有限公司</w:t>
      </w:r>
      <w:r>
        <w:rPr>
          <w:rFonts w:hint="eastAsia" w:ascii="宋体" w:hAnsi="宋体" w:eastAsia="宋体" w:cs="宋体"/>
          <w:color w:val="auto"/>
          <w:sz w:val="24"/>
          <w:highlight w:val="none"/>
          <w:u w:val="single"/>
        </w:rPr>
        <w:t xml:space="preserve"> </w:t>
      </w:r>
    </w:p>
    <w:p>
      <w:pPr>
        <w:widowControl/>
        <w:tabs>
          <w:tab w:val="left" w:pos="180"/>
        </w:tabs>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期：2023年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widowControl/>
        <w:tabs>
          <w:tab w:val="left" w:pos="180"/>
        </w:tabs>
        <w:adjustRightInd w:val="0"/>
        <w:snapToGrid w:val="0"/>
        <w:spacing w:line="276" w:lineRule="auto"/>
        <w:jc w:val="left"/>
        <w:rPr>
          <w:rFonts w:hint="eastAsia" w:ascii="宋体" w:hAnsi="宋体" w:eastAsia="宋体" w:cs="宋体"/>
          <w:color w:val="auto"/>
          <w:sz w:val="24"/>
          <w:highlight w:val="none"/>
        </w:rPr>
      </w:pPr>
      <w:bookmarkStart w:id="2" w:name="_GoBack"/>
      <w:bookmarkEnd w:id="2"/>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附件一：</w:t>
      </w:r>
    </w:p>
    <w:p>
      <w:pPr>
        <w:spacing w:line="360" w:lineRule="auto"/>
        <w:jc w:val="center"/>
        <w:rPr>
          <w:rFonts w:hint="eastAsia" w:ascii="宋体" w:hAnsi="宋体" w:eastAsia="宋体" w:cs="宋体"/>
          <w:b/>
          <w:color w:val="auto"/>
          <w:sz w:val="44"/>
          <w:szCs w:val="44"/>
          <w:highlight w:val="none"/>
        </w:rPr>
      </w:pPr>
      <w:bookmarkStart w:id="0" w:name="_Toc416357992"/>
      <w:bookmarkStart w:id="1" w:name="_Toc416358163"/>
      <w:r>
        <w:rPr>
          <w:rFonts w:hint="eastAsia" w:ascii="宋体" w:hAnsi="宋体" w:eastAsia="宋体" w:cs="宋体"/>
          <w:b/>
          <w:color w:val="auto"/>
          <w:sz w:val="44"/>
          <w:szCs w:val="44"/>
          <w:highlight w:val="none"/>
        </w:rPr>
        <w:t>投标申请人声明</w:t>
      </w:r>
      <w:bookmarkEnd w:id="0"/>
      <w:bookmarkEnd w:id="1"/>
    </w:p>
    <w:p>
      <w:pPr>
        <w:pStyle w:val="26"/>
        <w:ind w:firstLine="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本招标项目招标人及招标监管机构</w:t>
      </w:r>
      <w:r>
        <w:rPr>
          <w:rFonts w:hint="eastAsia" w:ascii="宋体" w:hAnsi="宋体" w:eastAsia="宋体" w:cs="宋体"/>
          <w:color w:val="auto"/>
          <w:sz w:val="24"/>
          <w:szCs w:val="24"/>
          <w:highlight w:val="none"/>
        </w:rPr>
        <w:t>：</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（2）为本标段监理人或者与本标段监理人存在隶属关系或者其他利害关系；</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（3）为本标段的代建人；</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（4）为本标段提供招标代理服务的；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（5）与本标段的监理人或代建人或招标代理机构同为一个法定代表人的；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（6）与本标段的监理人或代建人或招标代理机构互相控股或参股的；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（7）与本标段的监理人或代建人或招标代理机构相互任职或工作的；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（8）与本标段的检测机构有隶属关系或者其他利害关系；</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（9）与招标人存在利害关系且可能影响招标公正性； </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（10）与本标段的其他投标人为同一个单位负责人； </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（11）与本标段的其他投标人存在控股、管理关系； </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（12）被暂扣安全生产许可证的；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（13）被依法暂停或取消投标资格的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（14）被责令停产停业、暂扣或者吊销许可证、暂扣或者吊销执照的</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r>
        <w:rPr>
          <w:rFonts w:hint="eastAsia" w:ascii="宋体" w:hAnsi="宋体" w:eastAsia="宋体" w:cs="宋体"/>
          <w:color w:val="auto"/>
          <w:sz w:val="24"/>
          <w:szCs w:val="24"/>
          <w:highlight w:val="none"/>
        </w:rPr>
        <w:t>；</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26"/>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r>
        <w:rPr>
          <w:rFonts w:hint="eastAsia" w:ascii="宋体" w:hAnsi="宋体" w:eastAsia="宋体" w:cs="宋体"/>
          <w:color w:val="auto"/>
          <w:sz w:val="24"/>
          <w:szCs w:val="24"/>
          <w:highlight w:val="none"/>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 w:val="24"/>
          <w:szCs w:val="24"/>
          <w:highlight w:val="none"/>
        </w:rPr>
        <w:t>；</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（17）法律法规规定的其他情形。</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
          <w:bCs/>
          <w:color w:val="auto"/>
          <w:sz w:val="24"/>
          <w:szCs w:val="24"/>
          <w:highlight w:val="none"/>
          <w:u w:val="single"/>
        </w:rPr>
        <w:t>我方保证本项目拟派的项目负责人没有在其他工程项目担任工程总承包项目负责人、施工项目负责人；我方保证本项目拟派的施工负责人没有在其他在建项目中任施工单位项目负责人，本项目拟派的专职安全员没有在其他在建项目中任职。</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广州市建筑施工实名制管理办法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6"/>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pPr>
        <w:pStyle w:val="26"/>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6"/>
        <w:ind w:firstLine="5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ind w:firstLine="5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8"/>
        <w:adjustRightInd w:val="0"/>
        <w:snapToGrid w:val="0"/>
        <w:spacing w:line="288" w:lineRule="auto"/>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28"/>
        <w:adjustRightInd w:val="0"/>
        <w:snapToGrid w:val="0"/>
        <w:spacing w:line="288" w:lineRule="auto"/>
        <w:ind w:left="629" w:right="1449"/>
        <w:jc w:val="both"/>
        <w:rPr>
          <w:rFonts w:hint="eastAsia" w:ascii="宋体" w:hAnsi="宋体" w:eastAsia="宋体" w:cs="宋体"/>
          <w:color w:val="auto"/>
          <w:sz w:val="21"/>
          <w:szCs w:val="21"/>
          <w:highlight w:val="none"/>
        </w:rPr>
      </w:pPr>
    </w:p>
    <w:p>
      <w:pPr>
        <w:pStyle w:val="28"/>
        <w:adjustRightInd w:val="0"/>
        <w:snapToGrid w:val="0"/>
        <w:spacing w:line="288" w:lineRule="auto"/>
        <w:ind w:left="0" w:right="1449" w:firstLine="3150" w:firstLineChars="1500"/>
        <w:jc w:val="both"/>
        <w:rPr>
          <w:rFonts w:hint="eastAsia" w:ascii="宋体" w:hAnsi="宋体" w:eastAsia="宋体" w:cs="宋体"/>
          <w:color w:val="auto"/>
          <w:sz w:val="21"/>
          <w:szCs w:val="21"/>
          <w:highlight w:val="none"/>
        </w:rPr>
      </w:pPr>
    </w:p>
    <w:p>
      <w:pPr>
        <w:pStyle w:val="28"/>
        <w:adjustRightInd w:val="0"/>
        <w:snapToGrid w:val="0"/>
        <w:spacing w:line="288" w:lineRule="auto"/>
        <w:ind w:left="0" w:right="1449" w:firstLine="3150" w:firstLineChars="1500"/>
        <w:jc w:val="both"/>
        <w:rPr>
          <w:rFonts w:hint="eastAsia" w:ascii="宋体" w:hAnsi="宋体" w:eastAsia="宋体" w:cs="宋体"/>
          <w:color w:val="auto"/>
          <w:sz w:val="21"/>
          <w:szCs w:val="21"/>
          <w:highlight w:val="none"/>
        </w:rPr>
      </w:pPr>
    </w:p>
    <w:p>
      <w:pPr>
        <w:pStyle w:val="28"/>
        <w:adjustRightInd w:val="0"/>
        <w:snapToGrid w:val="0"/>
        <w:spacing w:line="288" w:lineRule="auto"/>
        <w:ind w:left="0" w:right="1449" w:firstLine="3600" w:firstLineChars="1500"/>
        <w:jc w:val="both"/>
        <w:rPr>
          <w:rFonts w:hint="eastAsia" w:ascii="宋体" w:hAnsi="宋体" w:eastAsia="宋体" w:cs="宋体"/>
          <w:color w:val="auto"/>
          <w:sz w:val="24"/>
          <w:szCs w:val="24"/>
          <w:highlight w:val="none"/>
        </w:rPr>
      </w:pPr>
    </w:p>
    <w:p>
      <w:pPr>
        <w:pStyle w:val="28"/>
        <w:adjustRightInd w:val="0"/>
        <w:snapToGrid w:val="0"/>
        <w:spacing w:line="288" w:lineRule="auto"/>
        <w:ind w:left="0" w:right="1449" w:firstLine="4560" w:firstLineChars="1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26"/>
        <w:adjustRightInd w:val="0"/>
        <w:snapToGrid w:val="0"/>
        <w:spacing w:line="288"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w:t>
      </w:r>
    </w:p>
    <w:p>
      <w:pPr>
        <w:pStyle w:val="26"/>
        <w:adjustRightInd w:val="0"/>
        <w:snapToGrid w:val="0"/>
        <w:spacing w:line="288"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项目负责人签字:</w:t>
      </w:r>
    </w:p>
    <w:p>
      <w:pPr>
        <w:pStyle w:val="26"/>
        <w:adjustRightInd w:val="0"/>
        <w:snapToGrid w:val="0"/>
        <w:spacing w:line="288" w:lineRule="auto"/>
        <w:ind w:right="1179"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施工技术负责人签字：</w:t>
      </w:r>
    </w:p>
    <w:p>
      <w:pPr>
        <w:pStyle w:val="26"/>
        <w:adjustRightInd w:val="0"/>
        <w:snapToGrid w:val="0"/>
        <w:spacing w:line="288" w:lineRule="auto"/>
        <w:ind w:right="1179" w:firstLine="0"/>
        <w:rPr>
          <w:rFonts w:hint="eastAsia" w:ascii="宋体" w:hAnsi="宋体" w:eastAsia="宋体" w:cs="宋体"/>
          <w:color w:val="auto"/>
          <w:sz w:val="24"/>
          <w:szCs w:val="24"/>
          <w:highlight w:val="none"/>
        </w:rPr>
      </w:pPr>
    </w:p>
    <w:p>
      <w:pPr>
        <w:pStyle w:val="26"/>
        <w:adjustRightInd w:val="0"/>
        <w:snapToGrid w:val="0"/>
        <w:spacing w:line="288" w:lineRule="auto"/>
        <w:ind w:right="879" w:firstLine="2160" w:firstLineChars="900"/>
        <w:jc w:val="right"/>
        <w:rPr>
          <w:rFonts w:hint="eastAsia" w:ascii="宋体" w:hAnsi="宋体" w:eastAsia="宋体" w:cs="宋体"/>
          <w:color w:val="auto"/>
          <w:sz w:val="24"/>
          <w:szCs w:val="24"/>
          <w:highlight w:val="none"/>
          <w:lang w:eastAsia="zh-CN"/>
        </w:rPr>
      </w:pPr>
    </w:p>
    <w:p>
      <w:pPr>
        <w:pStyle w:val="26"/>
        <w:adjustRightInd w:val="0"/>
        <w:snapToGrid w:val="0"/>
        <w:spacing w:line="288"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023</w:t>
      </w:r>
      <w:r>
        <w:rPr>
          <w:rFonts w:hint="eastAsia" w:ascii="宋体" w:hAnsi="宋体" w:eastAsia="宋体" w:cs="宋体"/>
          <w:color w:val="auto"/>
          <w:sz w:val="24"/>
          <w:szCs w:val="24"/>
          <w:highlight w:val="none"/>
        </w:rPr>
        <w:t>年   月   日</w:t>
      </w:r>
    </w:p>
    <w:p>
      <w:pPr>
        <w:shd w:val="clear" w:color="auto" w:fill="FFFFFF"/>
        <w:snapToGrid w:val="0"/>
        <w:spacing w:line="288"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pPr>
        <w:spacing w:line="400" w:lineRule="exact"/>
        <w:rPr>
          <w:rFonts w:hint="eastAsia" w:ascii="宋体" w:hAnsi="宋体" w:eastAsia="宋体" w:cs="宋体"/>
          <w:b/>
          <w:color w:val="auto"/>
          <w:kern w:val="0"/>
          <w:szCs w:val="21"/>
          <w:highlight w:val="none"/>
        </w:rPr>
      </w:pPr>
    </w:p>
    <w:p>
      <w:pPr>
        <w:pStyle w:val="2"/>
        <w:rPr>
          <w:rFonts w:hint="eastAsia"/>
          <w:color w:val="auto"/>
          <w:highlight w:val="none"/>
        </w:rPr>
      </w:pPr>
    </w:p>
    <w:p>
      <w:pPr>
        <w:spacing w:line="40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注：投标人（</w:t>
      </w:r>
      <w:r>
        <w:rPr>
          <w:rFonts w:hint="eastAsia" w:ascii="宋体" w:hAnsi="宋体" w:eastAsia="宋体" w:cs="宋体"/>
          <w:b/>
          <w:bCs/>
          <w:color w:val="auto"/>
          <w:szCs w:val="21"/>
          <w:highlight w:val="none"/>
        </w:rPr>
        <w:t>若为联合体投标，指联合体主办单位</w:t>
      </w:r>
      <w:r>
        <w:rPr>
          <w:rFonts w:hint="eastAsia" w:ascii="宋体" w:hAnsi="宋体" w:eastAsia="宋体" w:cs="宋体"/>
          <w:b/>
          <w:color w:val="auto"/>
          <w:kern w:val="0"/>
          <w:szCs w:val="21"/>
          <w:highlight w:val="none"/>
        </w:rPr>
        <w:t>）的法定代表人、项目负责人、施工负责人、施工技术负责人需签字。若为联合体，声明企业包含联合体各单位，由联合体主办单位盖章即可。</w:t>
      </w:r>
    </w:p>
    <w:p>
      <w:pPr>
        <w:widowControl/>
        <w:snapToGrid w:val="0"/>
        <w:spacing w:line="360" w:lineRule="auto"/>
        <w:ind w:right="102"/>
        <w:jc w:val="left"/>
        <w:rPr>
          <w:rFonts w:hint="eastAsia" w:ascii="宋体" w:hAnsi="宋体" w:eastAsia="宋体" w:cs="宋体"/>
          <w:color w:val="auto"/>
          <w:sz w:val="18"/>
          <w:szCs w:val="18"/>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联合体共同投标协议书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  </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我方决定组成联合体共同参加以上项目的投标，若中标，联合体各成员向招标人承担连带责任。我方授权委托本协议</w:t>
      </w:r>
      <w:r>
        <w:rPr>
          <w:rFonts w:hint="eastAsia" w:ascii="宋体" w:hAnsi="宋体" w:eastAsia="宋体" w:cs="宋体"/>
          <w:color w:val="auto"/>
          <w:sz w:val="24"/>
          <w:szCs w:val="24"/>
          <w:highlight w:val="none"/>
          <w:lang w:val="en-US" w:eastAsia="zh-CN"/>
        </w:rPr>
        <w:t>主办方</w:t>
      </w:r>
      <w:r>
        <w:rPr>
          <w:rFonts w:hint="eastAsia" w:ascii="宋体" w:hAnsi="宋体" w:eastAsia="宋体" w:cs="宋体"/>
          <w:color w:val="auto"/>
          <w:sz w:val="24"/>
          <w:szCs w:val="24"/>
          <w:highlight w:val="none"/>
        </w:rPr>
        <w:t>，代表所有联合体成员参加投标、签署投标资料、提交投标文件，以及与招标人签订合同，负责整个合同实施阶段的协调工作。</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w:t>
      </w:r>
      <w:r>
        <w:rPr>
          <w:rFonts w:hint="eastAsia" w:ascii="宋体" w:hAnsi="宋体" w:eastAsia="宋体" w:cs="宋体"/>
          <w:color w:val="auto"/>
          <w:sz w:val="24"/>
          <w:szCs w:val="24"/>
          <w:highlight w:val="none"/>
          <w:lang w:val="en-US" w:eastAsia="zh-CN"/>
        </w:rPr>
        <w:t>主办方</w:t>
      </w:r>
      <w:r>
        <w:rPr>
          <w:rFonts w:hint="eastAsia" w:ascii="宋体" w:hAnsi="宋体" w:eastAsia="宋体" w:cs="宋体"/>
          <w:color w:val="auto"/>
          <w:sz w:val="24"/>
          <w:szCs w:val="24"/>
          <w:highlight w:val="none"/>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联合体将严格按照招标文件的各项要求，递交投标文件，履行合同，并对外承担相应责任。</w:t>
      </w:r>
    </w:p>
    <w:p>
      <w:pPr>
        <w:spacing w:line="3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主办方</w:t>
      </w:r>
      <w:r>
        <w:rPr>
          <w:rFonts w:hint="eastAsia" w:ascii="宋体" w:hAnsi="宋体" w:eastAsia="宋体" w:cs="宋体"/>
          <w:color w:val="auto"/>
          <w:sz w:val="24"/>
          <w:szCs w:val="24"/>
          <w:highlight w:val="none"/>
        </w:rPr>
        <w:t>：（盖章）</w:t>
      </w:r>
      <w:r>
        <w:rPr>
          <w:rFonts w:hint="eastAsia" w:ascii="宋体" w:hAnsi="宋体" w:eastAsia="宋体" w:cs="宋体"/>
          <w:b/>
          <w:bCs/>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b/>
          <w:bCs/>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分工内容：</w:t>
      </w:r>
      <w:r>
        <w:rPr>
          <w:rFonts w:hint="eastAsia" w:ascii="宋体" w:hAnsi="宋体" w:eastAsia="宋体" w:cs="宋体"/>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spacing w:line="3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联合体成员：（盖章）</w:t>
      </w:r>
      <w:r>
        <w:rPr>
          <w:rFonts w:hint="eastAsia" w:ascii="宋体" w:hAnsi="宋体" w:eastAsia="宋体" w:cs="宋体"/>
          <w:b/>
          <w:bCs/>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b/>
          <w:bCs/>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分工内容：</w:t>
      </w:r>
      <w:r>
        <w:rPr>
          <w:rFonts w:hint="eastAsia" w:ascii="宋体" w:hAnsi="宋体" w:eastAsia="宋体" w:cs="宋体"/>
          <w:color w:val="auto"/>
          <w:sz w:val="24"/>
          <w:szCs w:val="24"/>
          <w:highlight w:val="none"/>
          <w:u w:val="singl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spacing w:line="360" w:lineRule="exact"/>
        <w:ind w:firstLine="420" w:firstLineChars="175"/>
        <w:rPr>
          <w:rFonts w:hint="eastAsia" w:ascii="宋体" w:hAnsi="宋体" w:eastAsia="宋体" w:cs="宋体"/>
          <w:color w:val="auto"/>
          <w:sz w:val="24"/>
          <w:szCs w:val="24"/>
          <w:highlight w:val="none"/>
        </w:rPr>
      </w:pPr>
    </w:p>
    <w:p>
      <w:pPr>
        <w:pStyle w:val="2"/>
        <w:spacing w:line="360" w:lineRule="exact"/>
        <w:ind w:firstLine="420" w:firstLineChars="175"/>
        <w:rPr>
          <w:rFonts w:hint="eastAsia" w:ascii="宋体" w:hAnsi="宋体" w:eastAsia="宋体" w:cs="宋体"/>
          <w:color w:val="auto"/>
          <w:sz w:val="24"/>
          <w:szCs w:val="24"/>
          <w:highlight w:val="none"/>
        </w:rPr>
      </w:pPr>
    </w:p>
    <w:p>
      <w:pPr>
        <w:pStyle w:val="2"/>
        <w:spacing w:line="360" w:lineRule="exact"/>
        <w:ind w:firstLine="420" w:firstLineChars="175"/>
        <w:rPr>
          <w:rFonts w:hint="eastAsia" w:ascii="宋体" w:hAnsi="宋体" w:eastAsia="宋体" w:cs="宋体"/>
          <w:color w:val="auto"/>
          <w:sz w:val="24"/>
          <w:szCs w:val="24"/>
          <w:highlight w:val="none"/>
        </w:rPr>
      </w:pP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spacing w:line="3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日</w:t>
      </w:r>
    </w:p>
    <w:p>
      <w:pPr>
        <w:widowControl/>
        <w:snapToGrid w:val="0"/>
        <w:spacing w:line="360" w:lineRule="auto"/>
        <w:ind w:right="102"/>
        <w:jc w:val="left"/>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p>
    <w:p>
      <w:pPr>
        <w:pStyle w:val="31"/>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注：1、单独投标的，无需提交本协议书。</w:t>
      </w:r>
    </w:p>
    <w:p>
      <w:pPr>
        <w:pStyle w:val="31"/>
        <w:ind w:firstLine="0"/>
        <w:rPr>
          <w:rFonts w:hint="eastAsia" w:ascii="宋体" w:hAnsi="宋体" w:eastAsia="宋体" w:cs="宋体"/>
          <w:color w:val="auto"/>
          <w:sz w:val="24"/>
          <w:szCs w:val="24"/>
          <w:highlight w:val="none"/>
        </w:rPr>
      </w:pPr>
      <w:r>
        <w:rPr>
          <w:rFonts w:hint="eastAsia" w:ascii="宋体" w:hAnsi="宋体" w:eastAsia="宋体" w:cs="宋体"/>
          <w:color w:val="auto"/>
          <w:highlight w:val="none"/>
        </w:rPr>
        <w:t>2、联合体投标的可根据实际情况自行增加或删除成员名单。</w:t>
      </w:r>
    </w:p>
    <w:sectPr>
      <w:footerReference r:id="rId3" w:type="default"/>
      <w:pgSz w:w="11906" w:h="16838"/>
      <w:pgMar w:top="1440" w:right="1028" w:bottom="1118" w:left="9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mMyNjY3MjA5NzIyODQzMDg4ZmQwNTJhZGY4MzIifQ=="/>
  </w:docVars>
  <w:rsids>
    <w:rsidRoot w:val="00172A27"/>
    <w:rsid w:val="00003799"/>
    <w:rsid w:val="000057F2"/>
    <w:rsid w:val="000069F8"/>
    <w:rsid w:val="000235F6"/>
    <w:rsid w:val="00024097"/>
    <w:rsid w:val="000304A4"/>
    <w:rsid w:val="00035A08"/>
    <w:rsid w:val="00036D27"/>
    <w:rsid w:val="00067194"/>
    <w:rsid w:val="00075492"/>
    <w:rsid w:val="00077DF0"/>
    <w:rsid w:val="0008730F"/>
    <w:rsid w:val="0009024C"/>
    <w:rsid w:val="000A0A47"/>
    <w:rsid w:val="000A318E"/>
    <w:rsid w:val="000A6054"/>
    <w:rsid w:val="000B19D1"/>
    <w:rsid w:val="000B2E28"/>
    <w:rsid w:val="000D7CD0"/>
    <w:rsid w:val="000E3BCD"/>
    <w:rsid w:val="000E4F53"/>
    <w:rsid w:val="000F6197"/>
    <w:rsid w:val="00110E14"/>
    <w:rsid w:val="00126C9C"/>
    <w:rsid w:val="001411D0"/>
    <w:rsid w:val="001412F0"/>
    <w:rsid w:val="00141E8C"/>
    <w:rsid w:val="001434A1"/>
    <w:rsid w:val="00147E7B"/>
    <w:rsid w:val="00156813"/>
    <w:rsid w:val="0016157B"/>
    <w:rsid w:val="00165608"/>
    <w:rsid w:val="00167649"/>
    <w:rsid w:val="00170208"/>
    <w:rsid w:val="00173E08"/>
    <w:rsid w:val="001874FC"/>
    <w:rsid w:val="00191E96"/>
    <w:rsid w:val="00197CDB"/>
    <w:rsid w:val="001A23C9"/>
    <w:rsid w:val="001A4856"/>
    <w:rsid w:val="001B5494"/>
    <w:rsid w:val="001B63F2"/>
    <w:rsid w:val="001C250F"/>
    <w:rsid w:val="001C2E98"/>
    <w:rsid w:val="001C399A"/>
    <w:rsid w:val="001D029F"/>
    <w:rsid w:val="001D40DA"/>
    <w:rsid w:val="001D703F"/>
    <w:rsid w:val="001F17FF"/>
    <w:rsid w:val="001F7415"/>
    <w:rsid w:val="002005AC"/>
    <w:rsid w:val="0020500C"/>
    <w:rsid w:val="002063E4"/>
    <w:rsid w:val="002216E8"/>
    <w:rsid w:val="002218B2"/>
    <w:rsid w:val="002228FB"/>
    <w:rsid w:val="00222CB0"/>
    <w:rsid w:val="00223836"/>
    <w:rsid w:val="00230687"/>
    <w:rsid w:val="00233FD8"/>
    <w:rsid w:val="00234A42"/>
    <w:rsid w:val="0024415F"/>
    <w:rsid w:val="00245102"/>
    <w:rsid w:val="00247747"/>
    <w:rsid w:val="00257909"/>
    <w:rsid w:val="002626E6"/>
    <w:rsid w:val="00265246"/>
    <w:rsid w:val="00281290"/>
    <w:rsid w:val="00287BE2"/>
    <w:rsid w:val="00295ED0"/>
    <w:rsid w:val="002A3BE3"/>
    <w:rsid w:val="002B1875"/>
    <w:rsid w:val="002B490C"/>
    <w:rsid w:val="002B59D5"/>
    <w:rsid w:val="002F3FF5"/>
    <w:rsid w:val="003031E5"/>
    <w:rsid w:val="00312F02"/>
    <w:rsid w:val="00321592"/>
    <w:rsid w:val="00321ACF"/>
    <w:rsid w:val="00324E2E"/>
    <w:rsid w:val="00327A1E"/>
    <w:rsid w:val="00351476"/>
    <w:rsid w:val="00355764"/>
    <w:rsid w:val="0035777A"/>
    <w:rsid w:val="00362157"/>
    <w:rsid w:val="0036319A"/>
    <w:rsid w:val="00371B81"/>
    <w:rsid w:val="00377621"/>
    <w:rsid w:val="003870D0"/>
    <w:rsid w:val="003A0FA8"/>
    <w:rsid w:val="003A1A27"/>
    <w:rsid w:val="003B0797"/>
    <w:rsid w:val="003B1CA5"/>
    <w:rsid w:val="003B7EF4"/>
    <w:rsid w:val="003D31C7"/>
    <w:rsid w:val="003D3CCD"/>
    <w:rsid w:val="003D4979"/>
    <w:rsid w:val="003F1603"/>
    <w:rsid w:val="00401114"/>
    <w:rsid w:val="004034B6"/>
    <w:rsid w:val="00403784"/>
    <w:rsid w:val="00406505"/>
    <w:rsid w:val="00427EFC"/>
    <w:rsid w:val="00430337"/>
    <w:rsid w:val="00442103"/>
    <w:rsid w:val="0044379A"/>
    <w:rsid w:val="00446E9E"/>
    <w:rsid w:val="004470C9"/>
    <w:rsid w:val="00452953"/>
    <w:rsid w:val="00453553"/>
    <w:rsid w:val="004603DE"/>
    <w:rsid w:val="004636A4"/>
    <w:rsid w:val="00470E74"/>
    <w:rsid w:val="004748AD"/>
    <w:rsid w:val="004A0B40"/>
    <w:rsid w:val="004A55A4"/>
    <w:rsid w:val="004B49F8"/>
    <w:rsid w:val="004B678F"/>
    <w:rsid w:val="004C0F98"/>
    <w:rsid w:val="004C12E2"/>
    <w:rsid w:val="004C2389"/>
    <w:rsid w:val="004D6FCE"/>
    <w:rsid w:val="004D74FD"/>
    <w:rsid w:val="004F1A68"/>
    <w:rsid w:val="00500C8D"/>
    <w:rsid w:val="00510BB1"/>
    <w:rsid w:val="00514C22"/>
    <w:rsid w:val="0054613C"/>
    <w:rsid w:val="0055238D"/>
    <w:rsid w:val="00552C7B"/>
    <w:rsid w:val="005570BC"/>
    <w:rsid w:val="00561159"/>
    <w:rsid w:val="00563257"/>
    <w:rsid w:val="00563AED"/>
    <w:rsid w:val="00565EB3"/>
    <w:rsid w:val="00577AB5"/>
    <w:rsid w:val="00584BAF"/>
    <w:rsid w:val="0058788A"/>
    <w:rsid w:val="005A417A"/>
    <w:rsid w:val="005A5E47"/>
    <w:rsid w:val="005A6B29"/>
    <w:rsid w:val="005B641D"/>
    <w:rsid w:val="005C6A80"/>
    <w:rsid w:val="005D0322"/>
    <w:rsid w:val="005D1998"/>
    <w:rsid w:val="005D55D5"/>
    <w:rsid w:val="005E3675"/>
    <w:rsid w:val="005E38AF"/>
    <w:rsid w:val="005E4B12"/>
    <w:rsid w:val="005E6813"/>
    <w:rsid w:val="005F0AD0"/>
    <w:rsid w:val="005F5FF4"/>
    <w:rsid w:val="00602709"/>
    <w:rsid w:val="006041E8"/>
    <w:rsid w:val="0060552C"/>
    <w:rsid w:val="00617721"/>
    <w:rsid w:val="00621679"/>
    <w:rsid w:val="00622A43"/>
    <w:rsid w:val="00623D03"/>
    <w:rsid w:val="0062695C"/>
    <w:rsid w:val="0063408B"/>
    <w:rsid w:val="00635817"/>
    <w:rsid w:val="0064287A"/>
    <w:rsid w:val="00645FAA"/>
    <w:rsid w:val="00654CC9"/>
    <w:rsid w:val="00661A42"/>
    <w:rsid w:val="00667715"/>
    <w:rsid w:val="006725EE"/>
    <w:rsid w:val="00672FE4"/>
    <w:rsid w:val="00675BE1"/>
    <w:rsid w:val="00680128"/>
    <w:rsid w:val="00690A12"/>
    <w:rsid w:val="006A5D66"/>
    <w:rsid w:val="006B1709"/>
    <w:rsid w:val="006B3E04"/>
    <w:rsid w:val="006B5EAB"/>
    <w:rsid w:val="006C5791"/>
    <w:rsid w:val="006D3619"/>
    <w:rsid w:val="006D62EC"/>
    <w:rsid w:val="006D641D"/>
    <w:rsid w:val="006E7397"/>
    <w:rsid w:val="00700B5E"/>
    <w:rsid w:val="0070238B"/>
    <w:rsid w:val="00706B79"/>
    <w:rsid w:val="0071380F"/>
    <w:rsid w:val="00717E49"/>
    <w:rsid w:val="007308D6"/>
    <w:rsid w:val="00746D10"/>
    <w:rsid w:val="007655C8"/>
    <w:rsid w:val="007709CD"/>
    <w:rsid w:val="0077315A"/>
    <w:rsid w:val="0077463C"/>
    <w:rsid w:val="007769E2"/>
    <w:rsid w:val="007A6FA5"/>
    <w:rsid w:val="007B0B9E"/>
    <w:rsid w:val="007B5BF8"/>
    <w:rsid w:val="007D7A73"/>
    <w:rsid w:val="007E0259"/>
    <w:rsid w:val="007E07E6"/>
    <w:rsid w:val="007E20C7"/>
    <w:rsid w:val="007F107E"/>
    <w:rsid w:val="00800148"/>
    <w:rsid w:val="0080651D"/>
    <w:rsid w:val="00833809"/>
    <w:rsid w:val="00840048"/>
    <w:rsid w:val="008429FA"/>
    <w:rsid w:val="00843F06"/>
    <w:rsid w:val="00853F58"/>
    <w:rsid w:val="00857075"/>
    <w:rsid w:val="008837D9"/>
    <w:rsid w:val="0088401B"/>
    <w:rsid w:val="00892B04"/>
    <w:rsid w:val="00896A66"/>
    <w:rsid w:val="00897F43"/>
    <w:rsid w:val="008A0305"/>
    <w:rsid w:val="008A27AA"/>
    <w:rsid w:val="008B33E0"/>
    <w:rsid w:val="008B4C71"/>
    <w:rsid w:val="008D1465"/>
    <w:rsid w:val="008D2935"/>
    <w:rsid w:val="008E08E6"/>
    <w:rsid w:val="008E100B"/>
    <w:rsid w:val="008E2B71"/>
    <w:rsid w:val="008E42BA"/>
    <w:rsid w:val="008E7760"/>
    <w:rsid w:val="008F2B77"/>
    <w:rsid w:val="008F6894"/>
    <w:rsid w:val="008F7993"/>
    <w:rsid w:val="008F7E7D"/>
    <w:rsid w:val="00907DAE"/>
    <w:rsid w:val="009179A8"/>
    <w:rsid w:val="009276B5"/>
    <w:rsid w:val="00934292"/>
    <w:rsid w:val="009355EF"/>
    <w:rsid w:val="00951770"/>
    <w:rsid w:val="00951AB1"/>
    <w:rsid w:val="009531A6"/>
    <w:rsid w:val="009532A5"/>
    <w:rsid w:val="00961D49"/>
    <w:rsid w:val="009705AA"/>
    <w:rsid w:val="00970802"/>
    <w:rsid w:val="0097633C"/>
    <w:rsid w:val="009829FE"/>
    <w:rsid w:val="00983107"/>
    <w:rsid w:val="00983D6B"/>
    <w:rsid w:val="00994860"/>
    <w:rsid w:val="00994C77"/>
    <w:rsid w:val="009A3F3E"/>
    <w:rsid w:val="009B7E90"/>
    <w:rsid w:val="009C00B6"/>
    <w:rsid w:val="009C0A63"/>
    <w:rsid w:val="009D1D8A"/>
    <w:rsid w:val="009E1974"/>
    <w:rsid w:val="009E4942"/>
    <w:rsid w:val="009E6EAA"/>
    <w:rsid w:val="00A0451C"/>
    <w:rsid w:val="00A10DD7"/>
    <w:rsid w:val="00A16853"/>
    <w:rsid w:val="00A23144"/>
    <w:rsid w:val="00A27710"/>
    <w:rsid w:val="00A27CD6"/>
    <w:rsid w:val="00A32598"/>
    <w:rsid w:val="00A37410"/>
    <w:rsid w:val="00A659A0"/>
    <w:rsid w:val="00A7089F"/>
    <w:rsid w:val="00A71FC9"/>
    <w:rsid w:val="00A724C4"/>
    <w:rsid w:val="00A85D90"/>
    <w:rsid w:val="00A86009"/>
    <w:rsid w:val="00A87417"/>
    <w:rsid w:val="00AA135E"/>
    <w:rsid w:val="00AA2147"/>
    <w:rsid w:val="00AA646B"/>
    <w:rsid w:val="00AB45D4"/>
    <w:rsid w:val="00AB58DD"/>
    <w:rsid w:val="00AC32C9"/>
    <w:rsid w:val="00AE0ADE"/>
    <w:rsid w:val="00AE24B2"/>
    <w:rsid w:val="00AE2E66"/>
    <w:rsid w:val="00AE510C"/>
    <w:rsid w:val="00AF0C3C"/>
    <w:rsid w:val="00B01534"/>
    <w:rsid w:val="00B02B78"/>
    <w:rsid w:val="00B04FC0"/>
    <w:rsid w:val="00B05654"/>
    <w:rsid w:val="00B13797"/>
    <w:rsid w:val="00B15401"/>
    <w:rsid w:val="00B15BA7"/>
    <w:rsid w:val="00B334CA"/>
    <w:rsid w:val="00B42A6A"/>
    <w:rsid w:val="00B44AAD"/>
    <w:rsid w:val="00B45350"/>
    <w:rsid w:val="00B45A6C"/>
    <w:rsid w:val="00B53819"/>
    <w:rsid w:val="00B847C0"/>
    <w:rsid w:val="00B93ADE"/>
    <w:rsid w:val="00B973AE"/>
    <w:rsid w:val="00BA4E63"/>
    <w:rsid w:val="00BA606D"/>
    <w:rsid w:val="00BA7440"/>
    <w:rsid w:val="00BB3531"/>
    <w:rsid w:val="00BD1211"/>
    <w:rsid w:val="00BD1E37"/>
    <w:rsid w:val="00C069A6"/>
    <w:rsid w:val="00C10970"/>
    <w:rsid w:val="00C12851"/>
    <w:rsid w:val="00C31DD7"/>
    <w:rsid w:val="00C33F67"/>
    <w:rsid w:val="00C34258"/>
    <w:rsid w:val="00C423FA"/>
    <w:rsid w:val="00C45D84"/>
    <w:rsid w:val="00C53E21"/>
    <w:rsid w:val="00C54BCF"/>
    <w:rsid w:val="00C555F6"/>
    <w:rsid w:val="00C55BF5"/>
    <w:rsid w:val="00C5774D"/>
    <w:rsid w:val="00C60491"/>
    <w:rsid w:val="00C67189"/>
    <w:rsid w:val="00C700A4"/>
    <w:rsid w:val="00C70720"/>
    <w:rsid w:val="00C71869"/>
    <w:rsid w:val="00C822BD"/>
    <w:rsid w:val="00C830CE"/>
    <w:rsid w:val="00C856DA"/>
    <w:rsid w:val="00C86CBE"/>
    <w:rsid w:val="00C95E61"/>
    <w:rsid w:val="00CA2AA8"/>
    <w:rsid w:val="00CA5A9C"/>
    <w:rsid w:val="00CC0B5B"/>
    <w:rsid w:val="00CC2EAC"/>
    <w:rsid w:val="00CC610C"/>
    <w:rsid w:val="00CC75D8"/>
    <w:rsid w:val="00CD5757"/>
    <w:rsid w:val="00CD57AD"/>
    <w:rsid w:val="00CD65E6"/>
    <w:rsid w:val="00CD6816"/>
    <w:rsid w:val="00CE5D67"/>
    <w:rsid w:val="00CF0F20"/>
    <w:rsid w:val="00CF46E2"/>
    <w:rsid w:val="00D00E52"/>
    <w:rsid w:val="00D11C93"/>
    <w:rsid w:val="00D11F02"/>
    <w:rsid w:val="00D15D7F"/>
    <w:rsid w:val="00D26906"/>
    <w:rsid w:val="00D35604"/>
    <w:rsid w:val="00D375E0"/>
    <w:rsid w:val="00D44373"/>
    <w:rsid w:val="00D45574"/>
    <w:rsid w:val="00D4636D"/>
    <w:rsid w:val="00D46B71"/>
    <w:rsid w:val="00D517E0"/>
    <w:rsid w:val="00D56C3C"/>
    <w:rsid w:val="00D57830"/>
    <w:rsid w:val="00D62A48"/>
    <w:rsid w:val="00D646C4"/>
    <w:rsid w:val="00D73127"/>
    <w:rsid w:val="00D80B19"/>
    <w:rsid w:val="00D854F7"/>
    <w:rsid w:val="00D91E8F"/>
    <w:rsid w:val="00D9208C"/>
    <w:rsid w:val="00DA4D0D"/>
    <w:rsid w:val="00DA69DE"/>
    <w:rsid w:val="00DB0529"/>
    <w:rsid w:val="00DB56F7"/>
    <w:rsid w:val="00DB748D"/>
    <w:rsid w:val="00DC662C"/>
    <w:rsid w:val="00DD362B"/>
    <w:rsid w:val="00DD5CFC"/>
    <w:rsid w:val="00DE1C85"/>
    <w:rsid w:val="00DE4717"/>
    <w:rsid w:val="00DE5D5A"/>
    <w:rsid w:val="00DF69B8"/>
    <w:rsid w:val="00E00F8D"/>
    <w:rsid w:val="00E1017B"/>
    <w:rsid w:val="00E10D14"/>
    <w:rsid w:val="00E12881"/>
    <w:rsid w:val="00E1436E"/>
    <w:rsid w:val="00E20CE1"/>
    <w:rsid w:val="00E3374E"/>
    <w:rsid w:val="00E42679"/>
    <w:rsid w:val="00E52BCD"/>
    <w:rsid w:val="00E52CB5"/>
    <w:rsid w:val="00E6553C"/>
    <w:rsid w:val="00E9177A"/>
    <w:rsid w:val="00E92975"/>
    <w:rsid w:val="00E9405F"/>
    <w:rsid w:val="00E94D12"/>
    <w:rsid w:val="00E94E6B"/>
    <w:rsid w:val="00EA011C"/>
    <w:rsid w:val="00EA3F80"/>
    <w:rsid w:val="00EB22C5"/>
    <w:rsid w:val="00EB3427"/>
    <w:rsid w:val="00EB3977"/>
    <w:rsid w:val="00EB5A72"/>
    <w:rsid w:val="00EB7DE6"/>
    <w:rsid w:val="00EC24CD"/>
    <w:rsid w:val="00EC33B1"/>
    <w:rsid w:val="00EC5B96"/>
    <w:rsid w:val="00ED12AC"/>
    <w:rsid w:val="00ED6AD3"/>
    <w:rsid w:val="00EE3B37"/>
    <w:rsid w:val="00EE6AF7"/>
    <w:rsid w:val="00EF3303"/>
    <w:rsid w:val="00EF3CAE"/>
    <w:rsid w:val="00F00576"/>
    <w:rsid w:val="00F064F8"/>
    <w:rsid w:val="00F11D02"/>
    <w:rsid w:val="00F21878"/>
    <w:rsid w:val="00F2533A"/>
    <w:rsid w:val="00F319A7"/>
    <w:rsid w:val="00F36527"/>
    <w:rsid w:val="00F368A2"/>
    <w:rsid w:val="00F4091A"/>
    <w:rsid w:val="00F52B7F"/>
    <w:rsid w:val="00F538B6"/>
    <w:rsid w:val="00F54BCE"/>
    <w:rsid w:val="00F556DE"/>
    <w:rsid w:val="00F57831"/>
    <w:rsid w:val="00F61271"/>
    <w:rsid w:val="00F63ACB"/>
    <w:rsid w:val="00F73F70"/>
    <w:rsid w:val="00F75BB5"/>
    <w:rsid w:val="00F87D8B"/>
    <w:rsid w:val="00FA3738"/>
    <w:rsid w:val="00FA4D51"/>
    <w:rsid w:val="00FB421F"/>
    <w:rsid w:val="00FC3262"/>
    <w:rsid w:val="00FC366C"/>
    <w:rsid w:val="00FD2974"/>
    <w:rsid w:val="00FD3DEE"/>
    <w:rsid w:val="00FD4CCC"/>
    <w:rsid w:val="00FE4EA6"/>
    <w:rsid w:val="022F1561"/>
    <w:rsid w:val="02A55CEC"/>
    <w:rsid w:val="02DD3FF8"/>
    <w:rsid w:val="02EA4779"/>
    <w:rsid w:val="03B71DAF"/>
    <w:rsid w:val="05B450F8"/>
    <w:rsid w:val="08116102"/>
    <w:rsid w:val="086A497C"/>
    <w:rsid w:val="08CA5AC2"/>
    <w:rsid w:val="09B47478"/>
    <w:rsid w:val="0AB678DA"/>
    <w:rsid w:val="124B5A3B"/>
    <w:rsid w:val="1362396D"/>
    <w:rsid w:val="180C78D3"/>
    <w:rsid w:val="195614F3"/>
    <w:rsid w:val="1DF86557"/>
    <w:rsid w:val="219C0F36"/>
    <w:rsid w:val="24344AA5"/>
    <w:rsid w:val="24A42E8D"/>
    <w:rsid w:val="256336CC"/>
    <w:rsid w:val="28F57F36"/>
    <w:rsid w:val="2B3D7C39"/>
    <w:rsid w:val="2BAE59A7"/>
    <w:rsid w:val="2BE127D7"/>
    <w:rsid w:val="2E3D3B3C"/>
    <w:rsid w:val="2EA03D5F"/>
    <w:rsid w:val="3016531C"/>
    <w:rsid w:val="30E33EBF"/>
    <w:rsid w:val="32E525D0"/>
    <w:rsid w:val="33350512"/>
    <w:rsid w:val="33F202FB"/>
    <w:rsid w:val="342127CE"/>
    <w:rsid w:val="35FE6C0B"/>
    <w:rsid w:val="3B6F71A6"/>
    <w:rsid w:val="3C4E2C09"/>
    <w:rsid w:val="407C00AE"/>
    <w:rsid w:val="411E689B"/>
    <w:rsid w:val="444D0950"/>
    <w:rsid w:val="44896D41"/>
    <w:rsid w:val="457C3051"/>
    <w:rsid w:val="48D07DE7"/>
    <w:rsid w:val="48D75130"/>
    <w:rsid w:val="49204476"/>
    <w:rsid w:val="4B890636"/>
    <w:rsid w:val="4C2D08FA"/>
    <w:rsid w:val="4EBA7CF7"/>
    <w:rsid w:val="4F193468"/>
    <w:rsid w:val="4F5F0AE2"/>
    <w:rsid w:val="4FCF768E"/>
    <w:rsid w:val="5162367A"/>
    <w:rsid w:val="52935B4E"/>
    <w:rsid w:val="55CD64EC"/>
    <w:rsid w:val="569C59DF"/>
    <w:rsid w:val="58D52C93"/>
    <w:rsid w:val="5C366AAE"/>
    <w:rsid w:val="5D125E8B"/>
    <w:rsid w:val="5D284C2E"/>
    <w:rsid w:val="5EB34C8F"/>
    <w:rsid w:val="5EBA47C7"/>
    <w:rsid w:val="60911000"/>
    <w:rsid w:val="612E68F9"/>
    <w:rsid w:val="667E4DB2"/>
    <w:rsid w:val="66DF01A3"/>
    <w:rsid w:val="67550FD9"/>
    <w:rsid w:val="67DC016A"/>
    <w:rsid w:val="6833079B"/>
    <w:rsid w:val="68B5376B"/>
    <w:rsid w:val="693E77C9"/>
    <w:rsid w:val="69644880"/>
    <w:rsid w:val="699317DF"/>
    <w:rsid w:val="69C41142"/>
    <w:rsid w:val="69FA6EB2"/>
    <w:rsid w:val="6C6F3509"/>
    <w:rsid w:val="6F49200E"/>
    <w:rsid w:val="701F49BC"/>
    <w:rsid w:val="722D6422"/>
    <w:rsid w:val="73106591"/>
    <w:rsid w:val="73DF11F6"/>
    <w:rsid w:val="75DA6B4D"/>
    <w:rsid w:val="77EA434A"/>
    <w:rsid w:val="78082117"/>
    <w:rsid w:val="7BB518A7"/>
    <w:rsid w:val="7C645627"/>
    <w:rsid w:val="7D237F4A"/>
    <w:rsid w:val="7D42418D"/>
    <w:rsid w:val="7D4E0551"/>
    <w:rsid w:val="7E1B2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16"/>
    <w:qFormat/>
    <w:uiPriority w:val="0"/>
    <w:rPr>
      <w:rFonts w:ascii="宋体" w:hAnsi="宋体" w:cs="Times New Roman"/>
      <w:sz w:val="20"/>
      <w:szCs w:val="20"/>
      <w:lang w:val="zh-CN"/>
    </w:rPr>
  </w:style>
  <w:style w:type="paragraph" w:styleId="3">
    <w:name w:val="Normal Indent"/>
    <w:basedOn w:val="1"/>
    <w:next w:val="1"/>
    <w:qFormat/>
    <w:uiPriority w:val="0"/>
    <w:pPr>
      <w:ind w:firstLine="420" w:firstLineChars="200"/>
    </w:pPr>
    <w:rPr>
      <w:rFonts w:ascii="Times New Roman" w:hAnsi="Times New Roman" w:cs="Times New Roman"/>
      <w:szCs w:val="24"/>
    </w:rPr>
  </w:style>
  <w:style w:type="paragraph" w:styleId="4">
    <w:name w:val="annotation text"/>
    <w:basedOn w:val="1"/>
    <w:link w:val="17"/>
    <w:unhideWhenUsed/>
    <w:qFormat/>
    <w:uiPriority w:val="99"/>
    <w:pPr>
      <w:jc w:val="left"/>
    </w:pPr>
    <w:rPr>
      <w:rFonts w:cs="Times New Roman"/>
      <w:sz w:val="20"/>
      <w:szCs w:val="20"/>
    </w:rPr>
  </w:style>
  <w:style w:type="paragraph" w:styleId="5">
    <w:name w:val="Body Text"/>
    <w:basedOn w:val="1"/>
    <w:link w:val="18"/>
    <w:qFormat/>
    <w:uiPriority w:val="0"/>
    <w:pPr>
      <w:spacing w:after="120"/>
    </w:pPr>
    <w:rPr>
      <w:rFonts w:cs="Times New Roman"/>
      <w:kern w:val="1"/>
      <w:sz w:val="20"/>
      <w:szCs w:val="20"/>
    </w:rPr>
  </w:style>
  <w:style w:type="paragraph" w:styleId="6">
    <w:name w:val="Date"/>
    <w:basedOn w:val="1"/>
    <w:next w:val="1"/>
    <w:link w:val="19"/>
    <w:unhideWhenUsed/>
    <w:qFormat/>
    <w:uiPriority w:val="99"/>
    <w:pPr>
      <w:ind w:left="100" w:leftChars="2500"/>
    </w:pPr>
    <w:rPr>
      <w:rFonts w:cs="Times New Roman"/>
      <w:sz w:val="20"/>
      <w:szCs w:val="20"/>
    </w:rPr>
  </w:style>
  <w:style w:type="paragraph" w:styleId="7">
    <w:name w:val="Balloon Text"/>
    <w:basedOn w:val="1"/>
    <w:link w:val="20"/>
    <w:unhideWhenUsed/>
    <w:qFormat/>
    <w:uiPriority w:val="99"/>
    <w:rPr>
      <w:rFonts w:cs="Times New Roman"/>
      <w:sz w:val="18"/>
      <w:szCs w:val="18"/>
    </w:rPr>
  </w:style>
  <w:style w:type="paragraph" w:styleId="8">
    <w:name w:val="footer"/>
    <w:basedOn w:val="1"/>
    <w:link w:val="21"/>
    <w:unhideWhenUsed/>
    <w:qFormat/>
    <w:uiPriority w:val="99"/>
    <w:pPr>
      <w:tabs>
        <w:tab w:val="center" w:pos="4153"/>
        <w:tab w:val="right" w:pos="8306"/>
      </w:tabs>
      <w:snapToGrid w:val="0"/>
      <w:jc w:val="left"/>
    </w:pPr>
    <w:rPr>
      <w:rFonts w:ascii="Times New Roman" w:hAnsi="Times New Roman" w:cs="Times New Roman"/>
      <w:color w:val="auto"/>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color w:val="auto"/>
      <w:sz w:val="18"/>
      <w:szCs w:val="18"/>
    </w:rPr>
  </w:style>
  <w:style w:type="paragraph" w:styleId="10">
    <w:name w:val="Body Text 2"/>
    <w:basedOn w:val="1"/>
    <w:link w:val="23"/>
    <w:qFormat/>
    <w:uiPriority w:val="0"/>
    <w:pPr>
      <w:spacing w:after="120" w:line="480" w:lineRule="auto"/>
    </w:pPr>
    <w:rPr>
      <w:rFonts w:cs="Times New Roman"/>
      <w:sz w:val="20"/>
      <w:szCs w:val="24"/>
    </w:rPr>
  </w:style>
  <w:style w:type="paragraph" w:styleId="11">
    <w:name w:val="annotation subject"/>
    <w:basedOn w:val="4"/>
    <w:next w:val="4"/>
    <w:link w:val="24"/>
    <w:unhideWhenUsed/>
    <w:qFormat/>
    <w:uiPriority w:val="99"/>
    <w:rPr>
      <w:b/>
      <w:bCs/>
    </w:rPr>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character" w:customStyle="1" w:styleId="16">
    <w:name w:val="纯文本 字符"/>
    <w:link w:val="2"/>
    <w:qFormat/>
    <w:uiPriority w:val="0"/>
    <w:rPr>
      <w:rFonts w:ascii="宋体" w:hAnsi="宋体" w:eastAsia="宋体" w:cs="Courier New"/>
      <w:color w:val="000000"/>
      <w:kern w:val="0"/>
      <w:sz w:val="20"/>
      <w:szCs w:val="20"/>
      <w:lang w:val="zh-CN"/>
    </w:rPr>
  </w:style>
  <w:style w:type="character" w:customStyle="1" w:styleId="17">
    <w:name w:val="批注文字 字符"/>
    <w:link w:val="4"/>
    <w:qFormat/>
    <w:uiPriority w:val="99"/>
    <w:rPr>
      <w:rFonts w:ascii="Calibri" w:hAnsi="Calibri" w:eastAsia="宋体" w:cs="Calibri"/>
      <w:color w:val="000000"/>
      <w:kern w:val="0"/>
    </w:rPr>
  </w:style>
  <w:style w:type="character" w:customStyle="1" w:styleId="18">
    <w:name w:val="正文文本 字符"/>
    <w:link w:val="5"/>
    <w:qFormat/>
    <w:uiPriority w:val="0"/>
    <w:rPr>
      <w:rFonts w:ascii="Calibri" w:hAnsi="Calibri" w:eastAsia="宋体" w:cs="Calibri"/>
      <w:color w:val="000000"/>
      <w:kern w:val="1"/>
    </w:rPr>
  </w:style>
  <w:style w:type="character" w:customStyle="1" w:styleId="19">
    <w:name w:val="日期 字符"/>
    <w:link w:val="6"/>
    <w:semiHidden/>
    <w:qFormat/>
    <w:uiPriority w:val="99"/>
    <w:rPr>
      <w:rFonts w:ascii="Calibri" w:hAnsi="Calibri" w:eastAsia="宋体" w:cs="Calibri"/>
      <w:color w:val="000000"/>
      <w:kern w:val="0"/>
    </w:rPr>
  </w:style>
  <w:style w:type="character" w:customStyle="1" w:styleId="20">
    <w:name w:val="批注框文本 字符"/>
    <w:link w:val="7"/>
    <w:semiHidden/>
    <w:qFormat/>
    <w:uiPriority w:val="99"/>
    <w:rPr>
      <w:rFonts w:ascii="Calibri" w:hAnsi="Calibri" w:eastAsia="宋体" w:cs="Calibri"/>
      <w:color w:val="000000"/>
      <w:kern w:val="0"/>
      <w:sz w:val="18"/>
      <w:szCs w:val="18"/>
    </w:rPr>
  </w:style>
  <w:style w:type="character" w:customStyle="1" w:styleId="21">
    <w:name w:val="页脚 字符"/>
    <w:link w:val="8"/>
    <w:qFormat/>
    <w:uiPriority w:val="99"/>
    <w:rPr>
      <w:sz w:val="18"/>
      <w:szCs w:val="18"/>
    </w:rPr>
  </w:style>
  <w:style w:type="character" w:customStyle="1" w:styleId="22">
    <w:name w:val="页眉 字符"/>
    <w:link w:val="9"/>
    <w:qFormat/>
    <w:uiPriority w:val="99"/>
    <w:rPr>
      <w:sz w:val="18"/>
      <w:szCs w:val="18"/>
    </w:rPr>
  </w:style>
  <w:style w:type="character" w:customStyle="1" w:styleId="23">
    <w:name w:val="正文文本 2 字符"/>
    <w:link w:val="10"/>
    <w:qFormat/>
    <w:uiPriority w:val="0"/>
    <w:rPr>
      <w:rFonts w:ascii="Calibri" w:hAnsi="Calibri" w:eastAsia="宋体" w:cs="Calibri"/>
      <w:color w:val="000000"/>
      <w:kern w:val="0"/>
      <w:sz w:val="20"/>
      <w:szCs w:val="24"/>
    </w:rPr>
  </w:style>
  <w:style w:type="character" w:customStyle="1" w:styleId="24">
    <w:name w:val="批注主题 字符"/>
    <w:link w:val="11"/>
    <w:semiHidden/>
    <w:qFormat/>
    <w:uiPriority w:val="99"/>
    <w:rPr>
      <w:rFonts w:ascii="Calibri" w:hAnsi="Calibri" w:eastAsia="宋体" w:cs="Calibri"/>
      <w:b/>
      <w:bCs/>
      <w:color w:val="000000"/>
      <w:kern w:val="0"/>
    </w:rPr>
  </w:style>
  <w:style w:type="character" w:customStyle="1" w:styleId="25">
    <w:name w:val="纯文本 Char"/>
    <w:semiHidden/>
    <w:qFormat/>
    <w:uiPriority w:val="99"/>
    <w:rPr>
      <w:rFonts w:ascii="宋体" w:hAnsi="Courier New" w:eastAsia="宋体" w:cs="Courier New"/>
      <w:color w:val="000000"/>
      <w:kern w:val="0"/>
      <w:szCs w:val="21"/>
    </w:rPr>
  </w:style>
  <w:style w:type="paragraph" w:customStyle="1" w:styleId="26">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styleId="27">
    <w:name w:val="List Paragraph"/>
    <w:basedOn w:val="1"/>
    <w:qFormat/>
    <w:uiPriority w:val="34"/>
    <w:pPr>
      <w:ind w:firstLine="420" w:firstLineChars="200"/>
    </w:pPr>
  </w:style>
  <w:style w:type="paragraph" w:customStyle="1" w:styleId="28">
    <w:name w:val="发文落款"/>
    <w:basedOn w:val="26"/>
    <w:qFormat/>
    <w:uiPriority w:val="0"/>
    <w:pPr>
      <w:ind w:left="4094" w:right="607" w:firstLine="0"/>
      <w:jc w:val="center"/>
    </w:pPr>
  </w:style>
  <w:style w:type="paragraph" w:customStyle="1" w:styleId="29">
    <w:name w:val="_Style 28"/>
    <w:unhideWhenUsed/>
    <w:qFormat/>
    <w:uiPriority w:val="99"/>
    <w:rPr>
      <w:rFonts w:ascii="Calibri" w:hAnsi="Calibri" w:eastAsia="宋体" w:cs="Calibri"/>
      <w:color w:val="000000"/>
      <w:sz w:val="21"/>
      <w:szCs w:val="22"/>
      <w:lang w:val="en-US" w:eastAsia="zh-CN" w:bidi="ar-SA"/>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正文首行缩进1"/>
    <w:basedOn w:val="5"/>
    <w:qFormat/>
    <w:uiPriority w:val="0"/>
    <w:pPr>
      <w:spacing w:before="100" w:beforeAutospacing="1" w:line="312" w:lineRule="auto"/>
      <w:ind w:firstLine="420"/>
    </w:pPr>
    <w:rPr>
      <w:rFonts w:ascii="Times New Roman" w:hAnsi="Times New Roman" w:cs="Times New Roman"/>
      <w:color w:val="auto"/>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9178</Words>
  <Characters>9941</Characters>
  <Lines>76</Lines>
  <Paragraphs>21</Paragraphs>
  <TotalTime>1</TotalTime>
  <ScaleCrop>false</ScaleCrop>
  <LinksUpToDate>false</LinksUpToDate>
  <CharactersWithSpaces>10661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2022-10-08T06:53:00Z</dcterms:created>
  <dc:creator>张启莹</dc:creator>
  <cp:lastModifiedBy>23961</cp:lastModifiedBy>
  <cp:lastPrinted>2022-03-21T02:49:00Z</cp:lastPrinted>
  <dcterms:modified xsi:type="dcterms:W3CDTF">2023-09-22T04:43:33Z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5B3017E051AC4366A8A9D1339179AE7E_13</vt:lpwstr>
  </property>
</Properties>
</file>