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000000" w:fill="auto"/>
        <w:jc w:val="left"/>
        <w:rPr>
          <w:rFonts w:ascii="宋体" w:hAnsi="宋体" w:cs="仿宋_GB2312"/>
          <w:color w:val="auto"/>
          <w:sz w:val="32"/>
          <w:szCs w:val="32"/>
          <w:highlight w:val="none"/>
        </w:rPr>
      </w:pPr>
      <w:r>
        <w:rPr>
          <w:rFonts w:ascii="宋体" w:hAnsi="宋体" w:cs="仿宋_GB2312"/>
          <w:color w:val="auto"/>
          <w:sz w:val="32"/>
          <w:szCs w:val="32"/>
          <w:highlight w:val="none"/>
        </w:rPr>
        <w:t>SF-2019-0204</w:t>
      </w:r>
    </w:p>
    <w:p>
      <w:pPr>
        <w:pStyle w:val="84"/>
        <w:shd w:val="clear" w:color="000000" w:fill="auto"/>
        <w:spacing w:line="640" w:lineRule="exact"/>
        <w:ind w:firstLine="5550" w:firstLineChars="1850"/>
        <w:rPr>
          <w:rFonts w:ascii="华文中宋" w:hAnsi="华文中宋" w:eastAsia="华文中宋" w:cs="华文中宋"/>
          <w:color w:val="auto"/>
          <w:sz w:val="32"/>
          <w:szCs w:val="32"/>
          <w:highlight w:val="none"/>
          <w:u w:val="single"/>
        </w:rPr>
      </w:pPr>
      <w:r>
        <w:rPr>
          <w:rFonts w:ascii="宋体"/>
          <w:color w:val="auto"/>
          <w:sz w:val="30"/>
          <w:szCs w:val="30"/>
          <w:highlight w:val="none"/>
        </w:rPr>
        <w:tab/>
      </w:r>
      <w:r>
        <w:rPr>
          <w:rFonts w:hint="eastAsia" w:ascii="华文中宋" w:hAnsi="华文中宋" w:eastAsia="华文中宋" w:cs="华文中宋"/>
          <w:color w:val="auto"/>
          <w:sz w:val="32"/>
          <w:szCs w:val="32"/>
          <w:highlight w:val="none"/>
        </w:rPr>
        <w:t>项目编码：</w:t>
      </w:r>
      <w:r>
        <w:rPr>
          <w:rFonts w:ascii="华文中宋" w:hAnsi="华文中宋" w:eastAsia="华文中宋" w:cs="华文中宋"/>
          <w:color w:val="auto"/>
          <w:sz w:val="32"/>
          <w:szCs w:val="32"/>
          <w:highlight w:val="none"/>
          <w:u w:val="single"/>
        </w:rPr>
        <w:t xml:space="preserve">      </w:t>
      </w:r>
      <w:r>
        <w:rPr>
          <w:rFonts w:hint="eastAsia" w:ascii="华文中宋" w:hAnsi="华文中宋" w:eastAsia="华文中宋" w:cs="华文中宋"/>
          <w:color w:val="auto"/>
          <w:sz w:val="32"/>
          <w:szCs w:val="32"/>
          <w:highlight w:val="none"/>
          <w:u w:val="single"/>
        </w:rPr>
        <w:t xml:space="preserve"> </w:t>
      </w:r>
      <w:r>
        <w:rPr>
          <w:rFonts w:ascii="华文中宋" w:hAnsi="华文中宋" w:eastAsia="华文中宋" w:cs="华文中宋"/>
          <w:color w:val="auto"/>
          <w:sz w:val="32"/>
          <w:szCs w:val="32"/>
          <w:highlight w:val="none"/>
          <w:u w:val="single"/>
        </w:rPr>
        <w:t xml:space="preserve">       </w:t>
      </w:r>
    </w:p>
    <w:p>
      <w:pPr>
        <w:pStyle w:val="84"/>
        <w:shd w:val="clear" w:color="000000" w:fill="auto"/>
        <w:spacing w:line="640" w:lineRule="exact"/>
        <w:ind w:firstLine="5920" w:firstLineChars="1850"/>
        <w:rPr>
          <w:rFonts w:ascii="华文中宋" w:hAnsi="华文中宋" w:eastAsia="华文中宋"/>
          <w:color w:val="auto"/>
          <w:sz w:val="32"/>
          <w:szCs w:val="32"/>
          <w:highlight w:val="none"/>
        </w:rPr>
      </w:pPr>
      <w:r>
        <w:rPr>
          <w:rFonts w:hint="eastAsia" w:ascii="华文中宋" w:hAnsi="华文中宋" w:eastAsia="华文中宋" w:cs="华文中宋"/>
          <w:color w:val="auto"/>
          <w:sz w:val="32"/>
          <w:szCs w:val="32"/>
          <w:highlight w:val="none"/>
        </w:rPr>
        <w:t>工程编码：</w:t>
      </w:r>
      <w:r>
        <w:rPr>
          <w:rFonts w:ascii="华文中宋" w:hAnsi="华文中宋" w:eastAsia="华文中宋" w:cs="华文中宋"/>
          <w:color w:val="auto"/>
          <w:sz w:val="32"/>
          <w:szCs w:val="32"/>
          <w:highlight w:val="none"/>
          <w:u w:val="single"/>
        </w:rPr>
        <w:t xml:space="preserve">      </w:t>
      </w:r>
      <w:r>
        <w:rPr>
          <w:rFonts w:hint="eastAsia" w:ascii="华文中宋" w:hAnsi="华文中宋" w:eastAsia="华文中宋" w:cs="华文中宋"/>
          <w:color w:val="auto"/>
          <w:sz w:val="32"/>
          <w:szCs w:val="32"/>
          <w:highlight w:val="none"/>
          <w:u w:val="single"/>
        </w:rPr>
        <w:t xml:space="preserve"> </w:t>
      </w:r>
      <w:r>
        <w:rPr>
          <w:rFonts w:ascii="华文中宋" w:hAnsi="华文中宋" w:eastAsia="华文中宋" w:cs="华文中宋"/>
          <w:color w:val="auto"/>
          <w:sz w:val="32"/>
          <w:szCs w:val="32"/>
          <w:highlight w:val="none"/>
          <w:u w:val="single"/>
        </w:rPr>
        <w:t xml:space="preserve">       </w:t>
      </w:r>
    </w:p>
    <w:p>
      <w:pPr>
        <w:pStyle w:val="84"/>
        <w:shd w:val="clear" w:color="000000" w:fill="auto"/>
        <w:spacing w:line="640" w:lineRule="exact"/>
        <w:ind w:firstLine="5920" w:firstLineChars="1850"/>
        <w:rPr>
          <w:rFonts w:ascii="华文中宋" w:hAnsi="华文中宋" w:eastAsia="华文中宋"/>
          <w:color w:val="auto"/>
          <w:sz w:val="32"/>
          <w:szCs w:val="32"/>
          <w:highlight w:val="none"/>
        </w:rPr>
      </w:pPr>
      <w:r>
        <w:rPr>
          <w:rFonts w:hint="eastAsia" w:ascii="华文中宋" w:hAnsi="华文中宋" w:eastAsia="华文中宋" w:cs="华文中宋"/>
          <w:color w:val="auto"/>
          <w:sz w:val="32"/>
          <w:szCs w:val="32"/>
          <w:highlight w:val="none"/>
        </w:rPr>
        <w:t>合同编号：</w:t>
      </w:r>
      <w:r>
        <w:rPr>
          <w:rFonts w:ascii="华文中宋" w:hAnsi="华文中宋" w:eastAsia="华文中宋" w:cs="华文中宋"/>
          <w:color w:val="auto"/>
          <w:sz w:val="32"/>
          <w:szCs w:val="32"/>
          <w:highlight w:val="none"/>
          <w:u w:val="single"/>
        </w:rPr>
        <w:t xml:space="preserve">       </w:t>
      </w:r>
      <w:r>
        <w:rPr>
          <w:rFonts w:hint="eastAsia" w:ascii="华文中宋" w:hAnsi="华文中宋" w:eastAsia="华文中宋" w:cs="华文中宋"/>
          <w:color w:val="auto"/>
          <w:sz w:val="32"/>
          <w:szCs w:val="32"/>
          <w:highlight w:val="none"/>
          <w:u w:val="single"/>
        </w:rPr>
        <w:t xml:space="preserve"> </w:t>
      </w:r>
      <w:r>
        <w:rPr>
          <w:rFonts w:ascii="华文中宋" w:hAnsi="华文中宋" w:eastAsia="华文中宋" w:cs="华文中宋"/>
          <w:color w:val="auto"/>
          <w:sz w:val="32"/>
          <w:szCs w:val="32"/>
          <w:highlight w:val="none"/>
          <w:u w:val="single"/>
        </w:rPr>
        <w:t xml:space="preserve">      </w:t>
      </w:r>
    </w:p>
    <w:p>
      <w:pPr>
        <w:shd w:val="clear" w:color="000000" w:fill="auto"/>
        <w:tabs>
          <w:tab w:val="left" w:pos="3900"/>
          <w:tab w:val="right" w:pos="10245"/>
        </w:tabs>
        <w:wordWrap w:val="0"/>
        <w:spacing w:line="360" w:lineRule="auto"/>
        <w:jc w:val="left"/>
        <w:rPr>
          <w:rFonts w:ascii="宋体" w:cs="Times New Roman"/>
          <w:color w:val="auto"/>
          <w:sz w:val="32"/>
          <w:szCs w:val="32"/>
          <w:highlight w:val="none"/>
          <w:u w:val="single"/>
        </w:rPr>
      </w:pPr>
      <w:bookmarkStart w:id="819" w:name="_GoBack"/>
      <w:bookmarkEnd w:id="819"/>
    </w:p>
    <w:p>
      <w:pPr>
        <w:shd w:val="clear" w:color="000000" w:fill="auto"/>
        <w:spacing w:line="360" w:lineRule="auto"/>
        <w:jc w:val="right"/>
        <w:rPr>
          <w:rFonts w:ascii="宋体" w:cs="Times New Roman"/>
          <w:color w:val="auto"/>
          <w:sz w:val="32"/>
          <w:szCs w:val="32"/>
          <w:highlight w:val="none"/>
          <w:u w:val="single"/>
        </w:rPr>
      </w:pPr>
    </w:p>
    <w:p>
      <w:pPr>
        <w:shd w:val="clear" w:color="000000" w:fill="auto"/>
        <w:spacing w:line="360" w:lineRule="auto"/>
        <w:jc w:val="center"/>
        <w:rPr>
          <w:rFonts w:ascii="宋体" w:cs="Times New Roman"/>
          <w:b/>
          <w:bCs/>
          <w:color w:val="auto"/>
          <w:spacing w:val="-40"/>
          <w:kern w:val="0"/>
          <w:sz w:val="52"/>
          <w:szCs w:val="52"/>
          <w:highlight w:val="none"/>
        </w:rPr>
      </w:pPr>
      <w:r>
        <w:rPr>
          <w:rFonts w:hint="eastAsia" w:ascii="宋体" w:hAnsi="宋体" w:cs="宋体"/>
          <w:b/>
          <w:bCs/>
          <w:color w:val="auto"/>
          <w:spacing w:val="-40"/>
          <w:kern w:val="0"/>
          <w:sz w:val="52"/>
          <w:szCs w:val="52"/>
          <w:highlight w:val="none"/>
        </w:rPr>
        <w:t>广</w:t>
      </w:r>
      <w:r>
        <w:rPr>
          <w:rFonts w:ascii="宋体" w:hAnsi="宋体" w:cs="宋体"/>
          <w:b/>
          <w:bCs/>
          <w:color w:val="auto"/>
          <w:spacing w:val="-40"/>
          <w:kern w:val="0"/>
          <w:sz w:val="52"/>
          <w:szCs w:val="52"/>
          <w:highlight w:val="none"/>
        </w:rPr>
        <w:t xml:space="preserve"> </w:t>
      </w:r>
      <w:r>
        <w:rPr>
          <w:rFonts w:hint="eastAsia" w:ascii="宋体" w:hAnsi="宋体" w:cs="宋体"/>
          <w:b/>
          <w:bCs/>
          <w:color w:val="auto"/>
          <w:spacing w:val="-40"/>
          <w:kern w:val="0"/>
          <w:sz w:val="52"/>
          <w:szCs w:val="52"/>
          <w:highlight w:val="none"/>
        </w:rPr>
        <w:t>州</w:t>
      </w:r>
      <w:r>
        <w:rPr>
          <w:rFonts w:ascii="宋体" w:hAnsi="宋体" w:cs="宋体"/>
          <w:b/>
          <w:bCs/>
          <w:color w:val="auto"/>
          <w:spacing w:val="-40"/>
          <w:kern w:val="0"/>
          <w:sz w:val="52"/>
          <w:szCs w:val="52"/>
          <w:highlight w:val="none"/>
        </w:rPr>
        <w:t xml:space="preserve"> </w:t>
      </w:r>
      <w:r>
        <w:rPr>
          <w:rFonts w:hint="eastAsia" w:ascii="宋体" w:hAnsi="宋体" w:cs="宋体"/>
          <w:b/>
          <w:bCs/>
          <w:color w:val="auto"/>
          <w:spacing w:val="-40"/>
          <w:kern w:val="0"/>
          <w:sz w:val="52"/>
          <w:szCs w:val="52"/>
          <w:highlight w:val="none"/>
        </w:rPr>
        <w:t>市</w:t>
      </w:r>
      <w:r>
        <w:rPr>
          <w:rFonts w:ascii="宋体" w:hAnsi="宋体" w:cs="宋体"/>
          <w:b/>
          <w:bCs/>
          <w:color w:val="auto"/>
          <w:spacing w:val="-40"/>
          <w:kern w:val="0"/>
          <w:sz w:val="52"/>
          <w:szCs w:val="52"/>
          <w:highlight w:val="none"/>
        </w:rPr>
        <w:t xml:space="preserve"> </w:t>
      </w:r>
      <w:r>
        <w:rPr>
          <w:rFonts w:hint="eastAsia" w:ascii="宋体" w:hAnsi="宋体" w:cs="宋体"/>
          <w:b/>
          <w:bCs/>
          <w:color w:val="auto"/>
          <w:spacing w:val="-40"/>
          <w:kern w:val="0"/>
          <w:sz w:val="52"/>
          <w:szCs w:val="52"/>
          <w:highlight w:val="none"/>
        </w:rPr>
        <w:t>建</w:t>
      </w:r>
      <w:r>
        <w:rPr>
          <w:rFonts w:ascii="宋体" w:hAnsi="宋体" w:cs="宋体"/>
          <w:b/>
          <w:bCs/>
          <w:color w:val="auto"/>
          <w:spacing w:val="-40"/>
          <w:kern w:val="0"/>
          <w:sz w:val="52"/>
          <w:szCs w:val="52"/>
          <w:highlight w:val="none"/>
        </w:rPr>
        <w:t xml:space="preserve"> </w:t>
      </w:r>
      <w:r>
        <w:rPr>
          <w:rFonts w:hint="eastAsia" w:ascii="宋体" w:hAnsi="宋体" w:cs="宋体"/>
          <w:b/>
          <w:bCs/>
          <w:color w:val="auto"/>
          <w:spacing w:val="-40"/>
          <w:kern w:val="0"/>
          <w:sz w:val="52"/>
          <w:szCs w:val="52"/>
          <w:highlight w:val="none"/>
        </w:rPr>
        <w:t>设</w:t>
      </w:r>
      <w:r>
        <w:rPr>
          <w:rFonts w:ascii="宋体" w:hAnsi="宋体" w:cs="宋体"/>
          <w:b/>
          <w:bCs/>
          <w:color w:val="auto"/>
          <w:spacing w:val="-40"/>
          <w:kern w:val="0"/>
          <w:sz w:val="52"/>
          <w:szCs w:val="52"/>
          <w:highlight w:val="none"/>
        </w:rPr>
        <w:t xml:space="preserve"> </w:t>
      </w:r>
      <w:r>
        <w:rPr>
          <w:rFonts w:hint="eastAsia" w:ascii="宋体" w:hAnsi="宋体" w:cs="宋体"/>
          <w:b/>
          <w:bCs/>
          <w:color w:val="auto"/>
          <w:spacing w:val="-40"/>
          <w:kern w:val="0"/>
          <w:sz w:val="52"/>
          <w:szCs w:val="52"/>
          <w:highlight w:val="none"/>
        </w:rPr>
        <w:t>工</w:t>
      </w:r>
      <w:r>
        <w:rPr>
          <w:rFonts w:ascii="宋体" w:hAnsi="宋体" w:cs="宋体"/>
          <w:b/>
          <w:bCs/>
          <w:color w:val="auto"/>
          <w:spacing w:val="-40"/>
          <w:kern w:val="0"/>
          <w:sz w:val="52"/>
          <w:szCs w:val="52"/>
          <w:highlight w:val="none"/>
        </w:rPr>
        <w:t xml:space="preserve"> </w:t>
      </w:r>
      <w:r>
        <w:rPr>
          <w:rFonts w:hint="eastAsia" w:ascii="宋体" w:hAnsi="宋体" w:cs="宋体"/>
          <w:b/>
          <w:bCs/>
          <w:color w:val="auto"/>
          <w:spacing w:val="-40"/>
          <w:kern w:val="0"/>
          <w:sz w:val="52"/>
          <w:szCs w:val="52"/>
          <w:highlight w:val="none"/>
        </w:rPr>
        <w:t>程</w:t>
      </w:r>
      <w:r>
        <w:rPr>
          <w:rFonts w:ascii="宋体" w:hAnsi="宋体" w:cs="宋体"/>
          <w:b/>
          <w:bCs/>
          <w:color w:val="auto"/>
          <w:spacing w:val="-40"/>
          <w:kern w:val="0"/>
          <w:sz w:val="52"/>
          <w:szCs w:val="52"/>
          <w:highlight w:val="none"/>
        </w:rPr>
        <w:t xml:space="preserve"> </w:t>
      </w:r>
      <w:r>
        <w:rPr>
          <w:rFonts w:hint="eastAsia" w:ascii="宋体" w:hAnsi="宋体" w:cs="宋体"/>
          <w:b/>
          <w:bCs/>
          <w:color w:val="auto"/>
          <w:spacing w:val="-40"/>
          <w:kern w:val="0"/>
          <w:sz w:val="52"/>
          <w:szCs w:val="52"/>
          <w:highlight w:val="none"/>
        </w:rPr>
        <w:t>施</w:t>
      </w:r>
      <w:r>
        <w:rPr>
          <w:rFonts w:ascii="宋体" w:hAnsi="宋体" w:cs="宋体"/>
          <w:b/>
          <w:bCs/>
          <w:color w:val="auto"/>
          <w:spacing w:val="-40"/>
          <w:kern w:val="0"/>
          <w:sz w:val="52"/>
          <w:szCs w:val="52"/>
          <w:highlight w:val="none"/>
        </w:rPr>
        <w:t xml:space="preserve"> </w:t>
      </w:r>
      <w:r>
        <w:rPr>
          <w:rFonts w:hint="eastAsia" w:ascii="宋体" w:hAnsi="宋体" w:cs="宋体"/>
          <w:b/>
          <w:bCs/>
          <w:color w:val="auto"/>
          <w:spacing w:val="-40"/>
          <w:kern w:val="0"/>
          <w:sz w:val="52"/>
          <w:szCs w:val="52"/>
          <w:highlight w:val="none"/>
        </w:rPr>
        <w:t>工</w:t>
      </w:r>
      <w:r>
        <w:rPr>
          <w:rFonts w:ascii="宋体" w:hAnsi="宋体" w:cs="宋体"/>
          <w:b/>
          <w:bCs/>
          <w:color w:val="auto"/>
          <w:spacing w:val="-40"/>
          <w:kern w:val="0"/>
          <w:sz w:val="52"/>
          <w:szCs w:val="52"/>
          <w:highlight w:val="none"/>
        </w:rPr>
        <w:t xml:space="preserve"> </w:t>
      </w:r>
      <w:r>
        <w:rPr>
          <w:rFonts w:hint="eastAsia" w:ascii="宋体" w:hAnsi="宋体" w:cs="宋体"/>
          <w:b/>
          <w:bCs/>
          <w:color w:val="auto"/>
          <w:spacing w:val="-40"/>
          <w:kern w:val="0"/>
          <w:sz w:val="52"/>
          <w:szCs w:val="52"/>
          <w:highlight w:val="none"/>
        </w:rPr>
        <w:t>合</w:t>
      </w:r>
      <w:r>
        <w:rPr>
          <w:rFonts w:ascii="宋体" w:hAnsi="宋体" w:cs="宋体"/>
          <w:b/>
          <w:bCs/>
          <w:color w:val="auto"/>
          <w:spacing w:val="-40"/>
          <w:kern w:val="0"/>
          <w:sz w:val="52"/>
          <w:szCs w:val="52"/>
          <w:highlight w:val="none"/>
        </w:rPr>
        <w:t xml:space="preserve"> </w:t>
      </w:r>
      <w:r>
        <w:rPr>
          <w:rFonts w:hint="eastAsia" w:ascii="宋体" w:hAnsi="宋体" w:cs="宋体"/>
          <w:b/>
          <w:bCs/>
          <w:color w:val="auto"/>
          <w:spacing w:val="-40"/>
          <w:kern w:val="0"/>
          <w:sz w:val="52"/>
          <w:szCs w:val="52"/>
          <w:highlight w:val="none"/>
        </w:rPr>
        <w:t>同</w:t>
      </w:r>
    </w:p>
    <w:p>
      <w:pPr>
        <w:shd w:val="clear" w:color="000000" w:fill="auto"/>
        <w:tabs>
          <w:tab w:val="left" w:pos="1380"/>
        </w:tabs>
        <w:spacing w:line="360" w:lineRule="auto"/>
        <w:rPr>
          <w:rFonts w:ascii="宋体" w:cs="Times New Roman"/>
          <w:color w:val="auto"/>
          <w:sz w:val="32"/>
          <w:szCs w:val="32"/>
          <w:highlight w:val="none"/>
        </w:rPr>
      </w:pPr>
    </w:p>
    <w:p>
      <w:pPr>
        <w:shd w:val="clear" w:color="000000" w:fill="auto"/>
        <w:tabs>
          <w:tab w:val="left" w:pos="1380"/>
        </w:tabs>
        <w:spacing w:line="360" w:lineRule="auto"/>
        <w:rPr>
          <w:rFonts w:ascii="宋体" w:cs="Times New Roman"/>
          <w:color w:val="auto"/>
          <w:sz w:val="32"/>
          <w:szCs w:val="32"/>
          <w:highlight w:val="none"/>
        </w:rPr>
      </w:pPr>
      <w:r>
        <w:rPr>
          <w:rFonts w:ascii="宋体" w:cs="Times New Roman"/>
          <w:color w:val="auto"/>
          <w:sz w:val="32"/>
          <w:szCs w:val="32"/>
          <w:highlight w:val="none"/>
        </w:rPr>
        <w:tab/>
      </w:r>
    </w:p>
    <w:p>
      <w:pPr>
        <w:shd w:val="clear" w:color="000000" w:fill="auto"/>
        <w:spacing w:line="640" w:lineRule="exact"/>
        <w:ind w:firstLine="1699" w:firstLineChars="531"/>
        <w:rPr>
          <w:rFonts w:ascii="仿宋" w:hAnsi="仿宋" w:eastAsia="仿宋" w:cs="Times New Roman"/>
          <w:color w:val="auto"/>
          <w:sz w:val="32"/>
          <w:szCs w:val="32"/>
          <w:highlight w:val="none"/>
          <w:u w:val="single"/>
        </w:rPr>
      </w:pPr>
    </w:p>
    <w:p>
      <w:pPr>
        <w:shd w:val="clear" w:color="000000" w:fill="auto"/>
        <w:spacing w:line="640" w:lineRule="exact"/>
        <w:ind w:left="3428" w:leftChars="912" w:hanging="1513" w:hangingChars="473"/>
        <w:rPr>
          <w:rFonts w:hint="eastAsia" w:ascii="宋体" w:hAnsi="宋体" w:eastAsia="宋体" w:cs="仿宋"/>
          <w:color w:val="auto"/>
          <w:sz w:val="32"/>
          <w:szCs w:val="32"/>
          <w:highlight w:val="none"/>
          <w:u w:val="single"/>
          <w:lang w:eastAsia="zh-CN"/>
        </w:rPr>
      </w:pPr>
      <w:r>
        <w:rPr>
          <w:rFonts w:hint="eastAsia" w:ascii="宋体" w:hAnsi="宋体" w:cs="仿宋"/>
          <w:color w:val="auto"/>
          <w:sz w:val="32"/>
          <w:szCs w:val="32"/>
          <w:highlight w:val="none"/>
        </w:rPr>
        <w:t>工程名称：</w:t>
      </w:r>
      <w:r>
        <w:rPr>
          <w:rFonts w:hint="eastAsia" w:ascii="宋体" w:hAnsi="宋体" w:cs="仿宋"/>
          <w:color w:val="auto"/>
          <w:sz w:val="32"/>
          <w:szCs w:val="32"/>
          <w:highlight w:val="none"/>
          <w:u w:val="single"/>
          <w:lang w:eastAsia="zh-CN"/>
        </w:rPr>
        <w:t>原保卫处外墙及内部装修改造工程、智慧汽车学院实训基地装修改造工程、智能制造学院注塑实训室装修改造工程、A栋教师宿舍装修改造项目施工总承包</w:t>
      </w:r>
    </w:p>
    <w:p>
      <w:pPr>
        <w:shd w:val="clear" w:color="000000" w:fill="auto"/>
        <w:spacing w:line="640" w:lineRule="exact"/>
        <w:ind w:left="2148" w:leftChars="912" w:hanging="233" w:hangingChars="73"/>
        <w:rPr>
          <w:rFonts w:ascii="宋体" w:hAnsi="宋体" w:cs="仿宋"/>
          <w:color w:val="auto"/>
          <w:sz w:val="32"/>
          <w:szCs w:val="32"/>
          <w:highlight w:val="none"/>
          <w:u w:val="single"/>
        </w:rPr>
      </w:pPr>
      <w:r>
        <w:rPr>
          <w:rFonts w:hint="eastAsia" w:ascii="宋体" w:hAnsi="宋体" w:cs="仿宋"/>
          <w:color w:val="auto"/>
          <w:sz w:val="32"/>
          <w:szCs w:val="32"/>
          <w:highlight w:val="none"/>
        </w:rPr>
        <w:t>工程地点：</w:t>
      </w:r>
      <w:r>
        <w:rPr>
          <w:rFonts w:ascii="宋体" w:hAnsi="宋体" w:cs="仿宋"/>
          <w:color w:val="auto"/>
          <w:sz w:val="32"/>
          <w:szCs w:val="32"/>
          <w:highlight w:val="none"/>
          <w:u w:val="single"/>
        </w:rPr>
        <w:t xml:space="preserve"> </w:t>
      </w:r>
      <w:r>
        <w:rPr>
          <w:rFonts w:hint="eastAsia" w:ascii="宋体" w:hAnsi="宋体" w:cs="仿宋"/>
          <w:color w:val="auto"/>
          <w:sz w:val="32"/>
          <w:szCs w:val="32"/>
          <w:highlight w:val="none"/>
          <w:u w:val="single"/>
        </w:rPr>
        <w:t xml:space="preserve"> 广州市番禺区市良路1342号             </w:t>
      </w:r>
      <w:r>
        <w:rPr>
          <w:rFonts w:ascii="宋体" w:hAnsi="宋体" w:cs="仿宋"/>
          <w:color w:val="auto"/>
          <w:sz w:val="32"/>
          <w:szCs w:val="32"/>
          <w:highlight w:val="none"/>
          <w:u w:val="single"/>
        </w:rPr>
        <w:t xml:space="preserve">  </w:t>
      </w:r>
    </w:p>
    <w:p>
      <w:pPr>
        <w:shd w:val="clear" w:color="000000" w:fill="auto"/>
        <w:spacing w:line="640" w:lineRule="exact"/>
        <w:ind w:left="2148" w:leftChars="912" w:hanging="233" w:hangingChars="73"/>
        <w:rPr>
          <w:rFonts w:ascii="宋体" w:hAnsi="宋体" w:cs="仿宋"/>
          <w:color w:val="auto"/>
          <w:sz w:val="32"/>
          <w:szCs w:val="32"/>
          <w:highlight w:val="none"/>
          <w:u w:val="single"/>
        </w:rPr>
      </w:pPr>
      <w:r>
        <w:rPr>
          <w:rFonts w:hint="eastAsia" w:ascii="宋体" w:hAnsi="宋体" w:cs="仿宋"/>
          <w:color w:val="auto"/>
          <w:sz w:val="32"/>
          <w:szCs w:val="32"/>
          <w:highlight w:val="none"/>
        </w:rPr>
        <w:t>发</w:t>
      </w:r>
      <w:r>
        <w:rPr>
          <w:rFonts w:ascii="宋体" w:hAnsi="宋体" w:cs="仿宋"/>
          <w:color w:val="auto"/>
          <w:sz w:val="32"/>
          <w:szCs w:val="32"/>
          <w:highlight w:val="none"/>
        </w:rPr>
        <w:t xml:space="preserve"> </w:t>
      </w:r>
      <w:r>
        <w:rPr>
          <w:rFonts w:hint="eastAsia" w:ascii="宋体" w:hAnsi="宋体" w:cs="仿宋"/>
          <w:color w:val="auto"/>
          <w:sz w:val="32"/>
          <w:szCs w:val="32"/>
          <w:highlight w:val="none"/>
        </w:rPr>
        <w:t>包</w:t>
      </w:r>
      <w:r>
        <w:rPr>
          <w:rFonts w:ascii="宋体" w:hAnsi="宋体" w:cs="仿宋"/>
          <w:color w:val="auto"/>
          <w:sz w:val="32"/>
          <w:szCs w:val="32"/>
          <w:highlight w:val="none"/>
        </w:rPr>
        <w:t xml:space="preserve"> </w:t>
      </w:r>
      <w:r>
        <w:rPr>
          <w:rFonts w:hint="eastAsia" w:ascii="宋体" w:hAnsi="宋体" w:cs="仿宋"/>
          <w:color w:val="auto"/>
          <w:sz w:val="32"/>
          <w:szCs w:val="32"/>
          <w:highlight w:val="none"/>
        </w:rPr>
        <w:t>人：</w:t>
      </w:r>
      <w:r>
        <w:rPr>
          <w:rFonts w:ascii="宋体" w:hAnsi="宋体" w:cs="仿宋"/>
          <w:color w:val="auto"/>
          <w:sz w:val="32"/>
          <w:szCs w:val="32"/>
          <w:highlight w:val="none"/>
          <w:u w:val="single"/>
        </w:rPr>
        <w:t xml:space="preserve">  </w:t>
      </w:r>
      <w:r>
        <w:rPr>
          <w:rFonts w:hint="eastAsia" w:ascii="宋体" w:hAnsi="宋体" w:cs="仿宋"/>
          <w:color w:val="auto"/>
          <w:sz w:val="32"/>
          <w:szCs w:val="32"/>
          <w:highlight w:val="none"/>
          <w:u w:val="single"/>
          <w:lang w:eastAsia="zh-CN"/>
        </w:rPr>
        <w:t>广州番禺职业技术学院</w:t>
      </w:r>
      <w:r>
        <w:rPr>
          <w:rFonts w:ascii="宋体" w:hAnsi="宋体" w:cs="仿宋"/>
          <w:color w:val="auto"/>
          <w:sz w:val="32"/>
          <w:szCs w:val="32"/>
          <w:highlight w:val="none"/>
          <w:u w:val="single"/>
        </w:rPr>
        <w:t xml:space="preserve">   </w:t>
      </w:r>
    </w:p>
    <w:p>
      <w:pPr>
        <w:shd w:val="clear" w:color="000000" w:fill="auto"/>
        <w:spacing w:line="640" w:lineRule="exact"/>
        <w:ind w:left="2148" w:leftChars="912" w:hanging="233" w:hangingChars="73"/>
        <w:rPr>
          <w:rFonts w:ascii="宋体" w:hAnsi="宋体" w:cs="仿宋"/>
          <w:color w:val="auto"/>
          <w:sz w:val="32"/>
          <w:szCs w:val="32"/>
          <w:highlight w:val="none"/>
          <w:u w:val="single"/>
        </w:rPr>
      </w:pPr>
      <w:r>
        <w:rPr>
          <w:rFonts w:hint="eastAsia" w:ascii="宋体" w:hAnsi="宋体" w:cs="仿宋"/>
          <w:color w:val="auto"/>
          <w:sz w:val="32"/>
          <w:szCs w:val="32"/>
          <w:highlight w:val="none"/>
        </w:rPr>
        <w:t>承</w:t>
      </w:r>
      <w:r>
        <w:rPr>
          <w:rFonts w:ascii="宋体" w:hAnsi="宋体" w:cs="仿宋"/>
          <w:color w:val="auto"/>
          <w:sz w:val="32"/>
          <w:szCs w:val="32"/>
          <w:highlight w:val="none"/>
        </w:rPr>
        <w:t xml:space="preserve"> </w:t>
      </w:r>
      <w:r>
        <w:rPr>
          <w:rFonts w:hint="eastAsia" w:ascii="宋体" w:hAnsi="宋体" w:cs="仿宋"/>
          <w:color w:val="auto"/>
          <w:sz w:val="32"/>
          <w:szCs w:val="32"/>
          <w:highlight w:val="none"/>
        </w:rPr>
        <w:t>包</w:t>
      </w:r>
      <w:r>
        <w:rPr>
          <w:rFonts w:ascii="宋体" w:hAnsi="宋体" w:cs="仿宋"/>
          <w:color w:val="auto"/>
          <w:sz w:val="32"/>
          <w:szCs w:val="32"/>
          <w:highlight w:val="none"/>
        </w:rPr>
        <w:t xml:space="preserve"> </w:t>
      </w:r>
      <w:r>
        <w:rPr>
          <w:rFonts w:hint="eastAsia" w:ascii="宋体" w:hAnsi="宋体" w:cs="仿宋"/>
          <w:color w:val="auto"/>
          <w:sz w:val="32"/>
          <w:szCs w:val="32"/>
          <w:highlight w:val="none"/>
        </w:rPr>
        <w:t>人：</w:t>
      </w:r>
      <w:r>
        <w:rPr>
          <w:rFonts w:ascii="宋体" w:hAnsi="宋体" w:cs="仿宋"/>
          <w:color w:val="auto"/>
          <w:sz w:val="32"/>
          <w:szCs w:val="32"/>
          <w:highlight w:val="none"/>
          <w:u w:val="single"/>
        </w:rPr>
        <w:t xml:space="preserve">   </w:t>
      </w:r>
      <w:r>
        <w:rPr>
          <w:rFonts w:hint="eastAsia" w:ascii="宋体" w:hAnsi="宋体" w:cs="仿宋"/>
          <w:color w:val="auto"/>
          <w:sz w:val="32"/>
          <w:szCs w:val="32"/>
          <w:highlight w:val="none"/>
          <w:u w:val="single"/>
        </w:rPr>
        <w:t xml:space="preserve">                        </w:t>
      </w:r>
      <w:r>
        <w:rPr>
          <w:rFonts w:ascii="宋体" w:hAnsi="宋体" w:cs="仿宋"/>
          <w:color w:val="auto"/>
          <w:sz w:val="32"/>
          <w:szCs w:val="32"/>
          <w:highlight w:val="none"/>
          <w:u w:val="single"/>
        </w:rPr>
        <w:t xml:space="preserve">      </w:t>
      </w:r>
    </w:p>
    <w:p>
      <w:pPr>
        <w:shd w:val="clear" w:color="000000" w:fill="auto"/>
        <w:spacing w:line="360" w:lineRule="auto"/>
        <w:ind w:left="708" w:leftChars="337" w:firstLine="900" w:firstLineChars="300"/>
        <w:rPr>
          <w:rFonts w:ascii="宋体" w:cs="Times New Roman"/>
          <w:color w:val="auto"/>
          <w:sz w:val="30"/>
          <w:szCs w:val="30"/>
          <w:highlight w:val="none"/>
          <w:u w:val="single"/>
        </w:rPr>
      </w:pPr>
    </w:p>
    <w:p>
      <w:pPr>
        <w:shd w:val="clear" w:color="000000" w:fill="auto"/>
        <w:spacing w:line="360" w:lineRule="auto"/>
        <w:ind w:firstLine="900" w:firstLineChars="300"/>
        <w:rPr>
          <w:rFonts w:ascii="宋体" w:cs="Times New Roman"/>
          <w:color w:val="auto"/>
          <w:sz w:val="30"/>
          <w:szCs w:val="30"/>
          <w:highlight w:val="none"/>
          <w:u w:val="single"/>
        </w:rPr>
      </w:pPr>
    </w:p>
    <w:p>
      <w:pPr>
        <w:shd w:val="clear" w:color="000000" w:fill="auto"/>
        <w:spacing w:line="240" w:lineRule="atLeast"/>
        <w:jc w:val="center"/>
        <w:rPr>
          <w:rFonts w:ascii="宋体" w:cs="Times New Roman"/>
          <w:b/>
          <w:bCs/>
          <w:color w:val="auto"/>
          <w:spacing w:val="50"/>
          <w:sz w:val="32"/>
          <w:szCs w:val="32"/>
          <w:highlight w:val="none"/>
        </w:rPr>
      </w:pPr>
      <w:r>
        <w:rPr>
          <w:rFonts w:hint="eastAsia" w:ascii="宋体" w:hAnsi="宋体" w:cs="宋体"/>
          <w:b/>
          <w:bCs/>
          <w:color w:val="auto"/>
          <w:spacing w:val="50"/>
          <w:sz w:val="32"/>
          <w:szCs w:val="32"/>
          <w:highlight w:val="none"/>
        </w:rPr>
        <w:t>广州市住房和城乡建设局</w:t>
      </w:r>
    </w:p>
    <w:p>
      <w:pPr>
        <w:shd w:val="clear" w:color="000000" w:fill="auto"/>
        <w:spacing w:line="240" w:lineRule="atLeast"/>
        <w:jc w:val="center"/>
        <w:rPr>
          <w:rFonts w:ascii="宋体" w:cs="Times New Roman"/>
          <w:b/>
          <w:bCs/>
          <w:color w:val="auto"/>
          <w:spacing w:val="20"/>
          <w:sz w:val="32"/>
          <w:szCs w:val="32"/>
          <w:highlight w:val="none"/>
        </w:rPr>
      </w:pPr>
      <w:r>
        <w:rPr>
          <w:rFonts w:ascii="宋体" w:hAnsi="宋体" w:cs="宋体"/>
          <w:b/>
          <w:bCs/>
          <w:color w:val="auto"/>
          <w:spacing w:val="20"/>
          <w:sz w:val="32"/>
          <w:szCs w:val="32"/>
          <w:highlight w:val="none"/>
        </w:rPr>
        <w:t xml:space="preserve">                            </w:t>
      </w:r>
      <w:r>
        <w:rPr>
          <w:rFonts w:hint="eastAsia" w:ascii="宋体" w:hAnsi="宋体" w:cs="宋体"/>
          <w:b/>
          <w:bCs/>
          <w:color w:val="auto"/>
          <w:spacing w:val="20"/>
          <w:sz w:val="32"/>
          <w:szCs w:val="32"/>
          <w:highlight w:val="none"/>
        </w:rPr>
        <w:t>制定</w:t>
      </w:r>
    </w:p>
    <w:p>
      <w:pPr>
        <w:shd w:val="clear" w:color="000000" w:fill="auto"/>
        <w:spacing w:line="240" w:lineRule="atLeast"/>
        <w:ind w:firstLine="2836" w:firstLineChars="607"/>
        <w:rPr>
          <w:rFonts w:ascii="宋体" w:cs="Times New Roman"/>
          <w:b/>
          <w:bCs/>
          <w:color w:val="auto"/>
          <w:spacing w:val="73"/>
          <w:sz w:val="32"/>
          <w:szCs w:val="32"/>
          <w:highlight w:val="none"/>
        </w:rPr>
      </w:pPr>
      <w:r>
        <w:rPr>
          <w:rFonts w:hint="eastAsia" w:ascii="宋体" w:hAnsi="宋体" w:cs="宋体"/>
          <w:b/>
          <w:bCs/>
          <w:color w:val="auto"/>
          <w:spacing w:val="73"/>
          <w:sz w:val="32"/>
          <w:szCs w:val="32"/>
          <w:highlight w:val="none"/>
        </w:rPr>
        <w:t>广州市市场监督管理局</w:t>
      </w:r>
    </w:p>
    <w:p>
      <w:pPr>
        <w:shd w:val="clear" w:color="000000" w:fill="auto"/>
        <w:spacing w:line="240" w:lineRule="atLeast"/>
        <w:jc w:val="center"/>
        <w:rPr>
          <w:rFonts w:ascii="宋体" w:cs="Times New Roman"/>
          <w:b/>
          <w:bCs/>
          <w:color w:val="auto"/>
          <w:spacing w:val="20"/>
          <w:sz w:val="32"/>
          <w:szCs w:val="32"/>
          <w:highlight w:val="none"/>
        </w:rPr>
      </w:pPr>
    </w:p>
    <w:p>
      <w:pPr>
        <w:shd w:val="clear" w:color="000000" w:fill="auto"/>
        <w:spacing w:line="240" w:lineRule="atLeast"/>
        <w:jc w:val="center"/>
        <w:rPr>
          <w:rFonts w:ascii="宋体" w:cs="Times New Roman"/>
          <w:color w:val="auto"/>
          <w:sz w:val="32"/>
          <w:szCs w:val="32"/>
          <w:highlight w:val="none"/>
          <w:u w:val="single"/>
        </w:rPr>
      </w:pPr>
    </w:p>
    <w:p>
      <w:pPr>
        <w:widowControl/>
        <w:shd w:val="clear" w:color="000000" w:fill="auto"/>
        <w:spacing w:line="360" w:lineRule="auto"/>
        <w:jc w:val="left"/>
        <w:rPr>
          <w:rFonts w:ascii="宋体" w:cs="Times New Roman"/>
          <w:b/>
          <w:bCs/>
          <w:color w:val="auto"/>
          <w:spacing w:val="80"/>
          <w:kern w:val="0"/>
          <w:sz w:val="36"/>
          <w:szCs w:val="36"/>
          <w:highlight w:val="none"/>
        </w:rPr>
        <w:sectPr>
          <w:footerReference r:id="rId3" w:type="default"/>
          <w:endnotePr>
            <w:numFmt w:val="decimal"/>
          </w:endnotePr>
          <w:pgSz w:w="11906" w:h="16838"/>
          <w:pgMar w:top="851" w:right="924" w:bottom="851" w:left="737" w:header="0" w:footer="0" w:gutter="0"/>
          <w:pgNumType w:start="1"/>
          <w:cols w:space="720" w:num="1"/>
        </w:sectPr>
      </w:pPr>
    </w:p>
    <w:p>
      <w:pPr>
        <w:jc w:val="center"/>
        <w:rPr>
          <w:b/>
          <w:bCs/>
          <w:color w:val="auto"/>
          <w:sz w:val="24"/>
          <w:szCs w:val="24"/>
          <w:highlight w:val="none"/>
        </w:rPr>
      </w:pPr>
      <w:bookmarkStart w:id="0" w:name="_Toc18985701"/>
      <w:bookmarkStart w:id="1" w:name="_Toc18985581"/>
      <w:bookmarkStart w:id="2" w:name="_Toc18984943"/>
      <w:bookmarkStart w:id="3" w:name="_Toc18985535"/>
      <w:r>
        <w:rPr>
          <w:rFonts w:ascii="宋体" w:hAnsi="宋体"/>
          <w:b/>
          <w:bCs/>
          <w:color w:val="auto"/>
          <w:sz w:val="24"/>
          <w:szCs w:val="24"/>
          <w:highlight w:val="none"/>
        </w:rPr>
        <w:t>目</w:t>
      </w:r>
      <w:r>
        <w:rPr>
          <w:rFonts w:hint="eastAsia" w:ascii="宋体" w:hAnsi="宋体"/>
          <w:b/>
          <w:bCs/>
          <w:color w:val="auto"/>
          <w:sz w:val="24"/>
          <w:szCs w:val="24"/>
          <w:highlight w:val="none"/>
        </w:rPr>
        <w:t xml:space="preserve">  </w:t>
      </w:r>
      <w:r>
        <w:rPr>
          <w:rFonts w:ascii="宋体" w:hAnsi="宋体"/>
          <w:b/>
          <w:bCs/>
          <w:color w:val="auto"/>
          <w:sz w:val="24"/>
          <w:szCs w:val="24"/>
          <w:highlight w:val="none"/>
        </w:rPr>
        <w:t>录</w:t>
      </w:r>
    </w:p>
    <w:p>
      <w:pPr>
        <w:pStyle w:val="29"/>
        <w:tabs>
          <w:tab w:val="right" w:leader="dot" w:pos="10204"/>
        </w:tabs>
        <w:spacing w:before="0" w:after="0"/>
        <w:rPr>
          <w:rFonts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fldChar w:fldCharType="begin"/>
      </w:r>
      <w:r>
        <w:rPr>
          <w:rFonts w:hint="eastAsia" w:asciiTheme="minorEastAsia" w:hAnsiTheme="minorEastAsia" w:eastAsiaTheme="minorEastAsia" w:cstheme="minorEastAsia"/>
          <w:b w:val="0"/>
          <w:bCs w:val="0"/>
          <w:color w:val="auto"/>
          <w:sz w:val="21"/>
          <w:szCs w:val="21"/>
          <w:highlight w:val="none"/>
        </w:rPr>
        <w:instrText xml:space="preserve">TOC \o "1-3" \h \u </w:instrText>
      </w:r>
      <w:r>
        <w:rPr>
          <w:rFonts w:hint="eastAsia" w:asciiTheme="minorEastAsia" w:hAnsiTheme="minorEastAsia" w:eastAsiaTheme="minorEastAsia" w:cstheme="minorEastAsia"/>
          <w:b w:val="0"/>
          <w:bCs w:val="0"/>
          <w:color w:val="auto"/>
          <w:sz w:val="21"/>
          <w:szCs w:val="21"/>
          <w:highlight w:val="none"/>
        </w:rPr>
        <w:fldChar w:fldCharType="separate"/>
      </w:r>
      <w:r>
        <w:rPr>
          <w:color w:val="auto"/>
          <w:highlight w:val="none"/>
        </w:rPr>
        <w:fldChar w:fldCharType="begin"/>
      </w:r>
      <w:r>
        <w:rPr>
          <w:color w:val="auto"/>
          <w:highlight w:val="none"/>
        </w:rPr>
        <w:instrText xml:space="preserve"> HYPERLINK \l "_Toc12048" </w:instrText>
      </w:r>
      <w:r>
        <w:rPr>
          <w:color w:val="auto"/>
          <w:highlight w:val="none"/>
        </w:rPr>
        <w:fldChar w:fldCharType="separate"/>
      </w:r>
      <w:r>
        <w:rPr>
          <w:rFonts w:hint="eastAsia" w:asciiTheme="minorEastAsia" w:hAnsiTheme="minorEastAsia" w:eastAsiaTheme="minorEastAsia" w:cstheme="minorEastAsia"/>
          <w:b w:val="0"/>
          <w:bCs w:val="0"/>
          <w:color w:val="auto"/>
          <w:sz w:val="21"/>
          <w:szCs w:val="21"/>
          <w:highlight w:val="none"/>
          <w:lang w:val="zh-CN"/>
        </w:rPr>
        <w:t>总  说  明</w:t>
      </w:r>
      <w:r>
        <w:rPr>
          <w:rFonts w:hint="eastAsia" w:asciiTheme="minorEastAsia" w:hAnsiTheme="minorEastAsia" w:eastAsiaTheme="minorEastAsia" w:cstheme="minorEastAsia"/>
          <w:b w:val="0"/>
          <w:bCs w:val="0"/>
          <w:color w:val="auto"/>
          <w:sz w:val="21"/>
          <w:szCs w:val="21"/>
          <w:highlight w:val="none"/>
        </w:rPr>
        <w:tab/>
      </w:r>
      <w:r>
        <w:rPr>
          <w:rFonts w:hint="eastAsia" w:asciiTheme="minorEastAsia" w:hAnsiTheme="minorEastAsia" w:eastAsiaTheme="minorEastAsia" w:cstheme="minorEastAsia"/>
          <w:b w:val="0"/>
          <w:bCs w:val="0"/>
          <w:color w:val="auto"/>
          <w:sz w:val="21"/>
          <w:szCs w:val="21"/>
          <w:highlight w:val="none"/>
        </w:rPr>
        <w:fldChar w:fldCharType="begin"/>
      </w:r>
      <w:r>
        <w:rPr>
          <w:rFonts w:hint="eastAsia" w:asciiTheme="minorEastAsia" w:hAnsiTheme="minorEastAsia" w:eastAsiaTheme="minorEastAsia" w:cstheme="minorEastAsia"/>
          <w:b w:val="0"/>
          <w:bCs w:val="0"/>
          <w:color w:val="auto"/>
          <w:sz w:val="21"/>
          <w:szCs w:val="21"/>
          <w:highlight w:val="none"/>
        </w:rPr>
        <w:instrText xml:space="preserve"> PAGEREF _Toc12048 \h </w:instrText>
      </w:r>
      <w:r>
        <w:rPr>
          <w:rFonts w:hint="eastAsia" w:asciiTheme="minorEastAsia" w:hAnsiTheme="minorEastAsia" w:eastAsiaTheme="minorEastAsia" w:cstheme="minorEastAsia"/>
          <w:b w:val="0"/>
          <w:bCs w:val="0"/>
          <w:color w:val="auto"/>
          <w:sz w:val="21"/>
          <w:szCs w:val="21"/>
          <w:highlight w:val="none"/>
        </w:rPr>
        <w:fldChar w:fldCharType="separate"/>
      </w:r>
      <w:r>
        <w:rPr>
          <w:rFonts w:hint="eastAsia" w:asciiTheme="minorEastAsia" w:hAnsiTheme="minorEastAsia" w:eastAsiaTheme="minorEastAsia" w:cstheme="minorEastAsia"/>
          <w:b w:val="0"/>
          <w:bCs w:val="0"/>
          <w:color w:val="auto"/>
          <w:sz w:val="21"/>
          <w:szCs w:val="21"/>
          <w:highlight w:val="none"/>
        </w:rPr>
        <w:t>5</w:t>
      </w:r>
      <w:r>
        <w:rPr>
          <w:rFonts w:hint="eastAsia" w:asciiTheme="minorEastAsia" w:hAnsiTheme="minorEastAsia" w:eastAsiaTheme="minorEastAsia" w:cstheme="minorEastAsia"/>
          <w:b w:val="0"/>
          <w:bCs w:val="0"/>
          <w:color w:val="auto"/>
          <w:sz w:val="21"/>
          <w:szCs w:val="21"/>
          <w:highlight w:val="none"/>
        </w:rPr>
        <w:fldChar w:fldCharType="end"/>
      </w:r>
      <w:r>
        <w:rPr>
          <w:rFonts w:hint="eastAsia" w:asciiTheme="minorEastAsia" w:hAnsiTheme="minorEastAsia" w:eastAsiaTheme="minorEastAsia" w:cstheme="minorEastAsia"/>
          <w:b w:val="0"/>
          <w:bCs w:val="0"/>
          <w:color w:val="auto"/>
          <w:sz w:val="21"/>
          <w:szCs w:val="21"/>
          <w:highlight w:val="none"/>
        </w:rPr>
        <w:fldChar w:fldCharType="end"/>
      </w:r>
    </w:p>
    <w:p>
      <w:pPr>
        <w:pStyle w:val="29"/>
        <w:tabs>
          <w:tab w:val="right" w:leader="dot" w:pos="10204"/>
        </w:tabs>
        <w:spacing w:before="0" w:after="0"/>
        <w:rPr>
          <w:rFonts w:asciiTheme="minorEastAsia" w:hAnsiTheme="minorEastAsia" w:eastAsiaTheme="minorEastAsia" w:cstheme="minorEastAsia"/>
          <w:b w:val="0"/>
          <w:bCs w:val="0"/>
          <w:color w:val="auto"/>
          <w:sz w:val="21"/>
          <w:szCs w:val="21"/>
          <w:highlight w:val="none"/>
        </w:rPr>
      </w:pPr>
      <w:r>
        <w:rPr>
          <w:color w:val="auto"/>
          <w:highlight w:val="none"/>
        </w:rPr>
        <w:fldChar w:fldCharType="begin"/>
      </w:r>
      <w:r>
        <w:rPr>
          <w:color w:val="auto"/>
          <w:highlight w:val="none"/>
        </w:rPr>
        <w:instrText xml:space="preserve"> HYPERLINK \l "_Toc10464" </w:instrText>
      </w:r>
      <w:r>
        <w:rPr>
          <w:color w:val="auto"/>
          <w:highlight w:val="none"/>
        </w:rPr>
        <w:fldChar w:fldCharType="separate"/>
      </w:r>
      <w:r>
        <w:rPr>
          <w:rFonts w:hint="eastAsia" w:asciiTheme="minorEastAsia" w:hAnsiTheme="minorEastAsia" w:eastAsiaTheme="minorEastAsia" w:cstheme="minorEastAsia"/>
          <w:b w:val="0"/>
          <w:bCs w:val="0"/>
          <w:color w:val="auto"/>
          <w:sz w:val="21"/>
          <w:szCs w:val="21"/>
          <w:highlight w:val="none"/>
        </w:rPr>
        <w:t>第一部分  协  议  书</w:t>
      </w:r>
      <w:r>
        <w:rPr>
          <w:rFonts w:hint="eastAsia" w:asciiTheme="minorEastAsia" w:hAnsiTheme="minorEastAsia" w:eastAsiaTheme="minorEastAsia" w:cstheme="minorEastAsia"/>
          <w:b w:val="0"/>
          <w:bCs w:val="0"/>
          <w:color w:val="auto"/>
          <w:sz w:val="21"/>
          <w:szCs w:val="21"/>
          <w:highlight w:val="none"/>
        </w:rPr>
        <w:tab/>
      </w:r>
      <w:r>
        <w:rPr>
          <w:rFonts w:hint="eastAsia" w:asciiTheme="minorEastAsia" w:hAnsiTheme="minorEastAsia" w:eastAsiaTheme="minorEastAsia" w:cstheme="minorEastAsia"/>
          <w:b w:val="0"/>
          <w:bCs w:val="0"/>
          <w:color w:val="auto"/>
          <w:sz w:val="21"/>
          <w:szCs w:val="21"/>
          <w:highlight w:val="none"/>
        </w:rPr>
        <w:fldChar w:fldCharType="begin"/>
      </w:r>
      <w:r>
        <w:rPr>
          <w:rFonts w:hint="eastAsia" w:asciiTheme="minorEastAsia" w:hAnsiTheme="minorEastAsia" w:eastAsiaTheme="minorEastAsia" w:cstheme="minorEastAsia"/>
          <w:b w:val="0"/>
          <w:bCs w:val="0"/>
          <w:color w:val="auto"/>
          <w:sz w:val="21"/>
          <w:szCs w:val="21"/>
          <w:highlight w:val="none"/>
        </w:rPr>
        <w:instrText xml:space="preserve"> PAGEREF _Toc10464 \h </w:instrText>
      </w:r>
      <w:r>
        <w:rPr>
          <w:rFonts w:hint="eastAsia" w:asciiTheme="minorEastAsia" w:hAnsiTheme="minorEastAsia" w:eastAsiaTheme="minorEastAsia" w:cstheme="minorEastAsia"/>
          <w:b w:val="0"/>
          <w:bCs w:val="0"/>
          <w:color w:val="auto"/>
          <w:sz w:val="21"/>
          <w:szCs w:val="21"/>
          <w:highlight w:val="none"/>
        </w:rPr>
        <w:fldChar w:fldCharType="separate"/>
      </w:r>
      <w:r>
        <w:rPr>
          <w:rFonts w:hint="eastAsia" w:asciiTheme="minorEastAsia" w:hAnsiTheme="minorEastAsia" w:eastAsiaTheme="minorEastAsia" w:cstheme="minorEastAsia"/>
          <w:b w:val="0"/>
          <w:bCs w:val="0"/>
          <w:color w:val="auto"/>
          <w:sz w:val="21"/>
          <w:szCs w:val="21"/>
          <w:highlight w:val="none"/>
        </w:rPr>
        <w:t>7</w:t>
      </w:r>
      <w:r>
        <w:rPr>
          <w:rFonts w:hint="eastAsia" w:asciiTheme="minorEastAsia" w:hAnsiTheme="minorEastAsia" w:eastAsiaTheme="minorEastAsia" w:cstheme="minorEastAsia"/>
          <w:b w:val="0"/>
          <w:bCs w:val="0"/>
          <w:color w:val="auto"/>
          <w:sz w:val="21"/>
          <w:szCs w:val="21"/>
          <w:highlight w:val="none"/>
        </w:rPr>
        <w:fldChar w:fldCharType="end"/>
      </w:r>
      <w:r>
        <w:rPr>
          <w:rFonts w:hint="eastAsia" w:asciiTheme="minorEastAsia" w:hAnsiTheme="minorEastAsia" w:eastAsiaTheme="minorEastAsia" w:cstheme="minorEastAsia"/>
          <w:b w:val="0"/>
          <w:bCs w:val="0"/>
          <w:color w:val="auto"/>
          <w:sz w:val="21"/>
          <w:szCs w:val="21"/>
          <w:highlight w:val="none"/>
        </w:rPr>
        <w:fldChar w:fldCharType="end"/>
      </w:r>
    </w:p>
    <w:p>
      <w:pPr>
        <w:pStyle w:val="34"/>
        <w:tabs>
          <w:tab w:val="right" w:leader="dot" w:pos="10204"/>
        </w:tabs>
        <w:rPr>
          <w:rFonts w:asciiTheme="minorEastAsia" w:hAnsiTheme="minorEastAsia" w:eastAsiaTheme="minorEastAsia" w:cstheme="minorEastAsia"/>
          <w:color w:val="auto"/>
          <w:sz w:val="21"/>
          <w:szCs w:val="21"/>
          <w:highlight w:val="none"/>
        </w:rPr>
      </w:pPr>
      <w:r>
        <w:rPr>
          <w:color w:val="auto"/>
          <w:highlight w:val="none"/>
        </w:rPr>
        <w:fldChar w:fldCharType="begin"/>
      </w:r>
      <w:r>
        <w:rPr>
          <w:color w:val="auto"/>
          <w:highlight w:val="none"/>
        </w:rPr>
        <w:instrText xml:space="preserve"> HYPERLINK \l "_Toc18707" </w:instrText>
      </w:r>
      <w:r>
        <w:rPr>
          <w:color w:val="auto"/>
          <w:highlight w:val="none"/>
        </w:rPr>
        <w:fldChar w:fldCharType="separate"/>
      </w:r>
      <w:r>
        <w:rPr>
          <w:rFonts w:hint="eastAsia" w:asciiTheme="minorEastAsia" w:hAnsiTheme="minorEastAsia" w:eastAsiaTheme="minorEastAsia" w:cstheme="minorEastAsia"/>
          <w:color w:val="auto"/>
          <w:sz w:val="21"/>
          <w:szCs w:val="21"/>
          <w:highlight w:val="none"/>
        </w:rPr>
        <w:t>一、工程概况</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PAGEREF _Toc18707 \h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rPr>
        <w:t>7</w:t>
      </w:r>
      <w:r>
        <w:rPr>
          <w:rFonts w:hint="eastAsia" w:asciiTheme="minorEastAsia" w:hAnsiTheme="minorEastAsia" w:eastAsiaTheme="minorEastAsia" w:cstheme="minorEastAsia"/>
          <w:color w:val="auto"/>
          <w:sz w:val="21"/>
          <w:szCs w:val="21"/>
          <w:highlight w:val="none"/>
        </w:rPr>
        <w:fldChar w:fldCharType="end"/>
      </w:r>
      <w:r>
        <w:rPr>
          <w:rFonts w:hint="eastAsia" w:asciiTheme="minorEastAsia" w:hAnsiTheme="minorEastAsia" w:eastAsiaTheme="minorEastAsia" w:cstheme="minorEastAsia"/>
          <w:color w:val="auto"/>
          <w:sz w:val="21"/>
          <w:szCs w:val="21"/>
          <w:highlight w:val="none"/>
        </w:rPr>
        <w:fldChar w:fldCharType="end"/>
      </w:r>
    </w:p>
    <w:p>
      <w:pPr>
        <w:pStyle w:val="34"/>
        <w:tabs>
          <w:tab w:val="right" w:leader="dot" w:pos="10204"/>
        </w:tabs>
        <w:rPr>
          <w:rFonts w:asciiTheme="minorEastAsia" w:hAnsiTheme="minorEastAsia" w:eastAsiaTheme="minorEastAsia" w:cstheme="minorEastAsia"/>
          <w:color w:val="auto"/>
          <w:sz w:val="21"/>
          <w:szCs w:val="21"/>
          <w:highlight w:val="none"/>
        </w:rPr>
      </w:pPr>
      <w:r>
        <w:rPr>
          <w:color w:val="auto"/>
          <w:highlight w:val="none"/>
        </w:rPr>
        <w:fldChar w:fldCharType="begin"/>
      </w:r>
      <w:r>
        <w:rPr>
          <w:color w:val="auto"/>
          <w:highlight w:val="none"/>
        </w:rPr>
        <w:instrText xml:space="preserve"> HYPERLINK \l "_Toc19157" </w:instrText>
      </w:r>
      <w:r>
        <w:rPr>
          <w:color w:val="auto"/>
          <w:highlight w:val="none"/>
        </w:rPr>
        <w:fldChar w:fldCharType="separate"/>
      </w:r>
      <w:r>
        <w:rPr>
          <w:rFonts w:hint="eastAsia" w:asciiTheme="minorEastAsia" w:hAnsiTheme="minorEastAsia" w:eastAsiaTheme="minorEastAsia" w:cstheme="minorEastAsia"/>
          <w:color w:val="auto"/>
          <w:sz w:val="21"/>
          <w:szCs w:val="21"/>
          <w:highlight w:val="none"/>
        </w:rPr>
        <w:t>二、工程内容与承包范围</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PAGEREF _Toc19157 \h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rPr>
        <w:t>7</w:t>
      </w:r>
      <w:r>
        <w:rPr>
          <w:rFonts w:hint="eastAsia" w:asciiTheme="minorEastAsia" w:hAnsiTheme="minorEastAsia" w:eastAsiaTheme="minorEastAsia" w:cstheme="minorEastAsia"/>
          <w:color w:val="auto"/>
          <w:sz w:val="21"/>
          <w:szCs w:val="21"/>
          <w:highlight w:val="none"/>
        </w:rPr>
        <w:fldChar w:fldCharType="end"/>
      </w:r>
      <w:r>
        <w:rPr>
          <w:rFonts w:hint="eastAsia" w:asciiTheme="minorEastAsia" w:hAnsiTheme="minorEastAsia" w:eastAsiaTheme="minorEastAsia" w:cstheme="minorEastAsia"/>
          <w:color w:val="auto"/>
          <w:sz w:val="21"/>
          <w:szCs w:val="21"/>
          <w:highlight w:val="none"/>
        </w:rPr>
        <w:fldChar w:fldCharType="end"/>
      </w:r>
    </w:p>
    <w:p>
      <w:pPr>
        <w:pStyle w:val="34"/>
        <w:tabs>
          <w:tab w:val="right" w:leader="dot" w:pos="10204"/>
        </w:tabs>
        <w:rPr>
          <w:rFonts w:asciiTheme="minorEastAsia" w:hAnsiTheme="minorEastAsia" w:eastAsiaTheme="minorEastAsia" w:cstheme="minorEastAsia"/>
          <w:color w:val="auto"/>
          <w:sz w:val="21"/>
          <w:szCs w:val="21"/>
          <w:highlight w:val="none"/>
        </w:rPr>
      </w:pPr>
      <w:r>
        <w:rPr>
          <w:color w:val="auto"/>
          <w:highlight w:val="none"/>
        </w:rPr>
        <w:fldChar w:fldCharType="begin"/>
      </w:r>
      <w:r>
        <w:rPr>
          <w:color w:val="auto"/>
          <w:highlight w:val="none"/>
        </w:rPr>
        <w:instrText xml:space="preserve"> HYPERLINK \l "_Toc16426" </w:instrText>
      </w:r>
      <w:r>
        <w:rPr>
          <w:color w:val="auto"/>
          <w:highlight w:val="none"/>
        </w:rPr>
        <w:fldChar w:fldCharType="separate"/>
      </w:r>
      <w:r>
        <w:rPr>
          <w:rFonts w:hint="eastAsia" w:asciiTheme="minorEastAsia" w:hAnsiTheme="minorEastAsia" w:eastAsiaTheme="minorEastAsia" w:cstheme="minorEastAsia"/>
          <w:color w:val="auto"/>
          <w:sz w:val="21"/>
          <w:szCs w:val="21"/>
          <w:highlight w:val="none"/>
        </w:rPr>
        <w:t>三、合同工期</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PAGEREF _Toc16426 \h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rPr>
        <w:t>8</w:t>
      </w:r>
      <w:r>
        <w:rPr>
          <w:rFonts w:hint="eastAsia" w:asciiTheme="minorEastAsia" w:hAnsiTheme="minorEastAsia" w:eastAsiaTheme="minorEastAsia" w:cstheme="minorEastAsia"/>
          <w:color w:val="auto"/>
          <w:sz w:val="21"/>
          <w:szCs w:val="21"/>
          <w:highlight w:val="none"/>
        </w:rPr>
        <w:fldChar w:fldCharType="end"/>
      </w:r>
      <w:r>
        <w:rPr>
          <w:rFonts w:hint="eastAsia" w:asciiTheme="minorEastAsia" w:hAnsiTheme="minorEastAsia" w:eastAsiaTheme="minorEastAsia" w:cstheme="minorEastAsia"/>
          <w:color w:val="auto"/>
          <w:sz w:val="21"/>
          <w:szCs w:val="21"/>
          <w:highlight w:val="none"/>
        </w:rPr>
        <w:fldChar w:fldCharType="end"/>
      </w:r>
    </w:p>
    <w:p>
      <w:pPr>
        <w:pStyle w:val="34"/>
        <w:tabs>
          <w:tab w:val="right" w:leader="dot" w:pos="10204"/>
        </w:tabs>
        <w:rPr>
          <w:rFonts w:asciiTheme="minorEastAsia" w:hAnsiTheme="minorEastAsia" w:eastAsiaTheme="minorEastAsia" w:cstheme="minorEastAsia"/>
          <w:color w:val="auto"/>
          <w:sz w:val="21"/>
          <w:szCs w:val="21"/>
          <w:highlight w:val="none"/>
        </w:rPr>
      </w:pPr>
      <w:r>
        <w:rPr>
          <w:color w:val="auto"/>
          <w:highlight w:val="none"/>
        </w:rPr>
        <w:fldChar w:fldCharType="begin"/>
      </w:r>
      <w:r>
        <w:rPr>
          <w:color w:val="auto"/>
          <w:highlight w:val="none"/>
        </w:rPr>
        <w:instrText xml:space="preserve"> HYPERLINK \l "_Toc19276" </w:instrText>
      </w:r>
      <w:r>
        <w:rPr>
          <w:color w:val="auto"/>
          <w:highlight w:val="none"/>
        </w:rPr>
        <w:fldChar w:fldCharType="separate"/>
      </w:r>
      <w:r>
        <w:rPr>
          <w:rFonts w:hint="eastAsia" w:asciiTheme="minorEastAsia" w:hAnsiTheme="minorEastAsia" w:eastAsiaTheme="minorEastAsia" w:cstheme="minorEastAsia"/>
          <w:color w:val="auto"/>
          <w:sz w:val="21"/>
          <w:szCs w:val="21"/>
          <w:highlight w:val="none"/>
        </w:rPr>
        <w:t>★四、质量标准</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PAGEREF _Toc19276 \h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rPr>
        <w:t>8</w:t>
      </w:r>
      <w:r>
        <w:rPr>
          <w:rFonts w:hint="eastAsia" w:asciiTheme="minorEastAsia" w:hAnsiTheme="minorEastAsia" w:eastAsiaTheme="minorEastAsia" w:cstheme="minorEastAsia"/>
          <w:color w:val="auto"/>
          <w:sz w:val="21"/>
          <w:szCs w:val="21"/>
          <w:highlight w:val="none"/>
        </w:rPr>
        <w:fldChar w:fldCharType="end"/>
      </w:r>
      <w:r>
        <w:rPr>
          <w:rFonts w:hint="eastAsia" w:asciiTheme="minorEastAsia" w:hAnsiTheme="minorEastAsia" w:eastAsiaTheme="minorEastAsia" w:cstheme="minorEastAsia"/>
          <w:color w:val="auto"/>
          <w:sz w:val="21"/>
          <w:szCs w:val="21"/>
          <w:highlight w:val="none"/>
        </w:rPr>
        <w:fldChar w:fldCharType="end"/>
      </w:r>
    </w:p>
    <w:p>
      <w:pPr>
        <w:pStyle w:val="29"/>
        <w:tabs>
          <w:tab w:val="right" w:leader="dot" w:pos="10204"/>
        </w:tabs>
        <w:spacing w:before="0" w:after="0"/>
        <w:ind w:firstLine="201" w:firstLineChars="100"/>
        <w:rPr>
          <w:rFonts w:asciiTheme="minorEastAsia" w:hAnsiTheme="minorEastAsia" w:eastAsiaTheme="minorEastAsia" w:cstheme="minorEastAsia"/>
          <w:b w:val="0"/>
          <w:bCs w:val="0"/>
          <w:color w:val="auto"/>
          <w:sz w:val="21"/>
          <w:szCs w:val="21"/>
          <w:highlight w:val="none"/>
        </w:rPr>
      </w:pPr>
      <w:r>
        <w:rPr>
          <w:color w:val="auto"/>
          <w:highlight w:val="none"/>
        </w:rPr>
        <w:fldChar w:fldCharType="begin"/>
      </w:r>
      <w:r>
        <w:rPr>
          <w:color w:val="auto"/>
          <w:highlight w:val="none"/>
        </w:rPr>
        <w:instrText xml:space="preserve"> HYPERLINK \l "_Toc6065" </w:instrText>
      </w:r>
      <w:r>
        <w:rPr>
          <w:color w:val="auto"/>
          <w:highlight w:val="none"/>
        </w:rPr>
        <w:fldChar w:fldCharType="separate"/>
      </w:r>
      <w:r>
        <w:rPr>
          <w:rFonts w:hint="eastAsia" w:asciiTheme="minorEastAsia" w:hAnsiTheme="minorEastAsia" w:eastAsiaTheme="minorEastAsia" w:cstheme="minorEastAsia"/>
          <w:b w:val="0"/>
          <w:bCs w:val="0"/>
          <w:color w:val="auto"/>
          <w:sz w:val="21"/>
          <w:szCs w:val="21"/>
          <w:highlight w:val="none"/>
        </w:rPr>
        <w:t>五、合同价款</w:t>
      </w:r>
      <w:r>
        <w:rPr>
          <w:rFonts w:hint="eastAsia" w:asciiTheme="minorEastAsia" w:hAnsiTheme="minorEastAsia" w:eastAsiaTheme="minorEastAsia" w:cstheme="minorEastAsia"/>
          <w:b w:val="0"/>
          <w:bCs w:val="0"/>
          <w:color w:val="auto"/>
          <w:sz w:val="21"/>
          <w:szCs w:val="21"/>
          <w:highlight w:val="none"/>
        </w:rPr>
        <w:tab/>
      </w:r>
      <w:r>
        <w:rPr>
          <w:rFonts w:hint="eastAsia" w:asciiTheme="minorEastAsia" w:hAnsiTheme="minorEastAsia" w:eastAsiaTheme="minorEastAsia" w:cstheme="minorEastAsia"/>
          <w:b w:val="0"/>
          <w:bCs w:val="0"/>
          <w:color w:val="auto"/>
          <w:sz w:val="21"/>
          <w:szCs w:val="21"/>
          <w:highlight w:val="none"/>
        </w:rPr>
        <w:fldChar w:fldCharType="begin"/>
      </w:r>
      <w:r>
        <w:rPr>
          <w:rFonts w:hint="eastAsia" w:asciiTheme="minorEastAsia" w:hAnsiTheme="minorEastAsia" w:eastAsiaTheme="minorEastAsia" w:cstheme="minorEastAsia"/>
          <w:b w:val="0"/>
          <w:bCs w:val="0"/>
          <w:color w:val="auto"/>
          <w:sz w:val="21"/>
          <w:szCs w:val="21"/>
          <w:highlight w:val="none"/>
        </w:rPr>
        <w:instrText xml:space="preserve"> PAGEREF _Toc6065 \h </w:instrText>
      </w:r>
      <w:r>
        <w:rPr>
          <w:rFonts w:hint="eastAsia" w:asciiTheme="minorEastAsia" w:hAnsiTheme="minorEastAsia" w:eastAsiaTheme="minorEastAsia" w:cstheme="minorEastAsia"/>
          <w:b w:val="0"/>
          <w:bCs w:val="0"/>
          <w:color w:val="auto"/>
          <w:sz w:val="21"/>
          <w:szCs w:val="21"/>
          <w:highlight w:val="none"/>
        </w:rPr>
        <w:fldChar w:fldCharType="separate"/>
      </w:r>
      <w:r>
        <w:rPr>
          <w:rFonts w:hint="eastAsia" w:asciiTheme="minorEastAsia" w:hAnsiTheme="minorEastAsia" w:eastAsiaTheme="minorEastAsia" w:cstheme="minorEastAsia"/>
          <w:b w:val="0"/>
          <w:bCs w:val="0"/>
          <w:color w:val="auto"/>
          <w:sz w:val="21"/>
          <w:szCs w:val="21"/>
          <w:highlight w:val="none"/>
        </w:rPr>
        <w:t>8</w:t>
      </w:r>
      <w:r>
        <w:rPr>
          <w:rFonts w:hint="eastAsia" w:asciiTheme="minorEastAsia" w:hAnsiTheme="minorEastAsia" w:eastAsiaTheme="minorEastAsia" w:cstheme="minorEastAsia"/>
          <w:b w:val="0"/>
          <w:bCs w:val="0"/>
          <w:color w:val="auto"/>
          <w:sz w:val="21"/>
          <w:szCs w:val="21"/>
          <w:highlight w:val="none"/>
        </w:rPr>
        <w:fldChar w:fldCharType="end"/>
      </w:r>
      <w:r>
        <w:rPr>
          <w:rFonts w:hint="eastAsia" w:asciiTheme="minorEastAsia" w:hAnsiTheme="minorEastAsia" w:eastAsiaTheme="minorEastAsia" w:cstheme="minorEastAsia"/>
          <w:b w:val="0"/>
          <w:bCs w:val="0"/>
          <w:color w:val="auto"/>
          <w:sz w:val="21"/>
          <w:szCs w:val="21"/>
          <w:highlight w:val="none"/>
        </w:rPr>
        <w:fldChar w:fldCharType="end"/>
      </w:r>
    </w:p>
    <w:p>
      <w:pPr>
        <w:pStyle w:val="29"/>
        <w:tabs>
          <w:tab w:val="right" w:leader="dot" w:pos="10204"/>
        </w:tabs>
        <w:spacing w:before="0" w:after="0"/>
        <w:ind w:firstLine="201" w:firstLineChars="100"/>
        <w:rPr>
          <w:rFonts w:asciiTheme="minorEastAsia" w:hAnsiTheme="minorEastAsia" w:eastAsiaTheme="minorEastAsia" w:cstheme="minorEastAsia"/>
          <w:b w:val="0"/>
          <w:bCs w:val="0"/>
          <w:color w:val="auto"/>
          <w:sz w:val="21"/>
          <w:szCs w:val="21"/>
          <w:highlight w:val="none"/>
        </w:rPr>
      </w:pPr>
      <w:r>
        <w:rPr>
          <w:color w:val="auto"/>
          <w:highlight w:val="none"/>
        </w:rPr>
        <w:fldChar w:fldCharType="begin"/>
      </w:r>
      <w:r>
        <w:rPr>
          <w:color w:val="auto"/>
          <w:highlight w:val="none"/>
        </w:rPr>
        <w:instrText xml:space="preserve"> HYPERLINK \l "_Toc32095" </w:instrText>
      </w:r>
      <w:r>
        <w:rPr>
          <w:color w:val="auto"/>
          <w:highlight w:val="none"/>
        </w:rPr>
        <w:fldChar w:fldCharType="separate"/>
      </w:r>
      <w:r>
        <w:rPr>
          <w:rFonts w:hint="eastAsia" w:asciiTheme="minorEastAsia" w:hAnsiTheme="minorEastAsia" w:eastAsiaTheme="minorEastAsia" w:cstheme="minorEastAsia"/>
          <w:b w:val="0"/>
          <w:bCs w:val="0"/>
          <w:color w:val="auto"/>
          <w:sz w:val="21"/>
          <w:szCs w:val="21"/>
          <w:highlight w:val="none"/>
          <w:lang w:val="en-US" w:eastAsia="zh-CN"/>
        </w:rPr>
        <w:t>六</w:t>
      </w:r>
      <w:r>
        <w:rPr>
          <w:rFonts w:hint="eastAsia" w:asciiTheme="minorEastAsia" w:hAnsiTheme="minorEastAsia" w:eastAsiaTheme="minorEastAsia" w:cstheme="minorEastAsia"/>
          <w:b w:val="0"/>
          <w:bCs w:val="0"/>
          <w:color w:val="auto"/>
          <w:sz w:val="21"/>
          <w:szCs w:val="21"/>
          <w:highlight w:val="none"/>
        </w:rPr>
        <w:t>、组成合同的文件</w:t>
      </w:r>
      <w:r>
        <w:rPr>
          <w:rFonts w:hint="eastAsia" w:asciiTheme="minorEastAsia" w:hAnsiTheme="minorEastAsia" w:eastAsiaTheme="minorEastAsia" w:cstheme="minorEastAsia"/>
          <w:b w:val="0"/>
          <w:bCs w:val="0"/>
          <w:color w:val="auto"/>
          <w:sz w:val="21"/>
          <w:szCs w:val="21"/>
          <w:highlight w:val="none"/>
        </w:rPr>
        <w:tab/>
      </w:r>
      <w:r>
        <w:rPr>
          <w:rFonts w:hint="eastAsia" w:asciiTheme="minorEastAsia" w:hAnsiTheme="minorEastAsia" w:eastAsiaTheme="minorEastAsia" w:cstheme="minorEastAsia"/>
          <w:b w:val="0"/>
          <w:bCs w:val="0"/>
          <w:color w:val="auto"/>
          <w:sz w:val="21"/>
          <w:szCs w:val="21"/>
          <w:highlight w:val="none"/>
        </w:rPr>
        <w:fldChar w:fldCharType="begin"/>
      </w:r>
      <w:r>
        <w:rPr>
          <w:rFonts w:hint="eastAsia" w:asciiTheme="minorEastAsia" w:hAnsiTheme="minorEastAsia" w:eastAsiaTheme="minorEastAsia" w:cstheme="minorEastAsia"/>
          <w:b w:val="0"/>
          <w:bCs w:val="0"/>
          <w:color w:val="auto"/>
          <w:sz w:val="21"/>
          <w:szCs w:val="21"/>
          <w:highlight w:val="none"/>
        </w:rPr>
        <w:instrText xml:space="preserve"> PAGEREF _Toc32095 \h </w:instrText>
      </w:r>
      <w:r>
        <w:rPr>
          <w:rFonts w:hint="eastAsia" w:asciiTheme="minorEastAsia" w:hAnsiTheme="minorEastAsia" w:eastAsiaTheme="minorEastAsia" w:cstheme="minorEastAsia"/>
          <w:b w:val="0"/>
          <w:bCs w:val="0"/>
          <w:color w:val="auto"/>
          <w:sz w:val="21"/>
          <w:szCs w:val="21"/>
          <w:highlight w:val="none"/>
        </w:rPr>
        <w:fldChar w:fldCharType="separate"/>
      </w:r>
      <w:r>
        <w:rPr>
          <w:rFonts w:hint="eastAsia" w:asciiTheme="minorEastAsia" w:hAnsiTheme="minorEastAsia" w:eastAsiaTheme="minorEastAsia" w:cstheme="minorEastAsia"/>
          <w:b w:val="0"/>
          <w:bCs w:val="0"/>
          <w:color w:val="auto"/>
          <w:sz w:val="21"/>
          <w:szCs w:val="21"/>
          <w:highlight w:val="none"/>
        </w:rPr>
        <w:t>8</w:t>
      </w:r>
      <w:r>
        <w:rPr>
          <w:rFonts w:hint="eastAsia" w:asciiTheme="minorEastAsia" w:hAnsiTheme="minorEastAsia" w:eastAsiaTheme="minorEastAsia" w:cstheme="minorEastAsia"/>
          <w:b w:val="0"/>
          <w:bCs w:val="0"/>
          <w:color w:val="auto"/>
          <w:sz w:val="21"/>
          <w:szCs w:val="21"/>
          <w:highlight w:val="none"/>
        </w:rPr>
        <w:fldChar w:fldCharType="end"/>
      </w:r>
      <w:r>
        <w:rPr>
          <w:rFonts w:hint="eastAsia" w:asciiTheme="minorEastAsia" w:hAnsiTheme="minorEastAsia" w:eastAsiaTheme="minorEastAsia" w:cstheme="minorEastAsia"/>
          <w:b w:val="0"/>
          <w:bCs w:val="0"/>
          <w:color w:val="auto"/>
          <w:sz w:val="21"/>
          <w:szCs w:val="21"/>
          <w:highlight w:val="none"/>
        </w:rPr>
        <w:fldChar w:fldCharType="end"/>
      </w:r>
    </w:p>
    <w:p>
      <w:pPr>
        <w:pStyle w:val="29"/>
        <w:tabs>
          <w:tab w:val="right" w:leader="dot" w:pos="10204"/>
        </w:tabs>
        <w:spacing w:before="0" w:after="0"/>
        <w:ind w:firstLine="201" w:firstLineChars="100"/>
        <w:rPr>
          <w:rFonts w:asciiTheme="minorEastAsia" w:hAnsiTheme="minorEastAsia" w:eastAsiaTheme="minorEastAsia" w:cstheme="minorEastAsia"/>
          <w:b w:val="0"/>
          <w:bCs w:val="0"/>
          <w:color w:val="auto"/>
          <w:sz w:val="21"/>
          <w:szCs w:val="21"/>
          <w:highlight w:val="none"/>
        </w:rPr>
      </w:pPr>
      <w:r>
        <w:rPr>
          <w:color w:val="auto"/>
          <w:highlight w:val="none"/>
        </w:rPr>
        <w:fldChar w:fldCharType="begin"/>
      </w:r>
      <w:r>
        <w:rPr>
          <w:color w:val="auto"/>
          <w:highlight w:val="none"/>
        </w:rPr>
        <w:instrText xml:space="preserve"> HYPERLINK \l "_Toc21897" </w:instrText>
      </w:r>
      <w:r>
        <w:rPr>
          <w:color w:val="auto"/>
          <w:highlight w:val="none"/>
        </w:rPr>
        <w:fldChar w:fldCharType="separate"/>
      </w:r>
      <w:r>
        <w:rPr>
          <w:rFonts w:hint="eastAsia" w:asciiTheme="minorEastAsia" w:hAnsiTheme="minorEastAsia" w:eastAsiaTheme="minorEastAsia" w:cstheme="minorEastAsia"/>
          <w:b w:val="0"/>
          <w:bCs w:val="0"/>
          <w:color w:val="auto"/>
          <w:sz w:val="21"/>
          <w:szCs w:val="21"/>
          <w:highlight w:val="none"/>
          <w:lang w:val="en-US" w:eastAsia="zh-CN"/>
        </w:rPr>
        <w:t>七</w:t>
      </w:r>
      <w:r>
        <w:rPr>
          <w:rFonts w:hint="eastAsia" w:asciiTheme="minorEastAsia" w:hAnsiTheme="minorEastAsia" w:eastAsiaTheme="minorEastAsia" w:cstheme="minorEastAsia"/>
          <w:b w:val="0"/>
          <w:bCs w:val="0"/>
          <w:color w:val="auto"/>
          <w:sz w:val="21"/>
          <w:szCs w:val="21"/>
          <w:highlight w:val="none"/>
        </w:rPr>
        <w:t>、词语含义</w:t>
      </w:r>
      <w:r>
        <w:rPr>
          <w:rFonts w:hint="eastAsia" w:asciiTheme="minorEastAsia" w:hAnsiTheme="minorEastAsia" w:eastAsiaTheme="minorEastAsia" w:cstheme="minorEastAsia"/>
          <w:b w:val="0"/>
          <w:bCs w:val="0"/>
          <w:color w:val="auto"/>
          <w:sz w:val="21"/>
          <w:szCs w:val="21"/>
          <w:highlight w:val="none"/>
        </w:rPr>
        <w:tab/>
      </w:r>
      <w:r>
        <w:rPr>
          <w:rFonts w:hint="eastAsia" w:asciiTheme="minorEastAsia" w:hAnsiTheme="minorEastAsia" w:eastAsiaTheme="minorEastAsia" w:cstheme="minorEastAsia"/>
          <w:b w:val="0"/>
          <w:bCs w:val="0"/>
          <w:color w:val="auto"/>
          <w:sz w:val="21"/>
          <w:szCs w:val="21"/>
          <w:highlight w:val="none"/>
        </w:rPr>
        <w:fldChar w:fldCharType="begin"/>
      </w:r>
      <w:r>
        <w:rPr>
          <w:rFonts w:hint="eastAsia" w:asciiTheme="minorEastAsia" w:hAnsiTheme="minorEastAsia" w:eastAsiaTheme="minorEastAsia" w:cstheme="minorEastAsia"/>
          <w:b w:val="0"/>
          <w:bCs w:val="0"/>
          <w:color w:val="auto"/>
          <w:sz w:val="21"/>
          <w:szCs w:val="21"/>
          <w:highlight w:val="none"/>
        </w:rPr>
        <w:instrText xml:space="preserve"> PAGEREF _Toc21897 \h </w:instrText>
      </w:r>
      <w:r>
        <w:rPr>
          <w:rFonts w:hint="eastAsia" w:asciiTheme="minorEastAsia" w:hAnsiTheme="minorEastAsia" w:eastAsiaTheme="minorEastAsia" w:cstheme="minorEastAsia"/>
          <w:b w:val="0"/>
          <w:bCs w:val="0"/>
          <w:color w:val="auto"/>
          <w:sz w:val="21"/>
          <w:szCs w:val="21"/>
          <w:highlight w:val="none"/>
        </w:rPr>
        <w:fldChar w:fldCharType="separate"/>
      </w:r>
      <w:r>
        <w:rPr>
          <w:rFonts w:hint="eastAsia" w:asciiTheme="minorEastAsia" w:hAnsiTheme="minorEastAsia" w:eastAsiaTheme="minorEastAsia" w:cstheme="minorEastAsia"/>
          <w:b w:val="0"/>
          <w:bCs w:val="0"/>
          <w:color w:val="auto"/>
          <w:sz w:val="21"/>
          <w:szCs w:val="21"/>
          <w:highlight w:val="none"/>
        </w:rPr>
        <w:t>9</w:t>
      </w:r>
      <w:r>
        <w:rPr>
          <w:rFonts w:hint="eastAsia" w:asciiTheme="minorEastAsia" w:hAnsiTheme="minorEastAsia" w:eastAsiaTheme="minorEastAsia" w:cstheme="minorEastAsia"/>
          <w:b w:val="0"/>
          <w:bCs w:val="0"/>
          <w:color w:val="auto"/>
          <w:sz w:val="21"/>
          <w:szCs w:val="21"/>
          <w:highlight w:val="none"/>
        </w:rPr>
        <w:fldChar w:fldCharType="end"/>
      </w:r>
      <w:r>
        <w:rPr>
          <w:rFonts w:hint="eastAsia" w:asciiTheme="minorEastAsia" w:hAnsiTheme="minorEastAsia" w:eastAsiaTheme="minorEastAsia" w:cstheme="minorEastAsia"/>
          <w:b w:val="0"/>
          <w:bCs w:val="0"/>
          <w:color w:val="auto"/>
          <w:sz w:val="21"/>
          <w:szCs w:val="21"/>
          <w:highlight w:val="none"/>
        </w:rPr>
        <w:fldChar w:fldCharType="end"/>
      </w:r>
    </w:p>
    <w:p>
      <w:pPr>
        <w:pStyle w:val="29"/>
        <w:tabs>
          <w:tab w:val="right" w:leader="dot" w:pos="10204"/>
        </w:tabs>
        <w:spacing w:before="0" w:after="0"/>
        <w:ind w:firstLine="201" w:firstLineChars="100"/>
        <w:rPr>
          <w:rFonts w:asciiTheme="minorEastAsia" w:hAnsiTheme="minorEastAsia" w:eastAsiaTheme="minorEastAsia" w:cstheme="minorEastAsia"/>
          <w:b w:val="0"/>
          <w:bCs w:val="0"/>
          <w:color w:val="auto"/>
          <w:sz w:val="21"/>
          <w:szCs w:val="21"/>
          <w:highlight w:val="none"/>
        </w:rPr>
      </w:pPr>
      <w:r>
        <w:rPr>
          <w:color w:val="auto"/>
          <w:highlight w:val="none"/>
        </w:rPr>
        <w:fldChar w:fldCharType="begin"/>
      </w:r>
      <w:r>
        <w:rPr>
          <w:color w:val="auto"/>
          <w:highlight w:val="none"/>
        </w:rPr>
        <w:instrText xml:space="preserve"> HYPERLINK \l "_Toc17065" </w:instrText>
      </w:r>
      <w:r>
        <w:rPr>
          <w:color w:val="auto"/>
          <w:highlight w:val="none"/>
        </w:rPr>
        <w:fldChar w:fldCharType="separate"/>
      </w:r>
      <w:r>
        <w:rPr>
          <w:rFonts w:hint="eastAsia" w:asciiTheme="minorEastAsia" w:hAnsiTheme="minorEastAsia" w:eastAsiaTheme="minorEastAsia" w:cstheme="minorEastAsia"/>
          <w:b w:val="0"/>
          <w:bCs w:val="0"/>
          <w:color w:val="auto"/>
          <w:sz w:val="21"/>
          <w:szCs w:val="21"/>
          <w:highlight w:val="none"/>
          <w:lang w:val="en-US" w:eastAsia="zh-CN"/>
        </w:rPr>
        <w:t>八</w:t>
      </w:r>
      <w:r>
        <w:rPr>
          <w:rFonts w:hint="eastAsia" w:asciiTheme="minorEastAsia" w:hAnsiTheme="minorEastAsia" w:eastAsiaTheme="minorEastAsia" w:cstheme="minorEastAsia"/>
          <w:b w:val="0"/>
          <w:bCs w:val="0"/>
          <w:color w:val="auto"/>
          <w:sz w:val="21"/>
          <w:szCs w:val="21"/>
          <w:highlight w:val="none"/>
        </w:rPr>
        <w:t>、承包人承诺</w:t>
      </w:r>
      <w:r>
        <w:rPr>
          <w:rFonts w:hint="eastAsia" w:asciiTheme="minorEastAsia" w:hAnsiTheme="minorEastAsia" w:eastAsiaTheme="minorEastAsia" w:cstheme="minorEastAsia"/>
          <w:b w:val="0"/>
          <w:bCs w:val="0"/>
          <w:color w:val="auto"/>
          <w:sz w:val="21"/>
          <w:szCs w:val="21"/>
          <w:highlight w:val="none"/>
        </w:rPr>
        <w:tab/>
      </w:r>
      <w:r>
        <w:rPr>
          <w:rFonts w:hint="eastAsia" w:asciiTheme="minorEastAsia" w:hAnsiTheme="minorEastAsia" w:eastAsiaTheme="minorEastAsia" w:cstheme="minorEastAsia"/>
          <w:b w:val="0"/>
          <w:bCs w:val="0"/>
          <w:color w:val="auto"/>
          <w:sz w:val="21"/>
          <w:szCs w:val="21"/>
          <w:highlight w:val="none"/>
        </w:rPr>
        <w:fldChar w:fldCharType="begin"/>
      </w:r>
      <w:r>
        <w:rPr>
          <w:rFonts w:hint="eastAsia" w:asciiTheme="minorEastAsia" w:hAnsiTheme="minorEastAsia" w:eastAsiaTheme="minorEastAsia" w:cstheme="minorEastAsia"/>
          <w:b w:val="0"/>
          <w:bCs w:val="0"/>
          <w:color w:val="auto"/>
          <w:sz w:val="21"/>
          <w:szCs w:val="21"/>
          <w:highlight w:val="none"/>
        </w:rPr>
        <w:instrText xml:space="preserve"> PAGEREF _Toc17065 \h </w:instrText>
      </w:r>
      <w:r>
        <w:rPr>
          <w:rFonts w:hint="eastAsia" w:asciiTheme="minorEastAsia" w:hAnsiTheme="minorEastAsia" w:eastAsiaTheme="minorEastAsia" w:cstheme="minorEastAsia"/>
          <w:b w:val="0"/>
          <w:bCs w:val="0"/>
          <w:color w:val="auto"/>
          <w:sz w:val="21"/>
          <w:szCs w:val="21"/>
          <w:highlight w:val="none"/>
        </w:rPr>
        <w:fldChar w:fldCharType="separate"/>
      </w:r>
      <w:r>
        <w:rPr>
          <w:rFonts w:hint="eastAsia" w:asciiTheme="minorEastAsia" w:hAnsiTheme="minorEastAsia" w:eastAsiaTheme="minorEastAsia" w:cstheme="minorEastAsia"/>
          <w:b w:val="0"/>
          <w:bCs w:val="0"/>
          <w:color w:val="auto"/>
          <w:sz w:val="21"/>
          <w:szCs w:val="21"/>
          <w:highlight w:val="none"/>
        </w:rPr>
        <w:t>9</w:t>
      </w:r>
      <w:r>
        <w:rPr>
          <w:rFonts w:hint="eastAsia" w:asciiTheme="minorEastAsia" w:hAnsiTheme="minorEastAsia" w:eastAsiaTheme="minorEastAsia" w:cstheme="minorEastAsia"/>
          <w:b w:val="0"/>
          <w:bCs w:val="0"/>
          <w:color w:val="auto"/>
          <w:sz w:val="21"/>
          <w:szCs w:val="21"/>
          <w:highlight w:val="none"/>
        </w:rPr>
        <w:fldChar w:fldCharType="end"/>
      </w:r>
      <w:r>
        <w:rPr>
          <w:rFonts w:hint="eastAsia" w:asciiTheme="minorEastAsia" w:hAnsiTheme="minorEastAsia" w:eastAsiaTheme="minorEastAsia" w:cstheme="minorEastAsia"/>
          <w:b w:val="0"/>
          <w:bCs w:val="0"/>
          <w:color w:val="auto"/>
          <w:sz w:val="21"/>
          <w:szCs w:val="21"/>
          <w:highlight w:val="none"/>
        </w:rPr>
        <w:fldChar w:fldCharType="end"/>
      </w:r>
    </w:p>
    <w:p>
      <w:pPr>
        <w:pStyle w:val="29"/>
        <w:tabs>
          <w:tab w:val="right" w:leader="dot" w:pos="10204"/>
        </w:tabs>
        <w:spacing w:before="0" w:after="0"/>
        <w:ind w:firstLine="201" w:firstLineChars="100"/>
        <w:rPr>
          <w:rFonts w:asciiTheme="minorEastAsia" w:hAnsiTheme="minorEastAsia" w:eastAsiaTheme="minorEastAsia" w:cstheme="minorEastAsia"/>
          <w:b w:val="0"/>
          <w:bCs w:val="0"/>
          <w:color w:val="auto"/>
          <w:sz w:val="21"/>
          <w:szCs w:val="21"/>
          <w:highlight w:val="none"/>
        </w:rPr>
      </w:pPr>
      <w:r>
        <w:rPr>
          <w:color w:val="auto"/>
          <w:highlight w:val="none"/>
        </w:rPr>
        <w:fldChar w:fldCharType="begin"/>
      </w:r>
      <w:r>
        <w:rPr>
          <w:color w:val="auto"/>
          <w:highlight w:val="none"/>
        </w:rPr>
        <w:instrText xml:space="preserve"> HYPERLINK \l "_Toc4062" </w:instrText>
      </w:r>
      <w:r>
        <w:rPr>
          <w:color w:val="auto"/>
          <w:highlight w:val="none"/>
        </w:rPr>
        <w:fldChar w:fldCharType="separate"/>
      </w:r>
      <w:r>
        <w:rPr>
          <w:rFonts w:hint="eastAsia" w:asciiTheme="minorEastAsia" w:hAnsiTheme="minorEastAsia" w:eastAsiaTheme="minorEastAsia" w:cstheme="minorEastAsia"/>
          <w:b w:val="0"/>
          <w:bCs w:val="0"/>
          <w:color w:val="auto"/>
          <w:sz w:val="21"/>
          <w:szCs w:val="21"/>
          <w:highlight w:val="none"/>
          <w:lang w:val="en-US" w:eastAsia="zh-CN"/>
        </w:rPr>
        <w:t>九</w:t>
      </w:r>
      <w:r>
        <w:rPr>
          <w:rFonts w:hint="eastAsia" w:asciiTheme="minorEastAsia" w:hAnsiTheme="minorEastAsia" w:eastAsiaTheme="minorEastAsia" w:cstheme="minorEastAsia"/>
          <w:b w:val="0"/>
          <w:bCs w:val="0"/>
          <w:color w:val="auto"/>
          <w:sz w:val="21"/>
          <w:szCs w:val="21"/>
          <w:highlight w:val="none"/>
        </w:rPr>
        <w:t>、发包人承诺</w:t>
      </w:r>
      <w:r>
        <w:rPr>
          <w:rFonts w:hint="eastAsia" w:asciiTheme="minorEastAsia" w:hAnsiTheme="minorEastAsia" w:eastAsiaTheme="minorEastAsia" w:cstheme="minorEastAsia"/>
          <w:b w:val="0"/>
          <w:bCs w:val="0"/>
          <w:color w:val="auto"/>
          <w:sz w:val="21"/>
          <w:szCs w:val="21"/>
          <w:highlight w:val="none"/>
        </w:rPr>
        <w:tab/>
      </w:r>
      <w:r>
        <w:rPr>
          <w:rFonts w:hint="eastAsia" w:asciiTheme="minorEastAsia" w:hAnsiTheme="minorEastAsia" w:eastAsiaTheme="minorEastAsia" w:cstheme="minorEastAsia"/>
          <w:b w:val="0"/>
          <w:bCs w:val="0"/>
          <w:color w:val="auto"/>
          <w:sz w:val="21"/>
          <w:szCs w:val="21"/>
          <w:highlight w:val="none"/>
        </w:rPr>
        <w:fldChar w:fldCharType="begin"/>
      </w:r>
      <w:r>
        <w:rPr>
          <w:rFonts w:hint="eastAsia" w:asciiTheme="minorEastAsia" w:hAnsiTheme="minorEastAsia" w:eastAsiaTheme="minorEastAsia" w:cstheme="minorEastAsia"/>
          <w:b w:val="0"/>
          <w:bCs w:val="0"/>
          <w:color w:val="auto"/>
          <w:sz w:val="21"/>
          <w:szCs w:val="21"/>
          <w:highlight w:val="none"/>
        </w:rPr>
        <w:instrText xml:space="preserve"> PAGEREF _Toc4062 \h </w:instrText>
      </w:r>
      <w:r>
        <w:rPr>
          <w:rFonts w:hint="eastAsia" w:asciiTheme="minorEastAsia" w:hAnsiTheme="minorEastAsia" w:eastAsiaTheme="minorEastAsia" w:cstheme="minorEastAsia"/>
          <w:b w:val="0"/>
          <w:bCs w:val="0"/>
          <w:color w:val="auto"/>
          <w:sz w:val="21"/>
          <w:szCs w:val="21"/>
          <w:highlight w:val="none"/>
        </w:rPr>
        <w:fldChar w:fldCharType="separate"/>
      </w:r>
      <w:r>
        <w:rPr>
          <w:rFonts w:hint="eastAsia" w:asciiTheme="minorEastAsia" w:hAnsiTheme="minorEastAsia" w:eastAsiaTheme="minorEastAsia" w:cstheme="minorEastAsia"/>
          <w:b w:val="0"/>
          <w:bCs w:val="0"/>
          <w:color w:val="auto"/>
          <w:sz w:val="21"/>
          <w:szCs w:val="21"/>
          <w:highlight w:val="none"/>
        </w:rPr>
        <w:t>9</w:t>
      </w:r>
      <w:r>
        <w:rPr>
          <w:rFonts w:hint="eastAsia" w:asciiTheme="minorEastAsia" w:hAnsiTheme="minorEastAsia" w:eastAsiaTheme="minorEastAsia" w:cstheme="minorEastAsia"/>
          <w:b w:val="0"/>
          <w:bCs w:val="0"/>
          <w:color w:val="auto"/>
          <w:sz w:val="21"/>
          <w:szCs w:val="21"/>
          <w:highlight w:val="none"/>
        </w:rPr>
        <w:fldChar w:fldCharType="end"/>
      </w:r>
      <w:r>
        <w:rPr>
          <w:rFonts w:hint="eastAsia" w:asciiTheme="minorEastAsia" w:hAnsiTheme="minorEastAsia" w:eastAsiaTheme="minorEastAsia" w:cstheme="minorEastAsia"/>
          <w:b w:val="0"/>
          <w:bCs w:val="0"/>
          <w:color w:val="auto"/>
          <w:sz w:val="21"/>
          <w:szCs w:val="21"/>
          <w:highlight w:val="none"/>
        </w:rPr>
        <w:fldChar w:fldCharType="end"/>
      </w:r>
    </w:p>
    <w:p>
      <w:pPr>
        <w:pStyle w:val="29"/>
        <w:tabs>
          <w:tab w:val="right" w:leader="dot" w:pos="10204"/>
        </w:tabs>
        <w:spacing w:before="0" w:after="0"/>
        <w:ind w:firstLine="201" w:firstLineChars="100"/>
        <w:rPr>
          <w:rFonts w:asciiTheme="minorEastAsia" w:hAnsiTheme="minorEastAsia" w:eastAsiaTheme="minorEastAsia" w:cstheme="minorEastAsia"/>
          <w:b w:val="0"/>
          <w:bCs w:val="0"/>
          <w:color w:val="auto"/>
          <w:sz w:val="21"/>
          <w:szCs w:val="21"/>
          <w:highlight w:val="none"/>
        </w:rPr>
      </w:pPr>
      <w:r>
        <w:rPr>
          <w:color w:val="auto"/>
          <w:highlight w:val="none"/>
        </w:rPr>
        <w:fldChar w:fldCharType="begin"/>
      </w:r>
      <w:r>
        <w:rPr>
          <w:color w:val="auto"/>
          <w:highlight w:val="none"/>
        </w:rPr>
        <w:instrText xml:space="preserve"> HYPERLINK \l "_Toc18995" </w:instrText>
      </w:r>
      <w:r>
        <w:rPr>
          <w:color w:val="auto"/>
          <w:highlight w:val="none"/>
        </w:rPr>
        <w:fldChar w:fldCharType="separate"/>
      </w:r>
      <w:r>
        <w:rPr>
          <w:rFonts w:hint="eastAsia" w:asciiTheme="minorEastAsia" w:hAnsiTheme="minorEastAsia" w:eastAsiaTheme="minorEastAsia" w:cstheme="minorEastAsia"/>
          <w:b w:val="0"/>
          <w:bCs w:val="0"/>
          <w:color w:val="auto"/>
          <w:sz w:val="21"/>
          <w:szCs w:val="21"/>
          <w:highlight w:val="none"/>
        </w:rPr>
        <w:t>十、合同生效</w:t>
      </w:r>
      <w:r>
        <w:rPr>
          <w:rFonts w:hint="eastAsia" w:asciiTheme="minorEastAsia" w:hAnsiTheme="minorEastAsia" w:eastAsiaTheme="minorEastAsia" w:cstheme="minorEastAsia"/>
          <w:b w:val="0"/>
          <w:bCs w:val="0"/>
          <w:color w:val="auto"/>
          <w:sz w:val="21"/>
          <w:szCs w:val="21"/>
          <w:highlight w:val="none"/>
        </w:rPr>
        <w:tab/>
      </w:r>
      <w:r>
        <w:rPr>
          <w:rFonts w:hint="eastAsia" w:asciiTheme="minorEastAsia" w:hAnsiTheme="minorEastAsia" w:eastAsiaTheme="minorEastAsia" w:cstheme="minorEastAsia"/>
          <w:b w:val="0"/>
          <w:bCs w:val="0"/>
          <w:color w:val="auto"/>
          <w:sz w:val="21"/>
          <w:szCs w:val="21"/>
          <w:highlight w:val="none"/>
        </w:rPr>
        <w:fldChar w:fldCharType="begin"/>
      </w:r>
      <w:r>
        <w:rPr>
          <w:rFonts w:hint="eastAsia" w:asciiTheme="minorEastAsia" w:hAnsiTheme="minorEastAsia" w:eastAsiaTheme="minorEastAsia" w:cstheme="minorEastAsia"/>
          <w:b w:val="0"/>
          <w:bCs w:val="0"/>
          <w:color w:val="auto"/>
          <w:sz w:val="21"/>
          <w:szCs w:val="21"/>
          <w:highlight w:val="none"/>
        </w:rPr>
        <w:instrText xml:space="preserve"> PAGEREF _Toc18995 \h </w:instrText>
      </w:r>
      <w:r>
        <w:rPr>
          <w:rFonts w:hint="eastAsia" w:asciiTheme="minorEastAsia" w:hAnsiTheme="minorEastAsia" w:eastAsiaTheme="minorEastAsia" w:cstheme="minorEastAsia"/>
          <w:b w:val="0"/>
          <w:bCs w:val="0"/>
          <w:color w:val="auto"/>
          <w:sz w:val="21"/>
          <w:szCs w:val="21"/>
          <w:highlight w:val="none"/>
        </w:rPr>
        <w:fldChar w:fldCharType="separate"/>
      </w:r>
      <w:r>
        <w:rPr>
          <w:rFonts w:hint="eastAsia" w:asciiTheme="minorEastAsia" w:hAnsiTheme="minorEastAsia" w:eastAsiaTheme="minorEastAsia" w:cstheme="minorEastAsia"/>
          <w:b w:val="0"/>
          <w:bCs w:val="0"/>
          <w:color w:val="auto"/>
          <w:sz w:val="21"/>
          <w:szCs w:val="21"/>
          <w:highlight w:val="none"/>
        </w:rPr>
        <w:t>9</w:t>
      </w:r>
      <w:r>
        <w:rPr>
          <w:rFonts w:hint="eastAsia" w:asciiTheme="minorEastAsia" w:hAnsiTheme="minorEastAsia" w:eastAsiaTheme="minorEastAsia" w:cstheme="minorEastAsia"/>
          <w:b w:val="0"/>
          <w:bCs w:val="0"/>
          <w:color w:val="auto"/>
          <w:sz w:val="21"/>
          <w:szCs w:val="21"/>
          <w:highlight w:val="none"/>
        </w:rPr>
        <w:fldChar w:fldCharType="end"/>
      </w:r>
      <w:r>
        <w:rPr>
          <w:rFonts w:hint="eastAsia" w:asciiTheme="minorEastAsia" w:hAnsiTheme="minorEastAsia" w:eastAsiaTheme="minorEastAsia" w:cstheme="minorEastAsia"/>
          <w:b w:val="0"/>
          <w:bCs w:val="0"/>
          <w:color w:val="auto"/>
          <w:sz w:val="21"/>
          <w:szCs w:val="21"/>
          <w:highlight w:val="none"/>
        </w:rPr>
        <w:fldChar w:fldCharType="end"/>
      </w:r>
    </w:p>
    <w:p>
      <w:pPr>
        <w:pStyle w:val="29"/>
        <w:tabs>
          <w:tab w:val="right" w:leader="dot" w:pos="10204"/>
        </w:tabs>
        <w:spacing w:before="0" w:after="0"/>
        <w:ind w:firstLine="201" w:firstLineChars="100"/>
        <w:rPr>
          <w:rFonts w:asciiTheme="minorEastAsia" w:hAnsiTheme="minorEastAsia" w:eastAsiaTheme="minorEastAsia" w:cstheme="minorEastAsia"/>
          <w:b w:val="0"/>
          <w:bCs w:val="0"/>
          <w:color w:val="auto"/>
          <w:sz w:val="21"/>
          <w:szCs w:val="21"/>
          <w:highlight w:val="none"/>
        </w:rPr>
      </w:pPr>
      <w:r>
        <w:rPr>
          <w:color w:val="auto"/>
          <w:highlight w:val="none"/>
        </w:rPr>
        <w:fldChar w:fldCharType="begin"/>
      </w:r>
      <w:r>
        <w:rPr>
          <w:color w:val="auto"/>
          <w:highlight w:val="none"/>
        </w:rPr>
        <w:instrText xml:space="preserve"> HYPERLINK \l "_Toc22088" </w:instrText>
      </w:r>
      <w:r>
        <w:rPr>
          <w:color w:val="auto"/>
          <w:highlight w:val="none"/>
        </w:rPr>
        <w:fldChar w:fldCharType="separate"/>
      </w:r>
      <w:r>
        <w:rPr>
          <w:rFonts w:hint="eastAsia" w:asciiTheme="minorEastAsia" w:hAnsiTheme="minorEastAsia" w:eastAsiaTheme="minorEastAsia" w:cstheme="minorEastAsia"/>
          <w:b w:val="0"/>
          <w:bCs w:val="0"/>
          <w:color w:val="auto"/>
          <w:sz w:val="21"/>
          <w:szCs w:val="21"/>
          <w:highlight w:val="none"/>
        </w:rPr>
        <w:t>十</w:t>
      </w:r>
      <w:r>
        <w:rPr>
          <w:rFonts w:hint="eastAsia" w:asciiTheme="minorEastAsia" w:hAnsiTheme="minorEastAsia" w:eastAsiaTheme="minorEastAsia" w:cstheme="minorEastAsia"/>
          <w:b w:val="0"/>
          <w:bCs w:val="0"/>
          <w:color w:val="auto"/>
          <w:sz w:val="21"/>
          <w:szCs w:val="21"/>
          <w:highlight w:val="none"/>
          <w:lang w:val="en-US" w:eastAsia="zh-CN"/>
        </w:rPr>
        <w:t>一</w:t>
      </w:r>
      <w:r>
        <w:rPr>
          <w:rFonts w:hint="eastAsia" w:asciiTheme="minorEastAsia" w:hAnsiTheme="minorEastAsia" w:eastAsiaTheme="minorEastAsia" w:cstheme="minorEastAsia"/>
          <w:b w:val="0"/>
          <w:bCs w:val="0"/>
          <w:color w:val="auto"/>
          <w:sz w:val="21"/>
          <w:szCs w:val="21"/>
          <w:highlight w:val="none"/>
        </w:rPr>
        <w:t>、合同份数</w:t>
      </w:r>
      <w:r>
        <w:rPr>
          <w:rFonts w:hint="eastAsia" w:asciiTheme="minorEastAsia" w:hAnsiTheme="minorEastAsia" w:eastAsiaTheme="minorEastAsia" w:cstheme="minorEastAsia"/>
          <w:b w:val="0"/>
          <w:bCs w:val="0"/>
          <w:color w:val="auto"/>
          <w:sz w:val="21"/>
          <w:szCs w:val="21"/>
          <w:highlight w:val="none"/>
        </w:rPr>
        <w:tab/>
      </w:r>
      <w:r>
        <w:rPr>
          <w:rFonts w:hint="eastAsia" w:asciiTheme="minorEastAsia" w:hAnsiTheme="minorEastAsia" w:eastAsiaTheme="minorEastAsia" w:cstheme="minorEastAsia"/>
          <w:b w:val="0"/>
          <w:bCs w:val="0"/>
          <w:color w:val="auto"/>
          <w:sz w:val="21"/>
          <w:szCs w:val="21"/>
          <w:highlight w:val="none"/>
        </w:rPr>
        <w:fldChar w:fldCharType="begin"/>
      </w:r>
      <w:r>
        <w:rPr>
          <w:rFonts w:hint="eastAsia" w:asciiTheme="minorEastAsia" w:hAnsiTheme="minorEastAsia" w:eastAsiaTheme="minorEastAsia" w:cstheme="minorEastAsia"/>
          <w:b w:val="0"/>
          <w:bCs w:val="0"/>
          <w:color w:val="auto"/>
          <w:sz w:val="21"/>
          <w:szCs w:val="21"/>
          <w:highlight w:val="none"/>
        </w:rPr>
        <w:instrText xml:space="preserve"> PAGEREF _Toc22088 \h </w:instrText>
      </w:r>
      <w:r>
        <w:rPr>
          <w:rFonts w:hint="eastAsia" w:asciiTheme="minorEastAsia" w:hAnsiTheme="minorEastAsia" w:eastAsiaTheme="minorEastAsia" w:cstheme="minorEastAsia"/>
          <w:b w:val="0"/>
          <w:bCs w:val="0"/>
          <w:color w:val="auto"/>
          <w:sz w:val="21"/>
          <w:szCs w:val="21"/>
          <w:highlight w:val="none"/>
        </w:rPr>
        <w:fldChar w:fldCharType="separate"/>
      </w:r>
      <w:r>
        <w:rPr>
          <w:rFonts w:hint="eastAsia" w:asciiTheme="minorEastAsia" w:hAnsiTheme="minorEastAsia" w:eastAsiaTheme="minorEastAsia" w:cstheme="minorEastAsia"/>
          <w:b w:val="0"/>
          <w:bCs w:val="0"/>
          <w:color w:val="auto"/>
          <w:sz w:val="21"/>
          <w:szCs w:val="21"/>
          <w:highlight w:val="none"/>
        </w:rPr>
        <w:t>9</w:t>
      </w:r>
      <w:r>
        <w:rPr>
          <w:rFonts w:hint="eastAsia" w:asciiTheme="minorEastAsia" w:hAnsiTheme="minorEastAsia" w:eastAsiaTheme="minorEastAsia" w:cstheme="minorEastAsia"/>
          <w:b w:val="0"/>
          <w:bCs w:val="0"/>
          <w:color w:val="auto"/>
          <w:sz w:val="21"/>
          <w:szCs w:val="21"/>
          <w:highlight w:val="none"/>
        </w:rPr>
        <w:fldChar w:fldCharType="end"/>
      </w:r>
      <w:r>
        <w:rPr>
          <w:rFonts w:hint="eastAsia" w:asciiTheme="minorEastAsia" w:hAnsiTheme="minorEastAsia" w:eastAsiaTheme="minorEastAsia" w:cstheme="minorEastAsia"/>
          <w:b w:val="0"/>
          <w:bCs w:val="0"/>
          <w:color w:val="auto"/>
          <w:sz w:val="21"/>
          <w:szCs w:val="21"/>
          <w:highlight w:val="none"/>
        </w:rPr>
        <w:fldChar w:fldCharType="end"/>
      </w:r>
    </w:p>
    <w:p>
      <w:pPr>
        <w:pStyle w:val="29"/>
        <w:tabs>
          <w:tab w:val="right" w:leader="dot" w:pos="10204"/>
        </w:tabs>
        <w:spacing w:before="0" w:after="0"/>
        <w:rPr>
          <w:rFonts w:asciiTheme="minorEastAsia" w:hAnsiTheme="minorEastAsia" w:eastAsiaTheme="minorEastAsia" w:cstheme="minorEastAsia"/>
          <w:b w:val="0"/>
          <w:bCs w:val="0"/>
          <w:color w:val="auto"/>
          <w:sz w:val="21"/>
          <w:szCs w:val="21"/>
          <w:highlight w:val="none"/>
        </w:rPr>
      </w:pPr>
      <w:r>
        <w:rPr>
          <w:color w:val="auto"/>
          <w:highlight w:val="none"/>
        </w:rPr>
        <w:fldChar w:fldCharType="begin"/>
      </w:r>
      <w:r>
        <w:rPr>
          <w:color w:val="auto"/>
          <w:highlight w:val="none"/>
        </w:rPr>
        <w:instrText xml:space="preserve"> HYPERLINK \l "_Toc27523" </w:instrText>
      </w:r>
      <w:r>
        <w:rPr>
          <w:color w:val="auto"/>
          <w:highlight w:val="none"/>
        </w:rPr>
        <w:fldChar w:fldCharType="separate"/>
      </w:r>
      <w:r>
        <w:rPr>
          <w:rFonts w:hint="eastAsia" w:asciiTheme="minorEastAsia" w:hAnsiTheme="minorEastAsia" w:eastAsiaTheme="minorEastAsia" w:cstheme="minorEastAsia"/>
          <w:b w:val="0"/>
          <w:bCs w:val="0"/>
          <w:color w:val="auto"/>
          <w:sz w:val="21"/>
          <w:szCs w:val="21"/>
          <w:highlight w:val="none"/>
        </w:rPr>
        <w:t>第二部分  通用条款</w:t>
      </w:r>
      <w:r>
        <w:rPr>
          <w:rFonts w:hint="eastAsia" w:asciiTheme="minorEastAsia" w:hAnsiTheme="minorEastAsia" w:eastAsiaTheme="minorEastAsia" w:cstheme="minorEastAsia"/>
          <w:b w:val="0"/>
          <w:bCs w:val="0"/>
          <w:color w:val="auto"/>
          <w:sz w:val="21"/>
          <w:szCs w:val="21"/>
          <w:highlight w:val="none"/>
        </w:rPr>
        <w:tab/>
      </w:r>
      <w:r>
        <w:rPr>
          <w:rFonts w:hint="eastAsia" w:asciiTheme="minorEastAsia" w:hAnsiTheme="minorEastAsia" w:eastAsiaTheme="minorEastAsia" w:cstheme="minorEastAsia"/>
          <w:b w:val="0"/>
          <w:bCs w:val="0"/>
          <w:color w:val="auto"/>
          <w:sz w:val="21"/>
          <w:szCs w:val="21"/>
          <w:highlight w:val="none"/>
        </w:rPr>
        <w:fldChar w:fldCharType="begin"/>
      </w:r>
      <w:r>
        <w:rPr>
          <w:rFonts w:hint="eastAsia" w:asciiTheme="minorEastAsia" w:hAnsiTheme="minorEastAsia" w:eastAsiaTheme="minorEastAsia" w:cstheme="minorEastAsia"/>
          <w:b w:val="0"/>
          <w:bCs w:val="0"/>
          <w:color w:val="auto"/>
          <w:sz w:val="21"/>
          <w:szCs w:val="21"/>
          <w:highlight w:val="none"/>
        </w:rPr>
        <w:instrText xml:space="preserve"> PAGEREF _Toc27523 \h </w:instrText>
      </w:r>
      <w:r>
        <w:rPr>
          <w:rFonts w:hint="eastAsia" w:asciiTheme="minorEastAsia" w:hAnsiTheme="minorEastAsia" w:eastAsiaTheme="minorEastAsia" w:cstheme="minorEastAsia"/>
          <w:b w:val="0"/>
          <w:bCs w:val="0"/>
          <w:color w:val="auto"/>
          <w:sz w:val="21"/>
          <w:szCs w:val="21"/>
          <w:highlight w:val="none"/>
        </w:rPr>
        <w:fldChar w:fldCharType="separate"/>
      </w:r>
      <w:r>
        <w:rPr>
          <w:rFonts w:hint="eastAsia" w:asciiTheme="minorEastAsia" w:hAnsiTheme="minorEastAsia" w:eastAsiaTheme="minorEastAsia" w:cstheme="minorEastAsia"/>
          <w:b w:val="0"/>
          <w:bCs w:val="0"/>
          <w:color w:val="auto"/>
          <w:sz w:val="21"/>
          <w:szCs w:val="21"/>
          <w:highlight w:val="none"/>
        </w:rPr>
        <w:t>10</w:t>
      </w:r>
      <w:r>
        <w:rPr>
          <w:rFonts w:hint="eastAsia" w:asciiTheme="minorEastAsia" w:hAnsiTheme="minorEastAsia" w:eastAsiaTheme="minorEastAsia" w:cstheme="minorEastAsia"/>
          <w:b w:val="0"/>
          <w:bCs w:val="0"/>
          <w:color w:val="auto"/>
          <w:sz w:val="21"/>
          <w:szCs w:val="21"/>
          <w:highlight w:val="none"/>
        </w:rPr>
        <w:fldChar w:fldCharType="end"/>
      </w:r>
      <w:r>
        <w:rPr>
          <w:rFonts w:hint="eastAsia" w:asciiTheme="minorEastAsia" w:hAnsiTheme="minorEastAsia" w:eastAsiaTheme="minorEastAsia" w:cstheme="minorEastAsia"/>
          <w:b w:val="0"/>
          <w:bCs w:val="0"/>
          <w:color w:val="auto"/>
          <w:sz w:val="21"/>
          <w:szCs w:val="21"/>
          <w:highlight w:val="none"/>
        </w:rPr>
        <w:fldChar w:fldCharType="end"/>
      </w:r>
    </w:p>
    <w:p>
      <w:pPr>
        <w:pStyle w:val="34"/>
        <w:tabs>
          <w:tab w:val="right" w:leader="dot" w:pos="10204"/>
        </w:tabs>
        <w:rPr>
          <w:rFonts w:asciiTheme="minorEastAsia" w:hAnsiTheme="minorEastAsia" w:eastAsiaTheme="minorEastAsia" w:cstheme="minorEastAsia"/>
          <w:color w:val="auto"/>
          <w:sz w:val="21"/>
          <w:szCs w:val="21"/>
          <w:highlight w:val="none"/>
        </w:rPr>
      </w:pPr>
      <w:r>
        <w:rPr>
          <w:color w:val="auto"/>
          <w:highlight w:val="none"/>
        </w:rPr>
        <w:fldChar w:fldCharType="begin"/>
      </w:r>
      <w:r>
        <w:rPr>
          <w:color w:val="auto"/>
          <w:highlight w:val="none"/>
        </w:rPr>
        <w:instrText xml:space="preserve"> HYPERLINK \l "_Toc7091" </w:instrText>
      </w:r>
      <w:r>
        <w:rPr>
          <w:color w:val="auto"/>
          <w:highlight w:val="none"/>
        </w:rPr>
        <w:fldChar w:fldCharType="separate"/>
      </w:r>
      <w:r>
        <w:rPr>
          <w:rFonts w:hint="eastAsia" w:asciiTheme="minorEastAsia" w:hAnsiTheme="minorEastAsia" w:eastAsiaTheme="minorEastAsia" w:cstheme="minorEastAsia"/>
          <w:color w:val="auto"/>
          <w:sz w:val="21"/>
          <w:szCs w:val="21"/>
          <w:highlight w:val="none"/>
        </w:rPr>
        <w:t>一、总  则</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PAGEREF _Toc7091 \h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rPr>
        <w:t>10</w:t>
      </w:r>
      <w:r>
        <w:rPr>
          <w:rFonts w:hint="eastAsia" w:asciiTheme="minorEastAsia" w:hAnsiTheme="minorEastAsia" w:eastAsiaTheme="minorEastAsia" w:cstheme="minorEastAsia"/>
          <w:color w:val="auto"/>
          <w:sz w:val="21"/>
          <w:szCs w:val="21"/>
          <w:highlight w:val="none"/>
        </w:rPr>
        <w:fldChar w:fldCharType="end"/>
      </w:r>
      <w:r>
        <w:rPr>
          <w:rFonts w:hint="eastAsia" w:asciiTheme="minorEastAsia" w:hAnsiTheme="minorEastAsia" w:eastAsiaTheme="minorEastAsia" w:cstheme="minorEastAsia"/>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"_Toc27829"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1  定义</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_Toc27829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10</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"_Toc20779"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2  合同文件及解释</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_Toc20779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15</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"_Toc26821"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3  阅读、理解与接受</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_Toc26821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15</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"_Toc12468"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4  语言及适用的法律、标准与规范</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_Toc12468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16</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"_Toc21410"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5  施工设计图纸</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_Toc21410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16</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"_Toc17885"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6  通讯联络</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_Toc17885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17</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"_Toc15501"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7  工程分包</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_Toc15501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18</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"_Toc5385"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8  现场查勘</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_Toc5385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19</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"_Toc10209"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9  招标错失的修正</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_Toc10209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20</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"_Toc25762"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10  投标文件的完备性</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_Toc25762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20</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"_Toc12274"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11  文物和地下障碍物</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_Toc12274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21</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"_Toc25849"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12  事故处理</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_Toc25849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21</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"_Toc28145"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13  交通运输</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_Toc28145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22</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"_Toc21522"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14  专项批准事件的签认</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_Toc21522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23</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"_Toc29441"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15  专利技术</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_Toc29441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23</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"_Toc25840"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16  联合的责任</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_Toc25840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24</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"_Toc6878"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17  保障</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_Toc6878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24</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"_Toc11803"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18  财产</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_Toc11803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25</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34"/>
        <w:tabs>
          <w:tab w:val="right" w:leader="dot" w:pos="10204"/>
        </w:tabs>
        <w:rPr>
          <w:rFonts w:asciiTheme="minorEastAsia" w:hAnsiTheme="minorEastAsia" w:eastAsiaTheme="minorEastAsia" w:cstheme="minorEastAsia"/>
          <w:color w:val="auto"/>
          <w:sz w:val="21"/>
          <w:szCs w:val="21"/>
          <w:highlight w:val="none"/>
        </w:rPr>
      </w:pPr>
      <w:r>
        <w:rPr>
          <w:color w:val="auto"/>
          <w:highlight w:val="none"/>
        </w:rPr>
        <w:fldChar w:fldCharType="begin"/>
      </w:r>
      <w:r>
        <w:rPr>
          <w:color w:val="auto"/>
          <w:highlight w:val="none"/>
        </w:rPr>
        <w:instrText xml:space="preserve"> HYPERLINK \l "_Toc3262" </w:instrText>
      </w:r>
      <w:r>
        <w:rPr>
          <w:color w:val="auto"/>
          <w:highlight w:val="none"/>
        </w:rPr>
        <w:fldChar w:fldCharType="separate"/>
      </w:r>
      <w:r>
        <w:rPr>
          <w:rFonts w:hint="eastAsia" w:asciiTheme="minorEastAsia" w:hAnsiTheme="minorEastAsia" w:eastAsiaTheme="minorEastAsia" w:cstheme="minorEastAsia"/>
          <w:color w:val="auto"/>
          <w:sz w:val="21"/>
          <w:szCs w:val="21"/>
          <w:highlight w:val="none"/>
        </w:rPr>
        <w:t>二、合同主体</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PAGEREF _Toc3262 \h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rPr>
        <w:t>25</w:t>
      </w:r>
      <w:r>
        <w:rPr>
          <w:rFonts w:hint="eastAsia" w:asciiTheme="minorEastAsia" w:hAnsiTheme="minorEastAsia" w:eastAsiaTheme="minorEastAsia" w:cstheme="minorEastAsia"/>
          <w:color w:val="auto"/>
          <w:sz w:val="21"/>
          <w:szCs w:val="21"/>
          <w:highlight w:val="none"/>
        </w:rPr>
        <w:fldChar w:fldCharType="end"/>
      </w:r>
      <w:r>
        <w:rPr>
          <w:rFonts w:hint="eastAsia" w:asciiTheme="minorEastAsia" w:hAnsiTheme="minorEastAsia" w:eastAsiaTheme="minorEastAsia" w:cstheme="minorEastAsia"/>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"_Toc16756"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19  发包人</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_Toc16756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25</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"_Toc9314"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20  承包人</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_Toc9314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26</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"_Toc24472"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21  现场管理人员任命和更换</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_Toc24472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29</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"_Toc3174"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22  发包人代表</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_Toc3174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30</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"_Toc2907"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23  监理工程师</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_Toc2907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30</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"_Toc23632"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24  造价工程师</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_Toc23632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32</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"_Toc9765"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25  承包人代表</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_Toc9765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33</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"_Toc24567"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26  指定分包人</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_Toc24567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34</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"_Toc17467"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27  承包人劳务</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_Toc17467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34</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34"/>
        <w:tabs>
          <w:tab w:val="right" w:leader="dot" w:pos="10204"/>
        </w:tabs>
        <w:rPr>
          <w:rFonts w:asciiTheme="minorEastAsia" w:hAnsiTheme="minorEastAsia" w:eastAsiaTheme="minorEastAsia" w:cstheme="minorEastAsia"/>
          <w:color w:val="auto"/>
          <w:sz w:val="21"/>
          <w:szCs w:val="21"/>
          <w:highlight w:val="none"/>
        </w:rPr>
      </w:pPr>
      <w:r>
        <w:rPr>
          <w:color w:val="auto"/>
          <w:highlight w:val="none"/>
        </w:rPr>
        <w:fldChar w:fldCharType="begin"/>
      </w:r>
      <w:r>
        <w:rPr>
          <w:color w:val="auto"/>
          <w:highlight w:val="none"/>
        </w:rPr>
        <w:instrText xml:space="preserve"> HYPERLINK \l "_Toc6962" </w:instrText>
      </w:r>
      <w:r>
        <w:rPr>
          <w:color w:val="auto"/>
          <w:highlight w:val="none"/>
        </w:rPr>
        <w:fldChar w:fldCharType="separate"/>
      </w:r>
      <w:r>
        <w:rPr>
          <w:rFonts w:hint="eastAsia" w:asciiTheme="minorEastAsia" w:hAnsiTheme="minorEastAsia" w:eastAsiaTheme="minorEastAsia" w:cstheme="minorEastAsia"/>
          <w:color w:val="auto"/>
          <w:sz w:val="21"/>
          <w:szCs w:val="21"/>
          <w:highlight w:val="none"/>
        </w:rPr>
        <w:t>三、担保、保险与风险</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PAGEREF _Toc6962 \h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rPr>
        <w:t>36</w:t>
      </w:r>
      <w:r>
        <w:rPr>
          <w:rFonts w:hint="eastAsia" w:asciiTheme="minorEastAsia" w:hAnsiTheme="minorEastAsia" w:eastAsiaTheme="minorEastAsia" w:cstheme="minorEastAsia"/>
          <w:color w:val="auto"/>
          <w:sz w:val="21"/>
          <w:szCs w:val="21"/>
          <w:highlight w:val="none"/>
        </w:rPr>
        <w:fldChar w:fldCharType="end"/>
      </w:r>
      <w:r>
        <w:rPr>
          <w:rFonts w:hint="eastAsia" w:asciiTheme="minorEastAsia" w:hAnsiTheme="minorEastAsia" w:eastAsiaTheme="minorEastAsia" w:cstheme="minorEastAsia"/>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"_Toc8242"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28  工程担保</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_Toc8242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36</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"_Toc29682"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29  发包人风险</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_Toc29682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37</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"_Toc3875"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30  承包人风险</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_Toc3875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38</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"_Toc32305"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31  不可抗力</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_Toc32305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38</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"_Toc9047"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32  保险</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_Toc9047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39</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34"/>
        <w:tabs>
          <w:tab w:val="right" w:leader="dot" w:pos="10204"/>
        </w:tabs>
        <w:rPr>
          <w:rFonts w:asciiTheme="minorEastAsia" w:hAnsiTheme="minorEastAsia" w:eastAsiaTheme="minorEastAsia" w:cstheme="minorEastAsia"/>
          <w:color w:val="auto"/>
          <w:sz w:val="21"/>
          <w:szCs w:val="21"/>
          <w:highlight w:val="none"/>
        </w:rPr>
      </w:pPr>
      <w:r>
        <w:rPr>
          <w:color w:val="auto"/>
          <w:highlight w:val="none"/>
        </w:rPr>
        <w:fldChar w:fldCharType="begin"/>
      </w:r>
      <w:r>
        <w:rPr>
          <w:color w:val="auto"/>
          <w:highlight w:val="none"/>
        </w:rPr>
        <w:instrText xml:space="preserve"> HYPERLINK \l "_Toc96" </w:instrText>
      </w:r>
      <w:r>
        <w:rPr>
          <w:color w:val="auto"/>
          <w:highlight w:val="none"/>
        </w:rPr>
        <w:fldChar w:fldCharType="separate"/>
      </w:r>
      <w:r>
        <w:rPr>
          <w:rFonts w:hint="eastAsia" w:asciiTheme="minorEastAsia" w:hAnsiTheme="minorEastAsia" w:eastAsiaTheme="minorEastAsia" w:cstheme="minorEastAsia"/>
          <w:color w:val="auto"/>
          <w:sz w:val="21"/>
          <w:szCs w:val="21"/>
          <w:highlight w:val="none"/>
        </w:rPr>
        <w:t>四、工  期</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PAGEREF _Toc96 \h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rPr>
        <w:t>40</w:t>
      </w:r>
      <w:r>
        <w:rPr>
          <w:rFonts w:hint="eastAsia" w:asciiTheme="minorEastAsia" w:hAnsiTheme="minorEastAsia" w:eastAsiaTheme="minorEastAsia" w:cstheme="minorEastAsia"/>
          <w:color w:val="auto"/>
          <w:sz w:val="21"/>
          <w:szCs w:val="21"/>
          <w:highlight w:val="none"/>
        </w:rPr>
        <w:fldChar w:fldCharType="end"/>
      </w:r>
      <w:r>
        <w:rPr>
          <w:rFonts w:hint="eastAsia" w:asciiTheme="minorEastAsia" w:hAnsiTheme="minorEastAsia" w:eastAsiaTheme="minorEastAsia" w:cstheme="minorEastAsia"/>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"_Toc22920"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33  进度计划和报告</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_Toc22920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40</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"_Toc15414"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34  开工</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_Toc15414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41</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"_Toc19687"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35  暂停施工和复工</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_Toc19687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42</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"_Toc10003"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36  工期和工期延误</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_Toc10003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43</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"_Toc4226"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37  加快进度</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_Toc4226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45</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"_Toc22095"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38  竣工日期</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_Toc22095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46</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"_Toc200"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39  提前竣工</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_Toc200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46</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"_Toc18222"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40  误期赔偿</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_Toc18222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47</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34"/>
        <w:tabs>
          <w:tab w:val="right" w:leader="dot" w:pos="10204"/>
        </w:tabs>
        <w:rPr>
          <w:rFonts w:asciiTheme="minorEastAsia" w:hAnsiTheme="minorEastAsia" w:eastAsiaTheme="minorEastAsia" w:cstheme="minorEastAsia"/>
          <w:color w:val="auto"/>
          <w:sz w:val="21"/>
          <w:szCs w:val="21"/>
          <w:highlight w:val="none"/>
        </w:rPr>
      </w:pPr>
      <w:r>
        <w:rPr>
          <w:color w:val="auto"/>
          <w:highlight w:val="none"/>
        </w:rPr>
        <w:fldChar w:fldCharType="begin"/>
      </w:r>
      <w:r>
        <w:rPr>
          <w:color w:val="auto"/>
          <w:highlight w:val="none"/>
        </w:rPr>
        <w:instrText xml:space="preserve"> HYPERLINK \l "_Toc13881" </w:instrText>
      </w:r>
      <w:r>
        <w:rPr>
          <w:color w:val="auto"/>
          <w:highlight w:val="none"/>
        </w:rPr>
        <w:fldChar w:fldCharType="separate"/>
      </w:r>
      <w:r>
        <w:rPr>
          <w:rFonts w:hint="eastAsia" w:asciiTheme="minorEastAsia" w:hAnsiTheme="minorEastAsia" w:eastAsiaTheme="minorEastAsia" w:cstheme="minorEastAsia"/>
          <w:color w:val="auto"/>
          <w:sz w:val="21"/>
          <w:szCs w:val="21"/>
          <w:highlight w:val="none"/>
        </w:rPr>
        <w:t>五、质量与安全</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PAGEREF _Toc13881 \h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rPr>
        <w:t>47</w:t>
      </w:r>
      <w:r>
        <w:rPr>
          <w:rFonts w:hint="eastAsia" w:asciiTheme="minorEastAsia" w:hAnsiTheme="minorEastAsia" w:eastAsiaTheme="minorEastAsia" w:cstheme="minorEastAsia"/>
          <w:color w:val="auto"/>
          <w:sz w:val="21"/>
          <w:szCs w:val="21"/>
          <w:highlight w:val="none"/>
        </w:rPr>
        <w:fldChar w:fldCharType="end"/>
      </w:r>
      <w:r>
        <w:rPr>
          <w:rFonts w:hint="eastAsia" w:asciiTheme="minorEastAsia" w:hAnsiTheme="minorEastAsia" w:eastAsiaTheme="minorEastAsia" w:cstheme="minorEastAsia"/>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"_Toc10068"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★41  质量与安全管理</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_Toc10068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47</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"_Toc19074"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★42  质量标准</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_Toc19074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48</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"_Toc10728"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★43  工程质量创优</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_Toc10728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49</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"_Toc27545"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44  工程的照管</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_Toc27545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50</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"_Toc5834"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★45  绿色施工安全防护</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_Toc5834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50</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"_Toc21653"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46  测量放线</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_Toc21653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53</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"_Toc27788"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47  钻孔与勘探性开挖</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_Toc27788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54</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"_Toc16974"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48  发包人供应材料和工程设备</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_Toc16974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55</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"_Toc29447"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49  承包人采购材料和工程设备</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_Toc29447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56</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"_Toc27152"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50  材料和工程设备的检验试验</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_Toc27152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57</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"_Toc19396"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51  施工设备和临时设施</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_Toc19396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59</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"_Toc27372"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★52  工程质量检查</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_Toc27372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59</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"_Toc13975"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★53  隐蔽工程和中间验收</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_Toc13975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60</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"_Toc13919"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★54  重新验收和额外检查检验</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_Toc13919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61</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"_Toc13336"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55  工程试车</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_Toc13336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62</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"_Toc4973"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★56  工程变更</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_Toc4973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63</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"_Toc15583"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57  竣工验收条件</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_Toc15583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65</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"_Toc14181"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58  竣工验收</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_Toc14181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66</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"_Toc15282"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59  缺陷责任与质量保修</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_Toc15282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68</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34"/>
        <w:tabs>
          <w:tab w:val="right" w:leader="dot" w:pos="10204"/>
        </w:tabs>
        <w:rPr>
          <w:rFonts w:asciiTheme="minorEastAsia" w:hAnsiTheme="minorEastAsia" w:eastAsiaTheme="minorEastAsia" w:cstheme="minorEastAsia"/>
          <w:color w:val="auto"/>
          <w:sz w:val="21"/>
          <w:szCs w:val="21"/>
          <w:highlight w:val="none"/>
        </w:rPr>
      </w:pPr>
      <w:r>
        <w:rPr>
          <w:color w:val="auto"/>
          <w:highlight w:val="none"/>
        </w:rPr>
        <w:fldChar w:fldCharType="begin"/>
      </w:r>
      <w:r>
        <w:rPr>
          <w:color w:val="auto"/>
          <w:highlight w:val="none"/>
        </w:rPr>
        <w:instrText xml:space="preserve"> HYPERLINK \l "_Toc2529" </w:instrText>
      </w:r>
      <w:r>
        <w:rPr>
          <w:color w:val="auto"/>
          <w:highlight w:val="none"/>
        </w:rPr>
        <w:fldChar w:fldCharType="separate"/>
      </w:r>
      <w:r>
        <w:rPr>
          <w:rFonts w:hint="eastAsia" w:asciiTheme="minorEastAsia" w:hAnsiTheme="minorEastAsia" w:eastAsiaTheme="minorEastAsia" w:cstheme="minorEastAsia"/>
          <w:color w:val="auto"/>
          <w:sz w:val="21"/>
          <w:szCs w:val="21"/>
          <w:highlight w:val="none"/>
        </w:rPr>
        <w:t>六、造  价</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PAGEREF _Toc2529 \h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rPr>
        <w:t>70</w:t>
      </w:r>
      <w:r>
        <w:rPr>
          <w:rFonts w:hint="eastAsia" w:asciiTheme="minorEastAsia" w:hAnsiTheme="minorEastAsia" w:eastAsiaTheme="minorEastAsia" w:cstheme="minorEastAsia"/>
          <w:color w:val="auto"/>
          <w:sz w:val="21"/>
          <w:szCs w:val="21"/>
          <w:highlight w:val="none"/>
        </w:rPr>
        <w:fldChar w:fldCharType="end"/>
      </w:r>
      <w:r>
        <w:rPr>
          <w:rFonts w:hint="eastAsia" w:asciiTheme="minorEastAsia" w:hAnsiTheme="minorEastAsia" w:eastAsiaTheme="minorEastAsia" w:cstheme="minorEastAsia"/>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"_Toc10752"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60  资金计划和安排</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_Toc10752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70</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"_Toc5579"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★61  工程量</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_Toc5579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70</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"_Toc26980"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★62  工程计量和计价</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_Toc26980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71</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"_Toc30561"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★63  暂列金额</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_Toc30561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72</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"_Toc2559"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★64  计日工</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_Toc2559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72</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"_Toc22423"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★65  暂估价</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_Toc22423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73</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"_Toc27884"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★66  提前竣工奖与误期赔偿费</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_Toc27884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74</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"_Toc18245"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★67  工程优质费</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_Toc18245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74</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"_Toc27426"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★68  合同价款的约定与调整</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_Toc27426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75</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"_Toc8448"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★69  后继法律变化事件</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_Toc8448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76</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"_Toc11382"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★70  项目特征描述不符事件</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_Toc11382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76</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"_Toc3735"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★71  分部分项工程量清单缺项漏项事件</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_Toc3735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77</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"_Toc30621"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★72  工程变更事件</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_Toc30621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77</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"_Toc30592"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★73  工程量偏差事件</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_Toc30592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79</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"_Toc19298"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★74  费用索赔事件</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_Toc19298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80</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"_Toc1991"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★75  现场签证事件</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_Toc1991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81</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"_Toc21101"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★76  物价涨落事件</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_Toc21101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82</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"_Toc15148"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★77  合同价款调整程序</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_Toc15148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84</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"_Toc3656"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★78  支付事项</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_Toc3656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84</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"_Toc30367"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★79  预付款</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_Toc30367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85</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"_Toc15237"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★80  绿色施工安全防护费</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_Toc15237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86</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"_Toc19009"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★81  进度款</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_Toc19009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88</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"_Toc16441"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★82  竣工结算</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_Toc16441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89</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"_Toc2170"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★83  结算款</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_Toc2170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91</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"_Toc16168"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★84  质量保证金</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_Toc16168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92</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"_Toc767"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85  最终清算款</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_Toc767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92</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34"/>
        <w:tabs>
          <w:tab w:val="right" w:leader="dot" w:pos="10204"/>
        </w:tabs>
        <w:rPr>
          <w:rFonts w:asciiTheme="minorEastAsia" w:hAnsiTheme="minorEastAsia" w:eastAsiaTheme="minorEastAsia" w:cstheme="minorEastAsia"/>
          <w:color w:val="auto"/>
          <w:sz w:val="21"/>
          <w:szCs w:val="21"/>
          <w:highlight w:val="none"/>
        </w:rPr>
      </w:pPr>
      <w:r>
        <w:rPr>
          <w:color w:val="auto"/>
          <w:highlight w:val="none"/>
        </w:rPr>
        <w:fldChar w:fldCharType="begin"/>
      </w:r>
      <w:r>
        <w:rPr>
          <w:color w:val="auto"/>
          <w:highlight w:val="none"/>
        </w:rPr>
        <w:instrText xml:space="preserve"> HYPERLINK \l "_Toc32072" </w:instrText>
      </w:r>
      <w:r>
        <w:rPr>
          <w:color w:val="auto"/>
          <w:highlight w:val="none"/>
        </w:rPr>
        <w:fldChar w:fldCharType="separate"/>
      </w:r>
      <w:r>
        <w:rPr>
          <w:rFonts w:hint="eastAsia" w:asciiTheme="minorEastAsia" w:hAnsiTheme="minorEastAsia" w:eastAsiaTheme="minorEastAsia" w:cstheme="minorEastAsia"/>
          <w:color w:val="auto"/>
          <w:sz w:val="21"/>
          <w:szCs w:val="21"/>
          <w:highlight w:val="none"/>
        </w:rPr>
        <w:t>七、合同争议、解除与终止</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PAGEREF _Toc32072 \h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rPr>
        <w:t>93</w:t>
      </w:r>
      <w:r>
        <w:rPr>
          <w:rFonts w:hint="eastAsia" w:asciiTheme="minorEastAsia" w:hAnsiTheme="minorEastAsia" w:eastAsiaTheme="minorEastAsia" w:cstheme="minorEastAsia"/>
          <w:color w:val="auto"/>
          <w:sz w:val="21"/>
          <w:szCs w:val="21"/>
          <w:highlight w:val="none"/>
        </w:rPr>
        <w:fldChar w:fldCharType="end"/>
      </w:r>
      <w:r>
        <w:rPr>
          <w:rFonts w:hint="eastAsia" w:asciiTheme="minorEastAsia" w:hAnsiTheme="minorEastAsia" w:eastAsiaTheme="minorEastAsia" w:cstheme="minorEastAsia"/>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"_Toc1201"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86  合同争议</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_Toc1201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93</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"_Toc29846"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87  合同解除</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_Toc29846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95</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"_Toc6074"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88  合同解除的支付</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_Toc6074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97</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"_Toc1609"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89  合同终止</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_Toc1609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98</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34"/>
        <w:tabs>
          <w:tab w:val="right" w:leader="dot" w:pos="10204"/>
        </w:tabs>
        <w:rPr>
          <w:rFonts w:asciiTheme="minorEastAsia" w:hAnsiTheme="minorEastAsia" w:eastAsiaTheme="minorEastAsia" w:cstheme="minorEastAsia"/>
          <w:color w:val="auto"/>
          <w:sz w:val="21"/>
          <w:szCs w:val="21"/>
          <w:highlight w:val="none"/>
        </w:rPr>
      </w:pPr>
      <w:r>
        <w:rPr>
          <w:color w:val="auto"/>
          <w:highlight w:val="none"/>
        </w:rPr>
        <w:fldChar w:fldCharType="begin"/>
      </w:r>
      <w:r>
        <w:rPr>
          <w:color w:val="auto"/>
          <w:highlight w:val="none"/>
        </w:rPr>
        <w:instrText xml:space="preserve"> HYPERLINK \l "_Toc24919" </w:instrText>
      </w:r>
      <w:r>
        <w:rPr>
          <w:color w:val="auto"/>
          <w:highlight w:val="none"/>
        </w:rPr>
        <w:fldChar w:fldCharType="separate"/>
      </w:r>
      <w:r>
        <w:rPr>
          <w:rFonts w:hint="eastAsia" w:asciiTheme="minorEastAsia" w:hAnsiTheme="minorEastAsia" w:eastAsiaTheme="minorEastAsia" w:cstheme="minorEastAsia"/>
          <w:color w:val="auto"/>
          <w:sz w:val="21"/>
          <w:szCs w:val="21"/>
          <w:highlight w:val="none"/>
        </w:rPr>
        <w:t>八、违 约 责 任</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PAGEREF _Toc24919 \h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rPr>
        <w:t>98</w:t>
      </w:r>
      <w:r>
        <w:rPr>
          <w:rFonts w:hint="eastAsia" w:asciiTheme="minorEastAsia" w:hAnsiTheme="minorEastAsia" w:eastAsiaTheme="minorEastAsia" w:cstheme="minorEastAsia"/>
          <w:color w:val="auto"/>
          <w:sz w:val="21"/>
          <w:szCs w:val="21"/>
          <w:highlight w:val="none"/>
        </w:rPr>
        <w:fldChar w:fldCharType="end"/>
      </w:r>
      <w:r>
        <w:rPr>
          <w:rFonts w:hint="eastAsia" w:asciiTheme="minorEastAsia" w:hAnsiTheme="minorEastAsia" w:eastAsiaTheme="minorEastAsia" w:cstheme="minorEastAsia"/>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"_Toc4074"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★90  承包人的违约责任</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_Toc4074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98</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"_Toc26926"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★91 发包人的违约责任</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_Toc26926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98</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"_Toc473"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★92  除外责任</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_Toc473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99</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34"/>
        <w:tabs>
          <w:tab w:val="right" w:leader="dot" w:pos="10204"/>
        </w:tabs>
        <w:rPr>
          <w:rFonts w:asciiTheme="minorEastAsia" w:hAnsiTheme="minorEastAsia" w:eastAsiaTheme="minorEastAsia" w:cstheme="minorEastAsia"/>
          <w:color w:val="auto"/>
          <w:sz w:val="21"/>
          <w:szCs w:val="21"/>
          <w:highlight w:val="none"/>
        </w:rPr>
      </w:pPr>
      <w:r>
        <w:rPr>
          <w:color w:val="auto"/>
          <w:highlight w:val="none"/>
        </w:rPr>
        <w:fldChar w:fldCharType="begin"/>
      </w:r>
      <w:r>
        <w:rPr>
          <w:color w:val="auto"/>
          <w:highlight w:val="none"/>
        </w:rPr>
        <w:instrText xml:space="preserve"> HYPERLINK \l "_Toc4134" </w:instrText>
      </w:r>
      <w:r>
        <w:rPr>
          <w:color w:val="auto"/>
          <w:highlight w:val="none"/>
        </w:rPr>
        <w:fldChar w:fldCharType="separate"/>
      </w:r>
      <w:r>
        <w:rPr>
          <w:rFonts w:hint="eastAsia" w:asciiTheme="minorEastAsia" w:hAnsiTheme="minorEastAsia" w:eastAsiaTheme="minorEastAsia" w:cstheme="minorEastAsia"/>
          <w:color w:val="auto"/>
          <w:sz w:val="21"/>
          <w:szCs w:val="21"/>
          <w:highlight w:val="none"/>
        </w:rPr>
        <w:t>九、其  他</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PAGEREF _Toc4134 \h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rPr>
        <w:t>99</w:t>
      </w:r>
      <w:r>
        <w:rPr>
          <w:rFonts w:hint="eastAsia" w:asciiTheme="minorEastAsia" w:hAnsiTheme="minorEastAsia" w:eastAsiaTheme="minorEastAsia" w:cstheme="minorEastAsia"/>
          <w:color w:val="auto"/>
          <w:sz w:val="21"/>
          <w:szCs w:val="21"/>
          <w:highlight w:val="none"/>
        </w:rPr>
        <w:fldChar w:fldCharType="end"/>
      </w:r>
      <w:r>
        <w:rPr>
          <w:rFonts w:hint="eastAsia" w:asciiTheme="minorEastAsia" w:hAnsiTheme="minorEastAsia" w:eastAsiaTheme="minorEastAsia" w:cstheme="minorEastAsia"/>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"_Toc19267"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93  缴纳税费</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_Toc19267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99</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"_Toc23315"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94  保密要求</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_Toc23315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99</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"_Toc20127"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95 廉政建设</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_Toc20127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100</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"_Toc6072"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96  禁止转让</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_Toc6072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101</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"_Toc22257"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97  合同份数</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_Toc22257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101</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2"/>
        <w:tabs>
          <w:tab w:val="right" w:leader="dot" w:pos="10204"/>
        </w:tabs>
        <w:rPr>
          <w:rFonts w:asciiTheme="minorEastAsia" w:hAnsiTheme="minorEastAsia" w:eastAsiaTheme="minorEastAsia" w:cstheme="minorEastAsia"/>
          <w:i w:val="0"/>
          <w:iCs w:val="0"/>
          <w:color w:val="auto"/>
          <w:sz w:val="21"/>
          <w:szCs w:val="21"/>
          <w:highlight w:val="none"/>
        </w:rPr>
      </w:pPr>
      <w:r>
        <w:rPr>
          <w:color w:val="auto"/>
          <w:highlight w:val="none"/>
        </w:rPr>
        <w:fldChar w:fldCharType="begin"/>
      </w:r>
      <w:r>
        <w:rPr>
          <w:color w:val="auto"/>
          <w:highlight w:val="none"/>
        </w:rPr>
        <w:instrText xml:space="preserve"> HYPERLINK \l "_Toc19153" </w:instrText>
      </w:r>
      <w:r>
        <w:rPr>
          <w:color w:val="auto"/>
          <w:highlight w:val="none"/>
        </w:rPr>
        <w:fldChar w:fldCharType="separate"/>
      </w:r>
      <w:r>
        <w:rPr>
          <w:rFonts w:hint="eastAsia" w:asciiTheme="minorEastAsia" w:hAnsiTheme="minorEastAsia" w:eastAsiaTheme="minorEastAsia" w:cstheme="minorEastAsia"/>
          <w:i w:val="0"/>
          <w:iCs w:val="0"/>
          <w:color w:val="auto"/>
          <w:sz w:val="21"/>
          <w:szCs w:val="21"/>
          <w:highlight w:val="none"/>
        </w:rPr>
        <w:t>98  合同管理</w:t>
      </w:r>
      <w:r>
        <w:rPr>
          <w:rFonts w:hint="eastAsia" w:asciiTheme="minorEastAsia" w:hAnsiTheme="minorEastAsia" w:eastAsiaTheme="minorEastAsia" w:cstheme="minorEastAsia"/>
          <w:i w:val="0"/>
          <w:iCs w:val="0"/>
          <w:color w:val="auto"/>
          <w:sz w:val="21"/>
          <w:szCs w:val="21"/>
          <w:highlight w:val="none"/>
        </w:rPr>
        <w:tab/>
      </w:r>
      <w:r>
        <w:rPr>
          <w:rFonts w:hint="eastAsia" w:asciiTheme="minorEastAsia" w:hAnsiTheme="minorEastAsia" w:eastAsiaTheme="minorEastAsia" w:cstheme="minorEastAsia"/>
          <w:i w:val="0"/>
          <w:iCs w:val="0"/>
          <w:color w:val="auto"/>
          <w:sz w:val="21"/>
          <w:szCs w:val="21"/>
          <w:highlight w:val="none"/>
        </w:rPr>
        <w:fldChar w:fldCharType="begin"/>
      </w:r>
      <w:r>
        <w:rPr>
          <w:rFonts w:hint="eastAsia" w:asciiTheme="minorEastAsia" w:hAnsiTheme="minorEastAsia" w:eastAsiaTheme="minorEastAsia" w:cstheme="minorEastAsia"/>
          <w:i w:val="0"/>
          <w:iCs w:val="0"/>
          <w:color w:val="auto"/>
          <w:sz w:val="21"/>
          <w:szCs w:val="21"/>
          <w:highlight w:val="none"/>
        </w:rPr>
        <w:instrText xml:space="preserve"> PAGEREF _Toc19153 \h </w:instrText>
      </w:r>
      <w:r>
        <w:rPr>
          <w:rFonts w:hint="eastAsia" w:asciiTheme="minorEastAsia" w:hAnsiTheme="minorEastAsia" w:eastAsiaTheme="minorEastAsia" w:cstheme="minorEastAsia"/>
          <w:i w:val="0"/>
          <w:iCs w:val="0"/>
          <w:color w:val="auto"/>
          <w:sz w:val="21"/>
          <w:szCs w:val="21"/>
          <w:highlight w:val="none"/>
        </w:rPr>
        <w:fldChar w:fldCharType="separate"/>
      </w:r>
      <w:r>
        <w:rPr>
          <w:rFonts w:hint="eastAsia" w:asciiTheme="minorEastAsia" w:hAnsiTheme="minorEastAsia" w:eastAsiaTheme="minorEastAsia" w:cstheme="minorEastAsia"/>
          <w:i w:val="0"/>
          <w:iCs w:val="0"/>
          <w:color w:val="auto"/>
          <w:sz w:val="21"/>
          <w:szCs w:val="21"/>
          <w:highlight w:val="none"/>
        </w:rPr>
        <w:t>101</w:t>
      </w:r>
      <w:r>
        <w:rPr>
          <w:rFonts w:hint="eastAsia" w:asciiTheme="minorEastAsia" w:hAnsiTheme="minorEastAsia" w:eastAsiaTheme="minorEastAsia" w:cstheme="minorEastAsia"/>
          <w:i w:val="0"/>
          <w:iCs w:val="0"/>
          <w:color w:val="auto"/>
          <w:sz w:val="21"/>
          <w:szCs w:val="21"/>
          <w:highlight w:val="none"/>
        </w:rPr>
        <w:fldChar w:fldCharType="end"/>
      </w:r>
      <w:r>
        <w:rPr>
          <w:rFonts w:hint="eastAsia" w:asciiTheme="minorEastAsia" w:hAnsiTheme="minorEastAsia" w:eastAsiaTheme="minorEastAsia" w:cstheme="minorEastAsia"/>
          <w:i w:val="0"/>
          <w:iCs w:val="0"/>
          <w:color w:val="auto"/>
          <w:sz w:val="21"/>
          <w:szCs w:val="21"/>
          <w:highlight w:val="none"/>
        </w:rPr>
        <w:fldChar w:fldCharType="end"/>
      </w:r>
    </w:p>
    <w:p>
      <w:pPr>
        <w:pStyle w:val="29"/>
        <w:tabs>
          <w:tab w:val="right" w:leader="dot" w:pos="10204"/>
        </w:tabs>
        <w:spacing w:before="0" w:after="0"/>
        <w:rPr>
          <w:rFonts w:asciiTheme="minorEastAsia" w:hAnsiTheme="minorEastAsia" w:eastAsiaTheme="minorEastAsia" w:cstheme="minorEastAsia"/>
          <w:b w:val="0"/>
          <w:bCs w:val="0"/>
          <w:color w:val="auto"/>
          <w:sz w:val="21"/>
          <w:szCs w:val="21"/>
          <w:highlight w:val="none"/>
        </w:rPr>
      </w:pPr>
      <w:r>
        <w:rPr>
          <w:color w:val="auto"/>
          <w:highlight w:val="none"/>
        </w:rPr>
        <w:fldChar w:fldCharType="begin"/>
      </w:r>
      <w:r>
        <w:rPr>
          <w:color w:val="auto"/>
          <w:highlight w:val="none"/>
        </w:rPr>
        <w:instrText xml:space="preserve"> HYPERLINK \l "_Toc19707" </w:instrText>
      </w:r>
      <w:r>
        <w:rPr>
          <w:color w:val="auto"/>
          <w:highlight w:val="none"/>
        </w:rPr>
        <w:fldChar w:fldCharType="separate"/>
      </w:r>
      <w:r>
        <w:rPr>
          <w:rFonts w:hint="eastAsia" w:asciiTheme="minorEastAsia" w:hAnsiTheme="minorEastAsia" w:eastAsiaTheme="minorEastAsia" w:cstheme="minorEastAsia"/>
          <w:b w:val="0"/>
          <w:bCs w:val="0"/>
          <w:color w:val="auto"/>
          <w:sz w:val="21"/>
          <w:szCs w:val="21"/>
          <w:highlight w:val="none"/>
        </w:rPr>
        <w:t>第三部分    专用条款</w:t>
      </w:r>
      <w:r>
        <w:rPr>
          <w:rFonts w:hint="eastAsia" w:asciiTheme="minorEastAsia" w:hAnsiTheme="minorEastAsia" w:eastAsiaTheme="minorEastAsia" w:cstheme="minorEastAsia"/>
          <w:b w:val="0"/>
          <w:bCs w:val="0"/>
          <w:color w:val="auto"/>
          <w:sz w:val="21"/>
          <w:szCs w:val="21"/>
          <w:highlight w:val="none"/>
        </w:rPr>
        <w:tab/>
      </w:r>
      <w:r>
        <w:rPr>
          <w:rFonts w:hint="eastAsia" w:asciiTheme="minorEastAsia" w:hAnsiTheme="minorEastAsia" w:eastAsiaTheme="minorEastAsia" w:cstheme="minorEastAsia"/>
          <w:b w:val="0"/>
          <w:bCs w:val="0"/>
          <w:color w:val="auto"/>
          <w:sz w:val="21"/>
          <w:szCs w:val="21"/>
          <w:highlight w:val="none"/>
        </w:rPr>
        <w:fldChar w:fldCharType="begin"/>
      </w:r>
      <w:r>
        <w:rPr>
          <w:rFonts w:hint="eastAsia" w:asciiTheme="minorEastAsia" w:hAnsiTheme="minorEastAsia" w:eastAsiaTheme="minorEastAsia" w:cstheme="minorEastAsia"/>
          <w:b w:val="0"/>
          <w:bCs w:val="0"/>
          <w:color w:val="auto"/>
          <w:sz w:val="21"/>
          <w:szCs w:val="21"/>
          <w:highlight w:val="none"/>
        </w:rPr>
        <w:instrText xml:space="preserve"> PAGEREF _Toc19707 \h </w:instrText>
      </w:r>
      <w:r>
        <w:rPr>
          <w:rFonts w:hint="eastAsia" w:asciiTheme="minorEastAsia" w:hAnsiTheme="minorEastAsia" w:eastAsiaTheme="minorEastAsia" w:cstheme="minorEastAsia"/>
          <w:b w:val="0"/>
          <w:bCs w:val="0"/>
          <w:color w:val="auto"/>
          <w:sz w:val="21"/>
          <w:szCs w:val="21"/>
          <w:highlight w:val="none"/>
        </w:rPr>
        <w:fldChar w:fldCharType="separate"/>
      </w:r>
      <w:r>
        <w:rPr>
          <w:rFonts w:hint="eastAsia" w:asciiTheme="minorEastAsia" w:hAnsiTheme="minorEastAsia" w:eastAsiaTheme="minorEastAsia" w:cstheme="minorEastAsia"/>
          <w:b w:val="0"/>
          <w:bCs w:val="0"/>
          <w:color w:val="auto"/>
          <w:sz w:val="21"/>
          <w:szCs w:val="21"/>
          <w:highlight w:val="none"/>
        </w:rPr>
        <w:t>102</w:t>
      </w:r>
      <w:r>
        <w:rPr>
          <w:rFonts w:hint="eastAsia" w:asciiTheme="minorEastAsia" w:hAnsiTheme="minorEastAsia" w:eastAsiaTheme="minorEastAsia" w:cstheme="minorEastAsia"/>
          <w:b w:val="0"/>
          <w:bCs w:val="0"/>
          <w:color w:val="auto"/>
          <w:sz w:val="21"/>
          <w:szCs w:val="21"/>
          <w:highlight w:val="none"/>
        </w:rPr>
        <w:fldChar w:fldCharType="end"/>
      </w:r>
      <w:r>
        <w:rPr>
          <w:rFonts w:hint="eastAsia" w:asciiTheme="minorEastAsia" w:hAnsiTheme="minorEastAsia" w:eastAsiaTheme="minorEastAsia" w:cstheme="minorEastAsia"/>
          <w:b w:val="0"/>
          <w:bCs w:val="0"/>
          <w:color w:val="auto"/>
          <w:sz w:val="21"/>
          <w:szCs w:val="21"/>
          <w:highlight w:val="none"/>
        </w:rPr>
        <w:fldChar w:fldCharType="end"/>
      </w:r>
    </w:p>
    <w:p>
      <w:pPr>
        <w:pStyle w:val="34"/>
        <w:tabs>
          <w:tab w:val="right" w:leader="dot" w:pos="10204"/>
        </w:tabs>
        <w:ind w:firstLine="200" w:firstLineChars="100"/>
        <w:rPr>
          <w:rFonts w:asciiTheme="minorEastAsia" w:hAnsiTheme="minorEastAsia" w:eastAsiaTheme="minorEastAsia" w:cstheme="minorEastAsia"/>
          <w:color w:val="auto"/>
          <w:sz w:val="21"/>
          <w:szCs w:val="21"/>
          <w:highlight w:val="none"/>
        </w:rPr>
      </w:pPr>
      <w:r>
        <w:rPr>
          <w:color w:val="auto"/>
          <w:highlight w:val="none"/>
        </w:rPr>
        <w:fldChar w:fldCharType="begin"/>
      </w:r>
      <w:r>
        <w:rPr>
          <w:color w:val="auto"/>
          <w:highlight w:val="none"/>
        </w:rPr>
        <w:instrText xml:space="preserve"> HYPERLINK \l "_Toc25107" </w:instrText>
      </w:r>
      <w:r>
        <w:rPr>
          <w:color w:val="auto"/>
          <w:highlight w:val="none"/>
        </w:rPr>
        <w:fldChar w:fldCharType="separate"/>
      </w:r>
      <w:r>
        <w:rPr>
          <w:rFonts w:hint="eastAsia" w:asciiTheme="minorEastAsia" w:hAnsiTheme="minorEastAsia" w:eastAsiaTheme="minorEastAsia" w:cstheme="minorEastAsia"/>
          <w:color w:val="auto"/>
          <w:sz w:val="21"/>
          <w:szCs w:val="21"/>
          <w:highlight w:val="none"/>
        </w:rPr>
        <w:t>1．定义</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PAGEREF _Toc25107 \h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rPr>
        <w:t>102</w:t>
      </w:r>
      <w:r>
        <w:rPr>
          <w:rFonts w:hint="eastAsia" w:asciiTheme="minorEastAsia" w:hAnsiTheme="minorEastAsia" w:eastAsiaTheme="minorEastAsia" w:cstheme="minorEastAsia"/>
          <w:color w:val="auto"/>
          <w:sz w:val="21"/>
          <w:szCs w:val="21"/>
          <w:highlight w:val="none"/>
        </w:rPr>
        <w:fldChar w:fldCharType="end"/>
      </w:r>
      <w:r>
        <w:rPr>
          <w:rFonts w:hint="eastAsia" w:asciiTheme="minorEastAsia" w:hAnsiTheme="minorEastAsia" w:eastAsiaTheme="minorEastAsia" w:cstheme="minorEastAsia"/>
          <w:color w:val="auto"/>
          <w:sz w:val="21"/>
          <w:szCs w:val="21"/>
          <w:highlight w:val="none"/>
        </w:rPr>
        <w:fldChar w:fldCharType="end"/>
      </w:r>
    </w:p>
    <w:p>
      <w:pPr>
        <w:pStyle w:val="34"/>
        <w:tabs>
          <w:tab w:val="right" w:leader="dot" w:pos="10204"/>
        </w:tabs>
        <w:ind w:firstLine="200" w:firstLineChars="100"/>
        <w:rPr>
          <w:rFonts w:asciiTheme="minorEastAsia" w:hAnsiTheme="minorEastAsia" w:eastAsiaTheme="minorEastAsia" w:cstheme="minorEastAsia"/>
          <w:color w:val="auto"/>
          <w:sz w:val="21"/>
          <w:szCs w:val="21"/>
          <w:highlight w:val="none"/>
        </w:rPr>
      </w:pPr>
      <w:r>
        <w:rPr>
          <w:color w:val="auto"/>
          <w:highlight w:val="none"/>
        </w:rPr>
        <w:fldChar w:fldCharType="begin"/>
      </w:r>
      <w:r>
        <w:rPr>
          <w:color w:val="auto"/>
          <w:highlight w:val="none"/>
        </w:rPr>
        <w:instrText xml:space="preserve"> HYPERLINK \l "_Toc28982" </w:instrText>
      </w:r>
      <w:r>
        <w:rPr>
          <w:color w:val="auto"/>
          <w:highlight w:val="none"/>
        </w:rPr>
        <w:fldChar w:fldCharType="separate"/>
      </w:r>
      <w:r>
        <w:rPr>
          <w:rFonts w:hint="eastAsia" w:asciiTheme="minorEastAsia" w:hAnsiTheme="minorEastAsia" w:eastAsiaTheme="minorEastAsia" w:cstheme="minorEastAsia"/>
          <w:color w:val="auto"/>
          <w:sz w:val="21"/>
          <w:szCs w:val="21"/>
          <w:highlight w:val="none"/>
        </w:rPr>
        <w:t>2．合同文件及解释</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PAGEREF _Toc28982 \h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rPr>
        <w:t>102</w:t>
      </w:r>
      <w:r>
        <w:rPr>
          <w:rFonts w:hint="eastAsia" w:asciiTheme="minorEastAsia" w:hAnsiTheme="minorEastAsia" w:eastAsiaTheme="minorEastAsia" w:cstheme="minorEastAsia"/>
          <w:color w:val="auto"/>
          <w:sz w:val="21"/>
          <w:szCs w:val="21"/>
          <w:highlight w:val="none"/>
        </w:rPr>
        <w:fldChar w:fldCharType="end"/>
      </w:r>
      <w:r>
        <w:rPr>
          <w:rFonts w:hint="eastAsia" w:asciiTheme="minorEastAsia" w:hAnsiTheme="minorEastAsia" w:eastAsiaTheme="minorEastAsia" w:cstheme="minorEastAsia"/>
          <w:color w:val="auto"/>
          <w:sz w:val="21"/>
          <w:szCs w:val="21"/>
          <w:highlight w:val="none"/>
        </w:rPr>
        <w:fldChar w:fldCharType="end"/>
      </w:r>
    </w:p>
    <w:p>
      <w:pPr>
        <w:pStyle w:val="34"/>
        <w:tabs>
          <w:tab w:val="right" w:leader="dot" w:pos="10204"/>
        </w:tabs>
        <w:ind w:firstLine="200" w:firstLineChars="100"/>
        <w:rPr>
          <w:rFonts w:asciiTheme="minorEastAsia" w:hAnsiTheme="minorEastAsia" w:eastAsiaTheme="minorEastAsia" w:cstheme="minorEastAsia"/>
          <w:color w:val="auto"/>
          <w:sz w:val="21"/>
          <w:szCs w:val="21"/>
          <w:highlight w:val="none"/>
        </w:rPr>
      </w:pPr>
      <w:r>
        <w:rPr>
          <w:color w:val="auto"/>
          <w:highlight w:val="none"/>
        </w:rPr>
        <w:fldChar w:fldCharType="begin"/>
      </w:r>
      <w:r>
        <w:rPr>
          <w:color w:val="auto"/>
          <w:highlight w:val="none"/>
        </w:rPr>
        <w:instrText xml:space="preserve"> HYPERLINK \l "_Toc13561" </w:instrText>
      </w:r>
      <w:r>
        <w:rPr>
          <w:color w:val="auto"/>
          <w:highlight w:val="none"/>
        </w:rPr>
        <w:fldChar w:fldCharType="separate"/>
      </w:r>
      <w:r>
        <w:rPr>
          <w:rFonts w:hint="eastAsia" w:asciiTheme="minorEastAsia" w:hAnsiTheme="minorEastAsia" w:eastAsiaTheme="minorEastAsia" w:cstheme="minorEastAsia"/>
          <w:color w:val="auto"/>
          <w:sz w:val="21"/>
          <w:szCs w:val="21"/>
          <w:highlight w:val="none"/>
        </w:rPr>
        <w:t>4．语言及适用的法律、标准与规范</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PAGEREF _Toc13561 \h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rPr>
        <w:t>102</w:t>
      </w:r>
      <w:r>
        <w:rPr>
          <w:rFonts w:hint="eastAsia" w:asciiTheme="minorEastAsia" w:hAnsiTheme="minorEastAsia" w:eastAsiaTheme="minorEastAsia" w:cstheme="minorEastAsia"/>
          <w:color w:val="auto"/>
          <w:sz w:val="21"/>
          <w:szCs w:val="21"/>
          <w:highlight w:val="none"/>
        </w:rPr>
        <w:fldChar w:fldCharType="end"/>
      </w:r>
      <w:r>
        <w:rPr>
          <w:rFonts w:hint="eastAsia" w:asciiTheme="minorEastAsia" w:hAnsiTheme="minorEastAsia" w:eastAsiaTheme="minorEastAsia" w:cstheme="minorEastAsia"/>
          <w:color w:val="auto"/>
          <w:sz w:val="21"/>
          <w:szCs w:val="21"/>
          <w:highlight w:val="none"/>
        </w:rPr>
        <w:fldChar w:fldCharType="end"/>
      </w:r>
    </w:p>
    <w:p>
      <w:pPr>
        <w:pStyle w:val="34"/>
        <w:tabs>
          <w:tab w:val="right" w:leader="dot" w:pos="10204"/>
        </w:tabs>
        <w:ind w:firstLine="200" w:firstLineChars="100"/>
        <w:rPr>
          <w:rFonts w:asciiTheme="minorEastAsia" w:hAnsiTheme="minorEastAsia" w:eastAsiaTheme="minorEastAsia" w:cstheme="minorEastAsia"/>
          <w:color w:val="auto"/>
          <w:sz w:val="21"/>
          <w:szCs w:val="21"/>
          <w:highlight w:val="none"/>
        </w:rPr>
      </w:pPr>
      <w:r>
        <w:rPr>
          <w:color w:val="auto"/>
          <w:highlight w:val="none"/>
        </w:rPr>
        <w:fldChar w:fldCharType="begin"/>
      </w:r>
      <w:r>
        <w:rPr>
          <w:color w:val="auto"/>
          <w:highlight w:val="none"/>
        </w:rPr>
        <w:instrText xml:space="preserve"> HYPERLINK \l "_Toc16607" </w:instrText>
      </w:r>
      <w:r>
        <w:rPr>
          <w:color w:val="auto"/>
          <w:highlight w:val="none"/>
        </w:rPr>
        <w:fldChar w:fldCharType="separate"/>
      </w:r>
      <w:r>
        <w:rPr>
          <w:rFonts w:hint="eastAsia" w:asciiTheme="minorEastAsia" w:hAnsiTheme="minorEastAsia" w:eastAsiaTheme="minorEastAsia" w:cstheme="minorEastAsia"/>
          <w:color w:val="auto"/>
          <w:sz w:val="21"/>
          <w:szCs w:val="21"/>
          <w:highlight w:val="none"/>
        </w:rPr>
        <w:t>5. 施工设计图纸</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PAGEREF _Toc16607 \h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rPr>
        <w:t>102</w:t>
      </w:r>
      <w:r>
        <w:rPr>
          <w:rFonts w:hint="eastAsia" w:asciiTheme="minorEastAsia" w:hAnsiTheme="minorEastAsia" w:eastAsiaTheme="minorEastAsia" w:cstheme="minorEastAsia"/>
          <w:color w:val="auto"/>
          <w:sz w:val="21"/>
          <w:szCs w:val="21"/>
          <w:highlight w:val="none"/>
        </w:rPr>
        <w:fldChar w:fldCharType="end"/>
      </w:r>
      <w:r>
        <w:rPr>
          <w:rFonts w:hint="eastAsia" w:asciiTheme="minorEastAsia" w:hAnsiTheme="minorEastAsia" w:eastAsiaTheme="minorEastAsia" w:cstheme="minorEastAsia"/>
          <w:color w:val="auto"/>
          <w:sz w:val="21"/>
          <w:szCs w:val="21"/>
          <w:highlight w:val="none"/>
        </w:rPr>
        <w:fldChar w:fldCharType="end"/>
      </w:r>
    </w:p>
    <w:p>
      <w:pPr>
        <w:pStyle w:val="34"/>
        <w:tabs>
          <w:tab w:val="right" w:leader="dot" w:pos="10204"/>
        </w:tabs>
        <w:ind w:firstLine="200" w:firstLineChars="100"/>
        <w:rPr>
          <w:rFonts w:asciiTheme="minorEastAsia" w:hAnsiTheme="minorEastAsia" w:eastAsiaTheme="minorEastAsia" w:cstheme="minorEastAsia"/>
          <w:color w:val="auto"/>
          <w:sz w:val="21"/>
          <w:szCs w:val="21"/>
          <w:highlight w:val="none"/>
        </w:rPr>
      </w:pPr>
      <w:r>
        <w:rPr>
          <w:color w:val="auto"/>
          <w:highlight w:val="none"/>
        </w:rPr>
        <w:fldChar w:fldCharType="begin"/>
      </w:r>
      <w:r>
        <w:rPr>
          <w:color w:val="auto"/>
          <w:highlight w:val="none"/>
        </w:rPr>
        <w:instrText xml:space="preserve"> HYPERLINK \l "_Toc2553" </w:instrText>
      </w:r>
      <w:r>
        <w:rPr>
          <w:color w:val="auto"/>
          <w:highlight w:val="none"/>
        </w:rPr>
        <w:fldChar w:fldCharType="separate"/>
      </w:r>
      <w:r>
        <w:rPr>
          <w:rFonts w:hint="eastAsia" w:asciiTheme="minorEastAsia" w:hAnsiTheme="minorEastAsia" w:eastAsiaTheme="minorEastAsia" w:cstheme="minorEastAsia"/>
          <w:color w:val="auto"/>
          <w:sz w:val="21"/>
          <w:szCs w:val="21"/>
          <w:highlight w:val="none"/>
        </w:rPr>
        <w:t>6. 通信联络</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PAGEREF _Toc2553 \h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rPr>
        <w:t>103</w:t>
      </w:r>
      <w:r>
        <w:rPr>
          <w:rFonts w:hint="eastAsia" w:asciiTheme="minorEastAsia" w:hAnsiTheme="minorEastAsia" w:eastAsiaTheme="minorEastAsia" w:cstheme="minorEastAsia"/>
          <w:color w:val="auto"/>
          <w:sz w:val="21"/>
          <w:szCs w:val="21"/>
          <w:highlight w:val="none"/>
        </w:rPr>
        <w:fldChar w:fldCharType="end"/>
      </w:r>
      <w:r>
        <w:rPr>
          <w:rFonts w:hint="eastAsia" w:asciiTheme="minorEastAsia" w:hAnsiTheme="minorEastAsia" w:eastAsiaTheme="minorEastAsia" w:cstheme="minorEastAsia"/>
          <w:color w:val="auto"/>
          <w:sz w:val="21"/>
          <w:szCs w:val="21"/>
          <w:highlight w:val="none"/>
        </w:rPr>
        <w:fldChar w:fldCharType="end"/>
      </w:r>
    </w:p>
    <w:p>
      <w:pPr>
        <w:pStyle w:val="34"/>
        <w:tabs>
          <w:tab w:val="right" w:leader="dot" w:pos="10204"/>
        </w:tabs>
        <w:ind w:firstLine="200" w:firstLineChars="100"/>
        <w:rPr>
          <w:rFonts w:asciiTheme="minorEastAsia" w:hAnsiTheme="minorEastAsia" w:eastAsiaTheme="minorEastAsia" w:cstheme="minorEastAsia"/>
          <w:color w:val="auto"/>
          <w:sz w:val="21"/>
          <w:szCs w:val="21"/>
          <w:highlight w:val="none"/>
        </w:rPr>
      </w:pPr>
      <w:r>
        <w:rPr>
          <w:color w:val="auto"/>
          <w:highlight w:val="none"/>
        </w:rPr>
        <w:fldChar w:fldCharType="begin"/>
      </w:r>
      <w:r>
        <w:rPr>
          <w:color w:val="auto"/>
          <w:highlight w:val="none"/>
        </w:rPr>
        <w:instrText xml:space="preserve"> HYPERLINK \l "_Toc13905" </w:instrText>
      </w:r>
      <w:r>
        <w:rPr>
          <w:color w:val="auto"/>
          <w:highlight w:val="none"/>
        </w:rPr>
        <w:fldChar w:fldCharType="separate"/>
      </w:r>
      <w:r>
        <w:rPr>
          <w:rFonts w:hint="eastAsia" w:asciiTheme="minorEastAsia" w:hAnsiTheme="minorEastAsia" w:eastAsiaTheme="minorEastAsia" w:cstheme="minorEastAsia"/>
          <w:color w:val="auto"/>
          <w:sz w:val="21"/>
          <w:szCs w:val="21"/>
          <w:highlight w:val="none"/>
        </w:rPr>
        <w:t>7. 工程分包</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PAGEREF _Toc13905 \h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rPr>
        <w:t>103</w:t>
      </w:r>
      <w:r>
        <w:rPr>
          <w:rFonts w:hint="eastAsia" w:asciiTheme="minorEastAsia" w:hAnsiTheme="minorEastAsia" w:eastAsiaTheme="minorEastAsia" w:cstheme="minorEastAsia"/>
          <w:color w:val="auto"/>
          <w:sz w:val="21"/>
          <w:szCs w:val="21"/>
          <w:highlight w:val="none"/>
        </w:rPr>
        <w:fldChar w:fldCharType="end"/>
      </w:r>
      <w:r>
        <w:rPr>
          <w:rFonts w:hint="eastAsia" w:asciiTheme="minorEastAsia" w:hAnsiTheme="minorEastAsia" w:eastAsiaTheme="minorEastAsia" w:cstheme="minorEastAsia"/>
          <w:color w:val="auto"/>
          <w:sz w:val="21"/>
          <w:szCs w:val="21"/>
          <w:highlight w:val="none"/>
        </w:rPr>
        <w:fldChar w:fldCharType="end"/>
      </w:r>
    </w:p>
    <w:p>
      <w:pPr>
        <w:pStyle w:val="34"/>
        <w:tabs>
          <w:tab w:val="right" w:leader="dot" w:pos="10204"/>
        </w:tabs>
        <w:ind w:firstLine="200" w:firstLineChars="100"/>
        <w:rPr>
          <w:rFonts w:asciiTheme="minorEastAsia" w:hAnsiTheme="minorEastAsia" w:eastAsiaTheme="minorEastAsia" w:cstheme="minorEastAsia"/>
          <w:color w:val="auto"/>
          <w:sz w:val="21"/>
          <w:szCs w:val="21"/>
          <w:highlight w:val="none"/>
        </w:rPr>
      </w:pPr>
      <w:r>
        <w:rPr>
          <w:color w:val="auto"/>
          <w:highlight w:val="none"/>
        </w:rPr>
        <w:fldChar w:fldCharType="begin"/>
      </w:r>
      <w:r>
        <w:rPr>
          <w:color w:val="auto"/>
          <w:highlight w:val="none"/>
        </w:rPr>
        <w:instrText xml:space="preserve"> HYPERLINK \l "_Toc5666" </w:instrText>
      </w:r>
      <w:r>
        <w:rPr>
          <w:color w:val="auto"/>
          <w:highlight w:val="none"/>
        </w:rPr>
        <w:fldChar w:fldCharType="separate"/>
      </w:r>
      <w:r>
        <w:rPr>
          <w:rFonts w:hint="eastAsia" w:asciiTheme="minorEastAsia" w:hAnsiTheme="minorEastAsia" w:eastAsiaTheme="minorEastAsia" w:cstheme="minorEastAsia"/>
          <w:color w:val="auto"/>
          <w:sz w:val="21"/>
          <w:szCs w:val="21"/>
          <w:highlight w:val="none"/>
        </w:rPr>
        <w:t>13. 交通运输</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PAGEREF _Toc5666 \h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rPr>
        <w:t>103</w:t>
      </w:r>
      <w:r>
        <w:rPr>
          <w:rFonts w:hint="eastAsia" w:asciiTheme="minorEastAsia" w:hAnsiTheme="minorEastAsia" w:eastAsiaTheme="minorEastAsia" w:cstheme="minorEastAsia"/>
          <w:color w:val="auto"/>
          <w:sz w:val="21"/>
          <w:szCs w:val="21"/>
          <w:highlight w:val="none"/>
        </w:rPr>
        <w:fldChar w:fldCharType="end"/>
      </w:r>
      <w:r>
        <w:rPr>
          <w:rFonts w:hint="eastAsia" w:asciiTheme="minorEastAsia" w:hAnsiTheme="minorEastAsia" w:eastAsiaTheme="minorEastAsia" w:cstheme="minorEastAsia"/>
          <w:color w:val="auto"/>
          <w:sz w:val="21"/>
          <w:szCs w:val="21"/>
          <w:highlight w:val="none"/>
        </w:rPr>
        <w:fldChar w:fldCharType="end"/>
      </w:r>
    </w:p>
    <w:p>
      <w:pPr>
        <w:pStyle w:val="34"/>
        <w:tabs>
          <w:tab w:val="right" w:leader="dot" w:pos="10204"/>
        </w:tabs>
        <w:ind w:firstLine="200" w:firstLineChars="100"/>
        <w:rPr>
          <w:rFonts w:asciiTheme="minorEastAsia" w:hAnsiTheme="minorEastAsia" w:eastAsiaTheme="minorEastAsia" w:cstheme="minorEastAsia"/>
          <w:color w:val="auto"/>
          <w:sz w:val="21"/>
          <w:szCs w:val="21"/>
          <w:highlight w:val="none"/>
        </w:rPr>
      </w:pPr>
      <w:r>
        <w:rPr>
          <w:color w:val="auto"/>
          <w:highlight w:val="none"/>
        </w:rPr>
        <w:fldChar w:fldCharType="begin"/>
      </w:r>
      <w:r>
        <w:rPr>
          <w:color w:val="auto"/>
          <w:highlight w:val="none"/>
        </w:rPr>
        <w:instrText xml:space="preserve"> HYPERLINK \l "_Toc22354" </w:instrText>
      </w:r>
      <w:r>
        <w:rPr>
          <w:color w:val="auto"/>
          <w:highlight w:val="none"/>
        </w:rPr>
        <w:fldChar w:fldCharType="separate"/>
      </w:r>
      <w:r>
        <w:rPr>
          <w:rFonts w:hint="eastAsia" w:asciiTheme="minorEastAsia" w:hAnsiTheme="minorEastAsia" w:eastAsiaTheme="minorEastAsia" w:cstheme="minorEastAsia"/>
          <w:color w:val="auto"/>
          <w:sz w:val="21"/>
          <w:szCs w:val="21"/>
          <w:highlight w:val="none"/>
        </w:rPr>
        <w:t>14. 专项批准事件的签认</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PAGEREF _Toc22354 \h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rPr>
        <w:t>104</w:t>
      </w:r>
      <w:r>
        <w:rPr>
          <w:rFonts w:hint="eastAsia" w:asciiTheme="minorEastAsia" w:hAnsiTheme="minorEastAsia" w:eastAsiaTheme="minorEastAsia" w:cstheme="minorEastAsia"/>
          <w:color w:val="auto"/>
          <w:sz w:val="21"/>
          <w:szCs w:val="21"/>
          <w:highlight w:val="none"/>
        </w:rPr>
        <w:fldChar w:fldCharType="end"/>
      </w:r>
      <w:r>
        <w:rPr>
          <w:rFonts w:hint="eastAsia" w:asciiTheme="minorEastAsia" w:hAnsiTheme="minorEastAsia" w:eastAsiaTheme="minorEastAsia" w:cstheme="minorEastAsia"/>
          <w:color w:val="auto"/>
          <w:sz w:val="21"/>
          <w:szCs w:val="21"/>
          <w:highlight w:val="none"/>
        </w:rPr>
        <w:fldChar w:fldCharType="end"/>
      </w:r>
    </w:p>
    <w:p>
      <w:pPr>
        <w:pStyle w:val="34"/>
        <w:tabs>
          <w:tab w:val="right" w:leader="dot" w:pos="10204"/>
        </w:tabs>
        <w:ind w:firstLine="200" w:firstLineChars="100"/>
        <w:rPr>
          <w:rFonts w:asciiTheme="minorEastAsia" w:hAnsiTheme="minorEastAsia" w:eastAsiaTheme="minorEastAsia" w:cstheme="minorEastAsia"/>
          <w:color w:val="auto"/>
          <w:sz w:val="21"/>
          <w:szCs w:val="21"/>
          <w:highlight w:val="none"/>
        </w:rPr>
      </w:pPr>
      <w:r>
        <w:rPr>
          <w:color w:val="auto"/>
          <w:highlight w:val="none"/>
        </w:rPr>
        <w:fldChar w:fldCharType="begin"/>
      </w:r>
      <w:r>
        <w:rPr>
          <w:color w:val="auto"/>
          <w:highlight w:val="none"/>
        </w:rPr>
        <w:instrText xml:space="preserve"> HYPERLINK \l "_Toc1100" </w:instrText>
      </w:r>
      <w:r>
        <w:rPr>
          <w:color w:val="auto"/>
          <w:highlight w:val="none"/>
        </w:rPr>
        <w:fldChar w:fldCharType="separate"/>
      </w:r>
      <w:r>
        <w:rPr>
          <w:rFonts w:hint="eastAsia" w:asciiTheme="minorEastAsia" w:hAnsiTheme="minorEastAsia" w:eastAsiaTheme="minorEastAsia" w:cstheme="minorEastAsia"/>
          <w:color w:val="auto"/>
          <w:sz w:val="21"/>
          <w:szCs w:val="21"/>
          <w:highlight w:val="none"/>
        </w:rPr>
        <w:t>19. 发包人</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PAGEREF _Toc1100 \h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rPr>
        <w:t>104</w:t>
      </w:r>
      <w:r>
        <w:rPr>
          <w:rFonts w:hint="eastAsia" w:asciiTheme="minorEastAsia" w:hAnsiTheme="minorEastAsia" w:eastAsiaTheme="minorEastAsia" w:cstheme="minorEastAsia"/>
          <w:color w:val="auto"/>
          <w:sz w:val="21"/>
          <w:szCs w:val="21"/>
          <w:highlight w:val="none"/>
        </w:rPr>
        <w:fldChar w:fldCharType="end"/>
      </w:r>
      <w:r>
        <w:rPr>
          <w:rFonts w:hint="eastAsia" w:asciiTheme="minorEastAsia" w:hAnsiTheme="minorEastAsia" w:eastAsiaTheme="minorEastAsia" w:cstheme="minorEastAsia"/>
          <w:color w:val="auto"/>
          <w:sz w:val="21"/>
          <w:szCs w:val="21"/>
          <w:highlight w:val="none"/>
        </w:rPr>
        <w:fldChar w:fldCharType="end"/>
      </w:r>
    </w:p>
    <w:p>
      <w:pPr>
        <w:pStyle w:val="34"/>
        <w:tabs>
          <w:tab w:val="right" w:leader="dot" w:pos="10204"/>
        </w:tabs>
        <w:ind w:firstLine="200" w:firstLineChars="100"/>
        <w:rPr>
          <w:rFonts w:asciiTheme="minorEastAsia" w:hAnsiTheme="minorEastAsia" w:eastAsiaTheme="minorEastAsia" w:cstheme="minorEastAsia"/>
          <w:color w:val="auto"/>
          <w:sz w:val="21"/>
          <w:szCs w:val="21"/>
          <w:highlight w:val="none"/>
        </w:rPr>
      </w:pPr>
      <w:r>
        <w:rPr>
          <w:color w:val="auto"/>
          <w:highlight w:val="none"/>
        </w:rPr>
        <w:fldChar w:fldCharType="begin"/>
      </w:r>
      <w:r>
        <w:rPr>
          <w:color w:val="auto"/>
          <w:highlight w:val="none"/>
        </w:rPr>
        <w:instrText xml:space="preserve"> HYPERLINK \l "_Toc13421" </w:instrText>
      </w:r>
      <w:r>
        <w:rPr>
          <w:color w:val="auto"/>
          <w:highlight w:val="none"/>
        </w:rPr>
        <w:fldChar w:fldCharType="separate"/>
      </w:r>
      <w:r>
        <w:rPr>
          <w:rFonts w:hint="eastAsia" w:asciiTheme="minorEastAsia" w:hAnsiTheme="minorEastAsia" w:eastAsiaTheme="minorEastAsia" w:cstheme="minorEastAsia"/>
          <w:color w:val="auto"/>
          <w:sz w:val="21"/>
          <w:szCs w:val="21"/>
          <w:highlight w:val="none"/>
        </w:rPr>
        <w:t>20. 承包人</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PAGEREF _Toc13421 \h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rPr>
        <w:t>105</w:t>
      </w:r>
      <w:r>
        <w:rPr>
          <w:rFonts w:hint="eastAsia" w:asciiTheme="minorEastAsia" w:hAnsiTheme="minorEastAsia" w:eastAsiaTheme="minorEastAsia" w:cstheme="minorEastAsia"/>
          <w:color w:val="auto"/>
          <w:sz w:val="21"/>
          <w:szCs w:val="21"/>
          <w:highlight w:val="none"/>
        </w:rPr>
        <w:fldChar w:fldCharType="end"/>
      </w:r>
      <w:r>
        <w:rPr>
          <w:rFonts w:hint="eastAsia" w:asciiTheme="minorEastAsia" w:hAnsiTheme="minorEastAsia" w:eastAsiaTheme="minorEastAsia" w:cstheme="minorEastAsia"/>
          <w:color w:val="auto"/>
          <w:sz w:val="21"/>
          <w:szCs w:val="21"/>
          <w:highlight w:val="none"/>
        </w:rPr>
        <w:fldChar w:fldCharType="end"/>
      </w:r>
    </w:p>
    <w:p>
      <w:pPr>
        <w:pStyle w:val="34"/>
        <w:tabs>
          <w:tab w:val="right" w:leader="dot" w:pos="10204"/>
        </w:tabs>
        <w:ind w:firstLine="200" w:firstLineChars="100"/>
        <w:rPr>
          <w:rFonts w:asciiTheme="minorEastAsia" w:hAnsiTheme="minorEastAsia" w:eastAsiaTheme="minorEastAsia" w:cstheme="minorEastAsia"/>
          <w:color w:val="auto"/>
          <w:sz w:val="21"/>
          <w:szCs w:val="21"/>
          <w:highlight w:val="none"/>
        </w:rPr>
      </w:pPr>
      <w:r>
        <w:rPr>
          <w:color w:val="auto"/>
          <w:highlight w:val="none"/>
        </w:rPr>
        <w:fldChar w:fldCharType="begin"/>
      </w:r>
      <w:r>
        <w:rPr>
          <w:color w:val="auto"/>
          <w:highlight w:val="none"/>
        </w:rPr>
        <w:instrText xml:space="preserve"> HYPERLINK \l "_Toc9417" </w:instrText>
      </w:r>
      <w:r>
        <w:rPr>
          <w:color w:val="auto"/>
          <w:highlight w:val="none"/>
        </w:rPr>
        <w:fldChar w:fldCharType="separate"/>
      </w:r>
      <w:r>
        <w:rPr>
          <w:rFonts w:hint="eastAsia" w:asciiTheme="minorEastAsia" w:hAnsiTheme="minorEastAsia" w:eastAsiaTheme="minorEastAsia" w:cstheme="minorEastAsia"/>
          <w:color w:val="auto"/>
          <w:sz w:val="21"/>
          <w:szCs w:val="21"/>
          <w:highlight w:val="none"/>
        </w:rPr>
        <w:t>21. 现场管理人员任命和更换</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PAGEREF _Toc9417 \h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rPr>
        <w:t>108</w:t>
      </w:r>
      <w:r>
        <w:rPr>
          <w:rFonts w:hint="eastAsia" w:asciiTheme="minorEastAsia" w:hAnsiTheme="minorEastAsia" w:eastAsiaTheme="minorEastAsia" w:cstheme="minorEastAsia"/>
          <w:color w:val="auto"/>
          <w:sz w:val="21"/>
          <w:szCs w:val="21"/>
          <w:highlight w:val="none"/>
        </w:rPr>
        <w:fldChar w:fldCharType="end"/>
      </w:r>
      <w:r>
        <w:rPr>
          <w:rFonts w:hint="eastAsia" w:asciiTheme="minorEastAsia" w:hAnsiTheme="minorEastAsia" w:eastAsiaTheme="minorEastAsia" w:cstheme="minorEastAsia"/>
          <w:color w:val="auto"/>
          <w:sz w:val="21"/>
          <w:szCs w:val="21"/>
          <w:highlight w:val="none"/>
        </w:rPr>
        <w:fldChar w:fldCharType="end"/>
      </w:r>
    </w:p>
    <w:p>
      <w:pPr>
        <w:pStyle w:val="34"/>
        <w:tabs>
          <w:tab w:val="right" w:leader="dot" w:pos="10204"/>
        </w:tabs>
        <w:ind w:firstLine="200" w:firstLineChars="100"/>
        <w:rPr>
          <w:rFonts w:asciiTheme="minorEastAsia" w:hAnsiTheme="minorEastAsia" w:eastAsiaTheme="minorEastAsia" w:cstheme="minorEastAsia"/>
          <w:color w:val="auto"/>
          <w:sz w:val="21"/>
          <w:szCs w:val="21"/>
          <w:highlight w:val="none"/>
        </w:rPr>
      </w:pPr>
      <w:r>
        <w:rPr>
          <w:color w:val="auto"/>
          <w:highlight w:val="none"/>
        </w:rPr>
        <w:fldChar w:fldCharType="begin"/>
      </w:r>
      <w:r>
        <w:rPr>
          <w:color w:val="auto"/>
          <w:highlight w:val="none"/>
        </w:rPr>
        <w:instrText xml:space="preserve"> HYPERLINK \l "_Toc8108" </w:instrText>
      </w:r>
      <w:r>
        <w:rPr>
          <w:color w:val="auto"/>
          <w:highlight w:val="none"/>
        </w:rPr>
        <w:fldChar w:fldCharType="separate"/>
      </w:r>
      <w:r>
        <w:rPr>
          <w:rFonts w:hint="eastAsia" w:asciiTheme="minorEastAsia" w:hAnsiTheme="minorEastAsia" w:eastAsiaTheme="minorEastAsia" w:cstheme="minorEastAsia"/>
          <w:color w:val="auto"/>
          <w:sz w:val="21"/>
          <w:szCs w:val="21"/>
          <w:highlight w:val="none"/>
        </w:rPr>
        <w:t>22. 发包人代表</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PAGEREF _Toc8108 \h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rPr>
        <w:t>109</w:t>
      </w:r>
      <w:r>
        <w:rPr>
          <w:rFonts w:hint="eastAsia" w:asciiTheme="minorEastAsia" w:hAnsiTheme="minorEastAsia" w:eastAsiaTheme="minorEastAsia" w:cstheme="minorEastAsia"/>
          <w:color w:val="auto"/>
          <w:sz w:val="21"/>
          <w:szCs w:val="21"/>
          <w:highlight w:val="none"/>
        </w:rPr>
        <w:fldChar w:fldCharType="end"/>
      </w:r>
      <w:r>
        <w:rPr>
          <w:rFonts w:hint="eastAsia" w:asciiTheme="minorEastAsia" w:hAnsiTheme="minorEastAsia" w:eastAsiaTheme="minorEastAsia" w:cstheme="minorEastAsia"/>
          <w:color w:val="auto"/>
          <w:sz w:val="21"/>
          <w:szCs w:val="21"/>
          <w:highlight w:val="none"/>
        </w:rPr>
        <w:fldChar w:fldCharType="end"/>
      </w:r>
    </w:p>
    <w:p>
      <w:pPr>
        <w:pStyle w:val="34"/>
        <w:tabs>
          <w:tab w:val="right" w:leader="dot" w:pos="10204"/>
        </w:tabs>
        <w:ind w:firstLine="200" w:firstLineChars="100"/>
        <w:rPr>
          <w:rFonts w:asciiTheme="minorEastAsia" w:hAnsiTheme="minorEastAsia" w:eastAsiaTheme="minorEastAsia" w:cstheme="minorEastAsia"/>
          <w:color w:val="auto"/>
          <w:sz w:val="21"/>
          <w:szCs w:val="21"/>
          <w:highlight w:val="none"/>
        </w:rPr>
      </w:pPr>
      <w:r>
        <w:rPr>
          <w:color w:val="auto"/>
          <w:highlight w:val="none"/>
        </w:rPr>
        <w:fldChar w:fldCharType="begin"/>
      </w:r>
      <w:r>
        <w:rPr>
          <w:color w:val="auto"/>
          <w:highlight w:val="none"/>
        </w:rPr>
        <w:instrText xml:space="preserve"> HYPERLINK \l "_Toc8336" </w:instrText>
      </w:r>
      <w:r>
        <w:rPr>
          <w:color w:val="auto"/>
          <w:highlight w:val="none"/>
        </w:rPr>
        <w:fldChar w:fldCharType="separate"/>
      </w:r>
      <w:r>
        <w:rPr>
          <w:rFonts w:hint="eastAsia" w:asciiTheme="minorEastAsia" w:hAnsiTheme="minorEastAsia" w:eastAsiaTheme="minorEastAsia" w:cstheme="minorEastAsia"/>
          <w:color w:val="auto"/>
          <w:sz w:val="21"/>
          <w:szCs w:val="21"/>
          <w:highlight w:val="none"/>
        </w:rPr>
        <w:t>23. 监理工程师</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PAGEREF _Toc8336 \h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rPr>
        <w:t>110</w:t>
      </w:r>
      <w:r>
        <w:rPr>
          <w:rFonts w:hint="eastAsia" w:asciiTheme="minorEastAsia" w:hAnsiTheme="minorEastAsia" w:eastAsiaTheme="minorEastAsia" w:cstheme="minorEastAsia"/>
          <w:color w:val="auto"/>
          <w:sz w:val="21"/>
          <w:szCs w:val="21"/>
          <w:highlight w:val="none"/>
        </w:rPr>
        <w:fldChar w:fldCharType="end"/>
      </w:r>
      <w:r>
        <w:rPr>
          <w:rFonts w:hint="eastAsia" w:asciiTheme="minorEastAsia" w:hAnsiTheme="minorEastAsia" w:eastAsiaTheme="minorEastAsia" w:cstheme="minorEastAsia"/>
          <w:color w:val="auto"/>
          <w:sz w:val="21"/>
          <w:szCs w:val="21"/>
          <w:highlight w:val="none"/>
        </w:rPr>
        <w:fldChar w:fldCharType="end"/>
      </w:r>
    </w:p>
    <w:p>
      <w:pPr>
        <w:pStyle w:val="34"/>
        <w:tabs>
          <w:tab w:val="right" w:leader="dot" w:pos="10204"/>
        </w:tabs>
        <w:ind w:firstLine="200" w:firstLineChars="100"/>
        <w:rPr>
          <w:rFonts w:asciiTheme="minorEastAsia" w:hAnsiTheme="minorEastAsia" w:eastAsiaTheme="minorEastAsia" w:cstheme="minorEastAsia"/>
          <w:color w:val="auto"/>
          <w:sz w:val="21"/>
          <w:szCs w:val="21"/>
          <w:highlight w:val="none"/>
        </w:rPr>
      </w:pPr>
      <w:r>
        <w:rPr>
          <w:color w:val="auto"/>
          <w:highlight w:val="none"/>
        </w:rPr>
        <w:fldChar w:fldCharType="begin"/>
      </w:r>
      <w:r>
        <w:rPr>
          <w:color w:val="auto"/>
          <w:highlight w:val="none"/>
        </w:rPr>
        <w:instrText xml:space="preserve"> HYPERLINK \l "_Toc2287" </w:instrText>
      </w:r>
      <w:r>
        <w:rPr>
          <w:color w:val="auto"/>
          <w:highlight w:val="none"/>
        </w:rPr>
        <w:fldChar w:fldCharType="separate"/>
      </w:r>
      <w:r>
        <w:rPr>
          <w:rFonts w:hint="eastAsia" w:asciiTheme="minorEastAsia" w:hAnsiTheme="minorEastAsia" w:eastAsiaTheme="minorEastAsia" w:cstheme="minorEastAsia"/>
          <w:color w:val="auto"/>
          <w:sz w:val="21"/>
          <w:szCs w:val="21"/>
          <w:highlight w:val="none"/>
        </w:rPr>
        <w:t>24. 造价工程师</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PAGEREF _Toc2287 \h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rPr>
        <w:t>110</w:t>
      </w:r>
      <w:r>
        <w:rPr>
          <w:rFonts w:hint="eastAsia" w:asciiTheme="minorEastAsia" w:hAnsiTheme="minorEastAsia" w:eastAsiaTheme="minorEastAsia" w:cstheme="minorEastAsia"/>
          <w:color w:val="auto"/>
          <w:sz w:val="21"/>
          <w:szCs w:val="21"/>
          <w:highlight w:val="none"/>
        </w:rPr>
        <w:fldChar w:fldCharType="end"/>
      </w:r>
      <w:r>
        <w:rPr>
          <w:rFonts w:hint="eastAsia" w:asciiTheme="minorEastAsia" w:hAnsiTheme="minorEastAsia" w:eastAsiaTheme="minorEastAsia" w:cstheme="minorEastAsia"/>
          <w:color w:val="auto"/>
          <w:sz w:val="21"/>
          <w:szCs w:val="21"/>
          <w:highlight w:val="none"/>
        </w:rPr>
        <w:fldChar w:fldCharType="end"/>
      </w:r>
    </w:p>
    <w:p>
      <w:pPr>
        <w:pStyle w:val="34"/>
        <w:tabs>
          <w:tab w:val="right" w:leader="dot" w:pos="10204"/>
        </w:tabs>
        <w:ind w:firstLine="200" w:firstLineChars="100"/>
        <w:rPr>
          <w:rFonts w:asciiTheme="minorEastAsia" w:hAnsiTheme="minorEastAsia" w:eastAsiaTheme="minorEastAsia" w:cstheme="minorEastAsia"/>
          <w:color w:val="auto"/>
          <w:sz w:val="21"/>
          <w:szCs w:val="21"/>
          <w:highlight w:val="none"/>
        </w:rPr>
      </w:pPr>
      <w:r>
        <w:rPr>
          <w:color w:val="auto"/>
          <w:highlight w:val="none"/>
        </w:rPr>
        <w:fldChar w:fldCharType="begin"/>
      </w:r>
      <w:r>
        <w:rPr>
          <w:color w:val="auto"/>
          <w:highlight w:val="none"/>
        </w:rPr>
        <w:instrText xml:space="preserve"> HYPERLINK \l "_Toc3998" </w:instrText>
      </w:r>
      <w:r>
        <w:rPr>
          <w:color w:val="auto"/>
          <w:highlight w:val="none"/>
        </w:rPr>
        <w:fldChar w:fldCharType="separate"/>
      </w:r>
      <w:r>
        <w:rPr>
          <w:rFonts w:hint="eastAsia" w:asciiTheme="minorEastAsia" w:hAnsiTheme="minorEastAsia" w:eastAsiaTheme="minorEastAsia" w:cstheme="minorEastAsia"/>
          <w:color w:val="auto"/>
          <w:sz w:val="21"/>
          <w:szCs w:val="21"/>
          <w:highlight w:val="none"/>
        </w:rPr>
        <w:t>25. 承包人代表</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PAGEREF _Toc3998 \h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rPr>
        <w:t>110</w:t>
      </w:r>
      <w:r>
        <w:rPr>
          <w:rFonts w:hint="eastAsia" w:asciiTheme="minorEastAsia" w:hAnsiTheme="minorEastAsia" w:eastAsiaTheme="minorEastAsia" w:cstheme="minorEastAsia"/>
          <w:color w:val="auto"/>
          <w:sz w:val="21"/>
          <w:szCs w:val="21"/>
          <w:highlight w:val="none"/>
        </w:rPr>
        <w:fldChar w:fldCharType="end"/>
      </w:r>
      <w:r>
        <w:rPr>
          <w:rFonts w:hint="eastAsia" w:asciiTheme="minorEastAsia" w:hAnsiTheme="minorEastAsia" w:eastAsiaTheme="minorEastAsia" w:cstheme="minorEastAsia"/>
          <w:color w:val="auto"/>
          <w:sz w:val="21"/>
          <w:szCs w:val="21"/>
          <w:highlight w:val="none"/>
        </w:rPr>
        <w:fldChar w:fldCharType="end"/>
      </w:r>
    </w:p>
    <w:p>
      <w:pPr>
        <w:pStyle w:val="34"/>
        <w:tabs>
          <w:tab w:val="right" w:leader="dot" w:pos="10204"/>
        </w:tabs>
        <w:ind w:firstLine="200" w:firstLineChars="100"/>
        <w:rPr>
          <w:rFonts w:asciiTheme="minorEastAsia" w:hAnsiTheme="minorEastAsia" w:eastAsiaTheme="minorEastAsia" w:cstheme="minorEastAsia"/>
          <w:color w:val="auto"/>
          <w:sz w:val="21"/>
          <w:szCs w:val="21"/>
          <w:highlight w:val="none"/>
        </w:rPr>
      </w:pPr>
      <w:r>
        <w:rPr>
          <w:color w:val="auto"/>
          <w:highlight w:val="none"/>
        </w:rPr>
        <w:fldChar w:fldCharType="begin"/>
      </w:r>
      <w:r>
        <w:rPr>
          <w:color w:val="auto"/>
          <w:highlight w:val="none"/>
        </w:rPr>
        <w:instrText xml:space="preserve"> HYPERLINK \l "_Toc31065" </w:instrText>
      </w:r>
      <w:r>
        <w:rPr>
          <w:color w:val="auto"/>
          <w:highlight w:val="none"/>
        </w:rPr>
        <w:fldChar w:fldCharType="separate"/>
      </w:r>
      <w:r>
        <w:rPr>
          <w:rFonts w:hint="eastAsia" w:asciiTheme="minorEastAsia" w:hAnsiTheme="minorEastAsia" w:eastAsiaTheme="minorEastAsia" w:cstheme="minorEastAsia"/>
          <w:color w:val="auto"/>
          <w:sz w:val="21"/>
          <w:szCs w:val="21"/>
          <w:highlight w:val="none"/>
        </w:rPr>
        <w:t>26. 指定分包人</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PAGEREF _Toc31065 \h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rPr>
        <w:t>110</w:t>
      </w:r>
      <w:r>
        <w:rPr>
          <w:rFonts w:hint="eastAsia" w:asciiTheme="minorEastAsia" w:hAnsiTheme="minorEastAsia" w:eastAsiaTheme="minorEastAsia" w:cstheme="minorEastAsia"/>
          <w:color w:val="auto"/>
          <w:sz w:val="21"/>
          <w:szCs w:val="21"/>
          <w:highlight w:val="none"/>
        </w:rPr>
        <w:fldChar w:fldCharType="end"/>
      </w:r>
      <w:r>
        <w:rPr>
          <w:rFonts w:hint="eastAsia" w:asciiTheme="minorEastAsia" w:hAnsiTheme="minorEastAsia" w:eastAsiaTheme="minorEastAsia" w:cstheme="minorEastAsia"/>
          <w:color w:val="auto"/>
          <w:sz w:val="21"/>
          <w:szCs w:val="21"/>
          <w:highlight w:val="none"/>
        </w:rPr>
        <w:fldChar w:fldCharType="end"/>
      </w:r>
    </w:p>
    <w:p>
      <w:pPr>
        <w:pStyle w:val="34"/>
        <w:tabs>
          <w:tab w:val="right" w:leader="dot" w:pos="10204"/>
        </w:tabs>
        <w:ind w:firstLine="200" w:firstLineChars="100"/>
        <w:rPr>
          <w:rFonts w:asciiTheme="minorEastAsia" w:hAnsiTheme="minorEastAsia" w:eastAsiaTheme="minorEastAsia" w:cstheme="minorEastAsia"/>
          <w:color w:val="auto"/>
          <w:sz w:val="21"/>
          <w:szCs w:val="21"/>
          <w:highlight w:val="none"/>
        </w:rPr>
      </w:pPr>
      <w:r>
        <w:rPr>
          <w:color w:val="auto"/>
          <w:highlight w:val="none"/>
        </w:rPr>
        <w:fldChar w:fldCharType="begin"/>
      </w:r>
      <w:r>
        <w:rPr>
          <w:color w:val="auto"/>
          <w:highlight w:val="none"/>
        </w:rPr>
        <w:instrText xml:space="preserve"> HYPERLINK \l "_Toc19265" </w:instrText>
      </w:r>
      <w:r>
        <w:rPr>
          <w:color w:val="auto"/>
          <w:highlight w:val="none"/>
        </w:rPr>
        <w:fldChar w:fldCharType="separate"/>
      </w:r>
      <w:r>
        <w:rPr>
          <w:rFonts w:hint="eastAsia" w:asciiTheme="minorEastAsia" w:hAnsiTheme="minorEastAsia" w:eastAsiaTheme="minorEastAsia" w:cstheme="minorEastAsia"/>
          <w:color w:val="auto"/>
          <w:sz w:val="21"/>
          <w:szCs w:val="21"/>
          <w:highlight w:val="none"/>
        </w:rPr>
        <w:t>28. 工程担保</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PAGEREF _Toc19265 \h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rPr>
        <w:t>111</w:t>
      </w:r>
      <w:r>
        <w:rPr>
          <w:rFonts w:hint="eastAsia" w:asciiTheme="minorEastAsia" w:hAnsiTheme="minorEastAsia" w:eastAsiaTheme="minorEastAsia" w:cstheme="minorEastAsia"/>
          <w:color w:val="auto"/>
          <w:sz w:val="21"/>
          <w:szCs w:val="21"/>
          <w:highlight w:val="none"/>
        </w:rPr>
        <w:fldChar w:fldCharType="end"/>
      </w:r>
      <w:r>
        <w:rPr>
          <w:rFonts w:hint="eastAsia" w:asciiTheme="minorEastAsia" w:hAnsiTheme="minorEastAsia" w:eastAsiaTheme="minorEastAsia" w:cstheme="minorEastAsia"/>
          <w:color w:val="auto"/>
          <w:sz w:val="21"/>
          <w:szCs w:val="21"/>
          <w:highlight w:val="none"/>
        </w:rPr>
        <w:fldChar w:fldCharType="end"/>
      </w:r>
    </w:p>
    <w:p>
      <w:pPr>
        <w:pStyle w:val="34"/>
        <w:tabs>
          <w:tab w:val="right" w:leader="dot" w:pos="10204"/>
        </w:tabs>
        <w:ind w:firstLine="200" w:firstLineChars="100"/>
        <w:rPr>
          <w:rFonts w:asciiTheme="minorEastAsia" w:hAnsiTheme="minorEastAsia" w:eastAsiaTheme="minorEastAsia" w:cstheme="minorEastAsia"/>
          <w:color w:val="auto"/>
          <w:sz w:val="21"/>
          <w:szCs w:val="21"/>
          <w:highlight w:val="none"/>
        </w:rPr>
      </w:pPr>
      <w:r>
        <w:rPr>
          <w:color w:val="auto"/>
          <w:highlight w:val="none"/>
        </w:rPr>
        <w:fldChar w:fldCharType="begin"/>
      </w:r>
      <w:r>
        <w:rPr>
          <w:color w:val="auto"/>
          <w:highlight w:val="none"/>
        </w:rPr>
        <w:instrText xml:space="preserve"> HYPERLINK \l "_Toc20203" </w:instrText>
      </w:r>
      <w:r>
        <w:rPr>
          <w:color w:val="auto"/>
          <w:highlight w:val="none"/>
        </w:rPr>
        <w:fldChar w:fldCharType="separate"/>
      </w:r>
      <w:r>
        <w:rPr>
          <w:rFonts w:hint="eastAsia" w:asciiTheme="minorEastAsia" w:hAnsiTheme="minorEastAsia" w:eastAsiaTheme="minorEastAsia" w:cstheme="minorEastAsia"/>
          <w:color w:val="auto"/>
          <w:sz w:val="21"/>
          <w:szCs w:val="21"/>
          <w:highlight w:val="none"/>
        </w:rPr>
        <w:t>32. 保险</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PAGEREF _Toc20203 \h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rPr>
        <w:t>111</w:t>
      </w:r>
      <w:r>
        <w:rPr>
          <w:rFonts w:hint="eastAsia" w:asciiTheme="minorEastAsia" w:hAnsiTheme="minorEastAsia" w:eastAsiaTheme="minorEastAsia" w:cstheme="minorEastAsia"/>
          <w:color w:val="auto"/>
          <w:sz w:val="21"/>
          <w:szCs w:val="21"/>
          <w:highlight w:val="none"/>
        </w:rPr>
        <w:fldChar w:fldCharType="end"/>
      </w:r>
      <w:r>
        <w:rPr>
          <w:rFonts w:hint="eastAsia" w:asciiTheme="minorEastAsia" w:hAnsiTheme="minorEastAsia" w:eastAsiaTheme="minorEastAsia" w:cstheme="minorEastAsia"/>
          <w:color w:val="auto"/>
          <w:sz w:val="21"/>
          <w:szCs w:val="21"/>
          <w:highlight w:val="none"/>
        </w:rPr>
        <w:fldChar w:fldCharType="end"/>
      </w:r>
    </w:p>
    <w:p>
      <w:pPr>
        <w:pStyle w:val="34"/>
        <w:tabs>
          <w:tab w:val="right" w:leader="dot" w:pos="10204"/>
        </w:tabs>
        <w:ind w:firstLine="200" w:firstLineChars="100"/>
        <w:rPr>
          <w:rFonts w:asciiTheme="minorEastAsia" w:hAnsiTheme="minorEastAsia" w:eastAsiaTheme="minorEastAsia" w:cstheme="minorEastAsia"/>
          <w:color w:val="auto"/>
          <w:sz w:val="21"/>
          <w:szCs w:val="21"/>
          <w:highlight w:val="none"/>
        </w:rPr>
      </w:pPr>
      <w:r>
        <w:rPr>
          <w:color w:val="auto"/>
          <w:highlight w:val="none"/>
        </w:rPr>
        <w:fldChar w:fldCharType="begin"/>
      </w:r>
      <w:r>
        <w:rPr>
          <w:color w:val="auto"/>
          <w:highlight w:val="none"/>
        </w:rPr>
        <w:instrText xml:space="preserve"> HYPERLINK \l "_Toc9143" </w:instrText>
      </w:r>
      <w:r>
        <w:rPr>
          <w:color w:val="auto"/>
          <w:highlight w:val="none"/>
        </w:rPr>
        <w:fldChar w:fldCharType="separate"/>
      </w:r>
      <w:r>
        <w:rPr>
          <w:rFonts w:hint="eastAsia" w:asciiTheme="minorEastAsia" w:hAnsiTheme="minorEastAsia" w:eastAsiaTheme="minorEastAsia" w:cstheme="minorEastAsia"/>
          <w:color w:val="auto"/>
          <w:sz w:val="21"/>
          <w:szCs w:val="21"/>
          <w:highlight w:val="none"/>
        </w:rPr>
        <w:t>33. 进度计划和报告</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PAGEREF _Toc9143 \h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rPr>
        <w:t>111</w:t>
      </w:r>
      <w:r>
        <w:rPr>
          <w:rFonts w:hint="eastAsia" w:asciiTheme="minorEastAsia" w:hAnsiTheme="minorEastAsia" w:eastAsiaTheme="minorEastAsia" w:cstheme="minorEastAsia"/>
          <w:color w:val="auto"/>
          <w:sz w:val="21"/>
          <w:szCs w:val="21"/>
          <w:highlight w:val="none"/>
        </w:rPr>
        <w:fldChar w:fldCharType="end"/>
      </w:r>
      <w:r>
        <w:rPr>
          <w:rFonts w:hint="eastAsia" w:asciiTheme="minorEastAsia" w:hAnsiTheme="minorEastAsia" w:eastAsiaTheme="minorEastAsia" w:cstheme="minorEastAsia"/>
          <w:color w:val="auto"/>
          <w:sz w:val="21"/>
          <w:szCs w:val="21"/>
          <w:highlight w:val="none"/>
        </w:rPr>
        <w:fldChar w:fldCharType="end"/>
      </w:r>
    </w:p>
    <w:p>
      <w:pPr>
        <w:pStyle w:val="34"/>
        <w:tabs>
          <w:tab w:val="right" w:leader="dot" w:pos="10204"/>
        </w:tabs>
        <w:ind w:firstLine="200" w:firstLineChars="100"/>
        <w:rPr>
          <w:rFonts w:asciiTheme="minorEastAsia" w:hAnsiTheme="minorEastAsia" w:eastAsiaTheme="minorEastAsia" w:cstheme="minorEastAsia"/>
          <w:color w:val="auto"/>
          <w:sz w:val="21"/>
          <w:szCs w:val="21"/>
          <w:highlight w:val="none"/>
        </w:rPr>
      </w:pPr>
      <w:r>
        <w:rPr>
          <w:color w:val="auto"/>
          <w:highlight w:val="none"/>
        </w:rPr>
        <w:fldChar w:fldCharType="begin"/>
      </w:r>
      <w:r>
        <w:rPr>
          <w:color w:val="auto"/>
          <w:highlight w:val="none"/>
        </w:rPr>
        <w:instrText xml:space="preserve"> HYPERLINK \l "_Toc25128" </w:instrText>
      </w:r>
      <w:r>
        <w:rPr>
          <w:color w:val="auto"/>
          <w:highlight w:val="none"/>
        </w:rPr>
        <w:fldChar w:fldCharType="separate"/>
      </w:r>
      <w:r>
        <w:rPr>
          <w:rFonts w:hint="eastAsia" w:asciiTheme="minorEastAsia" w:hAnsiTheme="minorEastAsia" w:eastAsiaTheme="minorEastAsia" w:cstheme="minorEastAsia"/>
          <w:color w:val="auto"/>
          <w:sz w:val="21"/>
          <w:szCs w:val="21"/>
          <w:highlight w:val="none"/>
        </w:rPr>
        <w:t>34. 开工</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PAGEREF _Toc25128 \h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rPr>
        <w:t>111</w:t>
      </w:r>
      <w:r>
        <w:rPr>
          <w:rFonts w:hint="eastAsia" w:asciiTheme="minorEastAsia" w:hAnsiTheme="minorEastAsia" w:eastAsiaTheme="minorEastAsia" w:cstheme="minorEastAsia"/>
          <w:color w:val="auto"/>
          <w:sz w:val="21"/>
          <w:szCs w:val="21"/>
          <w:highlight w:val="none"/>
        </w:rPr>
        <w:fldChar w:fldCharType="end"/>
      </w:r>
      <w:r>
        <w:rPr>
          <w:rFonts w:hint="eastAsia" w:asciiTheme="minorEastAsia" w:hAnsiTheme="minorEastAsia" w:eastAsiaTheme="minorEastAsia" w:cstheme="minorEastAsia"/>
          <w:color w:val="auto"/>
          <w:sz w:val="21"/>
          <w:szCs w:val="21"/>
          <w:highlight w:val="none"/>
        </w:rPr>
        <w:fldChar w:fldCharType="end"/>
      </w:r>
    </w:p>
    <w:p>
      <w:pPr>
        <w:pStyle w:val="34"/>
        <w:tabs>
          <w:tab w:val="right" w:leader="dot" w:pos="10204"/>
        </w:tabs>
        <w:ind w:firstLine="200" w:firstLineChars="100"/>
        <w:rPr>
          <w:rFonts w:asciiTheme="minorEastAsia" w:hAnsiTheme="minorEastAsia" w:eastAsiaTheme="minorEastAsia" w:cstheme="minorEastAsia"/>
          <w:color w:val="auto"/>
          <w:sz w:val="21"/>
          <w:szCs w:val="21"/>
          <w:highlight w:val="none"/>
        </w:rPr>
      </w:pPr>
      <w:r>
        <w:rPr>
          <w:color w:val="auto"/>
          <w:highlight w:val="none"/>
        </w:rPr>
        <w:fldChar w:fldCharType="begin"/>
      </w:r>
      <w:r>
        <w:rPr>
          <w:color w:val="auto"/>
          <w:highlight w:val="none"/>
        </w:rPr>
        <w:instrText xml:space="preserve"> HYPERLINK \l "_Toc7112" </w:instrText>
      </w:r>
      <w:r>
        <w:rPr>
          <w:color w:val="auto"/>
          <w:highlight w:val="none"/>
        </w:rPr>
        <w:fldChar w:fldCharType="separate"/>
      </w:r>
      <w:r>
        <w:rPr>
          <w:rFonts w:hint="eastAsia" w:asciiTheme="minorEastAsia" w:hAnsiTheme="minorEastAsia" w:eastAsiaTheme="minorEastAsia" w:cstheme="minorEastAsia"/>
          <w:color w:val="auto"/>
          <w:sz w:val="21"/>
          <w:szCs w:val="21"/>
          <w:highlight w:val="none"/>
        </w:rPr>
        <w:t>35.暂停施工和复工</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PAGEREF _Toc7112 \h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rPr>
        <w:t>111</w:t>
      </w:r>
      <w:r>
        <w:rPr>
          <w:rFonts w:hint="eastAsia" w:asciiTheme="minorEastAsia" w:hAnsiTheme="minorEastAsia" w:eastAsiaTheme="minorEastAsia" w:cstheme="minorEastAsia"/>
          <w:color w:val="auto"/>
          <w:sz w:val="21"/>
          <w:szCs w:val="21"/>
          <w:highlight w:val="none"/>
        </w:rPr>
        <w:fldChar w:fldCharType="end"/>
      </w:r>
      <w:r>
        <w:rPr>
          <w:rFonts w:hint="eastAsia" w:asciiTheme="minorEastAsia" w:hAnsiTheme="minorEastAsia" w:eastAsiaTheme="minorEastAsia" w:cstheme="minorEastAsia"/>
          <w:color w:val="auto"/>
          <w:sz w:val="21"/>
          <w:szCs w:val="21"/>
          <w:highlight w:val="none"/>
        </w:rPr>
        <w:fldChar w:fldCharType="end"/>
      </w:r>
    </w:p>
    <w:p>
      <w:pPr>
        <w:pStyle w:val="34"/>
        <w:tabs>
          <w:tab w:val="right" w:leader="dot" w:pos="10204"/>
        </w:tabs>
        <w:ind w:firstLine="200" w:firstLineChars="100"/>
        <w:rPr>
          <w:rFonts w:asciiTheme="minorEastAsia" w:hAnsiTheme="minorEastAsia" w:eastAsiaTheme="minorEastAsia" w:cstheme="minorEastAsia"/>
          <w:color w:val="auto"/>
          <w:sz w:val="21"/>
          <w:szCs w:val="21"/>
          <w:highlight w:val="none"/>
        </w:rPr>
      </w:pPr>
      <w:r>
        <w:rPr>
          <w:color w:val="auto"/>
          <w:highlight w:val="none"/>
        </w:rPr>
        <w:fldChar w:fldCharType="begin"/>
      </w:r>
      <w:r>
        <w:rPr>
          <w:color w:val="auto"/>
          <w:highlight w:val="none"/>
        </w:rPr>
        <w:instrText xml:space="preserve"> HYPERLINK \l "_Toc8779" </w:instrText>
      </w:r>
      <w:r>
        <w:rPr>
          <w:color w:val="auto"/>
          <w:highlight w:val="none"/>
        </w:rPr>
        <w:fldChar w:fldCharType="separate"/>
      </w:r>
      <w:r>
        <w:rPr>
          <w:rFonts w:hint="eastAsia" w:asciiTheme="minorEastAsia" w:hAnsiTheme="minorEastAsia" w:eastAsiaTheme="minorEastAsia" w:cstheme="minorEastAsia"/>
          <w:color w:val="auto"/>
          <w:sz w:val="21"/>
          <w:szCs w:val="21"/>
          <w:highlight w:val="none"/>
        </w:rPr>
        <w:t>36. 工期及工期延误</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PAGEREF _Toc8779 \h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rPr>
        <w:t>112</w:t>
      </w:r>
      <w:r>
        <w:rPr>
          <w:rFonts w:hint="eastAsia" w:asciiTheme="minorEastAsia" w:hAnsiTheme="minorEastAsia" w:eastAsiaTheme="minorEastAsia" w:cstheme="minorEastAsia"/>
          <w:color w:val="auto"/>
          <w:sz w:val="21"/>
          <w:szCs w:val="21"/>
          <w:highlight w:val="none"/>
        </w:rPr>
        <w:fldChar w:fldCharType="end"/>
      </w:r>
      <w:r>
        <w:rPr>
          <w:rFonts w:hint="eastAsia" w:asciiTheme="minorEastAsia" w:hAnsiTheme="minorEastAsia" w:eastAsiaTheme="minorEastAsia" w:cstheme="minorEastAsia"/>
          <w:color w:val="auto"/>
          <w:sz w:val="21"/>
          <w:szCs w:val="21"/>
          <w:highlight w:val="none"/>
        </w:rPr>
        <w:fldChar w:fldCharType="end"/>
      </w:r>
    </w:p>
    <w:p>
      <w:pPr>
        <w:pStyle w:val="34"/>
        <w:tabs>
          <w:tab w:val="right" w:leader="dot" w:pos="10204"/>
        </w:tabs>
        <w:ind w:firstLine="200" w:firstLineChars="100"/>
        <w:rPr>
          <w:rFonts w:asciiTheme="minorEastAsia" w:hAnsiTheme="minorEastAsia" w:eastAsiaTheme="minorEastAsia" w:cstheme="minorEastAsia"/>
          <w:color w:val="auto"/>
          <w:sz w:val="21"/>
          <w:szCs w:val="21"/>
          <w:highlight w:val="none"/>
        </w:rPr>
      </w:pPr>
      <w:r>
        <w:rPr>
          <w:color w:val="auto"/>
          <w:highlight w:val="none"/>
        </w:rPr>
        <w:fldChar w:fldCharType="begin"/>
      </w:r>
      <w:r>
        <w:rPr>
          <w:color w:val="auto"/>
          <w:highlight w:val="none"/>
        </w:rPr>
        <w:instrText xml:space="preserve"> HYPERLINK \l "_Toc4227" </w:instrText>
      </w:r>
      <w:r>
        <w:rPr>
          <w:color w:val="auto"/>
          <w:highlight w:val="none"/>
        </w:rPr>
        <w:fldChar w:fldCharType="separate"/>
      </w:r>
      <w:r>
        <w:rPr>
          <w:rFonts w:hint="eastAsia" w:asciiTheme="minorEastAsia" w:hAnsiTheme="minorEastAsia" w:eastAsiaTheme="minorEastAsia" w:cstheme="minorEastAsia"/>
          <w:color w:val="auto"/>
          <w:sz w:val="21"/>
          <w:szCs w:val="21"/>
          <w:highlight w:val="none"/>
        </w:rPr>
        <w:t>38. 竣工日期</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PAGEREF _Toc4227 \h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rPr>
        <w:t>112</w:t>
      </w:r>
      <w:r>
        <w:rPr>
          <w:rFonts w:hint="eastAsia" w:asciiTheme="minorEastAsia" w:hAnsiTheme="minorEastAsia" w:eastAsiaTheme="minorEastAsia" w:cstheme="minorEastAsia"/>
          <w:color w:val="auto"/>
          <w:sz w:val="21"/>
          <w:szCs w:val="21"/>
          <w:highlight w:val="none"/>
        </w:rPr>
        <w:fldChar w:fldCharType="end"/>
      </w:r>
      <w:r>
        <w:rPr>
          <w:rFonts w:hint="eastAsia" w:asciiTheme="minorEastAsia" w:hAnsiTheme="minorEastAsia" w:eastAsiaTheme="minorEastAsia" w:cstheme="minorEastAsia"/>
          <w:color w:val="auto"/>
          <w:sz w:val="21"/>
          <w:szCs w:val="21"/>
          <w:highlight w:val="none"/>
        </w:rPr>
        <w:fldChar w:fldCharType="end"/>
      </w:r>
    </w:p>
    <w:p>
      <w:pPr>
        <w:pStyle w:val="34"/>
        <w:tabs>
          <w:tab w:val="right" w:leader="dot" w:pos="10204"/>
        </w:tabs>
        <w:ind w:firstLine="200" w:firstLineChars="100"/>
        <w:rPr>
          <w:rFonts w:asciiTheme="minorEastAsia" w:hAnsiTheme="minorEastAsia" w:eastAsiaTheme="minorEastAsia" w:cstheme="minorEastAsia"/>
          <w:color w:val="auto"/>
          <w:sz w:val="21"/>
          <w:szCs w:val="21"/>
          <w:highlight w:val="none"/>
        </w:rPr>
      </w:pPr>
      <w:r>
        <w:rPr>
          <w:color w:val="auto"/>
          <w:highlight w:val="none"/>
        </w:rPr>
        <w:fldChar w:fldCharType="begin"/>
      </w:r>
      <w:r>
        <w:rPr>
          <w:color w:val="auto"/>
          <w:highlight w:val="none"/>
        </w:rPr>
        <w:instrText xml:space="preserve"> HYPERLINK \l "_Toc16564" </w:instrText>
      </w:r>
      <w:r>
        <w:rPr>
          <w:color w:val="auto"/>
          <w:highlight w:val="none"/>
        </w:rPr>
        <w:fldChar w:fldCharType="separate"/>
      </w:r>
      <w:r>
        <w:rPr>
          <w:rFonts w:hint="eastAsia" w:asciiTheme="minorEastAsia" w:hAnsiTheme="minorEastAsia" w:eastAsiaTheme="minorEastAsia" w:cstheme="minorEastAsia"/>
          <w:color w:val="auto"/>
          <w:sz w:val="21"/>
          <w:szCs w:val="21"/>
          <w:highlight w:val="none"/>
        </w:rPr>
        <w:t>★42. 质量标准、目标</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PAGEREF _Toc16564 \h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rPr>
        <w:t>112</w:t>
      </w:r>
      <w:r>
        <w:rPr>
          <w:rFonts w:hint="eastAsia" w:asciiTheme="minorEastAsia" w:hAnsiTheme="minorEastAsia" w:eastAsiaTheme="minorEastAsia" w:cstheme="minorEastAsia"/>
          <w:color w:val="auto"/>
          <w:sz w:val="21"/>
          <w:szCs w:val="21"/>
          <w:highlight w:val="none"/>
        </w:rPr>
        <w:fldChar w:fldCharType="end"/>
      </w:r>
      <w:r>
        <w:rPr>
          <w:rFonts w:hint="eastAsia" w:asciiTheme="minorEastAsia" w:hAnsiTheme="minorEastAsia" w:eastAsiaTheme="minorEastAsia" w:cstheme="minorEastAsia"/>
          <w:color w:val="auto"/>
          <w:sz w:val="21"/>
          <w:szCs w:val="21"/>
          <w:highlight w:val="none"/>
        </w:rPr>
        <w:fldChar w:fldCharType="end"/>
      </w:r>
    </w:p>
    <w:p>
      <w:pPr>
        <w:pStyle w:val="34"/>
        <w:tabs>
          <w:tab w:val="right" w:leader="dot" w:pos="10204"/>
        </w:tabs>
        <w:ind w:firstLine="200" w:firstLineChars="100"/>
        <w:rPr>
          <w:rFonts w:asciiTheme="minorEastAsia" w:hAnsiTheme="minorEastAsia" w:eastAsiaTheme="minorEastAsia" w:cstheme="minorEastAsia"/>
          <w:color w:val="auto"/>
          <w:sz w:val="21"/>
          <w:szCs w:val="21"/>
          <w:highlight w:val="none"/>
        </w:rPr>
      </w:pPr>
      <w:r>
        <w:rPr>
          <w:color w:val="auto"/>
          <w:highlight w:val="none"/>
        </w:rPr>
        <w:fldChar w:fldCharType="begin"/>
      </w:r>
      <w:r>
        <w:rPr>
          <w:color w:val="auto"/>
          <w:highlight w:val="none"/>
        </w:rPr>
        <w:instrText xml:space="preserve"> HYPERLINK \l "_Toc17477" </w:instrText>
      </w:r>
      <w:r>
        <w:rPr>
          <w:color w:val="auto"/>
          <w:highlight w:val="none"/>
        </w:rPr>
        <w:fldChar w:fldCharType="separate"/>
      </w:r>
      <w:r>
        <w:rPr>
          <w:rFonts w:hint="eastAsia" w:asciiTheme="minorEastAsia" w:hAnsiTheme="minorEastAsia" w:eastAsiaTheme="minorEastAsia" w:cstheme="minorEastAsia"/>
          <w:color w:val="auto"/>
          <w:sz w:val="21"/>
          <w:szCs w:val="21"/>
          <w:highlight w:val="none"/>
        </w:rPr>
        <w:t>★45. 绿色施工安全防护</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PAGEREF _Toc17477 \h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rPr>
        <w:t>113</w:t>
      </w:r>
      <w:r>
        <w:rPr>
          <w:rFonts w:hint="eastAsia" w:asciiTheme="minorEastAsia" w:hAnsiTheme="minorEastAsia" w:eastAsiaTheme="minorEastAsia" w:cstheme="minorEastAsia"/>
          <w:color w:val="auto"/>
          <w:sz w:val="21"/>
          <w:szCs w:val="21"/>
          <w:highlight w:val="none"/>
        </w:rPr>
        <w:fldChar w:fldCharType="end"/>
      </w:r>
      <w:r>
        <w:rPr>
          <w:rFonts w:hint="eastAsia" w:asciiTheme="minorEastAsia" w:hAnsiTheme="minorEastAsia" w:eastAsiaTheme="minorEastAsia" w:cstheme="minorEastAsia"/>
          <w:color w:val="auto"/>
          <w:sz w:val="21"/>
          <w:szCs w:val="21"/>
          <w:highlight w:val="none"/>
        </w:rPr>
        <w:fldChar w:fldCharType="end"/>
      </w:r>
    </w:p>
    <w:p>
      <w:pPr>
        <w:pStyle w:val="34"/>
        <w:tabs>
          <w:tab w:val="right" w:leader="dot" w:pos="10204"/>
        </w:tabs>
        <w:ind w:firstLine="200" w:firstLineChars="100"/>
        <w:rPr>
          <w:rFonts w:asciiTheme="minorEastAsia" w:hAnsiTheme="minorEastAsia" w:eastAsiaTheme="minorEastAsia" w:cstheme="minorEastAsia"/>
          <w:color w:val="auto"/>
          <w:sz w:val="21"/>
          <w:szCs w:val="21"/>
          <w:highlight w:val="none"/>
        </w:rPr>
      </w:pPr>
      <w:r>
        <w:rPr>
          <w:color w:val="auto"/>
          <w:highlight w:val="none"/>
        </w:rPr>
        <w:fldChar w:fldCharType="begin"/>
      </w:r>
      <w:r>
        <w:rPr>
          <w:color w:val="auto"/>
          <w:highlight w:val="none"/>
        </w:rPr>
        <w:instrText xml:space="preserve"> HYPERLINK \l "_Toc12054" </w:instrText>
      </w:r>
      <w:r>
        <w:rPr>
          <w:color w:val="auto"/>
          <w:highlight w:val="none"/>
        </w:rPr>
        <w:fldChar w:fldCharType="separate"/>
      </w:r>
      <w:r>
        <w:rPr>
          <w:rFonts w:hint="eastAsia" w:asciiTheme="minorEastAsia" w:hAnsiTheme="minorEastAsia" w:eastAsiaTheme="minorEastAsia" w:cstheme="minorEastAsia"/>
          <w:color w:val="auto"/>
          <w:sz w:val="21"/>
          <w:szCs w:val="21"/>
          <w:highlight w:val="none"/>
        </w:rPr>
        <w:t>46. 测量放线</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PAGEREF _Toc12054 \h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rPr>
        <w:t>113</w:t>
      </w:r>
      <w:r>
        <w:rPr>
          <w:rFonts w:hint="eastAsia" w:asciiTheme="minorEastAsia" w:hAnsiTheme="minorEastAsia" w:eastAsiaTheme="minorEastAsia" w:cstheme="minorEastAsia"/>
          <w:color w:val="auto"/>
          <w:sz w:val="21"/>
          <w:szCs w:val="21"/>
          <w:highlight w:val="none"/>
        </w:rPr>
        <w:fldChar w:fldCharType="end"/>
      </w:r>
      <w:r>
        <w:rPr>
          <w:rFonts w:hint="eastAsia" w:asciiTheme="minorEastAsia" w:hAnsiTheme="minorEastAsia" w:eastAsiaTheme="minorEastAsia" w:cstheme="minorEastAsia"/>
          <w:color w:val="auto"/>
          <w:sz w:val="21"/>
          <w:szCs w:val="21"/>
          <w:highlight w:val="none"/>
        </w:rPr>
        <w:fldChar w:fldCharType="end"/>
      </w:r>
    </w:p>
    <w:p>
      <w:pPr>
        <w:pStyle w:val="34"/>
        <w:tabs>
          <w:tab w:val="right" w:leader="dot" w:pos="10204"/>
        </w:tabs>
        <w:ind w:firstLine="200" w:firstLineChars="100"/>
        <w:rPr>
          <w:rFonts w:asciiTheme="minorEastAsia" w:hAnsiTheme="minorEastAsia" w:eastAsiaTheme="minorEastAsia" w:cstheme="minorEastAsia"/>
          <w:color w:val="auto"/>
          <w:sz w:val="21"/>
          <w:szCs w:val="21"/>
          <w:highlight w:val="none"/>
        </w:rPr>
      </w:pPr>
      <w:r>
        <w:rPr>
          <w:color w:val="auto"/>
          <w:highlight w:val="none"/>
        </w:rPr>
        <w:fldChar w:fldCharType="begin"/>
      </w:r>
      <w:r>
        <w:rPr>
          <w:color w:val="auto"/>
          <w:highlight w:val="none"/>
        </w:rPr>
        <w:instrText xml:space="preserve"> HYPERLINK \l "_Toc14404" </w:instrText>
      </w:r>
      <w:r>
        <w:rPr>
          <w:color w:val="auto"/>
          <w:highlight w:val="none"/>
        </w:rPr>
        <w:fldChar w:fldCharType="separate"/>
      </w:r>
      <w:r>
        <w:rPr>
          <w:rFonts w:hint="eastAsia" w:asciiTheme="minorEastAsia" w:hAnsiTheme="minorEastAsia" w:eastAsiaTheme="minorEastAsia" w:cstheme="minorEastAsia"/>
          <w:color w:val="auto"/>
          <w:sz w:val="21"/>
          <w:szCs w:val="21"/>
          <w:highlight w:val="none"/>
        </w:rPr>
        <w:t>48.发包人供应材料和工程设备</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PAGEREF _Toc14404 \h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rPr>
        <w:t>114</w:t>
      </w:r>
      <w:r>
        <w:rPr>
          <w:rFonts w:hint="eastAsia" w:asciiTheme="minorEastAsia" w:hAnsiTheme="minorEastAsia" w:eastAsiaTheme="minorEastAsia" w:cstheme="minorEastAsia"/>
          <w:color w:val="auto"/>
          <w:sz w:val="21"/>
          <w:szCs w:val="21"/>
          <w:highlight w:val="none"/>
        </w:rPr>
        <w:fldChar w:fldCharType="end"/>
      </w:r>
      <w:r>
        <w:rPr>
          <w:rFonts w:hint="eastAsia" w:asciiTheme="minorEastAsia" w:hAnsiTheme="minorEastAsia" w:eastAsiaTheme="minorEastAsia" w:cstheme="minorEastAsia"/>
          <w:color w:val="auto"/>
          <w:sz w:val="21"/>
          <w:szCs w:val="21"/>
          <w:highlight w:val="none"/>
        </w:rPr>
        <w:fldChar w:fldCharType="end"/>
      </w:r>
    </w:p>
    <w:p>
      <w:pPr>
        <w:pStyle w:val="34"/>
        <w:tabs>
          <w:tab w:val="right" w:leader="dot" w:pos="10204"/>
        </w:tabs>
        <w:ind w:firstLine="200" w:firstLineChars="100"/>
        <w:rPr>
          <w:rFonts w:asciiTheme="minorEastAsia" w:hAnsiTheme="minorEastAsia" w:eastAsiaTheme="minorEastAsia" w:cstheme="minorEastAsia"/>
          <w:color w:val="auto"/>
          <w:sz w:val="21"/>
          <w:szCs w:val="21"/>
          <w:highlight w:val="none"/>
        </w:rPr>
      </w:pPr>
      <w:r>
        <w:rPr>
          <w:color w:val="auto"/>
          <w:highlight w:val="none"/>
        </w:rPr>
        <w:fldChar w:fldCharType="begin"/>
      </w:r>
      <w:r>
        <w:rPr>
          <w:color w:val="auto"/>
          <w:highlight w:val="none"/>
        </w:rPr>
        <w:instrText xml:space="preserve"> HYPERLINK \l "_Toc327" </w:instrText>
      </w:r>
      <w:r>
        <w:rPr>
          <w:color w:val="auto"/>
          <w:highlight w:val="none"/>
        </w:rPr>
        <w:fldChar w:fldCharType="separate"/>
      </w:r>
      <w:r>
        <w:rPr>
          <w:rFonts w:hint="eastAsia" w:asciiTheme="minorEastAsia" w:hAnsiTheme="minorEastAsia" w:eastAsiaTheme="minorEastAsia" w:cstheme="minorEastAsia"/>
          <w:color w:val="auto"/>
          <w:sz w:val="21"/>
          <w:szCs w:val="21"/>
          <w:highlight w:val="none"/>
        </w:rPr>
        <w:t>49. 承包人采购材料和工程设备</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PAGEREF _Toc327 \h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rPr>
        <w:t>114</w:t>
      </w:r>
      <w:r>
        <w:rPr>
          <w:rFonts w:hint="eastAsia" w:asciiTheme="minorEastAsia" w:hAnsiTheme="minorEastAsia" w:eastAsiaTheme="minorEastAsia" w:cstheme="minorEastAsia"/>
          <w:color w:val="auto"/>
          <w:sz w:val="21"/>
          <w:szCs w:val="21"/>
          <w:highlight w:val="none"/>
        </w:rPr>
        <w:fldChar w:fldCharType="end"/>
      </w:r>
      <w:r>
        <w:rPr>
          <w:rFonts w:hint="eastAsia" w:asciiTheme="minorEastAsia" w:hAnsiTheme="minorEastAsia" w:eastAsiaTheme="minorEastAsia" w:cstheme="minorEastAsia"/>
          <w:color w:val="auto"/>
          <w:sz w:val="21"/>
          <w:szCs w:val="21"/>
          <w:highlight w:val="none"/>
        </w:rPr>
        <w:fldChar w:fldCharType="end"/>
      </w:r>
    </w:p>
    <w:p>
      <w:pPr>
        <w:pStyle w:val="34"/>
        <w:tabs>
          <w:tab w:val="right" w:leader="dot" w:pos="10204"/>
        </w:tabs>
        <w:ind w:firstLine="200" w:firstLineChars="100"/>
        <w:rPr>
          <w:rFonts w:asciiTheme="minorEastAsia" w:hAnsiTheme="minorEastAsia" w:eastAsiaTheme="minorEastAsia" w:cstheme="minorEastAsia"/>
          <w:color w:val="auto"/>
          <w:sz w:val="21"/>
          <w:szCs w:val="21"/>
          <w:highlight w:val="none"/>
        </w:rPr>
      </w:pPr>
      <w:r>
        <w:rPr>
          <w:color w:val="auto"/>
          <w:highlight w:val="none"/>
        </w:rPr>
        <w:fldChar w:fldCharType="begin"/>
      </w:r>
      <w:r>
        <w:rPr>
          <w:color w:val="auto"/>
          <w:highlight w:val="none"/>
        </w:rPr>
        <w:instrText xml:space="preserve"> HYPERLINK \l "_Toc29773" </w:instrText>
      </w:r>
      <w:r>
        <w:rPr>
          <w:color w:val="auto"/>
          <w:highlight w:val="none"/>
        </w:rPr>
        <w:fldChar w:fldCharType="separate"/>
      </w:r>
      <w:r>
        <w:rPr>
          <w:rFonts w:hint="eastAsia" w:asciiTheme="minorEastAsia" w:hAnsiTheme="minorEastAsia" w:eastAsiaTheme="minorEastAsia" w:cstheme="minorEastAsia"/>
          <w:color w:val="auto"/>
          <w:sz w:val="21"/>
          <w:szCs w:val="21"/>
          <w:highlight w:val="none"/>
        </w:rPr>
        <w:t>50. 材料和工程设备的检验试验</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PAGEREF _Toc29773 \h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rPr>
        <w:t>114</w:t>
      </w:r>
      <w:r>
        <w:rPr>
          <w:rFonts w:hint="eastAsia" w:asciiTheme="minorEastAsia" w:hAnsiTheme="minorEastAsia" w:eastAsiaTheme="minorEastAsia" w:cstheme="minorEastAsia"/>
          <w:color w:val="auto"/>
          <w:sz w:val="21"/>
          <w:szCs w:val="21"/>
          <w:highlight w:val="none"/>
        </w:rPr>
        <w:fldChar w:fldCharType="end"/>
      </w:r>
      <w:r>
        <w:rPr>
          <w:rFonts w:hint="eastAsia" w:asciiTheme="minorEastAsia" w:hAnsiTheme="minorEastAsia" w:eastAsiaTheme="minorEastAsia" w:cstheme="minorEastAsia"/>
          <w:color w:val="auto"/>
          <w:sz w:val="21"/>
          <w:szCs w:val="21"/>
          <w:highlight w:val="none"/>
        </w:rPr>
        <w:fldChar w:fldCharType="end"/>
      </w:r>
    </w:p>
    <w:p>
      <w:pPr>
        <w:pStyle w:val="34"/>
        <w:tabs>
          <w:tab w:val="right" w:leader="dot" w:pos="10204"/>
        </w:tabs>
        <w:ind w:firstLine="200" w:firstLineChars="100"/>
        <w:rPr>
          <w:rFonts w:asciiTheme="minorEastAsia" w:hAnsiTheme="minorEastAsia" w:eastAsiaTheme="minorEastAsia" w:cstheme="minorEastAsia"/>
          <w:color w:val="auto"/>
          <w:sz w:val="21"/>
          <w:szCs w:val="21"/>
          <w:highlight w:val="none"/>
        </w:rPr>
      </w:pPr>
      <w:r>
        <w:rPr>
          <w:color w:val="auto"/>
          <w:highlight w:val="none"/>
        </w:rPr>
        <w:fldChar w:fldCharType="begin"/>
      </w:r>
      <w:r>
        <w:rPr>
          <w:color w:val="auto"/>
          <w:highlight w:val="none"/>
        </w:rPr>
        <w:instrText xml:space="preserve"> HYPERLINK \l "_Toc32255" </w:instrText>
      </w:r>
      <w:r>
        <w:rPr>
          <w:color w:val="auto"/>
          <w:highlight w:val="none"/>
        </w:rPr>
        <w:fldChar w:fldCharType="separate"/>
      </w:r>
      <w:r>
        <w:rPr>
          <w:rFonts w:hint="eastAsia" w:asciiTheme="minorEastAsia" w:hAnsiTheme="minorEastAsia" w:eastAsiaTheme="minorEastAsia" w:cstheme="minorEastAsia"/>
          <w:color w:val="auto"/>
          <w:sz w:val="21"/>
          <w:szCs w:val="21"/>
          <w:highlight w:val="none"/>
        </w:rPr>
        <w:t>51. 施工设备和临时设施</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PAGEREF _Toc32255 \h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rPr>
        <w:t>114</w:t>
      </w:r>
      <w:r>
        <w:rPr>
          <w:rFonts w:hint="eastAsia" w:asciiTheme="minorEastAsia" w:hAnsiTheme="minorEastAsia" w:eastAsiaTheme="minorEastAsia" w:cstheme="minorEastAsia"/>
          <w:color w:val="auto"/>
          <w:sz w:val="21"/>
          <w:szCs w:val="21"/>
          <w:highlight w:val="none"/>
        </w:rPr>
        <w:fldChar w:fldCharType="end"/>
      </w:r>
      <w:r>
        <w:rPr>
          <w:rFonts w:hint="eastAsia" w:asciiTheme="minorEastAsia" w:hAnsiTheme="minorEastAsia" w:eastAsiaTheme="minorEastAsia" w:cstheme="minorEastAsia"/>
          <w:color w:val="auto"/>
          <w:sz w:val="21"/>
          <w:szCs w:val="21"/>
          <w:highlight w:val="none"/>
        </w:rPr>
        <w:fldChar w:fldCharType="end"/>
      </w:r>
    </w:p>
    <w:p>
      <w:pPr>
        <w:pStyle w:val="34"/>
        <w:tabs>
          <w:tab w:val="right" w:leader="dot" w:pos="10204"/>
        </w:tabs>
        <w:ind w:firstLine="200" w:firstLineChars="100"/>
        <w:rPr>
          <w:rFonts w:asciiTheme="minorEastAsia" w:hAnsiTheme="minorEastAsia" w:eastAsiaTheme="minorEastAsia" w:cstheme="minorEastAsia"/>
          <w:color w:val="auto"/>
          <w:sz w:val="21"/>
          <w:szCs w:val="21"/>
          <w:highlight w:val="none"/>
        </w:rPr>
      </w:pPr>
      <w:r>
        <w:rPr>
          <w:color w:val="auto"/>
          <w:highlight w:val="none"/>
        </w:rPr>
        <w:fldChar w:fldCharType="begin"/>
      </w:r>
      <w:r>
        <w:rPr>
          <w:color w:val="auto"/>
          <w:highlight w:val="none"/>
        </w:rPr>
        <w:instrText xml:space="preserve"> HYPERLINK \l "_Toc4554" </w:instrText>
      </w:r>
      <w:r>
        <w:rPr>
          <w:color w:val="auto"/>
          <w:highlight w:val="none"/>
        </w:rPr>
        <w:fldChar w:fldCharType="separate"/>
      </w:r>
      <w:r>
        <w:rPr>
          <w:rFonts w:hint="eastAsia" w:asciiTheme="minorEastAsia" w:hAnsiTheme="minorEastAsia" w:eastAsiaTheme="minorEastAsia" w:cstheme="minorEastAsia"/>
          <w:color w:val="auto"/>
          <w:sz w:val="21"/>
          <w:szCs w:val="21"/>
          <w:highlight w:val="none"/>
        </w:rPr>
        <w:t>53. 隐蔽工程和中间验收</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PAGEREF _Toc4554 \h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rPr>
        <w:t>115</w:t>
      </w:r>
      <w:r>
        <w:rPr>
          <w:rFonts w:hint="eastAsia" w:asciiTheme="minorEastAsia" w:hAnsiTheme="minorEastAsia" w:eastAsiaTheme="minorEastAsia" w:cstheme="minorEastAsia"/>
          <w:color w:val="auto"/>
          <w:sz w:val="21"/>
          <w:szCs w:val="21"/>
          <w:highlight w:val="none"/>
        </w:rPr>
        <w:fldChar w:fldCharType="end"/>
      </w:r>
      <w:r>
        <w:rPr>
          <w:rFonts w:hint="eastAsia" w:asciiTheme="minorEastAsia" w:hAnsiTheme="minorEastAsia" w:eastAsiaTheme="minorEastAsia" w:cstheme="minorEastAsia"/>
          <w:color w:val="auto"/>
          <w:sz w:val="21"/>
          <w:szCs w:val="21"/>
          <w:highlight w:val="none"/>
        </w:rPr>
        <w:fldChar w:fldCharType="end"/>
      </w:r>
    </w:p>
    <w:p>
      <w:pPr>
        <w:pStyle w:val="34"/>
        <w:tabs>
          <w:tab w:val="right" w:leader="dot" w:pos="10204"/>
        </w:tabs>
        <w:ind w:firstLine="200" w:firstLineChars="100"/>
        <w:rPr>
          <w:rFonts w:asciiTheme="minorEastAsia" w:hAnsiTheme="minorEastAsia" w:eastAsiaTheme="minorEastAsia" w:cstheme="minorEastAsia"/>
          <w:color w:val="auto"/>
          <w:sz w:val="21"/>
          <w:szCs w:val="21"/>
          <w:highlight w:val="none"/>
        </w:rPr>
      </w:pPr>
      <w:r>
        <w:rPr>
          <w:color w:val="auto"/>
          <w:highlight w:val="none"/>
        </w:rPr>
        <w:fldChar w:fldCharType="begin"/>
      </w:r>
      <w:r>
        <w:rPr>
          <w:color w:val="auto"/>
          <w:highlight w:val="none"/>
        </w:rPr>
        <w:instrText xml:space="preserve"> HYPERLINK \l "_Toc30772" </w:instrText>
      </w:r>
      <w:r>
        <w:rPr>
          <w:color w:val="auto"/>
          <w:highlight w:val="none"/>
        </w:rPr>
        <w:fldChar w:fldCharType="separate"/>
      </w:r>
      <w:r>
        <w:rPr>
          <w:rFonts w:hint="eastAsia" w:asciiTheme="minorEastAsia" w:hAnsiTheme="minorEastAsia" w:eastAsiaTheme="minorEastAsia" w:cstheme="minorEastAsia"/>
          <w:color w:val="auto"/>
          <w:sz w:val="21"/>
          <w:szCs w:val="21"/>
          <w:highlight w:val="none"/>
        </w:rPr>
        <w:t>55. 工程试车</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PAGEREF _Toc30772 \h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rPr>
        <w:t>115</w:t>
      </w:r>
      <w:r>
        <w:rPr>
          <w:rFonts w:hint="eastAsia" w:asciiTheme="minorEastAsia" w:hAnsiTheme="minorEastAsia" w:eastAsiaTheme="minorEastAsia" w:cstheme="minorEastAsia"/>
          <w:color w:val="auto"/>
          <w:sz w:val="21"/>
          <w:szCs w:val="21"/>
          <w:highlight w:val="none"/>
        </w:rPr>
        <w:fldChar w:fldCharType="end"/>
      </w:r>
      <w:r>
        <w:rPr>
          <w:rFonts w:hint="eastAsia" w:asciiTheme="minorEastAsia" w:hAnsiTheme="minorEastAsia" w:eastAsiaTheme="minorEastAsia" w:cstheme="minorEastAsia"/>
          <w:color w:val="auto"/>
          <w:sz w:val="21"/>
          <w:szCs w:val="21"/>
          <w:highlight w:val="none"/>
        </w:rPr>
        <w:fldChar w:fldCharType="end"/>
      </w:r>
    </w:p>
    <w:p>
      <w:pPr>
        <w:pStyle w:val="34"/>
        <w:tabs>
          <w:tab w:val="right" w:leader="dot" w:pos="10204"/>
        </w:tabs>
        <w:ind w:firstLine="200" w:firstLineChars="100"/>
        <w:rPr>
          <w:rFonts w:asciiTheme="minorEastAsia" w:hAnsiTheme="minorEastAsia" w:eastAsiaTheme="minorEastAsia" w:cstheme="minorEastAsia"/>
          <w:color w:val="auto"/>
          <w:sz w:val="21"/>
          <w:szCs w:val="21"/>
          <w:highlight w:val="none"/>
        </w:rPr>
      </w:pPr>
      <w:r>
        <w:rPr>
          <w:color w:val="auto"/>
          <w:highlight w:val="none"/>
        </w:rPr>
        <w:fldChar w:fldCharType="begin"/>
      </w:r>
      <w:r>
        <w:rPr>
          <w:color w:val="auto"/>
          <w:highlight w:val="none"/>
        </w:rPr>
        <w:instrText xml:space="preserve"> HYPERLINK \l "_Toc586" </w:instrText>
      </w:r>
      <w:r>
        <w:rPr>
          <w:color w:val="auto"/>
          <w:highlight w:val="none"/>
        </w:rPr>
        <w:fldChar w:fldCharType="separate"/>
      </w:r>
      <w:r>
        <w:rPr>
          <w:rFonts w:hint="eastAsia" w:asciiTheme="minorEastAsia" w:hAnsiTheme="minorEastAsia" w:eastAsiaTheme="minorEastAsia" w:cstheme="minorEastAsia"/>
          <w:color w:val="auto"/>
          <w:sz w:val="21"/>
          <w:szCs w:val="21"/>
          <w:highlight w:val="none"/>
        </w:rPr>
        <w:t>56．工程变更</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PAGEREF _Toc586 \h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rPr>
        <w:t>115</w:t>
      </w:r>
      <w:r>
        <w:rPr>
          <w:rFonts w:hint="eastAsia" w:asciiTheme="minorEastAsia" w:hAnsiTheme="minorEastAsia" w:eastAsiaTheme="minorEastAsia" w:cstheme="minorEastAsia"/>
          <w:color w:val="auto"/>
          <w:sz w:val="21"/>
          <w:szCs w:val="21"/>
          <w:highlight w:val="none"/>
        </w:rPr>
        <w:fldChar w:fldCharType="end"/>
      </w:r>
      <w:r>
        <w:rPr>
          <w:rFonts w:hint="eastAsia" w:asciiTheme="minorEastAsia" w:hAnsiTheme="minorEastAsia" w:eastAsiaTheme="minorEastAsia" w:cstheme="minorEastAsia"/>
          <w:color w:val="auto"/>
          <w:sz w:val="21"/>
          <w:szCs w:val="21"/>
          <w:highlight w:val="none"/>
        </w:rPr>
        <w:fldChar w:fldCharType="end"/>
      </w:r>
    </w:p>
    <w:p>
      <w:pPr>
        <w:pStyle w:val="34"/>
        <w:tabs>
          <w:tab w:val="right" w:leader="dot" w:pos="10204"/>
        </w:tabs>
        <w:ind w:firstLine="200" w:firstLineChars="100"/>
        <w:rPr>
          <w:rFonts w:asciiTheme="minorEastAsia" w:hAnsiTheme="minorEastAsia" w:eastAsiaTheme="minorEastAsia" w:cstheme="minorEastAsia"/>
          <w:color w:val="auto"/>
          <w:sz w:val="21"/>
          <w:szCs w:val="21"/>
          <w:highlight w:val="none"/>
        </w:rPr>
      </w:pPr>
      <w:r>
        <w:rPr>
          <w:color w:val="auto"/>
          <w:highlight w:val="none"/>
        </w:rPr>
        <w:fldChar w:fldCharType="begin"/>
      </w:r>
      <w:r>
        <w:rPr>
          <w:color w:val="auto"/>
          <w:highlight w:val="none"/>
        </w:rPr>
        <w:instrText xml:space="preserve"> HYPERLINK \l "_Toc1017" </w:instrText>
      </w:r>
      <w:r>
        <w:rPr>
          <w:color w:val="auto"/>
          <w:highlight w:val="none"/>
        </w:rPr>
        <w:fldChar w:fldCharType="separate"/>
      </w:r>
      <w:r>
        <w:rPr>
          <w:rFonts w:hint="eastAsia" w:asciiTheme="minorEastAsia" w:hAnsiTheme="minorEastAsia" w:eastAsiaTheme="minorEastAsia" w:cstheme="minorEastAsia"/>
          <w:color w:val="auto"/>
          <w:sz w:val="21"/>
          <w:szCs w:val="21"/>
          <w:highlight w:val="none"/>
        </w:rPr>
        <w:t>★58. 竣工验收</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PAGEREF _Toc1017 \h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rPr>
        <w:t>115</w:t>
      </w:r>
      <w:r>
        <w:rPr>
          <w:rFonts w:hint="eastAsia" w:asciiTheme="minorEastAsia" w:hAnsiTheme="minorEastAsia" w:eastAsiaTheme="minorEastAsia" w:cstheme="minorEastAsia"/>
          <w:color w:val="auto"/>
          <w:sz w:val="21"/>
          <w:szCs w:val="21"/>
          <w:highlight w:val="none"/>
        </w:rPr>
        <w:fldChar w:fldCharType="end"/>
      </w:r>
      <w:r>
        <w:rPr>
          <w:rFonts w:hint="eastAsia" w:asciiTheme="minorEastAsia" w:hAnsiTheme="minorEastAsia" w:eastAsiaTheme="minorEastAsia" w:cstheme="minorEastAsia"/>
          <w:color w:val="auto"/>
          <w:sz w:val="21"/>
          <w:szCs w:val="21"/>
          <w:highlight w:val="none"/>
        </w:rPr>
        <w:fldChar w:fldCharType="end"/>
      </w:r>
    </w:p>
    <w:p>
      <w:pPr>
        <w:pStyle w:val="34"/>
        <w:tabs>
          <w:tab w:val="right" w:leader="dot" w:pos="10204"/>
        </w:tabs>
        <w:ind w:firstLine="200" w:firstLineChars="100"/>
        <w:rPr>
          <w:rFonts w:asciiTheme="minorEastAsia" w:hAnsiTheme="minorEastAsia" w:eastAsiaTheme="minorEastAsia" w:cstheme="minorEastAsia"/>
          <w:color w:val="auto"/>
          <w:sz w:val="21"/>
          <w:szCs w:val="21"/>
          <w:highlight w:val="none"/>
        </w:rPr>
      </w:pPr>
      <w:r>
        <w:rPr>
          <w:color w:val="auto"/>
          <w:highlight w:val="none"/>
        </w:rPr>
        <w:fldChar w:fldCharType="begin"/>
      </w:r>
      <w:r>
        <w:rPr>
          <w:color w:val="auto"/>
          <w:highlight w:val="none"/>
        </w:rPr>
        <w:instrText xml:space="preserve"> HYPERLINK \l "_Toc22347" </w:instrText>
      </w:r>
      <w:r>
        <w:rPr>
          <w:color w:val="auto"/>
          <w:highlight w:val="none"/>
        </w:rPr>
        <w:fldChar w:fldCharType="separate"/>
      </w:r>
      <w:r>
        <w:rPr>
          <w:rFonts w:hint="eastAsia" w:asciiTheme="minorEastAsia" w:hAnsiTheme="minorEastAsia" w:eastAsiaTheme="minorEastAsia" w:cstheme="minorEastAsia"/>
          <w:color w:val="auto"/>
          <w:sz w:val="21"/>
          <w:szCs w:val="21"/>
          <w:highlight w:val="none"/>
        </w:rPr>
        <w:t>59. 缺陷责任与质量保修</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PAGEREF _Toc22347 \h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rPr>
        <w:t>116</w:t>
      </w:r>
      <w:r>
        <w:rPr>
          <w:rFonts w:hint="eastAsia" w:asciiTheme="minorEastAsia" w:hAnsiTheme="minorEastAsia" w:eastAsiaTheme="minorEastAsia" w:cstheme="minorEastAsia"/>
          <w:color w:val="auto"/>
          <w:sz w:val="21"/>
          <w:szCs w:val="21"/>
          <w:highlight w:val="none"/>
        </w:rPr>
        <w:fldChar w:fldCharType="end"/>
      </w:r>
      <w:r>
        <w:rPr>
          <w:rFonts w:hint="eastAsia" w:asciiTheme="minorEastAsia" w:hAnsiTheme="minorEastAsia" w:eastAsiaTheme="minorEastAsia" w:cstheme="minorEastAsia"/>
          <w:color w:val="auto"/>
          <w:sz w:val="21"/>
          <w:szCs w:val="21"/>
          <w:highlight w:val="none"/>
        </w:rPr>
        <w:fldChar w:fldCharType="end"/>
      </w:r>
    </w:p>
    <w:p>
      <w:pPr>
        <w:pStyle w:val="34"/>
        <w:tabs>
          <w:tab w:val="right" w:leader="dot" w:pos="10204"/>
        </w:tabs>
        <w:ind w:firstLine="200" w:firstLineChars="100"/>
        <w:rPr>
          <w:rFonts w:asciiTheme="minorEastAsia" w:hAnsiTheme="minorEastAsia" w:eastAsiaTheme="minorEastAsia" w:cstheme="minorEastAsia"/>
          <w:color w:val="auto"/>
          <w:sz w:val="21"/>
          <w:szCs w:val="21"/>
          <w:highlight w:val="none"/>
        </w:rPr>
      </w:pPr>
      <w:r>
        <w:rPr>
          <w:color w:val="auto"/>
          <w:highlight w:val="none"/>
        </w:rPr>
        <w:fldChar w:fldCharType="begin"/>
      </w:r>
      <w:r>
        <w:rPr>
          <w:color w:val="auto"/>
          <w:highlight w:val="none"/>
        </w:rPr>
        <w:instrText xml:space="preserve"> HYPERLINK \l "_Toc27559" </w:instrText>
      </w:r>
      <w:r>
        <w:rPr>
          <w:color w:val="auto"/>
          <w:highlight w:val="none"/>
        </w:rPr>
        <w:fldChar w:fldCharType="separate"/>
      </w:r>
      <w:r>
        <w:rPr>
          <w:rFonts w:hint="eastAsia" w:asciiTheme="minorEastAsia" w:hAnsiTheme="minorEastAsia" w:eastAsiaTheme="minorEastAsia" w:cstheme="minorEastAsia"/>
          <w:color w:val="auto"/>
          <w:sz w:val="21"/>
          <w:szCs w:val="21"/>
          <w:highlight w:val="none"/>
        </w:rPr>
        <w:t>61. 工程量</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PAGEREF _Toc27559 \h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rPr>
        <w:t>116</w:t>
      </w:r>
      <w:r>
        <w:rPr>
          <w:rFonts w:hint="eastAsia" w:asciiTheme="minorEastAsia" w:hAnsiTheme="minorEastAsia" w:eastAsiaTheme="minorEastAsia" w:cstheme="minorEastAsia"/>
          <w:color w:val="auto"/>
          <w:sz w:val="21"/>
          <w:szCs w:val="21"/>
          <w:highlight w:val="none"/>
        </w:rPr>
        <w:fldChar w:fldCharType="end"/>
      </w:r>
      <w:r>
        <w:rPr>
          <w:rFonts w:hint="eastAsia" w:asciiTheme="minorEastAsia" w:hAnsiTheme="minorEastAsia" w:eastAsiaTheme="minorEastAsia" w:cstheme="minorEastAsia"/>
          <w:color w:val="auto"/>
          <w:sz w:val="21"/>
          <w:szCs w:val="21"/>
          <w:highlight w:val="none"/>
        </w:rPr>
        <w:fldChar w:fldCharType="end"/>
      </w:r>
    </w:p>
    <w:p>
      <w:pPr>
        <w:pStyle w:val="34"/>
        <w:tabs>
          <w:tab w:val="right" w:leader="dot" w:pos="10204"/>
        </w:tabs>
        <w:ind w:firstLine="200" w:firstLineChars="100"/>
        <w:rPr>
          <w:rFonts w:asciiTheme="minorEastAsia" w:hAnsiTheme="minorEastAsia" w:eastAsiaTheme="minorEastAsia" w:cstheme="minorEastAsia"/>
          <w:color w:val="auto"/>
          <w:sz w:val="21"/>
          <w:szCs w:val="21"/>
          <w:highlight w:val="none"/>
        </w:rPr>
      </w:pPr>
      <w:r>
        <w:rPr>
          <w:color w:val="auto"/>
          <w:highlight w:val="none"/>
        </w:rPr>
        <w:fldChar w:fldCharType="begin"/>
      </w:r>
      <w:r>
        <w:rPr>
          <w:color w:val="auto"/>
          <w:highlight w:val="none"/>
        </w:rPr>
        <w:instrText xml:space="preserve"> HYPERLINK \l "_Toc32075" </w:instrText>
      </w:r>
      <w:r>
        <w:rPr>
          <w:color w:val="auto"/>
          <w:highlight w:val="none"/>
        </w:rPr>
        <w:fldChar w:fldCharType="separate"/>
      </w:r>
      <w:r>
        <w:rPr>
          <w:rFonts w:hint="eastAsia" w:asciiTheme="minorEastAsia" w:hAnsiTheme="minorEastAsia" w:eastAsiaTheme="minorEastAsia" w:cstheme="minorEastAsia"/>
          <w:color w:val="auto"/>
          <w:sz w:val="21"/>
          <w:szCs w:val="21"/>
          <w:highlight w:val="none"/>
        </w:rPr>
        <w:t>★63. 暂列金额</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PAGEREF _Toc32075 \h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rPr>
        <w:t>116</w:t>
      </w:r>
      <w:r>
        <w:rPr>
          <w:rFonts w:hint="eastAsia" w:asciiTheme="minorEastAsia" w:hAnsiTheme="minorEastAsia" w:eastAsiaTheme="minorEastAsia" w:cstheme="minorEastAsia"/>
          <w:color w:val="auto"/>
          <w:sz w:val="21"/>
          <w:szCs w:val="21"/>
          <w:highlight w:val="none"/>
        </w:rPr>
        <w:fldChar w:fldCharType="end"/>
      </w:r>
      <w:r>
        <w:rPr>
          <w:rFonts w:hint="eastAsia" w:asciiTheme="minorEastAsia" w:hAnsiTheme="minorEastAsia" w:eastAsiaTheme="minorEastAsia" w:cstheme="minorEastAsia"/>
          <w:color w:val="auto"/>
          <w:sz w:val="21"/>
          <w:szCs w:val="21"/>
          <w:highlight w:val="none"/>
        </w:rPr>
        <w:fldChar w:fldCharType="end"/>
      </w:r>
    </w:p>
    <w:p>
      <w:pPr>
        <w:pStyle w:val="34"/>
        <w:tabs>
          <w:tab w:val="right" w:leader="dot" w:pos="10204"/>
        </w:tabs>
        <w:ind w:firstLine="200" w:firstLineChars="100"/>
        <w:rPr>
          <w:rFonts w:asciiTheme="minorEastAsia" w:hAnsiTheme="minorEastAsia" w:eastAsiaTheme="minorEastAsia" w:cstheme="minorEastAsia"/>
          <w:color w:val="auto"/>
          <w:sz w:val="21"/>
          <w:szCs w:val="21"/>
          <w:highlight w:val="none"/>
        </w:rPr>
      </w:pPr>
      <w:r>
        <w:rPr>
          <w:color w:val="auto"/>
          <w:highlight w:val="none"/>
        </w:rPr>
        <w:fldChar w:fldCharType="begin"/>
      </w:r>
      <w:r>
        <w:rPr>
          <w:color w:val="auto"/>
          <w:highlight w:val="none"/>
        </w:rPr>
        <w:instrText xml:space="preserve"> HYPERLINK \l "_Toc12071" </w:instrText>
      </w:r>
      <w:r>
        <w:rPr>
          <w:color w:val="auto"/>
          <w:highlight w:val="none"/>
        </w:rPr>
        <w:fldChar w:fldCharType="separate"/>
      </w:r>
      <w:r>
        <w:rPr>
          <w:rFonts w:hint="eastAsia" w:asciiTheme="minorEastAsia" w:hAnsiTheme="minorEastAsia" w:eastAsiaTheme="minorEastAsia" w:cstheme="minorEastAsia"/>
          <w:color w:val="auto"/>
          <w:sz w:val="21"/>
          <w:szCs w:val="21"/>
          <w:highlight w:val="none"/>
        </w:rPr>
        <w:t>★65. 暂估价</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PAGEREF _Toc12071 \h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rPr>
        <w:t>116</w:t>
      </w:r>
      <w:r>
        <w:rPr>
          <w:rFonts w:hint="eastAsia" w:asciiTheme="minorEastAsia" w:hAnsiTheme="minorEastAsia" w:eastAsiaTheme="minorEastAsia" w:cstheme="minorEastAsia"/>
          <w:color w:val="auto"/>
          <w:sz w:val="21"/>
          <w:szCs w:val="21"/>
          <w:highlight w:val="none"/>
        </w:rPr>
        <w:fldChar w:fldCharType="end"/>
      </w:r>
      <w:r>
        <w:rPr>
          <w:rFonts w:hint="eastAsia" w:asciiTheme="minorEastAsia" w:hAnsiTheme="minorEastAsia" w:eastAsiaTheme="minorEastAsia" w:cstheme="minorEastAsia"/>
          <w:color w:val="auto"/>
          <w:sz w:val="21"/>
          <w:szCs w:val="21"/>
          <w:highlight w:val="none"/>
        </w:rPr>
        <w:fldChar w:fldCharType="end"/>
      </w:r>
    </w:p>
    <w:p>
      <w:pPr>
        <w:pStyle w:val="34"/>
        <w:tabs>
          <w:tab w:val="right" w:leader="dot" w:pos="10204"/>
        </w:tabs>
        <w:ind w:firstLine="200" w:firstLineChars="100"/>
        <w:rPr>
          <w:rFonts w:asciiTheme="minorEastAsia" w:hAnsiTheme="minorEastAsia" w:eastAsiaTheme="minorEastAsia" w:cstheme="minorEastAsia"/>
          <w:color w:val="auto"/>
          <w:sz w:val="21"/>
          <w:szCs w:val="21"/>
          <w:highlight w:val="none"/>
        </w:rPr>
      </w:pPr>
      <w:r>
        <w:rPr>
          <w:color w:val="auto"/>
          <w:highlight w:val="none"/>
        </w:rPr>
        <w:fldChar w:fldCharType="begin"/>
      </w:r>
      <w:r>
        <w:rPr>
          <w:color w:val="auto"/>
          <w:highlight w:val="none"/>
        </w:rPr>
        <w:instrText xml:space="preserve"> HYPERLINK \l "_Toc11371" </w:instrText>
      </w:r>
      <w:r>
        <w:rPr>
          <w:color w:val="auto"/>
          <w:highlight w:val="none"/>
        </w:rPr>
        <w:fldChar w:fldCharType="separate"/>
      </w:r>
      <w:r>
        <w:rPr>
          <w:rFonts w:hint="eastAsia" w:asciiTheme="minorEastAsia" w:hAnsiTheme="minorEastAsia" w:eastAsiaTheme="minorEastAsia" w:cstheme="minorEastAsia"/>
          <w:color w:val="auto"/>
          <w:sz w:val="21"/>
          <w:szCs w:val="21"/>
          <w:highlight w:val="none"/>
        </w:rPr>
        <w:t>★66. 提前竣工奖与误期赔偿费</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PAGEREF _Toc11371 \h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rPr>
        <w:t>117</w:t>
      </w:r>
      <w:r>
        <w:rPr>
          <w:rFonts w:hint="eastAsia" w:asciiTheme="minorEastAsia" w:hAnsiTheme="minorEastAsia" w:eastAsiaTheme="minorEastAsia" w:cstheme="minorEastAsia"/>
          <w:color w:val="auto"/>
          <w:sz w:val="21"/>
          <w:szCs w:val="21"/>
          <w:highlight w:val="none"/>
        </w:rPr>
        <w:fldChar w:fldCharType="end"/>
      </w:r>
      <w:r>
        <w:rPr>
          <w:rFonts w:hint="eastAsia" w:asciiTheme="minorEastAsia" w:hAnsiTheme="minorEastAsia" w:eastAsiaTheme="minorEastAsia" w:cstheme="minorEastAsia"/>
          <w:color w:val="auto"/>
          <w:sz w:val="21"/>
          <w:szCs w:val="21"/>
          <w:highlight w:val="none"/>
        </w:rPr>
        <w:fldChar w:fldCharType="end"/>
      </w:r>
    </w:p>
    <w:p>
      <w:pPr>
        <w:pStyle w:val="34"/>
        <w:tabs>
          <w:tab w:val="right" w:leader="dot" w:pos="10204"/>
        </w:tabs>
        <w:ind w:firstLine="200" w:firstLineChars="100"/>
        <w:rPr>
          <w:rFonts w:asciiTheme="minorEastAsia" w:hAnsiTheme="minorEastAsia" w:eastAsiaTheme="minorEastAsia" w:cstheme="minorEastAsia"/>
          <w:color w:val="auto"/>
          <w:sz w:val="21"/>
          <w:szCs w:val="21"/>
          <w:highlight w:val="none"/>
        </w:rPr>
      </w:pPr>
      <w:r>
        <w:rPr>
          <w:color w:val="auto"/>
          <w:highlight w:val="none"/>
        </w:rPr>
        <w:fldChar w:fldCharType="begin"/>
      </w:r>
      <w:r>
        <w:rPr>
          <w:color w:val="auto"/>
          <w:highlight w:val="none"/>
        </w:rPr>
        <w:instrText xml:space="preserve"> HYPERLINK \l "_Toc26246" </w:instrText>
      </w:r>
      <w:r>
        <w:rPr>
          <w:color w:val="auto"/>
          <w:highlight w:val="none"/>
        </w:rPr>
        <w:fldChar w:fldCharType="separate"/>
      </w:r>
      <w:r>
        <w:rPr>
          <w:rFonts w:hint="eastAsia" w:asciiTheme="minorEastAsia" w:hAnsiTheme="minorEastAsia" w:eastAsiaTheme="minorEastAsia" w:cstheme="minorEastAsia"/>
          <w:color w:val="auto"/>
          <w:sz w:val="21"/>
          <w:szCs w:val="21"/>
          <w:highlight w:val="none"/>
        </w:rPr>
        <w:t>★67. 工程优质费、工程建设标准费用</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PAGEREF _Toc26246 \h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rPr>
        <w:t>117</w:t>
      </w:r>
      <w:r>
        <w:rPr>
          <w:rFonts w:hint="eastAsia" w:asciiTheme="minorEastAsia" w:hAnsiTheme="minorEastAsia" w:eastAsiaTheme="minorEastAsia" w:cstheme="minorEastAsia"/>
          <w:color w:val="auto"/>
          <w:sz w:val="21"/>
          <w:szCs w:val="21"/>
          <w:highlight w:val="none"/>
        </w:rPr>
        <w:fldChar w:fldCharType="end"/>
      </w:r>
      <w:r>
        <w:rPr>
          <w:rFonts w:hint="eastAsia" w:asciiTheme="minorEastAsia" w:hAnsiTheme="minorEastAsia" w:eastAsiaTheme="minorEastAsia" w:cstheme="minorEastAsia"/>
          <w:color w:val="auto"/>
          <w:sz w:val="21"/>
          <w:szCs w:val="21"/>
          <w:highlight w:val="none"/>
        </w:rPr>
        <w:fldChar w:fldCharType="end"/>
      </w:r>
    </w:p>
    <w:p>
      <w:pPr>
        <w:pStyle w:val="34"/>
        <w:tabs>
          <w:tab w:val="right" w:leader="dot" w:pos="10204"/>
        </w:tabs>
        <w:ind w:firstLine="200" w:firstLineChars="100"/>
        <w:rPr>
          <w:rFonts w:asciiTheme="minorEastAsia" w:hAnsiTheme="minorEastAsia" w:eastAsiaTheme="minorEastAsia" w:cstheme="minorEastAsia"/>
          <w:color w:val="auto"/>
          <w:sz w:val="21"/>
          <w:szCs w:val="21"/>
          <w:highlight w:val="none"/>
        </w:rPr>
      </w:pPr>
      <w:r>
        <w:rPr>
          <w:color w:val="auto"/>
          <w:highlight w:val="none"/>
        </w:rPr>
        <w:fldChar w:fldCharType="begin"/>
      </w:r>
      <w:r>
        <w:rPr>
          <w:color w:val="auto"/>
          <w:highlight w:val="none"/>
        </w:rPr>
        <w:instrText xml:space="preserve"> HYPERLINK \l "_Toc9005" </w:instrText>
      </w:r>
      <w:r>
        <w:rPr>
          <w:color w:val="auto"/>
          <w:highlight w:val="none"/>
        </w:rPr>
        <w:fldChar w:fldCharType="separate"/>
      </w:r>
      <w:r>
        <w:rPr>
          <w:rFonts w:hint="eastAsia" w:asciiTheme="minorEastAsia" w:hAnsiTheme="minorEastAsia" w:eastAsiaTheme="minorEastAsia" w:cstheme="minorEastAsia"/>
          <w:color w:val="auto"/>
          <w:sz w:val="21"/>
          <w:szCs w:val="21"/>
          <w:highlight w:val="none"/>
        </w:rPr>
        <w:t>★68. 合同价款的约定与调整</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PAGEREF _Toc9005 \h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rPr>
        <w:t>118</w:t>
      </w:r>
      <w:r>
        <w:rPr>
          <w:rFonts w:hint="eastAsia" w:asciiTheme="minorEastAsia" w:hAnsiTheme="minorEastAsia" w:eastAsiaTheme="minorEastAsia" w:cstheme="minorEastAsia"/>
          <w:color w:val="auto"/>
          <w:sz w:val="21"/>
          <w:szCs w:val="21"/>
          <w:highlight w:val="none"/>
        </w:rPr>
        <w:fldChar w:fldCharType="end"/>
      </w:r>
      <w:r>
        <w:rPr>
          <w:rFonts w:hint="eastAsia" w:asciiTheme="minorEastAsia" w:hAnsiTheme="minorEastAsia" w:eastAsiaTheme="minorEastAsia" w:cstheme="minorEastAsia"/>
          <w:color w:val="auto"/>
          <w:sz w:val="21"/>
          <w:szCs w:val="21"/>
          <w:highlight w:val="none"/>
        </w:rPr>
        <w:fldChar w:fldCharType="end"/>
      </w:r>
    </w:p>
    <w:p>
      <w:pPr>
        <w:pStyle w:val="34"/>
        <w:tabs>
          <w:tab w:val="right" w:leader="dot" w:pos="10204"/>
        </w:tabs>
        <w:ind w:firstLine="200" w:firstLineChars="100"/>
        <w:rPr>
          <w:rFonts w:asciiTheme="minorEastAsia" w:hAnsiTheme="minorEastAsia" w:eastAsiaTheme="minorEastAsia" w:cstheme="minorEastAsia"/>
          <w:color w:val="auto"/>
          <w:sz w:val="21"/>
          <w:szCs w:val="21"/>
          <w:highlight w:val="none"/>
        </w:rPr>
      </w:pPr>
      <w:r>
        <w:rPr>
          <w:color w:val="auto"/>
          <w:highlight w:val="none"/>
        </w:rPr>
        <w:fldChar w:fldCharType="begin"/>
      </w:r>
      <w:r>
        <w:rPr>
          <w:color w:val="auto"/>
          <w:highlight w:val="none"/>
        </w:rPr>
        <w:instrText xml:space="preserve"> HYPERLINK \l "_Toc27203" </w:instrText>
      </w:r>
      <w:r>
        <w:rPr>
          <w:color w:val="auto"/>
          <w:highlight w:val="none"/>
        </w:rPr>
        <w:fldChar w:fldCharType="separate"/>
      </w:r>
      <w:r>
        <w:rPr>
          <w:rFonts w:hint="eastAsia" w:asciiTheme="minorEastAsia" w:hAnsiTheme="minorEastAsia" w:eastAsiaTheme="minorEastAsia" w:cstheme="minorEastAsia"/>
          <w:color w:val="auto"/>
          <w:sz w:val="21"/>
          <w:szCs w:val="21"/>
          <w:highlight w:val="none"/>
        </w:rPr>
        <w:t>72. 工程变更事件</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PAGEREF _Toc27203 \h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rPr>
        <w:t>120</w:t>
      </w:r>
      <w:r>
        <w:rPr>
          <w:rFonts w:hint="eastAsia" w:asciiTheme="minorEastAsia" w:hAnsiTheme="minorEastAsia" w:eastAsiaTheme="minorEastAsia" w:cstheme="minorEastAsia"/>
          <w:color w:val="auto"/>
          <w:sz w:val="21"/>
          <w:szCs w:val="21"/>
          <w:highlight w:val="none"/>
        </w:rPr>
        <w:fldChar w:fldCharType="end"/>
      </w:r>
      <w:r>
        <w:rPr>
          <w:rFonts w:hint="eastAsia" w:asciiTheme="minorEastAsia" w:hAnsiTheme="minorEastAsia" w:eastAsiaTheme="minorEastAsia" w:cstheme="minorEastAsia"/>
          <w:color w:val="auto"/>
          <w:sz w:val="21"/>
          <w:szCs w:val="21"/>
          <w:highlight w:val="none"/>
        </w:rPr>
        <w:fldChar w:fldCharType="end"/>
      </w:r>
    </w:p>
    <w:p>
      <w:pPr>
        <w:pStyle w:val="34"/>
        <w:tabs>
          <w:tab w:val="right" w:leader="dot" w:pos="10204"/>
        </w:tabs>
        <w:ind w:firstLine="200" w:firstLineChars="100"/>
        <w:rPr>
          <w:rFonts w:asciiTheme="minorEastAsia" w:hAnsiTheme="minorEastAsia" w:eastAsiaTheme="minorEastAsia" w:cstheme="minorEastAsia"/>
          <w:color w:val="auto"/>
          <w:sz w:val="21"/>
          <w:szCs w:val="21"/>
          <w:highlight w:val="none"/>
        </w:rPr>
      </w:pPr>
      <w:r>
        <w:rPr>
          <w:color w:val="auto"/>
          <w:highlight w:val="none"/>
        </w:rPr>
        <w:fldChar w:fldCharType="begin"/>
      </w:r>
      <w:r>
        <w:rPr>
          <w:color w:val="auto"/>
          <w:highlight w:val="none"/>
        </w:rPr>
        <w:instrText xml:space="preserve"> HYPERLINK \l "_Toc9230" </w:instrText>
      </w:r>
      <w:r>
        <w:rPr>
          <w:color w:val="auto"/>
          <w:highlight w:val="none"/>
        </w:rPr>
        <w:fldChar w:fldCharType="separate"/>
      </w:r>
      <w:r>
        <w:rPr>
          <w:rFonts w:hint="eastAsia" w:asciiTheme="minorEastAsia" w:hAnsiTheme="minorEastAsia" w:eastAsiaTheme="minorEastAsia" w:cstheme="minorEastAsia"/>
          <w:color w:val="auto"/>
          <w:sz w:val="21"/>
          <w:szCs w:val="21"/>
          <w:highlight w:val="none"/>
        </w:rPr>
        <w:t>73. 工程量偏差事件</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PAGEREF _Toc9230 \h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rPr>
        <w:t>120</w:t>
      </w:r>
      <w:r>
        <w:rPr>
          <w:rFonts w:hint="eastAsia" w:asciiTheme="minorEastAsia" w:hAnsiTheme="minorEastAsia" w:eastAsiaTheme="minorEastAsia" w:cstheme="minorEastAsia"/>
          <w:color w:val="auto"/>
          <w:sz w:val="21"/>
          <w:szCs w:val="21"/>
          <w:highlight w:val="none"/>
        </w:rPr>
        <w:fldChar w:fldCharType="end"/>
      </w:r>
      <w:r>
        <w:rPr>
          <w:rFonts w:hint="eastAsia" w:asciiTheme="minorEastAsia" w:hAnsiTheme="minorEastAsia" w:eastAsiaTheme="minorEastAsia" w:cstheme="minorEastAsia"/>
          <w:color w:val="auto"/>
          <w:sz w:val="21"/>
          <w:szCs w:val="21"/>
          <w:highlight w:val="none"/>
        </w:rPr>
        <w:fldChar w:fldCharType="end"/>
      </w:r>
    </w:p>
    <w:p>
      <w:pPr>
        <w:pStyle w:val="34"/>
        <w:tabs>
          <w:tab w:val="right" w:leader="dot" w:pos="10204"/>
        </w:tabs>
        <w:ind w:firstLine="200" w:firstLineChars="100"/>
        <w:rPr>
          <w:rFonts w:asciiTheme="minorEastAsia" w:hAnsiTheme="minorEastAsia" w:eastAsiaTheme="minorEastAsia" w:cstheme="minorEastAsia"/>
          <w:color w:val="auto"/>
          <w:sz w:val="21"/>
          <w:szCs w:val="21"/>
          <w:highlight w:val="none"/>
        </w:rPr>
      </w:pPr>
      <w:r>
        <w:rPr>
          <w:color w:val="auto"/>
          <w:highlight w:val="none"/>
        </w:rPr>
        <w:fldChar w:fldCharType="begin"/>
      </w:r>
      <w:r>
        <w:rPr>
          <w:color w:val="auto"/>
          <w:highlight w:val="none"/>
        </w:rPr>
        <w:instrText xml:space="preserve"> HYPERLINK \l "_Toc30454" </w:instrText>
      </w:r>
      <w:r>
        <w:rPr>
          <w:color w:val="auto"/>
          <w:highlight w:val="none"/>
        </w:rPr>
        <w:fldChar w:fldCharType="separate"/>
      </w:r>
      <w:r>
        <w:rPr>
          <w:rFonts w:hint="eastAsia" w:asciiTheme="minorEastAsia" w:hAnsiTheme="minorEastAsia" w:eastAsiaTheme="minorEastAsia" w:cstheme="minorEastAsia"/>
          <w:color w:val="auto"/>
          <w:sz w:val="21"/>
          <w:szCs w:val="21"/>
          <w:highlight w:val="none"/>
        </w:rPr>
        <w:t>75. 现场签证事件</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PAGEREF _Toc30454 \h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rPr>
        <w:t>121</w:t>
      </w:r>
      <w:r>
        <w:rPr>
          <w:rFonts w:hint="eastAsia" w:asciiTheme="minorEastAsia" w:hAnsiTheme="minorEastAsia" w:eastAsiaTheme="minorEastAsia" w:cstheme="minorEastAsia"/>
          <w:color w:val="auto"/>
          <w:sz w:val="21"/>
          <w:szCs w:val="21"/>
          <w:highlight w:val="none"/>
        </w:rPr>
        <w:fldChar w:fldCharType="end"/>
      </w:r>
      <w:r>
        <w:rPr>
          <w:rFonts w:hint="eastAsia" w:asciiTheme="minorEastAsia" w:hAnsiTheme="minorEastAsia" w:eastAsiaTheme="minorEastAsia" w:cstheme="minorEastAsia"/>
          <w:color w:val="auto"/>
          <w:sz w:val="21"/>
          <w:szCs w:val="21"/>
          <w:highlight w:val="none"/>
        </w:rPr>
        <w:fldChar w:fldCharType="end"/>
      </w:r>
    </w:p>
    <w:p>
      <w:pPr>
        <w:pStyle w:val="34"/>
        <w:tabs>
          <w:tab w:val="right" w:leader="dot" w:pos="10204"/>
        </w:tabs>
        <w:ind w:firstLine="200" w:firstLineChars="100"/>
        <w:rPr>
          <w:rFonts w:asciiTheme="minorEastAsia" w:hAnsiTheme="minorEastAsia" w:eastAsiaTheme="minorEastAsia" w:cstheme="minorEastAsia"/>
          <w:color w:val="auto"/>
          <w:sz w:val="21"/>
          <w:szCs w:val="21"/>
          <w:highlight w:val="none"/>
        </w:rPr>
      </w:pPr>
      <w:r>
        <w:rPr>
          <w:color w:val="auto"/>
          <w:highlight w:val="none"/>
        </w:rPr>
        <w:fldChar w:fldCharType="begin"/>
      </w:r>
      <w:r>
        <w:rPr>
          <w:color w:val="auto"/>
          <w:highlight w:val="none"/>
        </w:rPr>
        <w:instrText xml:space="preserve"> HYPERLINK \l "_Toc13583" </w:instrText>
      </w:r>
      <w:r>
        <w:rPr>
          <w:color w:val="auto"/>
          <w:highlight w:val="none"/>
        </w:rPr>
        <w:fldChar w:fldCharType="separate"/>
      </w:r>
      <w:r>
        <w:rPr>
          <w:rFonts w:hint="eastAsia" w:asciiTheme="minorEastAsia" w:hAnsiTheme="minorEastAsia" w:eastAsiaTheme="minorEastAsia" w:cstheme="minorEastAsia"/>
          <w:color w:val="auto"/>
          <w:sz w:val="21"/>
          <w:szCs w:val="21"/>
          <w:highlight w:val="none"/>
        </w:rPr>
        <w:t>★76. 物价涨落事件</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PAGEREF _Toc13583 \h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rPr>
        <w:t>121</w:t>
      </w:r>
      <w:r>
        <w:rPr>
          <w:rFonts w:hint="eastAsia" w:asciiTheme="minorEastAsia" w:hAnsiTheme="minorEastAsia" w:eastAsiaTheme="minorEastAsia" w:cstheme="minorEastAsia"/>
          <w:color w:val="auto"/>
          <w:sz w:val="21"/>
          <w:szCs w:val="21"/>
          <w:highlight w:val="none"/>
        </w:rPr>
        <w:fldChar w:fldCharType="end"/>
      </w:r>
      <w:r>
        <w:rPr>
          <w:rFonts w:hint="eastAsia" w:asciiTheme="minorEastAsia" w:hAnsiTheme="minorEastAsia" w:eastAsiaTheme="minorEastAsia" w:cstheme="minorEastAsia"/>
          <w:color w:val="auto"/>
          <w:sz w:val="21"/>
          <w:szCs w:val="21"/>
          <w:highlight w:val="none"/>
        </w:rPr>
        <w:fldChar w:fldCharType="end"/>
      </w:r>
    </w:p>
    <w:p>
      <w:pPr>
        <w:pStyle w:val="34"/>
        <w:tabs>
          <w:tab w:val="right" w:leader="dot" w:pos="10204"/>
        </w:tabs>
        <w:ind w:firstLine="200" w:firstLineChars="100"/>
        <w:rPr>
          <w:rFonts w:asciiTheme="minorEastAsia" w:hAnsiTheme="minorEastAsia" w:eastAsiaTheme="minorEastAsia" w:cstheme="minorEastAsia"/>
          <w:color w:val="auto"/>
          <w:sz w:val="21"/>
          <w:szCs w:val="21"/>
          <w:highlight w:val="none"/>
        </w:rPr>
      </w:pPr>
      <w:r>
        <w:rPr>
          <w:color w:val="auto"/>
          <w:highlight w:val="none"/>
        </w:rPr>
        <w:fldChar w:fldCharType="begin"/>
      </w:r>
      <w:r>
        <w:rPr>
          <w:color w:val="auto"/>
          <w:highlight w:val="none"/>
        </w:rPr>
        <w:instrText xml:space="preserve"> HYPERLINK \l "_Toc28480" </w:instrText>
      </w:r>
      <w:r>
        <w:rPr>
          <w:color w:val="auto"/>
          <w:highlight w:val="none"/>
        </w:rPr>
        <w:fldChar w:fldCharType="separate"/>
      </w:r>
      <w:r>
        <w:rPr>
          <w:rFonts w:hint="eastAsia" w:asciiTheme="minorEastAsia" w:hAnsiTheme="minorEastAsia" w:eastAsiaTheme="minorEastAsia" w:cstheme="minorEastAsia"/>
          <w:color w:val="auto"/>
          <w:sz w:val="21"/>
          <w:szCs w:val="21"/>
          <w:highlight w:val="none"/>
        </w:rPr>
        <w:t>78. 支付事项</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PAGEREF _Toc28480 \h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rPr>
        <w:t>121</w:t>
      </w:r>
      <w:r>
        <w:rPr>
          <w:rFonts w:hint="eastAsia" w:asciiTheme="minorEastAsia" w:hAnsiTheme="minorEastAsia" w:eastAsiaTheme="minorEastAsia" w:cstheme="minorEastAsia"/>
          <w:color w:val="auto"/>
          <w:sz w:val="21"/>
          <w:szCs w:val="21"/>
          <w:highlight w:val="none"/>
        </w:rPr>
        <w:fldChar w:fldCharType="end"/>
      </w:r>
      <w:r>
        <w:rPr>
          <w:rFonts w:hint="eastAsia" w:asciiTheme="minorEastAsia" w:hAnsiTheme="minorEastAsia" w:eastAsiaTheme="minorEastAsia" w:cstheme="minorEastAsia"/>
          <w:color w:val="auto"/>
          <w:sz w:val="21"/>
          <w:szCs w:val="21"/>
          <w:highlight w:val="none"/>
        </w:rPr>
        <w:fldChar w:fldCharType="end"/>
      </w:r>
    </w:p>
    <w:p>
      <w:pPr>
        <w:pStyle w:val="34"/>
        <w:tabs>
          <w:tab w:val="right" w:leader="dot" w:pos="10204"/>
        </w:tabs>
        <w:ind w:firstLine="200" w:firstLineChars="100"/>
        <w:rPr>
          <w:rFonts w:asciiTheme="minorEastAsia" w:hAnsiTheme="minorEastAsia" w:eastAsiaTheme="minorEastAsia" w:cstheme="minorEastAsia"/>
          <w:color w:val="auto"/>
          <w:sz w:val="21"/>
          <w:szCs w:val="21"/>
          <w:highlight w:val="none"/>
        </w:rPr>
      </w:pPr>
      <w:r>
        <w:rPr>
          <w:color w:val="auto"/>
          <w:highlight w:val="none"/>
        </w:rPr>
        <w:fldChar w:fldCharType="begin"/>
      </w:r>
      <w:r>
        <w:rPr>
          <w:color w:val="auto"/>
          <w:highlight w:val="none"/>
        </w:rPr>
        <w:instrText xml:space="preserve"> HYPERLINK \l "_Toc22635" </w:instrText>
      </w:r>
      <w:r>
        <w:rPr>
          <w:color w:val="auto"/>
          <w:highlight w:val="none"/>
        </w:rPr>
        <w:fldChar w:fldCharType="separate"/>
      </w:r>
      <w:r>
        <w:rPr>
          <w:rFonts w:hint="eastAsia" w:asciiTheme="minorEastAsia" w:hAnsiTheme="minorEastAsia" w:eastAsiaTheme="minorEastAsia" w:cstheme="minorEastAsia"/>
          <w:color w:val="auto"/>
          <w:sz w:val="21"/>
          <w:szCs w:val="21"/>
          <w:highlight w:val="none"/>
        </w:rPr>
        <w:t>★79. 预付款</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PAGEREF _Toc22635 \h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rPr>
        <w:t>122</w:t>
      </w:r>
      <w:r>
        <w:rPr>
          <w:rFonts w:hint="eastAsia" w:asciiTheme="minorEastAsia" w:hAnsiTheme="minorEastAsia" w:eastAsiaTheme="minorEastAsia" w:cstheme="minorEastAsia"/>
          <w:color w:val="auto"/>
          <w:sz w:val="21"/>
          <w:szCs w:val="21"/>
          <w:highlight w:val="none"/>
        </w:rPr>
        <w:fldChar w:fldCharType="end"/>
      </w:r>
      <w:r>
        <w:rPr>
          <w:rFonts w:hint="eastAsia" w:asciiTheme="minorEastAsia" w:hAnsiTheme="minorEastAsia" w:eastAsiaTheme="minorEastAsia" w:cstheme="minorEastAsia"/>
          <w:color w:val="auto"/>
          <w:sz w:val="21"/>
          <w:szCs w:val="21"/>
          <w:highlight w:val="none"/>
        </w:rPr>
        <w:fldChar w:fldCharType="end"/>
      </w:r>
    </w:p>
    <w:p>
      <w:pPr>
        <w:pStyle w:val="34"/>
        <w:tabs>
          <w:tab w:val="right" w:leader="dot" w:pos="10204"/>
        </w:tabs>
        <w:ind w:firstLine="200" w:firstLineChars="100"/>
        <w:rPr>
          <w:rFonts w:asciiTheme="minorEastAsia" w:hAnsiTheme="minorEastAsia" w:eastAsiaTheme="minorEastAsia" w:cstheme="minorEastAsia"/>
          <w:color w:val="auto"/>
          <w:sz w:val="21"/>
          <w:szCs w:val="21"/>
          <w:highlight w:val="none"/>
        </w:rPr>
      </w:pPr>
      <w:r>
        <w:rPr>
          <w:color w:val="auto"/>
          <w:highlight w:val="none"/>
        </w:rPr>
        <w:fldChar w:fldCharType="begin"/>
      </w:r>
      <w:r>
        <w:rPr>
          <w:color w:val="auto"/>
          <w:highlight w:val="none"/>
        </w:rPr>
        <w:instrText xml:space="preserve"> HYPERLINK \l "_Toc28679" </w:instrText>
      </w:r>
      <w:r>
        <w:rPr>
          <w:color w:val="auto"/>
          <w:highlight w:val="none"/>
        </w:rPr>
        <w:fldChar w:fldCharType="separate"/>
      </w:r>
      <w:r>
        <w:rPr>
          <w:rFonts w:hint="eastAsia" w:asciiTheme="minorEastAsia" w:hAnsiTheme="minorEastAsia" w:eastAsiaTheme="minorEastAsia" w:cstheme="minorEastAsia"/>
          <w:color w:val="auto"/>
          <w:sz w:val="21"/>
          <w:szCs w:val="21"/>
          <w:highlight w:val="none"/>
        </w:rPr>
        <w:t>★80. 绿色施工安全防护费</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PAGEREF _Toc28679 \h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rPr>
        <w:t>122</w:t>
      </w:r>
      <w:r>
        <w:rPr>
          <w:rFonts w:hint="eastAsia" w:asciiTheme="minorEastAsia" w:hAnsiTheme="minorEastAsia" w:eastAsiaTheme="minorEastAsia" w:cstheme="minorEastAsia"/>
          <w:color w:val="auto"/>
          <w:sz w:val="21"/>
          <w:szCs w:val="21"/>
          <w:highlight w:val="none"/>
        </w:rPr>
        <w:fldChar w:fldCharType="end"/>
      </w:r>
      <w:r>
        <w:rPr>
          <w:rFonts w:hint="eastAsia" w:asciiTheme="minorEastAsia" w:hAnsiTheme="minorEastAsia" w:eastAsiaTheme="minorEastAsia" w:cstheme="minorEastAsia"/>
          <w:color w:val="auto"/>
          <w:sz w:val="21"/>
          <w:szCs w:val="21"/>
          <w:highlight w:val="none"/>
        </w:rPr>
        <w:fldChar w:fldCharType="end"/>
      </w:r>
    </w:p>
    <w:p>
      <w:pPr>
        <w:pStyle w:val="34"/>
        <w:tabs>
          <w:tab w:val="right" w:leader="dot" w:pos="10204"/>
        </w:tabs>
        <w:ind w:firstLine="200" w:firstLineChars="100"/>
        <w:rPr>
          <w:rFonts w:asciiTheme="minorEastAsia" w:hAnsiTheme="minorEastAsia" w:eastAsiaTheme="minorEastAsia" w:cstheme="minorEastAsia"/>
          <w:color w:val="auto"/>
          <w:sz w:val="21"/>
          <w:szCs w:val="21"/>
          <w:highlight w:val="none"/>
        </w:rPr>
      </w:pPr>
      <w:r>
        <w:rPr>
          <w:color w:val="auto"/>
          <w:highlight w:val="none"/>
        </w:rPr>
        <w:fldChar w:fldCharType="begin"/>
      </w:r>
      <w:r>
        <w:rPr>
          <w:color w:val="auto"/>
          <w:highlight w:val="none"/>
        </w:rPr>
        <w:instrText xml:space="preserve"> HYPERLINK \l "_Toc17759" </w:instrText>
      </w:r>
      <w:r>
        <w:rPr>
          <w:color w:val="auto"/>
          <w:highlight w:val="none"/>
        </w:rPr>
        <w:fldChar w:fldCharType="separate"/>
      </w:r>
      <w:r>
        <w:rPr>
          <w:rFonts w:hint="eastAsia" w:asciiTheme="minorEastAsia" w:hAnsiTheme="minorEastAsia" w:eastAsiaTheme="minorEastAsia" w:cstheme="minorEastAsia"/>
          <w:color w:val="auto"/>
          <w:sz w:val="21"/>
          <w:szCs w:val="21"/>
          <w:highlight w:val="none"/>
        </w:rPr>
        <w:t>★81. 进度款</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PAGEREF _Toc17759 \h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rPr>
        <w:t>123</w:t>
      </w:r>
      <w:r>
        <w:rPr>
          <w:rFonts w:hint="eastAsia" w:asciiTheme="minorEastAsia" w:hAnsiTheme="minorEastAsia" w:eastAsiaTheme="minorEastAsia" w:cstheme="minorEastAsia"/>
          <w:color w:val="auto"/>
          <w:sz w:val="21"/>
          <w:szCs w:val="21"/>
          <w:highlight w:val="none"/>
        </w:rPr>
        <w:fldChar w:fldCharType="end"/>
      </w:r>
      <w:r>
        <w:rPr>
          <w:rFonts w:hint="eastAsia" w:asciiTheme="minorEastAsia" w:hAnsiTheme="minorEastAsia" w:eastAsiaTheme="minorEastAsia" w:cstheme="minorEastAsia"/>
          <w:color w:val="auto"/>
          <w:sz w:val="21"/>
          <w:szCs w:val="21"/>
          <w:highlight w:val="none"/>
        </w:rPr>
        <w:fldChar w:fldCharType="end"/>
      </w:r>
    </w:p>
    <w:p>
      <w:pPr>
        <w:pStyle w:val="34"/>
        <w:tabs>
          <w:tab w:val="right" w:leader="dot" w:pos="10204"/>
        </w:tabs>
        <w:ind w:firstLine="200" w:firstLineChars="100"/>
        <w:rPr>
          <w:rFonts w:asciiTheme="minorEastAsia" w:hAnsiTheme="minorEastAsia" w:eastAsiaTheme="minorEastAsia" w:cstheme="minorEastAsia"/>
          <w:color w:val="auto"/>
          <w:sz w:val="21"/>
          <w:szCs w:val="21"/>
          <w:highlight w:val="none"/>
        </w:rPr>
      </w:pPr>
      <w:r>
        <w:rPr>
          <w:color w:val="auto"/>
          <w:highlight w:val="none"/>
        </w:rPr>
        <w:fldChar w:fldCharType="begin"/>
      </w:r>
      <w:r>
        <w:rPr>
          <w:color w:val="auto"/>
          <w:highlight w:val="none"/>
        </w:rPr>
        <w:instrText xml:space="preserve"> HYPERLINK \l "_Toc25544" </w:instrText>
      </w:r>
      <w:r>
        <w:rPr>
          <w:color w:val="auto"/>
          <w:highlight w:val="none"/>
        </w:rPr>
        <w:fldChar w:fldCharType="separate"/>
      </w:r>
      <w:r>
        <w:rPr>
          <w:rFonts w:hint="eastAsia" w:asciiTheme="minorEastAsia" w:hAnsiTheme="minorEastAsia" w:eastAsiaTheme="minorEastAsia" w:cstheme="minorEastAsia"/>
          <w:color w:val="auto"/>
          <w:sz w:val="21"/>
          <w:szCs w:val="21"/>
          <w:highlight w:val="none"/>
        </w:rPr>
        <w:t>82. 竣工结算</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PAGEREF _Toc25544 \h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rPr>
        <w:t>124</w:t>
      </w:r>
      <w:r>
        <w:rPr>
          <w:rFonts w:hint="eastAsia" w:asciiTheme="minorEastAsia" w:hAnsiTheme="minorEastAsia" w:eastAsiaTheme="minorEastAsia" w:cstheme="minorEastAsia"/>
          <w:color w:val="auto"/>
          <w:sz w:val="21"/>
          <w:szCs w:val="21"/>
          <w:highlight w:val="none"/>
        </w:rPr>
        <w:fldChar w:fldCharType="end"/>
      </w:r>
      <w:r>
        <w:rPr>
          <w:rFonts w:hint="eastAsia" w:asciiTheme="minorEastAsia" w:hAnsiTheme="minorEastAsia" w:eastAsiaTheme="minorEastAsia" w:cstheme="minorEastAsia"/>
          <w:color w:val="auto"/>
          <w:sz w:val="21"/>
          <w:szCs w:val="21"/>
          <w:highlight w:val="none"/>
        </w:rPr>
        <w:fldChar w:fldCharType="end"/>
      </w:r>
    </w:p>
    <w:p>
      <w:pPr>
        <w:pStyle w:val="34"/>
        <w:tabs>
          <w:tab w:val="right" w:leader="dot" w:pos="10204"/>
        </w:tabs>
        <w:ind w:firstLine="200" w:firstLineChars="100"/>
        <w:rPr>
          <w:rFonts w:asciiTheme="minorEastAsia" w:hAnsiTheme="minorEastAsia" w:eastAsiaTheme="minorEastAsia" w:cstheme="minorEastAsia"/>
          <w:color w:val="auto"/>
          <w:sz w:val="21"/>
          <w:szCs w:val="21"/>
          <w:highlight w:val="none"/>
        </w:rPr>
      </w:pPr>
      <w:r>
        <w:rPr>
          <w:color w:val="auto"/>
          <w:highlight w:val="none"/>
        </w:rPr>
        <w:fldChar w:fldCharType="begin"/>
      </w:r>
      <w:r>
        <w:rPr>
          <w:color w:val="auto"/>
          <w:highlight w:val="none"/>
        </w:rPr>
        <w:instrText xml:space="preserve"> HYPERLINK \l "_Toc30564" </w:instrText>
      </w:r>
      <w:r>
        <w:rPr>
          <w:color w:val="auto"/>
          <w:highlight w:val="none"/>
        </w:rPr>
        <w:fldChar w:fldCharType="separate"/>
      </w:r>
      <w:r>
        <w:rPr>
          <w:rFonts w:hint="eastAsia" w:asciiTheme="minorEastAsia" w:hAnsiTheme="minorEastAsia" w:eastAsiaTheme="minorEastAsia" w:cstheme="minorEastAsia"/>
          <w:color w:val="auto"/>
          <w:sz w:val="21"/>
          <w:szCs w:val="21"/>
          <w:highlight w:val="none"/>
        </w:rPr>
        <w:t>★83. 结算款</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PAGEREF _Toc30564 \h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rPr>
        <w:t>129</w:t>
      </w:r>
      <w:r>
        <w:rPr>
          <w:rFonts w:hint="eastAsia" w:asciiTheme="minorEastAsia" w:hAnsiTheme="minorEastAsia" w:eastAsiaTheme="minorEastAsia" w:cstheme="minorEastAsia"/>
          <w:color w:val="auto"/>
          <w:sz w:val="21"/>
          <w:szCs w:val="21"/>
          <w:highlight w:val="none"/>
        </w:rPr>
        <w:fldChar w:fldCharType="end"/>
      </w:r>
      <w:r>
        <w:rPr>
          <w:rFonts w:hint="eastAsia" w:asciiTheme="minorEastAsia" w:hAnsiTheme="minorEastAsia" w:eastAsiaTheme="minorEastAsia" w:cstheme="minorEastAsia"/>
          <w:color w:val="auto"/>
          <w:sz w:val="21"/>
          <w:szCs w:val="21"/>
          <w:highlight w:val="none"/>
        </w:rPr>
        <w:fldChar w:fldCharType="end"/>
      </w:r>
    </w:p>
    <w:p>
      <w:pPr>
        <w:pStyle w:val="34"/>
        <w:tabs>
          <w:tab w:val="right" w:leader="dot" w:pos="10204"/>
        </w:tabs>
        <w:ind w:firstLine="200" w:firstLineChars="100"/>
        <w:rPr>
          <w:rFonts w:asciiTheme="minorEastAsia" w:hAnsiTheme="minorEastAsia" w:eastAsiaTheme="minorEastAsia" w:cstheme="minorEastAsia"/>
          <w:color w:val="auto"/>
          <w:sz w:val="21"/>
          <w:szCs w:val="21"/>
          <w:highlight w:val="none"/>
        </w:rPr>
      </w:pPr>
      <w:r>
        <w:rPr>
          <w:color w:val="auto"/>
          <w:highlight w:val="none"/>
        </w:rPr>
        <w:fldChar w:fldCharType="begin"/>
      </w:r>
      <w:r>
        <w:rPr>
          <w:color w:val="auto"/>
          <w:highlight w:val="none"/>
        </w:rPr>
        <w:instrText xml:space="preserve"> HYPERLINK \l "_Toc23195" </w:instrText>
      </w:r>
      <w:r>
        <w:rPr>
          <w:color w:val="auto"/>
          <w:highlight w:val="none"/>
        </w:rPr>
        <w:fldChar w:fldCharType="separate"/>
      </w:r>
      <w:r>
        <w:rPr>
          <w:rFonts w:hint="eastAsia" w:asciiTheme="minorEastAsia" w:hAnsiTheme="minorEastAsia" w:eastAsiaTheme="minorEastAsia" w:cstheme="minorEastAsia"/>
          <w:color w:val="auto"/>
          <w:sz w:val="21"/>
          <w:szCs w:val="21"/>
          <w:highlight w:val="none"/>
        </w:rPr>
        <w:t>★84. 质量保证金</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PAGEREF _Toc23195 \h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rPr>
        <w:t>129</w:t>
      </w:r>
      <w:r>
        <w:rPr>
          <w:rFonts w:hint="eastAsia" w:asciiTheme="minorEastAsia" w:hAnsiTheme="minorEastAsia" w:eastAsiaTheme="minorEastAsia" w:cstheme="minorEastAsia"/>
          <w:color w:val="auto"/>
          <w:sz w:val="21"/>
          <w:szCs w:val="21"/>
          <w:highlight w:val="none"/>
        </w:rPr>
        <w:fldChar w:fldCharType="end"/>
      </w:r>
      <w:r>
        <w:rPr>
          <w:rFonts w:hint="eastAsia" w:asciiTheme="minorEastAsia" w:hAnsiTheme="minorEastAsia" w:eastAsiaTheme="minorEastAsia" w:cstheme="minorEastAsia"/>
          <w:color w:val="auto"/>
          <w:sz w:val="21"/>
          <w:szCs w:val="21"/>
          <w:highlight w:val="none"/>
        </w:rPr>
        <w:fldChar w:fldCharType="end"/>
      </w:r>
    </w:p>
    <w:p>
      <w:pPr>
        <w:pStyle w:val="34"/>
        <w:tabs>
          <w:tab w:val="right" w:leader="dot" w:pos="10204"/>
        </w:tabs>
        <w:ind w:firstLine="200" w:firstLineChars="100"/>
        <w:rPr>
          <w:rFonts w:asciiTheme="minorEastAsia" w:hAnsiTheme="minorEastAsia" w:eastAsiaTheme="minorEastAsia" w:cstheme="minorEastAsia"/>
          <w:color w:val="auto"/>
          <w:sz w:val="21"/>
          <w:szCs w:val="21"/>
          <w:highlight w:val="none"/>
        </w:rPr>
      </w:pPr>
      <w:r>
        <w:rPr>
          <w:color w:val="auto"/>
          <w:highlight w:val="none"/>
        </w:rPr>
        <w:fldChar w:fldCharType="begin"/>
      </w:r>
      <w:r>
        <w:rPr>
          <w:color w:val="auto"/>
          <w:highlight w:val="none"/>
        </w:rPr>
        <w:instrText xml:space="preserve"> HYPERLINK \l "_Toc7024" </w:instrText>
      </w:r>
      <w:r>
        <w:rPr>
          <w:color w:val="auto"/>
          <w:highlight w:val="none"/>
        </w:rPr>
        <w:fldChar w:fldCharType="separate"/>
      </w:r>
      <w:r>
        <w:rPr>
          <w:rFonts w:hint="eastAsia" w:asciiTheme="minorEastAsia" w:hAnsiTheme="minorEastAsia" w:eastAsiaTheme="minorEastAsia" w:cstheme="minorEastAsia"/>
          <w:color w:val="auto"/>
          <w:sz w:val="21"/>
          <w:szCs w:val="21"/>
          <w:highlight w:val="none"/>
        </w:rPr>
        <w:t>85. 最终清算款</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PAGEREF _Toc7024 \h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rPr>
        <w:t>129</w:t>
      </w:r>
      <w:r>
        <w:rPr>
          <w:rFonts w:hint="eastAsia" w:asciiTheme="minorEastAsia" w:hAnsiTheme="minorEastAsia" w:eastAsiaTheme="minorEastAsia" w:cstheme="minorEastAsia"/>
          <w:color w:val="auto"/>
          <w:sz w:val="21"/>
          <w:szCs w:val="21"/>
          <w:highlight w:val="none"/>
        </w:rPr>
        <w:fldChar w:fldCharType="end"/>
      </w:r>
      <w:r>
        <w:rPr>
          <w:rFonts w:hint="eastAsia" w:asciiTheme="minorEastAsia" w:hAnsiTheme="minorEastAsia" w:eastAsiaTheme="minorEastAsia" w:cstheme="minorEastAsia"/>
          <w:color w:val="auto"/>
          <w:sz w:val="21"/>
          <w:szCs w:val="21"/>
          <w:highlight w:val="none"/>
        </w:rPr>
        <w:fldChar w:fldCharType="end"/>
      </w:r>
    </w:p>
    <w:p>
      <w:pPr>
        <w:pStyle w:val="34"/>
        <w:tabs>
          <w:tab w:val="right" w:leader="dot" w:pos="10204"/>
        </w:tabs>
        <w:ind w:firstLine="200" w:firstLineChars="100"/>
        <w:rPr>
          <w:rFonts w:asciiTheme="minorEastAsia" w:hAnsiTheme="minorEastAsia" w:eastAsiaTheme="minorEastAsia" w:cstheme="minorEastAsia"/>
          <w:color w:val="auto"/>
          <w:sz w:val="21"/>
          <w:szCs w:val="21"/>
          <w:highlight w:val="none"/>
        </w:rPr>
      </w:pPr>
      <w:r>
        <w:rPr>
          <w:color w:val="auto"/>
          <w:highlight w:val="none"/>
        </w:rPr>
        <w:fldChar w:fldCharType="begin"/>
      </w:r>
      <w:r>
        <w:rPr>
          <w:color w:val="auto"/>
          <w:highlight w:val="none"/>
        </w:rPr>
        <w:instrText xml:space="preserve"> HYPERLINK \l "_Toc2417" </w:instrText>
      </w:r>
      <w:r>
        <w:rPr>
          <w:color w:val="auto"/>
          <w:highlight w:val="none"/>
        </w:rPr>
        <w:fldChar w:fldCharType="separate"/>
      </w:r>
      <w:r>
        <w:rPr>
          <w:rFonts w:hint="eastAsia" w:asciiTheme="minorEastAsia" w:hAnsiTheme="minorEastAsia" w:eastAsiaTheme="minorEastAsia" w:cstheme="minorEastAsia"/>
          <w:color w:val="auto"/>
          <w:sz w:val="21"/>
          <w:szCs w:val="21"/>
          <w:highlight w:val="none"/>
        </w:rPr>
        <w:t>86. 合同争议</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PAGEREF _Toc2417 \h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rPr>
        <w:t>129</w:t>
      </w:r>
      <w:r>
        <w:rPr>
          <w:rFonts w:hint="eastAsia" w:asciiTheme="minorEastAsia" w:hAnsiTheme="minorEastAsia" w:eastAsiaTheme="minorEastAsia" w:cstheme="minorEastAsia"/>
          <w:color w:val="auto"/>
          <w:sz w:val="21"/>
          <w:szCs w:val="21"/>
          <w:highlight w:val="none"/>
        </w:rPr>
        <w:fldChar w:fldCharType="end"/>
      </w:r>
      <w:r>
        <w:rPr>
          <w:rFonts w:hint="eastAsia" w:asciiTheme="minorEastAsia" w:hAnsiTheme="minorEastAsia" w:eastAsiaTheme="minorEastAsia" w:cstheme="minorEastAsia"/>
          <w:color w:val="auto"/>
          <w:sz w:val="21"/>
          <w:szCs w:val="21"/>
          <w:highlight w:val="none"/>
        </w:rPr>
        <w:fldChar w:fldCharType="end"/>
      </w:r>
    </w:p>
    <w:p>
      <w:pPr>
        <w:pStyle w:val="34"/>
        <w:tabs>
          <w:tab w:val="right" w:leader="dot" w:pos="10204"/>
        </w:tabs>
        <w:ind w:firstLine="200" w:firstLineChars="100"/>
        <w:rPr>
          <w:rFonts w:asciiTheme="minorEastAsia" w:hAnsiTheme="minorEastAsia" w:eastAsiaTheme="minorEastAsia" w:cstheme="minorEastAsia"/>
          <w:color w:val="auto"/>
          <w:sz w:val="21"/>
          <w:szCs w:val="21"/>
          <w:highlight w:val="none"/>
        </w:rPr>
      </w:pPr>
      <w:r>
        <w:rPr>
          <w:color w:val="auto"/>
          <w:highlight w:val="none"/>
        </w:rPr>
        <w:fldChar w:fldCharType="begin"/>
      </w:r>
      <w:r>
        <w:rPr>
          <w:color w:val="auto"/>
          <w:highlight w:val="none"/>
        </w:rPr>
        <w:instrText xml:space="preserve"> HYPERLINK \l "_Toc7716" </w:instrText>
      </w:r>
      <w:r>
        <w:rPr>
          <w:color w:val="auto"/>
          <w:highlight w:val="none"/>
        </w:rPr>
        <w:fldChar w:fldCharType="separate"/>
      </w:r>
      <w:r>
        <w:rPr>
          <w:rFonts w:hint="eastAsia" w:asciiTheme="minorEastAsia" w:hAnsiTheme="minorEastAsia" w:eastAsiaTheme="minorEastAsia" w:cstheme="minorEastAsia"/>
          <w:color w:val="auto"/>
          <w:sz w:val="21"/>
          <w:szCs w:val="21"/>
          <w:highlight w:val="none"/>
        </w:rPr>
        <w:t>94. 保密要求</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PAGEREF _Toc7716 \h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rPr>
        <w:t>130</w:t>
      </w:r>
      <w:r>
        <w:rPr>
          <w:rFonts w:hint="eastAsia" w:asciiTheme="minorEastAsia" w:hAnsiTheme="minorEastAsia" w:eastAsiaTheme="minorEastAsia" w:cstheme="minorEastAsia"/>
          <w:color w:val="auto"/>
          <w:sz w:val="21"/>
          <w:szCs w:val="21"/>
          <w:highlight w:val="none"/>
        </w:rPr>
        <w:fldChar w:fldCharType="end"/>
      </w:r>
      <w:r>
        <w:rPr>
          <w:rFonts w:hint="eastAsia" w:asciiTheme="minorEastAsia" w:hAnsiTheme="minorEastAsia" w:eastAsiaTheme="minorEastAsia" w:cstheme="minorEastAsia"/>
          <w:color w:val="auto"/>
          <w:sz w:val="21"/>
          <w:szCs w:val="21"/>
          <w:highlight w:val="none"/>
        </w:rPr>
        <w:fldChar w:fldCharType="end"/>
      </w:r>
    </w:p>
    <w:p>
      <w:pPr>
        <w:pStyle w:val="34"/>
        <w:tabs>
          <w:tab w:val="right" w:leader="dot" w:pos="10204"/>
        </w:tabs>
        <w:ind w:firstLine="200" w:firstLineChars="100"/>
        <w:rPr>
          <w:rFonts w:asciiTheme="minorEastAsia" w:hAnsiTheme="minorEastAsia" w:eastAsiaTheme="minorEastAsia" w:cstheme="minorEastAsia"/>
          <w:color w:val="auto"/>
          <w:sz w:val="21"/>
          <w:szCs w:val="21"/>
          <w:highlight w:val="none"/>
        </w:rPr>
      </w:pPr>
      <w:r>
        <w:rPr>
          <w:color w:val="auto"/>
          <w:highlight w:val="none"/>
        </w:rPr>
        <w:fldChar w:fldCharType="begin"/>
      </w:r>
      <w:r>
        <w:rPr>
          <w:color w:val="auto"/>
          <w:highlight w:val="none"/>
        </w:rPr>
        <w:instrText xml:space="preserve"> HYPERLINK \l "_Toc13146" </w:instrText>
      </w:r>
      <w:r>
        <w:rPr>
          <w:color w:val="auto"/>
          <w:highlight w:val="none"/>
        </w:rPr>
        <w:fldChar w:fldCharType="separate"/>
      </w:r>
      <w:r>
        <w:rPr>
          <w:rFonts w:hint="eastAsia" w:asciiTheme="minorEastAsia" w:hAnsiTheme="minorEastAsia" w:eastAsiaTheme="minorEastAsia" w:cstheme="minorEastAsia"/>
          <w:color w:val="auto"/>
          <w:sz w:val="21"/>
          <w:szCs w:val="21"/>
          <w:highlight w:val="none"/>
        </w:rPr>
        <w:t>97. 合同份数</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PAGEREF _Toc13146 \h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rPr>
        <w:t>130</w:t>
      </w:r>
      <w:r>
        <w:rPr>
          <w:rFonts w:hint="eastAsia" w:asciiTheme="minorEastAsia" w:hAnsiTheme="minorEastAsia" w:eastAsiaTheme="minorEastAsia" w:cstheme="minorEastAsia"/>
          <w:color w:val="auto"/>
          <w:sz w:val="21"/>
          <w:szCs w:val="21"/>
          <w:highlight w:val="none"/>
        </w:rPr>
        <w:fldChar w:fldCharType="end"/>
      </w:r>
      <w:r>
        <w:rPr>
          <w:rFonts w:hint="eastAsia" w:asciiTheme="minorEastAsia" w:hAnsiTheme="minorEastAsia" w:eastAsiaTheme="minorEastAsia" w:cstheme="minorEastAsia"/>
          <w:color w:val="auto"/>
          <w:sz w:val="21"/>
          <w:szCs w:val="21"/>
          <w:highlight w:val="none"/>
        </w:rPr>
        <w:fldChar w:fldCharType="end"/>
      </w:r>
    </w:p>
    <w:p>
      <w:pPr>
        <w:pStyle w:val="29"/>
        <w:tabs>
          <w:tab w:val="right" w:leader="dot" w:pos="10204"/>
        </w:tabs>
        <w:spacing w:before="0" w:after="0"/>
        <w:rPr>
          <w:rFonts w:asciiTheme="minorEastAsia" w:hAnsiTheme="minorEastAsia" w:eastAsiaTheme="minorEastAsia" w:cstheme="minorEastAsia"/>
          <w:b w:val="0"/>
          <w:bCs w:val="0"/>
          <w:color w:val="auto"/>
          <w:sz w:val="21"/>
          <w:szCs w:val="21"/>
          <w:highlight w:val="none"/>
        </w:rPr>
      </w:pPr>
      <w:r>
        <w:rPr>
          <w:color w:val="auto"/>
          <w:highlight w:val="none"/>
        </w:rPr>
        <w:fldChar w:fldCharType="begin"/>
      </w:r>
      <w:r>
        <w:rPr>
          <w:color w:val="auto"/>
          <w:highlight w:val="none"/>
        </w:rPr>
        <w:instrText xml:space="preserve"> HYPERLINK \l "_Toc27509" </w:instrText>
      </w:r>
      <w:r>
        <w:rPr>
          <w:color w:val="auto"/>
          <w:highlight w:val="none"/>
        </w:rPr>
        <w:fldChar w:fldCharType="separate"/>
      </w:r>
      <w:r>
        <w:rPr>
          <w:rFonts w:hint="eastAsia" w:asciiTheme="minorEastAsia" w:hAnsiTheme="minorEastAsia" w:eastAsiaTheme="minorEastAsia" w:cstheme="minorEastAsia"/>
          <w:b w:val="0"/>
          <w:bCs w:val="0"/>
          <w:color w:val="auto"/>
          <w:sz w:val="21"/>
          <w:szCs w:val="21"/>
          <w:highlight w:val="none"/>
        </w:rPr>
        <w:t>第四部分  附件与格式</w:t>
      </w:r>
      <w:r>
        <w:rPr>
          <w:rFonts w:hint="eastAsia" w:asciiTheme="minorEastAsia" w:hAnsiTheme="minorEastAsia" w:eastAsiaTheme="minorEastAsia" w:cstheme="minorEastAsia"/>
          <w:b w:val="0"/>
          <w:bCs w:val="0"/>
          <w:color w:val="auto"/>
          <w:sz w:val="21"/>
          <w:szCs w:val="21"/>
          <w:highlight w:val="none"/>
        </w:rPr>
        <w:tab/>
      </w:r>
      <w:r>
        <w:rPr>
          <w:rFonts w:hint="eastAsia" w:asciiTheme="minorEastAsia" w:hAnsiTheme="minorEastAsia" w:eastAsiaTheme="minorEastAsia" w:cstheme="minorEastAsia"/>
          <w:b w:val="0"/>
          <w:bCs w:val="0"/>
          <w:color w:val="auto"/>
          <w:sz w:val="21"/>
          <w:szCs w:val="21"/>
          <w:highlight w:val="none"/>
        </w:rPr>
        <w:fldChar w:fldCharType="begin"/>
      </w:r>
      <w:r>
        <w:rPr>
          <w:rFonts w:hint="eastAsia" w:asciiTheme="minorEastAsia" w:hAnsiTheme="minorEastAsia" w:eastAsiaTheme="minorEastAsia" w:cstheme="minorEastAsia"/>
          <w:b w:val="0"/>
          <w:bCs w:val="0"/>
          <w:color w:val="auto"/>
          <w:sz w:val="21"/>
          <w:szCs w:val="21"/>
          <w:highlight w:val="none"/>
        </w:rPr>
        <w:instrText xml:space="preserve"> PAGEREF _Toc27509 \h </w:instrText>
      </w:r>
      <w:r>
        <w:rPr>
          <w:rFonts w:hint="eastAsia" w:asciiTheme="minorEastAsia" w:hAnsiTheme="minorEastAsia" w:eastAsiaTheme="minorEastAsia" w:cstheme="minorEastAsia"/>
          <w:b w:val="0"/>
          <w:bCs w:val="0"/>
          <w:color w:val="auto"/>
          <w:sz w:val="21"/>
          <w:szCs w:val="21"/>
          <w:highlight w:val="none"/>
        </w:rPr>
        <w:fldChar w:fldCharType="separate"/>
      </w:r>
      <w:r>
        <w:rPr>
          <w:rFonts w:hint="eastAsia" w:asciiTheme="minorEastAsia" w:hAnsiTheme="minorEastAsia" w:eastAsiaTheme="minorEastAsia" w:cstheme="minorEastAsia"/>
          <w:b w:val="0"/>
          <w:bCs w:val="0"/>
          <w:color w:val="auto"/>
          <w:sz w:val="21"/>
          <w:szCs w:val="21"/>
          <w:highlight w:val="none"/>
        </w:rPr>
        <w:t>131</w:t>
      </w:r>
      <w:r>
        <w:rPr>
          <w:rFonts w:hint="eastAsia" w:asciiTheme="minorEastAsia" w:hAnsiTheme="minorEastAsia" w:eastAsiaTheme="minorEastAsia" w:cstheme="minorEastAsia"/>
          <w:b w:val="0"/>
          <w:bCs w:val="0"/>
          <w:color w:val="auto"/>
          <w:sz w:val="21"/>
          <w:szCs w:val="21"/>
          <w:highlight w:val="none"/>
        </w:rPr>
        <w:fldChar w:fldCharType="end"/>
      </w:r>
      <w:r>
        <w:rPr>
          <w:rFonts w:hint="eastAsia" w:asciiTheme="minorEastAsia" w:hAnsiTheme="minorEastAsia" w:eastAsiaTheme="minorEastAsia" w:cstheme="minorEastAsia"/>
          <w:b w:val="0"/>
          <w:bCs w:val="0"/>
          <w:color w:val="auto"/>
          <w:sz w:val="21"/>
          <w:szCs w:val="21"/>
          <w:highlight w:val="none"/>
        </w:rPr>
        <w:fldChar w:fldCharType="end"/>
      </w:r>
    </w:p>
    <w:p>
      <w:pPr>
        <w:shd w:val="clear" w:color="000000" w:fill="auto"/>
        <w:rPr>
          <w:rFonts w:cs="Times New Roman"/>
          <w:b/>
          <w:bCs/>
          <w:color w:val="auto"/>
          <w:highlight w:val="none"/>
        </w:rPr>
      </w:pPr>
      <w:r>
        <w:rPr>
          <w:rFonts w:hint="eastAsia" w:asciiTheme="minorEastAsia" w:hAnsiTheme="minorEastAsia" w:eastAsiaTheme="minorEastAsia" w:cstheme="minorEastAsia"/>
          <w:color w:val="auto"/>
          <w:highlight w:val="none"/>
        </w:rPr>
        <w:fldChar w:fldCharType="end"/>
      </w:r>
    </w:p>
    <w:p>
      <w:pPr>
        <w:widowControl/>
        <w:shd w:val="clear" w:color="000000" w:fill="auto"/>
        <w:jc w:val="left"/>
        <w:rPr>
          <w:rFonts w:ascii="宋体" w:cs="Times New Roman"/>
          <w:color w:val="auto"/>
          <w:kern w:val="0"/>
          <w:sz w:val="36"/>
          <w:szCs w:val="36"/>
          <w:highlight w:val="none"/>
        </w:rPr>
      </w:pPr>
      <w:bookmarkStart w:id="4" w:name="_Toc266892751"/>
    </w:p>
    <w:p>
      <w:pPr>
        <w:widowControl/>
        <w:shd w:val="clear" w:color="000000" w:fill="auto"/>
        <w:jc w:val="left"/>
        <w:rPr>
          <w:rFonts w:ascii="宋体" w:cs="Times New Roman"/>
          <w:color w:val="auto"/>
          <w:sz w:val="36"/>
          <w:szCs w:val="36"/>
          <w:highlight w:val="none"/>
        </w:rPr>
      </w:pPr>
    </w:p>
    <w:p>
      <w:pPr>
        <w:pStyle w:val="99"/>
        <w:shd w:val="clear" w:color="000000" w:fill="auto"/>
        <w:spacing w:before="0" w:after="0" w:line="500" w:lineRule="exact"/>
        <w:jc w:val="center"/>
        <w:outlineLvl w:val="0"/>
        <w:rPr>
          <w:rFonts w:ascii="仿宋" w:hAnsi="仿宋" w:eastAsia="仿宋" w:cs="Times New Roman"/>
          <w:color w:val="auto"/>
          <w:sz w:val="36"/>
          <w:szCs w:val="36"/>
          <w:highlight w:val="none"/>
          <w:lang w:val="zh-CN"/>
        </w:rPr>
      </w:pPr>
      <w:r>
        <w:rPr>
          <w:rFonts w:hint="eastAsia" w:ascii="仿宋" w:hAnsi="仿宋" w:eastAsia="仿宋" w:cs="仿宋"/>
          <w:color w:val="auto"/>
          <w:sz w:val="36"/>
          <w:szCs w:val="36"/>
          <w:highlight w:val="none"/>
          <w:lang w:val="zh-CN"/>
        </w:rPr>
        <w:br w:type="page"/>
      </w:r>
      <w:bookmarkStart w:id="5" w:name="_Toc18890"/>
      <w:bookmarkStart w:id="6" w:name="_Toc12048"/>
      <w:r>
        <w:rPr>
          <w:rFonts w:hint="eastAsia" w:ascii="仿宋" w:hAnsi="仿宋" w:eastAsia="仿宋" w:cs="仿宋"/>
          <w:color w:val="auto"/>
          <w:sz w:val="36"/>
          <w:szCs w:val="36"/>
          <w:highlight w:val="none"/>
          <w:lang w:val="zh-CN"/>
        </w:rPr>
        <w:t>总</w:t>
      </w:r>
      <w:r>
        <w:rPr>
          <w:rFonts w:ascii="仿宋" w:hAnsi="仿宋" w:eastAsia="仿宋" w:cs="仿宋"/>
          <w:color w:val="auto"/>
          <w:sz w:val="36"/>
          <w:szCs w:val="36"/>
          <w:highlight w:val="none"/>
          <w:lang w:val="zh-CN"/>
        </w:rPr>
        <w:t xml:space="preserve">  </w:t>
      </w:r>
      <w:r>
        <w:rPr>
          <w:rFonts w:hint="eastAsia" w:ascii="仿宋" w:hAnsi="仿宋" w:eastAsia="仿宋" w:cs="仿宋"/>
          <w:color w:val="auto"/>
          <w:sz w:val="36"/>
          <w:szCs w:val="36"/>
          <w:highlight w:val="none"/>
          <w:lang w:val="zh-CN"/>
        </w:rPr>
        <w:t>说</w:t>
      </w:r>
      <w:r>
        <w:rPr>
          <w:rFonts w:ascii="仿宋" w:hAnsi="仿宋" w:eastAsia="仿宋" w:cs="仿宋"/>
          <w:color w:val="auto"/>
          <w:sz w:val="36"/>
          <w:szCs w:val="36"/>
          <w:highlight w:val="none"/>
          <w:lang w:val="zh-CN"/>
        </w:rPr>
        <w:t xml:space="preserve">  </w:t>
      </w:r>
      <w:r>
        <w:rPr>
          <w:rFonts w:hint="eastAsia" w:ascii="仿宋" w:hAnsi="仿宋" w:eastAsia="仿宋" w:cs="仿宋"/>
          <w:color w:val="auto"/>
          <w:sz w:val="36"/>
          <w:szCs w:val="36"/>
          <w:highlight w:val="none"/>
          <w:lang w:val="zh-CN"/>
        </w:rPr>
        <w:t>明</w:t>
      </w:r>
      <w:bookmarkEnd w:id="5"/>
      <w:bookmarkEnd w:id="6"/>
    </w:p>
    <w:p>
      <w:pPr>
        <w:shd w:val="clear" w:color="000000" w:fill="auto"/>
        <w:rPr>
          <w:rFonts w:cs="Times New Roman"/>
          <w:color w:val="auto"/>
          <w:highlight w:val="none"/>
          <w:lang w:val="zh-CN"/>
        </w:rPr>
      </w:pPr>
    </w:p>
    <w:p>
      <w:pPr>
        <w:shd w:val="clear" w:color="000000" w:fill="auto"/>
        <w:spacing w:line="500" w:lineRule="exact"/>
        <w:ind w:firstLine="480" w:firstLineChars="20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为了指导建设工程施工合同当事人的签约行为，维护合同当事人的合法权益，依据《中华人民共和国民法典》、《中华人民共和国建筑法》、《中华人民共和国招标投标法》以及相关法律法规，参照《建设工程施工合同（示范文本）》（</w:t>
      </w:r>
      <w:r>
        <w:rPr>
          <w:rFonts w:ascii="仿宋" w:hAnsi="仿宋" w:eastAsia="仿宋" w:cs="仿宋"/>
          <w:color w:val="auto"/>
          <w:sz w:val="24"/>
          <w:szCs w:val="24"/>
          <w:highlight w:val="none"/>
        </w:rPr>
        <w:t>GF—2017—0201</w:t>
      </w:r>
      <w:r>
        <w:rPr>
          <w:rFonts w:hint="eastAsia" w:ascii="仿宋" w:hAnsi="仿宋" w:eastAsia="仿宋" w:cs="仿宋"/>
          <w:color w:val="auto"/>
          <w:sz w:val="24"/>
          <w:szCs w:val="24"/>
          <w:highlight w:val="none"/>
        </w:rPr>
        <w:t>）、《广东省建设工程标准施工合同（</w:t>
      </w:r>
      <w:r>
        <w:rPr>
          <w:rFonts w:ascii="仿宋" w:hAnsi="仿宋" w:eastAsia="仿宋" w:cs="仿宋"/>
          <w:color w:val="auto"/>
          <w:sz w:val="24"/>
          <w:szCs w:val="24"/>
          <w:highlight w:val="none"/>
        </w:rPr>
        <w:t>2009</w:t>
      </w:r>
      <w:r>
        <w:rPr>
          <w:rFonts w:hint="eastAsia" w:ascii="仿宋" w:hAnsi="仿宋" w:eastAsia="仿宋" w:cs="仿宋"/>
          <w:color w:val="auto"/>
          <w:sz w:val="24"/>
          <w:szCs w:val="24"/>
          <w:highlight w:val="none"/>
        </w:rPr>
        <w:t>年版）》等合同范本，广州市住房和城乡建设局、广州市市场监督管理局联合制定了合同示范文本《广州市建设工程施工合同》（</w:t>
      </w:r>
      <w:r>
        <w:rPr>
          <w:rFonts w:ascii="仿宋" w:hAnsi="仿宋" w:eastAsia="仿宋" w:cs="仿宋"/>
          <w:color w:val="auto"/>
          <w:sz w:val="24"/>
          <w:szCs w:val="24"/>
          <w:highlight w:val="none"/>
        </w:rPr>
        <w:t>SF-2019-0204</w:t>
      </w:r>
      <w:r>
        <w:rPr>
          <w:rFonts w:hint="eastAsia" w:ascii="仿宋" w:hAnsi="仿宋" w:eastAsia="仿宋" w:cs="仿宋"/>
          <w:color w:val="auto"/>
          <w:sz w:val="24"/>
          <w:szCs w:val="24"/>
          <w:highlight w:val="none"/>
        </w:rPr>
        <w:t>）。为了便于合同当事人使用《广州市建设工程施工合同》（</w:t>
      </w:r>
      <w:r>
        <w:rPr>
          <w:rFonts w:ascii="仿宋" w:hAnsi="仿宋" w:eastAsia="仿宋" w:cs="仿宋"/>
          <w:color w:val="auto"/>
          <w:sz w:val="24"/>
          <w:szCs w:val="24"/>
          <w:highlight w:val="none"/>
        </w:rPr>
        <w:t>SF-2019-0204</w:t>
      </w:r>
      <w:r>
        <w:rPr>
          <w:rFonts w:hint="eastAsia" w:ascii="仿宋" w:hAnsi="仿宋" w:eastAsia="仿宋" w:cs="仿宋"/>
          <w:color w:val="auto"/>
          <w:sz w:val="24"/>
          <w:szCs w:val="24"/>
          <w:highlight w:val="none"/>
        </w:rPr>
        <w:t>），现就有关问题说明如下：</w:t>
      </w:r>
    </w:p>
    <w:p>
      <w:pPr>
        <w:shd w:val="clear" w:color="000000" w:fill="auto"/>
        <w:spacing w:line="500" w:lineRule="exact"/>
        <w:ind w:firstLine="480" w:firstLineChars="200"/>
        <w:outlineLvl w:val="0"/>
        <w:rPr>
          <w:rFonts w:ascii="仿宋" w:hAnsi="仿宋" w:eastAsia="仿宋" w:cs="Times New Roman"/>
          <w:color w:val="auto"/>
          <w:sz w:val="24"/>
          <w:szCs w:val="24"/>
          <w:highlight w:val="none"/>
        </w:rPr>
      </w:pPr>
      <w:bookmarkStart w:id="7" w:name="_Toc15468"/>
      <w:bookmarkStart w:id="8" w:name="_Toc30894"/>
      <w:bookmarkStart w:id="9" w:name="_Toc16102"/>
      <w:bookmarkStart w:id="10" w:name="_Toc10120"/>
      <w:bookmarkStart w:id="11" w:name="_Toc25294"/>
      <w:r>
        <w:rPr>
          <w:rFonts w:hint="eastAsia" w:ascii="仿宋" w:hAnsi="仿宋" w:eastAsia="仿宋" w:cs="仿宋"/>
          <w:color w:val="auto"/>
          <w:sz w:val="24"/>
          <w:szCs w:val="24"/>
          <w:highlight w:val="none"/>
        </w:rPr>
        <w:t>一、项目业主首要责任制</w:t>
      </w:r>
      <w:bookmarkEnd w:id="7"/>
      <w:bookmarkEnd w:id="8"/>
      <w:bookmarkEnd w:id="9"/>
      <w:bookmarkEnd w:id="10"/>
      <w:bookmarkEnd w:id="11"/>
    </w:p>
    <w:p>
      <w:pPr>
        <w:shd w:val="clear" w:color="000000" w:fill="auto"/>
        <w:spacing w:line="500" w:lineRule="exact"/>
        <w:ind w:firstLine="480" w:firstLineChars="20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项目业主或发包方应履行基本建设程序，按照先勘察、后设计、再施工的原则实施工程建设，及时办理各项建设工程手续，并具备法律法规规定的开工条件，在依法领取施工许可证等有关证件后再开工建设；同时需负责整个建设项目全过程的安全管理，包括对设备厂家、设计单位、监理单位、检测单位及各施工单位安全监督管理。</w:t>
      </w:r>
    </w:p>
    <w:p>
      <w:pPr>
        <w:shd w:val="clear" w:color="000000" w:fill="auto"/>
        <w:spacing w:line="500" w:lineRule="exact"/>
        <w:ind w:firstLine="480" w:firstLineChars="200"/>
        <w:outlineLvl w:val="0"/>
        <w:rPr>
          <w:rFonts w:ascii="仿宋" w:hAnsi="仿宋" w:eastAsia="仿宋" w:cs="Times New Roman"/>
          <w:color w:val="auto"/>
          <w:sz w:val="24"/>
          <w:szCs w:val="24"/>
          <w:highlight w:val="none"/>
        </w:rPr>
      </w:pPr>
      <w:bookmarkStart w:id="12" w:name="_Toc24511"/>
      <w:bookmarkStart w:id="13" w:name="_Toc28601"/>
      <w:bookmarkStart w:id="14" w:name="_Toc29410"/>
      <w:bookmarkStart w:id="15" w:name="_Toc9250"/>
      <w:bookmarkStart w:id="16" w:name="_Toc5557"/>
      <w:r>
        <w:rPr>
          <w:rFonts w:hint="eastAsia" w:ascii="仿宋" w:hAnsi="仿宋" w:eastAsia="仿宋" w:cs="仿宋"/>
          <w:color w:val="auto"/>
          <w:sz w:val="24"/>
          <w:szCs w:val="24"/>
          <w:highlight w:val="none"/>
        </w:rPr>
        <w:t>二、《广州市建设工程施工合同》（</w:t>
      </w:r>
      <w:r>
        <w:rPr>
          <w:rFonts w:ascii="仿宋" w:hAnsi="仿宋" w:eastAsia="仿宋" w:cs="仿宋"/>
          <w:color w:val="auto"/>
          <w:sz w:val="24"/>
          <w:szCs w:val="24"/>
          <w:highlight w:val="none"/>
        </w:rPr>
        <w:t>SF-2019-0204</w:t>
      </w:r>
      <w:r>
        <w:rPr>
          <w:rFonts w:hint="eastAsia" w:ascii="仿宋" w:hAnsi="仿宋" w:eastAsia="仿宋" w:cs="仿宋"/>
          <w:color w:val="auto"/>
          <w:sz w:val="24"/>
          <w:szCs w:val="24"/>
          <w:highlight w:val="none"/>
        </w:rPr>
        <w:t>）的组成</w:t>
      </w:r>
      <w:bookmarkEnd w:id="12"/>
      <w:bookmarkEnd w:id="13"/>
      <w:bookmarkEnd w:id="14"/>
      <w:bookmarkEnd w:id="15"/>
      <w:bookmarkEnd w:id="16"/>
    </w:p>
    <w:p>
      <w:pPr>
        <w:shd w:val="clear" w:color="000000" w:fill="auto"/>
        <w:spacing w:line="500" w:lineRule="exact"/>
        <w:ind w:firstLine="480" w:firstLineChars="20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《广州市建设工程施工合同》（</w:t>
      </w:r>
      <w:r>
        <w:rPr>
          <w:rFonts w:ascii="仿宋" w:hAnsi="仿宋" w:eastAsia="仿宋" w:cs="仿宋"/>
          <w:color w:val="auto"/>
          <w:sz w:val="24"/>
          <w:szCs w:val="24"/>
          <w:highlight w:val="none"/>
        </w:rPr>
        <w:t>SF-2019-0204</w:t>
      </w:r>
      <w:r>
        <w:rPr>
          <w:rFonts w:hint="eastAsia" w:ascii="仿宋" w:hAnsi="仿宋" w:eastAsia="仿宋" w:cs="仿宋"/>
          <w:color w:val="auto"/>
          <w:sz w:val="24"/>
          <w:szCs w:val="24"/>
          <w:highlight w:val="none"/>
        </w:rPr>
        <w:t>）由协议书、通用条款和专用条款三部分组成。</w:t>
      </w:r>
    </w:p>
    <w:p>
      <w:pPr>
        <w:shd w:val="clear" w:color="000000" w:fill="auto"/>
        <w:spacing w:line="500" w:lineRule="exact"/>
        <w:ind w:firstLine="480" w:firstLineChars="200"/>
        <w:outlineLvl w:val="1"/>
        <w:rPr>
          <w:rFonts w:ascii="仿宋" w:hAnsi="仿宋" w:eastAsia="仿宋" w:cs="Times New Roman"/>
          <w:color w:val="auto"/>
          <w:sz w:val="24"/>
          <w:szCs w:val="24"/>
          <w:highlight w:val="none"/>
        </w:rPr>
      </w:pPr>
      <w:bookmarkStart w:id="17" w:name="_Toc17262"/>
      <w:bookmarkStart w:id="18" w:name="_Toc1537"/>
      <w:bookmarkStart w:id="19" w:name="_Toc24559"/>
      <w:bookmarkStart w:id="20" w:name="_Toc17256"/>
      <w:bookmarkStart w:id="21" w:name="_Toc12084"/>
      <w:r>
        <w:rPr>
          <w:rFonts w:hint="eastAsia" w:ascii="仿宋" w:hAnsi="仿宋" w:eastAsia="仿宋" w:cs="仿宋"/>
          <w:color w:val="auto"/>
          <w:sz w:val="24"/>
          <w:szCs w:val="24"/>
          <w:highlight w:val="none"/>
        </w:rPr>
        <w:t>（一）协议书</w:t>
      </w:r>
      <w:bookmarkEnd w:id="17"/>
      <w:bookmarkEnd w:id="18"/>
      <w:bookmarkEnd w:id="19"/>
      <w:bookmarkEnd w:id="20"/>
      <w:bookmarkEnd w:id="21"/>
    </w:p>
    <w:p>
      <w:pPr>
        <w:shd w:val="clear" w:color="000000" w:fill="auto"/>
        <w:spacing w:line="500" w:lineRule="exact"/>
        <w:ind w:left="147" w:leftChars="70" w:firstLine="360" w:firstLineChars="15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《广州市建设工程施工合同》（</w:t>
      </w:r>
      <w:r>
        <w:rPr>
          <w:rFonts w:ascii="仿宋" w:hAnsi="仿宋" w:eastAsia="仿宋" w:cs="仿宋"/>
          <w:color w:val="auto"/>
          <w:sz w:val="24"/>
          <w:szCs w:val="24"/>
          <w:highlight w:val="none"/>
        </w:rPr>
        <w:t>SF-2019-0204</w:t>
      </w:r>
      <w:r>
        <w:rPr>
          <w:rFonts w:hint="eastAsia" w:ascii="仿宋" w:hAnsi="仿宋" w:eastAsia="仿宋" w:cs="仿宋"/>
          <w:color w:val="auto"/>
          <w:sz w:val="24"/>
          <w:szCs w:val="24"/>
          <w:highlight w:val="none"/>
        </w:rPr>
        <w:t>）协议书集中约定了合同当事人基本的合同权利义务。</w:t>
      </w:r>
    </w:p>
    <w:p>
      <w:pPr>
        <w:shd w:val="clear" w:color="000000" w:fill="auto"/>
        <w:spacing w:line="500" w:lineRule="exact"/>
        <w:ind w:firstLine="480" w:firstLineChars="200"/>
        <w:outlineLvl w:val="1"/>
        <w:rPr>
          <w:rFonts w:ascii="仿宋" w:hAnsi="仿宋" w:eastAsia="仿宋" w:cs="Times New Roman"/>
          <w:color w:val="auto"/>
          <w:sz w:val="24"/>
          <w:szCs w:val="24"/>
          <w:highlight w:val="none"/>
        </w:rPr>
      </w:pPr>
      <w:bookmarkStart w:id="22" w:name="_Toc2069"/>
      <w:bookmarkStart w:id="23" w:name="_Toc23596"/>
      <w:bookmarkStart w:id="24" w:name="_Toc7369"/>
      <w:bookmarkStart w:id="25" w:name="_Toc15841"/>
      <w:bookmarkStart w:id="26" w:name="_Toc22671"/>
      <w:r>
        <w:rPr>
          <w:rFonts w:hint="eastAsia" w:ascii="仿宋" w:hAnsi="仿宋" w:eastAsia="仿宋" w:cs="仿宋"/>
          <w:color w:val="auto"/>
          <w:sz w:val="24"/>
          <w:szCs w:val="24"/>
          <w:highlight w:val="none"/>
        </w:rPr>
        <w:t>（二）通用条款</w:t>
      </w:r>
      <w:bookmarkEnd w:id="22"/>
      <w:bookmarkEnd w:id="23"/>
      <w:bookmarkEnd w:id="24"/>
      <w:bookmarkEnd w:id="25"/>
      <w:bookmarkEnd w:id="26"/>
    </w:p>
    <w:p>
      <w:pPr>
        <w:shd w:val="clear" w:color="000000" w:fill="auto"/>
        <w:spacing w:line="500" w:lineRule="exact"/>
        <w:ind w:firstLine="480" w:firstLineChars="20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通用条款是合同当事人根据《中华人民共和国民法典》、《中华人民共和国建筑法》等法律法规的规定，就工程施工的实施及相关事项，对合同当事人的权利义务作出的原则性约定。</w:t>
      </w:r>
    </w:p>
    <w:p>
      <w:pPr>
        <w:shd w:val="clear" w:color="000000" w:fill="auto"/>
        <w:spacing w:line="500" w:lineRule="exact"/>
        <w:ind w:firstLine="480" w:firstLineChars="20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通用条款既考虑了现行法律法规对工程发承包计价的有关要求，也考虑了工程施工管理的特殊需要。</w:t>
      </w:r>
    </w:p>
    <w:p>
      <w:pPr>
        <w:shd w:val="clear" w:color="000000" w:fill="auto"/>
        <w:spacing w:line="500" w:lineRule="exact"/>
        <w:ind w:firstLine="480" w:firstLineChars="200"/>
        <w:outlineLvl w:val="1"/>
        <w:rPr>
          <w:rFonts w:ascii="仿宋" w:hAnsi="仿宋" w:eastAsia="仿宋" w:cs="Times New Roman"/>
          <w:color w:val="auto"/>
          <w:sz w:val="24"/>
          <w:szCs w:val="24"/>
          <w:highlight w:val="none"/>
        </w:rPr>
      </w:pPr>
      <w:bookmarkStart w:id="27" w:name="_Toc22790"/>
      <w:bookmarkStart w:id="28" w:name="_Toc32502"/>
      <w:bookmarkStart w:id="29" w:name="_Toc16904"/>
      <w:bookmarkStart w:id="30" w:name="_Toc10232"/>
      <w:bookmarkStart w:id="31" w:name="_Toc7584"/>
      <w:r>
        <w:rPr>
          <w:rFonts w:hint="eastAsia" w:ascii="仿宋" w:hAnsi="仿宋" w:eastAsia="仿宋" w:cs="仿宋"/>
          <w:color w:val="auto"/>
          <w:sz w:val="24"/>
          <w:szCs w:val="24"/>
          <w:highlight w:val="none"/>
        </w:rPr>
        <w:t>（三）专用条款</w:t>
      </w:r>
      <w:bookmarkEnd w:id="27"/>
      <w:bookmarkEnd w:id="28"/>
      <w:bookmarkEnd w:id="29"/>
      <w:bookmarkEnd w:id="30"/>
      <w:bookmarkEnd w:id="31"/>
    </w:p>
    <w:p>
      <w:pPr>
        <w:shd w:val="clear" w:color="000000" w:fill="auto"/>
        <w:spacing w:line="500" w:lineRule="exact"/>
        <w:ind w:firstLine="480" w:firstLineChars="20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专用条款是对通用条款原则性约定的细化、完善、补充、修改或另行约定的条款。合同当事人可以根据不同建设工程的特点及发承包计价的具体情况，通过双方的谈判、协商对相应的专用条款进行修改补充。在使用专用条款时，应注意以下事项：</w:t>
      </w:r>
    </w:p>
    <w:p>
      <w:pPr>
        <w:shd w:val="clear" w:color="000000" w:fill="auto"/>
        <w:spacing w:line="500" w:lineRule="exact"/>
        <w:ind w:right="25" w:rightChars="12" w:firstLine="480" w:firstLineChars="2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专用条款的编号应与相应的通用条款的编号一致；</w:t>
      </w:r>
    </w:p>
    <w:p>
      <w:pPr>
        <w:shd w:val="clear" w:color="000000" w:fill="auto"/>
        <w:spacing w:line="500" w:lineRule="exact"/>
        <w:ind w:firstLine="480" w:firstLineChars="2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合同当事人可以通过对专用条款的修改，满足具体工程的特殊要求，避免直接修改通用条款；</w:t>
      </w:r>
    </w:p>
    <w:p>
      <w:pPr>
        <w:shd w:val="clear" w:color="000000" w:fill="auto"/>
        <w:spacing w:line="500" w:lineRule="exact"/>
        <w:ind w:firstLine="480" w:firstLineChars="2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在专用条款中有横道线的地方，合同当事人可针对相应的通用条款进行细化、完善、补充、修改或另行约定；如无细化、完善、补充、修改或另行约定，则填写“无”或划“</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w:t>
      </w:r>
    </w:p>
    <w:p>
      <w:pPr>
        <w:shd w:val="clear" w:color="000000" w:fill="auto"/>
        <w:spacing w:line="500" w:lineRule="exact"/>
        <w:ind w:firstLine="480" w:firstLineChars="200"/>
        <w:outlineLvl w:val="0"/>
        <w:rPr>
          <w:rFonts w:ascii="仿宋" w:hAnsi="仿宋" w:eastAsia="仿宋" w:cs="Times New Roman"/>
          <w:b/>
          <w:bCs/>
          <w:color w:val="auto"/>
          <w:sz w:val="24"/>
          <w:szCs w:val="24"/>
          <w:highlight w:val="none"/>
        </w:rPr>
      </w:pPr>
      <w:bookmarkStart w:id="32" w:name="_Toc26764"/>
      <w:bookmarkStart w:id="33" w:name="_Toc12395"/>
      <w:bookmarkStart w:id="34" w:name="_Toc4933"/>
      <w:bookmarkStart w:id="35" w:name="_Toc3159"/>
      <w:bookmarkStart w:id="36" w:name="_Toc32040"/>
      <w:r>
        <w:rPr>
          <w:rFonts w:hint="eastAsia" w:ascii="仿宋" w:hAnsi="仿宋" w:eastAsia="仿宋" w:cs="仿宋"/>
          <w:color w:val="auto"/>
          <w:sz w:val="24"/>
          <w:szCs w:val="24"/>
          <w:highlight w:val="none"/>
        </w:rPr>
        <w:t>三、《广州市建设工程施工合同》（</w:t>
      </w:r>
      <w:r>
        <w:rPr>
          <w:rFonts w:ascii="仿宋" w:hAnsi="仿宋" w:eastAsia="仿宋" w:cs="仿宋"/>
          <w:color w:val="auto"/>
          <w:sz w:val="24"/>
          <w:szCs w:val="24"/>
          <w:highlight w:val="none"/>
        </w:rPr>
        <w:t>SF-2019-0204</w:t>
      </w:r>
      <w:r>
        <w:rPr>
          <w:rFonts w:hint="eastAsia" w:ascii="仿宋" w:hAnsi="仿宋" w:eastAsia="仿宋" w:cs="仿宋"/>
          <w:color w:val="auto"/>
          <w:sz w:val="24"/>
          <w:szCs w:val="24"/>
          <w:highlight w:val="none"/>
        </w:rPr>
        <w:t>）的适用范围</w:t>
      </w:r>
      <w:bookmarkEnd w:id="32"/>
      <w:bookmarkEnd w:id="33"/>
      <w:bookmarkEnd w:id="34"/>
      <w:bookmarkEnd w:id="35"/>
      <w:bookmarkEnd w:id="36"/>
    </w:p>
    <w:p>
      <w:pPr>
        <w:shd w:val="clear" w:color="000000" w:fill="auto"/>
        <w:spacing w:line="500" w:lineRule="exact"/>
        <w:ind w:firstLine="480" w:firstLineChars="20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《广州市建设工程施工合同》（</w:t>
      </w:r>
      <w:r>
        <w:rPr>
          <w:rFonts w:ascii="仿宋" w:hAnsi="仿宋" w:eastAsia="仿宋" w:cs="仿宋"/>
          <w:color w:val="auto"/>
          <w:sz w:val="24"/>
          <w:szCs w:val="24"/>
          <w:highlight w:val="none"/>
        </w:rPr>
        <w:t>SF-2019-0204</w:t>
      </w:r>
      <w:r>
        <w:rPr>
          <w:rFonts w:hint="eastAsia" w:ascii="仿宋" w:hAnsi="仿宋" w:eastAsia="仿宋" w:cs="仿宋"/>
          <w:color w:val="auto"/>
          <w:sz w:val="24"/>
          <w:szCs w:val="24"/>
          <w:highlight w:val="none"/>
        </w:rPr>
        <w:t>）适用于广州市行政区域内建设工程的新建、扩建、改建、装修、修缮等施工项目的合同订立。其中，通用条款中带</w:t>
      </w:r>
      <w:r>
        <w:rPr>
          <w:rFonts w:hint="eastAsia" w:ascii="仿宋" w:hAnsi="仿宋" w:eastAsia="仿宋" w:cs="仿宋"/>
          <w:b/>
          <w:bCs/>
          <w:color w:val="auto"/>
          <w:sz w:val="24"/>
          <w:szCs w:val="24"/>
          <w:highlight w:val="none"/>
        </w:rPr>
        <w:t>★</w:t>
      </w:r>
      <w:r>
        <w:rPr>
          <w:rFonts w:hint="eastAsia" w:ascii="仿宋" w:hAnsi="仿宋" w:eastAsia="仿宋" w:cs="仿宋"/>
          <w:color w:val="auto"/>
          <w:sz w:val="24"/>
          <w:szCs w:val="24"/>
          <w:highlight w:val="none"/>
        </w:rPr>
        <w:t>号的条文，其内容是完整不可分割的，与法律、法规、规范有关联的条款，原则上应不进行删减，只能在专用条款中根据实际情况选择或在不违反原条款实质的前提下增加细化内容。其他内容合同当事人可结合建设工程具体情况，按照法律法规规定，根据《广州市建设工程施工合同》（</w:t>
      </w:r>
      <w:r>
        <w:rPr>
          <w:rFonts w:ascii="仿宋" w:hAnsi="仿宋" w:eastAsia="仿宋" w:cs="仿宋"/>
          <w:color w:val="auto"/>
          <w:sz w:val="24"/>
          <w:szCs w:val="24"/>
          <w:highlight w:val="none"/>
        </w:rPr>
        <w:t>SF-2019-0204</w:t>
      </w:r>
      <w:r>
        <w:rPr>
          <w:rFonts w:hint="eastAsia" w:ascii="仿宋" w:hAnsi="仿宋" w:eastAsia="仿宋" w:cs="仿宋"/>
          <w:color w:val="auto"/>
          <w:sz w:val="24"/>
          <w:szCs w:val="24"/>
          <w:highlight w:val="none"/>
        </w:rPr>
        <w:t>）的内容，约定双方具体的权利义务。</w:t>
      </w:r>
    </w:p>
    <w:p>
      <w:pPr>
        <w:shd w:val="clear" w:color="000000" w:fill="auto"/>
        <w:spacing w:line="500" w:lineRule="exact"/>
        <w:ind w:firstLine="616" w:firstLineChars="257"/>
        <w:outlineLvl w:val="0"/>
        <w:rPr>
          <w:rFonts w:ascii="仿宋" w:hAnsi="仿宋" w:eastAsia="仿宋" w:cs="Times New Roman"/>
          <w:color w:val="auto"/>
          <w:sz w:val="24"/>
          <w:szCs w:val="24"/>
          <w:highlight w:val="none"/>
        </w:rPr>
      </w:pPr>
      <w:bookmarkStart w:id="37" w:name="_Toc30854"/>
      <w:bookmarkStart w:id="38" w:name="_Toc608"/>
      <w:bookmarkStart w:id="39" w:name="_Toc3202"/>
      <w:bookmarkStart w:id="40" w:name="_Toc20577"/>
      <w:bookmarkStart w:id="41" w:name="_Toc29891"/>
      <w:r>
        <w:rPr>
          <w:rFonts w:hint="eastAsia" w:ascii="仿宋" w:hAnsi="仿宋" w:eastAsia="仿宋" w:cs="仿宋"/>
          <w:color w:val="auto"/>
          <w:sz w:val="24"/>
          <w:szCs w:val="24"/>
          <w:highlight w:val="none"/>
        </w:rPr>
        <w:t>四、其他事项</w:t>
      </w:r>
      <w:bookmarkEnd w:id="37"/>
      <w:bookmarkEnd w:id="38"/>
      <w:bookmarkEnd w:id="39"/>
      <w:bookmarkEnd w:id="40"/>
      <w:bookmarkEnd w:id="41"/>
    </w:p>
    <w:p>
      <w:pPr>
        <w:shd w:val="clear" w:color="000000" w:fill="auto"/>
        <w:spacing w:line="500" w:lineRule="exact"/>
        <w:ind w:firstLine="616" w:firstLineChars="257"/>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《广州市建设工程施工合同》（</w:t>
      </w:r>
      <w:r>
        <w:rPr>
          <w:rFonts w:ascii="仿宋" w:hAnsi="仿宋" w:eastAsia="仿宋" w:cs="仿宋"/>
          <w:color w:val="auto"/>
          <w:sz w:val="24"/>
          <w:szCs w:val="24"/>
          <w:highlight w:val="none"/>
        </w:rPr>
        <w:t>SF-2019-0204</w:t>
      </w:r>
      <w:r>
        <w:rPr>
          <w:rFonts w:hint="eastAsia" w:ascii="仿宋" w:hAnsi="仿宋" w:eastAsia="仿宋" w:cs="仿宋"/>
          <w:color w:val="auto"/>
          <w:sz w:val="24"/>
          <w:szCs w:val="24"/>
          <w:highlight w:val="none"/>
        </w:rPr>
        <w:t>）》专用条款中的“预付款”、“进度款”、“竣工结算”条款，在签订合同时优先选择本合同中已列的支付条件、支付方式，如选择“其它方式”或“另作约定”形式的，需以合同附件的形式予以说明原因。</w:t>
      </w:r>
    </w:p>
    <w:p>
      <w:pPr>
        <w:widowControl/>
        <w:shd w:val="clear" w:color="000000" w:fill="auto"/>
        <w:spacing w:beforeAutospacing="1" w:afterAutospacing="1"/>
        <w:jc w:val="left"/>
        <w:rPr>
          <w:rFonts w:ascii="宋体" w:cs="Times New Roman"/>
          <w:color w:val="auto"/>
          <w:kern w:val="0"/>
          <w:sz w:val="36"/>
          <w:szCs w:val="36"/>
          <w:highlight w:val="none"/>
        </w:rPr>
        <w:sectPr>
          <w:footerReference r:id="rId4" w:type="default"/>
          <w:endnotePr>
            <w:numFmt w:val="decimal"/>
          </w:endnotePr>
          <w:pgSz w:w="11906" w:h="16838"/>
          <w:pgMar w:top="1191" w:right="851" w:bottom="794" w:left="851" w:header="0" w:footer="0" w:gutter="0"/>
          <w:pgNumType w:start="1"/>
          <w:cols w:space="720" w:num="1"/>
          <w:titlePg/>
          <w:docGrid w:linePitch="286" w:charSpace="0"/>
        </w:sectPr>
      </w:pPr>
    </w:p>
    <w:bookmarkEnd w:id="0"/>
    <w:bookmarkEnd w:id="1"/>
    <w:bookmarkEnd w:id="2"/>
    <w:bookmarkEnd w:id="3"/>
    <w:bookmarkEnd w:id="4"/>
    <w:p>
      <w:pPr>
        <w:shd w:val="clear" w:color="000000" w:fill="auto"/>
        <w:spacing w:line="360" w:lineRule="auto"/>
        <w:jc w:val="center"/>
        <w:outlineLvl w:val="0"/>
        <w:rPr>
          <w:rFonts w:ascii="宋体" w:cs="Times New Roman"/>
          <w:b/>
          <w:bCs/>
          <w:color w:val="auto"/>
          <w:sz w:val="36"/>
          <w:szCs w:val="36"/>
          <w:highlight w:val="none"/>
        </w:rPr>
      </w:pPr>
      <w:bookmarkStart w:id="42" w:name="_Toc10624807"/>
      <w:bookmarkStart w:id="43" w:name="_Toc469383967"/>
      <w:bookmarkStart w:id="44" w:name="_Toc10808"/>
      <w:bookmarkStart w:id="45" w:name="_Toc10464"/>
      <w:r>
        <w:rPr>
          <w:rFonts w:hint="eastAsia" w:ascii="宋体" w:hAnsi="宋体" w:cs="宋体"/>
          <w:b/>
          <w:bCs/>
          <w:color w:val="auto"/>
          <w:sz w:val="36"/>
          <w:szCs w:val="36"/>
          <w:highlight w:val="none"/>
        </w:rPr>
        <w:t>第一部分</w:t>
      </w:r>
      <w:r>
        <w:rPr>
          <w:rFonts w:ascii="宋体" w:hAnsi="宋体" w:cs="宋体"/>
          <w:b/>
          <w:bCs/>
          <w:color w:val="auto"/>
          <w:sz w:val="36"/>
          <w:szCs w:val="36"/>
          <w:highlight w:val="none"/>
        </w:rPr>
        <w:t xml:space="preserve">  </w:t>
      </w:r>
      <w:r>
        <w:rPr>
          <w:rFonts w:hint="eastAsia" w:ascii="宋体" w:hAnsi="宋体" w:cs="宋体"/>
          <w:b/>
          <w:bCs/>
          <w:color w:val="auto"/>
          <w:sz w:val="36"/>
          <w:szCs w:val="36"/>
          <w:highlight w:val="none"/>
        </w:rPr>
        <w:t>协</w:t>
      </w:r>
      <w:r>
        <w:rPr>
          <w:rFonts w:ascii="宋体" w:hAnsi="宋体" w:cs="宋体"/>
          <w:b/>
          <w:bCs/>
          <w:color w:val="auto"/>
          <w:sz w:val="36"/>
          <w:szCs w:val="36"/>
          <w:highlight w:val="none"/>
        </w:rPr>
        <w:t xml:space="preserve">  </w:t>
      </w:r>
      <w:r>
        <w:rPr>
          <w:rFonts w:hint="eastAsia" w:ascii="宋体" w:hAnsi="宋体" w:cs="宋体"/>
          <w:b/>
          <w:bCs/>
          <w:color w:val="auto"/>
          <w:sz w:val="36"/>
          <w:szCs w:val="36"/>
          <w:highlight w:val="none"/>
        </w:rPr>
        <w:t>议</w:t>
      </w:r>
      <w:r>
        <w:rPr>
          <w:rFonts w:ascii="宋体" w:hAnsi="宋体" w:cs="宋体"/>
          <w:b/>
          <w:bCs/>
          <w:color w:val="auto"/>
          <w:sz w:val="36"/>
          <w:szCs w:val="36"/>
          <w:highlight w:val="none"/>
        </w:rPr>
        <w:t xml:space="preserve">  </w:t>
      </w:r>
      <w:r>
        <w:rPr>
          <w:rFonts w:hint="eastAsia" w:ascii="宋体" w:hAnsi="宋体" w:cs="宋体"/>
          <w:b/>
          <w:bCs/>
          <w:color w:val="auto"/>
          <w:sz w:val="36"/>
          <w:szCs w:val="36"/>
          <w:highlight w:val="none"/>
        </w:rPr>
        <w:t>书</w:t>
      </w:r>
      <w:bookmarkEnd w:id="42"/>
      <w:bookmarkEnd w:id="43"/>
      <w:bookmarkEnd w:id="44"/>
      <w:bookmarkEnd w:id="45"/>
    </w:p>
    <w:p>
      <w:pPr>
        <w:shd w:val="clear" w:color="000000" w:fill="auto"/>
        <w:spacing w:line="360" w:lineRule="auto"/>
        <w:rPr>
          <w:rFonts w:ascii="仿宋" w:hAnsi="仿宋" w:eastAsia="仿宋" w:cs="仿宋"/>
          <w:color w:val="auto"/>
          <w:sz w:val="24"/>
          <w:szCs w:val="24"/>
          <w:highlight w:val="none"/>
        </w:rPr>
      </w:pPr>
    </w:p>
    <w:p>
      <w:pPr>
        <w:shd w:val="clear" w:color="000000" w:fill="auto"/>
        <w:spacing w:line="360" w:lineRule="auto"/>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发包人</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（全称）</w:t>
      </w:r>
      <w:r>
        <w:rPr>
          <w:rFonts w:ascii="仿宋" w:hAnsi="仿宋" w:eastAsia="仿宋" w:cs="仿宋"/>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lang w:eastAsia="zh-CN"/>
        </w:rPr>
        <w:t>广州番禺职业技术学院</w:t>
      </w:r>
      <w:r>
        <w:rPr>
          <w:rFonts w:ascii="仿宋" w:hAnsi="仿宋" w:eastAsia="仿宋" w:cs="仿宋"/>
          <w:color w:val="auto"/>
          <w:sz w:val="24"/>
          <w:szCs w:val="24"/>
          <w:highlight w:val="none"/>
          <w:u w:val="single"/>
        </w:rPr>
        <w:t xml:space="preserve">              </w:t>
      </w:r>
    </w:p>
    <w:p>
      <w:pPr>
        <w:shd w:val="clear" w:color="000000" w:fill="auto"/>
        <w:spacing w:line="360" w:lineRule="auto"/>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（全称）</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u w:val="single"/>
        </w:rPr>
        <w:t xml:space="preserve">                </w:t>
      </w:r>
    </w:p>
    <w:p>
      <w:pPr>
        <w:shd w:val="clear" w:color="000000" w:fill="auto"/>
        <w:rPr>
          <w:rFonts w:ascii="仿宋" w:hAnsi="仿宋" w:eastAsia="仿宋" w:cs="Times New Roman"/>
          <w:color w:val="auto"/>
          <w:highlight w:val="none"/>
        </w:rPr>
      </w:pPr>
    </w:p>
    <w:p>
      <w:pPr>
        <w:shd w:val="clear" w:color="000000" w:fill="auto"/>
        <w:spacing w:line="360" w:lineRule="auto"/>
        <w:ind w:firstLine="480" w:firstLineChars="20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依照《中华人民共和国民法典》《中华人民共和国建筑法》及其他有关法律法规，遵循平等、自愿、公平和诚实信用的原则，双方就合同工程施工有关事项达成一致意见，订立本合同。</w:t>
      </w:r>
    </w:p>
    <w:p>
      <w:pPr>
        <w:shd w:val="clear" w:color="000000" w:fill="auto"/>
        <w:rPr>
          <w:rFonts w:ascii="仿宋" w:hAnsi="仿宋" w:eastAsia="仿宋" w:cs="Times New Roman"/>
          <w:color w:val="auto"/>
          <w:highlight w:val="none"/>
        </w:rPr>
      </w:pPr>
    </w:p>
    <w:p>
      <w:pPr>
        <w:shd w:val="clear" w:color="000000" w:fill="auto"/>
        <w:spacing w:line="360" w:lineRule="auto"/>
        <w:outlineLvl w:val="1"/>
        <w:rPr>
          <w:rFonts w:ascii="仿宋" w:hAnsi="仿宋" w:eastAsia="仿宋" w:cs="Times New Roman"/>
          <w:b/>
          <w:bCs/>
          <w:color w:val="auto"/>
          <w:sz w:val="24"/>
          <w:szCs w:val="24"/>
          <w:highlight w:val="none"/>
        </w:rPr>
      </w:pPr>
      <w:bookmarkStart w:id="46" w:name="_Toc266892752"/>
      <w:bookmarkStart w:id="47" w:name="_Toc11250"/>
      <w:bookmarkStart w:id="48" w:name="_Toc469383968"/>
      <w:bookmarkStart w:id="49" w:name="_Toc10624808"/>
      <w:bookmarkStart w:id="50" w:name="_Toc18707"/>
      <w:r>
        <w:rPr>
          <w:rFonts w:hint="eastAsia" w:ascii="仿宋" w:hAnsi="仿宋" w:eastAsia="仿宋" w:cs="仿宋"/>
          <w:b/>
          <w:bCs/>
          <w:color w:val="auto"/>
          <w:sz w:val="24"/>
          <w:szCs w:val="24"/>
          <w:highlight w:val="none"/>
        </w:rPr>
        <w:t>一、工程概况</w:t>
      </w:r>
      <w:bookmarkEnd w:id="46"/>
      <w:bookmarkEnd w:id="47"/>
      <w:bookmarkEnd w:id="48"/>
      <w:bookmarkEnd w:id="49"/>
      <w:bookmarkEnd w:id="50"/>
    </w:p>
    <w:p>
      <w:pPr>
        <w:keepNext w:val="0"/>
        <w:keepLines w:val="0"/>
        <w:pageBreakBefore w:val="0"/>
        <w:widowControl w:val="0"/>
        <w:shd w:val="clear" w:color="000000" w:fill="auto"/>
        <w:kinsoku/>
        <w:wordWrap w:val="0"/>
        <w:overflowPunct/>
        <w:topLinePunct w:val="0"/>
        <w:autoSpaceDE/>
        <w:autoSpaceDN/>
        <w:bidi w:val="0"/>
        <w:adjustRightInd/>
        <w:snapToGrid/>
        <w:spacing w:line="360" w:lineRule="auto"/>
        <w:ind w:firstLine="480" w:firstLineChars="200"/>
        <w:jc w:val="left"/>
        <w:textAlignment w:val="auto"/>
        <w:rPr>
          <w:rFonts w:ascii="宋体" w:hAnsi="宋体" w:cs="宋体"/>
          <w:color w:val="auto"/>
          <w:sz w:val="24"/>
          <w:szCs w:val="24"/>
          <w:highlight w:val="none"/>
          <w:u w:val="single"/>
        </w:rPr>
      </w:pPr>
      <w:r>
        <w:rPr>
          <w:rFonts w:hint="eastAsia" w:ascii="宋体" w:hAnsi="宋体" w:cs="宋体"/>
          <w:color w:val="auto"/>
          <w:sz w:val="24"/>
          <w:szCs w:val="24"/>
          <w:highlight w:val="none"/>
        </w:rPr>
        <w:t>广东省企业投资项目备案证备案项目编号：</w:t>
      </w:r>
      <w:r>
        <w:rPr>
          <w:rFonts w:hint="eastAsia" w:ascii="宋体" w:hAnsi="宋体" w:cs="宋体"/>
          <w:color w:val="auto"/>
          <w:sz w:val="24"/>
          <w:szCs w:val="24"/>
          <w:highlight w:val="none"/>
          <w:u w:val="single"/>
        </w:rPr>
        <w:t>2302-440113-04-05-707202、2302-440113-04-01-484952</w:t>
      </w:r>
    </w:p>
    <w:p>
      <w:pPr>
        <w:shd w:val="clear" w:color="000000" w:fill="auto"/>
        <w:spacing w:line="360" w:lineRule="auto"/>
        <w:ind w:firstLine="465"/>
        <w:rPr>
          <w:rFonts w:ascii="宋体" w:hAnsi="宋体" w:cs="宋体"/>
          <w:color w:val="auto"/>
          <w:sz w:val="24"/>
          <w:szCs w:val="24"/>
          <w:highlight w:val="none"/>
          <w:u w:val="single"/>
        </w:rPr>
      </w:pPr>
      <w:r>
        <w:rPr>
          <w:rFonts w:hint="eastAsia" w:ascii="宋体" w:hAnsi="宋体" w:cs="宋体"/>
          <w:color w:val="auto"/>
          <w:sz w:val="24"/>
          <w:szCs w:val="24"/>
          <w:highlight w:val="none"/>
        </w:rPr>
        <w:t>项目名称：</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原保卫处外墙及内部装修改造工程、智慧汽车学院实训基地装修改造工程、智能制造学院注塑实训室装修改造工程、A栋教师宿舍装修改造项目施工总承包</w:t>
      </w:r>
      <w:r>
        <w:rPr>
          <w:rFonts w:hint="eastAsia" w:ascii="宋体" w:hAnsi="宋体" w:cs="宋体"/>
          <w:color w:val="auto"/>
          <w:sz w:val="24"/>
          <w:szCs w:val="24"/>
          <w:highlight w:val="none"/>
          <w:u w:val="single"/>
        </w:rPr>
        <w:t xml:space="preserve"> </w:t>
      </w:r>
    </w:p>
    <w:p>
      <w:pPr>
        <w:shd w:val="clear" w:color="000000" w:fill="auto"/>
        <w:spacing w:line="360" w:lineRule="auto"/>
        <w:rPr>
          <w:rFonts w:ascii="宋体" w:hAnsi="宋体" w:cs="宋体"/>
          <w:color w:val="auto"/>
          <w:sz w:val="24"/>
          <w:szCs w:val="24"/>
          <w:highlight w:val="none"/>
          <w:u w:val="single"/>
        </w:rPr>
      </w:pPr>
      <w:r>
        <w:rPr>
          <w:rFonts w:hint="eastAsia" w:ascii="宋体" w:hAnsi="宋体" w:cs="宋体"/>
          <w:color w:val="auto"/>
          <w:sz w:val="24"/>
          <w:szCs w:val="24"/>
          <w:highlight w:val="none"/>
        </w:rPr>
        <w:t xml:space="preserve">    合同类型：</w:t>
      </w:r>
      <w:r>
        <w:rPr>
          <w:rFonts w:hint="eastAsia" w:ascii="宋体" w:hAnsi="宋体" w:cs="宋体"/>
          <w:color w:val="auto"/>
          <w:sz w:val="24"/>
          <w:szCs w:val="24"/>
          <w:highlight w:val="none"/>
          <w:lang w:val="en-US" w:eastAsia="zh-CN"/>
        </w:rPr>
        <w:t>总承包</w:t>
      </w:r>
      <w:r>
        <w:rPr>
          <w:rFonts w:hint="eastAsia" w:ascii="宋体" w:hAnsi="宋体" w:cs="宋体"/>
          <w:color w:val="auto"/>
          <w:sz w:val="24"/>
          <w:szCs w:val="24"/>
          <w:highlight w:val="none"/>
        </w:rPr>
        <w:t>施工合同</w:t>
      </w:r>
    </w:p>
    <w:p>
      <w:pPr>
        <w:shd w:val="clear" w:color="000000" w:fill="auto"/>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工程规模：</w:t>
      </w:r>
      <w:r>
        <w:rPr>
          <w:rFonts w:hint="eastAsia" w:ascii="宋体" w:hAnsi="宋体" w:cs="宋体"/>
          <w:color w:val="auto"/>
          <w:sz w:val="24"/>
          <w:szCs w:val="24"/>
          <w:highlight w:val="none"/>
          <w:u w:val="single"/>
        </w:rPr>
        <w:t>本工程位于番禺区市良路1342号广州番禺职业技术学院内，拟进行原保卫处外墙及内部装修改造、智慧汽车学院实训基地装修改造、智能制造学院注塑实训室装修改造</w:t>
      </w:r>
      <w:r>
        <w:rPr>
          <w:rFonts w:hint="eastAsia" w:ascii="宋体" w:hAnsi="宋体" w:cs="宋体"/>
          <w:color w:val="auto"/>
          <w:sz w:val="24"/>
          <w:szCs w:val="24"/>
          <w:highlight w:val="none"/>
          <w:u w:val="single"/>
          <w:lang w:eastAsia="zh-CN"/>
        </w:rPr>
        <w:t>、A栋教师宿舍装修改造</w:t>
      </w:r>
      <w:r>
        <w:rPr>
          <w:rFonts w:hint="eastAsia" w:ascii="宋体" w:hAnsi="宋体" w:cs="宋体"/>
          <w:color w:val="auto"/>
          <w:sz w:val="24"/>
          <w:szCs w:val="24"/>
          <w:highlight w:val="none"/>
          <w:u w:val="single"/>
        </w:rPr>
        <w:t>，装修面积约</w:t>
      </w:r>
      <w:r>
        <w:rPr>
          <w:rFonts w:hint="eastAsia" w:ascii="宋体" w:hAnsi="宋体" w:cs="宋体"/>
          <w:color w:val="auto"/>
          <w:sz w:val="24"/>
          <w:szCs w:val="24"/>
          <w:highlight w:val="none"/>
          <w:u w:val="single"/>
          <w:lang w:val="en-US" w:eastAsia="zh-CN"/>
        </w:rPr>
        <w:t>4400</w:t>
      </w:r>
      <w:r>
        <w:rPr>
          <w:rFonts w:hint="eastAsia" w:ascii="宋体" w:hAnsi="宋体" w:cs="宋体"/>
          <w:color w:val="auto"/>
          <w:sz w:val="24"/>
          <w:szCs w:val="24"/>
          <w:highlight w:val="none"/>
          <w:u w:val="single"/>
        </w:rPr>
        <w:t>平方米。</w:t>
      </w:r>
    </w:p>
    <w:p>
      <w:pPr>
        <w:shd w:val="clear" w:color="000000" w:fill="auto"/>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结构形式：</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框架結构、砖混及钢结构 </w:t>
      </w:r>
      <w:r>
        <w:rPr>
          <w:rFonts w:hint="eastAsia" w:ascii="宋体" w:hAnsi="宋体" w:cs="宋体"/>
          <w:color w:val="auto"/>
          <w:sz w:val="24"/>
          <w:szCs w:val="24"/>
          <w:highlight w:val="none"/>
          <w:u w:val="single"/>
        </w:rPr>
        <w:t xml:space="preserve"> </w:t>
      </w:r>
    </w:p>
    <w:p>
      <w:pPr>
        <w:shd w:val="clear" w:color="000000" w:fill="auto"/>
        <w:spacing w:line="360" w:lineRule="auto"/>
        <w:rPr>
          <w:rFonts w:ascii="宋体" w:hAnsi="宋体" w:cs="宋体"/>
          <w:color w:val="auto"/>
          <w:sz w:val="24"/>
          <w:szCs w:val="24"/>
          <w:highlight w:val="none"/>
          <w:u w:val="single"/>
        </w:rPr>
      </w:pPr>
      <w:r>
        <w:rPr>
          <w:rFonts w:hint="eastAsia" w:ascii="宋体" w:hAnsi="宋体" w:cs="宋体"/>
          <w:color w:val="auto"/>
          <w:sz w:val="24"/>
          <w:szCs w:val="24"/>
          <w:highlight w:val="none"/>
        </w:rPr>
        <w:t xml:space="preserve">    资金来源：</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财政</w:t>
      </w:r>
      <w:r>
        <w:rPr>
          <w:rFonts w:hint="eastAsia" w:ascii="宋体" w:hAnsi="宋体" w:cs="宋体"/>
          <w:color w:val="auto"/>
          <w:sz w:val="24"/>
          <w:szCs w:val="24"/>
          <w:highlight w:val="none"/>
          <w:u w:val="single"/>
        </w:rPr>
        <w:t xml:space="preserve">资金     </w:t>
      </w:r>
    </w:p>
    <w:p>
      <w:pPr>
        <w:shd w:val="clear" w:color="000000" w:fill="auto"/>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其他：</w:t>
      </w:r>
      <w:r>
        <w:rPr>
          <w:rFonts w:hint="eastAsia" w:ascii="宋体" w:hAnsi="宋体" w:cs="宋体"/>
          <w:color w:val="auto"/>
          <w:sz w:val="24"/>
          <w:szCs w:val="24"/>
          <w:highlight w:val="none"/>
          <w:u w:val="single"/>
        </w:rPr>
        <w:t xml:space="preserve">      /    </w:t>
      </w:r>
    </w:p>
    <w:p>
      <w:pPr>
        <w:shd w:val="clear" w:color="000000" w:fill="auto"/>
        <w:rPr>
          <w:rFonts w:ascii="仿宋" w:hAnsi="仿宋" w:eastAsia="仿宋" w:cs="Times New Roman"/>
          <w:color w:val="auto"/>
          <w:highlight w:val="none"/>
          <w:u w:val="single"/>
        </w:rPr>
      </w:pPr>
    </w:p>
    <w:p>
      <w:pPr>
        <w:shd w:val="clear" w:color="000000" w:fill="auto"/>
        <w:spacing w:line="360" w:lineRule="auto"/>
        <w:outlineLvl w:val="1"/>
        <w:rPr>
          <w:rFonts w:ascii="仿宋" w:hAnsi="仿宋" w:eastAsia="仿宋" w:cs="仿宋"/>
          <w:b/>
          <w:bCs/>
          <w:color w:val="auto"/>
          <w:sz w:val="24"/>
          <w:szCs w:val="24"/>
          <w:highlight w:val="none"/>
        </w:rPr>
      </w:pPr>
      <w:bookmarkStart w:id="51" w:name="_Toc469383969"/>
      <w:bookmarkStart w:id="52" w:name="_Toc10624809"/>
      <w:bookmarkStart w:id="53" w:name="_Toc28866"/>
      <w:bookmarkStart w:id="54" w:name="_Toc266892753"/>
      <w:bookmarkStart w:id="55" w:name="_Toc19157"/>
      <w:r>
        <w:rPr>
          <w:rFonts w:hint="eastAsia" w:ascii="仿宋" w:hAnsi="仿宋" w:eastAsia="仿宋" w:cs="仿宋"/>
          <w:b/>
          <w:bCs/>
          <w:color w:val="auto"/>
          <w:sz w:val="24"/>
          <w:szCs w:val="24"/>
          <w:highlight w:val="none"/>
        </w:rPr>
        <w:t>二、工程内容与承包范围</w:t>
      </w:r>
      <w:bookmarkEnd w:id="51"/>
      <w:bookmarkEnd w:id="52"/>
      <w:bookmarkEnd w:id="53"/>
      <w:bookmarkEnd w:id="54"/>
      <w:bookmarkEnd w:id="55"/>
    </w:p>
    <w:p>
      <w:pPr>
        <w:shd w:val="clear" w:color="000000" w:fill="auto"/>
        <w:spacing w:line="360" w:lineRule="auto"/>
        <w:rPr>
          <w:rFonts w:ascii="宋体" w:hAnsi="宋体" w:cs="宋体"/>
          <w:color w:val="auto"/>
          <w:sz w:val="24"/>
          <w:szCs w:val="24"/>
          <w:highlight w:val="none"/>
          <w:u w:val="single"/>
        </w:rPr>
      </w:pPr>
      <w:r>
        <w:rPr>
          <w:rFonts w:hint="eastAsia" w:ascii="宋体" w:hAnsi="宋体" w:cs="宋体"/>
          <w:color w:val="auto"/>
          <w:sz w:val="24"/>
          <w:szCs w:val="24"/>
          <w:highlight w:val="none"/>
        </w:rPr>
        <w:t xml:space="preserve">    工程内容与承包范围:</w:t>
      </w:r>
      <w:r>
        <w:rPr>
          <w:rFonts w:hint="eastAsia" w:ascii="宋体" w:hAnsi="宋体" w:cs="宋体"/>
          <w:color w:val="auto"/>
          <w:sz w:val="24"/>
          <w:szCs w:val="24"/>
          <w:highlight w:val="none"/>
          <w:u w:val="single"/>
        </w:rPr>
        <w:t>本工程位于番禺区市良路1342号广州番禺职业技术学院内，拟进行原保卫处外墙及内部装修改造、智慧汽车学院实训基地装修改造、智能制造学院注塑实训室装修改造</w:t>
      </w:r>
      <w:r>
        <w:rPr>
          <w:rFonts w:hint="eastAsia" w:ascii="宋体" w:hAnsi="宋体" w:cs="宋体"/>
          <w:color w:val="auto"/>
          <w:sz w:val="24"/>
          <w:szCs w:val="24"/>
          <w:highlight w:val="none"/>
          <w:u w:val="single"/>
          <w:lang w:eastAsia="zh-CN"/>
        </w:rPr>
        <w:t>、A栋教师宿舍装修改造</w:t>
      </w:r>
      <w:r>
        <w:rPr>
          <w:rFonts w:hint="eastAsia" w:ascii="宋体" w:hAnsi="宋体" w:cs="宋体"/>
          <w:color w:val="auto"/>
          <w:sz w:val="24"/>
          <w:szCs w:val="24"/>
          <w:highlight w:val="none"/>
          <w:u w:val="single"/>
        </w:rPr>
        <w:t>，装修面积约</w:t>
      </w:r>
      <w:r>
        <w:rPr>
          <w:rFonts w:hint="eastAsia" w:ascii="宋体" w:hAnsi="宋体" w:cs="宋体"/>
          <w:color w:val="auto"/>
          <w:sz w:val="24"/>
          <w:szCs w:val="24"/>
          <w:highlight w:val="none"/>
          <w:u w:val="single"/>
          <w:lang w:val="en-US" w:eastAsia="zh-CN"/>
        </w:rPr>
        <w:t>4400</w:t>
      </w:r>
      <w:r>
        <w:rPr>
          <w:rFonts w:hint="eastAsia" w:ascii="宋体" w:hAnsi="宋体" w:cs="宋体"/>
          <w:color w:val="auto"/>
          <w:sz w:val="24"/>
          <w:szCs w:val="24"/>
          <w:highlight w:val="none"/>
          <w:u w:val="single"/>
        </w:rPr>
        <w:t>平方米</w:t>
      </w:r>
      <w:r>
        <w:rPr>
          <w:rFonts w:hint="eastAsia" w:ascii="宋体" w:hAnsi="宋体" w:cs="宋体"/>
          <w:color w:val="auto"/>
          <w:sz w:val="24"/>
          <w:szCs w:val="24"/>
          <w:highlight w:val="none"/>
          <w:u w:val="single"/>
          <w:lang w:eastAsia="zh-CN"/>
        </w:rPr>
        <w:t>，包括但不限于：屋面防水、外墙改造、天花装饰、门窗安装，隔墙设置，刷环保漆，墙面改造与粉刷，弱电、强电、给排水、网线铺设等</w:t>
      </w:r>
      <w:r>
        <w:rPr>
          <w:rFonts w:hint="eastAsia" w:ascii="宋体" w:hAnsi="宋体" w:cs="宋体"/>
          <w:color w:val="auto"/>
          <w:sz w:val="24"/>
          <w:szCs w:val="24"/>
          <w:highlight w:val="none"/>
          <w:u w:val="single"/>
          <w:lang w:val="en-US" w:eastAsia="zh-CN"/>
        </w:rPr>
        <w:t>内容</w:t>
      </w:r>
      <w:r>
        <w:rPr>
          <w:rFonts w:hint="eastAsia" w:ascii="宋体" w:hAnsi="宋体" w:cs="宋体"/>
          <w:color w:val="auto"/>
          <w:sz w:val="24"/>
          <w:szCs w:val="24"/>
          <w:highlight w:val="none"/>
          <w:u w:val="single"/>
        </w:rPr>
        <w:t>。包工、包料、包质量，包工期、包安全、包文明施工，包工程竣工图编制（须满足各专项验收要求）和竣工验收。综合单价包干、项目措施费包干。</w:t>
      </w:r>
    </w:p>
    <w:p>
      <w:pPr>
        <w:shd w:val="clear" w:color="000000" w:fill="auto"/>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承包范围:</w:t>
      </w:r>
      <w:r>
        <w:rPr>
          <w:rFonts w:hint="eastAsia" w:ascii="宋体" w:hAnsi="宋体" w:cs="宋体"/>
          <w:color w:val="auto"/>
          <w:kern w:val="0"/>
          <w:sz w:val="24"/>
          <w:szCs w:val="24"/>
          <w:highlight w:val="none"/>
          <w:u w:val="single"/>
        </w:rPr>
        <w:t xml:space="preserve"> </w:t>
      </w:r>
      <w:r>
        <w:rPr>
          <w:rFonts w:hint="eastAsia" w:ascii="宋体" w:hAnsi="宋体" w:cs="宋体"/>
          <w:color w:val="auto"/>
          <w:sz w:val="24"/>
          <w:szCs w:val="24"/>
          <w:highlight w:val="none"/>
          <w:u w:val="single"/>
        </w:rPr>
        <w:t>依据招标文件、招标图纸（包括技术要求）、工程量清单及有关资料及说明，完成方案修改优化、施工图深化、工程施工及竣工图编制，内容包括原保卫处外墙及内部装修改造工程、智慧汽车学院实训基地装修改造工程、智能制造学院注塑实训室装修改造工程、A栋教师宿舍装修改造项目，装修面积约</w:t>
      </w:r>
      <w:r>
        <w:rPr>
          <w:rFonts w:hint="eastAsia" w:ascii="宋体" w:hAnsi="宋体" w:cs="宋体"/>
          <w:color w:val="auto"/>
          <w:sz w:val="24"/>
          <w:szCs w:val="24"/>
          <w:highlight w:val="none"/>
          <w:u w:val="single"/>
          <w:lang w:val="en-US" w:eastAsia="zh-CN"/>
        </w:rPr>
        <w:t>4400</w:t>
      </w:r>
      <w:r>
        <w:rPr>
          <w:rFonts w:hint="eastAsia" w:ascii="宋体" w:hAnsi="宋体" w:cs="宋体"/>
          <w:color w:val="auto"/>
          <w:sz w:val="24"/>
          <w:szCs w:val="24"/>
          <w:highlight w:val="none"/>
          <w:u w:val="single"/>
        </w:rPr>
        <w:t>平方米。包括但不限于：室内装饰</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屋面防水、外墙改造、天花装饰、门窗安装，隔墙设置，刷环保漆，墙面改造与粉刷，弱电、强电、给排水、网线铺设等。包工、包料、包工期、包质量、包安全、包文明施工、包工程相关报批手续，包招标范围内工程竣工验收通过、包移交、包结算的组织实施工作和资料整理等。综合单价包干、项目措施费包干</w:t>
      </w:r>
      <w:r>
        <w:rPr>
          <w:rFonts w:hint="eastAsia" w:ascii="宋体" w:hAnsi="宋体" w:cs="宋体"/>
          <w:color w:val="auto"/>
          <w:kern w:val="0"/>
          <w:sz w:val="24"/>
          <w:szCs w:val="24"/>
          <w:highlight w:val="none"/>
          <w:u w:val="single"/>
        </w:rPr>
        <w:t>。</w:t>
      </w:r>
      <w:r>
        <w:rPr>
          <w:rFonts w:hint="eastAsia" w:ascii="宋体" w:hAnsi="宋体" w:cs="宋体"/>
          <w:color w:val="auto"/>
          <w:sz w:val="24"/>
          <w:szCs w:val="24"/>
          <w:highlight w:val="none"/>
          <w:u w:val="single"/>
        </w:rPr>
        <w:t>具体内容以招标文件及工程量清单、施工图纸为准。</w:t>
      </w:r>
    </w:p>
    <w:p>
      <w:pPr>
        <w:shd w:val="clear" w:color="000000" w:fill="auto"/>
        <w:spacing w:line="360" w:lineRule="auto"/>
        <w:ind w:firstLine="523" w:firstLineChars="218"/>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按照良好的行业惯例，如果某项工作、服务是圆满完成本合同项下的工作和/或服务，但该项工作或服务在合同中没有明示规定的，那么，此项工作或服务应视为已经包含在合同中并构成合同承包人工作范围的一部分。承包人按照本条提供的该工作或服务不应被视为本合同项下的变更，因此所发生的相关费用由承包人承担。</w:t>
      </w:r>
    </w:p>
    <w:p>
      <w:pPr>
        <w:shd w:val="clear" w:color="000000" w:fill="auto"/>
        <w:rPr>
          <w:rFonts w:ascii="仿宋" w:hAnsi="仿宋" w:eastAsia="仿宋" w:cs="仿宋"/>
          <w:b/>
          <w:bCs/>
          <w:color w:val="auto"/>
          <w:highlight w:val="none"/>
        </w:rPr>
      </w:pPr>
      <w:bookmarkStart w:id="56" w:name="_Toc469383970"/>
      <w:bookmarkStart w:id="57" w:name="_Toc10624810"/>
      <w:bookmarkStart w:id="58" w:name="_Toc266892754"/>
    </w:p>
    <w:p>
      <w:pPr>
        <w:shd w:val="clear" w:color="000000" w:fill="auto"/>
        <w:spacing w:line="360" w:lineRule="auto"/>
        <w:outlineLvl w:val="1"/>
        <w:rPr>
          <w:rFonts w:ascii="仿宋" w:hAnsi="仿宋" w:eastAsia="仿宋" w:cs="仿宋"/>
          <w:b/>
          <w:bCs/>
          <w:color w:val="auto"/>
          <w:sz w:val="24"/>
          <w:szCs w:val="24"/>
          <w:highlight w:val="none"/>
        </w:rPr>
      </w:pPr>
      <w:bookmarkStart w:id="59" w:name="_Toc16426"/>
      <w:bookmarkStart w:id="60" w:name="_Toc22793"/>
      <w:r>
        <w:rPr>
          <w:rFonts w:hint="eastAsia" w:ascii="仿宋" w:hAnsi="仿宋" w:eastAsia="仿宋" w:cs="仿宋"/>
          <w:b/>
          <w:bCs/>
          <w:color w:val="auto"/>
          <w:sz w:val="24"/>
          <w:szCs w:val="24"/>
          <w:highlight w:val="none"/>
        </w:rPr>
        <w:t>三、合同工期</w:t>
      </w:r>
      <w:bookmarkEnd w:id="56"/>
      <w:bookmarkEnd w:id="57"/>
      <w:bookmarkEnd w:id="58"/>
      <w:bookmarkEnd w:id="59"/>
      <w:bookmarkEnd w:id="60"/>
    </w:p>
    <w:p>
      <w:pPr>
        <w:shd w:val="clear" w:color="000000" w:fill="auto"/>
        <w:spacing w:line="360" w:lineRule="auto"/>
        <w:ind w:left="1200" w:hanging="1200" w:hangingChars="500"/>
        <w:rPr>
          <w:rFonts w:ascii="宋体" w:hAnsi="宋体" w:cs="宋体"/>
          <w:color w:val="auto"/>
          <w:sz w:val="24"/>
          <w:szCs w:val="24"/>
          <w:highlight w:val="none"/>
        </w:rPr>
      </w:pPr>
      <w:r>
        <w:rPr>
          <w:rFonts w:hint="eastAsia" w:ascii="宋体" w:hAnsi="宋体" w:cs="宋体"/>
          <w:color w:val="auto"/>
          <w:sz w:val="24"/>
          <w:szCs w:val="24"/>
          <w:highlight w:val="none"/>
        </w:rPr>
        <w:t xml:space="preserve">    工程合同工期总日历天数：</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天。</w:t>
      </w:r>
    </w:p>
    <w:p>
      <w:pPr>
        <w:shd w:val="clear" w:color="000000" w:fill="auto"/>
        <w:spacing w:line="360" w:lineRule="auto"/>
        <w:ind w:firstLine="523" w:firstLineChars="218"/>
        <w:rPr>
          <w:rFonts w:ascii="宋体" w:hAnsi="宋体" w:cs="宋体"/>
          <w:color w:val="auto"/>
          <w:sz w:val="24"/>
          <w:szCs w:val="24"/>
          <w:highlight w:val="none"/>
        </w:rPr>
      </w:pPr>
      <w:r>
        <w:rPr>
          <w:rFonts w:hint="eastAsia" w:ascii="宋体" w:hAnsi="宋体" w:cs="宋体"/>
          <w:color w:val="auto"/>
          <w:sz w:val="24"/>
          <w:szCs w:val="24"/>
          <w:highlight w:val="none"/>
        </w:rPr>
        <w:t>暂定从</w:t>
      </w:r>
      <w:r>
        <w:rPr>
          <w:rFonts w:hint="eastAsia" w:ascii="宋体" w:hAnsi="宋体" w:cs="宋体"/>
          <w:color w:val="auto"/>
          <w:sz w:val="24"/>
          <w:szCs w:val="24"/>
          <w:highlight w:val="none"/>
          <w:u w:val="single"/>
        </w:rPr>
        <w:t xml:space="preserve"> </w:t>
      </w:r>
      <w:r>
        <w:rPr>
          <w:rFonts w:ascii="宋体" w:hAnsi="宋体" w:cs="宋体"/>
          <w:color w:val="auto"/>
          <w:sz w:val="24"/>
          <w:szCs w:val="24"/>
          <w:highlight w:val="none"/>
          <w:u w:val="single"/>
        </w:rPr>
        <w:t>20</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日开始施工，至</w:t>
      </w:r>
      <w:r>
        <w:rPr>
          <w:rFonts w:hint="eastAsia" w:ascii="宋体" w:hAnsi="宋体" w:cs="宋体"/>
          <w:color w:val="auto"/>
          <w:sz w:val="24"/>
          <w:szCs w:val="24"/>
          <w:highlight w:val="none"/>
          <w:u w:val="single"/>
        </w:rPr>
        <w:t xml:space="preserve"> </w:t>
      </w:r>
      <w:r>
        <w:rPr>
          <w:rFonts w:ascii="宋体" w:hAnsi="宋体" w:cs="宋体"/>
          <w:color w:val="auto"/>
          <w:sz w:val="24"/>
          <w:szCs w:val="24"/>
          <w:highlight w:val="none"/>
          <w:u w:val="single"/>
        </w:rPr>
        <w:t>20</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日竣工完成，具体开工日期以现场具备施工条件且在项目依法领取施工许可证后，</w:t>
      </w:r>
      <w:r>
        <w:rPr>
          <w:rFonts w:hint="eastAsia" w:ascii="宋体" w:hAnsi="宋体" w:cs="宋体"/>
          <w:color w:val="auto"/>
          <w:sz w:val="24"/>
          <w:szCs w:val="24"/>
          <w:highlight w:val="none"/>
          <w:u w:val="single"/>
        </w:rPr>
        <w:t xml:space="preserve"> 监理工程师 </w:t>
      </w:r>
      <w:r>
        <w:rPr>
          <w:rFonts w:hint="eastAsia" w:ascii="宋体" w:hAnsi="宋体" w:cs="宋体"/>
          <w:color w:val="auto"/>
          <w:sz w:val="24"/>
          <w:szCs w:val="24"/>
          <w:highlight w:val="none"/>
        </w:rPr>
        <w:t>签发的开工令日期为准。工期总日历天数与根据前述计划开竣工日期计算的工期天数不一致的，以工期总日历天数为准。</w:t>
      </w:r>
    </w:p>
    <w:p>
      <w:pPr>
        <w:shd w:val="clear" w:color="000000" w:fill="auto"/>
        <w:rPr>
          <w:rFonts w:ascii="仿宋" w:hAnsi="仿宋" w:eastAsia="仿宋" w:cs="仿宋"/>
          <w:b/>
          <w:bCs/>
          <w:color w:val="auto"/>
          <w:highlight w:val="none"/>
        </w:rPr>
      </w:pPr>
    </w:p>
    <w:p>
      <w:pPr>
        <w:shd w:val="clear" w:color="000000" w:fill="auto"/>
        <w:spacing w:line="360" w:lineRule="auto"/>
        <w:outlineLvl w:val="1"/>
        <w:rPr>
          <w:rFonts w:ascii="仿宋" w:hAnsi="仿宋" w:eastAsia="仿宋" w:cs="仿宋"/>
          <w:b/>
          <w:bCs/>
          <w:color w:val="auto"/>
          <w:sz w:val="24"/>
          <w:szCs w:val="24"/>
          <w:highlight w:val="none"/>
        </w:rPr>
      </w:pPr>
      <w:bookmarkStart w:id="61" w:name="_Toc469383971"/>
      <w:bookmarkStart w:id="62" w:name="_Toc32254"/>
      <w:bookmarkStart w:id="63" w:name="_Toc266892755"/>
      <w:bookmarkStart w:id="64" w:name="_Toc10624811"/>
      <w:bookmarkStart w:id="65" w:name="_Toc19276"/>
      <w:r>
        <w:rPr>
          <w:rFonts w:hint="eastAsia" w:ascii="仿宋" w:hAnsi="仿宋" w:eastAsia="仿宋" w:cs="仿宋"/>
          <w:b/>
          <w:bCs/>
          <w:color w:val="auto"/>
          <w:sz w:val="24"/>
          <w:szCs w:val="24"/>
          <w:highlight w:val="none"/>
        </w:rPr>
        <w:t>★四、质量标准</w:t>
      </w:r>
      <w:bookmarkEnd w:id="61"/>
      <w:bookmarkEnd w:id="62"/>
      <w:bookmarkEnd w:id="63"/>
      <w:bookmarkEnd w:id="64"/>
      <w:bookmarkEnd w:id="65"/>
    </w:p>
    <w:p>
      <w:pPr>
        <w:shd w:val="clear" w:color="000000" w:fill="auto"/>
        <w:spacing w:line="360" w:lineRule="auto"/>
        <w:ind w:firstLine="523" w:firstLineChars="218"/>
        <w:rPr>
          <w:rFonts w:ascii="宋体" w:hAnsi="宋体"/>
          <w:color w:val="auto"/>
          <w:sz w:val="24"/>
          <w:highlight w:val="none"/>
        </w:rPr>
      </w:pPr>
      <w:r>
        <w:rPr>
          <w:rFonts w:hint="eastAsia" w:ascii="宋体" w:hAnsi="宋体"/>
          <w:color w:val="auto"/>
          <w:sz w:val="24"/>
          <w:highlight w:val="none"/>
        </w:rPr>
        <w:t>工程质量标准：</w:t>
      </w:r>
      <w:r>
        <w:rPr>
          <w:rFonts w:hint="eastAsia" w:ascii="宋体" w:hAnsi="宋体"/>
          <w:color w:val="auto"/>
          <w:sz w:val="24"/>
          <w:highlight w:val="none"/>
          <w:u w:val="single"/>
        </w:rPr>
        <w:t>本工程所有项目均应按国家有关现行工程质量验收标准执行，且验收达到合格等级</w:t>
      </w:r>
      <w:r>
        <w:rPr>
          <w:rFonts w:ascii="宋体" w:hAnsi="宋体"/>
          <w:color w:val="auto"/>
          <w:sz w:val="24"/>
          <w:highlight w:val="none"/>
          <w:u w:val="single"/>
        </w:rPr>
        <w:t>。</w:t>
      </w:r>
    </w:p>
    <w:p>
      <w:pPr>
        <w:shd w:val="clear" w:color="000000" w:fill="auto"/>
        <w:spacing w:line="360" w:lineRule="auto"/>
        <w:ind w:firstLine="523" w:firstLineChars="218"/>
        <w:rPr>
          <w:rFonts w:ascii="宋体" w:hAnsi="宋体" w:cs="宋体"/>
          <w:color w:val="auto"/>
          <w:sz w:val="24"/>
          <w:szCs w:val="24"/>
          <w:highlight w:val="none"/>
          <w:u w:val="single"/>
        </w:rPr>
      </w:pPr>
      <w:r>
        <w:rPr>
          <w:rFonts w:hint="eastAsia" w:ascii="宋体" w:hAnsi="宋体"/>
          <w:color w:val="auto"/>
          <w:sz w:val="24"/>
          <w:highlight w:val="none"/>
        </w:rPr>
        <w:t>安全文明施工标准：</w:t>
      </w:r>
      <w:r>
        <w:rPr>
          <w:rFonts w:hint="eastAsia" w:ascii="宋体" w:hAnsi="宋体"/>
          <w:color w:val="auto"/>
          <w:sz w:val="24"/>
          <w:highlight w:val="none"/>
          <w:u w:val="single"/>
        </w:rPr>
        <w:t>杜绝发生重大安全事故。</w:t>
      </w:r>
    </w:p>
    <w:p>
      <w:pPr>
        <w:shd w:val="clear" w:color="000000" w:fill="auto"/>
        <w:rPr>
          <w:rFonts w:ascii="仿宋" w:hAnsi="仿宋" w:eastAsia="仿宋" w:cs="仿宋"/>
          <w:b/>
          <w:bCs/>
          <w:color w:val="auto"/>
          <w:highlight w:val="none"/>
        </w:rPr>
      </w:pPr>
    </w:p>
    <w:p>
      <w:pPr>
        <w:shd w:val="clear" w:color="000000" w:fill="auto"/>
        <w:spacing w:line="360" w:lineRule="auto"/>
        <w:outlineLvl w:val="0"/>
        <w:rPr>
          <w:rFonts w:ascii="仿宋" w:hAnsi="仿宋" w:eastAsia="仿宋" w:cs="仿宋"/>
          <w:b/>
          <w:bCs/>
          <w:color w:val="auto"/>
          <w:sz w:val="24"/>
          <w:szCs w:val="24"/>
          <w:highlight w:val="none"/>
        </w:rPr>
      </w:pPr>
      <w:bookmarkStart w:id="66" w:name="_Toc266892756"/>
      <w:bookmarkStart w:id="67" w:name="_Toc10624812"/>
      <w:bookmarkStart w:id="68" w:name="_Toc6065"/>
      <w:bookmarkStart w:id="69" w:name="_Toc469383972"/>
      <w:bookmarkStart w:id="70" w:name="_Toc12275"/>
      <w:r>
        <w:rPr>
          <w:rFonts w:hint="eastAsia" w:ascii="仿宋" w:hAnsi="仿宋" w:eastAsia="仿宋" w:cs="仿宋"/>
          <w:b/>
          <w:bCs/>
          <w:color w:val="auto"/>
          <w:sz w:val="24"/>
          <w:szCs w:val="24"/>
          <w:highlight w:val="none"/>
        </w:rPr>
        <w:t>五、合同价款</w:t>
      </w:r>
      <w:bookmarkEnd w:id="66"/>
      <w:bookmarkEnd w:id="67"/>
      <w:bookmarkEnd w:id="68"/>
      <w:bookmarkEnd w:id="69"/>
      <w:bookmarkEnd w:id="70"/>
    </w:p>
    <w:p>
      <w:pPr>
        <w:shd w:val="clear" w:color="000000" w:fill="auto"/>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    含税合同总价（大写）：人民币</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hd w:val="clear" w:color="000000" w:fill="auto"/>
        <w:spacing w:line="360" w:lineRule="auto"/>
        <w:ind w:firstLine="1960" w:firstLineChars="817"/>
        <w:rPr>
          <w:rFonts w:ascii="宋体" w:hAnsi="宋体" w:cs="宋体"/>
          <w:color w:val="auto"/>
          <w:sz w:val="24"/>
          <w:szCs w:val="24"/>
          <w:highlight w:val="none"/>
        </w:rPr>
      </w:pPr>
      <w:r>
        <w:rPr>
          <w:rFonts w:hint="eastAsia" w:ascii="宋体" w:hAnsi="宋体" w:cs="宋体"/>
          <w:color w:val="auto"/>
          <w:sz w:val="24"/>
          <w:szCs w:val="24"/>
          <w:highlight w:val="none"/>
        </w:rPr>
        <w:t>（小写）：人民币</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元。</w:t>
      </w:r>
    </w:p>
    <w:p>
      <w:pPr>
        <w:shd w:val="clear" w:color="000000" w:fill="auto"/>
        <w:autoSpaceDE w:val="0"/>
        <w:autoSpaceDN w:val="0"/>
        <w:adjustRightInd w:val="0"/>
        <w:spacing w:line="360" w:lineRule="auto"/>
        <w:ind w:firstLine="1560" w:firstLineChars="65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其中：暂列金额：</w:t>
      </w:r>
      <w:r>
        <w:rPr>
          <w:rFonts w:hint="eastAsia" w:ascii="宋体" w:hAnsi="宋体" w:cs="宋体"/>
          <w:color w:val="auto"/>
          <w:sz w:val="24"/>
          <w:szCs w:val="24"/>
          <w:highlight w:val="none"/>
        </w:rPr>
        <w:t>人民币</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元；</w:t>
      </w:r>
    </w:p>
    <w:p>
      <w:pPr>
        <w:shd w:val="clear" w:color="000000" w:fill="auto"/>
        <w:autoSpaceDE w:val="0"/>
        <w:autoSpaceDN w:val="0"/>
        <w:adjustRightInd w:val="0"/>
        <w:spacing w:line="360" w:lineRule="auto"/>
        <w:ind w:firstLine="2280" w:firstLineChars="95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暂估价：</w:t>
      </w:r>
      <w:r>
        <w:rPr>
          <w:rFonts w:hint="eastAsia" w:ascii="宋体" w:hAnsi="宋体" w:cs="宋体"/>
          <w:color w:val="auto"/>
          <w:sz w:val="24"/>
          <w:szCs w:val="24"/>
          <w:highlight w:val="none"/>
        </w:rPr>
        <w:t>人民币</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元；</w:t>
      </w:r>
    </w:p>
    <w:p>
      <w:pPr>
        <w:shd w:val="clear" w:color="000000" w:fill="auto"/>
        <w:autoSpaceDE w:val="0"/>
        <w:autoSpaceDN w:val="0"/>
        <w:adjustRightInd w:val="0"/>
        <w:spacing w:line="360" w:lineRule="auto"/>
        <w:ind w:firstLine="2280" w:firstLineChars="95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绿色施工安全防护措施费用：</w:t>
      </w:r>
      <w:r>
        <w:rPr>
          <w:rFonts w:hint="eastAsia" w:ascii="宋体" w:hAnsi="宋体" w:cs="宋体"/>
          <w:color w:val="auto"/>
          <w:sz w:val="24"/>
          <w:szCs w:val="24"/>
          <w:highlight w:val="none"/>
        </w:rPr>
        <w:t>人民币</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元，</w:t>
      </w:r>
    </w:p>
    <w:p>
      <w:pPr>
        <w:shd w:val="clear" w:color="000000" w:fill="auto"/>
        <w:autoSpaceDE w:val="0"/>
        <w:autoSpaceDN w:val="0"/>
        <w:adjustRightInd w:val="0"/>
        <w:spacing w:line="360" w:lineRule="auto"/>
        <w:ind w:firstLine="2280" w:firstLineChars="950"/>
        <w:jc w:val="left"/>
        <w:rPr>
          <w:rFonts w:ascii="宋体" w:hAnsi="宋体" w:cs="宋体"/>
          <w:color w:val="auto"/>
          <w:sz w:val="24"/>
          <w:szCs w:val="24"/>
          <w:highlight w:val="none"/>
        </w:rPr>
      </w:pPr>
      <w:r>
        <w:rPr>
          <w:rFonts w:hint="eastAsia" w:ascii="宋体" w:hAnsi="宋体" w:cs="宋体"/>
          <w:color w:val="auto"/>
          <w:kern w:val="0"/>
          <w:sz w:val="24"/>
          <w:szCs w:val="24"/>
          <w:highlight w:val="none"/>
        </w:rPr>
        <w:t>余泥渣土（土方、石方、淤泥）场外运输与排放费用：</w:t>
      </w:r>
      <w:r>
        <w:rPr>
          <w:rFonts w:hint="eastAsia" w:ascii="宋体" w:hAnsi="宋体" w:cs="宋体"/>
          <w:color w:val="auto"/>
          <w:kern w:val="0"/>
          <w:sz w:val="24"/>
          <w:szCs w:val="24"/>
          <w:highlight w:val="none"/>
          <w:u w:val="single"/>
        </w:rPr>
        <w:t xml:space="preserve">人民币          </w:t>
      </w:r>
      <w:r>
        <w:rPr>
          <w:rFonts w:hint="eastAsia" w:ascii="宋体" w:hAnsi="宋体" w:cs="宋体"/>
          <w:color w:val="auto"/>
          <w:kern w:val="0"/>
          <w:sz w:val="24"/>
          <w:szCs w:val="24"/>
          <w:highlight w:val="none"/>
        </w:rPr>
        <w:t>元。</w:t>
      </w:r>
    </w:p>
    <w:p>
      <w:pPr>
        <w:shd w:val="clear" w:color="000000" w:fill="auto"/>
        <w:spacing w:line="360" w:lineRule="auto"/>
        <w:ind w:firstLine="523" w:firstLineChars="218"/>
        <w:rPr>
          <w:rFonts w:ascii="宋体" w:hAnsi="宋体" w:cs="宋体"/>
          <w:color w:val="auto"/>
          <w:sz w:val="24"/>
          <w:szCs w:val="24"/>
          <w:highlight w:val="none"/>
        </w:rPr>
      </w:pPr>
      <w:r>
        <w:rPr>
          <w:rFonts w:hint="eastAsia" w:ascii="宋体" w:hAnsi="宋体" w:cs="宋体"/>
          <w:color w:val="auto"/>
          <w:sz w:val="24"/>
          <w:szCs w:val="24"/>
          <w:highlight w:val="none"/>
        </w:rPr>
        <w:t>项目单价：详见承包人的投标报价书（招标工程）。</w:t>
      </w:r>
    </w:p>
    <w:p>
      <w:pPr>
        <w:shd w:val="clear" w:color="000000" w:fill="auto"/>
        <w:rPr>
          <w:rFonts w:ascii="仿宋" w:hAnsi="仿宋" w:eastAsia="仿宋" w:cs="仿宋"/>
          <w:b/>
          <w:bCs/>
          <w:color w:val="auto"/>
          <w:highlight w:val="none"/>
        </w:rPr>
      </w:pPr>
    </w:p>
    <w:p>
      <w:pPr>
        <w:shd w:val="clear" w:color="000000" w:fill="auto"/>
        <w:spacing w:line="360" w:lineRule="auto"/>
        <w:outlineLvl w:val="0"/>
        <w:rPr>
          <w:rFonts w:ascii="仿宋" w:hAnsi="仿宋" w:eastAsia="仿宋" w:cs="仿宋"/>
          <w:b/>
          <w:bCs/>
          <w:color w:val="auto"/>
          <w:sz w:val="24"/>
          <w:szCs w:val="24"/>
          <w:highlight w:val="none"/>
        </w:rPr>
      </w:pPr>
      <w:bookmarkStart w:id="71" w:name="_Toc469383973"/>
      <w:bookmarkStart w:id="72" w:name="_Toc32095"/>
      <w:bookmarkStart w:id="73" w:name="_Toc31924"/>
      <w:bookmarkStart w:id="74" w:name="_Toc266892757"/>
      <w:bookmarkStart w:id="75" w:name="_Toc10624813"/>
      <w:r>
        <w:rPr>
          <w:rFonts w:hint="eastAsia" w:ascii="仿宋" w:hAnsi="仿宋" w:eastAsia="仿宋" w:cs="仿宋"/>
          <w:b/>
          <w:bCs/>
          <w:color w:val="auto"/>
          <w:sz w:val="24"/>
          <w:szCs w:val="24"/>
          <w:highlight w:val="none"/>
          <w:lang w:val="en-US" w:eastAsia="zh-CN"/>
        </w:rPr>
        <w:t>六</w:t>
      </w:r>
      <w:r>
        <w:rPr>
          <w:rFonts w:hint="eastAsia" w:ascii="仿宋" w:hAnsi="仿宋" w:eastAsia="仿宋" w:cs="仿宋"/>
          <w:b/>
          <w:bCs/>
          <w:color w:val="auto"/>
          <w:sz w:val="24"/>
          <w:szCs w:val="24"/>
          <w:highlight w:val="none"/>
        </w:rPr>
        <w:t>、组成合同的文件</w:t>
      </w:r>
      <w:bookmarkEnd w:id="71"/>
      <w:bookmarkEnd w:id="72"/>
      <w:bookmarkEnd w:id="73"/>
      <w:bookmarkEnd w:id="74"/>
      <w:bookmarkEnd w:id="75"/>
    </w:p>
    <w:p>
      <w:pPr>
        <w:pStyle w:val="2"/>
        <w:shd w:val="clear" w:color="000000" w:fill="auto"/>
        <w:tabs>
          <w:tab w:val="left" w:pos="1260"/>
        </w:tabs>
        <w:spacing w:line="360" w:lineRule="auto"/>
        <w:ind w:left="510" w:leftChars="-100" w:hanging="720" w:hangingChars="300"/>
        <w:rPr>
          <w:rFonts w:hAnsi="宋体"/>
          <w:color w:val="auto"/>
          <w:sz w:val="24"/>
          <w:szCs w:val="24"/>
          <w:highlight w:val="none"/>
        </w:rPr>
      </w:pPr>
      <w:r>
        <w:rPr>
          <w:rFonts w:hint="eastAsia" w:hAnsi="宋体"/>
          <w:color w:val="auto"/>
          <w:sz w:val="24"/>
          <w:szCs w:val="24"/>
          <w:highlight w:val="none"/>
        </w:rPr>
        <w:t xml:space="preserve">         组成本合同的文件及其优先解释顺序与本合同第二部分《通用条款》第2.2款赋予的规定一致。</w:t>
      </w:r>
    </w:p>
    <w:p>
      <w:pPr>
        <w:shd w:val="clear" w:color="000000" w:fill="auto"/>
        <w:rPr>
          <w:rFonts w:ascii="仿宋" w:hAnsi="仿宋" w:eastAsia="仿宋" w:cs="仿宋"/>
          <w:b/>
          <w:bCs/>
          <w:color w:val="auto"/>
          <w:highlight w:val="none"/>
        </w:rPr>
      </w:pPr>
    </w:p>
    <w:p>
      <w:pPr>
        <w:shd w:val="clear" w:color="000000" w:fill="auto"/>
        <w:spacing w:line="360" w:lineRule="auto"/>
        <w:outlineLvl w:val="0"/>
        <w:rPr>
          <w:rFonts w:ascii="仿宋" w:hAnsi="仿宋" w:eastAsia="仿宋" w:cs="Times New Roman"/>
          <w:b/>
          <w:bCs/>
          <w:color w:val="auto"/>
          <w:sz w:val="24"/>
          <w:szCs w:val="24"/>
          <w:highlight w:val="none"/>
        </w:rPr>
      </w:pPr>
      <w:bookmarkStart w:id="76" w:name="_Toc21897"/>
      <w:bookmarkStart w:id="77" w:name="_Toc494"/>
      <w:bookmarkStart w:id="78" w:name="_Toc469383974"/>
      <w:bookmarkStart w:id="79" w:name="_Toc266892758"/>
      <w:bookmarkStart w:id="80" w:name="_Toc10624814"/>
      <w:r>
        <w:rPr>
          <w:rFonts w:hint="eastAsia" w:ascii="仿宋" w:hAnsi="仿宋" w:eastAsia="仿宋" w:cs="仿宋"/>
          <w:b/>
          <w:bCs/>
          <w:color w:val="auto"/>
          <w:sz w:val="24"/>
          <w:szCs w:val="24"/>
          <w:highlight w:val="none"/>
          <w:lang w:val="en-US" w:eastAsia="zh-CN"/>
        </w:rPr>
        <w:t>七</w:t>
      </w:r>
      <w:r>
        <w:rPr>
          <w:rFonts w:hint="eastAsia" w:ascii="仿宋" w:hAnsi="仿宋" w:eastAsia="仿宋" w:cs="仿宋"/>
          <w:b/>
          <w:bCs/>
          <w:color w:val="auto"/>
          <w:sz w:val="24"/>
          <w:szCs w:val="24"/>
          <w:highlight w:val="none"/>
        </w:rPr>
        <w:t>、词语含义</w:t>
      </w:r>
      <w:bookmarkEnd w:id="76"/>
      <w:bookmarkEnd w:id="77"/>
      <w:bookmarkEnd w:id="78"/>
      <w:bookmarkEnd w:id="79"/>
      <w:bookmarkEnd w:id="80"/>
    </w:p>
    <w:p>
      <w:pPr>
        <w:pStyle w:val="2"/>
        <w:shd w:val="clear" w:color="000000" w:fill="auto"/>
        <w:tabs>
          <w:tab w:val="left" w:pos="1260"/>
        </w:tabs>
        <w:ind w:left="477" w:leftChars="227" w:firstLine="480" w:firstLineChars="200"/>
        <w:rPr>
          <w:rFonts w:hAnsi="宋体"/>
          <w:color w:val="auto"/>
          <w:sz w:val="24"/>
          <w:szCs w:val="24"/>
          <w:highlight w:val="none"/>
        </w:rPr>
      </w:pPr>
      <w:r>
        <w:rPr>
          <w:rFonts w:hint="eastAsia" w:hAnsi="宋体"/>
          <w:color w:val="auto"/>
          <w:sz w:val="24"/>
          <w:szCs w:val="24"/>
          <w:highlight w:val="none"/>
        </w:rPr>
        <w:t>本协议书中有关词语含义与本合同第二部分《通用条款》第1条赋予它们的定义相同。</w:t>
      </w:r>
    </w:p>
    <w:p>
      <w:pPr>
        <w:shd w:val="clear" w:color="000000" w:fill="auto"/>
        <w:rPr>
          <w:rFonts w:ascii="仿宋" w:hAnsi="仿宋" w:eastAsia="仿宋" w:cs="仿宋"/>
          <w:b/>
          <w:bCs/>
          <w:color w:val="auto"/>
          <w:highlight w:val="none"/>
        </w:rPr>
      </w:pPr>
    </w:p>
    <w:p>
      <w:pPr>
        <w:shd w:val="clear" w:color="000000" w:fill="auto"/>
        <w:spacing w:line="360" w:lineRule="auto"/>
        <w:outlineLvl w:val="0"/>
        <w:rPr>
          <w:rFonts w:ascii="仿宋" w:hAnsi="仿宋" w:eastAsia="仿宋" w:cs="仿宋"/>
          <w:b/>
          <w:bCs/>
          <w:color w:val="auto"/>
          <w:sz w:val="24"/>
          <w:szCs w:val="24"/>
          <w:highlight w:val="none"/>
        </w:rPr>
      </w:pPr>
      <w:bookmarkStart w:id="81" w:name="_Toc31382"/>
      <w:bookmarkStart w:id="82" w:name="_Toc469383975"/>
      <w:bookmarkStart w:id="83" w:name="_Toc17065"/>
      <w:bookmarkStart w:id="84" w:name="_Toc266892759"/>
      <w:bookmarkStart w:id="85" w:name="_Toc10624815"/>
      <w:r>
        <w:rPr>
          <w:rFonts w:hint="eastAsia" w:ascii="仿宋" w:hAnsi="仿宋" w:eastAsia="仿宋" w:cs="仿宋"/>
          <w:b/>
          <w:bCs/>
          <w:color w:val="auto"/>
          <w:sz w:val="24"/>
          <w:szCs w:val="24"/>
          <w:highlight w:val="none"/>
          <w:lang w:val="en-US" w:eastAsia="zh-CN"/>
        </w:rPr>
        <w:t>八</w:t>
      </w:r>
      <w:r>
        <w:rPr>
          <w:rFonts w:hint="eastAsia" w:ascii="仿宋" w:hAnsi="仿宋" w:eastAsia="仿宋" w:cs="仿宋"/>
          <w:b/>
          <w:bCs/>
          <w:color w:val="auto"/>
          <w:sz w:val="24"/>
          <w:szCs w:val="24"/>
          <w:highlight w:val="none"/>
        </w:rPr>
        <w:t>、承包人承诺</w:t>
      </w:r>
      <w:bookmarkEnd w:id="81"/>
      <w:bookmarkEnd w:id="82"/>
      <w:bookmarkEnd w:id="83"/>
      <w:bookmarkEnd w:id="84"/>
      <w:bookmarkEnd w:id="85"/>
    </w:p>
    <w:p>
      <w:pPr>
        <w:shd w:val="clear" w:color="000000" w:fill="auto"/>
        <w:spacing w:line="360" w:lineRule="auto"/>
        <w:ind w:left="475" w:leftChars="226"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承包人向发包人承诺已阅读、理解并接受本合同所有条款，按照本合同约定实施、完成并保修合同工程，履行本合同所约定的全部义务。</w:t>
      </w:r>
    </w:p>
    <w:p>
      <w:pPr>
        <w:shd w:val="clear" w:color="000000" w:fill="auto"/>
        <w:rPr>
          <w:rFonts w:ascii="仿宋" w:hAnsi="仿宋" w:eastAsia="仿宋" w:cs="仿宋"/>
          <w:b/>
          <w:bCs/>
          <w:color w:val="auto"/>
          <w:highlight w:val="none"/>
        </w:rPr>
      </w:pPr>
    </w:p>
    <w:p>
      <w:pPr>
        <w:shd w:val="clear" w:color="000000" w:fill="auto"/>
        <w:spacing w:line="360" w:lineRule="auto"/>
        <w:outlineLvl w:val="0"/>
        <w:rPr>
          <w:rFonts w:ascii="仿宋" w:hAnsi="仿宋" w:eastAsia="仿宋" w:cs="仿宋"/>
          <w:b/>
          <w:bCs/>
          <w:color w:val="auto"/>
          <w:sz w:val="24"/>
          <w:szCs w:val="24"/>
          <w:highlight w:val="none"/>
        </w:rPr>
      </w:pPr>
      <w:bookmarkStart w:id="86" w:name="_Toc4062"/>
      <w:bookmarkStart w:id="87" w:name="_Toc266892760"/>
      <w:bookmarkStart w:id="88" w:name="_Toc31754"/>
      <w:bookmarkStart w:id="89" w:name="_Toc469383976"/>
      <w:bookmarkStart w:id="90" w:name="_Toc10624816"/>
      <w:r>
        <w:rPr>
          <w:rFonts w:hint="eastAsia" w:ascii="仿宋" w:hAnsi="仿宋" w:eastAsia="仿宋" w:cs="仿宋"/>
          <w:b/>
          <w:bCs/>
          <w:color w:val="auto"/>
          <w:sz w:val="24"/>
          <w:szCs w:val="24"/>
          <w:highlight w:val="none"/>
          <w:lang w:val="en-US" w:eastAsia="zh-CN"/>
        </w:rPr>
        <w:t>九</w:t>
      </w:r>
      <w:r>
        <w:rPr>
          <w:rFonts w:hint="eastAsia" w:ascii="仿宋" w:hAnsi="仿宋" w:eastAsia="仿宋" w:cs="仿宋"/>
          <w:b/>
          <w:bCs/>
          <w:color w:val="auto"/>
          <w:sz w:val="24"/>
          <w:szCs w:val="24"/>
          <w:highlight w:val="none"/>
        </w:rPr>
        <w:t>、发包人承诺</w:t>
      </w:r>
      <w:bookmarkEnd w:id="86"/>
      <w:bookmarkEnd w:id="87"/>
      <w:bookmarkEnd w:id="88"/>
      <w:bookmarkEnd w:id="89"/>
      <w:bookmarkEnd w:id="90"/>
    </w:p>
    <w:p>
      <w:pPr>
        <w:shd w:val="clear" w:color="000000" w:fill="auto"/>
        <w:spacing w:line="360" w:lineRule="auto"/>
        <w:ind w:left="475" w:leftChars="226"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发包人向承包人承诺已阅读、理解并接受本合同所有条款，按照本合同约定的时限和方法支付工程款及其他应当支付的款项，履行本合同所约定的全部义务。</w:t>
      </w:r>
    </w:p>
    <w:p>
      <w:pPr>
        <w:shd w:val="clear" w:color="000000" w:fill="auto"/>
        <w:rPr>
          <w:rFonts w:ascii="仿宋" w:hAnsi="仿宋" w:eastAsia="仿宋" w:cs="仿宋"/>
          <w:b/>
          <w:bCs/>
          <w:color w:val="auto"/>
          <w:highlight w:val="none"/>
        </w:rPr>
      </w:pPr>
    </w:p>
    <w:p>
      <w:pPr>
        <w:shd w:val="clear" w:color="000000" w:fill="auto"/>
        <w:spacing w:line="360" w:lineRule="auto"/>
        <w:outlineLvl w:val="0"/>
        <w:rPr>
          <w:rFonts w:ascii="仿宋" w:hAnsi="仿宋" w:eastAsia="仿宋" w:cs="仿宋"/>
          <w:b/>
          <w:bCs/>
          <w:color w:val="auto"/>
          <w:sz w:val="24"/>
          <w:szCs w:val="24"/>
          <w:highlight w:val="none"/>
        </w:rPr>
      </w:pPr>
      <w:bookmarkStart w:id="91" w:name="_Toc266892761"/>
      <w:bookmarkStart w:id="92" w:name="_Toc18995"/>
      <w:bookmarkStart w:id="93" w:name="_Toc469383977"/>
      <w:bookmarkStart w:id="94" w:name="_Toc10624817"/>
      <w:bookmarkStart w:id="95" w:name="_Toc26647"/>
      <w:r>
        <w:rPr>
          <w:rFonts w:hint="eastAsia" w:ascii="仿宋" w:hAnsi="仿宋" w:eastAsia="仿宋" w:cs="仿宋"/>
          <w:b/>
          <w:bCs/>
          <w:color w:val="auto"/>
          <w:sz w:val="24"/>
          <w:szCs w:val="24"/>
          <w:highlight w:val="none"/>
        </w:rPr>
        <w:t>十、合同生效</w:t>
      </w:r>
      <w:bookmarkEnd w:id="91"/>
      <w:bookmarkEnd w:id="92"/>
      <w:bookmarkEnd w:id="93"/>
      <w:bookmarkEnd w:id="94"/>
      <w:bookmarkEnd w:id="95"/>
    </w:p>
    <w:p>
      <w:pPr>
        <w:shd w:val="clear" w:color="000000" w:fill="auto"/>
        <w:spacing w:line="360" w:lineRule="auto"/>
        <w:ind w:left="527"/>
        <w:rPr>
          <w:rFonts w:ascii="宋体" w:hAnsi="宋体" w:cs="宋体"/>
          <w:color w:val="auto"/>
          <w:sz w:val="24"/>
          <w:szCs w:val="24"/>
          <w:highlight w:val="none"/>
        </w:rPr>
      </w:pPr>
      <w:r>
        <w:rPr>
          <w:rFonts w:hint="eastAsia" w:ascii="宋体" w:hAnsi="宋体" w:cs="宋体"/>
          <w:color w:val="auto"/>
          <w:sz w:val="24"/>
          <w:szCs w:val="24"/>
          <w:highlight w:val="none"/>
        </w:rPr>
        <w:t>本合同订立时间：</w:t>
      </w:r>
      <w:r>
        <w:rPr>
          <w:rFonts w:hint="eastAsia" w:ascii="宋体" w:hAnsi="宋体" w:cs="宋体"/>
          <w:color w:val="auto"/>
          <w:sz w:val="24"/>
          <w:szCs w:val="24"/>
          <w:highlight w:val="none"/>
          <w:u w:val="single"/>
        </w:rPr>
        <w:t xml:space="preserve">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 xml:space="preserve"> </w:t>
      </w:r>
      <w:r>
        <w:rPr>
          <w:rFonts w:ascii="宋体" w:hAnsi="宋体" w:cs="宋体"/>
          <w:color w:val="auto"/>
          <w:sz w:val="24"/>
          <w:szCs w:val="24"/>
          <w:highlight w:val="none"/>
          <w:u w:val="single"/>
        </w:rPr>
        <w:t>20</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pPr>
        <w:shd w:val="clear" w:color="000000" w:fill="auto"/>
        <w:spacing w:line="360" w:lineRule="auto"/>
        <w:ind w:left="527"/>
        <w:rPr>
          <w:rFonts w:ascii="宋体" w:hAnsi="宋体" w:cs="宋体"/>
          <w:color w:val="auto"/>
          <w:sz w:val="24"/>
          <w:szCs w:val="24"/>
          <w:highlight w:val="none"/>
          <w:u w:val="single"/>
        </w:rPr>
      </w:pPr>
      <w:r>
        <w:rPr>
          <w:rFonts w:hint="eastAsia" w:ascii="宋体" w:hAnsi="宋体" w:cs="宋体"/>
          <w:color w:val="auto"/>
          <w:sz w:val="24"/>
          <w:szCs w:val="24"/>
          <w:highlight w:val="none"/>
        </w:rPr>
        <w:t>本合同订立地点：</w:t>
      </w:r>
      <w:r>
        <w:rPr>
          <w:rFonts w:hint="eastAsia" w:ascii="宋体" w:hAnsi="宋体" w:cs="宋体"/>
          <w:color w:val="auto"/>
          <w:sz w:val="24"/>
          <w:szCs w:val="24"/>
          <w:highlight w:val="none"/>
          <w:u w:val="single"/>
        </w:rPr>
        <w:t xml:space="preserve">                 广州          </w:t>
      </w:r>
      <w:r>
        <w:rPr>
          <w:rFonts w:ascii="宋体" w:hAnsi="宋体" w:cs="宋体"/>
          <w:color w:val="auto"/>
          <w:sz w:val="24"/>
          <w:szCs w:val="24"/>
          <w:highlight w:val="none"/>
          <w:u w:val="single"/>
        </w:rPr>
        <w:t xml:space="preserve">   </w:t>
      </w:r>
    </w:p>
    <w:p>
      <w:pPr>
        <w:shd w:val="clear" w:color="000000" w:fill="auto"/>
        <w:ind w:left="527"/>
        <w:rPr>
          <w:rFonts w:ascii="仿宋" w:hAnsi="仿宋" w:eastAsia="仿宋" w:cs="仿宋"/>
          <w:color w:val="auto"/>
          <w:highlight w:val="none"/>
          <w:u w:val="single"/>
        </w:rPr>
      </w:pPr>
    </w:p>
    <w:p>
      <w:pPr>
        <w:shd w:val="clear" w:color="000000" w:fill="auto"/>
        <w:spacing w:line="360" w:lineRule="auto"/>
        <w:outlineLvl w:val="0"/>
        <w:rPr>
          <w:rFonts w:ascii="仿宋" w:hAnsi="仿宋" w:eastAsia="仿宋" w:cs="仿宋"/>
          <w:b/>
          <w:bCs/>
          <w:color w:val="auto"/>
          <w:sz w:val="24"/>
          <w:szCs w:val="24"/>
          <w:highlight w:val="none"/>
        </w:rPr>
      </w:pPr>
      <w:bookmarkStart w:id="96" w:name="_Toc22088"/>
      <w:bookmarkStart w:id="97" w:name="_Toc31397"/>
      <w:r>
        <w:rPr>
          <w:rFonts w:hint="eastAsia" w:ascii="仿宋" w:hAnsi="仿宋" w:eastAsia="仿宋" w:cs="仿宋"/>
          <w:b/>
          <w:bCs/>
          <w:color w:val="auto"/>
          <w:sz w:val="24"/>
          <w:szCs w:val="24"/>
          <w:highlight w:val="none"/>
        </w:rPr>
        <w:t>十</w:t>
      </w:r>
      <w:r>
        <w:rPr>
          <w:rFonts w:hint="eastAsia" w:ascii="仿宋" w:hAnsi="仿宋" w:eastAsia="仿宋" w:cs="仿宋"/>
          <w:b/>
          <w:bCs/>
          <w:color w:val="auto"/>
          <w:sz w:val="24"/>
          <w:szCs w:val="24"/>
          <w:highlight w:val="none"/>
          <w:lang w:val="en-US" w:eastAsia="zh-CN"/>
        </w:rPr>
        <w:t>一</w:t>
      </w:r>
      <w:r>
        <w:rPr>
          <w:rFonts w:hint="eastAsia" w:ascii="仿宋" w:hAnsi="仿宋" w:eastAsia="仿宋" w:cs="仿宋"/>
          <w:b/>
          <w:bCs/>
          <w:color w:val="auto"/>
          <w:sz w:val="24"/>
          <w:szCs w:val="24"/>
          <w:highlight w:val="none"/>
        </w:rPr>
        <w:t>、合同份数</w:t>
      </w:r>
      <w:bookmarkEnd w:id="96"/>
      <w:bookmarkEnd w:id="97"/>
    </w:p>
    <w:p>
      <w:pPr>
        <w:shd w:val="clear" w:color="000000" w:fill="auto"/>
        <w:spacing w:line="360" w:lineRule="auto"/>
        <w:ind w:left="525"/>
        <w:rPr>
          <w:rFonts w:ascii="宋体" w:hAnsi="宋体" w:cs="宋体"/>
          <w:color w:val="auto"/>
          <w:sz w:val="24"/>
          <w:szCs w:val="24"/>
          <w:highlight w:val="none"/>
        </w:rPr>
      </w:pPr>
      <w:r>
        <w:rPr>
          <w:rFonts w:hint="eastAsia" w:ascii="宋体" w:hAnsi="宋体" w:cs="宋体"/>
          <w:color w:val="auto"/>
          <w:sz w:val="24"/>
          <w:szCs w:val="24"/>
          <w:highlight w:val="none"/>
        </w:rPr>
        <w:t>本合同一式</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份，具有同等法律效力，其中甲方执</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份，乙方执</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份。</w:t>
      </w:r>
    </w:p>
    <w:p>
      <w:pPr>
        <w:shd w:val="clear" w:color="000000" w:fill="auto"/>
        <w:spacing w:line="360" w:lineRule="auto"/>
        <w:ind w:firstLine="523" w:firstLineChars="218"/>
        <w:jc w:val="left"/>
        <w:rPr>
          <w:rFonts w:ascii="宋体" w:hAnsi="宋体" w:cs="宋体"/>
          <w:color w:val="auto"/>
          <w:sz w:val="24"/>
          <w:szCs w:val="24"/>
          <w:highlight w:val="none"/>
        </w:rPr>
      </w:pPr>
      <w:r>
        <w:rPr>
          <w:rFonts w:hint="eastAsia" w:ascii="宋体" w:hAnsi="宋体" w:cs="宋体"/>
          <w:color w:val="auto"/>
          <w:sz w:val="24"/>
          <w:szCs w:val="24"/>
          <w:highlight w:val="none"/>
        </w:rPr>
        <w:t>合同双方当事人约定本合同自双方签字、盖章后生效。</w:t>
      </w:r>
    </w:p>
    <w:p>
      <w:pPr>
        <w:shd w:val="clear" w:color="000000" w:fill="auto"/>
        <w:spacing w:line="360" w:lineRule="auto"/>
        <w:jc w:val="center"/>
        <w:outlineLvl w:val="0"/>
        <w:rPr>
          <w:rFonts w:ascii="宋体" w:hAnsi="宋体" w:cs="宋体"/>
          <w:color w:val="auto"/>
          <w:sz w:val="24"/>
          <w:szCs w:val="24"/>
          <w:highlight w:val="none"/>
        </w:rPr>
      </w:pPr>
      <w:bookmarkStart w:id="98" w:name="_Toc1805"/>
      <w:bookmarkStart w:id="99" w:name="_Toc29957"/>
      <w:bookmarkStart w:id="100" w:name="_Toc24059"/>
      <w:bookmarkStart w:id="101" w:name="_Toc25048"/>
      <w:bookmarkStart w:id="102" w:name="_Toc16640"/>
      <w:r>
        <w:rPr>
          <w:rFonts w:hint="eastAsia" w:ascii="宋体" w:hAnsi="宋体" w:cs="宋体"/>
          <w:color w:val="auto"/>
          <w:sz w:val="24"/>
          <w:szCs w:val="24"/>
          <w:highlight w:val="none"/>
        </w:rPr>
        <w:t>（以下无正文）</w:t>
      </w:r>
      <w:bookmarkEnd w:id="98"/>
      <w:bookmarkEnd w:id="99"/>
      <w:bookmarkEnd w:id="100"/>
      <w:bookmarkEnd w:id="101"/>
      <w:bookmarkEnd w:id="102"/>
    </w:p>
    <w:p>
      <w:pPr>
        <w:shd w:val="clear" w:color="000000" w:fill="auto"/>
        <w:spacing w:line="360" w:lineRule="auto"/>
        <w:rPr>
          <w:rFonts w:ascii="宋体" w:hAnsi="宋体" w:cs="宋体"/>
          <w:color w:val="auto"/>
          <w:sz w:val="24"/>
          <w:szCs w:val="24"/>
          <w:highlight w:val="none"/>
        </w:rPr>
      </w:pPr>
    </w:p>
    <w:p>
      <w:pPr>
        <w:shd w:val="clear" w:color="000000" w:fill="auto"/>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发包人：（盖章）</w:t>
      </w:r>
      <w:r>
        <w:rPr>
          <w:rFonts w:hint="eastAsia" w:ascii="宋体" w:hAnsi="宋体" w:cs="宋体"/>
          <w:color w:val="auto"/>
          <w:sz w:val="24"/>
          <w:szCs w:val="24"/>
          <w:highlight w:val="none"/>
          <w:lang w:eastAsia="zh-CN"/>
        </w:rPr>
        <w:t>广州番禺职业技术学院</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承包人：（盖章）</w:t>
      </w:r>
    </w:p>
    <w:p>
      <w:pPr>
        <w:shd w:val="clear" w:color="000000" w:fill="auto"/>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地址：广州市番禺区市良路1342号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地址：</w:t>
      </w:r>
    </w:p>
    <w:p>
      <w:pPr>
        <w:shd w:val="clear" w:color="000000" w:fill="auto"/>
        <w:tabs>
          <w:tab w:val="left" w:pos="525"/>
          <w:tab w:val="left" w:pos="1155"/>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法定代表人：                                法定代表人：</w:t>
      </w:r>
    </w:p>
    <w:p>
      <w:pPr>
        <w:shd w:val="clear" w:color="000000" w:fill="auto"/>
        <w:tabs>
          <w:tab w:val="left" w:pos="525"/>
          <w:tab w:val="left" w:pos="1155"/>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委托代理人：                                委托代理人：</w:t>
      </w:r>
    </w:p>
    <w:p>
      <w:pPr>
        <w:shd w:val="clear" w:color="000000" w:fill="auto"/>
        <w:tabs>
          <w:tab w:val="left" w:pos="525"/>
          <w:tab w:val="left" w:pos="1155"/>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电    话：                    </w:t>
      </w:r>
      <w:r>
        <w:rPr>
          <w:rFonts w:hint="eastAsia" w:ascii="宋体" w:hAnsi="宋体" w:cs="宋体"/>
          <w:color w:val="auto"/>
          <w:sz w:val="24"/>
          <w:szCs w:val="24"/>
          <w:highlight w:val="none"/>
          <w:lang w:val="en-US" w:eastAsia="zh-CN"/>
        </w:rPr>
        <w:t xml:space="preserve">            </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 xml:space="preserve"> 电    话：</w:t>
      </w:r>
    </w:p>
    <w:p>
      <w:pPr>
        <w:shd w:val="clear" w:color="000000" w:fill="auto"/>
        <w:tabs>
          <w:tab w:val="left" w:pos="525"/>
          <w:tab w:val="left" w:pos="1155"/>
        </w:tabs>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传    真：                   </w:t>
      </w:r>
      <w:r>
        <w:rPr>
          <w:rFonts w:hint="eastAsia" w:ascii="宋体" w:hAnsi="宋体" w:cs="宋体"/>
          <w:color w:val="auto"/>
          <w:sz w:val="24"/>
          <w:szCs w:val="24"/>
          <w:highlight w:val="none"/>
          <w:lang w:val="en-US" w:eastAsia="zh-CN"/>
        </w:rPr>
        <w:t xml:space="preserve">            </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 xml:space="preserve">  传    真：</w:t>
      </w:r>
    </w:p>
    <w:p>
      <w:pPr>
        <w:shd w:val="clear" w:color="000000" w:fill="auto"/>
        <w:tabs>
          <w:tab w:val="left" w:pos="525"/>
          <w:tab w:val="left" w:pos="1155"/>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开户银行：                                  开户银行：</w:t>
      </w:r>
    </w:p>
    <w:p>
      <w:pPr>
        <w:shd w:val="clear" w:color="000000" w:fill="auto"/>
        <w:tabs>
          <w:tab w:val="left" w:pos="525"/>
          <w:tab w:val="left" w:pos="1155"/>
          <w:tab w:val="left" w:pos="609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帐    号：                                 </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帐    号：</w:t>
      </w:r>
    </w:p>
    <w:p>
      <w:pPr>
        <w:shd w:val="clear" w:color="000000" w:fill="auto"/>
        <w:tabs>
          <w:tab w:val="left" w:pos="525"/>
          <w:tab w:val="left" w:pos="1155"/>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邮政编码：</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 xml:space="preserve">                          </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邮政编码：</w:t>
      </w:r>
    </w:p>
    <w:p>
      <w:pPr>
        <w:shd w:val="clear" w:color="000000" w:fill="auto"/>
        <w:tabs>
          <w:tab w:val="left" w:pos="525"/>
          <w:tab w:val="left" w:pos="1155"/>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电子邮箱:                                  </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 xml:space="preserve">电子邮箱: </w:t>
      </w:r>
    </w:p>
    <w:p>
      <w:pPr>
        <w:shd w:val="clear" w:color="000000" w:fill="auto"/>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 </w:t>
      </w:r>
      <w:bookmarkStart w:id="103" w:name="_Toc10624818"/>
      <w:bookmarkStart w:id="104" w:name="_Toc469383978"/>
    </w:p>
    <w:p>
      <w:pPr>
        <w:shd w:val="clear" w:color="000000" w:fill="auto"/>
        <w:spacing w:line="360" w:lineRule="auto"/>
        <w:jc w:val="center"/>
        <w:outlineLvl w:val="0"/>
        <w:rPr>
          <w:rFonts w:ascii="宋体" w:cs="Times New Roman"/>
          <w:b/>
          <w:bCs/>
          <w:color w:val="auto"/>
          <w:sz w:val="36"/>
          <w:szCs w:val="36"/>
          <w:highlight w:val="none"/>
        </w:rPr>
      </w:pPr>
      <w:r>
        <w:rPr>
          <w:rFonts w:hint="eastAsia" w:ascii="宋体" w:hAnsi="宋体" w:cs="宋体"/>
          <w:b/>
          <w:bCs/>
          <w:color w:val="auto"/>
          <w:sz w:val="36"/>
          <w:szCs w:val="36"/>
          <w:highlight w:val="none"/>
        </w:rPr>
        <w:br w:type="page"/>
      </w:r>
      <w:bookmarkStart w:id="105" w:name="_Toc27523"/>
      <w:bookmarkStart w:id="106" w:name="_Toc32011"/>
      <w:r>
        <w:rPr>
          <w:rFonts w:hint="eastAsia" w:ascii="宋体" w:hAnsi="宋体" w:cs="宋体"/>
          <w:b/>
          <w:bCs/>
          <w:color w:val="auto"/>
          <w:sz w:val="36"/>
          <w:szCs w:val="36"/>
          <w:highlight w:val="none"/>
        </w:rPr>
        <w:t>第二部分</w:t>
      </w:r>
      <w:r>
        <w:rPr>
          <w:rFonts w:ascii="宋体" w:hAnsi="宋体" w:cs="宋体"/>
          <w:b/>
          <w:bCs/>
          <w:color w:val="auto"/>
          <w:sz w:val="36"/>
          <w:szCs w:val="36"/>
          <w:highlight w:val="none"/>
        </w:rPr>
        <w:t xml:space="preserve">  </w:t>
      </w:r>
      <w:r>
        <w:rPr>
          <w:rFonts w:hint="eastAsia" w:ascii="宋体" w:hAnsi="宋体" w:cs="宋体"/>
          <w:b/>
          <w:bCs/>
          <w:color w:val="auto"/>
          <w:sz w:val="36"/>
          <w:szCs w:val="36"/>
          <w:highlight w:val="none"/>
        </w:rPr>
        <w:t>通用条款</w:t>
      </w:r>
      <w:bookmarkEnd w:id="103"/>
      <w:bookmarkEnd w:id="104"/>
      <w:bookmarkEnd w:id="105"/>
      <w:bookmarkEnd w:id="106"/>
    </w:p>
    <w:p>
      <w:pPr>
        <w:pStyle w:val="2"/>
        <w:shd w:val="clear" w:color="000000" w:fill="auto"/>
        <w:adjustRightInd w:val="0"/>
        <w:snapToGrid w:val="0"/>
        <w:rPr>
          <w:rFonts w:hAnsi="宋体" w:cs="Times New Roman"/>
          <w:color w:val="auto"/>
          <w:sz w:val="32"/>
          <w:szCs w:val="32"/>
          <w:highlight w:val="none"/>
        </w:rPr>
      </w:pPr>
    </w:p>
    <w:p>
      <w:pPr>
        <w:pStyle w:val="2"/>
        <w:shd w:val="clear" w:color="000000" w:fill="auto"/>
        <w:adjustRightInd w:val="0"/>
        <w:snapToGrid w:val="0"/>
        <w:jc w:val="center"/>
        <w:outlineLvl w:val="1"/>
        <w:rPr>
          <w:rFonts w:hAnsi="宋体" w:cs="Times New Roman"/>
          <w:b/>
          <w:bCs/>
          <w:color w:val="auto"/>
          <w:sz w:val="32"/>
          <w:szCs w:val="32"/>
          <w:highlight w:val="none"/>
        </w:rPr>
      </w:pPr>
      <w:bookmarkStart w:id="107" w:name="_Toc21277"/>
      <w:bookmarkStart w:id="108" w:name="_Toc7091"/>
      <w:bookmarkStart w:id="109" w:name="_Toc10624819"/>
      <w:bookmarkStart w:id="110" w:name="_Toc469383979"/>
      <w:r>
        <w:rPr>
          <w:rFonts w:hint="eastAsia" w:hAnsi="宋体"/>
          <w:b/>
          <w:bCs/>
          <w:color w:val="auto"/>
          <w:sz w:val="32"/>
          <w:szCs w:val="32"/>
          <w:highlight w:val="none"/>
        </w:rPr>
        <w:t>一、总</w:t>
      </w:r>
      <w:r>
        <w:rPr>
          <w:rFonts w:hAnsi="宋体"/>
          <w:b/>
          <w:bCs/>
          <w:color w:val="auto"/>
          <w:sz w:val="32"/>
          <w:szCs w:val="32"/>
          <w:highlight w:val="none"/>
        </w:rPr>
        <w:t xml:space="preserve">  </w:t>
      </w:r>
      <w:r>
        <w:rPr>
          <w:rFonts w:hint="eastAsia" w:hAnsi="宋体"/>
          <w:b/>
          <w:bCs/>
          <w:color w:val="auto"/>
          <w:sz w:val="32"/>
          <w:szCs w:val="32"/>
          <w:highlight w:val="none"/>
        </w:rPr>
        <w:t>则</w:t>
      </w:r>
      <w:bookmarkEnd w:id="107"/>
      <w:bookmarkEnd w:id="108"/>
      <w:bookmarkEnd w:id="109"/>
      <w:bookmarkEnd w:id="110"/>
    </w:p>
    <w:p>
      <w:pPr>
        <w:pStyle w:val="2"/>
        <w:shd w:val="clear" w:color="000000" w:fill="auto"/>
        <w:adjustRightInd w:val="0"/>
        <w:snapToGrid w:val="0"/>
        <w:spacing w:line="360" w:lineRule="auto"/>
        <w:jc w:val="center"/>
        <w:rPr>
          <w:rFonts w:hAnsi="宋体" w:cs="Times New Roman"/>
          <w:b/>
          <w:bCs/>
          <w:color w:val="auto"/>
          <w:sz w:val="32"/>
          <w:szCs w:val="32"/>
          <w:highlight w:val="none"/>
        </w:rPr>
      </w:pPr>
    </w:p>
    <w:p>
      <w:pPr>
        <w:pStyle w:val="2"/>
        <w:shd w:val="clear" w:color="000000" w:fill="auto"/>
        <w:tabs>
          <w:tab w:val="left" w:pos="900"/>
          <w:tab w:val="left" w:pos="1080"/>
        </w:tabs>
        <w:spacing w:before="120" w:beforeLines="50" w:after="120" w:afterLines="50" w:line="360" w:lineRule="auto"/>
        <w:outlineLvl w:val="2"/>
        <w:rPr>
          <w:rFonts w:ascii="仿宋" w:hAnsi="仿宋" w:eastAsia="仿宋" w:cs="Times New Roman"/>
          <w:b/>
          <w:bCs/>
          <w:color w:val="auto"/>
          <w:sz w:val="24"/>
          <w:szCs w:val="24"/>
          <w:highlight w:val="none"/>
        </w:rPr>
      </w:pPr>
      <w:bookmarkStart w:id="111" w:name="_Toc469383980"/>
      <w:bookmarkStart w:id="112" w:name="_Toc27829"/>
      <w:bookmarkStart w:id="113" w:name="_Toc10624820"/>
      <w:r>
        <w:rPr>
          <w:rFonts w:ascii="仿宋" w:hAnsi="仿宋" w:eastAsia="仿宋" w:cs="仿宋"/>
          <w:b/>
          <w:bCs/>
          <w:color w:val="auto"/>
          <w:sz w:val="24"/>
          <w:szCs w:val="24"/>
          <w:highlight w:val="none"/>
        </w:rPr>
        <w:t xml:space="preserve">1  </w:t>
      </w:r>
      <w:r>
        <w:rPr>
          <w:rFonts w:hint="eastAsia" w:ascii="仿宋" w:hAnsi="仿宋" w:eastAsia="仿宋" w:cs="仿宋"/>
          <w:b/>
          <w:bCs/>
          <w:color w:val="auto"/>
          <w:sz w:val="24"/>
          <w:szCs w:val="24"/>
          <w:highlight w:val="none"/>
        </w:rPr>
        <w:t>定义</w:t>
      </w:r>
      <w:bookmarkEnd w:id="111"/>
      <w:bookmarkEnd w:id="112"/>
      <w:bookmarkEnd w:id="113"/>
    </w:p>
    <w:p>
      <w:pPr>
        <w:pStyle w:val="2"/>
        <w:shd w:val="clear" w:color="000000" w:fill="auto"/>
        <w:tabs>
          <w:tab w:val="left" w:pos="900"/>
          <w:tab w:val="left" w:pos="1980"/>
        </w:tabs>
        <w:adjustRightInd w:val="0"/>
        <w:spacing w:line="360" w:lineRule="auto"/>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           </w:t>
      </w:r>
      <w:r>
        <w:rPr>
          <w:rFonts w:hint="eastAsia" w:ascii="仿宋" w:hAnsi="仿宋" w:eastAsia="仿宋" w:cs="仿宋"/>
          <w:color w:val="auto"/>
          <w:sz w:val="24"/>
          <w:szCs w:val="24"/>
          <w:highlight w:val="none"/>
        </w:rPr>
        <w:t>下列词语或措辞，除非特别说明，在本合同中均具有以下赋予的含义：</w:t>
      </w:r>
    </w:p>
    <w:p>
      <w:pPr>
        <w:pStyle w:val="2"/>
        <w:shd w:val="clear" w:color="000000" w:fill="auto"/>
        <w:tabs>
          <w:tab w:val="left" w:pos="1260"/>
          <w:tab w:val="left" w:pos="2160"/>
        </w:tabs>
        <w:adjustRightInd w:val="0"/>
        <w:spacing w:before="120" w:beforeLines="50" w:line="360" w:lineRule="auto"/>
        <w:ind w:left="1470" w:leftChars="686" w:hanging="29" w:hangingChars="12"/>
        <w:rPr>
          <w:rFonts w:ascii="仿宋" w:hAnsi="仿宋" w:eastAsia="仿宋" w:cs="Times New Roman"/>
          <w:color w:val="auto"/>
          <w:sz w:val="24"/>
          <w:szCs w:val="24"/>
          <w:highlight w:val="none"/>
          <w:u w:val="dotted"/>
        </w:rPr>
      </w:pPr>
      <w:r>
        <w:rPr>
          <w:rFonts w:ascii="仿宋" w:hAnsi="仿宋" w:eastAsia="仿宋" w:cs="仿宋"/>
          <w:b/>
          <w:bCs/>
          <w:color w:val="auto"/>
          <w:sz w:val="24"/>
          <w:szCs w:val="24"/>
          <w:highlight w:val="none"/>
        </w:rPr>
        <w:t xml:space="preserve">1.1  </w:t>
      </w:r>
      <w:r>
        <w:rPr>
          <w:rFonts w:hint="eastAsia" w:ascii="仿宋" w:hAnsi="仿宋" w:eastAsia="仿宋" w:cs="仿宋"/>
          <w:b/>
          <w:bCs/>
          <w:color w:val="auto"/>
          <w:sz w:val="24"/>
          <w:szCs w:val="24"/>
          <w:highlight w:val="none"/>
        </w:rPr>
        <w:t>合同：</w:t>
      </w:r>
      <w:r>
        <w:rPr>
          <w:rFonts w:hint="eastAsia" w:ascii="仿宋" w:hAnsi="仿宋" w:eastAsia="仿宋" w:cs="仿宋"/>
          <w:color w:val="auto"/>
          <w:sz w:val="24"/>
          <w:szCs w:val="24"/>
          <w:highlight w:val="none"/>
        </w:rPr>
        <w:t>指合同双方当事人为实施、完成并保修合同工程所订立的合同文件。合同文件由第</w:t>
      </w:r>
      <w:r>
        <w:rPr>
          <w:rFonts w:ascii="仿宋" w:hAnsi="仿宋" w:eastAsia="仿宋" w:cs="仿宋"/>
          <w:color w:val="auto"/>
          <w:sz w:val="24"/>
          <w:szCs w:val="24"/>
          <w:highlight w:val="none"/>
        </w:rPr>
        <w:t>2.2</w:t>
      </w:r>
      <w:r>
        <w:rPr>
          <w:rFonts w:hint="eastAsia" w:ascii="仿宋" w:hAnsi="仿宋" w:eastAsia="仿宋" w:cs="仿宋"/>
          <w:color w:val="auto"/>
          <w:sz w:val="24"/>
          <w:szCs w:val="24"/>
          <w:highlight w:val="none"/>
        </w:rPr>
        <w:t>款所列的文件组成。</w:t>
      </w:r>
    </w:p>
    <w:p>
      <w:pPr>
        <w:pStyle w:val="2"/>
        <w:shd w:val="clear" w:color="000000" w:fill="auto"/>
        <w:tabs>
          <w:tab w:val="left" w:pos="2160"/>
          <w:tab w:val="left" w:pos="2520"/>
        </w:tabs>
        <w:adjustRightInd w:val="0"/>
        <w:spacing w:before="192" w:beforeLines="80" w:line="360" w:lineRule="auto"/>
        <w:ind w:left="1469" w:leftChars="685" w:hanging="31" w:hangingChars="13"/>
        <w:rPr>
          <w:rFonts w:ascii="仿宋" w:hAnsi="仿宋" w:eastAsia="仿宋" w:cs="Times New Roman"/>
          <w:color w:val="auto"/>
          <w:sz w:val="24"/>
          <w:szCs w:val="24"/>
          <w:highlight w:val="none"/>
          <w:u w:val="dotted"/>
        </w:rPr>
      </w:pPr>
      <w:r>
        <w:rPr>
          <w:rFonts w:ascii="仿宋" w:hAnsi="仿宋" w:eastAsia="仿宋" w:cs="仿宋"/>
          <w:b/>
          <w:bCs/>
          <w:color w:val="auto"/>
          <w:sz w:val="24"/>
          <w:szCs w:val="24"/>
          <w:highlight w:val="none"/>
        </w:rPr>
        <w:t xml:space="preserve">1.2  </w:t>
      </w:r>
      <w:r>
        <w:rPr>
          <w:rFonts w:hint="eastAsia" w:ascii="仿宋" w:hAnsi="仿宋" w:eastAsia="仿宋" w:cs="仿宋"/>
          <w:b/>
          <w:bCs/>
          <w:color w:val="auto"/>
          <w:sz w:val="24"/>
          <w:szCs w:val="24"/>
          <w:highlight w:val="none"/>
        </w:rPr>
        <w:t>协议书：</w:t>
      </w:r>
      <w:r>
        <w:rPr>
          <w:rFonts w:hint="eastAsia" w:ascii="仿宋" w:hAnsi="仿宋" w:eastAsia="仿宋" w:cs="仿宋"/>
          <w:color w:val="auto"/>
          <w:sz w:val="24"/>
          <w:szCs w:val="24"/>
          <w:highlight w:val="none"/>
        </w:rPr>
        <w:t>指合同双方当事人为合同工程所签订的协议书。除法律另有规定或合同另有约定外，合同双方当事人的法定代表人或其委托代理人在协议书签字或盖单位公章后，合同即告生效。招标工程应当自中标通知书发出之日起</w:t>
      </w:r>
      <w:r>
        <w:rPr>
          <w:rFonts w:ascii="仿宋" w:hAnsi="仿宋" w:eastAsia="仿宋" w:cs="仿宋"/>
          <w:color w:val="auto"/>
          <w:sz w:val="24"/>
          <w:szCs w:val="24"/>
          <w:highlight w:val="none"/>
        </w:rPr>
        <w:t>30</w:t>
      </w:r>
      <w:r>
        <w:rPr>
          <w:rFonts w:hint="eastAsia" w:ascii="仿宋" w:hAnsi="仿宋" w:eastAsia="仿宋" w:cs="仿宋"/>
          <w:color w:val="auto"/>
          <w:sz w:val="24"/>
          <w:szCs w:val="24"/>
          <w:highlight w:val="none"/>
        </w:rPr>
        <w:t>天内签订。</w:t>
      </w:r>
    </w:p>
    <w:p>
      <w:pPr>
        <w:pStyle w:val="2"/>
        <w:shd w:val="clear" w:color="000000" w:fill="auto"/>
        <w:tabs>
          <w:tab w:val="left" w:pos="2160"/>
        </w:tabs>
        <w:adjustRightInd w:val="0"/>
        <w:spacing w:before="192" w:beforeLines="80" w:line="360" w:lineRule="auto"/>
        <w:ind w:left="1468" w:leftChars="699"/>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1.3  </w:t>
      </w:r>
      <w:r>
        <w:rPr>
          <w:rFonts w:hint="eastAsia" w:ascii="仿宋" w:hAnsi="仿宋" w:eastAsia="仿宋" w:cs="仿宋"/>
          <w:b/>
          <w:bCs/>
          <w:color w:val="auto"/>
          <w:sz w:val="24"/>
          <w:szCs w:val="24"/>
          <w:highlight w:val="none"/>
        </w:rPr>
        <w:t>通用条款：</w:t>
      </w:r>
      <w:r>
        <w:rPr>
          <w:rFonts w:hint="eastAsia" w:ascii="仿宋" w:hAnsi="仿宋" w:eastAsia="仿宋" w:cs="仿宋"/>
          <w:color w:val="auto"/>
          <w:sz w:val="24"/>
          <w:szCs w:val="24"/>
          <w:highlight w:val="none"/>
        </w:rPr>
        <w:t>指根据法律、法规和规章的规定以及建设工程施工的需要所订立的，通用于建设工程施工的条款。</w:t>
      </w:r>
    </w:p>
    <w:p>
      <w:pPr>
        <w:pStyle w:val="2"/>
        <w:shd w:val="clear" w:color="000000" w:fill="auto"/>
        <w:tabs>
          <w:tab w:val="left" w:pos="2160"/>
          <w:tab w:val="left" w:pos="2520"/>
        </w:tabs>
        <w:adjustRightInd w:val="0"/>
        <w:spacing w:before="192" w:beforeLines="80" w:line="360" w:lineRule="auto"/>
        <w:ind w:left="1574" w:leftChars="743" w:hanging="14" w:hangingChars="6"/>
        <w:jc w:val="left"/>
        <w:rPr>
          <w:rFonts w:ascii="仿宋" w:hAnsi="仿宋" w:eastAsia="仿宋" w:cs="Times New Roman"/>
          <w:color w:val="auto"/>
          <w:sz w:val="24"/>
          <w:szCs w:val="24"/>
          <w:highlight w:val="none"/>
          <w:u w:val="dotted"/>
        </w:rPr>
      </w:pPr>
      <w:r>
        <w:rPr>
          <w:rFonts w:ascii="仿宋" w:hAnsi="仿宋" w:eastAsia="仿宋" w:cs="仿宋"/>
          <w:b/>
          <w:bCs/>
          <w:color w:val="auto"/>
          <w:sz w:val="24"/>
          <w:szCs w:val="24"/>
          <w:highlight w:val="none"/>
        </w:rPr>
        <w:t xml:space="preserve">1.4  </w:t>
      </w:r>
      <w:r>
        <w:rPr>
          <w:rFonts w:hint="eastAsia" w:ascii="仿宋" w:hAnsi="仿宋" w:eastAsia="仿宋" w:cs="仿宋"/>
          <w:b/>
          <w:bCs/>
          <w:color w:val="auto"/>
          <w:sz w:val="24"/>
          <w:szCs w:val="24"/>
          <w:highlight w:val="none"/>
        </w:rPr>
        <w:t>专用条款：</w:t>
      </w:r>
      <w:r>
        <w:rPr>
          <w:rFonts w:hint="eastAsia" w:ascii="仿宋" w:hAnsi="仿宋" w:eastAsia="仿宋" w:cs="仿宋"/>
          <w:color w:val="auto"/>
          <w:sz w:val="24"/>
          <w:szCs w:val="24"/>
          <w:highlight w:val="none"/>
        </w:rPr>
        <w:t>指合同双方当事人根据法律、法规和规章的规定，结合本合同工程实际，经协商达成一致意见的，专用于本合同工程施工的条款。它是对通用条款的具体化，也是对通用条款的补充和完善。招标工程的专用条款，应当符合招标文件的实质性要求。</w:t>
      </w:r>
    </w:p>
    <w:p>
      <w:pPr>
        <w:pStyle w:val="2"/>
        <w:shd w:val="clear" w:color="000000" w:fill="auto"/>
        <w:tabs>
          <w:tab w:val="left" w:pos="2160"/>
        </w:tabs>
        <w:adjustRightInd w:val="0"/>
        <w:spacing w:before="192" w:beforeLines="80" w:line="360" w:lineRule="auto"/>
        <w:ind w:firstLine="1581" w:firstLineChars="656"/>
        <w:rPr>
          <w:rFonts w:ascii="仿宋" w:hAnsi="仿宋" w:eastAsia="仿宋" w:cs="Times New Roman"/>
          <w:color w:val="auto"/>
          <w:sz w:val="24"/>
          <w:szCs w:val="24"/>
          <w:highlight w:val="none"/>
          <w:u w:val="dotted"/>
        </w:rPr>
      </w:pPr>
      <w:r>
        <w:rPr>
          <w:rFonts w:ascii="仿宋" w:hAnsi="仿宋" w:eastAsia="仿宋" w:cs="仿宋"/>
          <w:b/>
          <w:bCs/>
          <w:color w:val="auto"/>
          <w:sz w:val="24"/>
          <w:szCs w:val="24"/>
          <w:highlight w:val="none"/>
        </w:rPr>
        <w:t xml:space="preserve">1.5  </w:t>
      </w:r>
      <w:r>
        <w:rPr>
          <w:rFonts w:hint="eastAsia" w:ascii="仿宋" w:hAnsi="仿宋" w:eastAsia="仿宋" w:cs="仿宋"/>
          <w:b/>
          <w:bCs/>
          <w:color w:val="auto"/>
          <w:sz w:val="24"/>
          <w:szCs w:val="24"/>
          <w:highlight w:val="none"/>
        </w:rPr>
        <w:t>中标通知书：</w:t>
      </w:r>
      <w:r>
        <w:rPr>
          <w:rFonts w:hint="eastAsia" w:ascii="仿宋" w:hAnsi="仿宋" w:eastAsia="仿宋" w:cs="仿宋"/>
          <w:color w:val="auto"/>
          <w:sz w:val="24"/>
          <w:szCs w:val="24"/>
          <w:highlight w:val="none"/>
        </w:rPr>
        <w:t>指发包人正式接受中标人投标文件的书面文件。</w:t>
      </w:r>
    </w:p>
    <w:p>
      <w:pPr>
        <w:pStyle w:val="2"/>
        <w:shd w:val="clear" w:color="000000" w:fill="auto"/>
        <w:tabs>
          <w:tab w:val="left" w:pos="2160"/>
        </w:tabs>
        <w:adjustRightInd w:val="0"/>
        <w:spacing w:before="192" w:beforeLines="80" w:line="360" w:lineRule="auto"/>
        <w:ind w:left="1575" w:leftChars="750"/>
        <w:jc w:val="left"/>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1.6  </w:t>
      </w:r>
      <w:r>
        <w:rPr>
          <w:rFonts w:hint="eastAsia" w:ascii="仿宋" w:hAnsi="仿宋" w:eastAsia="仿宋" w:cs="仿宋"/>
          <w:b/>
          <w:bCs/>
          <w:color w:val="auto"/>
          <w:sz w:val="24"/>
          <w:szCs w:val="24"/>
          <w:highlight w:val="none"/>
        </w:rPr>
        <w:t>承包人投标文件：</w:t>
      </w:r>
      <w:r>
        <w:rPr>
          <w:rFonts w:hint="eastAsia" w:ascii="仿宋" w:hAnsi="仿宋" w:eastAsia="仿宋" w:cs="仿宋"/>
          <w:color w:val="auto"/>
          <w:sz w:val="24"/>
          <w:szCs w:val="24"/>
          <w:highlight w:val="none"/>
        </w:rPr>
        <w:t>指构成合同文件组成部分的，由承包人根据招标文件编制完成、签字并被中标通知书所接受的，承包人为实施、完成并保修合同工程向发包人提交的技术、经济文件。</w:t>
      </w:r>
    </w:p>
    <w:p>
      <w:pPr>
        <w:pStyle w:val="2"/>
        <w:shd w:val="clear" w:color="000000" w:fill="auto"/>
        <w:tabs>
          <w:tab w:val="left" w:pos="2160"/>
          <w:tab w:val="left" w:pos="2520"/>
        </w:tabs>
        <w:adjustRightInd w:val="0"/>
        <w:spacing w:before="192" w:beforeLines="80" w:line="360" w:lineRule="auto"/>
        <w:ind w:left="1618" w:leftChars="770" w:hanging="1"/>
        <w:jc w:val="left"/>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1.7  </w:t>
      </w:r>
      <w:r>
        <w:rPr>
          <w:rFonts w:hint="eastAsia" w:ascii="仿宋" w:hAnsi="仿宋" w:eastAsia="仿宋" w:cs="仿宋"/>
          <w:b/>
          <w:bCs/>
          <w:color w:val="auto"/>
          <w:sz w:val="24"/>
          <w:szCs w:val="24"/>
          <w:highlight w:val="none"/>
        </w:rPr>
        <w:t>标准、规范及有关技术文件：</w:t>
      </w:r>
      <w:r>
        <w:rPr>
          <w:rFonts w:hint="eastAsia" w:ascii="仿宋" w:hAnsi="仿宋" w:eastAsia="仿宋" w:cs="仿宋"/>
          <w:color w:val="auto"/>
          <w:sz w:val="24"/>
          <w:szCs w:val="24"/>
          <w:highlight w:val="none"/>
        </w:rPr>
        <w:t>指构成合同文件组成部分的，本合同所指明的和合同工程依法应适用的标准与规范，以及监理工程师、造价工程师对有关技术方面问题做出的补充、修改和批准文件。</w:t>
      </w:r>
    </w:p>
    <w:p>
      <w:pPr>
        <w:pStyle w:val="2"/>
        <w:shd w:val="clear" w:color="000000" w:fill="auto"/>
        <w:tabs>
          <w:tab w:val="left" w:pos="2160"/>
          <w:tab w:val="left" w:pos="2520"/>
        </w:tabs>
        <w:adjustRightInd w:val="0"/>
        <w:spacing w:before="192" w:beforeLines="80" w:line="360" w:lineRule="auto"/>
        <w:ind w:left="1618" w:leftChars="770" w:hanging="1"/>
        <w:jc w:val="left"/>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1.8  </w:t>
      </w:r>
      <w:r>
        <w:rPr>
          <w:rFonts w:hint="eastAsia" w:ascii="仿宋" w:hAnsi="仿宋" w:eastAsia="仿宋" w:cs="仿宋"/>
          <w:b/>
          <w:bCs/>
          <w:color w:val="auto"/>
          <w:sz w:val="24"/>
          <w:szCs w:val="24"/>
          <w:highlight w:val="none"/>
        </w:rPr>
        <w:t>施工设计图纸：</w:t>
      </w:r>
      <w:r>
        <w:rPr>
          <w:rFonts w:hint="eastAsia" w:ascii="仿宋" w:hAnsi="仿宋" w:eastAsia="仿宋" w:cs="仿宋"/>
          <w:color w:val="auto"/>
          <w:sz w:val="24"/>
          <w:szCs w:val="24"/>
          <w:highlight w:val="none"/>
        </w:rPr>
        <w:t>指构成合同文件组成部分的，按规定审批的由发包人提供或经发包人批准由承包人提供，满足承包人施工需要的所有设计文件</w:t>
      </w:r>
      <w:r>
        <w:rPr>
          <w:rFonts w:hint="eastAsia" w:ascii="Times New Roman" w:hAnsi="Times New Roman" w:eastAsia="仿宋_GB2312" w:cs="仿宋_GB2312"/>
          <w:color w:val="auto"/>
          <w:kern w:val="0"/>
          <w:sz w:val="30"/>
          <w:szCs w:val="30"/>
          <w:highlight w:val="none"/>
        </w:rPr>
        <w:t>、</w:t>
      </w:r>
      <w:r>
        <w:rPr>
          <w:rFonts w:hint="eastAsia" w:ascii="仿宋" w:hAnsi="仿宋" w:eastAsia="仿宋" w:cs="仿宋"/>
          <w:color w:val="auto"/>
          <w:sz w:val="24"/>
          <w:szCs w:val="24"/>
          <w:highlight w:val="none"/>
        </w:rPr>
        <w:t>施工图纸、模型（包括但不仅限于任何补充和修改的施工图纸、配套说明和有关资料）。图纸应当按照法律规定审查合格。</w:t>
      </w:r>
    </w:p>
    <w:p>
      <w:pPr>
        <w:pStyle w:val="2"/>
        <w:shd w:val="clear" w:color="000000" w:fill="auto"/>
        <w:tabs>
          <w:tab w:val="left" w:pos="2160"/>
        </w:tabs>
        <w:adjustRightInd w:val="0"/>
        <w:spacing w:before="192" w:beforeLines="80" w:line="360" w:lineRule="auto"/>
        <w:ind w:left="1575" w:leftChars="750"/>
        <w:jc w:val="left"/>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1.9  </w:t>
      </w:r>
      <w:r>
        <w:rPr>
          <w:rFonts w:hint="eastAsia" w:ascii="仿宋" w:hAnsi="仿宋" w:eastAsia="仿宋" w:cs="仿宋"/>
          <w:b/>
          <w:bCs/>
          <w:color w:val="auto"/>
          <w:sz w:val="24"/>
          <w:szCs w:val="24"/>
          <w:highlight w:val="none"/>
        </w:rPr>
        <w:t>工程量清单：</w:t>
      </w:r>
      <w:r>
        <w:rPr>
          <w:rFonts w:hint="eastAsia" w:ascii="仿宋" w:hAnsi="仿宋" w:eastAsia="仿宋" w:cs="仿宋"/>
          <w:color w:val="auto"/>
          <w:sz w:val="24"/>
          <w:szCs w:val="24"/>
          <w:highlight w:val="none"/>
        </w:rPr>
        <w:t>指构成合同文件组成部分的</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由发包人在招标文件中提供的</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合同工程分部分项工程项目、措施项目、其他项目、规费项目和税金项目的名称和相应数量等的明细清单。</w:t>
      </w:r>
    </w:p>
    <w:p>
      <w:pPr>
        <w:pStyle w:val="2"/>
        <w:shd w:val="clear" w:color="000000" w:fill="auto"/>
        <w:tabs>
          <w:tab w:val="left" w:pos="2160"/>
        </w:tabs>
        <w:adjustRightInd w:val="0"/>
        <w:spacing w:before="192" w:beforeLines="80" w:line="360" w:lineRule="auto"/>
        <w:ind w:left="1618" w:leftChars="770" w:hanging="1"/>
        <w:jc w:val="left"/>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1.10  </w:t>
      </w:r>
      <w:r>
        <w:rPr>
          <w:rFonts w:hint="eastAsia" w:ascii="仿宋" w:hAnsi="仿宋" w:eastAsia="仿宋" w:cs="仿宋"/>
          <w:b/>
          <w:bCs/>
          <w:color w:val="auto"/>
          <w:sz w:val="24"/>
          <w:szCs w:val="24"/>
          <w:highlight w:val="none"/>
        </w:rPr>
        <w:t>发包人：</w:t>
      </w:r>
      <w:r>
        <w:rPr>
          <w:rFonts w:hint="eastAsia" w:ascii="仿宋" w:hAnsi="仿宋" w:eastAsia="仿宋" w:cs="仿宋"/>
          <w:color w:val="auto"/>
          <w:sz w:val="24"/>
          <w:szCs w:val="24"/>
          <w:highlight w:val="none"/>
        </w:rPr>
        <w:t>指在协议书中约定，具有工程发包主体资格和支付工程款能力的当事人，以及取得该当事人资格的合法继承人。</w:t>
      </w:r>
    </w:p>
    <w:p>
      <w:pPr>
        <w:pStyle w:val="2"/>
        <w:shd w:val="clear" w:color="000000" w:fill="auto"/>
        <w:tabs>
          <w:tab w:val="left" w:pos="1980"/>
        </w:tabs>
        <w:adjustRightInd w:val="0"/>
        <w:spacing w:before="192" w:beforeLines="80" w:line="360" w:lineRule="auto"/>
        <w:ind w:left="1573" w:leftChars="749"/>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1.11  </w:t>
      </w:r>
      <w:r>
        <w:rPr>
          <w:rFonts w:hint="eastAsia" w:ascii="仿宋" w:hAnsi="仿宋" w:eastAsia="仿宋" w:cs="仿宋"/>
          <w:b/>
          <w:bCs/>
          <w:color w:val="auto"/>
          <w:sz w:val="24"/>
          <w:szCs w:val="24"/>
          <w:highlight w:val="none"/>
        </w:rPr>
        <w:t>承包人：</w:t>
      </w:r>
      <w:r>
        <w:rPr>
          <w:rFonts w:hint="eastAsia" w:ascii="仿宋" w:hAnsi="仿宋" w:eastAsia="仿宋" w:cs="仿宋"/>
          <w:color w:val="auto"/>
          <w:sz w:val="24"/>
          <w:szCs w:val="24"/>
          <w:highlight w:val="none"/>
        </w:rPr>
        <w:t>指在协议书中约定，被发包人接受且具有工程施工承包主体资格的当事人，以及取得该当事人资格的合法继承人。</w:t>
      </w:r>
    </w:p>
    <w:p>
      <w:pPr>
        <w:pStyle w:val="2"/>
        <w:shd w:val="clear" w:color="000000" w:fill="auto"/>
        <w:tabs>
          <w:tab w:val="left" w:pos="1980"/>
        </w:tabs>
        <w:spacing w:before="192" w:beforeLines="80" w:line="360" w:lineRule="auto"/>
        <w:ind w:left="1575" w:leftChars="750"/>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1.12  </w:t>
      </w:r>
      <w:r>
        <w:rPr>
          <w:rFonts w:hint="eastAsia" w:ascii="仿宋" w:hAnsi="仿宋" w:eastAsia="仿宋" w:cs="仿宋"/>
          <w:b/>
          <w:bCs/>
          <w:color w:val="auto"/>
          <w:sz w:val="24"/>
          <w:szCs w:val="24"/>
          <w:highlight w:val="none"/>
        </w:rPr>
        <w:t>分包人：</w:t>
      </w:r>
      <w:r>
        <w:rPr>
          <w:rFonts w:hint="eastAsia" w:ascii="仿宋" w:hAnsi="仿宋" w:eastAsia="仿宋" w:cs="仿宋"/>
          <w:color w:val="auto"/>
          <w:sz w:val="24"/>
          <w:szCs w:val="24"/>
          <w:highlight w:val="none"/>
        </w:rPr>
        <w:t>指被发包人接受且具有相应资格，并与承包人签订了分包合同，依法分包合同工程某一部分的当事人，以及取得该当事人资格的合法继承人。</w:t>
      </w:r>
    </w:p>
    <w:p>
      <w:pPr>
        <w:pStyle w:val="2"/>
        <w:shd w:val="clear" w:color="000000" w:fill="auto"/>
        <w:tabs>
          <w:tab w:val="left" w:pos="1980"/>
          <w:tab w:val="left" w:pos="2160"/>
        </w:tabs>
        <w:spacing w:before="192" w:beforeLines="80" w:line="360" w:lineRule="auto"/>
        <w:ind w:left="1620" w:leftChars="771" w:hanging="1"/>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1.13  </w:t>
      </w:r>
      <w:r>
        <w:rPr>
          <w:rFonts w:hint="eastAsia" w:ascii="仿宋" w:hAnsi="仿宋" w:eastAsia="仿宋" w:cs="仿宋"/>
          <w:b/>
          <w:bCs/>
          <w:color w:val="auto"/>
          <w:sz w:val="24"/>
          <w:szCs w:val="24"/>
          <w:highlight w:val="none"/>
        </w:rPr>
        <w:t>第三方：</w:t>
      </w:r>
      <w:r>
        <w:rPr>
          <w:rFonts w:hint="eastAsia" w:ascii="仿宋" w:hAnsi="仿宋" w:eastAsia="仿宋" w:cs="仿宋"/>
          <w:color w:val="auto"/>
          <w:sz w:val="24"/>
          <w:szCs w:val="24"/>
          <w:highlight w:val="none"/>
        </w:rPr>
        <w:t>除合同双方当事人</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含双方雇员及代表其工作的人员</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以外的任何他人或组织。</w:t>
      </w:r>
    </w:p>
    <w:p>
      <w:pPr>
        <w:pStyle w:val="2"/>
        <w:shd w:val="clear" w:color="000000" w:fill="auto"/>
        <w:tabs>
          <w:tab w:val="left" w:pos="1980"/>
          <w:tab w:val="left" w:pos="2160"/>
        </w:tabs>
        <w:spacing w:before="192" w:beforeLines="80" w:line="360" w:lineRule="auto"/>
        <w:ind w:left="1618" w:leftChars="770" w:hanging="1"/>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1.14  </w:t>
      </w:r>
      <w:r>
        <w:rPr>
          <w:rFonts w:hint="eastAsia" w:ascii="仿宋" w:hAnsi="仿宋" w:eastAsia="仿宋" w:cs="仿宋"/>
          <w:b/>
          <w:bCs/>
          <w:color w:val="auto"/>
          <w:sz w:val="24"/>
          <w:szCs w:val="24"/>
          <w:highlight w:val="none"/>
        </w:rPr>
        <w:t>设计人：</w:t>
      </w:r>
      <w:r>
        <w:rPr>
          <w:rFonts w:hint="eastAsia" w:ascii="仿宋" w:hAnsi="仿宋" w:eastAsia="仿宋" w:cs="仿宋"/>
          <w:color w:val="auto"/>
          <w:sz w:val="24"/>
          <w:szCs w:val="24"/>
          <w:highlight w:val="none"/>
        </w:rPr>
        <w:t>指受发包人委托的，负责合同工程的工程设计专业技术且具有相应工程设计资质的当事人，以及取得该当事人资格的合法继承人。</w:t>
      </w:r>
    </w:p>
    <w:p>
      <w:pPr>
        <w:pStyle w:val="2"/>
        <w:shd w:val="clear" w:color="000000" w:fill="auto"/>
        <w:tabs>
          <w:tab w:val="left" w:pos="1980"/>
          <w:tab w:val="left" w:pos="2160"/>
        </w:tabs>
        <w:spacing w:before="192" w:beforeLines="80" w:line="360" w:lineRule="auto"/>
        <w:ind w:left="1618" w:leftChars="770" w:hanging="1"/>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1.15  </w:t>
      </w:r>
      <w:r>
        <w:rPr>
          <w:rFonts w:hint="eastAsia" w:ascii="仿宋" w:hAnsi="仿宋" w:eastAsia="仿宋" w:cs="仿宋"/>
          <w:b/>
          <w:bCs/>
          <w:color w:val="auto"/>
          <w:sz w:val="24"/>
          <w:szCs w:val="24"/>
          <w:highlight w:val="none"/>
        </w:rPr>
        <w:t>监理人：</w:t>
      </w:r>
      <w:r>
        <w:rPr>
          <w:rFonts w:hint="eastAsia" w:ascii="仿宋" w:hAnsi="仿宋" w:eastAsia="仿宋" w:cs="仿宋"/>
          <w:color w:val="auto"/>
          <w:sz w:val="24"/>
          <w:szCs w:val="24"/>
          <w:highlight w:val="none"/>
        </w:rPr>
        <w:t>指受发包人委托的，负责合同工程的工程监理专业技术且具有相应工程监理资质的当事人，以及取得该当事人资格的合法继承人。</w:t>
      </w:r>
    </w:p>
    <w:p>
      <w:pPr>
        <w:pStyle w:val="2"/>
        <w:shd w:val="clear" w:color="000000" w:fill="auto"/>
        <w:tabs>
          <w:tab w:val="left" w:pos="1980"/>
          <w:tab w:val="left" w:pos="2160"/>
        </w:tabs>
        <w:spacing w:before="192" w:beforeLines="80" w:line="360" w:lineRule="auto"/>
        <w:ind w:left="1618" w:leftChars="770" w:hanging="1"/>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1.16  </w:t>
      </w:r>
      <w:r>
        <w:rPr>
          <w:rFonts w:hint="eastAsia" w:ascii="仿宋" w:hAnsi="仿宋" w:eastAsia="仿宋" w:cs="仿宋"/>
          <w:b/>
          <w:bCs/>
          <w:color w:val="auto"/>
          <w:sz w:val="24"/>
          <w:szCs w:val="24"/>
          <w:highlight w:val="none"/>
        </w:rPr>
        <w:t>工程造价咨询人：</w:t>
      </w:r>
      <w:r>
        <w:rPr>
          <w:rFonts w:hint="eastAsia" w:ascii="仿宋" w:hAnsi="仿宋" w:eastAsia="仿宋" w:cs="仿宋"/>
          <w:color w:val="auto"/>
          <w:sz w:val="24"/>
          <w:szCs w:val="24"/>
          <w:highlight w:val="none"/>
        </w:rPr>
        <w:t>指受发包人委托的，负责合同工程的工程造价专业技术且具有相应工程造价咨询资质的当事人，以及取得该当事人资格的合法继承人。</w:t>
      </w:r>
    </w:p>
    <w:p>
      <w:pPr>
        <w:pStyle w:val="2"/>
        <w:shd w:val="clear" w:color="000000" w:fill="auto"/>
        <w:tabs>
          <w:tab w:val="left" w:pos="1980"/>
          <w:tab w:val="left" w:pos="2160"/>
          <w:tab w:val="left" w:pos="2520"/>
        </w:tabs>
        <w:spacing w:before="192" w:beforeLines="80" w:line="360" w:lineRule="auto"/>
        <w:ind w:left="1620" w:leftChars="771" w:hanging="1"/>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1.17  </w:t>
      </w:r>
      <w:r>
        <w:rPr>
          <w:rFonts w:hint="eastAsia" w:ascii="仿宋" w:hAnsi="仿宋" w:eastAsia="仿宋" w:cs="仿宋"/>
          <w:b/>
          <w:bCs/>
          <w:color w:val="auto"/>
          <w:sz w:val="24"/>
          <w:szCs w:val="24"/>
          <w:highlight w:val="none"/>
        </w:rPr>
        <w:t>工程造价管理机构：</w:t>
      </w:r>
      <w:r>
        <w:rPr>
          <w:rFonts w:hint="eastAsia" w:ascii="仿宋" w:hAnsi="仿宋" w:eastAsia="仿宋" w:cs="仿宋"/>
          <w:color w:val="auto"/>
          <w:sz w:val="24"/>
          <w:szCs w:val="24"/>
          <w:highlight w:val="none"/>
        </w:rPr>
        <w:t>指国务院有关部门、县级以上人民政府建设行政主管部门或受其委托的工程造价管理机构。</w:t>
      </w:r>
    </w:p>
    <w:p>
      <w:pPr>
        <w:pStyle w:val="2"/>
        <w:shd w:val="clear" w:color="000000" w:fill="auto"/>
        <w:tabs>
          <w:tab w:val="left" w:pos="1980"/>
          <w:tab w:val="left" w:pos="2160"/>
          <w:tab w:val="left" w:pos="2520"/>
        </w:tabs>
        <w:spacing w:before="192" w:beforeLines="80" w:line="360" w:lineRule="auto"/>
        <w:ind w:left="1618" w:leftChars="770" w:hanging="1"/>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1.18  </w:t>
      </w:r>
      <w:r>
        <w:rPr>
          <w:rFonts w:hint="eastAsia" w:ascii="仿宋" w:hAnsi="仿宋" w:eastAsia="仿宋" w:cs="仿宋"/>
          <w:b/>
          <w:bCs/>
          <w:color w:val="auto"/>
          <w:sz w:val="24"/>
          <w:szCs w:val="24"/>
          <w:highlight w:val="none"/>
        </w:rPr>
        <w:t>发包人代表：</w:t>
      </w:r>
      <w:r>
        <w:rPr>
          <w:rFonts w:hint="eastAsia" w:ascii="仿宋" w:hAnsi="仿宋" w:eastAsia="仿宋" w:cs="仿宋"/>
          <w:color w:val="auto"/>
          <w:sz w:val="24"/>
          <w:szCs w:val="24"/>
          <w:highlight w:val="none"/>
        </w:rPr>
        <w:t>指发包人指定的，履行本合同的全权代表。发包人代表由发包人依据第</w:t>
      </w:r>
      <w:r>
        <w:rPr>
          <w:rFonts w:ascii="仿宋" w:hAnsi="仿宋" w:eastAsia="仿宋" w:cs="仿宋"/>
          <w:color w:val="auto"/>
          <w:sz w:val="24"/>
          <w:szCs w:val="24"/>
          <w:highlight w:val="none"/>
        </w:rPr>
        <w:t>22.1</w:t>
      </w:r>
      <w:r>
        <w:rPr>
          <w:rFonts w:hint="eastAsia" w:ascii="仿宋" w:hAnsi="仿宋" w:eastAsia="仿宋" w:cs="仿宋"/>
          <w:color w:val="auto"/>
          <w:sz w:val="24"/>
          <w:szCs w:val="24"/>
          <w:highlight w:val="none"/>
        </w:rPr>
        <w:t>款规定任命并书面通知承包人。</w:t>
      </w:r>
    </w:p>
    <w:p>
      <w:pPr>
        <w:pStyle w:val="2"/>
        <w:shd w:val="clear" w:color="000000" w:fill="auto"/>
        <w:tabs>
          <w:tab w:val="left" w:pos="1260"/>
          <w:tab w:val="left" w:pos="1980"/>
          <w:tab w:val="left" w:pos="2160"/>
        </w:tabs>
        <w:spacing w:before="192" w:beforeLines="80" w:line="360" w:lineRule="auto"/>
        <w:ind w:left="1618" w:leftChars="770" w:hanging="1"/>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1.19  </w:t>
      </w:r>
      <w:r>
        <w:rPr>
          <w:rFonts w:hint="eastAsia" w:ascii="仿宋" w:hAnsi="仿宋" w:eastAsia="仿宋" w:cs="仿宋"/>
          <w:b/>
          <w:bCs/>
          <w:color w:val="auto"/>
          <w:sz w:val="24"/>
          <w:szCs w:val="24"/>
          <w:highlight w:val="none"/>
        </w:rPr>
        <w:t>监理工程师：</w:t>
      </w:r>
      <w:r>
        <w:rPr>
          <w:rFonts w:hint="eastAsia" w:ascii="仿宋" w:hAnsi="仿宋" w:eastAsia="仿宋" w:cs="仿宋"/>
          <w:color w:val="auto"/>
          <w:sz w:val="24"/>
          <w:szCs w:val="24"/>
          <w:highlight w:val="none"/>
        </w:rPr>
        <w:t>指监理人委派常驻施工现场负责合同工程的工程监理专业技术的专业人员。监理工程师由监理人提名，经发包人依据第</w:t>
      </w:r>
      <w:r>
        <w:rPr>
          <w:rFonts w:ascii="仿宋" w:hAnsi="仿宋" w:eastAsia="仿宋" w:cs="仿宋"/>
          <w:color w:val="auto"/>
          <w:sz w:val="24"/>
          <w:szCs w:val="24"/>
          <w:highlight w:val="none"/>
        </w:rPr>
        <w:t>23.1</w:t>
      </w:r>
      <w:r>
        <w:rPr>
          <w:rFonts w:hint="eastAsia" w:ascii="仿宋" w:hAnsi="仿宋" w:eastAsia="仿宋" w:cs="仿宋"/>
          <w:color w:val="auto"/>
          <w:sz w:val="24"/>
          <w:szCs w:val="24"/>
          <w:highlight w:val="none"/>
        </w:rPr>
        <w:t>款规定任命并书面通知承包人。</w:t>
      </w:r>
    </w:p>
    <w:p>
      <w:pPr>
        <w:pStyle w:val="2"/>
        <w:shd w:val="clear" w:color="000000" w:fill="auto"/>
        <w:tabs>
          <w:tab w:val="left" w:pos="1980"/>
          <w:tab w:val="left" w:pos="2160"/>
        </w:tabs>
        <w:spacing w:before="192" w:beforeLines="80" w:line="360" w:lineRule="auto"/>
        <w:ind w:left="1618" w:leftChars="770" w:hanging="1"/>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1.20  </w:t>
      </w:r>
      <w:r>
        <w:rPr>
          <w:rFonts w:hint="eastAsia" w:ascii="仿宋" w:hAnsi="仿宋" w:eastAsia="仿宋" w:cs="仿宋"/>
          <w:b/>
          <w:bCs/>
          <w:color w:val="auto"/>
          <w:sz w:val="24"/>
          <w:szCs w:val="24"/>
          <w:highlight w:val="none"/>
        </w:rPr>
        <w:t>造价工程师：</w:t>
      </w:r>
      <w:r>
        <w:rPr>
          <w:rFonts w:hint="eastAsia" w:ascii="仿宋" w:hAnsi="仿宋" w:eastAsia="仿宋" w:cs="仿宋"/>
          <w:color w:val="auto"/>
          <w:sz w:val="24"/>
          <w:szCs w:val="24"/>
          <w:highlight w:val="none"/>
        </w:rPr>
        <w:t>指工程造价咨询人或监理人委派常驻施工现场负责合同工程的工程造价专业技术的专业人员。造价工程师由工程造价咨询人或监理人提名，经发包人依据第</w:t>
      </w:r>
      <w:r>
        <w:rPr>
          <w:rFonts w:ascii="仿宋" w:hAnsi="仿宋" w:eastAsia="仿宋" w:cs="仿宋"/>
          <w:color w:val="auto"/>
          <w:sz w:val="24"/>
          <w:szCs w:val="24"/>
          <w:highlight w:val="none"/>
        </w:rPr>
        <w:t>24.1</w:t>
      </w:r>
      <w:r>
        <w:rPr>
          <w:rFonts w:hint="eastAsia" w:ascii="仿宋" w:hAnsi="仿宋" w:eastAsia="仿宋" w:cs="仿宋"/>
          <w:color w:val="auto"/>
          <w:sz w:val="24"/>
          <w:szCs w:val="24"/>
          <w:highlight w:val="none"/>
        </w:rPr>
        <w:t>款规定任命并书面通知承包人。</w:t>
      </w:r>
    </w:p>
    <w:p>
      <w:pPr>
        <w:pStyle w:val="2"/>
        <w:shd w:val="clear" w:color="000000" w:fill="auto"/>
        <w:tabs>
          <w:tab w:val="left" w:pos="1620"/>
          <w:tab w:val="left" w:pos="1980"/>
        </w:tabs>
        <w:spacing w:before="192" w:beforeLines="80" w:line="360" w:lineRule="auto"/>
        <w:ind w:left="1620" w:leftChars="771" w:hanging="1"/>
        <w:jc w:val="left"/>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1.21  </w:t>
      </w:r>
      <w:r>
        <w:rPr>
          <w:rFonts w:hint="eastAsia" w:ascii="仿宋" w:hAnsi="仿宋" w:eastAsia="仿宋" w:cs="仿宋"/>
          <w:b/>
          <w:bCs/>
          <w:color w:val="auto"/>
          <w:sz w:val="24"/>
          <w:szCs w:val="24"/>
          <w:highlight w:val="none"/>
        </w:rPr>
        <w:t>承包人代表：</w:t>
      </w:r>
      <w:r>
        <w:rPr>
          <w:rFonts w:hint="eastAsia" w:ascii="仿宋" w:hAnsi="仿宋" w:eastAsia="仿宋" w:cs="仿宋"/>
          <w:color w:val="auto"/>
          <w:sz w:val="24"/>
          <w:szCs w:val="24"/>
          <w:highlight w:val="none"/>
        </w:rPr>
        <w:t>指承包人指定的，履行本合同和负责合同工程施工现场管理的全权代表。承包人代表由承包人依据第</w:t>
      </w:r>
      <w:r>
        <w:rPr>
          <w:rFonts w:ascii="仿宋" w:hAnsi="仿宋" w:eastAsia="仿宋" w:cs="仿宋"/>
          <w:color w:val="auto"/>
          <w:sz w:val="24"/>
          <w:szCs w:val="24"/>
          <w:highlight w:val="none"/>
        </w:rPr>
        <w:t>25.1</w:t>
      </w:r>
      <w:r>
        <w:rPr>
          <w:rFonts w:hint="eastAsia" w:ascii="仿宋" w:hAnsi="仿宋" w:eastAsia="仿宋" w:cs="仿宋"/>
          <w:color w:val="auto"/>
          <w:sz w:val="24"/>
          <w:szCs w:val="24"/>
          <w:highlight w:val="none"/>
        </w:rPr>
        <w:t>款规定任命并书面通知发包人。</w:t>
      </w:r>
    </w:p>
    <w:p>
      <w:pPr>
        <w:pStyle w:val="2"/>
        <w:shd w:val="clear" w:color="000000" w:fill="auto"/>
        <w:tabs>
          <w:tab w:val="left" w:pos="2160"/>
        </w:tabs>
        <w:spacing w:before="192" w:beforeLines="80" w:line="360" w:lineRule="auto"/>
        <w:ind w:left="1620" w:leftChars="771" w:hanging="1"/>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1.22  </w:t>
      </w:r>
      <w:r>
        <w:rPr>
          <w:rFonts w:hint="eastAsia" w:ascii="仿宋" w:hAnsi="仿宋" w:eastAsia="仿宋" w:cs="仿宋"/>
          <w:b/>
          <w:bCs/>
          <w:color w:val="auto"/>
          <w:sz w:val="24"/>
          <w:szCs w:val="24"/>
          <w:highlight w:val="none"/>
        </w:rPr>
        <w:t>合同工期：</w:t>
      </w:r>
      <w:r>
        <w:rPr>
          <w:rFonts w:hint="eastAsia" w:ascii="仿宋" w:hAnsi="仿宋" w:eastAsia="仿宋" w:cs="仿宋"/>
          <w:color w:val="auto"/>
          <w:sz w:val="24"/>
          <w:szCs w:val="24"/>
          <w:highlight w:val="none"/>
        </w:rPr>
        <w:t>指合同双方当事人在协议书中约定，按照总日历天数（包括法定节假日）计算的从开始实施到完成合同工程的天数。</w:t>
      </w:r>
    </w:p>
    <w:p>
      <w:pPr>
        <w:pStyle w:val="2"/>
        <w:shd w:val="clear" w:color="000000" w:fill="auto"/>
        <w:tabs>
          <w:tab w:val="left" w:pos="2160"/>
        </w:tabs>
        <w:spacing w:before="192" w:beforeLines="80" w:line="360" w:lineRule="auto"/>
        <w:ind w:left="1620" w:leftChars="771" w:hanging="1"/>
        <w:jc w:val="left"/>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1.23  </w:t>
      </w:r>
      <w:r>
        <w:rPr>
          <w:rFonts w:hint="eastAsia" w:ascii="仿宋" w:hAnsi="仿宋" w:eastAsia="仿宋" w:cs="仿宋"/>
          <w:b/>
          <w:bCs/>
          <w:color w:val="auto"/>
          <w:sz w:val="24"/>
          <w:szCs w:val="24"/>
          <w:highlight w:val="none"/>
        </w:rPr>
        <w:t>开工日期：</w:t>
      </w:r>
      <w:r>
        <w:rPr>
          <w:rFonts w:hint="eastAsia" w:ascii="仿宋" w:hAnsi="仿宋" w:eastAsia="仿宋" w:cs="仿宋"/>
          <w:color w:val="auto"/>
          <w:sz w:val="24"/>
          <w:szCs w:val="24"/>
          <w:highlight w:val="none"/>
        </w:rPr>
        <w:t>指根据第</w:t>
      </w:r>
      <w:r>
        <w:rPr>
          <w:rFonts w:ascii="仿宋" w:hAnsi="仿宋" w:eastAsia="仿宋" w:cs="仿宋"/>
          <w:color w:val="auto"/>
          <w:sz w:val="24"/>
          <w:szCs w:val="24"/>
          <w:highlight w:val="none"/>
        </w:rPr>
        <w:t>34</w:t>
      </w:r>
      <w:r>
        <w:rPr>
          <w:rFonts w:hint="eastAsia" w:ascii="仿宋" w:hAnsi="仿宋" w:eastAsia="仿宋" w:cs="仿宋"/>
          <w:color w:val="auto"/>
          <w:sz w:val="24"/>
          <w:szCs w:val="24"/>
          <w:highlight w:val="none"/>
        </w:rPr>
        <w:t>条规定，监理工程师在开工令中写明的、承包人按照合同约定最迟在该日期开工的日期。</w:t>
      </w:r>
    </w:p>
    <w:p>
      <w:pPr>
        <w:pStyle w:val="2"/>
        <w:shd w:val="clear" w:color="000000" w:fill="auto"/>
        <w:tabs>
          <w:tab w:val="left" w:pos="1980"/>
        </w:tabs>
        <w:spacing w:before="192" w:beforeLines="80" w:line="360" w:lineRule="auto"/>
        <w:ind w:left="1620" w:leftChars="771" w:hanging="1"/>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1.24  </w:t>
      </w:r>
      <w:r>
        <w:rPr>
          <w:rFonts w:hint="eastAsia" w:ascii="仿宋" w:hAnsi="仿宋" w:eastAsia="仿宋" w:cs="仿宋"/>
          <w:b/>
          <w:bCs/>
          <w:color w:val="auto"/>
          <w:sz w:val="24"/>
          <w:szCs w:val="24"/>
          <w:highlight w:val="none"/>
        </w:rPr>
        <w:t>计划竣工日期：</w:t>
      </w:r>
      <w:r>
        <w:rPr>
          <w:rFonts w:hint="eastAsia" w:ascii="仿宋" w:hAnsi="仿宋" w:eastAsia="仿宋" w:cs="仿宋"/>
          <w:color w:val="auto"/>
          <w:sz w:val="24"/>
          <w:szCs w:val="24"/>
          <w:highlight w:val="none"/>
        </w:rPr>
        <w:t>指自开工日期起根据合同约定要求承包人完成合同工程并竣工的全部时间（包括根据第</w:t>
      </w:r>
      <w:r>
        <w:rPr>
          <w:rFonts w:ascii="仿宋" w:hAnsi="仿宋" w:eastAsia="仿宋" w:cs="仿宋"/>
          <w:color w:val="auto"/>
          <w:sz w:val="24"/>
          <w:szCs w:val="24"/>
          <w:highlight w:val="none"/>
        </w:rPr>
        <w:t>36</w:t>
      </w:r>
      <w:r>
        <w:rPr>
          <w:rFonts w:hint="eastAsia" w:ascii="仿宋" w:hAnsi="仿宋" w:eastAsia="仿宋" w:cs="仿宋"/>
          <w:color w:val="auto"/>
          <w:sz w:val="24"/>
          <w:szCs w:val="24"/>
          <w:highlight w:val="none"/>
        </w:rPr>
        <w:t>条和第</w:t>
      </w:r>
      <w:r>
        <w:rPr>
          <w:rFonts w:ascii="仿宋" w:hAnsi="仿宋" w:eastAsia="仿宋" w:cs="仿宋"/>
          <w:color w:val="auto"/>
          <w:sz w:val="24"/>
          <w:szCs w:val="24"/>
          <w:highlight w:val="none"/>
        </w:rPr>
        <w:t>37.2</w:t>
      </w:r>
      <w:r>
        <w:rPr>
          <w:rFonts w:hint="eastAsia" w:ascii="仿宋" w:hAnsi="仿宋" w:eastAsia="仿宋" w:cs="仿宋"/>
          <w:color w:val="auto"/>
          <w:sz w:val="24"/>
          <w:szCs w:val="24"/>
          <w:highlight w:val="none"/>
        </w:rPr>
        <w:t>款规定所做的调整）。</w:t>
      </w:r>
    </w:p>
    <w:p>
      <w:pPr>
        <w:pStyle w:val="2"/>
        <w:shd w:val="clear" w:color="000000" w:fill="auto"/>
        <w:tabs>
          <w:tab w:val="left" w:pos="1980"/>
          <w:tab w:val="left" w:pos="2160"/>
        </w:tabs>
        <w:spacing w:before="192" w:beforeLines="80" w:line="360" w:lineRule="auto"/>
        <w:ind w:left="1620" w:leftChars="771" w:hanging="1"/>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1.25  </w:t>
      </w:r>
      <w:r>
        <w:rPr>
          <w:rFonts w:hint="eastAsia" w:ascii="仿宋" w:hAnsi="仿宋" w:eastAsia="仿宋" w:cs="仿宋"/>
          <w:b/>
          <w:bCs/>
          <w:color w:val="auto"/>
          <w:sz w:val="24"/>
          <w:szCs w:val="24"/>
          <w:highlight w:val="none"/>
        </w:rPr>
        <w:t>实际竣工日期：</w:t>
      </w:r>
      <w:r>
        <w:rPr>
          <w:rFonts w:hint="eastAsia" w:ascii="仿宋" w:hAnsi="仿宋" w:eastAsia="仿宋" w:cs="仿宋"/>
          <w:color w:val="auto"/>
          <w:sz w:val="24"/>
          <w:szCs w:val="24"/>
          <w:highlight w:val="none"/>
        </w:rPr>
        <w:t>指承包人实际完成合同工程或某单位工程后，由发包人按照第</w:t>
      </w:r>
      <w:r>
        <w:rPr>
          <w:rFonts w:ascii="仿宋" w:hAnsi="仿宋" w:eastAsia="仿宋" w:cs="仿宋"/>
          <w:color w:val="auto"/>
          <w:sz w:val="24"/>
          <w:szCs w:val="24"/>
          <w:highlight w:val="none"/>
        </w:rPr>
        <w:t>58</w:t>
      </w:r>
      <w:r>
        <w:rPr>
          <w:rFonts w:hint="eastAsia" w:ascii="仿宋" w:hAnsi="仿宋" w:eastAsia="仿宋" w:cs="仿宋"/>
          <w:color w:val="auto"/>
          <w:sz w:val="24"/>
          <w:szCs w:val="24"/>
          <w:highlight w:val="none"/>
        </w:rPr>
        <w:t>条规定组织竣工验收、接收工程并颁发工程接收证书的日期。实际竣工日期，按照第</w:t>
      </w:r>
      <w:r>
        <w:rPr>
          <w:rFonts w:ascii="仿宋" w:hAnsi="仿宋" w:eastAsia="仿宋" w:cs="仿宋"/>
          <w:color w:val="auto"/>
          <w:sz w:val="24"/>
          <w:szCs w:val="24"/>
          <w:highlight w:val="none"/>
        </w:rPr>
        <w:t>38.2</w:t>
      </w:r>
      <w:r>
        <w:rPr>
          <w:rFonts w:hint="eastAsia" w:ascii="仿宋" w:hAnsi="仿宋" w:eastAsia="仿宋" w:cs="仿宋"/>
          <w:color w:val="auto"/>
          <w:sz w:val="24"/>
          <w:szCs w:val="24"/>
          <w:highlight w:val="none"/>
        </w:rPr>
        <w:t>款规定确定。</w:t>
      </w:r>
    </w:p>
    <w:p>
      <w:pPr>
        <w:pStyle w:val="2"/>
        <w:shd w:val="clear" w:color="000000" w:fill="auto"/>
        <w:tabs>
          <w:tab w:val="left" w:pos="1980"/>
          <w:tab w:val="left" w:pos="2160"/>
        </w:tabs>
        <w:spacing w:before="192" w:beforeLines="80" w:line="360" w:lineRule="auto"/>
        <w:ind w:left="1620" w:leftChars="771" w:hanging="1"/>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1.26  </w:t>
      </w:r>
      <w:r>
        <w:rPr>
          <w:rFonts w:hint="eastAsia" w:ascii="仿宋" w:hAnsi="仿宋" w:eastAsia="仿宋" w:cs="仿宋"/>
          <w:b/>
          <w:bCs/>
          <w:color w:val="auto"/>
          <w:sz w:val="24"/>
          <w:szCs w:val="24"/>
          <w:highlight w:val="none"/>
        </w:rPr>
        <w:t>缺陷责任期：</w:t>
      </w:r>
      <w:r>
        <w:rPr>
          <w:rFonts w:hint="eastAsia" w:ascii="仿宋" w:hAnsi="仿宋" w:eastAsia="仿宋" w:cs="仿宋"/>
          <w:color w:val="auto"/>
          <w:sz w:val="24"/>
          <w:szCs w:val="24"/>
          <w:highlight w:val="none"/>
        </w:rPr>
        <w:t>指履行第</w:t>
      </w:r>
      <w:r>
        <w:rPr>
          <w:rFonts w:ascii="仿宋" w:hAnsi="仿宋" w:eastAsia="仿宋" w:cs="仿宋"/>
          <w:color w:val="auto"/>
          <w:sz w:val="24"/>
          <w:szCs w:val="24"/>
          <w:highlight w:val="none"/>
        </w:rPr>
        <w:t>59.3</w:t>
      </w:r>
      <w:r>
        <w:rPr>
          <w:rFonts w:hint="eastAsia" w:ascii="仿宋" w:hAnsi="仿宋" w:eastAsia="仿宋" w:cs="仿宋"/>
          <w:color w:val="auto"/>
          <w:sz w:val="24"/>
          <w:szCs w:val="24"/>
          <w:highlight w:val="none"/>
        </w:rPr>
        <w:t>款规定的缺陷责任的期限。具体期限在专用条款中约定，包括第</w:t>
      </w:r>
      <w:r>
        <w:rPr>
          <w:rFonts w:ascii="仿宋" w:hAnsi="仿宋" w:eastAsia="仿宋" w:cs="仿宋"/>
          <w:color w:val="auto"/>
          <w:sz w:val="24"/>
          <w:szCs w:val="24"/>
          <w:highlight w:val="none"/>
        </w:rPr>
        <w:t>59.2</w:t>
      </w:r>
      <w:r>
        <w:rPr>
          <w:rFonts w:hint="eastAsia" w:ascii="仿宋" w:hAnsi="仿宋" w:eastAsia="仿宋" w:cs="仿宋"/>
          <w:color w:val="auto"/>
          <w:sz w:val="24"/>
          <w:szCs w:val="24"/>
          <w:highlight w:val="none"/>
        </w:rPr>
        <w:t>款规定的延长期限。</w:t>
      </w:r>
    </w:p>
    <w:p>
      <w:pPr>
        <w:pStyle w:val="2"/>
        <w:shd w:val="clear" w:color="000000" w:fill="auto"/>
        <w:tabs>
          <w:tab w:val="left" w:pos="1980"/>
          <w:tab w:val="left" w:pos="2160"/>
        </w:tabs>
        <w:spacing w:before="192" w:beforeLines="80" w:line="360" w:lineRule="auto"/>
        <w:ind w:left="1620" w:leftChars="771" w:hanging="1"/>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1.27  </w:t>
      </w:r>
      <w:r>
        <w:rPr>
          <w:rFonts w:hint="eastAsia" w:ascii="仿宋" w:hAnsi="仿宋" w:eastAsia="仿宋" w:cs="仿宋"/>
          <w:b/>
          <w:bCs/>
          <w:color w:val="auto"/>
          <w:sz w:val="24"/>
          <w:szCs w:val="24"/>
          <w:highlight w:val="none"/>
        </w:rPr>
        <w:t>基准日期：</w:t>
      </w:r>
      <w:r>
        <w:rPr>
          <w:rFonts w:hint="eastAsia" w:ascii="仿宋" w:hAnsi="仿宋" w:eastAsia="仿宋" w:cs="仿宋"/>
          <w:color w:val="auto"/>
          <w:sz w:val="24"/>
          <w:szCs w:val="24"/>
          <w:highlight w:val="none"/>
        </w:rPr>
        <w:t>指招标工程递交投标文件截止日期前</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天的日期；非招标工程订立合同前</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天的日期。</w:t>
      </w:r>
    </w:p>
    <w:p>
      <w:pPr>
        <w:pStyle w:val="2"/>
        <w:shd w:val="clear" w:color="000000" w:fill="auto"/>
        <w:tabs>
          <w:tab w:val="left" w:pos="2160"/>
        </w:tabs>
        <w:spacing w:before="192" w:beforeLines="80" w:line="360" w:lineRule="auto"/>
        <w:ind w:left="1573" w:leftChars="749"/>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1.28  </w:t>
      </w:r>
      <w:r>
        <w:rPr>
          <w:rFonts w:hint="eastAsia" w:ascii="仿宋" w:hAnsi="仿宋" w:eastAsia="仿宋" w:cs="仿宋"/>
          <w:b/>
          <w:bCs/>
          <w:color w:val="auto"/>
          <w:sz w:val="24"/>
          <w:szCs w:val="24"/>
          <w:highlight w:val="none"/>
        </w:rPr>
        <w:t>小时或天：</w:t>
      </w:r>
      <w:r>
        <w:rPr>
          <w:rFonts w:hint="eastAsia" w:ascii="仿宋" w:hAnsi="仿宋" w:eastAsia="仿宋" w:cs="仿宋"/>
          <w:color w:val="auto"/>
          <w:sz w:val="24"/>
          <w:szCs w:val="24"/>
          <w:highlight w:val="none"/>
        </w:rPr>
        <w:t>除特别指明外，指时钟小时或日历天。合同中约定按照小时计算时间的，从发生事件有效时开始计算，不扣除休息时间；约定按照天计算时间的，开始当天不计入，从次日开始计算。时限的最后一天是休息日或其他法定节假日的，以节假日次日为时限，但竣工日期除外。时限最后一天的截止时间为当天</w:t>
      </w:r>
      <w:r>
        <w:rPr>
          <w:rFonts w:ascii="仿宋" w:hAnsi="仿宋" w:eastAsia="仿宋" w:cs="仿宋"/>
          <w:color w:val="auto"/>
          <w:sz w:val="24"/>
          <w:szCs w:val="24"/>
          <w:highlight w:val="none"/>
        </w:rPr>
        <w:t>24:00</w:t>
      </w:r>
      <w:r>
        <w:rPr>
          <w:rFonts w:hint="eastAsia" w:ascii="仿宋" w:hAnsi="仿宋" w:eastAsia="仿宋" w:cs="仿宋"/>
          <w:color w:val="auto"/>
          <w:sz w:val="24"/>
          <w:szCs w:val="24"/>
          <w:highlight w:val="none"/>
        </w:rPr>
        <w:t>（即次日零点）。</w:t>
      </w:r>
    </w:p>
    <w:p>
      <w:pPr>
        <w:pStyle w:val="2"/>
        <w:shd w:val="clear" w:color="000000" w:fill="auto"/>
        <w:tabs>
          <w:tab w:val="left" w:pos="900"/>
          <w:tab w:val="left" w:pos="2160"/>
        </w:tabs>
        <w:spacing w:before="192" w:beforeLines="80" w:line="360" w:lineRule="auto"/>
        <w:ind w:left="1576" w:leftChars="750" w:hanging="1"/>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1.29  </w:t>
      </w:r>
      <w:r>
        <w:rPr>
          <w:rFonts w:hint="eastAsia" w:ascii="仿宋" w:hAnsi="仿宋" w:eastAsia="仿宋" w:cs="仿宋"/>
          <w:b/>
          <w:bCs/>
          <w:color w:val="auto"/>
          <w:sz w:val="24"/>
          <w:szCs w:val="24"/>
          <w:highlight w:val="none"/>
        </w:rPr>
        <w:t>中标价格：</w:t>
      </w:r>
      <w:r>
        <w:rPr>
          <w:rFonts w:hint="eastAsia" w:ascii="仿宋" w:hAnsi="仿宋" w:eastAsia="仿宋" w:cs="仿宋"/>
          <w:color w:val="auto"/>
          <w:sz w:val="24"/>
          <w:szCs w:val="24"/>
          <w:highlight w:val="none"/>
        </w:rPr>
        <w:t>指中标通知书中列明的，发包人接受中标人（承包人）实施、完成并保修合同工程的价格。</w:t>
      </w:r>
    </w:p>
    <w:p>
      <w:pPr>
        <w:pStyle w:val="2"/>
        <w:shd w:val="clear" w:color="000000" w:fill="auto"/>
        <w:tabs>
          <w:tab w:val="left" w:pos="2160"/>
        </w:tabs>
        <w:spacing w:before="192" w:beforeLines="80" w:line="360" w:lineRule="auto"/>
        <w:ind w:left="1620" w:leftChars="771" w:hanging="1"/>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1.30  </w:t>
      </w:r>
      <w:r>
        <w:rPr>
          <w:rFonts w:hint="eastAsia" w:ascii="仿宋" w:hAnsi="仿宋" w:eastAsia="仿宋" w:cs="仿宋"/>
          <w:b/>
          <w:bCs/>
          <w:color w:val="auto"/>
          <w:sz w:val="24"/>
          <w:szCs w:val="24"/>
          <w:highlight w:val="none"/>
        </w:rPr>
        <w:t>合同价款：</w:t>
      </w:r>
      <w:r>
        <w:rPr>
          <w:rFonts w:hint="eastAsia" w:ascii="仿宋" w:hAnsi="仿宋" w:eastAsia="仿宋" w:cs="仿宋"/>
          <w:color w:val="auto"/>
          <w:sz w:val="24"/>
          <w:szCs w:val="24"/>
          <w:highlight w:val="none"/>
        </w:rPr>
        <w:t>指承包人按照合同约定完成了包括缺陷责任期内的全部承包工作后，发包人按照合同约定及时足额（包括调整的合同价款）支付给承包人的全部金额。其具体款项依据协议书中标明的包括暂列金额、暂估价在内的金额和第</w:t>
      </w:r>
      <w:r>
        <w:rPr>
          <w:rFonts w:ascii="仿宋" w:hAnsi="仿宋" w:eastAsia="仿宋" w:cs="仿宋"/>
          <w:color w:val="auto"/>
          <w:sz w:val="24"/>
          <w:szCs w:val="24"/>
          <w:highlight w:val="none"/>
        </w:rPr>
        <w:t>68.2</w:t>
      </w:r>
      <w:r>
        <w:rPr>
          <w:rFonts w:hint="eastAsia" w:ascii="仿宋" w:hAnsi="仿宋" w:eastAsia="仿宋" w:cs="仿宋"/>
          <w:color w:val="auto"/>
          <w:sz w:val="24"/>
          <w:szCs w:val="24"/>
          <w:highlight w:val="none"/>
        </w:rPr>
        <w:t>款规定合同价款调整事件确定。</w:t>
      </w:r>
    </w:p>
    <w:p>
      <w:pPr>
        <w:pStyle w:val="2"/>
        <w:shd w:val="clear" w:color="000000" w:fill="auto"/>
        <w:tabs>
          <w:tab w:val="left" w:pos="2160"/>
        </w:tabs>
        <w:spacing w:before="192" w:beforeLines="80" w:line="360" w:lineRule="auto"/>
        <w:ind w:left="1620" w:leftChars="771" w:hanging="1"/>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1.31  </w:t>
      </w:r>
      <w:r>
        <w:rPr>
          <w:rFonts w:hint="eastAsia" w:ascii="仿宋" w:hAnsi="仿宋" w:eastAsia="仿宋" w:cs="仿宋"/>
          <w:b/>
          <w:bCs/>
          <w:color w:val="auto"/>
          <w:sz w:val="24"/>
          <w:szCs w:val="24"/>
          <w:highlight w:val="none"/>
        </w:rPr>
        <w:t>费用：</w:t>
      </w:r>
      <w:r>
        <w:rPr>
          <w:rFonts w:hint="eastAsia" w:ascii="仿宋" w:hAnsi="仿宋" w:eastAsia="仿宋" w:cs="仿宋"/>
          <w:color w:val="auto"/>
          <w:sz w:val="24"/>
          <w:szCs w:val="24"/>
          <w:highlight w:val="none"/>
        </w:rPr>
        <w:t>指为履行合同所发生或将发生的所有合理开支，包括管理费和其他合理分摊的开支，但不包括利润。</w:t>
      </w:r>
    </w:p>
    <w:p>
      <w:pPr>
        <w:pStyle w:val="2"/>
        <w:shd w:val="clear" w:color="000000" w:fill="auto"/>
        <w:tabs>
          <w:tab w:val="left" w:pos="1980"/>
          <w:tab w:val="left" w:pos="2160"/>
        </w:tabs>
        <w:spacing w:before="240" w:beforeLines="100" w:line="360" w:lineRule="auto"/>
        <w:ind w:left="1620" w:leftChars="771" w:hanging="1"/>
        <w:jc w:val="left"/>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1.32  </w:t>
      </w:r>
      <w:r>
        <w:rPr>
          <w:rFonts w:hint="eastAsia" w:ascii="仿宋" w:hAnsi="仿宋" w:eastAsia="仿宋" w:cs="仿宋"/>
          <w:b/>
          <w:bCs/>
          <w:color w:val="auto"/>
          <w:sz w:val="24"/>
          <w:szCs w:val="24"/>
          <w:highlight w:val="none"/>
        </w:rPr>
        <w:t>分部分项工程费：</w:t>
      </w:r>
      <w:r>
        <w:rPr>
          <w:rFonts w:hint="eastAsia" w:ascii="仿宋" w:hAnsi="仿宋" w:eastAsia="仿宋" w:cs="仿宋"/>
          <w:color w:val="auto"/>
          <w:sz w:val="24"/>
          <w:szCs w:val="24"/>
          <w:highlight w:val="none"/>
        </w:rPr>
        <w:t>指为实施、完成并保修永久工程，发生于工程实体项目所需的人工费、材料费、机械使用费、管理费、利润和风险费用。</w:t>
      </w:r>
    </w:p>
    <w:p>
      <w:pPr>
        <w:pStyle w:val="2"/>
        <w:shd w:val="clear" w:color="000000" w:fill="auto"/>
        <w:tabs>
          <w:tab w:val="left" w:pos="2160"/>
        </w:tabs>
        <w:spacing w:before="240" w:beforeLines="100" w:line="360" w:lineRule="auto"/>
        <w:ind w:left="1618" w:leftChars="770" w:hanging="1"/>
        <w:jc w:val="left"/>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1.33  </w:t>
      </w:r>
      <w:r>
        <w:rPr>
          <w:rFonts w:hint="eastAsia" w:ascii="仿宋" w:hAnsi="仿宋" w:eastAsia="仿宋" w:cs="仿宋"/>
          <w:b/>
          <w:bCs/>
          <w:color w:val="auto"/>
          <w:sz w:val="24"/>
          <w:szCs w:val="24"/>
          <w:highlight w:val="none"/>
        </w:rPr>
        <w:t>措施项目费：</w:t>
      </w:r>
      <w:r>
        <w:rPr>
          <w:rFonts w:hint="eastAsia" w:ascii="仿宋" w:hAnsi="仿宋" w:eastAsia="仿宋" w:cs="仿宋"/>
          <w:color w:val="auto"/>
          <w:sz w:val="24"/>
          <w:szCs w:val="24"/>
          <w:highlight w:val="none"/>
        </w:rPr>
        <w:t>指为实施、完成并保修合同工程，发生于合同工程施工准备和施工过程中的技术、生活、安全、环境保护等方面的非工程实体项目费用。</w:t>
      </w:r>
    </w:p>
    <w:p>
      <w:pPr>
        <w:pStyle w:val="2"/>
        <w:shd w:val="clear" w:color="000000" w:fill="auto"/>
        <w:tabs>
          <w:tab w:val="left" w:pos="2160"/>
        </w:tabs>
        <w:spacing w:before="240" w:beforeLines="100" w:line="360" w:lineRule="auto"/>
        <w:ind w:left="1620" w:leftChars="771" w:hanging="1"/>
        <w:jc w:val="left"/>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1.34  </w:t>
      </w:r>
      <w:r>
        <w:rPr>
          <w:rFonts w:hint="eastAsia" w:ascii="仿宋" w:hAnsi="仿宋" w:eastAsia="仿宋" w:cs="仿宋"/>
          <w:b/>
          <w:bCs/>
          <w:color w:val="auto"/>
          <w:sz w:val="24"/>
          <w:szCs w:val="24"/>
          <w:highlight w:val="none"/>
        </w:rPr>
        <w:t>工程款：</w:t>
      </w:r>
      <w:r>
        <w:rPr>
          <w:rFonts w:hint="eastAsia" w:ascii="仿宋" w:hAnsi="仿宋" w:eastAsia="仿宋" w:cs="仿宋"/>
          <w:color w:val="auto"/>
          <w:sz w:val="24"/>
          <w:szCs w:val="24"/>
          <w:highlight w:val="none"/>
        </w:rPr>
        <w:t>指为实施、完成并保修合同工程，发包人支付或应当支付给承包人的各种价款，包括进度款、结算款等。</w:t>
      </w:r>
    </w:p>
    <w:p>
      <w:pPr>
        <w:pStyle w:val="2"/>
        <w:shd w:val="clear" w:color="000000" w:fill="auto"/>
        <w:tabs>
          <w:tab w:val="left" w:pos="2160"/>
        </w:tabs>
        <w:spacing w:before="240" w:beforeLines="100" w:line="360" w:lineRule="auto"/>
        <w:ind w:left="1576" w:leftChars="750" w:hanging="1"/>
        <w:jc w:val="left"/>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1.35  </w:t>
      </w:r>
      <w:r>
        <w:rPr>
          <w:rFonts w:hint="eastAsia" w:ascii="仿宋" w:hAnsi="仿宋" w:eastAsia="仿宋" w:cs="仿宋"/>
          <w:b/>
          <w:bCs/>
          <w:color w:val="auto"/>
          <w:sz w:val="24"/>
          <w:szCs w:val="24"/>
          <w:highlight w:val="none"/>
        </w:rPr>
        <w:t>暂列金额：</w:t>
      </w:r>
      <w:r>
        <w:rPr>
          <w:rFonts w:hint="eastAsia" w:ascii="仿宋" w:hAnsi="仿宋" w:eastAsia="仿宋" w:cs="仿宋"/>
          <w:color w:val="auto"/>
          <w:sz w:val="24"/>
          <w:szCs w:val="24"/>
          <w:highlight w:val="none"/>
        </w:rPr>
        <w:t>指发包人在工程量清单中暂定并包括在合同价款中的一笔款项。用于在签订协议书时尚未确定或者不可预见的所需材料、设备、服务等的采购，施工过程中可能发生的工程变更、合同约定的工程款调整以及经确认的索赔、现场签证等的金额（包括以计日工方式支付的金额）。</w:t>
      </w:r>
    </w:p>
    <w:p>
      <w:pPr>
        <w:pStyle w:val="2"/>
        <w:shd w:val="clear" w:color="000000" w:fill="auto"/>
        <w:tabs>
          <w:tab w:val="left" w:pos="2160"/>
        </w:tabs>
        <w:spacing w:before="240" w:beforeLines="100" w:line="360" w:lineRule="auto"/>
        <w:ind w:left="1576" w:leftChars="750" w:hanging="1"/>
        <w:jc w:val="left"/>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1.36  </w:t>
      </w:r>
      <w:r>
        <w:rPr>
          <w:rFonts w:hint="eastAsia" w:ascii="仿宋" w:hAnsi="仿宋" w:eastAsia="仿宋" w:cs="仿宋"/>
          <w:b/>
          <w:bCs/>
          <w:color w:val="auto"/>
          <w:sz w:val="24"/>
          <w:szCs w:val="24"/>
          <w:highlight w:val="none"/>
        </w:rPr>
        <w:t>暂估价：</w:t>
      </w:r>
      <w:r>
        <w:rPr>
          <w:rFonts w:hint="eastAsia" w:ascii="仿宋" w:hAnsi="仿宋" w:eastAsia="仿宋" w:cs="仿宋"/>
          <w:color w:val="auto"/>
          <w:sz w:val="24"/>
          <w:szCs w:val="24"/>
          <w:highlight w:val="none"/>
        </w:rPr>
        <w:t>指发包人在工程量清单中提供的用于支付必然发生但暂时不能确定价格的材料、工程设备以及专业工程的金额。</w:t>
      </w:r>
    </w:p>
    <w:p>
      <w:pPr>
        <w:pStyle w:val="2"/>
        <w:shd w:val="clear" w:color="000000" w:fill="auto"/>
        <w:tabs>
          <w:tab w:val="left" w:pos="2160"/>
        </w:tabs>
        <w:spacing w:before="240" w:beforeLines="100" w:line="360" w:lineRule="auto"/>
        <w:ind w:left="1620" w:leftChars="771" w:hanging="1"/>
        <w:jc w:val="left"/>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1.37  </w:t>
      </w:r>
      <w:r>
        <w:rPr>
          <w:rFonts w:hint="eastAsia" w:ascii="仿宋" w:hAnsi="仿宋" w:eastAsia="仿宋" w:cs="仿宋"/>
          <w:b/>
          <w:bCs/>
          <w:color w:val="auto"/>
          <w:sz w:val="24"/>
          <w:szCs w:val="24"/>
          <w:highlight w:val="none"/>
        </w:rPr>
        <w:t>计日工：</w:t>
      </w:r>
      <w:r>
        <w:rPr>
          <w:rFonts w:hint="eastAsia" w:ascii="仿宋" w:hAnsi="仿宋" w:eastAsia="仿宋" w:cs="仿宋"/>
          <w:color w:val="auto"/>
          <w:sz w:val="24"/>
          <w:szCs w:val="24"/>
          <w:highlight w:val="none"/>
        </w:rPr>
        <w:t>指在施工过程中，承包人完成发包人提出的施工设计图纸以外的零星项目或工作，按照合同中约定计价付款的一种计价方式。</w:t>
      </w:r>
    </w:p>
    <w:p>
      <w:pPr>
        <w:pStyle w:val="2"/>
        <w:shd w:val="clear" w:color="000000" w:fill="auto"/>
        <w:tabs>
          <w:tab w:val="left" w:pos="2160"/>
        </w:tabs>
        <w:spacing w:before="240" w:beforeLines="100" w:line="360" w:lineRule="auto"/>
        <w:ind w:left="1576" w:leftChars="750" w:hanging="1"/>
        <w:jc w:val="left"/>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1.38  </w:t>
      </w:r>
      <w:r>
        <w:rPr>
          <w:rFonts w:hint="eastAsia" w:ascii="仿宋" w:hAnsi="仿宋" w:eastAsia="仿宋" w:cs="仿宋"/>
          <w:b/>
          <w:bCs/>
          <w:color w:val="auto"/>
          <w:sz w:val="24"/>
          <w:szCs w:val="24"/>
          <w:highlight w:val="none"/>
        </w:rPr>
        <w:t>质量保证金：</w:t>
      </w:r>
      <w:r>
        <w:rPr>
          <w:rFonts w:hint="eastAsia" w:ascii="仿宋" w:hAnsi="仿宋" w:eastAsia="仿宋" w:cs="仿宋"/>
          <w:color w:val="auto"/>
          <w:sz w:val="24"/>
          <w:szCs w:val="24"/>
          <w:highlight w:val="none"/>
        </w:rPr>
        <w:t>指按照第</w:t>
      </w:r>
      <w:r>
        <w:rPr>
          <w:rFonts w:ascii="仿宋" w:hAnsi="仿宋" w:eastAsia="仿宋" w:cs="仿宋"/>
          <w:color w:val="auto"/>
          <w:sz w:val="24"/>
          <w:szCs w:val="24"/>
          <w:highlight w:val="none"/>
        </w:rPr>
        <w:t>84</w:t>
      </w:r>
      <w:r>
        <w:rPr>
          <w:rFonts w:hint="eastAsia" w:ascii="仿宋" w:hAnsi="仿宋" w:eastAsia="仿宋" w:cs="仿宋"/>
          <w:color w:val="auto"/>
          <w:sz w:val="24"/>
          <w:szCs w:val="24"/>
          <w:highlight w:val="none"/>
        </w:rPr>
        <w:t>条约定用于保证在缺陷责任期内履行缺陷修复义务的金额。</w:t>
      </w:r>
    </w:p>
    <w:p>
      <w:pPr>
        <w:pStyle w:val="2"/>
        <w:shd w:val="clear" w:color="000000" w:fill="auto"/>
        <w:tabs>
          <w:tab w:val="left" w:pos="2160"/>
        </w:tabs>
        <w:spacing w:before="240" w:beforeLines="100" w:line="360" w:lineRule="auto"/>
        <w:ind w:left="1576" w:hanging="1"/>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1.39  </w:t>
      </w:r>
      <w:r>
        <w:rPr>
          <w:rFonts w:hint="eastAsia" w:ascii="仿宋" w:hAnsi="仿宋" w:eastAsia="仿宋" w:cs="仿宋"/>
          <w:b/>
          <w:bCs/>
          <w:color w:val="auto"/>
          <w:sz w:val="24"/>
          <w:szCs w:val="24"/>
          <w:highlight w:val="none"/>
        </w:rPr>
        <w:t>合同工程：</w:t>
      </w:r>
      <w:r>
        <w:rPr>
          <w:rFonts w:hint="eastAsia" w:ascii="仿宋" w:hAnsi="仿宋" w:eastAsia="仿宋" w:cs="仿宋"/>
          <w:color w:val="auto"/>
          <w:sz w:val="24"/>
          <w:szCs w:val="24"/>
          <w:highlight w:val="none"/>
        </w:rPr>
        <w:t>指合同双方当事人在协议书中约定的承包范围内的工程，包括永久工程和（或）临时工程。</w:t>
      </w:r>
    </w:p>
    <w:p>
      <w:pPr>
        <w:pStyle w:val="2"/>
        <w:shd w:val="clear" w:color="000000" w:fill="auto"/>
        <w:tabs>
          <w:tab w:val="left" w:pos="2160"/>
        </w:tabs>
        <w:spacing w:before="192" w:beforeLines="80" w:line="360" w:lineRule="auto"/>
        <w:ind w:left="1576" w:hanging="1"/>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1.40  </w:t>
      </w:r>
      <w:r>
        <w:rPr>
          <w:rFonts w:hint="eastAsia" w:ascii="仿宋" w:hAnsi="仿宋" w:eastAsia="仿宋" w:cs="仿宋"/>
          <w:b/>
          <w:bCs/>
          <w:color w:val="auto"/>
          <w:sz w:val="24"/>
          <w:szCs w:val="24"/>
          <w:highlight w:val="none"/>
        </w:rPr>
        <w:t>永久工程：</w:t>
      </w:r>
      <w:r>
        <w:rPr>
          <w:rFonts w:hint="eastAsia" w:ascii="仿宋" w:hAnsi="仿宋" w:eastAsia="仿宋" w:cs="仿宋"/>
          <w:color w:val="auto"/>
          <w:sz w:val="24"/>
          <w:szCs w:val="24"/>
          <w:highlight w:val="none"/>
        </w:rPr>
        <w:t>指按照合同约定承包人应当实施、完成并移交给发包人的永久性工程，包括工程设备。</w:t>
      </w:r>
    </w:p>
    <w:p>
      <w:pPr>
        <w:pStyle w:val="2"/>
        <w:shd w:val="clear" w:color="000000" w:fill="auto"/>
        <w:tabs>
          <w:tab w:val="left" w:pos="2160"/>
        </w:tabs>
        <w:spacing w:before="192" w:beforeLines="80" w:line="360" w:lineRule="auto"/>
        <w:ind w:left="1576" w:hanging="1"/>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1.41  </w:t>
      </w:r>
      <w:r>
        <w:rPr>
          <w:rFonts w:hint="eastAsia" w:ascii="仿宋" w:hAnsi="仿宋" w:eastAsia="仿宋" w:cs="仿宋"/>
          <w:b/>
          <w:bCs/>
          <w:color w:val="auto"/>
          <w:sz w:val="24"/>
          <w:szCs w:val="24"/>
          <w:highlight w:val="none"/>
        </w:rPr>
        <w:t>临时工程：</w:t>
      </w:r>
      <w:r>
        <w:rPr>
          <w:rFonts w:hint="eastAsia" w:ascii="仿宋" w:hAnsi="仿宋" w:eastAsia="仿宋" w:cs="仿宋"/>
          <w:color w:val="auto"/>
          <w:sz w:val="24"/>
          <w:szCs w:val="24"/>
          <w:highlight w:val="none"/>
        </w:rPr>
        <w:t>指实施、完成并保修永久工程过程中所需要的各类临时性工程，不包括施工设备。</w:t>
      </w:r>
    </w:p>
    <w:p>
      <w:pPr>
        <w:pStyle w:val="2"/>
        <w:shd w:val="clear" w:color="000000" w:fill="auto"/>
        <w:tabs>
          <w:tab w:val="left" w:pos="2160"/>
        </w:tabs>
        <w:spacing w:before="192" w:beforeLines="80" w:line="360" w:lineRule="auto"/>
        <w:ind w:left="1576" w:hanging="1"/>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1.42  </w:t>
      </w:r>
      <w:r>
        <w:rPr>
          <w:rFonts w:hint="eastAsia" w:ascii="仿宋" w:hAnsi="仿宋" w:eastAsia="仿宋" w:cs="仿宋"/>
          <w:b/>
          <w:bCs/>
          <w:color w:val="auto"/>
          <w:sz w:val="24"/>
          <w:szCs w:val="24"/>
          <w:highlight w:val="none"/>
        </w:rPr>
        <w:t>分包工程：</w:t>
      </w:r>
      <w:r>
        <w:rPr>
          <w:rFonts w:hint="eastAsia" w:ascii="仿宋" w:hAnsi="仿宋" w:eastAsia="仿宋" w:cs="仿宋"/>
          <w:color w:val="auto"/>
          <w:sz w:val="24"/>
          <w:szCs w:val="24"/>
          <w:highlight w:val="none"/>
        </w:rPr>
        <w:t>指合同工程中，由具有相应分包资质的分包人实施、完成的非主体结构（除钢结构外）的专业性工程。</w:t>
      </w:r>
    </w:p>
    <w:p>
      <w:pPr>
        <w:pStyle w:val="2"/>
        <w:shd w:val="clear" w:color="000000" w:fill="auto"/>
        <w:tabs>
          <w:tab w:val="left" w:pos="2160"/>
        </w:tabs>
        <w:spacing w:before="192" w:beforeLines="80" w:line="360" w:lineRule="auto"/>
        <w:ind w:left="1620" w:leftChars="771" w:hanging="1"/>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1.43  </w:t>
      </w:r>
      <w:r>
        <w:rPr>
          <w:rFonts w:hint="eastAsia" w:ascii="仿宋" w:hAnsi="仿宋" w:eastAsia="仿宋" w:cs="仿宋"/>
          <w:b/>
          <w:bCs/>
          <w:color w:val="auto"/>
          <w:sz w:val="24"/>
          <w:szCs w:val="24"/>
          <w:highlight w:val="none"/>
        </w:rPr>
        <w:t>单位工程：</w:t>
      </w:r>
      <w:r>
        <w:rPr>
          <w:rFonts w:hint="eastAsia" w:ascii="仿宋" w:hAnsi="仿宋" w:eastAsia="仿宋" w:cs="仿宋"/>
          <w:color w:val="auto"/>
          <w:sz w:val="24"/>
          <w:szCs w:val="24"/>
          <w:highlight w:val="none"/>
        </w:rPr>
        <w:t>指具有独立的设计文件，竣工后可以独立发挥生产能力和效益的永久工程。组成合同工程的单位工程名称、内容和范围等应在专用条款中明确。</w:t>
      </w:r>
    </w:p>
    <w:p>
      <w:pPr>
        <w:pStyle w:val="2"/>
        <w:shd w:val="clear" w:color="000000" w:fill="auto"/>
        <w:tabs>
          <w:tab w:val="left" w:pos="2160"/>
        </w:tabs>
        <w:spacing w:before="192" w:beforeLines="80" w:line="360" w:lineRule="auto"/>
        <w:ind w:left="1620" w:leftChars="771" w:hanging="1"/>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1.44  </w:t>
      </w:r>
      <w:r>
        <w:rPr>
          <w:rFonts w:hint="eastAsia" w:ascii="仿宋" w:hAnsi="仿宋" w:eastAsia="仿宋" w:cs="仿宋"/>
          <w:b/>
          <w:bCs/>
          <w:color w:val="auto"/>
          <w:sz w:val="24"/>
          <w:szCs w:val="24"/>
          <w:highlight w:val="none"/>
        </w:rPr>
        <w:t>施工场地（或工地</w:t>
      </w:r>
      <w:r>
        <w:rPr>
          <w:rFonts w:ascii="仿宋" w:hAnsi="仿宋" w:eastAsia="仿宋" w:cs="仿宋"/>
          <w:b/>
          <w:bCs/>
          <w:color w:val="auto"/>
          <w:sz w:val="24"/>
          <w:szCs w:val="24"/>
          <w:highlight w:val="none"/>
        </w:rPr>
        <w:t xml:space="preserve"> </w:t>
      </w:r>
      <w:r>
        <w:rPr>
          <w:rFonts w:hint="eastAsia" w:ascii="仿宋" w:hAnsi="仿宋" w:eastAsia="仿宋" w:cs="仿宋"/>
          <w:b/>
          <w:bCs/>
          <w:color w:val="auto"/>
          <w:sz w:val="24"/>
          <w:szCs w:val="24"/>
          <w:highlight w:val="none"/>
        </w:rPr>
        <w:t>、现场）：</w:t>
      </w:r>
      <w:r>
        <w:rPr>
          <w:rFonts w:hint="eastAsia" w:ascii="仿宋" w:hAnsi="仿宋" w:eastAsia="仿宋" w:cs="仿宋"/>
          <w:color w:val="auto"/>
          <w:sz w:val="24"/>
          <w:szCs w:val="24"/>
          <w:highlight w:val="none"/>
        </w:rPr>
        <w:t>指由发包人提供的用于合同工程施工的场所，以及发包人在合同中具体指定的供施工使用的其他任何场所。</w:t>
      </w:r>
    </w:p>
    <w:p>
      <w:pPr>
        <w:pStyle w:val="2"/>
        <w:shd w:val="clear" w:color="000000" w:fill="auto"/>
        <w:tabs>
          <w:tab w:val="left" w:pos="2160"/>
        </w:tabs>
        <w:spacing w:before="192" w:beforeLines="80" w:line="360" w:lineRule="auto"/>
        <w:ind w:left="1620" w:leftChars="771" w:hanging="1"/>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1.45  </w:t>
      </w:r>
      <w:r>
        <w:rPr>
          <w:rFonts w:hint="eastAsia" w:ascii="仿宋" w:hAnsi="仿宋" w:eastAsia="仿宋" w:cs="仿宋"/>
          <w:b/>
          <w:bCs/>
          <w:color w:val="auto"/>
          <w:sz w:val="24"/>
          <w:szCs w:val="24"/>
          <w:highlight w:val="none"/>
        </w:rPr>
        <w:t>工程设备：</w:t>
      </w:r>
      <w:r>
        <w:rPr>
          <w:rFonts w:hint="eastAsia" w:ascii="仿宋" w:hAnsi="仿宋" w:eastAsia="仿宋" w:cs="仿宋"/>
          <w:color w:val="auto"/>
          <w:sz w:val="24"/>
          <w:szCs w:val="24"/>
          <w:highlight w:val="none"/>
        </w:rPr>
        <w:t>指构成或计划构成永久工程一部分的机电设备、金属结构设备、仪器装置及其他类似的设备和装置。</w:t>
      </w:r>
    </w:p>
    <w:p>
      <w:pPr>
        <w:pStyle w:val="2"/>
        <w:shd w:val="clear" w:color="000000" w:fill="auto"/>
        <w:tabs>
          <w:tab w:val="left" w:pos="2160"/>
        </w:tabs>
        <w:spacing w:before="192" w:beforeLines="80" w:line="360" w:lineRule="auto"/>
        <w:ind w:left="1620" w:leftChars="771" w:hanging="1"/>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1.46  </w:t>
      </w:r>
      <w:r>
        <w:rPr>
          <w:rFonts w:hint="eastAsia" w:ascii="仿宋" w:hAnsi="仿宋" w:eastAsia="仿宋" w:cs="仿宋"/>
          <w:b/>
          <w:bCs/>
          <w:color w:val="auto"/>
          <w:sz w:val="24"/>
          <w:szCs w:val="24"/>
          <w:highlight w:val="none"/>
        </w:rPr>
        <w:t>施工设备：</w:t>
      </w:r>
      <w:r>
        <w:rPr>
          <w:rFonts w:hint="eastAsia" w:ascii="仿宋" w:hAnsi="仿宋" w:eastAsia="仿宋" w:cs="仿宋"/>
          <w:color w:val="auto"/>
          <w:sz w:val="24"/>
          <w:szCs w:val="24"/>
          <w:highlight w:val="none"/>
        </w:rPr>
        <w:t>指承包人临时带入现场用于合同工程施工的仪器、机械、运输工具或其他物品，但不包括用于或安装在合同工程中的工程设备。</w:t>
      </w:r>
    </w:p>
    <w:p>
      <w:pPr>
        <w:pStyle w:val="2"/>
        <w:shd w:val="clear" w:color="000000" w:fill="auto"/>
        <w:tabs>
          <w:tab w:val="left" w:pos="2160"/>
        </w:tabs>
        <w:spacing w:before="192" w:beforeLines="80" w:line="360" w:lineRule="auto"/>
        <w:ind w:left="1576" w:leftChars="750" w:hanging="1"/>
        <w:jc w:val="left"/>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1.47  </w:t>
      </w:r>
      <w:r>
        <w:rPr>
          <w:rFonts w:hint="eastAsia" w:ascii="仿宋" w:hAnsi="仿宋" w:eastAsia="仿宋" w:cs="仿宋"/>
          <w:b/>
          <w:bCs/>
          <w:color w:val="auto"/>
          <w:sz w:val="24"/>
          <w:szCs w:val="24"/>
          <w:highlight w:val="none"/>
        </w:rPr>
        <w:t>工程变更：</w:t>
      </w:r>
      <w:r>
        <w:rPr>
          <w:rFonts w:hint="eastAsia" w:ascii="仿宋" w:hAnsi="仿宋" w:eastAsia="仿宋" w:cs="仿宋"/>
          <w:color w:val="auto"/>
          <w:sz w:val="24"/>
          <w:szCs w:val="24"/>
          <w:highlight w:val="none"/>
        </w:rPr>
        <w:t>指经发包人批准的，由监理工程师根据第</w:t>
      </w:r>
      <w:r>
        <w:rPr>
          <w:rFonts w:ascii="仿宋" w:hAnsi="仿宋" w:eastAsia="仿宋" w:cs="仿宋"/>
          <w:color w:val="auto"/>
          <w:sz w:val="24"/>
          <w:szCs w:val="24"/>
          <w:highlight w:val="none"/>
        </w:rPr>
        <w:t>56</w:t>
      </w:r>
      <w:r>
        <w:rPr>
          <w:rFonts w:hint="eastAsia" w:ascii="仿宋" w:hAnsi="仿宋" w:eastAsia="仿宋" w:cs="仿宋"/>
          <w:color w:val="auto"/>
          <w:sz w:val="24"/>
          <w:szCs w:val="24"/>
          <w:highlight w:val="none"/>
        </w:rPr>
        <w:t>条规定发出指令的工程任何变更。</w:t>
      </w:r>
    </w:p>
    <w:p>
      <w:pPr>
        <w:pStyle w:val="2"/>
        <w:shd w:val="clear" w:color="000000" w:fill="auto"/>
        <w:tabs>
          <w:tab w:val="left" w:pos="2160"/>
        </w:tabs>
        <w:spacing w:before="192" w:beforeLines="80" w:line="360" w:lineRule="auto"/>
        <w:ind w:left="1620" w:leftChars="771" w:hanging="1"/>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1.48  </w:t>
      </w:r>
      <w:r>
        <w:rPr>
          <w:rFonts w:hint="eastAsia" w:ascii="仿宋" w:hAnsi="仿宋" w:eastAsia="仿宋" w:cs="仿宋"/>
          <w:b/>
          <w:bCs/>
          <w:color w:val="auto"/>
          <w:sz w:val="24"/>
          <w:szCs w:val="24"/>
          <w:highlight w:val="none"/>
        </w:rPr>
        <w:t>索赔：</w:t>
      </w:r>
      <w:r>
        <w:rPr>
          <w:rFonts w:hint="eastAsia" w:ascii="仿宋" w:hAnsi="仿宋" w:eastAsia="仿宋" w:cs="仿宋"/>
          <w:color w:val="auto"/>
          <w:sz w:val="24"/>
          <w:szCs w:val="24"/>
          <w:highlight w:val="none"/>
        </w:rPr>
        <w:t>指合同履行期间，对于非自己的过错而应由对方当事人承担责任的情况所造成的损失，并根据第</w:t>
      </w:r>
      <w:r>
        <w:rPr>
          <w:rFonts w:ascii="仿宋" w:hAnsi="仿宋" w:eastAsia="仿宋" w:cs="仿宋"/>
          <w:color w:val="auto"/>
          <w:sz w:val="24"/>
          <w:szCs w:val="24"/>
          <w:highlight w:val="none"/>
        </w:rPr>
        <w:t>36</w:t>
      </w:r>
      <w:r>
        <w:rPr>
          <w:rFonts w:hint="eastAsia" w:ascii="仿宋" w:hAnsi="仿宋" w:eastAsia="仿宋" w:cs="仿宋"/>
          <w:color w:val="auto"/>
          <w:sz w:val="24"/>
          <w:szCs w:val="24"/>
          <w:highlight w:val="none"/>
        </w:rPr>
        <w:t>条和第</w:t>
      </w:r>
      <w:r>
        <w:rPr>
          <w:rFonts w:ascii="仿宋" w:hAnsi="仿宋" w:eastAsia="仿宋" w:cs="仿宋"/>
          <w:color w:val="auto"/>
          <w:sz w:val="24"/>
          <w:szCs w:val="24"/>
          <w:highlight w:val="none"/>
        </w:rPr>
        <w:t>74</w:t>
      </w:r>
      <w:r>
        <w:rPr>
          <w:rFonts w:hint="eastAsia" w:ascii="仿宋" w:hAnsi="仿宋" w:eastAsia="仿宋" w:cs="仿宋"/>
          <w:color w:val="auto"/>
          <w:sz w:val="24"/>
          <w:szCs w:val="24"/>
          <w:highlight w:val="none"/>
        </w:rPr>
        <w:t>条规定向对方当事人提出费用补偿和（或）工期顺延的要求。</w:t>
      </w:r>
    </w:p>
    <w:p>
      <w:pPr>
        <w:pStyle w:val="2"/>
        <w:shd w:val="clear" w:color="000000" w:fill="auto"/>
        <w:tabs>
          <w:tab w:val="left" w:pos="2160"/>
        </w:tabs>
        <w:spacing w:before="192" w:beforeLines="80" w:line="360" w:lineRule="auto"/>
        <w:ind w:left="1575" w:leftChars="750" w:firstLine="104" w:firstLineChars="43"/>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1.49  </w:t>
      </w:r>
      <w:r>
        <w:rPr>
          <w:rFonts w:hint="eastAsia" w:ascii="仿宋" w:hAnsi="仿宋" w:eastAsia="仿宋" w:cs="仿宋"/>
          <w:b/>
          <w:bCs/>
          <w:color w:val="auto"/>
          <w:sz w:val="24"/>
          <w:szCs w:val="24"/>
          <w:highlight w:val="none"/>
        </w:rPr>
        <w:t>现场签证：</w:t>
      </w:r>
      <w:r>
        <w:rPr>
          <w:rFonts w:hint="eastAsia" w:ascii="仿宋" w:hAnsi="仿宋" w:eastAsia="仿宋" w:cs="仿宋"/>
          <w:color w:val="auto"/>
          <w:sz w:val="24"/>
          <w:szCs w:val="24"/>
          <w:highlight w:val="none"/>
        </w:rPr>
        <w:t>指合同双方当事人按照第</w:t>
      </w:r>
      <w:r>
        <w:rPr>
          <w:rFonts w:ascii="仿宋" w:hAnsi="仿宋" w:eastAsia="仿宋" w:cs="仿宋"/>
          <w:color w:val="auto"/>
          <w:sz w:val="24"/>
          <w:szCs w:val="24"/>
          <w:highlight w:val="none"/>
        </w:rPr>
        <w:t>14.2</w:t>
      </w:r>
      <w:r>
        <w:rPr>
          <w:rFonts w:hint="eastAsia" w:ascii="仿宋" w:hAnsi="仿宋" w:eastAsia="仿宋" w:cs="仿宋"/>
          <w:color w:val="auto"/>
          <w:sz w:val="24"/>
          <w:szCs w:val="24"/>
          <w:highlight w:val="none"/>
        </w:rPr>
        <w:t>款约定的指定人选根据第</w:t>
      </w:r>
      <w:r>
        <w:rPr>
          <w:rFonts w:ascii="仿宋" w:hAnsi="仿宋" w:eastAsia="仿宋" w:cs="仿宋"/>
          <w:color w:val="auto"/>
          <w:sz w:val="24"/>
          <w:szCs w:val="24"/>
          <w:highlight w:val="none"/>
        </w:rPr>
        <w:t>75</w:t>
      </w:r>
      <w:r>
        <w:rPr>
          <w:rFonts w:hint="eastAsia" w:ascii="仿宋" w:hAnsi="仿宋" w:eastAsia="仿宋" w:cs="仿宋"/>
          <w:color w:val="auto"/>
          <w:sz w:val="24"/>
          <w:szCs w:val="24"/>
          <w:highlight w:val="none"/>
        </w:rPr>
        <w:t>条规定就施工过程中涉及的责任事件所作的签认证明。</w:t>
      </w:r>
    </w:p>
    <w:p>
      <w:pPr>
        <w:pStyle w:val="2"/>
        <w:shd w:val="clear" w:color="000000" w:fill="auto"/>
        <w:tabs>
          <w:tab w:val="left" w:pos="2160"/>
        </w:tabs>
        <w:spacing w:before="192" w:beforeLines="80" w:line="360" w:lineRule="auto"/>
        <w:ind w:firstLine="1581" w:firstLineChars="656"/>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1.50  </w:t>
      </w:r>
      <w:r>
        <w:rPr>
          <w:rFonts w:hint="eastAsia" w:ascii="仿宋" w:hAnsi="仿宋" w:eastAsia="仿宋" w:cs="仿宋"/>
          <w:b/>
          <w:bCs/>
          <w:color w:val="auto"/>
          <w:sz w:val="24"/>
          <w:szCs w:val="24"/>
          <w:highlight w:val="none"/>
        </w:rPr>
        <w:t>不可抗力：</w:t>
      </w:r>
      <w:r>
        <w:rPr>
          <w:rFonts w:hint="eastAsia" w:ascii="仿宋" w:hAnsi="仿宋" w:eastAsia="仿宋" w:cs="仿宋"/>
          <w:color w:val="auto"/>
          <w:sz w:val="24"/>
          <w:szCs w:val="24"/>
          <w:highlight w:val="none"/>
        </w:rPr>
        <w:t>指不能预见、不能避免并不能克服的客观情况。</w:t>
      </w:r>
    </w:p>
    <w:p>
      <w:pPr>
        <w:pStyle w:val="2"/>
        <w:shd w:val="clear" w:color="000000" w:fill="auto"/>
        <w:tabs>
          <w:tab w:val="left" w:pos="2160"/>
        </w:tabs>
        <w:spacing w:before="192" w:beforeLines="80" w:line="360" w:lineRule="auto"/>
        <w:ind w:left="1576" w:hanging="1"/>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1.51  </w:t>
      </w:r>
      <w:r>
        <w:rPr>
          <w:rFonts w:hint="eastAsia" w:ascii="仿宋" w:hAnsi="仿宋" w:eastAsia="仿宋" w:cs="仿宋"/>
          <w:b/>
          <w:bCs/>
          <w:color w:val="auto"/>
          <w:sz w:val="24"/>
          <w:szCs w:val="24"/>
          <w:highlight w:val="none"/>
        </w:rPr>
        <w:t>竣工验收：</w:t>
      </w:r>
      <w:r>
        <w:rPr>
          <w:rFonts w:hint="eastAsia" w:ascii="仿宋" w:hAnsi="仿宋" w:eastAsia="仿宋" w:cs="仿宋"/>
          <w:color w:val="auto"/>
          <w:sz w:val="24"/>
          <w:szCs w:val="24"/>
          <w:highlight w:val="none"/>
        </w:rPr>
        <w:t>指承包人完成了全部合同工作后，发包人按照合同要求进行的验收。</w:t>
      </w:r>
    </w:p>
    <w:p>
      <w:pPr>
        <w:pStyle w:val="2"/>
        <w:shd w:val="clear" w:color="000000" w:fill="auto"/>
        <w:tabs>
          <w:tab w:val="left" w:pos="2160"/>
        </w:tabs>
        <w:spacing w:before="192" w:beforeLines="80" w:line="360" w:lineRule="auto"/>
        <w:ind w:left="1576" w:hanging="1"/>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1.52  </w:t>
      </w:r>
      <w:r>
        <w:rPr>
          <w:rFonts w:hint="eastAsia" w:ascii="仿宋" w:hAnsi="仿宋" w:eastAsia="仿宋" w:cs="仿宋"/>
          <w:b/>
          <w:bCs/>
          <w:color w:val="auto"/>
          <w:sz w:val="24"/>
          <w:szCs w:val="24"/>
          <w:highlight w:val="none"/>
        </w:rPr>
        <w:t>国家验收：</w:t>
      </w:r>
      <w:r>
        <w:rPr>
          <w:rFonts w:hint="eastAsia" w:ascii="仿宋" w:hAnsi="仿宋" w:eastAsia="仿宋" w:cs="仿宋"/>
          <w:color w:val="auto"/>
          <w:sz w:val="24"/>
          <w:szCs w:val="24"/>
          <w:highlight w:val="none"/>
        </w:rPr>
        <w:t>指政府部门根据法律和政策等有关规定，针对发包人全面组织实施的整个工程正式交付投运前的验收。</w:t>
      </w:r>
    </w:p>
    <w:p>
      <w:pPr>
        <w:pStyle w:val="2"/>
        <w:shd w:val="clear" w:color="000000" w:fill="auto"/>
        <w:tabs>
          <w:tab w:val="left" w:pos="2160"/>
        </w:tabs>
        <w:spacing w:before="192" w:beforeLines="80" w:line="360" w:lineRule="auto"/>
        <w:ind w:left="1620" w:leftChars="771" w:hanging="1"/>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1.53  </w:t>
      </w:r>
      <w:r>
        <w:rPr>
          <w:rFonts w:hint="eastAsia" w:ascii="仿宋" w:hAnsi="仿宋" w:eastAsia="仿宋" w:cs="仿宋"/>
          <w:b/>
          <w:bCs/>
          <w:color w:val="auto"/>
          <w:sz w:val="24"/>
          <w:szCs w:val="24"/>
          <w:highlight w:val="none"/>
        </w:rPr>
        <w:t>书面形式：</w:t>
      </w:r>
      <w:r>
        <w:rPr>
          <w:rFonts w:hint="eastAsia" w:ascii="仿宋" w:hAnsi="仿宋" w:eastAsia="仿宋" w:cs="仿宋"/>
          <w:color w:val="auto"/>
          <w:sz w:val="24"/>
          <w:szCs w:val="24"/>
          <w:highlight w:val="none"/>
        </w:rPr>
        <w:t>指合同文件、信函、电报、电传、传真、电子数据交换文件、电子邮件等可以有形地表现所载内容的形式。合同双方当事人可在专用条款中注明所采用的书面形式。</w:t>
      </w:r>
    </w:p>
    <w:p>
      <w:pPr>
        <w:pStyle w:val="2"/>
        <w:shd w:val="clear" w:color="000000" w:fill="auto"/>
        <w:tabs>
          <w:tab w:val="left" w:pos="2160"/>
        </w:tabs>
        <w:spacing w:before="192" w:beforeLines="80" w:line="360" w:lineRule="auto"/>
        <w:ind w:firstLine="1581" w:firstLineChars="656"/>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1.54  </w:t>
      </w:r>
      <w:r>
        <w:rPr>
          <w:rFonts w:hint="eastAsia" w:ascii="仿宋" w:hAnsi="仿宋" w:eastAsia="仿宋" w:cs="仿宋"/>
          <w:b/>
          <w:bCs/>
          <w:color w:val="auto"/>
          <w:sz w:val="24"/>
          <w:szCs w:val="24"/>
          <w:highlight w:val="none"/>
        </w:rPr>
        <w:t>国家：</w:t>
      </w:r>
      <w:r>
        <w:rPr>
          <w:rFonts w:hint="eastAsia" w:ascii="仿宋" w:hAnsi="仿宋" w:eastAsia="仿宋" w:cs="仿宋"/>
          <w:color w:val="auto"/>
          <w:sz w:val="24"/>
          <w:szCs w:val="24"/>
          <w:highlight w:val="none"/>
        </w:rPr>
        <w:t>指中华人民共和国。</w:t>
      </w:r>
    </w:p>
    <w:p>
      <w:pPr>
        <w:shd w:val="clear" w:color="000000" w:fill="auto"/>
        <w:tabs>
          <w:tab w:val="left" w:pos="1620"/>
        </w:tabs>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u w:val="single"/>
        </w:rPr>
        <w:t xml:space="preserve">                                                                                      </w:t>
      </w:r>
      <w:r>
        <w:rPr>
          <w:rFonts w:ascii="仿宋" w:hAnsi="仿宋" w:eastAsia="仿宋" w:cs="仿宋"/>
          <w:color w:val="auto"/>
          <w:sz w:val="24"/>
          <w:szCs w:val="24"/>
          <w:highlight w:val="none"/>
          <w:u w:val="single"/>
        </w:rPr>
        <w:t xml:space="preserve">                       </w:t>
      </w:r>
    </w:p>
    <w:p>
      <w:pPr>
        <w:pStyle w:val="5"/>
        <w:numPr>
          <w:ilvl w:val="0"/>
          <w:numId w:val="0"/>
        </w:numPr>
        <w:shd w:val="clear" w:color="000000" w:fill="auto"/>
        <w:tabs>
          <w:tab w:val="left" w:pos="420"/>
        </w:tabs>
        <w:ind w:left="720" w:hanging="720"/>
        <w:rPr>
          <w:rFonts w:ascii="仿宋" w:hAnsi="仿宋" w:eastAsia="仿宋"/>
          <w:bCs w:val="0"/>
          <w:color w:val="auto"/>
          <w:sz w:val="24"/>
          <w:szCs w:val="24"/>
          <w:highlight w:val="none"/>
        </w:rPr>
      </w:pPr>
      <w:bookmarkStart w:id="114" w:name="_Toc469383981"/>
      <w:bookmarkStart w:id="115" w:name="_Toc20779"/>
      <w:bookmarkStart w:id="116" w:name="_Toc10624821"/>
      <w:r>
        <w:rPr>
          <w:rFonts w:ascii="仿宋" w:hAnsi="仿宋" w:eastAsia="仿宋" w:cs="仿宋"/>
          <w:bCs w:val="0"/>
          <w:color w:val="auto"/>
          <w:sz w:val="24"/>
          <w:szCs w:val="24"/>
          <w:highlight w:val="none"/>
        </w:rPr>
        <w:t xml:space="preserve">2  </w:t>
      </w:r>
      <w:r>
        <w:rPr>
          <w:rFonts w:hint="eastAsia" w:ascii="仿宋" w:hAnsi="仿宋" w:eastAsia="仿宋" w:cs="仿宋"/>
          <w:bCs w:val="0"/>
          <w:color w:val="auto"/>
          <w:sz w:val="24"/>
          <w:szCs w:val="24"/>
          <w:highlight w:val="none"/>
        </w:rPr>
        <w:t>合同文件及解释</w:t>
      </w:r>
      <w:bookmarkEnd w:id="114"/>
      <w:bookmarkEnd w:id="115"/>
      <w:bookmarkEnd w:id="116"/>
    </w:p>
    <w:p>
      <w:pPr>
        <w:pStyle w:val="2"/>
        <w:shd w:val="clear" w:color="000000" w:fill="auto"/>
        <w:tabs>
          <w:tab w:val="left" w:pos="1202"/>
        </w:tabs>
        <w:spacing w:line="360" w:lineRule="auto"/>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2.1                                                                                 </w:t>
      </w:r>
    </w:p>
    <w:p>
      <w:pPr>
        <w:pStyle w:val="2"/>
        <w:shd w:val="clear" w:color="000000" w:fill="auto"/>
        <w:tabs>
          <w:tab w:val="left" w:pos="1202"/>
          <w:tab w:val="left" w:pos="1620"/>
          <w:tab w:val="left" w:pos="1800"/>
          <w:tab w:val="left" w:pos="2160"/>
        </w:tabs>
        <w:spacing w:line="360" w:lineRule="auto"/>
        <w:ind w:firstLine="1459" w:firstLineChars="695"/>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20955</wp:posOffset>
                </wp:positionV>
                <wp:extent cx="800100" cy="297180"/>
                <wp:effectExtent l="0" t="0" r="7620" b="7620"/>
                <wp:wrapNone/>
                <wp:docPr id="1" name="文本框 2"/>
                <wp:cNvGraphicFramePr/>
                <a:graphic xmlns:a="http://schemas.openxmlformats.org/drawingml/2006/main">
                  <a:graphicData uri="http://schemas.microsoft.com/office/word/2010/wordprocessingShape">
                    <wps:wsp>
                      <wps:cNvSpPr txBox="1"/>
                      <wps:spPr>
                        <a:xfrm>
                          <a:off x="0" y="0"/>
                          <a:ext cx="800100" cy="297180"/>
                        </a:xfrm>
                        <a:prstGeom prst="rect">
                          <a:avLst/>
                        </a:prstGeom>
                        <a:solidFill>
                          <a:srgbClr val="FFFFFF"/>
                        </a:solidFill>
                        <a:ln>
                          <a:noFill/>
                        </a:ln>
                      </wps:spPr>
                      <wps:txbx>
                        <w:txbxContent>
                          <w:p>
                            <w:pPr>
                              <w:rPr>
                                <w:rFonts w:ascii="楷体_GB2312" w:hAnsi="宋体" w:eastAsia="楷体_GB2312" w:cs="Times New Roman"/>
                              </w:rPr>
                            </w:pPr>
                            <w:r>
                              <w:rPr>
                                <w:rFonts w:hint="eastAsia" w:ascii="楷体_GB2312" w:hAnsi="宋体" w:eastAsia="楷体_GB2312" w:cs="楷体_GB2312"/>
                                <w:b/>
                                <w:bCs/>
                                <w:color w:val="000000"/>
                                <w:sz w:val="18"/>
                                <w:szCs w:val="18"/>
                              </w:rPr>
                              <w:t>标题和旁注</w:t>
                            </w:r>
                          </w:p>
                        </w:txbxContent>
                      </wps:txbx>
                      <wps:bodyPr upright="1"/>
                    </wps:wsp>
                  </a:graphicData>
                </a:graphic>
              </wp:anchor>
            </w:drawing>
          </mc:Choice>
          <mc:Fallback>
            <w:pict>
              <v:shape id="文本框 2" o:spid="_x0000_s1026" o:spt="202" type="#_x0000_t202" style="position:absolute;left:0pt;margin-left:-9pt;margin-top:1.65pt;height:23.4pt;width:63pt;z-index:251659264;mso-width-relative:page;mso-height-relative:page;" fillcolor="#FFFFFF" filled="t" stroked="f" coordsize="21600,21600" o:gfxdata="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mWItr1QAAAAgBAAAPAAAAAAAAAAEAIAAAACIAAABkcnMvZG93bnJldi54bWxQSwEC&#10;FAAUAAAACACHTuJAPSUXsb4BAAB2AwAADgAAAAAAAAABACAAAAAkAQAAZHJzL2Uyb0RvYy54bWxQ&#10;SwUGAAAAAAYABgBZAQAAVAUAAAAA&#10;">
                <v:fill on="t" focussize="0,0"/>
                <v:stroke on="f"/>
                <v:imagedata o:title=""/>
                <o:lock v:ext="edit" aspectratio="f"/>
                <v:textbox>
                  <w:txbxContent>
                    <w:p>
                      <w:pPr>
                        <w:rPr>
                          <w:rFonts w:ascii="楷体_GB2312" w:hAnsi="宋体" w:eastAsia="楷体_GB2312" w:cs="Times New Roman"/>
                        </w:rPr>
                      </w:pPr>
                      <w:r>
                        <w:rPr>
                          <w:rFonts w:hint="eastAsia" w:ascii="楷体_GB2312" w:hAnsi="宋体" w:eastAsia="楷体_GB2312" w:cs="楷体_GB2312"/>
                          <w:b/>
                          <w:bCs/>
                          <w:color w:val="000000"/>
                          <w:sz w:val="18"/>
                          <w:szCs w:val="18"/>
                        </w:rPr>
                        <w:t>标题和旁注</w:t>
                      </w:r>
                    </w:p>
                  </w:txbxContent>
                </v:textbox>
              </v:shape>
            </w:pict>
          </mc:Fallback>
        </mc:AlternateContent>
      </w:r>
      <w:r>
        <w:rPr>
          <w:rFonts w:ascii="仿宋" w:hAnsi="仿宋" w:eastAsia="仿宋" w:cs="仿宋"/>
          <w:b/>
          <w:bCs/>
          <w:color w:val="auto"/>
          <w:sz w:val="24"/>
          <w:szCs w:val="24"/>
          <w:highlight w:val="none"/>
        </w:rPr>
        <w:t xml:space="preserve">   </w:t>
      </w:r>
      <w:r>
        <w:rPr>
          <w:rFonts w:hint="eastAsia" w:ascii="仿宋" w:hAnsi="仿宋" w:eastAsia="仿宋" w:cs="仿宋"/>
          <w:color w:val="auto"/>
          <w:sz w:val="24"/>
          <w:szCs w:val="24"/>
          <w:highlight w:val="none"/>
        </w:rPr>
        <w:t>本合同条款的标题和旁注不构成合同的组成部分。</w:t>
      </w:r>
    </w:p>
    <w:p>
      <w:pPr>
        <w:pStyle w:val="2"/>
        <w:shd w:val="clear" w:color="000000" w:fill="auto"/>
        <w:tabs>
          <w:tab w:val="left" w:pos="1202"/>
        </w:tabs>
        <w:spacing w:line="360" w:lineRule="auto"/>
        <w:rPr>
          <w:rFonts w:ascii="仿宋" w:hAnsi="仿宋" w:eastAsia="仿宋" w:cs="Times New Roman"/>
          <w:b/>
          <w:bCs/>
          <w:color w:val="auto"/>
          <w:sz w:val="24"/>
          <w:szCs w:val="24"/>
          <w:highlight w:val="none"/>
        </w:rPr>
      </w:pPr>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2.2  </w:t>
      </w:r>
      <w:r>
        <w:rPr>
          <w:rFonts w:ascii="仿宋" w:hAnsi="仿宋" w:eastAsia="仿宋" w:cs="仿宋"/>
          <w:b/>
          <w:bCs/>
          <w:color w:val="auto"/>
          <w:sz w:val="24"/>
          <w:szCs w:val="24"/>
          <w:highlight w:val="none"/>
          <w:u w:val="dotted"/>
        </w:rPr>
        <w:t xml:space="preserve">                                                                             </w:t>
      </w:r>
    </w:p>
    <w:p>
      <w:pPr>
        <w:pStyle w:val="2"/>
        <w:shd w:val="clear" w:color="000000" w:fill="auto"/>
        <w:tabs>
          <w:tab w:val="left" w:pos="1320"/>
        </w:tabs>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67310</wp:posOffset>
                </wp:positionV>
                <wp:extent cx="914400" cy="527050"/>
                <wp:effectExtent l="0" t="0" r="0" b="0"/>
                <wp:wrapNone/>
                <wp:docPr id="2" name="文本框 3"/>
                <wp:cNvGraphicFramePr/>
                <a:graphic xmlns:a="http://schemas.openxmlformats.org/drawingml/2006/main">
                  <a:graphicData uri="http://schemas.microsoft.com/office/word/2010/wordprocessingShape">
                    <wps:wsp>
                      <wps:cNvSpPr txBox="1"/>
                      <wps:spPr>
                        <a:xfrm>
                          <a:off x="0" y="0"/>
                          <a:ext cx="914400" cy="52705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合同文件组成及优先顺序</w:t>
                            </w:r>
                          </w:p>
                        </w:txbxContent>
                      </wps:txbx>
                      <wps:bodyPr upright="1"/>
                    </wps:wsp>
                  </a:graphicData>
                </a:graphic>
              </wp:anchor>
            </w:drawing>
          </mc:Choice>
          <mc:Fallback>
            <w:pict>
              <v:shape id="文本框 3" o:spid="_x0000_s1026" o:spt="202" type="#_x0000_t202" style="position:absolute;left:0pt;margin-left:-9pt;margin-top:5.3pt;height:41.5pt;width:72pt;z-index:251660288;mso-width-relative:page;mso-height-relative:page;" filled="f" stroked="f" coordsize="21600,21600" o:gfxdata="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GIQFTvWAAAA&#10;CQEAAA8AAAAAAAAAAQAgAAAAIgAAAGRycy9kb3ducmV2LnhtbFBLAQIUABQAAAAIAIdO4kATx+/4&#10;rQEAAE0DAAAOAAAAAAAAAAEAIAAAACUBAABkcnMvZTJvRG9jLnhtbFBLBQYAAAAABgAGAFkBAABE&#10;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合同文件组成及优先顺序</w:t>
                      </w:r>
                    </w:p>
                  </w:txbxContent>
                </v:textbox>
              </v:shape>
            </w:pict>
          </mc:Fallback>
        </mc:AlternateContent>
      </w:r>
      <w:r>
        <w:rPr>
          <w:rFonts w:hint="eastAsia" w:ascii="仿宋" w:hAnsi="仿宋" w:eastAsia="仿宋" w:cs="仿宋"/>
          <w:color w:val="auto"/>
          <w:sz w:val="24"/>
          <w:szCs w:val="24"/>
          <w:highlight w:val="none"/>
        </w:rPr>
        <w:t>下列组成本合同的文件是一个合同整体，彼此应当能相互解释，互为说明。当出现相互矛盾时，组成本合同文件的优先解释顺序如下：</w:t>
      </w:r>
    </w:p>
    <w:p>
      <w:pPr>
        <w:pStyle w:val="2"/>
        <w:numPr>
          <w:ilvl w:val="0"/>
          <w:numId w:val="2"/>
        </w:numPr>
        <w:shd w:val="clear" w:color="000000" w:fill="auto"/>
        <w:spacing w:line="360" w:lineRule="auto"/>
        <w:ind w:firstLine="540"/>
        <w:jc w:val="left"/>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履行本合同的相关补充协议（含工程洽商记录、会议纪要、工程变更、现场签</w:t>
      </w:r>
    </w:p>
    <w:p>
      <w:pPr>
        <w:pStyle w:val="2"/>
        <w:shd w:val="clear" w:color="000000" w:fill="auto"/>
        <w:spacing w:line="360" w:lineRule="auto"/>
        <w:ind w:left="1620"/>
        <w:jc w:val="left"/>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证、等修正文件）；</w:t>
      </w:r>
    </w:p>
    <w:p>
      <w:pPr>
        <w:pStyle w:val="2"/>
        <w:numPr>
          <w:ilvl w:val="0"/>
          <w:numId w:val="2"/>
        </w:numPr>
        <w:shd w:val="clear" w:color="000000" w:fill="auto"/>
        <w:tabs>
          <w:tab w:val="left" w:pos="1620"/>
          <w:tab w:val="clear" w:pos="1080"/>
        </w:tabs>
        <w:spacing w:line="360" w:lineRule="auto"/>
        <w:ind w:left="1620"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协议书；</w:t>
      </w:r>
    </w:p>
    <w:p>
      <w:pPr>
        <w:pStyle w:val="2"/>
        <w:numPr>
          <w:ilvl w:val="0"/>
          <w:numId w:val="2"/>
        </w:numPr>
        <w:shd w:val="clear" w:color="000000" w:fill="auto"/>
        <w:spacing w:line="360" w:lineRule="auto"/>
        <w:ind w:firstLine="54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中标通知书（适用于招标工程）；</w:t>
      </w:r>
    </w:p>
    <w:p>
      <w:pPr>
        <w:pStyle w:val="2"/>
        <w:numPr>
          <w:ilvl w:val="0"/>
          <w:numId w:val="2"/>
        </w:numPr>
        <w:shd w:val="clear" w:color="000000" w:fill="auto"/>
        <w:tabs>
          <w:tab w:val="left" w:pos="1620"/>
        </w:tabs>
        <w:spacing w:line="360" w:lineRule="auto"/>
        <w:ind w:left="1620" w:leftChars="771" w:hanging="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承包人投标文件及其附件（含评标期间的澄清文件和补充资料）（适用于招标工程）；确认的工程量清单报价单或施工图预算书（适用于非招标工程）；</w:t>
      </w:r>
    </w:p>
    <w:p>
      <w:pPr>
        <w:pStyle w:val="2"/>
        <w:numPr>
          <w:ilvl w:val="0"/>
          <w:numId w:val="2"/>
        </w:numPr>
        <w:shd w:val="clear" w:color="000000" w:fill="auto"/>
        <w:spacing w:line="360" w:lineRule="auto"/>
        <w:ind w:firstLine="54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专用条款；</w:t>
      </w:r>
    </w:p>
    <w:p>
      <w:pPr>
        <w:pStyle w:val="2"/>
        <w:numPr>
          <w:ilvl w:val="0"/>
          <w:numId w:val="2"/>
        </w:numPr>
        <w:shd w:val="clear" w:color="000000" w:fill="auto"/>
        <w:spacing w:line="360" w:lineRule="auto"/>
        <w:ind w:firstLine="54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通用条款；</w:t>
      </w:r>
    </w:p>
    <w:p>
      <w:pPr>
        <w:pStyle w:val="2"/>
        <w:numPr>
          <w:ilvl w:val="0"/>
          <w:numId w:val="2"/>
        </w:numPr>
        <w:shd w:val="clear" w:color="000000" w:fill="auto"/>
        <w:spacing w:line="360" w:lineRule="auto"/>
        <w:ind w:firstLine="54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标准、规范及有关技术文件；</w:t>
      </w:r>
    </w:p>
    <w:p>
      <w:pPr>
        <w:pStyle w:val="2"/>
        <w:numPr>
          <w:ilvl w:val="0"/>
          <w:numId w:val="2"/>
        </w:numPr>
        <w:shd w:val="clear" w:color="000000" w:fill="auto"/>
        <w:spacing w:line="360" w:lineRule="auto"/>
        <w:ind w:left="1077" w:firstLine="54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施工设计图纸；</w:t>
      </w:r>
    </w:p>
    <w:p>
      <w:pPr>
        <w:pStyle w:val="2"/>
        <w:numPr>
          <w:ilvl w:val="0"/>
          <w:numId w:val="2"/>
        </w:numPr>
        <w:shd w:val="clear" w:color="000000" w:fill="auto"/>
        <w:spacing w:line="360" w:lineRule="auto"/>
        <w:ind w:left="1077" w:firstLine="54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招标文件（包括补充、修改、澄清的文件、招标图纸、答疑纪要、工程量清单</w:t>
      </w:r>
    </w:p>
    <w:p>
      <w:pPr>
        <w:pStyle w:val="2"/>
        <w:shd w:val="clear" w:color="000000" w:fill="auto"/>
        <w:spacing w:line="360" w:lineRule="auto"/>
        <w:ind w:left="1617"/>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及总说明等）；</w:t>
      </w:r>
    </w:p>
    <w:p>
      <w:pPr>
        <w:pStyle w:val="2"/>
        <w:numPr>
          <w:ilvl w:val="0"/>
          <w:numId w:val="2"/>
        </w:numPr>
        <w:shd w:val="clear" w:color="000000" w:fill="auto"/>
        <w:spacing w:line="360" w:lineRule="auto"/>
        <w:ind w:left="1077" w:firstLine="54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专用条款约定的其他文件。</w:t>
      </w:r>
    </w:p>
    <w:p>
      <w:pPr>
        <w:shd w:val="clear" w:color="000000" w:fill="auto"/>
        <w:ind w:left="1197" w:leftChars="570" w:firstLine="240" w:firstLineChars="10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上述各项合同文件包括合同当事人就该项合同文件所作出的补充和修改，属于同一类</w:t>
      </w:r>
    </w:p>
    <w:p>
      <w:pPr>
        <w:shd w:val="clear" w:color="000000" w:fill="auto"/>
        <w:ind w:left="1197" w:leftChars="570" w:firstLine="240" w:firstLineChars="10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内容的文件，应以最新签署的为准。</w:t>
      </w:r>
    </w:p>
    <w:p>
      <w:pPr>
        <w:pStyle w:val="2"/>
        <w:shd w:val="clear" w:color="000000" w:fill="auto"/>
        <w:tabs>
          <w:tab w:val="left" w:pos="540"/>
          <w:tab w:val="left" w:pos="1202"/>
        </w:tabs>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2.3  </w:t>
      </w:r>
      <w:r>
        <w:rPr>
          <w:rFonts w:ascii="仿宋" w:hAnsi="仿宋" w:eastAsia="仿宋" w:cs="仿宋"/>
          <w:b/>
          <w:bCs/>
          <w:color w:val="auto"/>
          <w:sz w:val="24"/>
          <w:szCs w:val="24"/>
          <w:highlight w:val="none"/>
          <w:u w:val="dotted"/>
        </w:rPr>
        <w:t xml:space="preserve">                                                                                                        </w:t>
      </w:r>
    </w:p>
    <w:p>
      <w:pPr>
        <w:pStyle w:val="2"/>
        <w:shd w:val="clear" w:color="000000" w:fill="auto"/>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0</wp:posOffset>
                </wp:positionV>
                <wp:extent cx="914400" cy="792480"/>
                <wp:effectExtent l="0" t="0" r="0" b="0"/>
                <wp:wrapNone/>
                <wp:docPr id="3" name="文本框 4"/>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监理或造价工程师作出解释</w:t>
                            </w:r>
                          </w:p>
                        </w:txbxContent>
                      </wps:txbx>
                      <wps:bodyPr upright="1"/>
                    </wps:wsp>
                  </a:graphicData>
                </a:graphic>
              </wp:anchor>
            </w:drawing>
          </mc:Choice>
          <mc:Fallback>
            <w:pict>
              <v:shape id="文本框 4" o:spid="_x0000_s1026" o:spt="202" type="#_x0000_t202" style="position:absolute;left:0pt;margin-left:-9pt;margin-top:0pt;height:62.4pt;width:72pt;z-index:251661312;mso-width-relative:page;mso-height-relative:page;" filled="f" stroked="f" coordsize="21600,21600" o:gfxdata="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Kk2VHNUAAAAI&#10;AQAADwAAAAAAAAABACAAAAAiAAAAZHJzL2Rvd25yZXYueG1sUEsBAhQAFAAAAAgAh07iQN9q8Net&#10;AQAATQMAAA4AAAAAAAAAAQAgAAAAJAEAAGRycy9lMm9Eb2MueG1sUEsFBgAAAAAGAAYAWQEAAEMF&#10;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监理或造价工程师作出解释</w:t>
                      </w:r>
                    </w:p>
                  </w:txbxContent>
                </v:textbox>
              </v:shape>
            </w:pict>
          </mc:Fallback>
        </mc:AlternateContent>
      </w:r>
      <w:r>
        <w:rPr>
          <w:rFonts w:hint="eastAsia" w:ascii="仿宋" w:hAnsi="仿宋" w:eastAsia="仿宋" w:cs="仿宋"/>
          <w:color w:val="auto"/>
          <w:sz w:val="24"/>
          <w:szCs w:val="24"/>
          <w:highlight w:val="none"/>
        </w:rPr>
        <w:t>当合同文件内容出现含糊不清或不一致时，由合同双方当事人在不影响合同工程正常实施的情况下协商解决。协商不成的，由监理工程师、造价工程师分别按照第</w:t>
      </w:r>
      <w:r>
        <w:rPr>
          <w:rFonts w:ascii="仿宋" w:hAnsi="仿宋" w:eastAsia="仿宋" w:cs="仿宋"/>
          <w:color w:val="auto"/>
          <w:sz w:val="24"/>
          <w:szCs w:val="24"/>
          <w:highlight w:val="none"/>
        </w:rPr>
        <w:t>23.2</w:t>
      </w:r>
      <w:r>
        <w:rPr>
          <w:rFonts w:hint="eastAsia" w:ascii="仿宋" w:hAnsi="仿宋" w:eastAsia="仿宋" w:cs="仿宋"/>
          <w:color w:val="auto"/>
          <w:sz w:val="24"/>
          <w:szCs w:val="24"/>
          <w:highlight w:val="none"/>
        </w:rPr>
        <w:t>款、第</w:t>
      </w:r>
      <w:r>
        <w:rPr>
          <w:rFonts w:ascii="仿宋" w:hAnsi="仿宋" w:eastAsia="仿宋" w:cs="仿宋"/>
          <w:color w:val="auto"/>
          <w:sz w:val="24"/>
          <w:szCs w:val="24"/>
          <w:highlight w:val="none"/>
        </w:rPr>
        <w:t>24.2</w:t>
      </w:r>
      <w:r>
        <w:rPr>
          <w:rFonts w:hint="eastAsia" w:ascii="仿宋" w:hAnsi="仿宋" w:eastAsia="仿宋" w:cs="仿宋"/>
          <w:color w:val="auto"/>
          <w:sz w:val="24"/>
          <w:szCs w:val="24"/>
          <w:highlight w:val="none"/>
        </w:rPr>
        <w:t>款规定职权作出解释。如合同任何一方当事人不同意监理工程师或造价工程师作出的解释，按照第</w:t>
      </w:r>
      <w:r>
        <w:rPr>
          <w:rFonts w:ascii="仿宋" w:hAnsi="仿宋" w:eastAsia="仿宋" w:cs="仿宋"/>
          <w:color w:val="auto"/>
          <w:sz w:val="24"/>
          <w:szCs w:val="24"/>
          <w:highlight w:val="none"/>
        </w:rPr>
        <w:t>86</w:t>
      </w:r>
      <w:r>
        <w:rPr>
          <w:rFonts w:hint="eastAsia" w:ascii="仿宋" w:hAnsi="仿宋" w:eastAsia="仿宋" w:cs="仿宋"/>
          <w:color w:val="auto"/>
          <w:sz w:val="24"/>
          <w:szCs w:val="24"/>
          <w:highlight w:val="none"/>
        </w:rPr>
        <w:t>条规定处理。</w:t>
      </w:r>
    </w:p>
    <w:p>
      <w:pPr>
        <w:shd w:val="clear" w:color="000000" w:fill="auto"/>
        <w:spacing w:line="360" w:lineRule="auto"/>
        <w:jc w:val="left"/>
        <w:rPr>
          <w:rFonts w:ascii="仿宋" w:hAnsi="仿宋" w:eastAsia="仿宋" w:cs="Times New Roman"/>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5"/>
        <w:numPr>
          <w:ilvl w:val="0"/>
          <w:numId w:val="0"/>
        </w:numPr>
        <w:shd w:val="clear" w:color="000000" w:fill="auto"/>
        <w:tabs>
          <w:tab w:val="left" w:pos="420"/>
        </w:tabs>
        <w:ind w:left="720"/>
        <w:rPr>
          <w:rFonts w:ascii="仿宋" w:hAnsi="仿宋" w:eastAsia="仿宋"/>
          <w:bCs w:val="0"/>
          <w:color w:val="auto"/>
          <w:sz w:val="24"/>
          <w:szCs w:val="24"/>
          <w:highlight w:val="none"/>
        </w:rPr>
      </w:pPr>
      <w:bookmarkStart w:id="117" w:name="_Toc26821"/>
      <w:bookmarkStart w:id="118" w:name="_Toc10624822"/>
      <w:bookmarkStart w:id="119" w:name="_Toc469383982"/>
      <w:r>
        <w:rPr>
          <w:rFonts w:ascii="仿宋" w:hAnsi="仿宋" w:eastAsia="仿宋" w:cs="仿宋"/>
          <w:bCs w:val="0"/>
          <w:color w:val="auto"/>
          <w:sz w:val="24"/>
          <w:szCs w:val="24"/>
          <w:highlight w:val="none"/>
        </w:rPr>
        <w:t xml:space="preserve">3  </w:t>
      </w:r>
      <w:r>
        <w:rPr>
          <w:rFonts w:hint="eastAsia" w:ascii="仿宋" w:hAnsi="仿宋" w:eastAsia="仿宋" w:cs="仿宋"/>
          <w:bCs w:val="0"/>
          <w:color w:val="auto"/>
          <w:sz w:val="24"/>
          <w:szCs w:val="24"/>
          <w:highlight w:val="none"/>
        </w:rPr>
        <w:t>阅读、理解与接受</w:t>
      </w:r>
      <w:bookmarkEnd w:id="117"/>
      <w:bookmarkEnd w:id="118"/>
      <w:bookmarkEnd w:id="119"/>
    </w:p>
    <w:p>
      <w:pPr>
        <w:shd w:val="clear" w:color="000000" w:fill="auto"/>
        <w:tabs>
          <w:tab w:val="left" w:pos="1260"/>
        </w:tabs>
        <w:spacing w:before="240" w:beforeLines="100"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3.1 </w:t>
      </w:r>
    </w:p>
    <w:p>
      <w:pPr>
        <w:pStyle w:val="2"/>
        <w:shd w:val="clear" w:color="000000" w:fill="auto"/>
        <w:tabs>
          <w:tab w:val="left" w:pos="540"/>
          <w:tab w:val="left" w:pos="1202"/>
        </w:tabs>
        <w:spacing w:line="360" w:lineRule="auto"/>
        <w:ind w:left="1440" w:leftChars="685" w:hanging="2"/>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-114300</wp:posOffset>
                </wp:positionH>
                <wp:positionV relativeFrom="paragraph">
                  <wp:posOffset>0</wp:posOffset>
                </wp:positionV>
                <wp:extent cx="914400" cy="792480"/>
                <wp:effectExtent l="0" t="0" r="0" b="0"/>
                <wp:wrapNone/>
                <wp:docPr id="4" name="文本框 5"/>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阅读、理解与接受</w:t>
                            </w:r>
                          </w:p>
                        </w:txbxContent>
                      </wps:txbx>
                      <wps:bodyPr upright="1"/>
                    </wps:wsp>
                  </a:graphicData>
                </a:graphic>
              </wp:anchor>
            </w:drawing>
          </mc:Choice>
          <mc:Fallback>
            <w:pict>
              <v:shape id="文本框 5" o:spid="_x0000_s1026" o:spt="202" type="#_x0000_t202" style="position:absolute;left:0pt;margin-left:-9pt;margin-top:0pt;height:62.4pt;width:72pt;z-index:251662336;mso-width-relative:page;mso-height-relative:page;" filled="f" stroked="f" coordsize="21600,21600" o:gfxdata="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Kk2VHNUAAAAI&#10;AQAADwAAAAAAAAABACAAAAAiAAAAZHJzL2Rvd25yZXYueG1sUEsBAhQAFAAAAAgAh07iQEqxw6St&#10;AQAATQMAAA4AAAAAAAAAAQAgAAAAJAEAAGRycy9lMm9Eb2MueG1sUEsFBgAAAAAGAAYAWQEAAEMF&#10;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阅读、理解与接受</w:t>
                      </w:r>
                    </w:p>
                  </w:txbxContent>
                </v:textbox>
              </v:shape>
            </w:pict>
          </mc:Fallback>
        </mc:AlternateContent>
      </w:r>
      <w:r>
        <w:rPr>
          <w:rFonts w:hint="eastAsia" w:ascii="仿宋" w:hAnsi="仿宋" w:eastAsia="仿宋" w:cs="仿宋"/>
          <w:color w:val="auto"/>
          <w:sz w:val="24"/>
          <w:szCs w:val="24"/>
          <w:highlight w:val="none"/>
        </w:rPr>
        <w:t>合同双方当事人应认真阅读和理解本合同的全部内容。除合同双方当事人同意修改外，本合同一旦订立，视为合同双方当事人已全面接受本合同的所有条款。</w:t>
      </w:r>
    </w:p>
    <w:p>
      <w:pPr>
        <w:pStyle w:val="2"/>
        <w:shd w:val="clear" w:color="000000" w:fill="auto"/>
        <w:tabs>
          <w:tab w:val="left" w:pos="2160"/>
        </w:tabs>
        <w:spacing w:before="192" w:beforeLines="80" w:line="360" w:lineRule="auto"/>
        <w:ind w:left="1418" w:hanging="1417" w:hangingChars="675"/>
        <w:rPr>
          <w:rFonts w:ascii="仿宋" w:hAnsi="仿宋" w:eastAsia="仿宋" w:cs="仿宋"/>
          <w:b/>
          <w:bCs/>
          <w:color w:val="auto"/>
          <w:sz w:val="24"/>
          <w:szCs w:val="24"/>
          <w:highlight w:val="none"/>
          <w:u w:val="dotted"/>
        </w:rPr>
      </w:pPr>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-114300</wp:posOffset>
                </wp:positionH>
                <wp:positionV relativeFrom="paragraph">
                  <wp:posOffset>396240</wp:posOffset>
                </wp:positionV>
                <wp:extent cx="952500" cy="792480"/>
                <wp:effectExtent l="0" t="0" r="0" b="0"/>
                <wp:wrapNone/>
                <wp:docPr id="5" name="文本框 6"/>
                <wp:cNvGraphicFramePr/>
                <a:graphic xmlns:a="http://schemas.openxmlformats.org/drawingml/2006/main">
                  <a:graphicData uri="http://schemas.microsoft.com/office/word/2010/wordprocessingShape">
                    <wps:wsp>
                      <wps:cNvSpPr txBox="1"/>
                      <wps:spPr>
                        <a:xfrm>
                          <a:off x="0" y="0"/>
                          <a:ext cx="952500" cy="79248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修改合同条款的限制</w:t>
                            </w:r>
                          </w:p>
                        </w:txbxContent>
                      </wps:txbx>
                      <wps:bodyPr upright="1"/>
                    </wps:wsp>
                  </a:graphicData>
                </a:graphic>
              </wp:anchor>
            </w:drawing>
          </mc:Choice>
          <mc:Fallback>
            <w:pict>
              <v:shape id="文本框 6" o:spid="_x0000_s1026" o:spt="202" type="#_x0000_t202" style="position:absolute;left:0pt;margin-left:-9pt;margin-top:31.2pt;height:62.4pt;width:75pt;z-index:251663360;mso-width-relative:page;mso-height-relative:page;" filled="f" stroked="f" coordsize="21600,21600" o:gfxdata="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ReVDtgA&#10;AAAKAQAADwAAAAAAAAABACAAAAAiAAAAZHJzL2Rvd25yZXYueG1sUEsBAhQAFAAAAAgAh07iQACb&#10;Uc2tAQAATQMAAA4AAAAAAAAAAQAgAAAAJwEAAGRycy9lMm9Eb2MueG1sUEsFBgAAAAAGAAYAWQEA&#10;AEY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修改合同条款的限制</w:t>
                      </w:r>
                    </w:p>
                  </w:txbxContent>
                </v:textbox>
              </v:shape>
            </w:pict>
          </mc:Fallback>
        </mc:AlternateContent>
      </w:r>
      <w:r>
        <w:rPr>
          <w:rFonts w:ascii="仿宋" w:hAnsi="仿宋" w:eastAsia="仿宋" w:cs="仿宋"/>
          <w:b/>
          <w:bCs/>
          <w:color w:val="auto"/>
          <w:sz w:val="24"/>
          <w:szCs w:val="24"/>
          <w:highlight w:val="none"/>
        </w:rPr>
        <w:t xml:space="preserve">3.2  </w:t>
      </w:r>
      <w:r>
        <w:rPr>
          <w:rFonts w:ascii="仿宋" w:hAnsi="仿宋" w:eastAsia="仿宋" w:cs="仿宋"/>
          <w:b/>
          <w:bCs/>
          <w:color w:val="auto"/>
          <w:sz w:val="24"/>
          <w:szCs w:val="24"/>
          <w:highlight w:val="none"/>
          <w:u w:val="dotted"/>
        </w:rPr>
        <w:t xml:space="preserve">                                                                               </w:t>
      </w:r>
    </w:p>
    <w:p>
      <w:pPr>
        <w:pStyle w:val="2"/>
        <w:shd w:val="clear" w:color="000000" w:fill="auto"/>
        <w:tabs>
          <w:tab w:val="left" w:pos="2160"/>
        </w:tabs>
        <w:spacing w:before="192" w:beforeLines="80" w:line="360" w:lineRule="auto"/>
        <w:ind w:left="1618" w:leftChars="741" w:hanging="62" w:hangingChars="26"/>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一方当事人违背本合同的承诺，要求另一方当事人接受其对拟订立或正在履行的本合同条款修改后存在不公平的条款，另一方当事人不接受的，应及时提出修正意见。经再次催告修正无效的情况下，不利一方当事人有权拒绝订立或单方解除本合同；给对方当事人造成损失的，责任方应予赔偿。</w:t>
      </w:r>
    </w:p>
    <w:p>
      <w:pPr>
        <w:pStyle w:val="2"/>
        <w:shd w:val="clear" w:color="000000" w:fill="auto"/>
        <w:adjustRightInd w:val="0"/>
        <w:snapToGrid w:val="0"/>
        <w:ind w:right="-238"/>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5"/>
        <w:numPr>
          <w:ilvl w:val="0"/>
          <w:numId w:val="0"/>
        </w:numPr>
        <w:shd w:val="clear" w:color="000000" w:fill="auto"/>
        <w:tabs>
          <w:tab w:val="left" w:pos="420"/>
        </w:tabs>
        <w:ind w:left="720"/>
        <w:rPr>
          <w:rFonts w:ascii="仿宋" w:hAnsi="仿宋" w:eastAsia="仿宋"/>
          <w:bCs w:val="0"/>
          <w:color w:val="auto"/>
          <w:sz w:val="24"/>
          <w:szCs w:val="24"/>
          <w:highlight w:val="none"/>
        </w:rPr>
      </w:pPr>
      <w:bookmarkStart w:id="120" w:name="_Toc469383983"/>
      <w:bookmarkStart w:id="121" w:name="_Toc10624823"/>
      <w:bookmarkStart w:id="122" w:name="_Toc12468"/>
      <w:r>
        <w:rPr>
          <w:rFonts w:ascii="仿宋" w:hAnsi="仿宋" w:eastAsia="仿宋" w:cs="仿宋"/>
          <w:bCs w:val="0"/>
          <w:color w:val="auto"/>
          <w:sz w:val="24"/>
          <w:szCs w:val="24"/>
          <w:highlight w:val="none"/>
        </w:rPr>
        <w:t xml:space="preserve">4  </w:t>
      </w:r>
      <w:r>
        <w:rPr>
          <w:rFonts w:hint="eastAsia" w:ascii="仿宋" w:hAnsi="仿宋" w:eastAsia="仿宋" w:cs="仿宋"/>
          <w:bCs w:val="0"/>
          <w:color w:val="auto"/>
          <w:sz w:val="24"/>
          <w:szCs w:val="24"/>
          <w:highlight w:val="none"/>
        </w:rPr>
        <w:t>语言及适用的法律、标准与规范</w:t>
      </w:r>
      <w:bookmarkEnd w:id="120"/>
      <w:bookmarkEnd w:id="121"/>
      <w:bookmarkEnd w:id="122"/>
    </w:p>
    <w:p>
      <w:pPr>
        <w:shd w:val="clear" w:color="000000" w:fill="auto"/>
        <w:tabs>
          <w:tab w:val="left" w:pos="1320"/>
        </w:tabs>
        <w:spacing w:line="360" w:lineRule="auto"/>
        <w:ind w:right="-15" w:rightChars="-7"/>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4.1                         </w:t>
      </w:r>
    </w:p>
    <w:p>
      <w:pPr>
        <w:shd w:val="clear" w:color="000000" w:fill="auto"/>
        <w:tabs>
          <w:tab w:val="left" w:pos="1620"/>
        </w:tabs>
        <w:spacing w:line="360" w:lineRule="auto"/>
        <w:ind w:left="2156" w:right="-7" w:hanging="2156" w:hangingChars="895"/>
        <w:rPr>
          <w:rFonts w:ascii="仿宋" w:hAnsi="仿宋" w:eastAsia="仿宋" w:cs="Times New Roman"/>
          <w:color w:val="auto"/>
          <w:sz w:val="24"/>
          <w:szCs w:val="24"/>
          <w:highlight w:val="none"/>
        </w:rPr>
      </w:pPr>
      <w:r>
        <w:rPr>
          <w:rFonts w:hint="eastAsia" w:ascii="仿宋" w:hAnsi="仿宋" w:eastAsia="仿宋" w:cs="仿宋"/>
          <w:b/>
          <w:bCs/>
          <w:color w:val="auto"/>
          <w:sz w:val="24"/>
          <w:szCs w:val="24"/>
          <w:highlight w:val="none"/>
        </w:rPr>
        <w:t>语言文字</w:t>
      </w:r>
      <w:r>
        <w:rPr>
          <w:rFonts w:ascii="仿宋" w:hAnsi="仿宋" w:eastAsia="仿宋" w:cs="仿宋"/>
          <w:b/>
          <w:bCs/>
          <w:color w:val="auto"/>
          <w:sz w:val="24"/>
          <w:szCs w:val="24"/>
          <w:highlight w:val="none"/>
        </w:rPr>
        <w:t xml:space="preserve">  </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本合同所使用的语言文字为中文（汉语）。</w:t>
      </w:r>
    </w:p>
    <w:p>
      <w:pPr>
        <w:shd w:val="clear" w:color="000000" w:fill="auto"/>
        <w:tabs>
          <w:tab w:val="left" w:pos="1620"/>
        </w:tabs>
        <w:spacing w:line="360" w:lineRule="auto"/>
        <w:ind w:left="1579" w:leftChars="752" w:firstLine="117" w:firstLineChars="49"/>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对于必须使用外文表达的专用术语等，应附有中文注释。合同当事人在合同中使用两种以上语言时，汉语为优先解释和说明合同的语言。</w:t>
      </w:r>
    </w:p>
    <w:p>
      <w:pPr>
        <w:shd w:val="clear" w:color="000000" w:fill="auto"/>
        <w:tabs>
          <w:tab w:val="left" w:pos="1320"/>
        </w:tabs>
        <w:spacing w:line="360" w:lineRule="auto"/>
        <w:ind w:right="-7"/>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4.2  </w:t>
      </w:r>
      <w:r>
        <w:rPr>
          <w:rFonts w:ascii="仿宋" w:hAnsi="仿宋" w:eastAsia="仿宋" w:cs="仿宋"/>
          <w:b/>
          <w:bCs/>
          <w:color w:val="auto"/>
          <w:sz w:val="24"/>
          <w:szCs w:val="24"/>
          <w:highlight w:val="none"/>
          <w:u w:val="dotted"/>
        </w:rPr>
        <w:t xml:space="preserve">                                                                                                        </w:t>
      </w:r>
      <w:r>
        <w:rPr>
          <w:rFonts w:ascii="仿宋" w:hAnsi="仿宋" w:eastAsia="仿宋" w:cs="仿宋"/>
          <w:b/>
          <w:bCs/>
          <w:color w:val="auto"/>
          <w:sz w:val="24"/>
          <w:szCs w:val="24"/>
          <w:highlight w:val="none"/>
        </w:rPr>
        <w:t xml:space="preserve">                                                                                                </w:t>
      </w:r>
    </w:p>
    <w:p>
      <w:pPr>
        <w:pStyle w:val="33"/>
        <w:shd w:val="clear" w:color="000000" w:fill="auto"/>
        <w:ind w:left="1617" w:leftChars="770" w:firstLine="1"/>
        <w:rPr>
          <w:rFonts w:ascii="仿宋" w:hAnsi="仿宋" w:eastAsia="仿宋"/>
          <w:color w:val="auto"/>
          <w:highlight w:val="none"/>
        </w:rPr>
      </w:pP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-114300</wp:posOffset>
                </wp:positionH>
                <wp:positionV relativeFrom="paragraph">
                  <wp:posOffset>38100</wp:posOffset>
                </wp:positionV>
                <wp:extent cx="1028700" cy="457200"/>
                <wp:effectExtent l="0" t="0" r="0" b="0"/>
                <wp:wrapNone/>
                <wp:docPr id="6" name="文本框 7"/>
                <wp:cNvGraphicFramePr/>
                <a:graphic xmlns:a="http://schemas.openxmlformats.org/drawingml/2006/main">
                  <a:graphicData uri="http://schemas.microsoft.com/office/word/2010/wordprocessingShape">
                    <wps:wsp>
                      <wps:cNvSpPr txBox="1"/>
                      <wps:spPr>
                        <a:xfrm>
                          <a:off x="0" y="0"/>
                          <a:ext cx="1028700" cy="457200"/>
                        </a:xfrm>
                        <a:prstGeom prst="rect">
                          <a:avLst/>
                        </a:prstGeom>
                        <a:noFill/>
                        <a:ln>
                          <a:noFill/>
                        </a:ln>
                      </wps:spPr>
                      <wps:txbx>
                        <w:txbxContent>
                          <w:p>
                            <w:pPr>
                              <w:rPr>
                                <w:rFonts w:ascii="楷体_GB2312" w:eastAsia="楷体_GB2312" w:cs="Times New Roman"/>
                                <w:sz w:val="18"/>
                                <w:szCs w:val="18"/>
                              </w:rPr>
                            </w:pPr>
                            <w:r>
                              <w:rPr>
                                <w:rFonts w:hint="eastAsia" w:ascii="楷体_GB2312" w:eastAsia="楷体_GB2312" w:cs="楷体_GB2312"/>
                                <w:b/>
                                <w:bCs/>
                                <w:color w:val="000000"/>
                                <w:sz w:val="18"/>
                                <w:szCs w:val="18"/>
                              </w:rPr>
                              <w:t>适用法律</w:t>
                            </w:r>
                          </w:p>
                        </w:txbxContent>
                      </wps:txbx>
                      <wps:bodyPr upright="1"/>
                    </wps:wsp>
                  </a:graphicData>
                </a:graphic>
              </wp:anchor>
            </w:drawing>
          </mc:Choice>
          <mc:Fallback>
            <w:pict>
              <v:shape id="文本框 7" o:spid="_x0000_s1026" o:spt="202" type="#_x0000_t202" style="position:absolute;left:0pt;margin-left:-9pt;margin-top:3pt;height:36pt;width:81pt;z-index:251664384;mso-width-relative:page;mso-height-relative:page;" filled="f" stroked="f" coordsize="21600,21600" o:gfxdata="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LkcJrPUAAAACAEA&#10;AA8AAAAAAAAAAQAgAAAAIgAAAGRycy9kb3ducmV2LnhtbFBLAQIUABQAAAAIAIdO4kDBDXnyrAEA&#10;AE4DAAAOAAAAAAAAAAEAIAAAACMBAABkcnMvZTJvRG9jLnhtbFBLBQYAAAAABgAGAFkBAABBBQAA&#10;AAA=&#10;">
                <v:fill on="f" focussize="0,0"/>
                <v:stroke on="f"/>
                <v:imagedata o:title=""/>
                <o:lock v:ext="edit" aspectratio="f"/>
                <v:textbox>
                  <w:txbxContent>
                    <w:p>
                      <w:pPr>
                        <w:rPr>
                          <w:rFonts w:ascii="楷体_GB2312" w:eastAsia="楷体_GB2312" w:cs="Times New Roman"/>
                          <w:sz w:val="18"/>
                          <w:szCs w:val="18"/>
                        </w:rPr>
                      </w:pPr>
                      <w:r>
                        <w:rPr>
                          <w:rFonts w:hint="eastAsia" w:ascii="楷体_GB2312" w:eastAsia="楷体_GB2312" w:cs="楷体_GB2312"/>
                          <w:b/>
                          <w:bCs/>
                          <w:color w:val="000000"/>
                          <w:sz w:val="18"/>
                          <w:szCs w:val="18"/>
                        </w:rPr>
                        <w:t>适用法律</w:t>
                      </w:r>
                    </w:p>
                  </w:txbxContent>
                </v:textbox>
              </v:shape>
            </w:pict>
          </mc:Fallback>
        </mc:AlternateContent>
      </w:r>
      <w:r>
        <w:rPr>
          <w:rFonts w:hint="eastAsia" w:ascii="仿宋" w:hAnsi="仿宋" w:eastAsia="仿宋" w:cs="仿宋"/>
          <w:color w:val="auto"/>
          <w:highlight w:val="none"/>
        </w:rPr>
        <w:t>本合同适用的法律为中华人民共和国的现行法律、行政法规、部门规章和合同工程所在地的地方性法规、地方政府规章、行政规范性文件。</w:t>
      </w:r>
    </w:p>
    <w:p>
      <w:pPr>
        <w:shd w:val="clear" w:color="000000" w:fill="auto"/>
        <w:tabs>
          <w:tab w:val="left" w:pos="1320"/>
        </w:tabs>
        <w:spacing w:line="360" w:lineRule="auto"/>
        <w:ind w:right="-7"/>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4.3  </w:t>
      </w:r>
      <w:r>
        <w:rPr>
          <w:rFonts w:ascii="仿宋" w:hAnsi="仿宋" w:eastAsia="仿宋" w:cs="仿宋"/>
          <w:b/>
          <w:bCs/>
          <w:color w:val="auto"/>
          <w:sz w:val="24"/>
          <w:szCs w:val="24"/>
          <w:highlight w:val="none"/>
          <w:u w:val="dotted"/>
        </w:rPr>
        <w:t xml:space="preserve">                                                                                                        </w:t>
      </w:r>
      <w:r>
        <w:rPr>
          <w:rFonts w:ascii="仿宋" w:hAnsi="仿宋" w:eastAsia="仿宋" w:cs="仿宋"/>
          <w:b/>
          <w:bCs/>
          <w:color w:val="auto"/>
          <w:sz w:val="24"/>
          <w:szCs w:val="24"/>
          <w:highlight w:val="none"/>
        </w:rPr>
        <w:t xml:space="preserve">                                                                                    </w:t>
      </w:r>
    </w:p>
    <w:p>
      <w:pPr>
        <w:shd w:val="clear" w:color="000000" w:fill="auto"/>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-114300</wp:posOffset>
                </wp:positionH>
                <wp:positionV relativeFrom="paragraph">
                  <wp:posOffset>0</wp:posOffset>
                </wp:positionV>
                <wp:extent cx="1028700" cy="441960"/>
                <wp:effectExtent l="0" t="0" r="0" b="0"/>
                <wp:wrapNone/>
                <wp:docPr id="7" name="文本框 8"/>
                <wp:cNvGraphicFramePr/>
                <a:graphic xmlns:a="http://schemas.openxmlformats.org/drawingml/2006/main">
                  <a:graphicData uri="http://schemas.microsoft.com/office/word/2010/wordprocessingShape">
                    <wps:wsp>
                      <wps:cNvSpPr txBox="1"/>
                      <wps:spPr>
                        <a:xfrm>
                          <a:off x="0" y="0"/>
                          <a:ext cx="1028700" cy="44196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适用标准与规</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范</w:t>
                            </w:r>
                          </w:p>
                        </w:txbxContent>
                      </wps:txbx>
                      <wps:bodyPr upright="1"/>
                    </wps:wsp>
                  </a:graphicData>
                </a:graphic>
              </wp:anchor>
            </w:drawing>
          </mc:Choice>
          <mc:Fallback>
            <w:pict>
              <v:shape id="文本框 8" o:spid="_x0000_s1026" o:spt="202" type="#_x0000_t202" style="position:absolute;left:0pt;margin-left:-9pt;margin-top:0pt;height:34.8pt;width:81pt;z-index:251665408;mso-width-relative:page;mso-height-relative:page;" filled="f" stroked="f" coordsize="21600,21600" o:gfxdata="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CLju9UAAAAH&#10;AQAADwAAAAAAAAABACAAAAAiAAAAZHJzL2Rvd25yZXYueG1sUEsBAhQAFAAAAAgAh07iQIcReAWt&#10;AQAATgMAAA4AAAAAAAAAAQAgAAAAJAEAAGRycy9lMm9Eb2MueG1sUEsFBgAAAAAGAAYAWQEAAEMF&#10;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适用标准与规</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范</w:t>
                      </w:r>
                    </w:p>
                  </w:txbxContent>
                </v:textbox>
              </v:shape>
            </w:pict>
          </mc:Fallback>
        </mc:AlternateContent>
      </w:r>
      <w:r>
        <w:rPr>
          <w:rFonts w:hint="eastAsia" w:ascii="仿宋" w:hAnsi="仿宋" w:eastAsia="仿宋" w:cs="仿宋"/>
          <w:color w:val="auto"/>
          <w:sz w:val="24"/>
          <w:szCs w:val="24"/>
          <w:highlight w:val="none"/>
        </w:rPr>
        <w:t>本合同适用的标准与规范为国家、行业和广东省的标准与规范或规程，以及发包人在合同中要求使用的标准与规范。</w:t>
      </w:r>
    </w:p>
    <w:p>
      <w:pPr>
        <w:shd w:val="clear" w:color="000000" w:fill="auto"/>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合同双方当事人在专用条款中约定适用的国家标准、规范名称；国家没有但行业有的，约定适用的行业标准、规范名称；国家和行业没有但广东省有的，约定适用的广东省地方标准、规范名称。</w:t>
      </w:r>
      <w:r>
        <w:rPr>
          <w:rFonts w:ascii="仿宋" w:hAnsi="仿宋" w:eastAsia="仿宋" w:cs="仿宋"/>
          <w:color w:val="auto"/>
          <w:sz w:val="24"/>
          <w:szCs w:val="24"/>
          <w:highlight w:val="none"/>
        </w:rPr>
        <w:t xml:space="preserve">   </w:t>
      </w:r>
    </w:p>
    <w:p>
      <w:pPr>
        <w:shd w:val="clear" w:color="000000" w:fill="auto"/>
        <w:spacing w:line="360" w:lineRule="auto"/>
        <w:ind w:left="1619" w:leftChars="771" w:firstLine="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国内没有适用的标准、规范的，由发包人在招标文件中或在承包人投标报价前提出施工技术要求，承包人在自主报价时按照要求提出施工工艺，经发包人确认后执行。发包人要求使用国外标准、规范的，应负责提供中文译本；有异议时，以中文译本为准。</w:t>
      </w:r>
    </w:p>
    <w:p>
      <w:pPr>
        <w:shd w:val="clear" w:color="000000" w:fill="auto"/>
        <w:spacing w:line="360" w:lineRule="auto"/>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5"/>
        <w:numPr>
          <w:ilvl w:val="0"/>
          <w:numId w:val="0"/>
        </w:numPr>
        <w:shd w:val="clear" w:color="000000" w:fill="auto"/>
        <w:tabs>
          <w:tab w:val="left" w:pos="420"/>
        </w:tabs>
        <w:ind w:left="720"/>
        <w:rPr>
          <w:rFonts w:ascii="仿宋" w:hAnsi="仿宋" w:eastAsia="仿宋"/>
          <w:bCs w:val="0"/>
          <w:color w:val="auto"/>
          <w:sz w:val="24"/>
          <w:szCs w:val="24"/>
          <w:highlight w:val="none"/>
        </w:rPr>
      </w:pPr>
      <w:bookmarkStart w:id="123" w:name="_Toc469383984"/>
      <w:bookmarkStart w:id="124" w:name="_Toc10624824"/>
      <w:bookmarkStart w:id="125" w:name="_Toc21410"/>
      <w:r>
        <w:rPr>
          <w:rFonts w:ascii="仿宋" w:hAnsi="仿宋" w:eastAsia="仿宋" w:cs="仿宋"/>
          <w:bCs w:val="0"/>
          <w:color w:val="auto"/>
          <w:sz w:val="24"/>
          <w:szCs w:val="24"/>
          <w:highlight w:val="none"/>
        </w:rPr>
        <w:t xml:space="preserve">5  </w:t>
      </w:r>
      <w:r>
        <w:rPr>
          <w:rFonts w:hint="eastAsia" w:ascii="仿宋" w:hAnsi="仿宋" w:eastAsia="仿宋" w:cs="仿宋"/>
          <w:bCs w:val="0"/>
          <w:color w:val="auto"/>
          <w:sz w:val="24"/>
          <w:szCs w:val="24"/>
          <w:highlight w:val="none"/>
        </w:rPr>
        <w:t>施工设计图纸</w:t>
      </w:r>
      <w:bookmarkEnd w:id="123"/>
      <w:bookmarkEnd w:id="124"/>
      <w:bookmarkEnd w:id="125"/>
    </w:p>
    <w:p>
      <w:pPr>
        <w:pStyle w:val="2"/>
        <w:shd w:val="clear" w:color="000000" w:fill="auto"/>
        <w:spacing w:line="360" w:lineRule="auto"/>
        <w:ind w:right="-238"/>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5.1 </w:t>
      </w:r>
    </w:p>
    <w:p>
      <w:pPr>
        <w:shd w:val="clear" w:color="000000" w:fill="auto"/>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-114300</wp:posOffset>
                </wp:positionH>
                <wp:positionV relativeFrom="paragraph">
                  <wp:posOffset>20320</wp:posOffset>
                </wp:positionV>
                <wp:extent cx="800100" cy="911860"/>
                <wp:effectExtent l="0" t="0" r="0" b="0"/>
                <wp:wrapNone/>
                <wp:docPr id="8" name="文本框 9"/>
                <wp:cNvGraphicFramePr/>
                <a:graphic xmlns:a="http://schemas.openxmlformats.org/drawingml/2006/main">
                  <a:graphicData uri="http://schemas.microsoft.com/office/word/2010/wordprocessingShape">
                    <wps:wsp>
                      <wps:cNvSpPr txBox="1"/>
                      <wps:spPr>
                        <a:xfrm>
                          <a:off x="0" y="0"/>
                          <a:ext cx="800100" cy="91186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图纸的提供</w:t>
                            </w:r>
                          </w:p>
                        </w:txbxContent>
                      </wps:txbx>
                      <wps:bodyPr upright="1"/>
                    </wps:wsp>
                  </a:graphicData>
                </a:graphic>
              </wp:anchor>
            </w:drawing>
          </mc:Choice>
          <mc:Fallback>
            <w:pict>
              <v:shape id="文本框 9" o:spid="_x0000_s1026" o:spt="202" type="#_x0000_t202" style="position:absolute;left:0pt;margin-left:-9pt;margin-top:1.6pt;height:71.8pt;width:63pt;z-index:251666432;mso-width-relative:page;mso-height-relative:page;" filled="f" stroked="f" coordsize="21600,21600" o:gfxdata="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C4LsWbWAAAACQEA&#10;AA8AAAAAAAAAAQAgAAAAIgAAAGRycy9kb3ducmV2LnhtbFBLAQIUABQAAAAIAIdO4kDz17+mqgEA&#10;AE0DAAAOAAAAAAAAAAEAIAAAACUBAABkcnMvZTJvRG9jLnhtbFBLBQYAAAAABgAGAFkBAABBBQAA&#10;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图纸的提供</w:t>
                      </w:r>
                    </w:p>
                  </w:txbxContent>
                </v:textbox>
              </v:shape>
            </w:pict>
          </mc:Fallback>
        </mc:AlternateContent>
      </w:r>
      <w:r>
        <w:rPr>
          <w:rFonts w:hint="eastAsia" w:ascii="仿宋" w:hAnsi="仿宋" w:eastAsia="仿宋" w:cs="仿宋"/>
          <w:color w:val="auto"/>
          <w:sz w:val="24"/>
          <w:szCs w:val="24"/>
          <w:highlight w:val="none"/>
        </w:rPr>
        <w:t>发包人应按照专用条款约定的时间和数量，向承包人提供经已审批的施工设计图纸及其技术资料。如承包人需要增加数量的，发包人可代为办理，发生的费用由承包人承担。如发包人未能按时提供施工设计图纸造成工期延误的，按第</w:t>
      </w:r>
      <w:r>
        <w:rPr>
          <w:rFonts w:ascii="仿宋" w:hAnsi="仿宋" w:eastAsia="仿宋" w:cs="仿宋"/>
          <w:color w:val="auto"/>
          <w:sz w:val="24"/>
          <w:szCs w:val="24"/>
          <w:highlight w:val="none"/>
        </w:rPr>
        <w:t>36.3</w:t>
      </w:r>
      <w:r>
        <w:rPr>
          <w:rFonts w:hint="eastAsia" w:ascii="仿宋" w:hAnsi="仿宋" w:eastAsia="仿宋" w:cs="仿宋"/>
          <w:color w:val="auto"/>
          <w:sz w:val="24"/>
          <w:szCs w:val="24"/>
          <w:highlight w:val="none"/>
        </w:rPr>
        <w:t>款规定处理。</w:t>
      </w:r>
      <w:r>
        <w:rPr>
          <w:rFonts w:ascii="仿宋" w:hAnsi="仿宋" w:eastAsia="仿宋" w:cs="仿宋"/>
          <w:color w:val="auto"/>
          <w:sz w:val="24"/>
          <w:szCs w:val="24"/>
          <w:highlight w:val="none"/>
        </w:rPr>
        <w:t xml:space="preserve"> </w:t>
      </w:r>
    </w:p>
    <w:p>
      <w:pPr>
        <w:pStyle w:val="2"/>
        <w:shd w:val="clear" w:color="000000" w:fill="auto"/>
        <w:spacing w:line="360" w:lineRule="auto"/>
        <w:ind w:right="-238"/>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5.2  </w:t>
      </w:r>
      <w:r>
        <w:rPr>
          <w:rFonts w:ascii="仿宋" w:hAnsi="仿宋" w:eastAsia="仿宋" w:cs="仿宋"/>
          <w:b/>
          <w:bCs/>
          <w:color w:val="auto"/>
          <w:sz w:val="24"/>
          <w:szCs w:val="24"/>
          <w:highlight w:val="none"/>
          <w:u w:val="dotted"/>
        </w:rPr>
        <w:t xml:space="preserve">                                                                              </w:t>
      </w:r>
    </w:p>
    <w:p>
      <w:pPr>
        <w:pStyle w:val="33"/>
        <w:shd w:val="clear" w:color="000000" w:fill="auto"/>
        <w:tabs>
          <w:tab w:val="left" w:pos="4970"/>
        </w:tabs>
        <w:ind w:left="1619" w:leftChars="771"/>
        <w:rPr>
          <w:rFonts w:ascii="仿宋" w:hAnsi="仿宋" w:eastAsia="仿宋"/>
          <w:color w:val="auto"/>
          <w:highlight w:val="none"/>
        </w:rPr>
      </w:pPr>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-114300</wp:posOffset>
                </wp:positionH>
                <wp:positionV relativeFrom="paragraph">
                  <wp:posOffset>0</wp:posOffset>
                </wp:positionV>
                <wp:extent cx="800100" cy="911860"/>
                <wp:effectExtent l="0" t="0" r="0" b="0"/>
                <wp:wrapNone/>
                <wp:docPr id="9" name="文本框 10"/>
                <wp:cNvGraphicFramePr/>
                <a:graphic xmlns:a="http://schemas.openxmlformats.org/drawingml/2006/main">
                  <a:graphicData uri="http://schemas.microsoft.com/office/word/2010/wordprocessingShape">
                    <wps:wsp>
                      <wps:cNvSpPr txBox="1"/>
                      <wps:spPr>
                        <a:xfrm>
                          <a:off x="0" y="0"/>
                          <a:ext cx="800100" cy="91186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承包人提供配合施工的图纸</w:t>
                            </w:r>
                          </w:p>
                        </w:txbxContent>
                      </wps:txbx>
                      <wps:bodyPr upright="1"/>
                    </wps:wsp>
                  </a:graphicData>
                </a:graphic>
              </wp:anchor>
            </w:drawing>
          </mc:Choice>
          <mc:Fallback>
            <w:pict>
              <v:shape id="文本框 10" o:spid="_x0000_s1026" o:spt="202" type="#_x0000_t202" style="position:absolute;left:0pt;margin-left:-9pt;margin-top:0pt;height:71.8pt;width:63pt;z-index:251667456;mso-width-relative:page;mso-height-relative:page;" filled="f" stroked="f" coordsize="21600,21600" o:gfxdata="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CK+3Y1AAAAAgBAAAP&#10;AAAAAAAAAAEAIAAAACIAAABkcnMvZG93bnJldi54bWxQSwECFAAUAAAACACHTuJAkio5yqoBAABO&#10;AwAADgAAAAAAAAABACAAAAAjAQAAZHJzL2Uyb0RvYy54bWxQSwUGAAAAAAYABgBZAQAAPw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承包人提供配合施工的图纸</w:t>
                      </w:r>
                    </w:p>
                  </w:txbxContent>
                </v:textbox>
              </v:shape>
            </w:pict>
          </mc:Fallback>
        </mc:AlternateContent>
      </w:r>
      <w:r>
        <w:rPr>
          <w:rFonts w:hint="eastAsia" w:ascii="仿宋" w:hAnsi="仿宋" w:eastAsia="仿宋" w:cs="仿宋"/>
          <w:color w:val="auto"/>
          <w:highlight w:val="none"/>
        </w:rPr>
        <w:t>如果合同约定由承包人负责提供大样图、加工图等配合施工设计图纸的，承包人应在其设计资质等级许可的范围内，按照监理工程师的工作指令完成有关施工设计图纸。承包人应按照专用条款约定的时间和数量向监理工程师提交此类施工设计图纸，监理工程师应在专用条款约定的时间内报发包人批准后予以答复。即使经监理工程师同意，承包人仍应对其施工设计图纸负责。</w:t>
      </w:r>
    </w:p>
    <w:p>
      <w:pPr>
        <w:shd w:val="clear" w:color="000000" w:fill="auto"/>
        <w:tabs>
          <w:tab w:val="left" w:pos="4970"/>
        </w:tabs>
        <w:spacing w:line="360" w:lineRule="auto"/>
        <w:rPr>
          <w:rFonts w:ascii="仿宋" w:hAnsi="仿宋" w:eastAsia="仿宋" w:cs="Times New Roman"/>
          <w:b/>
          <w:bCs/>
          <w:color w:val="auto"/>
          <w:sz w:val="24"/>
          <w:szCs w:val="24"/>
          <w:highlight w:val="none"/>
        </w:rPr>
      </w:pPr>
    </w:p>
    <w:p>
      <w:pPr>
        <w:shd w:val="clear" w:color="000000" w:fill="auto"/>
        <w:tabs>
          <w:tab w:val="left" w:pos="4970"/>
        </w:tabs>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5.3  </w:t>
      </w:r>
      <w:r>
        <w:rPr>
          <w:rFonts w:ascii="仿宋" w:hAnsi="仿宋" w:eastAsia="仿宋" w:cs="仿宋"/>
          <w:b/>
          <w:bCs/>
          <w:color w:val="auto"/>
          <w:sz w:val="24"/>
          <w:szCs w:val="24"/>
          <w:highlight w:val="none"/>
          <w:u w:val="dotted"/>
        </w:rPr>
        <w:t xml:space="preserve">                                                                                                       </w:t>
      </w:r>
    </w:p>
    <w:p>
      <w:pPr>
        <w:shd w:val="clear" w:color="000000" w:fill="auto"/>
        <w:tabs>
          <w:tab w:val="left" w:pos="4970"/>
        </w:tabs>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-114300</wp:posOffset>
                </wp:positionH>
                <wp:positionV relativeFrom="paragraph">
                  <wp:posOffset>0</wp:posOffset>
                </wp:positionV>
                <wp:extent cx="914400" cy="648970"/>
                <wp:effectExtent l="0" t="0" r="0" b="0"/>
                <wp:wrapNone/>
                <wp:docPr id="10" name="文本框 11"/>
                <wp:cNvGraphicFramePr/>
                <a:graphic xmlns:a="http://schemas.openxmlformats.org/drawingml/2006/main">
                  <a:graphicData uri="http://schemas.microsoft.com/office/word/2010/wordprocessingShape">
                    <wps:wsp>
                      <wps:cNvSpPr txBox="1"/>
                      <wps:spPr>
                        <a:xfrm>
                          <a:off x="0" y="0"/>
                          <a:ext cx="914400" cy="648970"/>
                        </a:xfrm>
                        <a:prstGeom prst="rect">
                          <a:avLst/>
                        </a:prstGeom>
                        <a:noFill/>
                        <a:ln>
                          <a:noFill/>
                        </a:ln>
                      </wps:spPr>
                      <wps:txbx>
                        <w:txbxContent>
                          <w:p>
                            <w:pPr>
                              <w:rPr>
                                <w:rFonts w:ascii="宋体" w:cs="Times New Roman"/>
                                <w:sz w:val="18"/>
                                <w:szCs w:val="18"/>
                              </w:rPr>
                            </w:pPr>
                            <w:r>
                              <w:rPr>
                                <w:rFonts w:hint="eastAsia" w:ascii="楷体_GB2312" w:hAnsi="宋体" w:eastAsia="楷体_GB2312" w:cs="楷体_GB2312"/>
                                <w:b/>
                                <w:bCs/>
                                <w:color w:val="000000"/>
                                <w:sz w:val="18"/>
                                <w:szCs w:val="18"/>
                              </w:rPr>
                              <w:t>图纸的修改</w:t>
                            </w:r>
                          </w:p>
                        </w:txbxContent>
                      </wps:txbx>
                      <wps:bodyPr upright="1"/>
                    </wps:wsp>
                  </a:graphicData>
                </a:graphic>
              </wp:anchor>
            </w:drawing>
          </mc:Choice>
          <mc:Fallback>
            <w:pict>
              <v:shape id="文本框 11" o:spid="_x0000_s1026" o:spt="202" type="#_x0000_t202" style="position:absolute;left:0pt;margin-left:-9pt;margin-top:0pt;height:51.1pt;width:72pt;z-index:251668480;mso-width-relative:page;mso-height-relative:page;" filled="f" stroked="f" coordsize="21600,21600" o:gfxdata="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9spnAdUAAAAI&#10;AQAADwAAAAAAAAABACAAAAAiAAAAZHJzL2Rvd25yZXYueG1sUEsBAhQAFAAAAAgAh07iQODbbfCt&#10;AQAATwMAAA4AAAAAAAAAAQAgAAAAJAEAAGRycy9lMm9Eb2MueG1sUEsFBgAAAAAGAAYAWQEAAEMF&#10;AAAAAA==&#10;">
                <v:fill on="f" focussize="0,0"/>
                <v:stroke on="f"/>
                <v:imagedata o:title=""/>
                <o:lock v:ext="edit" aspectratio="f"/>
                <v:textbox>
                  <w:txbxContent>
                    <w:p>
                      <w:pPr>
                        <w:rPr>
                          <w:rFonts w:ascii="宋体" w:cs="Times New Roman"/>
                          <w:sz w:val="18"/>
                          <w:szCs w:val="18"/>
                        </w:rPr>
                      </w:pPr>
                      <w:r>
                        <w:rPr>
                          <w:rFonts w:hint="eastAsia" w:ascii="楷体_GB2312" w:hAnsi="宋体" w:eastAsia="楷体_GB2312" w:cs="楷体_GB2312"/>
                          <w:b/>
                          <w:bCs/>
                          <w:color w:val="000000"/>
                          <w:sz w:val="18"/>
                          <w:szCs w:val="18"/>
                        </w:rPr>
                        <w:t>图纸的修改</w:t>
                      </w:r>
                    </w:p>
                  </w:txbxContent>
                </v:textbox>
              </v:shape>
            </w:pict>
          </mc:Fallback>
        </mc:AlternateContent>
      </w:r>
      <w:r>
        <w:rPr>
          <w:rFonts w:hint="eastAsia" w:ascii="仿宋" w:hAnsi="仿宋" w:eastAsia="仿宋" w:cs="仿宋"/>
          <w:color w:val="auto"/>
          <w:sz w:val="24"/>
          <w:szCs w:val="24"/>
          <w:highlight w:val="none"/>
        </w:rPr>
        <w:t>施工设计图纸需要修改和补充的，监理工程师应及时书面报告发包人。发包人收到书面报告后应及时通知设计人予以修改，并在合同工程或其相应部位施工前按照专用条款约定的时间和数量提供给承包人。承包人应按照发包人新提供的经设计人修改后的施工设计图纸施工。</w:t>
      </w:r>
    </w:p>
    <w:p>
      <w:pPr>
        <w:shd w:val="clear" w:color="000000" w:fill="auto"/>
        <w:tabs>
          <w:tab w:val="left" w:pos="4970"/>
        </w:tabs>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5.4  </w:t>
      </w:r>
      <w:r>
        <w:rPr>
          <w:rFonts w:ascii="仿宋" w:hAnsi="仿宋" w:eastAsia="仿宋" w:cs="仿宋"/>
          <w:b/>
          <w:bCs/>
          <w:color w:val="auto"/>
          <w:sz w:val="24"/>
          <w:szCs w:val="24"/>
          <w:highlight w:val="none"/>
          <w:u w:val="dotted"/>
        </w:rPr>
        <w:t xml:space="preserve">                                                                                                       </w:t>
      </w:r>
    </w:p>
    <w:p>
      <w:pPr>
        <w:shd w:val="clear" w:color="000000" w:fill="auto"/>
        <w:tabs>
          <w:tab w:val="left" w:pos="4970"/>
        </w:tabs>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-114300</wp:posOffset>
                </wp:positionH>
                <wp:positionV relativeFrom="paragraph">
                  <wp:posOffset>0</wp:posOffset>
                </wp:positionV>
                <wp:extent cx="914400" cy="648970"/>
                <wp:effectExtent l="0" t="0" r="0" b="0"/>
                <wp:wrapNone/>
                <wp:docPr id="11" name="文本框 12"/>
                <wp:cNvGraphicFramePr/>
                <a:graphic xmlns:a="http://schemas.openxmlformats.org/drawingml/2006/main">
                  <a:graphicData uri="http://schemas.microsoft.com/office/word/2010/wordprocessingShape">
                    <wps:wsp>
                      <wps:cNvSpPr txBox="1"/>
                      <wps:spPr>
                        <a:xfrm>
                          <a:off x="0" y="0"/>
                          <a:ext cx="914400" cy="64897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图纸错漏的改正</w:t>
                            </w:r>
                          </w:p>
                        </w:txbxContent>
                      </wps:txbx>
                      <wps:bodyPr upright="1"/>
                    </wps:wsp>
                  </a:graphicData>
                </a:graphic>
              </wp:anchor>
            </w:drawing>
          </mc:Choice>
          <mc:Fallback>
            <w:pict>
              <v:shape id="文本框 12" o:spid="_x0000_s1026" o:spt="202" type="#_x0000_t202" style="position:absolute;left:0pt;margin-left:-9pt;margin-top:0pt;height:51.1pt;width:72pt;z-index:251669504;mso-width-relative:page;mso-height-relative:page;" filled="f" stroked="f" coordsize="21600,21600" o:gfxdata="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9spnAdUAAAAI&#10;AQAADwAAAAAAAAABACAAAAAiAAAAZHJzL2Rvd25yZXYueG1sUEsBAhQAFAAAAAgAh07iQOZHYiSt&#10;AQAATwMAAA4AAAAAAAAAAQAgAAAAJAEAAGRycy9lMm9Eb2MueG1sUEsFBgAAAAAGAAYAWQEAAEMF&#10;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图纸错漏的改正</w:t>
                      </w:r>
                    </w:p>
                  </w:txbxContent>
                </v:textbox>
              </v:shape>
            </w:pict>
          </mc:Fallback>
        </mc:AlternateContent>
      </w:r>
      <w:r>
        <w:rPr>
          <w:rFonts w:hint="eastAsia" w:ascii="仿宋" w:hAnsi="仿宋" w:eastAsia="仿宋" w:cs="仿宋"/>
          <w:color w:val="auto"/>
          <w:sz w:val="24"/>
          <w:szCs w:val="24"/>
          <w:highlight w:val="none"/>
        </w:rPr>
        <w:t>承包人发现发包人提供的施工设计图纸存在明显错漏或疏忽，应及时书面通知发包人和监理工程师。发包人收到书面通知后应及时予以答复，并通知设计人予以改正。因发包人未及时答复等原因造成承包人损失的，发包人应予赔偿。</w:t>
      </w:r>
    </w:p>
    <w:p>
      <w:pPr>
        <w:shd w:val="clear" w:color="000000" w:fill="auto"/>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5.5  </w:t>
      </w:r>
      <w:r>
        <w:rPr>
          <w:rFonts w:ascii="仿宋" w:hAnsi="仿宋" w:eastAsia="仿宋" w:cs="仿宋"/>
          <w:b/>
          <w:bCs/>
          <w:color w:val="auto"/>
          <w:sz w:val="24"/>
          <w:szCs w:val="24"/>
          <w:highlight w:val="none"/>
          <w:u w:val="dotted"/>
        </w:rPr>
        <w:t xml:space="preserve">                                                                                                       </w:t>
      </w:r>
    </w:p>
    <w:p>
      <w:pPr>
        <w:shd w:val="clear" w:color="000000" w:fill="auto"/>
        <w:tabs>
          <w:tab w:val="left" w:pos="4970"/>
        </w:tabs>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-114300</wp:posOffset>
                </wp:positionH>
                <wp:positionV relativeFrom="paragraph">
                  <wp:posOffset>0</wp:posOffset>
                </wp:positionV>
                <wp:extent cx="914400" cy="648970"/>
                <wp:effectExtent l="0" t="0" r="0" b="0"/>
                <wp:wrapNone/>
                <wp:docPr id="12" name="文本框 13"/>
                <wp:cNvGraphicFramePr/>
                <a:graphic xmlns:a="http://schemas.openxmlformats.org/drawingml/2006/main">
                  <a:graphicData uri="http://schemas.microsoft.com/office/word/2010/wordprocessingShape">
                    <wps:wsp>
                      <wps:cNvSpPr txBox="1"/>
                      <wps:spPr>
                        <a:xfrm>
                          <a:off x="0" y="0"/>
                          <a:ext cx="914400" cy="64897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图纸的使用与退还</w:t>
                            </w:r>
                          </w:p>
                        </w:txbxContent>
                      </wps:txbx>
                      <wps:bodyPr upright="1"/>
                    </wps:wsp>
                  </a:graphicData>
                </a:graphic>
              </wp:anchor>
            </w:drawing>
          </mc:Choice>
          <mc:Fallback>
            <w:pict>
              <v:shape id="文本框 13" o:spid="_x0000_s1026" o:spt="202" type="#_x0000_t202" style="position:absolute;left:0pt;margin-left:-9pt;margin-top:0pt;height:51.1pt;width:72pt;z-index:251670528;mso-width-relative:page;mso-height-relative:page;" filled="f" stroked="f" coordsize="21600,21600" o:gfxdata="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PbKZwHVAAAA&#10;CAEAAA8AAAAAAAAAAQAgAAAAIgAAAGRycy9kb3ducmV2LnhtbFBLAQIUABQAAAAIAIdO4kDUjdUk&#10;rgEAAE8DAAAOAAAAAAAAAAEAIAAAACQBAABkcnMvZTJvRG9jLnhtbFBLBQYAAAAABgAGAFkBAABE&#10;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图纸的使用与退还</w:t>
                      </w:r>
                    </w:p>
                  </w:txbxContent>
                </v:textbox>
              </v:shape>
            </w:pict>
          </mc:Fallback>
        </mc:AlternateContent>
      </w:r>
      <w:r>
        <w:rPr>
          <w:rFonts w:hint="eastAsia" w:ascii="仿宋" w:hAnsi="仿宋" w:eastAsia="仿宋" w:cs="仿宋"/>
          <w:color w:val="auto"/>
          <w:sz w:val="24"/>
          <w:szCs w:val="24"/>
          <w:highlight w:val="none"/>
        </w:rPr>
        <w:t>施工期间，承包人和监理工程师均应在施工现场保留一套完整的包括第</w:t>
      </w:r>
      <w:r>
        <w:rPr>
          <w:rFonts w:ascii="仿宋" w:hAnsi="仿宋" w:eastAsia="仿宋" w:cs="仿宋"/>
          <w:color w:val="auto"/>
          <w:sz w:val="24"/>
          <w:szCs w:val="24"/>
          <w:highlight w:val="none"/>
        </w:rPr>
        <w:t>5.1</w:t>
      </w:r>
      <w:r>
        <w:rPr>
          <w:rFonts w:hint="eastAsia" w:ascii="仿宋" w:hAnsi="仿宋" w:eastAsia="仿宋" w:cs="仿宋"/>
          <w:color w:val="auto"/>
          <w:sz w:val="24"/>
          <w:szCs w:val="24"/>
          <w:highlight w:val="none"/>
        </w:rPr>
        <w:t>款、第</w:t>
      </w:r>
      <w:r>
        <w:rPr>
          <w:rFonts w:ascii="仿宋" w:hAnsi="仿宋" w:eastAsia="仿宋" w:cs="仿宋"/>
          <w:color w:val="auto"/>
          <w:sz w:val="24"/>
          <w:szCs w:val="24"/>
          <w:highlight w:val="none"/>
        </w:rPr>
        <w:t>5.2</w:t>
      </w:r>
      <w:r>
        <w:rPr>
          <w:rFonts w:hint="eastAsia" w:ascii="仿宋" w:hAnsi="仿宋" w:eastAsia="仿宋" w:cs="仿宋"/>
          <w:color w:val="auto"/>
          <w:sz w:val="24"/>
          <w:szCs w:val="24"/>
          <w:highlight w:val="none"/>
        </w:rPr>
        <w:t>款、第</w:t>
      </w:r>
      <w:r>
        <w:rPr>
          <w:rFonts w:ascii="仿宋" w:hAnsi="仿宋" w:eastAsia="仿宋" w:cs="仿宋"/>
          <w:color w:val="auto"/>
          <w:sz w:val="24"/>
          <w:szCs w:val="24"/>
          <w:highlight w:val="none"/>
        </w:rPr>
        <w:t>5.3</w:t>
      </w:r>
      <w:r>
        <w:rPr>
          <w:rFonts w:hint="eastAsia" w:ascii="仿宋" w:hAnsi="仿宋" w:eastAsia="仿宋" w:cs="仿宋"/>
          <w:color w:val="auto"/>
          <w:sz w:val="24"/>
          <w:szCs w:val="24"/>
          <w:highlight w:val="none"/>
        </w:rPr>
        <w:t>款规定内容的施工设计图纸供实施合同工程过程需要时使用。本合同终止后，除承包人存档需要的施工设计图纸外，承包人应将全部施工设计图纸退还给发包人。</w:t>
      </w:r>
    </w:p>
    <w:p>
      <w:pPr>
        <w:shd w:val="clear" w:color="000000" w:fill="auto"/>
        <w:tabs>
          <w:tab w:val="left" w:pos="1620"/>
        </w:tabs>
        <w:spacing w:line="360" w:lineRule="auto"/>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5"/>
        <w:numPr>
          <w:ilvl w:val="0"/>
          <w:numId w:val="0"/>
        </w:numPr>
        <w:shd w:val="clear" w:color="000000" w:fill="auto"/>
        <w:tabs>
          <w:tab w:val="left" w:pos="420"/>
        </w:tabs>
        <w:ind w:left="720"/>
        <w:rPr>
          <w:rFonts w:ascii="仿宋" w:hAnsi="仿宋" w:eastAsia="仿宋"/>
          <w:color w:val="auto"/>
          <w:sz w:val="24"/>
          <w:szCs w:val="24"/>
          <w:highlight w:val="none"/>
        </w:rPr>
      </w:pPr>
      <w:bookmarkStart w:id="126" w:name="_Toc17885"/>
      <w:bookmarkStart w:id="127" w:name="_Toc10624825"/>
      <w:bookmarkStart w:id="128" w:name="_Toc469383985"/>
      <w:r>
        <w:rPr>
          <w:rFonts w:ascii="仿宋" w:hAnsi="仿宋" w:eastAsia="仿宋" w:cs="仿宋"/>
          <w:color w:val="auto"/>
          <w:sz w:val="24"/>
          <w:szCs w:val="24"/>
          <w:highlight w:val="none"/>
        </w:rPr>
        <w:t xml:space="preserve">6  </w:t>
      </w:r>
      <w:r>
        <w:rPr>
          <w:rFonts w:hint="eastAsia" w:ascii="仿宋" w:hAnsi="仿宋" w:eastAsia="仿宋" w:cs="仿宋"/>
          <w:color w:val="auto"/>
          <w:sz w:val="24"/>
          <w:szCs w:val="24"/>
          <w:highlight w:val="none"/>
        </w:rPr>
        <w:t>通讯联络</w:t>
      </w:r>
      <w:bookmarkEnd w:id="126"/>
      <w:bookmarkEnd w:id="127"/>
      <w:bookmarkEnd w:id="128"/>
    </w:p>
    <w:p>
      <w:pPr>
        <w:pStyle w:val="2"/>
        <w:shd w:val="clear" w:color="000000" w:fill="auto"/>
        <w:spacing w:line="360" w:lineRule="auto"/>
        <w:ind w:right="-238"/>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6.1   </w:t>
      </w:r>
    </w:p>
    <w:p>
      <w:pPr>
        <w:shd w:val="clear" w:color="000000" w:fill="auto"/>
        <w:tabs>
          <w:tab w:val="left" w:pos="1620"/>
        </w:tabs>
        <w:spacing w:line="360" w:lineRule="auto"/>
        <w:ind w:left="2156" w:hanging="2156" w:hangingChars="895"/>
        <w:rPr>
          <w:rFonts w:ascii="仿宋" w:hAnsi="仿宋" w:eastAsia="仿宋" w:cs="Times New Roman"/>
          <w:color w:val="auto"/>
          <w:sz w:val="24"/>
          <w:szCs w:val="24"/>
          <w:highlight w:val="none"/>
        </w:rPr>
      </w:pPr>
      <w:r>
        <w:rPr>
          <w:rFonts w:hint="eastAsia" w:ascii="仿宋" w:hAnsi="仿宋" w:eastAsia="仿宋" w:cs="仿宋"/>
          <w:b/>
          <w:bCs/>
          <w:color w:val="auto"/>
          <w:sz w:val="24"/>
          <w:szCs w:val="24"/>
          <w:highlight w:val="none"/>
        </w:rPr>
        <w:t>通讯形式</w:t>
      </w:r>
      <w:r>
        <w:rPr>
          <w:rFonts w:ascii="仿宋" w:hAnsi="仿宋" w:eastAsia="仿宋" w:cs="仿宋"/>
          <w:b/>
          <w:bCs/>
          <w:color w:val="auto"/>
          <w:sz w:val="24"/>
          <w:szCs w:val="24"/>
          <w:highlight w:val="none"/>
        </w:rPr>
        <w:t xml:space="preserve">    </w:t>
      </w:r>
      <w:r>
        <w:rPr>
          <w:rFonts w:hint="eastAsia" w:ascii="仿宋" w:hAnsi="仿宋" w:eastAsia="仿宋" w:cs="仿宋"/>
          <w:b/>
          <w:bCs/>
          <w:color w:val="auto"/>
          <w:sz w:val="24"/>
          <w:szCs w:val="24"/>
          <w:highlight w:val="none"/>
        </w:rPr>
        <w:t xml:space="preserve">     </w:t>
      </w:r>
      <w:r>
        <w:rPr>
          <w:rFonts w:hint="eastAsia" w:ascii="仿宋" w:hAnsi="仿宋" w:eastAsia="仿宋" w:cs="仿宋"/>
          <w:color w:val="auto"/>
          <w:sz w:val="24"/>
          <w:szCs w:val="24"/>
          <w:highlight w:val="none"/>
        </w:rPr>
        <w:t>本合同中无论何处涉及到各方之间的申请、批准、确认、同意、决定、核实、通知、任命、指令、要求、意见、证明、证件或表示同意、否定等的通讯（含派人面交、邮寄、电子传输等），均应采用书面形式，且只有在对方当事人收到后方能生效。</w:t>
      </w:r>
    </w:p>
    <w:p>
      <w:pPr>
        <w:pStyle w:val="2"/>
        <w:shd w:val="clear" w:color="000000" w:fill="auto"/>
        <w:spacing w:line="360" w:lineRule="auto"/>
        <w:ind w:right="-238"/>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6.2  </w:t>
      </w:r>
      <w:r>
        <w:rPr>
          <w:rFonts w:ascii="仿宋" w:hAnsi="仿宋" w:eastAsia="仿宋" w:cs="仿宋"/>
          <w:b/>
          <w:bCs/>
          <w:color w:val="auto"/>
          <w:sz w:val="24"/>
          <w:szCs w:val="24"/>
          <w:highlight w:val="none"/>
          <w:u w:val="dotted"/>
        </w:rPr>
        <w:t xml:space="preserve">                                                                              </w:t>
      </w:r>
    </w:p>
    <w:p>
      <w:pPr>
        <w:pStyle w:val="2"/>
        <w:shd w:val="clear" w:color="000000" w:fill="auto"/>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-114300</wp:posOffset>
                </wp:positionH>
                <wp:positionV relativeFrom="paragraph">
                  <wp:posOffset>0</wp:posOffset>
                </wp:positionV>
                <wp:extent cx="800100" cy="297180"/>
                <wp:effectExtent l="0" t="0" r="0" b="0"/>
                <wp:wrapNone/>
                <wp:docPr id="13" name="文本框 14"/>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发送通讯</w:t>
                            </w:r>
                          </w:p>
                        </w:txbxContent>
                      </wps:txbx>
                      <wps:bodyPr upright="1"/>
                    </wps:wsp>
                  </a:graphicData>
                </a:graphic>
              </wp:anchor>
            </w:drawing>
          </mc:Choice>
          <mc:Fallback>
            <w:pict>
              <v:shape id="文本框 14" o:spid="_x0000_s1026" o:spt="202" type="#_x0000_t202" style="position:absolute;left:0pt;margin-left:-9pt;margin-top:0pt;height:23.4pt;width:63pt;z-index:251671552;mso-width-relative:page;mso-height-relative:page;" filled="f" stroked="f" coordsize="21600,21600" o:gfxdata="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B/O9Pr1AAAAAcB&#10;AAAPAAAAAAAAAAEAIAAAACIAAABkcnMvZG93bnJldi54bWxQSwECFAAUAAAACACHTuJAxcsyEq0B&#10;AABPAwAADgAAAAAAAAABACAAAAAjAQAAZHJzL2Uyb0RvYy54bWxQSwUGAAAAAAYABgBZAQAAQgUA&#10;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发送通讯</w:t>
                      </w:r>
                    </w:p>
                  </w:txbxContent>
                </v:textbox>
              </v:shape>
            </w:pict>
          </mc:Fallback>
        </mc:AlternateContent>
      </w:r>
      <w:r>
        <w:rPr>
          <w:rFonts w:hint="eastAsia" w:ascii="仿宋" w:hAnsi="仿宋" w:eastAsia="仿宋" w:cs="仿宋"/>
          <w:color w:val="auto"/>
          <w:sz w:val="24"/>
          <w:szCs w:val="24"/>
          <w:highlight w:val="none"/>
        </w:rPr>
        <w:t>合同中无论何处涉及到各方之间的通讯都不应无理扣压或拖延。合同双方当事人</w:t>
      </w:r>
    </w:p>
    <w:p>
      <w:pPr>
        <w:pStyle w:val="2"/>
        <w:shd w:val="clear" w:color="000000" w:fill="auto"/>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应在专用条款中约定各方通讯地址和收件人，并按照约定期限内送达指定地点和接收人。</w:t>
      </w:r>
    </w:p>
    <w:p>
      <w:pPr>
        <w:pStyle w:val="2"/>
        <w:shd w:val="clear" w:color="000000" w:fill="auto"/>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收件人应在通讯回执上签署姓名和时间。一方当事人拒绝签收另一方当事人通讯，另一方当事人以特快专递、挂号信等专用条款约定的方式将通讯送至通讯地址的，视为送达。</w:t>
      </w:r>
    </w:p>
    <w:p>
      <w:pPr>
        <w:shd w:val="clear" w:color="000000" w:fill="auto"/>
        <w:adjustRightInd w:val="0"/>
        <w:snapToGrid w:val="0"/>
        <w:spacing w:line="360" w:lineRule="auto"/>
        <w:rPr>
          <w:rFonts w:ascii="仿宋" w:hAnsi="仿宋" w:eastAsia="仿宋" w:cs="Times New Roman"/>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5"/>
        <w:numPr>
          <w:ilvl w:val="0"/>
          <w:numId w:val="0"/>
        </w:numPr>
        <w:shd w:val="clear" w:color="000000" w:fill="auto"/>
        <w:tabs>
          <w:tab w:val="left" w:pos="420"/>
        </w:tabs>
        <w:ind w:left="720"/>
        <w:rPr>
          <w:rFonts w:ascii="仿宋" w:hAnsi="仿宋" w:eastAsia="仿宋"/>
          <w:color w:val="auto"/>
          <w:sz w:val="24"/>
          <w:szCs w:val="24"/>
          <w:highlight w:val="none"/>
        </w:rPr>
      </w:pPr>
      <w:bookmarkStart w:id="129" w:name="_Toc10624826"/>
      <w:bookmarkStart w:id="130" w:name="_Toc469383986"/>
      <w:bookmarkStart w:id="131" w:name="_Toc15501"/>
      <w:r>
        <w:rPr>
          <w:rFonts w:ascii="仿宋" w:hAnsi="仿宋" w:eastAsia="仿宋" w:cs="仿宋"/>
          <w:color w:val="auto"/>
          <w:sz w:val="24"/>
          <w:szCs w:val="24"/>
          <w:highlight w:val="none"/>
        </w:rPr>
        <w:t xml:space="preserve">7  </w:t>
      </w:r>
      <w:r>
        <w:rPr>
          <w:rFonts w:hint="eastAsia" w:ascii="仿宋" w:hAnsi="仿宋" w:eastAsia="仿宋" w:cs="仿宋"/>
          <w:color w:val="auto"/>
          <w:sz w:val="24"/>
          <w:szCs w:val="24"/>
          <w:highlight w:val="none"/>
        </w:rPr>
        <w:t>工程分包</w:t>
      </w:r>
      <w:bookmarkEnd w:id="129"/>
      <w:bookmarkEnd w:id="130"/>
      <w:bookmarkEnd w:id="131"/>
    </w:p>
    <w:p>
      <w:pPr>
        <w:pStyle w:val="2"/>
        <w:shd w:val="clear" w:color="000000" w:fill="auto"/>
        <w:adjustRightInd w:val="0"/>
        <w:snapToGrid w:val="0"/>
        <w:spacing w:line="360" w:lineRule="auto"/>
        <w:rPr>
          <w:rFonts w:ascii="仿宋" w:hAnsi="仿宋" w:eastAsia="仿宋" w:cs="仿宋"/>
          <w:b/>
          <w:bCs/>
          <w:color w:val="auto"/>
          <w:sz w:val="24"/>
          <w:szCs w:val="24"/>
          <w:highlight w:val="none"/>
        </w:rPr>
      </w:pP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-114300</wp:posOffset>
                </wp:positionH>
                <wp:positionV relativeFrom="paragraph">
                  <wp:posOffset>212090</wp:posOffset>
                </wp:positionV>
                <wp:extent cx="1028700" cy="450215"/>
                <wp:effectExtent l="0" t="0" r="0" b="0"/>
                <wp:wrapNone/>
                <wp:docPr id="14" name="文本框 15"/>
                <wp:cNvGraphicFramePr/>
                <a:graphic xmlns:a="http://schemas.openxmlformats.org/drawingml/2006/main">
                  <a:graphicData uri="http://schemas.microsoft.com/office/word/2010/wordprocessingShape">
                    <wps:wsp>
                      <wps:cNvSpPr txBox="1"/>
                      <wps:spPr>
                        <a:xfrm>
                          <a:off x="0" y="0"/>
                          <a:ext cx="1028700" cy="45021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分包工程的要</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求</w:t>
                            </w:r>
                          </w:p>
                        </w:txbxContent>
                      </wps:txbx>
                      <wps:bodyPr upright="1"/>
                    </wps:wsp>
                  </a:graphicData>
                </a:graphic>
              </wp:anchor>
            </w:drawing>
          </mc:Choice>
          <mc:Fallback>
            <w:pict>
              <v:shape id="文本框 15" o:spid="_x0000_s1026" o:spt="202" type="#_x0000_t202" style="position:absolute;left:0pt;margin-left:-9pt;margin-top:16.7pt;height:35.45pt;width:81pt;z-index:251672576;mso-width-relative:page;mso-height-relative:page;" filled="f" stroked="f" coordsize="21600,21600" o:gfxdata="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SdDtV1wAA&#10;AAoBAAAPAAAAAAAAAAEAIAAAACIAAABkcnMvZG93bnJldi54bWxQSwECFAAUAAAACACHTuJAJNur&#10;R60BAABQAwAADgAAAAAAAAABACAAAAAmAQAAZHJzL2Uyb0RvYy54bWxQSwUGAAAAAAYABgBZAQAA&#10;RQ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分包工程的要</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求</w:t>
                      </w:r>
                    </w:p>
                  </w:txbxContent>
                </v:textbox>
              </v:shape>
            </w:pict>
          </mc:Fallback>
        </mc:AlternateContent>
      </w:r>
      <w:r>
        <w:rPr>
          <w:rFonts w:ascii="仿宋" w:hAnsi="仿宋" w:eastAsia="仿宋" w:cs="仿宋"/>
          <w:b/>
          <w:bCs/>
          <w:color w:val="auto"/>
          <w:sz w:val="24"/>
          <w:szCs w:val="24"/>
          <w:highlight w:val="none"/>
        </w:rPr>
        <w:t xml:space="preserve">7.1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承包人应自己实施、完成合同工程的主体结构。承包人不得将其承包的全部工程或将其肢解后以分包的名义转包给第三方，也不得将合同工程主体结构、关键性工作分包给第三方。</w:t>
      </w:r>
    </w:p>
    <w:p>
      <w:pPr>
        <w:pStyle w:val="2"/>
        <w:shd w:val="clear" w:color="000000" w:fill="auto"/>
        <w:adjustRightInd w:val="0"/>
        <w:snapToGrid w:val="0"/>
        <w:spacing w:line="360" w:lineRule="auto"/>
        <w:rPr>
          <w:rFonts w:ascii="仿宋" w:hAnsi="仿宋" w:eastAsia="仿宋" w:cs="仿宋"/>
          <w:b/>
          <w:bCs/>
          <w:color w:val="auto"/>
          <w:sz w:val="24"/>
          <w:szCs w:val="24"/>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-114300</wp:posOffset>
                </wp:positionH>
                <wp:positionV relativeFrom="paragraph">
                  <wp:posOffset>121920</wp:posOffset>
                </wp:positionV>
                <wp:extent cx="1028700" cy="787400"/>
                <wp:effectExtent l="0" t="0" r="0" b="0"/>
                <wp:wrapNone/>
                <wp:docPr id="15" name="文本框 16"/>
                <wp:cNvGraphicFramePr/>
                <a:graphic xmlns:a="http://schemas.openxmlformats.org/drawingml/2006/main">
                  <a:graphicData uri="http://schemas.microsoft.com/office/word/2010/wordprocessingShape">
                    <wps:wsp>
                      <wps:cNvSpPr txBox="1"/>
                      <wps:spPr>
                        <a:xfrm>
                          <a:off x="0" y="0"/>
                          <a:ext cx="1028700" cy="78740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分包工程的批</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准</w:t>
                            </w:r>
                          </w:p>
                        </w:txbxContent>
                      </wps:txbx>
                      <wps:bodyPr upright="1"/>
                    </wps:wsp>
                  </a:graphicData>
                </a:graphic>
              </wp:anchor>
            </w:drawing>
          </mc:Choice>
          <mc:Fallback>
            <w:pict>
              <v:shape id="文本框 16" o:spid="_x0000_s1026" o:spt="202" type="#_x0000_t202" style="position:absolute;left:0pt;margin-left:-9pt;margin-top:9.6pt;height:62pt;width:81pt;z-index:251673600;mso-width-relative:page;mso-height-relative:page;" filled="f" stroked="f" coordsize="21600,21600" o:gfxdata="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OM4tS/XAAAA&#10;CgEAAA8AAAAAAAAAAQAgAAAAIgAAAGRycy9kb3ducmV2LnhtbFBLAQIUABQAAAAIAIdO4kAkZouV&#10;rAEAAFADAAAOAAAAAAAAAAEAIAAAACYBAABkcnMvZTJvRG9jLnhtbFBLBQYAAAAABgAGAFkBAABE&#10;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分包工程的批</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准</w:t>
                      </w:r>
                    </w:p>
                  </w:txbxContent>
                </v:textbox>
              </v:shape>
            </w:pict>
          </mc:Fallback>
        </mc:AlternateContent>
      </w:r>
      <w:r>
        <w:rPr>
          <w:rFonts w:ascii="仿宋" w:hAnsi="仿宋" w:eastAsia="仿宋" w:cs="仿宋"/>
          <w:b/>
          <w:bCs/>
          <w:color w:val="auto"/>
          <w:sz w:val="24"/>
          <w:szCs w:val="24"/>
          <w:highlight w:val="none"/>
        </w:rPr>
        <w:t xml:space="preserve">7.2  </w:t>
      </w:r>
      <w:r>
        <w:rPr>
          <w:rFonts w:ascii="仿宋" w:hAnsi="仿宋" w:eastAsia="仿宋" w:cs="仿宋"/>
          <w:b/>
          <w:bCs/>
          <w:color w:val="auto"/>
          <w:sz w:val="24"/>
          <w:szCs w:val="24"/>
          <w:highlight w:val="none"/>
          <w:u w:val="dotted"/>
        </w:rPr>
        <w:t xml:space="preserve">                                                                              </w:t>
      </w:r>
      <w:r>
        <w:rPr>
          <w:rFonts w:ascii="仿宋" w:hAnsi="仿宋" w:eastAsia="仿宋" w:cs="仿宋"/>
          <w:b/>
          <w:bCs/>
          <w:color w:val="auto"/>
          <w:sz w:val="24"/>
          <w:szCs w:val="24"/>
          <w:highlight w:val="none"/>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在经发包人书面同意的前提下，承包人可依法将部分工程分包给具有相应分包资质的分包人，但未经发包人同意，承包人不得将工程的任何部分或任何工作分包给第三方。下列情况则属例外：</w:t>
      </w:r>
    </w:p>
    <w:p>
      <w:pPr>
        <w:pStyle w:val="2"/>
        <w:numPr>
          <w:ilvl w:val="0"/>
          <w:numId w:val="3"/>
        </w:numPr>
        <w:shd w:val="clear" w:color="000000" w:fill="auto"/>
        <w:adjustRightInd w:val="0"/>
        <w:snapToGrid w:val="0"/>
        <w:spacing w:line="360" w:lineRule="auto"/>
        <w:ind w:firstLine="54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施工劳务作业分包；</w:t>
      </w:r>
    </w:p>
    <w:p>
      <w:pPr>
        <w:pStyle w:val="2"/>
        <w:numPr>
          <w:ilvl w:val="0"/>
          <w:numId w:val="3"/>
        </w:numPr>
        <w:shd w:val="clear" w:color="000000" w:fill="auto"/>
        <w:adjustRightInd w:val="0"/>
        <w:snapToGrid w:val="0"/>
        <w:spacing w:line="360" w:lineRule="auto"/>
        <w:ind w:firstLine="54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按照合同约定的标准购买材料和工程设备；</w:t>
      </w:r>
    </w:p>
    <w:p>
      <w:pPr>
        <w:pStyle w:val="2"/>
        <w:numPr>
          <w:ilvl w:val="0"/>
          <w:numId w:val="3"/>
        </w:numPr>
        <w:shd w:val="clear" w:color="000000" w:fill="auto"/>
        <w:adjustRightInd w:val="0"/>
        <w:snapToGrid w:val="0"/>
        <w:spacing w:line="360" w:lineRule="auto"/>
        <w:ind w:left="1077" w:firstLine="539"/>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合同中已指定的分包工程。</w:t>
      </w:r>
    </w:p>
    <w:p>
      <w:pPr>
        <w:pStyle w:val="2"/>
        <w:shd w:val="clear" w:color="000000" w:fill="auto"/>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7.3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-114300</wp:posOffset>
                </wp:positionH>
                <wp:positionV relativeFrom="paragraph">
                  <wp:posOffset>0</wp:posOffset>
                </wp:positionV>
                <wp:extent cx="1028700" cy="305435"/>
                <wp:effectExtent l="0" t="0" r="0" b="0"/>
                <wp:wrapNone/>
                <wp:docPr id="16" name="文本框 17"/>
                <wp:cNvGraphicFramePr/>
                <a:graphic xmlns:a="http://schemas.openxmlformats.org/drawingml/2006/main">
                  <a:graphicData uri="http://schemas.microsoft.com/office/word/2010/wordprocessingShape">
                    <wps:wsp>
                      <wps:cNvSpPr txBox="1"/>
                      <wps:spPr>
                        <a:xfrm>
                          <a:off x="0" y="0"/>
                          <a:ext cx="1028700" cy="30543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签订分包合同</w:t>
                            </w:r>
                          </w:p>
                        </w:txbxContent>
                      </wps:txbx>
                      <wps:bodyPr upright="1"/>
                    </wps:wsp>
                  </a:graphicData>
                </a:graphic>
              </wp:anchor>
            </w:drawing>
          </mc:Choice>
          <mc:Fallback>
            <w:pict>
              <v:shape id="文本框 17" o:spid="_x0000_s1026" o:spt="202" type="#_x0000_t202" style="position:absolute;left:0pt;margin-left:-9pt;margin-top:0pt;height:24.05pt;width:81pt;z-index:251674624;mso-width-relative:page;mso-height-relative:page;" filled="f" stroked="f" coordsize="21600,21600" o:gfxdata="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iJN+cNQAAAAH&#10;AQAADwAAAAAAAAABACAAAAAiAAAAZHJzL2Rvd25yZXYueG1sUEsBAhQAFAAAAAgAh07iQODpqMCu&#10;AQAAUAMAAA4AAAAAAAAAAQAgAAAAIwEAAGRycy9lMm9Eb2MueG1sUEsFBgAAAAAGAAYAWQEAAEMF&#10;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签订分包合同</w:t>
                      </w:r>
                    </w:p>
                  </w:txbxContent>
                </v:textbox>
              </v:shape>
            </w:pict>
          </mc:Fallback>
        </mc:AlternateContent>
      </w:r>
      <w:r>
        <w:rPr>
          <w:rFonts w:hint="eastAsia" w:ascii="仿宋" w:hAnsi="仿宋" w:eastAsia="仿宋" w:cs="仿宋"/>
          <w:color w:val="auto"/>
          <w:sz w:val="24"/>
          <w:szCs w:val="24"/>
          <w:highlight w:val="none"/>
        </w:rPr>
        <w:t>承包人分包工程的，应与分包人签订分包合同，并在分包合同签订后的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天内向发包人和监理工程师、造价工程师各提交一份分包合同。承包人有义务禁止分包人将分包工程再次分包。</w:t>
      </w:r>
    </w:p>
    <w:p>
      <w:pPr>
        <w:pStyle w:val="2"/>
        <w:shd w:val="clear" w:color="000000" w:fill="auto"/>
        <w:adjustRightInd w:val="0"/>
        <w:snapToGrid w:val="0"/>
        <w:spacing w:line="360" w:lineRule="auto"/>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-114300</wp:posOffset>
                </wp:positionH>
                <wp:positionV relativeFrom="paragraph">
                  <wp:posOffset>202565</wp:posOffset>
                </wp:positionV>
                <wp:extent cx="914400" cy="495300"/>
                <wp:effectExtent l="0" t="0" r="0" b="0"/>
                <wp:wrapNone/>
                <wp:docPr id="17" name="文本框 18"/>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分包工程款结算与支付</w:t>
                            </w:r>
                          </w:p>
                        </w:txbxContent>
                      </wps:txbx>
                      <wps:bodyPr upright="1"/>
                    </wps:wsp>
                  </a:graphicData>
                </a:graphic>
              </wp:anchor>
            </w:drawing>
          </mc:Choice>
          <mc:Fallback>
            <w:pict>
              <v:shape id="文本框 18" o:spid="_x0000_s1026" o:spt="202" type="#_x0000_t202" style="position:absolute;left:0pt;margin-left:-9pt;margin-top:15.95pt;height:39pt;width:72pt;z-index:251675648;mso-width-relative:page;mso-height-relative:page;" filled="f" stroked="f" coordsize="21600,21600" o:gfxdata="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ogFcj1wAA&#10;AAoBAAAPAAAAAAAAAAEAIAAAACIAAABkcnMvZG93bnJldi54bWxQSwECFAAUAAAACACHTuJAzGJo&#10;ka0BAABPAwAADgAAAAAAAAABACAAAAAmAQAAZHJzL2Uyb0RvYy54bWxQSwUGAAAAAAYABgBZAQAA&#10;RQ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分包工程款结算与支付</w:t>
                      </w:r>
                    </w:p>
                  </w:txbxContent>
                </v:textbox>
              </v:shape>
            </w:pict>
          </mc:Fallback>
        </mc:AlternateContent>
      </w:r>
      <w:r>
        <w:rPr>
          <w:rFonts w:ascii="仿宋" w:hAnsi="仿宋" w:eastAsia="仿宋" w:cs="仿宋"/>
          <w:b/>
          <w:bCs/>
          <w:color w:val="auto"/>
          <w:sz w:val="24"/>
          <w:szCs w:val="24"/>
          <w:highlight w:val="none"/>
        </w:rPr>
        <w:t xml:space="preserve">7.4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分包工程款由承包人与分包人结算。除合同另有约定或取得承包人的同意外，发包人应将分包工程款按专用条款约定的支付方式全部支付给承包人，禁止发包人直接向分包人支付任何工程款。</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如发包人有要求时，承包人应提供能证明自己已向分包人支付其分包工程款等证明资料。否则，发包人有权直接向分包人支付承包人应支付而未支付的分包工程款，并在承包人得到的工程款中扣除。</w:t>
      </w:r>
    </w:p>
    <w:p>
      <w:pPr>
        <w:pStyle w:val="2"/>
        <w:shd w:val="clear" w:color="000000" w:fill="auto"/>
        <w:adjustRightInd w:val="0"/>
        <w:snapToGrid w:val="0"/>
        <w:spacing w:line="360" w:lineRule="auto"/>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-114300</wp:posOffset>
                </wp:positionH>
                <wp:positionV relativeFrom="paragraph">
                  <wp:posOffset>205105</wp:posOffset>
                </wp:positionV>
                <wp:extent cx="914400" cy="495300"/>
                <wp:effectExtent l="0" t="0" r="0" b="0"/>
                <wp:wrapNone/>
                <wp:docPr id="18" name="文本框 19"/>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分包工程责任和义务</w:t>
                            </w:r>
                          </w:p>
                        </w:txbxContent>
                      </wps:txbx>
                      <wps:bodyPr upright="1"/>
                    </wps:wsp>
                  </a:graphicData>
                </a:graphic>
              </wp:anchor>
            </w:drawing>
          </mc:Choice>
          <mc:Fallback>
            <w:pict>
              <v:shape id="文本框 19" o:spid="_x0000_s1026" o:spt="202" type="#_x0000_t202" style="position:absolute;left:0pt;margin-left:-9pt;margin-top:16.15pt;height:39pt;width:72pt;z-index:251676672;mso-width-relative:page;mso-height-relative:page;" filled="f" stroked="f" coordsize="21600,21600" o:gfxdata="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JBw+3LXAAAA&#10;CgEAAA8AAAAAAAAAAQAgAAAAIgAAAGRycy9kb3ducmV2LnhtbFBLAQIUABQAAAAIAIdO4kBP6NY0&#10;rAEAAE8DAAAOAAAAAAAAAAEAIAAAACYBAABkcnMvZTJvRG9jLnhtbFBLBQYAAAAABgAGAFkBAABE&#10;BQAAAAA=&#10;">
                <v:fill on="f" focussize="0,0"/>
                <v:stroke on="f"/>
                <v:imagedata o:title=""/>
                <o:lock v:ext="edit" aspectratio="f"/>
                <v:textbo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分包工程责任和义务</w:t>
                      </w:r>
                    </w:p>
                  </w:txbxContent>
                </v:textbox>
              </v:shape>
            </w:pict>
          </mc:Fallback>
        </mc:AlternateContent>
      </w:r>
      <w:r>
        <w:rPr>
          <w:rFonts w:ascii="仿宋" w:hAnsi="仿宋" w:eastAsia="仿宋" w:cs="仿宋"/>
          <w:b/>
          <w:bCs/>
          <w:color w:val="auto"/>
          <w:sz w:val="24"/>
          <w:szCs w:val="24"/>
          <w:highlight w:val="none"/>
        </w:rPr>
        <w:t xml:space="preserve">7.5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工程分包不能免除承包人应承担的任何责任和应履行的任何义务。承包人应在分包场地派驻相应管理人员保证本合同的履行。</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分包人应对分包工程负责。分包人的任何违约行为或疏忽导致工程损坏、损害或给发包人造成损失的，承包人应承担连带责任。</w:t>
      </w:r>
    </w:p>
    <w:p>
      <w:pPr>
        <w:pStyle w:val="2"/>
        <w:shd w:val="clear" w:color="000000" w:fill="auto"/>
        <w:adjustRightInd w:val="0"/>
        <w:snapToGrid w:val="0"/>
        <w:spacing w:line="360" w:lineRule="auto"/>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677696" behindDoc="0" locked="0" layoutInCell="1" allowOverlap="1">
                <wp:simplePos x="0" y="0"/>
                <wp:positionH relativeFrom="column">
                  <wp:posOffset>-114300</wp:posOffset>
                </wp:positionH>
                <wp:positionV relativeFrom="paragraph">
                  <wp:posOffset>229235</wp:posOffset>
                </wp:positionV>
                <wp:extent cx="914400" cy="280035"/>
                <wp:effectExtent l="0" t="0" r="0" b="0"/>
                <wp:wrapNone/>
                <wp:docPr id="19" name="文本框 20"/>
                <wp:cNvGraphicFramePr/>
                <a:graphic xmlns:a="http://schemas.openxmlformats.org/drawingml/2006/main">
                  <a:graphicData uri="http://schemas.microsoft.com/office/word/2010/wordprocessingShape">
                    <wps:wsp>
                      <wps:cNvSpPr txBox="1"/>
                      <wps:spPr>
                        <a:xfrm>
                          <a:off x="0" y="0"/>
                          <a:ext cx="914400" cy="28003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分包合同终止</w:t>
                            </w:r>
                          </w:p>
                        </w:txbxContent>
                      </wps:txbx>
                      <wps:bodyPr upright="1"/>
                    </wps:wsp>
                  </a:graphicData>
                </a:graphic>
              </wp:anchor>
            </w:drawing>
          </mc:Choice>
          <mc:Fallback>
            <w:pict>
              <v:shape id="文本框 20" o:spid="_x0000_s1026" o:spt="202" type="#_x0000_t202" style="position:absolute;left:0pt;margin-left:-9pt;margin-top:18.05pt;height:22.05pt;width:72pt;z-index:251677696;mso-width-relative:page;mso-height-relative:page;" filled="f" stroked="f" coordsize="21600,21600" o:gfxdata="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HMcytYAAAAJ&#10;AQAADwAAAAAAAAABACAAAAAiAAAAZHJzL2Rvd25yZXYueG1sUEsBAhQAFAAAAAgAh07iQFIaJdms&#10;AQAATwMAAA4AAAAAAAAAAQAgAAAAJQEAAGRycy9lMm9Eb2MueG1sUEsFBgAAAAAGAAYAWQEAAEMF&#10;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分包合同终止</w:t>
                      </w:r>
                    </w:p>
                  </w:txbxContent>
                </v:textbox>
              </v:shape>
            </w:pict>
          </mc:Fallback>
        </mc:AlternateContent>
      </w:r>
      <w:r>
        <w:rPr>
          <w:rFonts w:ascii="仿宋" w:hAnsi="仿宋" w:eastAsia="仿宋" w:cs="仿宋"/>
          <w:b/>
          <w:bCs/>
          <w:color w:val="auto"/>
          <w:sz w:val="24"/>
          <w:szCs w:val="24"/>
          <w:highlight w:val="none"/>
        </w:rPr>
        <w:t xml:space="preserve">7.6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无论何种原因，当本合同终止时，分包人与承包人签订的分包合同也随即终止。承包人应在本合同终止前向分包人支付分包人应得所有款项。</w:t>
      </w:r>
    </w:p>
    <w:p>
      <w:pPr>
        <w:pStyle w:val="2"/>
        <w:shd w:val="clear" w:color="000000" w:fill="auto"/>
        <w:tabs>
          <w:tab w:val="left" w:pos="1260"/>
        </w:tabs>
        <w:adjustRightInd w:val="0"/>
        <w:snapToGrid w:val="0"/>
        <w:spacing w:before="120" w:beforeLines="50"/>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u w:val="single"/>
        </w:rPr>
        <w:t xml:space="preserve">                                                                                                             </w:t>
      </w:r>
    </w:p>
    <w:p>
      <w:pPr>
        <w:pStyle w:val="5"/>
        <w:numPr>
          <w:ilvl w:val="0"/>
          <w:numId w:val="0"/>
        </w:numPr>
        <w:shd w:val="clear" w:color="000000" w:fill="auto"/>
        <w:tabs>
          <w:tab w:val="left" w:pos="420"/>
        </w:tabs>
        <w:ind w:left="720"/>
        <w:rPr>
          <w:rFonts w:ascii="仿宋" w:hAnsi="仿宋" w:eastAsia="仿宋"/>
          <w:color w:val="auto"/>
          <w:sz w:val="24"/>
          <w:szCs w:val="24"/>
          <w:highlight w:val="none"/>
        </w:rPr>
      </w:pPr>
      <w:bookmarkStart w:id="132" w:name="_Toc469383987"/>
      <w:bookmarkStart w:id="133" w:name="_Toc10624827"/>
      <w:bookmarkStart w:id="134" w:name="_Toc5385"/>
      <w:r>
        <w:rPr>
          <w:rFonts w:ascii="仿宋" w:hAnsi="仿宋" w:eastAsia="仿宋" w:cs="仿宋"/>
          <w:color w:val="auto"/>
          <w:sz w:val="24"/>
          <w:szCs w:val="24"/>
          <w:highlight w:val="none"/>
        </w:rPr>
        <w:t xml:space="preserve">8  </w:t>
      </w:r>
      <w:r>
        <w:rPr>
          <w:rFonts w:hint="eastAsia" w:ascii="仿宋" w:hAnsi="仿宋" w:eastAsia="仿宋" w:cs="仿宋"/>
          <w:color w:val="auto"/>
          <w:sz w:val="24"/>
          <w:szCs w:val="24"/>
          <w:highlight w:val="none"/>
        </w:rPr>
        <w:t>现场查勘</w:t>
      </w:r>
      <w:bookmarkEnd w:id="132"/>
      <w:bookmarkEnd w:id="133"/>
      <w:bookmarkEnd w:id="134"/>
    </w:p>
    <w:p>
      <w:pPr>
        <w:pStyle w:val="2"/>
        <w:shd w:val="clear" w:color="000000" w:fill="auto"/>
        <w:adjustRightInd w:val="0"/>
        <w:snapToGrid w:val="0"/>
        <w:spacing w:line="360" w:lineRule="auto"/>
        <w:rPr>
          <w:rFonts w:ascii="仿宋" w:hAnsi="仿宋" w:eastAsia="仿宋" w:cs="仿宋"/>
          <w:b/>
          <w:bCs/>
          <w:color w:val="auto"/>
          <w:sz w:val="24"/>
          <w:szCs w:val="24"/>
          <w:highlight w:val="none"/>
        </w:rPr>
      </w:pPr>
      <w:r>
        <w:rPr>
          <w:color w:val="auto"/>
          <w:highlight w:val="none"/>
        </w:rPr>
        <mc:AlternateContent>
          <mc:Choice Requires="wps">
            <w:drawing>
              <wp:anchor distT="0" distB="0" distL="114300" distR="114300" simplePos="0" relativeHeight="251678720" behindDoc="0" locked="0" layoutInCell="1" allowOverlap="1">
                <wp:simplePos x="0" y="0"/>
                <wp:positionH relativeFrom="column">
                  <wp:posOffset>-114300</wp:posOffset>
                </wp:positionH>
                <wp:positionV relativeFrom="paragraph">
                  <wp:posOffset>236855</wp:posOffset>
                </wp:positionV>
                <wp:extent cx="914400" cy="495300"/>
                <wp:effectExtent l="0" t="0" r="0" b="0"/>
                <wp:wrapNone/>
                <wp:docPr id="20" name="文本框 21"/>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spacing w:line="20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发包人提供资料的责任</w:t>
                            </w:r>
                          </w:p>
                        </w:txbxContent>
                      </wps:txbx>
                      <wps:bodyPr upright="1"/>
                    </wps:wsp>
                  </a:graphicData>
                </a:graphic>
              </wp:anchor>
            </w:drawing>
          </mc:Choice>
          <mc:Fallback>
            <w:pict>
              <v:shape id="文本框 21" o:spid="_x0000_s1026" o:spt="202" type="#_x0000_t202" style="position:absolute;left:0pt;margin-left:-9pt;margin-top:18.65pt;height:39pt;width:72pt;z-index:251678720;mso-width-relative:page;mso-height-relative:page;" filled="f" stroked="f" coordsize="21600,21600" o:gfxdata="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moEmP2AAA&#10;AAoBAAAPAAAAAAAAAAEAIAAAACIAAABkcnMvZG93bnJldi54bWxQSwECFAAUAAAACACHTuJAr1W9&#10;DKwBAABPAwAADgAAAAAAAAABACAAAAAnAQAAZHJzL2Uyb0RvYy54bWxQSwUGAAAAAAYABgBZAQAA&#10;RQUAAAAA&#10;">
                <v:fill on="f" focussize="0,0"/>
                <v:stroke on="f"/>
                <v:imagedata o:title=""/>
                <o:lock v:ext="edit" aspectratio="f"/>
                <v:textbox>
                  <w:txbxContent>
                    <w:p>
                      <w:pPr>
                        <w:spacing w:line="20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发包人提供资料的责任</w:t>
                      </w:r>
                    </w:p>
                  </w:txbxContent>
                </v:textbox>
              </v:shape>
            </w:pict>
          </mc:Fallback>
        </mc:AlternateContent>
      </w:r>
      <w:r>
        <w:rPr>
          <w:rFonts w:ascii="仿宋" w:hAnsi="仿宋" w:eastAsia="仿宋" w:cs="仿宋"/>
          <w:b/>
          <w:bCs/>
          <w:color w:val="auto"/>
          <w:sz w:val="24"/>
          <w:szCs w:val="24"/>
          <w:highlight w:val="none"/>
        </w:rPr>
        <w:t xml:space="preserve">8.1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发包人应按照第</w:t>
      </w:r>
      <w:r>
        <w:rPr>
          <w:rFonts w:ascii="仿宋" w:hAnsi="仿宋" w:eastAsia="仿宋" w:cs="仿宋"/>
          <w:color w:val="auto"/>
          <w:sz w:val="24"/>
          <w:szCs w:val="24"/>
          <w:highlight w:val="none"/>
        </w:rPr>
        <w:t>19.2</w:t>
      </w:r>
      <w:r>
        <w:rPr>
          <w:rFonts w:hint="eastAsia" w:ascii="仿宋" w:hAnsi="仿宋" w:eastAsia="仿宋" w:cs="仿宋"/>
          <w:color w:val="auto"/>
          <w:sz w:val="24"/>
          <w:szCs w:val="24"/>
          <w:highlight w:val="none"/>
        </w:rPr>
        <w:t>款第（</w:t>
      </w:r>
      <w:r>
        <w:rPr>
          <w:rFonts w:ascii="仿宋" w:hAnsi="仿宋" w:eastAsia="仿宋" w:cs="仿宋"/>
          <w:color w:val="auto"/>
          <w:sz w:val="24"/>
          <w:szCs w:val="24"/>
          <w:highlight w:val="none"/>
        </w:rPr>
        <w:t>4</w:t>
      </w:r>
      <w:r>
        <w:rPr>
          <w:rFonts w:hint="eastAsia" w:ascii="仿宋" w:hAnsi="仿宋" w:eastAsia="仿宋" w:cs="仿宋"/>
          <w:color w:val="auto"/>
          <w:sz w:val="24"/>
          <w:szCs w:val="24"/>
          <w:highlight w:val="none"/>
        </w:rPr>
        <w:t>）点规定向承包人提供有关资料。此资料作为招标文件的组成部分，与招标文件一并发布。发包人对其提供的上述资料的真实性、准确性和完整性负责。因发包人提供上述资料错误导致承包人发生损失的，发包人应承担由此增加的费用和（或）延误的工期，并向承包人支付合理利润。</w:t>
      </w:r>
    </w:p>
    <w:p>
      <w:pPr>
        <w:pStyle w:val="2"/>
        <w:shd w:val="clear" w:color="000000" w:fill="auto"/>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8.2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679744" behindDoc="0" locked="0" layoutInCell="1" allowOverlap="1">
                <wp:simplePos x="0" y="0"/>
                <wp:positionH relativeFrom="column">
                  <wp:posOffset>-114300</wp:posOffset>
                </wp:positionH>
                <wp:positionV relativeFrom="paragraph">
                  <wp:posOffset>0</wp:posOffset>
                </wp:positionV>
                <wp:extent cx="914400" cy="500380"/>
                <wp:effectExtent l="0" t="0" r="0" b="0"/>
                <wp:wrapNone/>
                <wp:docPr id="21" name="文本框 22"/>
                <wp:cNvGraphicFramePr/>
                <a:graphic xmlns:a="http://schemas.openxmlformats.org/drawingml/2006/main">
                  <a:graphicData uri="http://schemas.microsoft.com/office/word/2010/wordprocessingShape">
                    <wps:wsp>
                      <wps:cNvSpPr txBox="1"/>
                      <wps:spPr>
                        <a:xfrm>
                          <a:off x="0" y="0"/>
                          <a:ext cx="914400" cy="500380"/>
                        </a:xfrm>
                        <a:prstGeom prst="rect">
                          <a:avLst/>
                        </a:prstGeom>
                        <a:noFill/>
                        <a:ln>
                          <a:noFill/>
                        </a:ln>
                      </wps:spPr>
                      <wps:txb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承包人现场查勘</w:t>
                            </w:r>
                          </w:p>
                        </w:txbxContent>
                      </wps:txbx>
                      <wps:bodyPr upright="1"/>
                    </wps:wsp>
                  </a:graphicData>
                </a:graphic>
              </wp:anchor>
            </w:drawing>
          </mc:Choice>
          <mc:Fallback>
            <w:pict>
              <v:shape id="文本框 22" o:spid="_x0000_s1026" o:spt="202" type="#_x0000_t202" style="position:absolute;left:0pt;margin-left:-9pt;margin-top:0pt;height:39.4pt;width:72pt;z-index:251679744;mso-width-relative:page;mso-height-relative:page;" filled="f" stroked="f" coordsize="21600,21600" o:gfxdata="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FaYpR9QAAAAH&#10;AQAADwAAAAAAAAABACAAAAAiAAAAZHJzL2Rvd25yZXYueG1sUEsBAhQAFAAAAAgAh07iQIGEKVKu&#10;AQAATwMAAA4AAAAAAAAAAQAgAAAAIwEAAGRycy9lMm9Eb2MueG1sUEsFBgAAAAAGAAYAWQEAAEMF&#10;AAAAAA==&#10;">
                <v:fill on="f" focussize="0,0"/>
                <v:stroke on="f"/>
                <v:imagedata o:title=""/>
                <o:lock v:ext="edit" aspectratio="f"/>
                <v:textbo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承包人现场查勘</w:t>
                      </w:r>
                    </w:p>
                  </w:txbxContent>
                </v:textbox>
              </v:shape>
            </w:pict>
          </mc:Fallback>
        </mc:AlternateContent>
      </w:r>
      <w:r>
        <w:rPr>
          <w:rFonts w:hint="eastAsia" w:ascii="仿宋" w:hAnsi="仿宋" w:eastAsia="仿宋" w:cs="仿宋"/>
          <w:color w:val="auto"/>
          <w:sz w:val="24"/>
          <w:szCs w:val="24"/>
          <w:highlight w:val="none"/>
        </w:rPr>
        <w:t>承包人应依据发包人按照第</w:t>
      </w:r>
      <w:r>
        <w:rPr>
          <w:rFonts w:ascii="仿宋" w:hAnsi="仿宋" w:eastAsia="仿宋" w:cs="仿宋"/>
          <w:color w:val="auto"/>
          <w:sz w:val="24"/>
          <w:szCs w:val="24"/>
          <w:highlight w:val="none"/>
        </w:rPr>
        <w:t>19.2</w:t>
      </w:r>
      <w:r>
        <w:rPr>
          <w:rFonts w:hint="eastAsia" w:ascii="仿宋" w:hAnsi="仿宋" w:eastAsia="仿宋" w:cs="仿宋"/>
          <w:color w:val="auto"/>
          <w:sz w:val="24"/>
          <w:szCs w:val="24"/>
          <w:highlight w:val="none"/>
        </w:rPr>
        <w:t>款第（</w:t>
      </w:r>
      <w:r>
        <w:rPr>
          <w:rFonts w:ascii="仿宋" w:hAnsi="仿宋" w:eastAsia="仿宋" w:cs="仿宋"/>
          <w:color w:val="auto"/>
          <w:sz w:val="24"/>
          <w:szCs w:val="24"/>
          <w:highlight w:val="none"/>
        </w:rPr>
        <w:t>4</w:t>
      </w:r>
      <w:r>
        <w:rPr>
          <w:rFonts w:hint="eastAsia" w:ascii="仿宋" w:hAnsi="仿宋" w:eastAsia="仿宋" w:cs="仿宋"/>
          <w:color w:val="auto"/>
          <w:sz w:val="24"/>
          <w:szCs w:val="24"/>
          <w:highlight w:val="none"/>
        </w:rPr>
        <w:t>）点规定提供的资料和自己对现场查勘来编制投标文件，并对发包人提供上述资料的理解、推断和应用负责。</w:t>
      </w:r>
      <w:r>
        <w:rPr>
          <w:rFonts w:ascii="仿宋" w:hAnsi="仿宋" w:eastAsia="仿宋" w:cs="仿宋"/>
          <w:color w:val="auto"/>
          <w:sz w:val="24"/>
          <w:szCs w:val="24"/>
          <w:highlight w:val="none"/>
        </w:rPr>
        <w:t>因承包人未能充分查勘、了解</w:t>
      </w:r>
      <w:r>
        <w:rPr>
          <w:rFonts w:hint="eastAsia" w:ascii="仿宋" w:hAnsi="仿宋" w:eastAsia="仿宋" w:cs="仿宋"/>
          <w:color w:val="auto"/>
          <w:sz w:val="24"/>
          <w:szCs w:val="24"/>
          <w:highlight w:val="none"/>
        </w:rPr>
        <w:t>以下</w:t>
      </w:r>
      <w:r>
        <w:rPr>
          <w:rFonts w:ascii="仿宋" w:hAnsi="仿宋" w:eastAsia="仿宋" w:cs="仿宋"/>
          <w:color w:val="auto"/>
          <w:sz w:val="24"/>
          <w:szCs w:val="24"/>
          <w:highlight w:val="none"/>
        </w:rPr>
        <w:t>情况或未能充分估计</w:t>
      </w:r>
      <w:r>
        <w:rPr>
          <w:rFonts w:hint="eastAsia" w:ascii="仿宋" w:hAnsi="仿宋" w:eastAsia="仿宋" w:cs="仿宋"/>
          <w:color w:val="auto"/>
          <w:sz w:val="24"/>
          <w:szCs w:val="24"/>
          <w:highlight w:val="none"/>
        </w:rPr>
        <w:t>以下</w:t>
      </w:r>
      <w:r>
        <w:rPr>
          <w:rFonts w:ascii="仿宋" w:hAnsi="仿宋" w:eastAsia="仿宋" w:cs="仿宋"/>
          <w:color w:val="auto"/>
          <w:sz w:val="24"/>
          <w:szCs w:val="24"/>
          <w:highlight w:val="none"/>
        </w:rPr>
        <w:t>情况所可能产生后果的，承包人承担由此增加的费用和（或）延误的工期。</w:t>
      </w:r>
      <w:r>
        <w:rPr>
          <w:rFonts w:hint="eastAsia" w:ascii="仿宋" w:hAnsi="仿宋" w:eastAsia="仿宋" w:cs="仿宋"/>
          <w:color w:val="auto"/>
          <w:sz w:val="24"/>
          <w:szCs w:val="24"/>
          <w:highlight w:val="none"/>
        </w:rPr>
        <w:t>承包人的投标文件应被认为已经考虑了现场及其周围环境的影响，包括但不限于以下内容：</w:t>
      </w:r>
    </w:p>
    <w:p>
      <w:pPr>
        <w:pStyle w:val="2"/>
        <w:shd w:val="clear" w:color="000000" w:fill="auto"/>
        <w:adjustRightInd w:val="0"/>
        <w:snapToGrid w:val="0"/>
        <w:spacing w:line="360" w:lineRule="auto"/>
        <w:ind w:left="1619"/>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）现场地质情况及地形地貌特征；</w:t>
      </w:r>
    </w:p>
    <w:p>
      <w:pPr>
        <w:pStyle w:val="2"/>
        <w:shd w:val="clear" w:color="000000" w:fill="auto"/>
        <w:adjustRightInd w:val="0"/>
        <w:snapToGrid w:val="0"/>
        <w:spacing w:line="360" w:lineRule="auto"/>
        <w:ind w:left="1619"/>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（2）水文和气候条件；</w:t>
      </w:r>
    </w:p>
    <w:p>
      <w:pPr>
        <w:pStyle w:val="2"/>
        <w:shd w:val="clear" w:color="000000" w:fill="auto"/>
        <w:adjustRightInd w:val="0"/>
        <w:snapToGrid w:val="0"/>
        <w:spacing w:line="360" w:lineRule="auto"/>
        <w:ind w:left="1619"/>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（3）为实施、完成并保修合同工程所需的临时工程和措施项目；</w:t>
      </w:r>
    </w:p>
    <w:p>
      <w:pPr>
        <w:pStyle w:val="2"/>
        <w:shd w:val="clear" w:color="000000" w:fill="auto"/>
        <w:tabs>
          <w:tab w:val="left" w:pos="2580"/>
        </w:tabs>
        <w:adjustRightInd w:val="0"/>
        <w:snapToGrid w:val="0"/>
        <w:spacing w:line="360" w:lineRule="auto"/>
        <w:ind w:left="1619"/>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（4）为实施、完成并保修合同工程所需的材料采购和加工、设备的采购，及所需的施工设备、周转性材料、人员和管理等；</w:t>
      </w:r>
    </w:p>
    <w:p>
      <w:pPr>
        <w:pStyle w:val="2"/>
        <w:shd w:val="clear" w:color="000000" w:fill="auto"/>
        <w:adjustRightInd w:val="0"/>
        <w:snapToGrid w:val="0"/>
        <w:spacing w:line="360" w:lineRule="auto"/>
        <w:ind w:left="1619"/>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（5）场地内外的交通情况及水、电、食宿供应条件；</w:t>
      </w:r>
    </w:p>
    <w:p>
      <w:pPr>
        <w:pStyle w:val="2"/>
        <w:shd w:val="clear" w:color="000000" w:fill="auto"/>
        <w:adjustRightInd w:val="0"/>
        <w:snapToGrid w:val="0"/>
        <w:spacing w:line="360" w:lineRule="auto"/>
        <w:ind w:left="1619"/>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（6）可能对投标、报价或施工有影响或起作用的其他情况。</w:t>
      </w:r>
    </w:p>
    <w:p>
      <w:pPr>
        <w:pStyle w:val="2"/>
        <w:shd w:val="clear" w:color="000000" w:fill="auto"/>
        <w:adjustRightInd w:val="0"/>
        <w:snapToGrid w:val="0"/>
        <w:ind w:right="-238"/>
        <w:rPr>
          <w:rFonts w:ascii="仿宋" w:hAnsi="仿宋" w:eastAsia="仿宋" w:cs="Times New Roman"/>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5"/>
        <w:numPr>
          <w:ilvl w:val="0"/>
          <w:numId w:val="0"/>
        </w:numPr>
        <w:shd w:val="clear" w:color="000000" w:fill="auto"/>
        <w:tabs>
          <w:tab w:val="left" w:pos="420"/>
        </w:tabs>
        <w:ind w:left="720"/>
        <w:rPr>
          <w:rFonts w:ascii="仿宋" w:hAnsi="仿宋" w:eastAsia="仿宋"/>
          <w:color w:val="auto"/>
          <w:sz w:val="24"/>
          <w:szCs w:val="24"/>
          <w:highlight w:val="none"/>
        </w:rPr>
      </w:pPr>
      <w:bookmarkStart w:id="135" w:name="_Toc469383988"/>
      <w:bookmarkStart w:id="136" w:name="_Toc10209"/>
      <w:bookmarkStart w:id="137" w:name="_Toc10624828"/>
      <w:r>
        <w:rPr>
          <w:rFonts w:ascii="仿宋" w:hAnsi="仿宋" w:eastAsia="仿宋" w:cs="仿宋"/>
          <w:color w:val="auto"/>
          <w:sz w:val="24"/>
          <w:szCs w:val="24"/>
          <w:highlight w:val="none"/>
        </w:rPr>
        <w:t xml:space="preserve">9  </w:t>
      </w:r>
      <w:r>
        <w:rPr>
          <w:rFonts w:hint="eastAsia" w:ascii="仿宋" w:hAnsi="仿宋" w:eastAsia="仿宋" w:cs="仿宋"/>
          <w:color w:val="auto"/>
          <w:sz w:val="24"/>
          <w:szCs w:val="24"/>
          <w:highlight w:val="none"/>
        </w:rPr>
        <w:t>招标错失的修正</w:t>
      </w:r>
      <w:bookmarkEnd w:id="135"/>
      <w:bookmarkEnd w:id="136"/>
      <w:bookmarkEnd w:id="137"/>
    </w:p>
    <w:p>
      <w:pPr>
        <w:pStyle w:val="2"/>
        <w:shd w:val="clear" w:color="000000" w:fill="auto"/>
        <w:adjustRightInd w:val="0"/>
        <w:snapToGrid w:val="0"/>
        <w:spacing w:before="240" w:beforeLines="100"/>
        <w:rPr>
          <w:rFonts w:ascii="仿宋" w:hAnsi="仿宋" w:eastAsia="仿宋" w:cs="仿宋"/>
          <w:b/>
          <w:bCs/>
          <w:color w:val="auto"/>
          <w:sz w:val="24"/>
          <w:szCs w:val="24"/>
          <w:highlight w:val="none"/>
        </w:rPr>
      </w:pPr>
      <w:r>
        <w:rPr>
          <w:color w:val="auto"/>
          <w:highlight w:val="none"/>
        </w:rPr>
        <mc:AlternateContent>
          <mc:Choice Requires="wps">
            <w:drawing>
              <wp:anchor distT="0" distB="0" distL="114300" distR="114300" simplePos="0" relativeHeight="251680768" behindDoc="0" locked="0" layoutInCell="1" allowOverlap="1">
                <wp:simplePos x="0" y="0"/>
                <wp:positionH relativeFrom="column">
                  <wp:posOffset>-60960</wp:posOffset>
                </wp:positionH>
                <wp:positionV relativeFrom="paragraph">
                  <wp:posOffset>398145</wp:posOffset>
                </wp:positionV>
                <wp:extent cx="914400" cy="792480"/>
                <wp:effectExtent l="0" t="0" r="0" b="0"/>
                <wp:wrapNone/>
                <wp:docPr id="22" name="文本框 23"/>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pPr>
                              <w:pStyle w:val="2"/>
                              <w:tabs>
                                <w:tab w:val="left" w:pos="2160"/>
                              </w:tabs>
                              <w:spacing w:before="192" w:beforeLines="80"/>
                              <w:rPr>
                                <w:rFonts w:ascii="楷体_GB2312" w:hAnsi="宋体" w:eastAsia="楷体_GB2312" w:cs="Times New Roman"/>
                                <w:color w:val="FF00FF"/>
                                <w:sz w:val="24"/>
                                <w:szCs w:val="24"/>
                              </w:rPr>
                            </w:pPr>
                            <w:r>
                              <w:rPr>
                                <w:rFonts w:hint="eastAsia" w:ascii="楷体_GB2312" w:hAnsi="宋体" w:eastAsia="楷体_GB2312" w:cs="楷体_GB2312"/>
                                <w:b/>
                                <w:bCs/>
                                <w:color w:val="000000"/>
                                <w:sz w:val="18"/>
                                <w:szCs w:val="18"/>
                              </w:rPr>
                              <w:t>合同条款及格式完备性和义务</w:t>
                            </w:r>
                          </w:p>
                          <w:p>
                            <w:pPr>
                              <w:rPr>
                                <w:rFonts w:cs="Times New Roman"/>
                                <w:sz w:val="18"/>
                                <w:szCs w:val="18"/>
                              </w:rPr>
                            </w:pPr>
                          </w:p>
                        </w:txbxContent>
                      </wps:txbx>
                      <wps:bodyPr upright="1"/>
                    </wps:wsp>
                  </a:graphicData>
                </a:graphic>
              </wp:anchor>
            </w:drawing>
          </mc:Choice>
          <mc:Fallback>
            <w:pict>
              <v:shape id="文本框 23" o:spid="_x0000_s1026" o:spt="202" type="#_x0000_t202" style="position:absolute;left:0pt;margin-left:-4.8pt;margin-top:31.35pt;height:62.4pt;width:72pt;z-index:251680768;mso-width-relative:page;mso-height-relative:page;" filled="f" stroked="f" coordsize="21600,21600" o:gfxdata="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BcOqgNcA&#10;AAAJAQAADwAAAAAAAAABACAAAAAiAAAAZHJzL2Rvd25yZXYueG1sUEsBAhQAFAAAAAgAh07iQEt7&#10;5JCuAQAATwMAAA4AAAAAAAAAAQAgAAAAJgEAAGRycy9lMm9Eb2MueG1sUEsFBgAAAAAGAAYAWQEA&#10;AEYFAAAAAA==&#10;">
                <v:fill on="f" focussize="0,0"/>
                <v:stroke on="f"/>
                <v:imagedata o:title=""/>
                <o:lock v:ext="edit" aspectratio="f"/>
                <v:textbox>
                  <w:txbxContent>
                    <w:p>
                      <w:pPr>
                        <w:pStyle w:val="2"/>
                        <w:tabs>
                          <w:tab w:val="left" w:pos="2160"/>
                        </w:tabs>
                        <w:spacing w:before="192" w:beforeLines="80"/>
                        <w:rPr>
                          <w:rFonts w:ascii="楷体_GB2312" w:hAnsi="宋体" w:eastAsia="楷体_GB2312" w:cs="Times New Roman"/>
                          <w:color w:val="FF00FF"/>
                          <w:sz w:val="24"/>
                          <w:szCs w:val="24"/>
                        </w:rPr>
                      </w:pPr>
                      <w:r>
                        <w:rPr>
                          <w:rFonts w:hint="eastAsia" w:ascii="楷体_GB2312" w:hAnsi="宋体" w:eastAsia="楷体_GB2312" w:cs="楷体_GB2312"/>
                          <w:b/>
                          <w:bCs/>
                          <w:color w:val="000000"/>
                          <w:sz w:val="18"/>
                          <w:szCs w:val="18"/>
                        </w:rPr>
                        <w:t>合同条款及格式完备性和义务</w:t>
                      </w:r>
                    </w:p>
                    <w:p>
                      <w:pPr>
                        <w:rPr>
                          <w:rFonts w:cs="Times New Roman"/>
                          <w:sz w:val="18"/>
                          <w:szCs w:val="18"/>
                        </w:rPr>
                      </w:pPr>
                    </w:p>
                  </w:txbxContent>
                </v:textbox>
              </v:shape>
            </w:pict>
          </mc:Fallback>
        </mc:AlternateContent>
      </w:r>
      <w:r>
        <w:rPr>
          <w:rFonts w:ascii="仿宋" w:hAnsi="仿宋" w:eastAsia="仿宋" w:cs="仿宋"/>
          <w:b/>
          <w:bCs/>
          <w:color w:val="auto"/>
          <w:sz w:val="24"/>
          <w:szCs w:val="24"/>
          <w:highlight w:val="none"/>
        </w:rPr>
        <w:t xml:space="preserve">9.1  </w:t>
      </w:r>
    </w:p>
    <w:p>
      <w:pPr>
        <w:pStyle w:val="2"/>
        <w:shd w:val="clear" w:color="000000" w:fill="auto"/>
        <w:tabs>
          <w:tab w:val="left" w:pos="1980"/>
        </w:tabs>
        <w:spacing w:before="192" w:beforeLines="80" w:line="360" w:lineRule="auto"/>
        <w:ind w:left="1622"/>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发包人招标文件中的合同条款及格式，应被认为是正确的和公平的，并已包括了发包人履行本合同的全部义务，包括但不限于以下内容：</w:t>
      </w:r>
    </w:p>
    <w:p>
      <w:pPr>
        <w:pStyle w:val="2"/>
        <w:shd w:val="clear" w:color="000000" w:fill="auto"/>
        <w:tabs>
          <w:tab w:val="left" w:pos="2160"/>
        </w:tabs>
        <w:spacing w:line="360" w:lineRule="auto"/>
        <w:ind w:firstLine="1620" w:firstLineChars="675"/>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）支付工程款及其他应付款项的义务；</w:t>
      </w:r>
    </w:p>
    <w:p>
      <w:pPr>
        <w:pStyle w:val="2"/>
        <w:shd w:val="clear" w:color="000000" w:fill="auto"/>
        <w:tabs>
          <w:tab w:val="left" w:pos="2160"/>
        </w:tabs>
        <w:spacing w:line="360" w:lineRule="auto"/>
        <w:ind w:left="-61" w:leftChars="-29" w:firstLine="1680" w:firstLineChars="70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）完成本合同第</w:t>
      </w:r>
      <w:r>
        <w:rPr>
          <w:rFonts w:ascii="仿宋" w:hAnsi="仿宋" w:eastAsia="仿宋" w:cs="仿宋"/>
          <w:color w:val="auto"/>
          <w:sz w:val="24"/>
          <w:szCs w:val="24"/>
          <w:highlight w:val="none"/>
        </w:rPr>
        <w:t>19.2</w:t>
      </w:r>
      <w:r>
        <w:rPr>
          <w:rFonts w:hint="eastAsia" w:ascii="仿宋" w:hAnsi="仿宋" w:eastAsia="仿宋" w:cs="仿宋"/>
          <w:color w:val="auto"/>
          <w:sz w:val="24"/>
          <w:szCs w:val="24"/>
          <w:highlight w:val="none"/>
        </w:rPr>
        <w:t>款约定工作的义务；</w:t>
      </w:r>
    </w:p>
    <w:p>
      <w:pPr>
        <w:pStyle w:val="2"/>
        <w:shd w:val="clear" w:color="000000" w:fill="auto"/>
        <w:tabs>
          <w:tab w:val="left" w:pos="2160"/>
        </w:tabs>
        <w:spacing w:line="360" w:lineRule="auto"/>
        <w:ind w:left="-61" w:leftChars="-29" w:firstLine="1680" w:firstLineChars="70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）修正不正确合同条款及格式的义务；</w:t>
      </w:r>
    </w:p>
    <w:p>
      <w:pPr>
        <w:pStyle w:val="2"/>
        <w:shd w:val="clear" w:color="000000" w:fill="auto"/>
        <w:tabs>
          <w:tab w:val="left" w:pos="2160"/>
        </w:tabs>
        <w:spacing w:line="360" w:lineRule="auto"/>
        <w:ind w:left="-61" w:leftChars="-29" w:firstLine="1680" w:firstLineChars="70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4</w:t>
      </w:r>
      <w:r>
        <w:rPr>
          <w:rFonts w:hint="eastAsia" w:ascii="仿宋" w:hAnsi="仿宋" w:eastAsia="仿宋" w:cs="仿宋"/>
          <w:color w:val="auto"/>
          <w:sz w:val="24"/>
          <w:szCs w:val="24"/>
          <w:highlight w:val="none"/>
        </w:rPr>
        <w:t>）澄清并改正被认定有失公平的合同条款的义务；</w:t>
      </w:r>
    </w:p>
    <w:p>
      <w:pPr>
        <w:pStyle w:val="2"/>
        <w:shd w:val="clear" w:color="000000" w:fill="auto"/>
        <w:tabs>
          <w:tab w:val="left" w:pos="2160"/>
        </w:tabs>
        <w:spacing w:line="360" w:lineRule="auto"/>
        <w:ind w:left="-61" w:leftChars="-29" w:firstLine="1680" w:firstLineChars="700"/>
        <w:rPr>
          <w:rFonts w:ascii="仿宋" w:hAnsi="仿宋" w:eastAsia="仿宋" w:cs="Times New Roman"/>
          <w:b/>
          <w:bCs/>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5</w:t>
      </w:r>
      <w:r>
        <w:rPr>
          <w:rFonts w:hint="eastAsia" w:ascii="仿宋" w:hAnsi="仿宋" w:eastAsia="仿宋" w:cs="仿宋"/>
          <w:color w:val="auto"/>
          <w:sz w:val="24"/>
          <w:szCs w:val="24"/>
          <w:highlight w:val="none"/>
        </w:rPr>
        <w:t>）协助承包人实施、完成并保修合同工程的义务。</w:t>
      </w:r>
    </w:p>
    <w:p>
      <w:pPr>
        <w:pStyle w:val="2"/>
        <w:shd w:val="clear" w:color="000000" w:fill="auto"/>
        <w:tabs>
          <w:tab w:val="left" w:pos="2160"/>
        </w:tabs>
        <w:spacing w:line="360" w:lineRule="auto"/>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681792" behindDoc="0" locked="0" layoutInCell="1" allowOverlap="1">
                <wp:simplePos x="0" y="0"/>
                <wp:positionH relativeFrom="column">
                  <wp:posOffset>45085</wp:posOffset>
                </wp:positionH>
                <wp:positionV relativeFrom="paragraph">
                  <wp:posOffset>187325</wp:posOffset>
                </wp:positionV>
                <wp:extent cx="914400" cy="829310"/>
                <wp:effectExtent l="0" t="0" r="0" b="0"/>
                <wp:wrapNone/>
                <wp:docPr id="23" name="文本框 24"/>
                <wp:cNvGraphicFramePr/>
                <a:graphic xmlns:a="http://schemas.openxmlformats.org/drawingml/2006/main">
                  <a:graphicData uri="http://schemas.microsoft.com/office/word/2010/wordprocessingShape">
                    <wps:wsp>
                      <wps:cNvSpPr txBox="1"/>
                      <wps:spPr>
                        <a:xfrm>
                          <a:off x="0" y="0"/>
                          <a:ext cx="914400" cy="829310"/>
                        </a:xfrm>
                        <a:prstGeom prst="rect">
                          <a:avLst/>
                        </a:prstGeom>
                        <a:noFill/>
                        <a:ln>
                          <a:noFill/>
                        </a:ln>
                      </wps:spPr>
                      <wps:txbx>
                        <w:txbxContent>
                          <w:p>
                            <w:pPr>
                              <w:pStyle w:val="2"/>
                              <w:tabs>
                                <w:tab w:val="left" w:pos="2160"/>
                              </w:tabs>
                              <w:spacing w:before="192" w:beforeLines="80"/>
                              <w:rPr>
                                <w:rFonts w:ascii="楷体_GB2312" w:hAnsi="宋体" w:eastAsia="楷体_GB2312" w:cs="Times New Roman"/>
                                <w:color w:val="FF00FF"/>
                                <w:sz w:val="24"/>
                                <w:szCs w:val="24"/>
                              </w:rPr>
                            </w:pPr>
                            <w:r>
                              <w:rPr>
                                <w:rFonts w:hint="eastAsia" w:ascii="楷体_GB2312" w:hAnsi="宋体" w:eastAsia="楷体_GB2312" w:cs="楷体_GB2312"/>
                                <w:b/>
                                <w:bCs/>
                                <w:color w:val="000000"/>
                                <w:sz w:val="18"/>
                                <w:szCs w:val="18"/>
                              </w:rPr>
                              <w:t>工程量清单准确性和修正</w:t>
                            </w:r>
                          </w:p>
                          <w:p>
                            <w:pPr>
                              <w:rPr>
                                <w:rFonts w:cs="Times New Roman"/>
                                <w:sz w:val="18"/>
                                <w:szCs w:val="18"/>
                              </w:rPr>
                            </w:pPr>
                          </w:p>
                        </w:txbxContent>
                      </wps:txbx>
                      <wps:bodyPr upright="1"/>
                    </wps:wsp>
                  </a:graphicData>
                </a:graphic>
              </wp:anchor>
            </w:drawing>
          </mc:Choice>
          <mc:Fallback>
            <w:pict>
              <v:shape id="文本框 24" o:spid="_x0000_s1026" o:spt="202" type="#_x0000_t202" style="position:absolute;left:0pt;margin-left:3.55pt;margin-top:14.75pt;height:65.3pt;width:72pt;z-index:251681792;mso-width-relative:page;mso-height-relative:page;" filled="f" stroked="f" coordsize="21600,21600" o:gfxdata="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HuM7a3VAAAA&#10;CAEAAA8AAAAAAAAAAQAgAAAAIgAAAGRycy9kb3ducmV2LnhtbFBLAQIUABQAAAAIAIdO4kA8ykrS&#10;rgEAAE8DAAAOAAAAAAAAAAEAIAAAACQBAABkcnMvZTJvRG9jLnhtbFBLBQYAAAAABgAGAFkBAABE&#10;BQAAAAA=&#10;">
                <v:fill on="f" focussize="0,0"/>
                <v:stroke on="f"/>
                <v:imagedata o:title=""/>
                <o:lock v:ext="edit" aspectratio="f"/>
                <v:textbox>
                  <w:txbxContent>
                    <w:p>
                      <w:pPr>
                        <w:pStyle w:val="2"/>
                        <w:tabs>
                          <w:tab w:val="left" w:pos="2160"/>
                        </w:tabs>
                        <w:spacing w:before="192" w:beforeLines="80"/>
                        <w:rPr>
                          <w:rFonts w:ascii="楷体_GB2312" w:hAnsi="宋体" w:eastAsia="楷体_GB2312" w:cs="Times New Roman"/>
                          <w:color w:val="FF00FF"/>
                          <w:sz w:val="24"/>
                          <w:szCs w:val="24"/>
                        </w:rPr>
                      </w:pPr>
                      <w:r>
                        <w:rPr>
                          <w:rFonts w:hint="eastAsia" w:ascii="楷体_GB2312" w:hAnsi="宋体" w:eastAsia="楷体_GB2312" w:cs="楷体_GB2312"/>
                          <w:b/>
                          <w:bCs/>
                          <w:color w:val="000000"/>
                          <w:sz w:val="18"/>
                          <w:szCs w:val="18"/>
                        </w:rPr>
                        <w:t>工程量清单准确性和修正</w:t>
                      </w:r>
                    </w:p>
                    <w:p>
                      <w:pPr>
                        <w:rPr>
                          <w:rFonts w:cs="Times New Roman"/>
                          <w:sz w:val="18"/>
                          <w:szCs w:val="18"/>
                        </w:rPr>
                      </w:pPr>
                    </w:p>
                  </w:txbxContent>
                </v:textbox>
              </v:shape>
            </w:pict>
          </mc:Fallback>
        </mc:AlternateContent>
      </w:r>
      <w:r>
        <w:rPr>
          <w:rFonts w:ascii="仿宋" w:hAnsi="仿宋" w:eastAsia="仿宋" w:cs="仿宋"/>
          <w:b/>
          <w:bCs/>
          <w:color w:val="auto"/>
          <w:sz w:val="24"/>
          <w:szCs w:val="24"/>
          <w:highlight w:val="none"/>
        </w:rPr>
        <w:t xml:space="preserve">9.2  </w:t>
      </w:r>
      <w:r>
        <w:rPr>
          <w:rFonts w:ascii="仿宋" w:hAnsi="仿宋" w:eastAsia="仿宋" w:cs="仿宋"/>
          <w:b/>
          <w:bCs/>
          <w:color w:val="auto"/>
          <w:sz w:val="24"/>
          <w:szCs w:val="24"/>
          <w:highlight w:val="none"/>
          <w:u w:val="dotted"/>
        </w:rPr>
        <w:t xml:space="preserve">                                                                               </w:t>
      </w:r>
    </w:p>
    <w:p>
      <w:pPr>
        <w:pStyle w:val="2"/>
        <w:shd w:val="clear" w:color="000000" w:fill="auto"/>
        <w:tabs>
          <w:tab w:val="left" w:pos="2160"/>
        </w:tabs>
        <w:spacing w:line="360" w:lineRule="auto"/>
        <w:ind w:left="1799" w:leftChars="828" w:hanging="60" w:hangingChars="25"/>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发包人招标文件提供的工程量清单及其招标控制价等资料，应被认为是准确的和完整的。当出现下列情形之一的，发包人应及时予以修正，并相应调整合同价款：</w:t>
      </w:r>
    </w:p>
    <w:p>
      <w:pPr>
        <w:pStyle w:val="2"/>
        <w:shd w:val="clear" w:color="000000" w:fill="auto"/>
        <w:tabs>
          <w:tab w:val="left" w:pos="2160"/>
        </w:tabs>
        <w:spacing w:line="360" w:lineRule="auto"/>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 xml:space="preserve">             （</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）施工设计图纸发生变化的；</w:t>
      </w:r>
    </w:p>
    <w:p>
      <w:pPr>
        <w:pStyle w:val="2"/>
        <w:shd w:val="clear" w:color="000000" w:fill="auto"/>
        <w:tabs>
          <w:tab w:val="left" w:pos="2160"/>
        </w:tabs>
        <w:spacing w:line="360" w:lineRule="auto"/>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 xml:space="preserve">             （</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）出现第</w:t>
      </w:r>
      <w:r>
        <w:rPr>
          <w:rFonts w:ascii="仿宋" w:hAnsi="仿宋" w:eastAsia="仿宋" w:cs="仿宋"/>
          <w:color w:val="auto"/>
          <w:sz w:val="24"/>
          <w:szCs w:val="24"/>
          <w:highlight w:val="none"/>
        </w:rPr>
        <w:t>68.2</w:t>
      </w:r>
      <w:r>
        <w:rPr>
          <w:rFonts w:hint="eastAsia" w:ascii="仿宋" w:hAnsi="仿宋" w:eastAsia="仿宋" w:cs="仿宋"/>
          <w:color w:val="auto"/>
          <w:sz w:val="24"/>
          <w:szCs w:val="24"/>
          <w:highlight w:val="none"/>
        </w:rPr>
        <w:t>款规定调整合同价款事件的；</w:t>
      </w:r>
    </w:p>
    <w:p>
      <w:pPr>
        <w:pStyle w:val="2"/>
        <w:shd w:val="clear" w:color="000000" w:fill="auto"/>
        <w:tabs>
          <w:tab w:val="left" w:pos="2160"/>
        </w:tabs>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pPr>
        <w:pStyle w:val="2"/>
        <w:shd w:val="clear" w:color="000000" w:fill="auto"/>
        <w:tabs>
          <w:tab w:val="left" w:pos="2160"/>
        </w:tabs>
        <w:spacing w:line="360" w:lineRule="auto"/>
        <w:rPr>
          <w:color w:val="auto"/>
          <w:highlight w:val="none"/>
        </w:rPr>
      </w:pPr>
      <w:r>
        <w:rPr>
          <w:rFonts w:hint="eastAsia"/>
          <w:color w:val="auto"/>
          <w:highlight w:val="none"/>
        </w:rPr>
        <w:t xml:space="preserve">               </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3</w:t>
      </w:r>
      <w:r>
        <w:rPr>
          <w:rFonts w:ascii="仿宋" w:hAnsi="仿宋" w:eastAsia="仿宋" w:cs="仿宋"/>
          <w:color w:val="auto"/>
          <w:sz w:val="24"/>
          <w:szCs w:val="24"/>
          <w:highlight w:val="none"/>
        </w:rPr>
        <w:t>）工程量清单存在缺项、漏项的；</w:t>
      </w:r>
    </w:p>
    <w:p>
      <w:pPr>
        <w:pStyle w:val="2"/>
        <w:shd w:val="clear" w:color="000000" w:fill="auto"/>
        <w:adjustRightInd w:val="0"/>
        <w:snapToGrid w:val="0"/>
        <w:ind w:right="-238"/>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5"/>
        <w:numPr>
          <w:ilvl w:val="0"/>
          <w:numId w:val="0"/>
        </w:numPr>
        <w:shd w:val="clear" w:color="000000" w:fill="auto"/>
        <w:tabs>
          <w:tab w:val="left" w:pos="420"/>
        </w:tabs>
        <w:ind w:left="720"/>
        <w:rPr>
          <w:rFonts w:ascii="仿宋" w:hAnsi="仿宋" w:eastAsia="仿宋"/>
          <w:color w:val="auto"/>
          <w:sz w:val="24"/>
          <w:szCs w:val="24"/>
          <w:highlight w:val="none"/>
        </w:rPr>
      </w:pPr>
      <w:bookmarkStart w:id="138" w:name="_Toc25762"/>
      <w:bookmarkStart w:id="139" w:name="_Toc469383989"/>
      <w:bookmarkStart w:id="140" w:name="_Toc10624829"/>
      <w:r>
        <w:rPr>
          <w:rFonts w:ascii="仿宋" w:hAnsi="仿宋" w:eastAsia="仿宋" w:cs="仿宋"/>
          <w:color w:val="auto"/>
          <w:sz w:val="24"/>
          <w:szCs w:val="24"/>
          <w:highlight w:val="none"/>
        </w:rPr>
        <w:t xml:space="preserve">10  </w:t>
      </w:r>
      <w:r>
        <w:rPr>
          <w:rFonts w:hint="eastAsia" w:ascii="仿宋" w:hAnsi="仿宋" w:eastAsia="仿宋" w:cs="仿宋"/>
          <w:color w:val="auto"/>
          <w:sz w:val="24"/>
          <w:szCs w:val="24"/>
          <w:highlight w:val="none"/>
        </w:rPr>
        <w:t>投标文件的完备性</w:t>
      </w:r>
      <w:bookmarkEnd w:id="138"/>
      <w:bookmarkEnd w:id="139"/>
      <w:bookmarkEnd w:id="140"/>
    </w:p>
    <w:p>
      <w:pPr>
        <w:pStyle w:val="2"/>
        <w:shd w:val="clear" w:color="000000" w:fill="auto"/>
        <w:tabs>
          <w:tab w:val="left" w:pos="1410"/>
        </w:tabs>
        <w:adjustRightInd w:val="0"/>
        <w:snapToGrid w:val="0"/>
        <w:spacing w:line="360" w:lineRule="auto"/>
        <w:rPr>
          <w:rFonts w:ascii="仿宋" w:hAnsi="仿宋" w:eastAsia="仿宋" w:cs="仿宋"/>
          <w:b/>
          <w:bCs/>
          <w:color w:val="auto"/>
          <w:sz w:val="24"/>
          <w:szCs w:val="24"/>
          <w:highlight w:val="none"/>
        </w:rPr>
      </w:pPr>
      <w:r>
        <w:rPr>
          <w:color w:val="auto"/>
          <w:highlight w:val="none"/>
        </w:rPr>
        <mc:AlternateContent>
          <mc:Choice Requires="wps">
            <w:drawing>
              <wp:anchor distT="0" distB="0" distL="114300" distR="114300" simplePos="0" relativeHeight="251682816" behindDoc="0" locked="0" layoutInCell="1" allowOverlap="1">
                <wp:simplePos x="0" y="0"/>
                <wp:positionH relativeFrom="column">
                  <wp:posOffset>-114300</wp:posOffset>
                </wp:positionH>
                <wp:positionV relativeFrom="paragraph">
                  <wp:posOffset>92075</wp:posOffset>
                </wp:positionV>
                <wp:extent cx="914400" cy="812800"/>
                <wp:effectExtent l="0" t="0" r="0" b="0"/>
                <wp:wrapNone/>
                <wp:docPr id="24" name="文本框 25"/>
                <wp:cNvGraphicFramePr/>
                <a:graphic xmlns:a="http://schemas.openxmlformats.org/drawingml/2006/main">
                  <a:graphicData uri="http://schemas.microsoft.com/office/word/2010/wordprocessingShape">
                    <wps:wsp>
                      <wps:cNvSpPr txBox="1"/>
                      <wps:spPr>
                        <a:xfrm>
                          <a:off x="0" y="0"/>
                          <a:ext cx="914400" cy="812800"/>
                        </a:xfrm>
                        <a:prstGeom prst="rect">
                          <a:avLst/>
                        </a:prstGeom>
                        <a:noFill/>
                        <a:ln>
                          <a:noFill/>
                        </a:ln>
                      </wps:spPr>
                      <wps:txbx>
                        <w:txbxContent>
                          <w:p>
                            <w:pPr>
                              <w:pStyle w:val="2"/>
                              <w:tabs>
                                <w:tab w:val="left" w:pos="2160"/>
                              </w:tabs>
                              <w:spacing w:before="192" w:beforeLines="80"/>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投标文件完备性和义务</w:t>
                            </w:r>
                          </w:p>
                        </w:txbxContent>
                      </wps:txbx>
                      <wps:bodyPr upright="1"/>
                    </wps:wsp>
                  </a:graphicData>
                </a:graphic>
              </wp:anchor>
            </w:drawing>
          </mc:Choice>
          <mc:Fallback>
            <w:pict>
              <v:shape id="文本框 25" o:spid="_x0000_s1026" o:spt="202" type="#_x0000_t202" style="position:absolute;left:0pt;margin-left:-9pt;margin-top:7.25pt;height:64pt;width:72pt;z-index:251682816;mso-width-relative:page;mso-height-relative:page;" filled="f" stroked="f" coordsize="21600,21600" o:gfxdata="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HbjyhrWAAAA&#10;CgEAAA8AAAAAAAAAAQAgAAAAIgAAAGRycy9kb3ducmV2LnhtbFBLAQIUABQAAAAIAIdO4kD0KQnx&#10;rQEAAE8DAAAOAAAAAAAAAAEAIAAAACUBAABkcnMvZTJvRG9jLnhtbFBLBQYAAAAABgAGAFkBAABE&#10;BQAAAAA=&#10;">
                <v:fill on="f" focussize="0,0"/>
                <v:stroke on="f"/>
                <v:imagedata o:title=""/>
                <o:lock v:ext="edit" aspectratio="f"/>
                <v:textbox>
                  <w:txbxContent>
                    <w:p>
                      <w:pPr>
                        <w:pStyle w:val="2"/>
                        <w:tabs>
                          <w:tab w:val="left" w:pos="2160"/>
                        </w:tabs>
                        <w:spacing w:before="192" w:beforeLines="80"/>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投标文件完备性和义务</w:t>
                      </w:r>
                    </w:p>
                  </w:txbxContent>
                </v:textbox>
              </v:shape>
            </w:pict>
          </mc:Fallback>
        </mc:AlternateContent>
      </w:r>
      <w:r>
        <w:rPr>
          <w:rFonts w:ascii="仿宋" w:hAnsi="仿宋" w:eastAsia="仿宋" w:cs="仿宋"/>
          <w:b/>
          <w:bCs/>
          <w:color w:val="auto"/>
          <w:sz w:val="24"/>
          <w:szCs w:val="24"/>
          <w:highlight w:val="none"/>
        </w:rPr>
        <w:t xml:space="preserve">10.1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承包人投标文件中的工程量清单所填单价和合价，应被认为是正确的和完备的，并已包括了承包人履行本合同的全部义务，包括但不限于以下内容：</w:t>
      </w:r>
    </w:p>
    <w:p>
      <w:pPr>
        <w:pStyle w:val="2"/>
        <w:shd w:val="clear" w:color="000000" w:fill="auto"/>
        <w:adjustRightInd w:val="0"/>
        <w:snapToGrid w:val="0"/>
        <w:spacing w:line="360" w:lineRule="auto"/>
        <w:ind w:right="-24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）提供材料和工程设备、服务的义务及处理意外事件的义务；</w:t>
      </w:r>
      <w:r>
        <w:rPr>
          <w:rFonts w:ascii="仿宋" w:hAnsi="仿宋" w:eastAsia="仿宋" w:cs="仿宋"/>
          <w:color w:val="auto"/>
          <w:sz w:val="24"/>
          <w:szCs w:val="24"/>
          <w:highlight w:val="none"/>
        </w:rPr>
        <w:t xml:space="preserve"> </w:t>
      </w:r>
    </w:p>
    <w:p>
      <w:pPr>
        <w:pStyle w:val="2"/>
        <w:shd w:val="clear" w:color="000000" w:fill="auto"/>
        <w:adjustRightInd w:val="0"/>
        <w:snapToGrid w:val="0"/>
        <w:spacing w:line="360" w:lineRule="auto"/>
        <w:ind w:right="-24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 xml:space="preserve">            （2）实施和完成合同工程的义务；</w:t>
      </w:r>
    </w:p>
    <w:p>
      <w:pPr>
        <w:pStyle w:val="2"/>
        <w:shd w:val="clear" w:color="000000" w:fill="auto"/>
        <w:adjustRightInd w:val="0"/>
        <w:snapToGrid w:val="0"/>
        <w:spacing w:line="360" w:lineRule="auto"/>
        <w:ind w:right="-24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 xml:space="preserve">            （3）工程质量保修的一切义务。</w:t>
      </w:r>
    </w:p>
    <w:p>
      <w:pPr>
        <w:pStyle w:val="2"/>
        <w:shd w:val="clear" w:color="000000" w:fill="auto"/>
        <w:adjustRightInd w:val="0"/>
        <w:snapToGrid w:val="0"/>
        <w:spacing w:line="360" w:lineRule="auto"/>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10.2  </w:t>
      </w:r>
      <w:r>
        <w:rPr>
          <w:rFonts w:ascii="仿宋" w:hAnsi="仿宋" w:eastAsia="仿宋" w:cs="仿宋"/>
          <w:b/>
          <w:bCs/>
          <w:color w:val="auto"/>
          <w:sz w:val="24"/>
          <w:szCs w:val="24"/>
          <w:highlight w:val="none"/>
          <w:u w:val="dotted"/>
        </w:rPr>
        <w:t xml:space="preserve">                                                                                                        </w:t>
      </w:r>
      <w:r>
        <w:rPr>
          <w:rFonts w:ascii="仿宋" w:hAnsi="仿宋" w:eastAsia="仿宋" w:cs="仿宋"/>
          <w:b/>
          <w:bCs/>
          <w:color w:val="auto"/>
          <w:sz w:val="24"/>
          <w:szCs w:val="24"/>
          <w:highlight w:val="none"/>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683840" behindDoc="0" locked="0" layoutInCell="1" allowOverlap="1">
                <wp:simplePos x="0" y="0"/>
                <wp:positionH relativeFrom="column">
                  <wp:posOffset>-114300</wp:posOffset>
                </wp:positionH>
                <wp:positionV relativeFrom="paragraph">
                  <wp:posOffset>8255</wp:posOffset>
                </wp:positionV>
                <wp:extent cx="914400" cy="455295"/>
                <wp:effectExtent l="0" t="0" r="0" b="0"/>
                <wp:wrapNone/>
                <wp:docPr id="25" name="文本框 26"/>
                <wp:cNvGraphicFramePr/>
                <a:graphic xmlns:a="http://schemas.openxmlformats.org/drawingml/2006/main">
                  <a:graphicData uri="http://schemas.microsoft.com/office/word/2010/wordprocessingShape">
                    <wps:wsp>
                      <wps:cNvSpPr txBox="1"/>
                      <wps:spPr>
                        <a:xfrm>
                          <a:off x="0" y="0"/>
                          <a:ext cx="914400" cy="455295"/>
                        </a:xfrm>
                        <a:prstGeom prst="rect">
                          <a:avLst/>
                        </a:prstGeom>
                        <a:noFill/>
                        <a:ln>
                          <a:noFill/>
                        </a:ln>
                      </wps:spPr>
                      <wps:txb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承包人报价的限制</w:t>
                            </w:r>
                          </w:p>
                        </w:txbxContent>
                      </wps:txbx>
                      <wps:bodyPr upright="1"/>
                    </wps:wsp>
                  </a:graphicData>
                </a:graphic>
              </wp:anchor>
            </w:drawing>
          </mc:Choice>
          <mc:Fallback>
            <w:pict>
              <v:shape id="文本框 26" o:spid="_x0000_s1026" o:spt="202" type="#_x0000_t202" style="position:absolute;left:0pt;margin-left:-9pt;margin-top:0.65pt;height:35.85pt;width:72pt;z-index:251683840;mso-width-relative:page;mso-height-relative:page;" filled="f" stroked="f" coordsize="21600,21600" o:gfxdata="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EO/jEPVAAAA&#10;CAEAAA8AAAAAAAAAAQAgAAAAIgAAAGRycy9kb3ducmV2LnhtbFBLAQIUABQAAAAIAIdO4kDdME2/&#10;rgEAAE8DAAAOAAAAAAAAAAEAIAAAACQBAABkcnMvZTJvRG9jLnhtbFBLBQYAAAAABgAGAFkBAABE&#10;BQAAAAA=&#10;">
                <v:fill on="f" focussize="0,0"/>
                <v:stroke on="f"/>
                <v:imagedata o:title=""/>
                <o:lock v:ext="edit" aspectratio="f"/>
                <v:textbo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承包人报价的限制</w:t>
                      </w:r>
                    </w:p>
                  </w:txbxContent>
                </v:textbox>
              </v:shape>
            </w:pict>
          </mc:Fallback>
        </mc:AlternateContent>
      </w:r>
      <w:r>
        <w:rPr>
          <w:rFonts w:hint="eastAsia" w:ascii="仿宋" w:hAnsi="仿宋" w:eastAsia="仿宋" w:cs="仿宋"/>
          <w:color w:val="auto"/>
          <w:sz w:val="24"/>
          <w:szCs w:val="24"/>
          <w:highlight w:val="none"/>
        </w:rPr>
        <w:t>承包人投标文件中的工程量清单中没有填入单价或合价的清单项目，应认为该项目价款已包含在工程量清单的其他项目的单价或合价中，发包人将不另行支付。</w:t>
      </w:r>
    </w:p>
    <w:p>
      <w:pPr>
        <w:pStyle w:val="2"/>
        <w:shd w:val="clear" w:color="000000" w:fill="auto"/>
        <w:adjustRightInd w:val="0"/>
        <w:snapToGrid w:val="0"/>
        <w:spacing w:line="360" w:lineRule="auto"/>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10.3  </w:t>
      </w:r>
      <w:r>
        <w:rPr>
          <w:rFonts w:ascii="仿宋" w:hAnsi="仿宋" w:eastAsia="仿宋" w:cs="仿宋"/>
          <w:b/>
          <w:bCs/>
          <w:color w:val="auto"/>
          <w:sz w:val="24"/>
          <w:szCs w:val="24"/>
          <w:highlight w:val="none"/>
          <w:u w:val="dotted"/>
        </w:rPr>
        <w:t xml:space="preserve">                                                                                                        </w:t>
      </w:r>
      <w:r>
        <w:rPr>
          <w:rFonts w:ascii="仿宋" w:hAnsi="仿宋" w:eastAsia="仿宋" w:cs="仿宋"/>
          <w:b/>
          <w:bCs/>
          <w:color w:val="auto"/>
          <w:sz w:val="24"/>
          <w:szCs w:val="24"/>
          <w:highlight w:val="none"/>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684864" behindDoc="0" locked="0" layoutInCell="1" allowOverlap="1">
                <wp:simplePos x="0" y="0"/>
                <wp:positionH relativeFrom="column">
                  <wp:posOffset>-114300</wp:posOffset>
                </wp:positionH>
                <wp:positionV relativeFrom="paragraph">
                  <wp:posOffset>8255</wp:posOffset>
                </wp:positionV>
                <wp:extent cx="914400" cy="455295"/>
                <wp:effectExtent l="0" t="0" r="0" b="0"/>
                <wp:wrapNone/>
                <wp:docPr id="26" name="文本框 27"/>
                <wp:cNvGraphicFramePr/>
                <a:graphic xmlns:a="http://schemas.openxmlformats.org/drawingml/2006/main">
                  <a:graphicData uri="http://schemas.microsoft.com/office/word/2010/wordprocessingShape">
                    <wps:wsp>
                      <wps:cNvSpPr txBox="1"/>
                      <wps:spPr>
                        <a:xfrm>
                          <a:off x="0" y="0"/>
                          <a:ext cx="914400" cy="45529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算术性错误的调整</w:t>
                            </w:r>
                          </w:p>
                        </w:txbxContent>
                      </wps:txbx>
                      <wps:bodyPr upright="1"/>
                    </wps:wsp>
                  </a:graphicData>
                </a:graphic>
              </wp:anchor>
            </w:drawing>
          </mc:Choice>
          <mc:Fallback>
            <w:pict>
              <v:shape id="文本框 27" o:spid="_x0000_s1026" o:spt="202" type="#_x0000_t202" style="position:absolute;left:0pt;margin-left:-9pt;margin-top:0.65pt;height:35.85pt;width:72pt;z-index:251684864;mso-width-relative:page;mso-height-relative:page;" filled="f" stroked="f" coordsize="21600,21600" o:gfxdata="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EO/jEPVAAAA&#10;CAEAAA8AAAAAAAAAAQAgAAAAIgAAAGRycy9kb3ducmV2LnhtbFBLAQIUABQAAAAIAIdO4kDv+vq/&#10;rgEAAE8DAAAOAAAAAAAAAAEAIAAAACQBAABkcnMvZTJvRG9jLnhtbFBLBQYAAAAABgAGAFkBAABE&#10;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算术性错误的调整</w:t>
                      </w:r>
                    </w:p>
                  </w:txbxContent>
                </v:textbox>
              </v:shape>
            </w:pict>
          </mc:Fallback>
        </mc:AlternateContent>
      </w:r>
      <w:r>
        <w:rPr>
          <w:rFonts w:hint="eastAsia" w:ascii="仿宋" w:hAnsi="仿宋" w:eastAsia="仿宋" w:cs="仿宋"/>
          <w:color w:val="auto"/>
          <w:sz w:val="24"/>
          <w:szCs w:val="24"/>
          <w:highlight w:val="none"/>
        </w:rPr>
        <w:t>承包人投标文件中出现算术性错误，导致其实际总造价与报价总金额不一致时，合同双方当事人可按照国家、省有关规定予以修正，并相应调整合同价款。</w:t>
      </w:r>
    </w:p>
    <w:p>
      <w:pPr>
        <w:pStyle w:val="2"/>
        <w:shd w:val="clear" w:color="000000" w:fill="auto"/>
        <w:adjustRightInd w:val="0"/>
        <w:snapToGrid w:val="0"/>
        <w:ind w:left="1626" w:leftChars="1" w:hanging="1624" w:hangingChars="674"/>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u w:val="single"/>
        </w:rPr>
        <w:t xml:space="preserve">                                                                                                 </w:t>
      </w:r>
    </w:p>
    <w:p>
      <w:pPr>
        <w:pStyle w:val="2"/>
        <w:shd w:val="clear" w:color="000000" w:fill="auto"/>
        <w:adjustRightInd w:val="0"/>
        <w:snapToGrid w:val="0"/>
        <w:spacing w:before="240" w:beforeLines="100" w:line="240" w:lineRule="exact"/>
        <w:ind w:firstLine="601"/>
        <w:rPr>
          <w:rFonts w:ascii="仿宋" w:hAnsi="仿宋" w:eastAsia="仿宋" w:cs="Times New Roman"/>
          <w:b/>
          <w:bCs/>
          <w:color w:val="auto"/>
          <w:sz w:val="24"/>
          <w:szCs w:val="24"/>
          <w:highlight w:val="none"/>
        </w:rPr>
      </w:pPr>
    </w:p>
    <w:p>
      <w:pPr>
        <w:pStyle w:val="2"/>
        <w:shd w:val="clear" w:color="000000" w:fill="auto"/>
        <w:adjustRightInd w:val="0"/>
        <w:snapToGrid w:val="0"/>
        <w:spacing w:before="240" w:beforeLines="100" w:line="360" w:lineRule="auto"/>
        <w:outlineLvl w:val="2"/>
        <w:rPr>
          <w:rFonts w:ascii="仿宋" w:hAnsi="仿宋" w:eastAsia="仿宋" w:cs="Times New Roman"/>
          <w:b/>
          <w:bCs/>
          <w:color w:val="auto"/>
          <w:sz w:val="24"/>
          <w:szCs w:val="24"/>
          <w:highlight w:val="none"/>
        </w:rPr>
      </w:pPr>
      <w:bookmarkStart w:id="141" w:name="_Toc12274"/>
      <w:bookmarkStart w:id="142" w:name="_Toc10624830"/>
      <w:bookmarkStart w:id="143" w:name="_Toc469383990"/>
      <w:r>
        <w:rPr>
          <w:rFonts w:ascii="仿宋" w:hAnsi="仿宋" w:eastAsia="仿宋" w:cs="仿宋"/>
          <w:b/>
          <w:bCs/>
          <w:color w:val="auto"/>
          <w:sz w:val="24"/>
          <w:szCs w:val="24"/>
          <w:highlight w:val="none"/>
        </w:rPr>
        <w:t xml:space="preserve">11  </w:t>
      </w:r>
      <w:r>
        <w:rPr>
          <w:rFonts w:hint="eastAsia" w:ascii="仿宋" w:hAnsi="仿宋" w:eastAsia="仿宋" w:cs="仿宋"/>
          <w:b/>
          <w:bCs/>
          <w:color w:val="auto"/>
          <w:sz w:val="24"/>
          <w:szCs w:val="24"/>
          <w:highlight w:val="none"/>
        </w:rPr>
        <w:t>文物和地下障碍物</w:t>
      </w:r>
      <w:bookmarkEnd w:id="141"/>
      <w:bookmarkEnd w:id="142"/>
      <w:bookmarkEnd w:id="143"/>
    </w:p>
    <w:p>
      <w:pPr>
        <w:pStyle w:val="2"/>
        <w:shd w:val="clear" w:color="000000" w:fill="auto"/>
        <w:adjustRightInd w:val="0"/>
        <w:snapToGrid w:val="0"/>
        <w:spacing w:line="360" w:lineRule="auto"/>
        <w:rPr>
          <w:rFonts w:ascii="仿宋" w:hAnsi="仿宋" w:eastAsia="仿宋" w:cs="仿宋"/>
          <w:color w:val="auto"/>
          <w:sz w:val="24"/>
          <w:szCs w:val="24"/>
          <w:highlight w:val="none"/>
        </w:rPr>
      </w:pPr>
      <w:r>
        <w:rPr>
          <w:rFonts w:ascii="仿宋" w:hAnsi="仿宋" w:eastAsia="仿宋" w:cs="仿宋"/>
          <w:b/>
          <w:bCs/>
          <w:color w:val="auto"/>
          <w:sz w:val="24"/>
          <w:szCs w:val="24"/>
          <w:highlight w:val="none"/>
        </w:rPr>
        <w:t xml:space="preserve">11.1  </w:t>
      </w:r>
      <w:r>
        <w:rPr>
          <w:rFonts w:ascii="仿宋" w:hAnsi="仿宋" w:eastAsia="仿宋" w:cs="仿宋"/>
          <w:color w:val="auto"/>
          <w:sz w:val="24"/>
          <w:szCs w:val="24"/>
          <w:highlight w:val="none"/>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685888" behindDoc="0" locked="0" layoutInCell="1" allowOverlap="1">
                <wp:simplePos x="0" y="0"/>
                <wp:positionH relativeFrom="column">
                  <wp:posOffset>-114300</wp:posOffset>
                </wp:positionH>
                <wp:positionV relativeFrom="paragraph">
                  <wp:posOffset>-7620</wp:posOffset>
                </wp:positionV>
                <wp:extent cx="914400" cy="495300"/>
                <wp:effectExtent l="0" t="0" r="0" b="0"/>
                <wp:wrapNone/>
                <wp:docPr id="27" name="文本框 28"/>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文物化石等物品保护</w:t>
                            </w:r>
                          </w:p>
                        </w:txbxContent>
                      </wps:txbx>
                      <wps:bodyPr upright="1"/>
                    </wps:wsp>
                  </a:graphicData>
                </a:graphic>
              </wp:anchor>
            </w:drawing>
          </mc:Choice>
          <mc:Fallback>
            <w:pict>
              <v:shape id="文本框 28" o:spid="_x0000_s1026" o:spt="202" type="#_x0000_t202" style="position:absolute;left:0pt;margin-left:-9pt;margin-top:-0.6pt;height:39pt;width:72pt;z-index:251685888;mso-width-relative:page;mso-height-relative:page;" filled="f" stroked="f" coordsize="21600,21600" o:gfxdata="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GNh7rbWAAAA&#10;CQEAAA8AAAAAAAAAAQAgAAAAIgAAAGRycy9kb3ducmV2LnhtbFBLAQIUABQAAAAIAIdO4kB+iwBN&#10;rQEAAE8DAAAOAAAAAAAAAAEAIAAAACUBAABkcnMvZTJvRG9jLnhtbFBLBQYAAAAABgAGAFkBAABE&#10;BQAAAAA=&#10;">
                <v:fill on="f" focussize="0,0"/>
                <v:stroke on="f"/>
                <v:imagedata o:title=""/>
                <o:lock v:ext="edit" aspectratio="f"/>
                <v:textbo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文物化石等物品保护</w:t>
                      </w:r>
                    </w:p>
                  </w:txbxContent>
                </v:textbox>
              </v:shape>
            </w:pict>
          </mc:Fallback>
        </mc:AlternateContent>
      </w:r>
      <w:r>
        <w:rPr>
          <w:rFonts w:hint="eastAsia" w:ascii="仿宋" w:hAnsi="仿宋" w:eastAsia="仿宋" w:cs="仿宋"/>
          <w:color w:val="auto"/>
          <w:sz w:val="24"/>
          <w:szCs w:val="24"/>
          <w:highlight w:val="none"/>
        </w:rPr>
        <w:t>在施工现场发现的古墓、古建筑遗址等文物、古迹以及其他具有考古、地质研究等价值的遗迹、化石、钱币或物品，属于国家所有。一旦发现上述文物，承包人应立即保护好现场，防止任何人员移动或损坏上述文物，并于</w:t>
      </w:r>
      <w:r>
        <w:rPr>
          <w:rFonts w:ascii="仿宋" w:hAnsi="仿宋" w:eastAsia="仿宋" w:cs="仿宋"/>
          <w:color w:val="auto"/>
          <w:sz w:val="24"/>
          <w:szCs w:val="24"/>
          <w:highlight w:val="none"/>
        </w:rPr>
        <w:t>4</w:t>
      </w:r>
      <w:r>
        <w:rPr>
          <w:rFonts w:hint="eastAsia" w:ascii="仿宋" w:hAnsi="仿宋" w:eastAsia="仿宋" w:cs="仿宋"/>
          <w:color w:val="auto"/>
          <w:sz w:val="24"/>
          <w:szCs w:val="24"/>
          <w:highlight w:val="none"/>
        </w:rPr>
        <w:t>小时内以书面形式通知监理工程师和发包人。监理工程师应在收到通知后立即指令承包人继续保护好现场，并在收到通知后</w:t>
      </w:r>
      <w:r>
        <w:rPr>
          <w:rFonts w:ascii="仿宋" w:hAnsi="仿宋" w:eastAsia="仿宋" w:cs="仿宋"/>
          <w:color w:val="auto"/>
          <w:sz w:val="24"/>
          <w:szCs w:val="24"/>
          <w:highlight w:val="none"/>
        </w:rPr>
        <w:t>24</w:t>
      </w:r>
      <w:r>
        <w:rPr>
          <w:rFonts w:hint="eastAsia" w:ascii="仿宋" w:hAnsi="仿宋" w:eastAsia="仿宋" w:cs="仿宋"/>
          <w:color w:val="auto"/>
          <w:sz w:val="24"/>
          <w:szCs w:val="24"/>
          <w:highlight w:val="none"/>
        </w:rPr>
        <w:t>小时内报告当地文物管理部门，合同双方当事人应按照文物管理部门的要求采取妥善保护措施。发包人承担由此增加的费用和（或）工期延误，并向承包人支付合理利润。</w:t>
      </w:r>
      <w:r>
        <w:rPr>
          <w:rFonts w:ascii="仿宋" w:hAnsi="仿宋" w:eastAsia="仿宋" w:cs="Times New Roman"/>
          <w:color w:val="auto"/>
          <w:sz w:val="24"/>
          <w:szCs w:val="24"/>
          <w:highlight w:val="none"/>
        </w:rPr>
        <w:br w:type="textWrapping"/>
      </w:r>
      <w:r>
        <w:rPr>
          <w:rFonts w:hint="eastAsia" w:ascii="仿宋" w:hAnsi="仿宋" w:eastAsia="仿宋" w:cs="仿宋"/>
          <w:color w:val="auto"/>
          <w:sz w:val="24"/>
          <w:szCs w:val="24"/>
          <w:highlight w:val="none"/>
        </w:rPr>
        <w:t>如发现文物后隐瞒不报或报告不及时，导致上述文物丢失或遭受破坏的，由责任方赔偿损失，并承担相应的法律责任。</w:t>
      </w:r>
    </w:p>
    <w:p>
      <w:pPr>
        <w:pStyle w:val="2"/>
        <w:shd w:val="clear" w:color="000000" w:fill="auto"/>
        <w:adjustRightInd w:val="0"/>
        <w:snapToGrid w:val="0"/>
        <w:spacing w:line="360" w:lineRule="auto"/>
        <w:rPr>
          <w:rFonts w:ascii="仿宋" w:hAnsi="仿宋" w:eastAsia="仿宋" w:cs="Times New Roman"/>
          <w:b/>
          <w:bCs/>
          <w:color w:val="auto"/>
          <w:sz w:val="24"/>
          <w:szCs w:val="24"/>
          <w:highlight w:val="none"/>
        </w:rPr>
      </w:pPr>
    </w:p>
    <w:p>
      <w:pPr>
        <w:pStyle w:val="2"/>
        <w:shd w:val="clear" w:color="000000" w:fill="auto"/>
        <w:adjustRightInd w:val="0"/>
        <w:snapToGrid w:val="0"/>
        <w:spacing w:line="480" w:lineRule="auto"/>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686912" behindDoc="0" locked="0" layoutInCell="1" allowOverlap="1">
                <wp:simplePos x="0" y="0"/>
                <wp:positionH relativeFrom="column">
                  <wp:posOffset>-114300</wp:posOffset>
                </wp:positionH>
                <wp:positionV relativeFrom="paragraph">
                  <wp:posOffset>233045</wp:posOffset>
                </wp:positionV>
                <wp:extent cx="914400" cy="495300"/>
                <wp:effectExtent l="0" t="0" r="0" b="0"/>
                <wp:wrapNone/>
                <wp:docPr id="28" name="文本框 29"/>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地下障碍物处置</w:t>
                            </w:r>
                          </w:p>
                        </w:txbxContent>
                      </wps:txbx>
                      <wps:bodyPr upright="1"/>
                    </wps:wsp>
                  </a:graphicData>
                </a:graphic>
              </wp:anchor>
            </w:drawing>
          </mc:Choice>
          <mc:Fallback>
            <w:pict>
              <v:shape id="文本框 29" o:spid="_x0000_s1026" o:spt="202" type="#_x0000_t202" style="position:absolute;left:0pt;margin-left:-9pt;margin-top:18.35pt;height:39pt;width:72pt;z-index:251686912;mso-width-relative:page;mso-height-relative:page;" filled="f" stroked="f" coordsize="21600,21600" o:gfxdata="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fPZ3g2AAA&#10;AAoBAAAPAAAAAAAAAAEAIAAAACIAAABkcnMvZG93bnJldi54bWxQSwECFAAUAAAACACHTuJA/QG+&#10;6KwBAABPAwAADgAAAAAAAAABACAAAAAnAQAAZHJzL2Uyb0RvYy54bWxQSwUGAAAAAAYABgBZAQAA&#10;RQUAAAAA&#10;">
                <v:fill on="f" focussize="0,0"/>
                <v:stroke on="f"/>
                <v:imagedata o:title=""/>
                <o:lock v:ext="edit" aspectratio="f"/>
                <v:textbo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地下障碍物处置</w:t>
                      </w:r>
                    </w:p>
                  </w:txbxContent>
                </v:textbox>
              </v:shape>
            </w:pict>
          </mc:Fallback>
        </mc:AlternateContent>
      </w:r>
      <w:r>
        <w:rPr>
          <w:rFonts w:ascii="仿宋" w:hAnsi="仿宋" w:eastAsia="仿宋" w:cs="仿宋"/>
          <w:b/>
          <w:bCs/>
          <w:color w:val="auto"/>
          <w:sz w:val="24"/>
          <w:szCs w:val="24"/>
          <w:highlight w:val="none"/>
        </w:rPr>
        <w:t xml:space="preserve">11.2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本合同已明确指出的地下障碍物（发包人招标文件提供的工程量清单有列明或提供的地质资料已明确反映的），应视为承包人在投标报价时已预见其对施工的影响，并已在合同价款中考虑。</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本合同未有明确指出的地下障碍物（发包人招标文件提供的工程量清单没列明或提供的地质资料不能明确反映的），在施工过程遇到时，承包人应于</w:t>
      </w:r>
      <w:r>
        <w:rPr>
          <w:rFonts w:ascii="仿宋" w:hAnsi="仿宋" w:eastAsia="仿宋" w:cs="仿宋"/>
          <w:color w:val="auto"/>
          <w:sz w:val="24"/>
          <w:szCs w:val="24"/>
          <w:highlight w:val="none"/>
        </w:rPr>
        <w:t>8</w:t>
      </w:r>
      <w:r>
        <w:rPr>
          <w:rFonts w:hint="eastAsia" w:ascii="仿宋" w:hAnsi="仿宋" w:eastAsia="仿宋" w:cs="仿宋"/>
          <w:color w:val="auto"/>
          <w:sz w:val="24"/>
          <w:szCs w:val="24"/>
          <w:highlight w:val="none"/>
        </w:rPr>
        <w:t>小时内以书面形式通知监理工程师和发包人，并提出处置方案。监理工程师在收到处置方案后</w:t>
      </w:r>
      <w:r>
        <w:rPr>
          <w:rFonts w:ascii="仿宋" w:hAnsi="仿宋" w:eastAsia="仿宋" w:cs="仿宋"/>
          <w:color w:val="auto"/>
          <w:sz w:val="24"/>
          <w:szCs w:val="24"/>
          <w:highlight w:val="none"/>
        </w:rPr>
        <w:t>24</w:t>
      </w:r>
      <w:r>
        <w:rPr>
          <w:rFonts w:hint="eastAsia" w:ascii="仿宋" w:hAnsi="仿宋" w:eastAsia="仿宋" w:cs="仿宋"/>
          <w:color w:val="auto"/>
          <w:sz w:val="24"/>
          <w:szCs w:val="24"/>
          <w:highlight w:val="none"/>
        </w:rPr>
        <w:t>小时内予以确认或提出修正方案，并发出施工指令。承包人应按照监理工程师指令进行施工。发包人应承担由此增加的费用和（或）延误的工期，并向承包人支付合理费用。</w:t>
      </w:r>
    </w:p>
    <w:p>
      <w:pPr>
        <w:pStyle w:val="2"/>
        <w:shd w:val="clear" w:color="000000" w:fill="auto"/>
        <w:adjustRightInd w:val="0"/>
        <w:snapToGrid w:val="0"/>
        <w:spacing w:line="360" w:lineRule="auto"/>
        <w:ind w:right="-238"/>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
        <w:shd w:val="clear" w:color="000000" w:fill="auto"/>
        <w:tabs>
          <w:tab w:val="left" w:pos="1620"/>
        </w:tabs>
        <w:adjustRightInd w:val="0"/>
        <w:snapToGrid w:val="0"/>
        <w:spacing w:before="240" w:beforeLines="100" w:line="360" w:lineRule="auto"/>
        <w:outlineLvl w:val="2"/>
        <w:rPr>
          <w:rFonts w:ascii="仿宋" w:hAnsi="仿宋" w:eastAsia="仿宋" w:cs="Times New Roman"/>
          <w:b/>
          <w:bCs/>
          <w:color w:val="auto"/>
          <w:sz w:val="24"/>
          <w:szCs w:val="24"/>
          <w:highlight w:val="none"/>
        </w:rPr>
      </w:pPr>
      <w:bookmarkStart w:id="144" w:name="_Toc469383991"/>
      <w:bookmarkStart w:id="145" w:name="_Toc10624831"/>
      <w:bookmarkStart w:id="146" w:name="_Toc25849"/>
      <w:r>
        <w:rPr>
          <w:rFonts w:ascii="仿宋" w:hAnsi="仿宋" w:eastAsia="仿宋" w:cs="仿宋"/>
          <w:b/>
          <w:bCs/>
          <w:color w:val="auto"/>
          <w:sz w:val="24"/>
          <w:szCs w:val="24"/>
          <w:highlight w:val="none"/>
        </w:rPr>
        <w:t xml:space="preserve">12  </w:t>
      </w:r>
      <w:r>
        <w:rPr>
          <w:rFonts w:hint="eastAsia" w:ascii="仿宋" w:hAnsi="仿宋" w:eastAsia="仿宋" w:cs="仿宋"/>
          <w:b/>
          <w:bCs/>
          <w:color w:val="auto"/>
          <w:sz w:val="24"/>
          <w:szCs w:val="24"/>
          <w:highlight w:val="none"/>
        </w:rPr>
        <w:t>事故处理</w:t>
      </w:r>
      <w:bookmarkEnd w:id="144"/>
      <w:bookmarkEnd w:id="145"/>
      <w:bookmarkEnd w:id="146"/>
    </w:p>
    <w:p>
      <w:pPr>
        <w:pStyle w:val="2"/>
        <w:shd w:val="clear" w:color="000000" w:fill="auto"/>
        <w:adjustRightInd w:val="0"/>
        <w:snapToGrid w:val="0"/>
        <w:spacing w:line="360" w:lineRule="auto"/>
        <w:rPr>
          <w:rFonts w:ascii="仿宋" w:hAnsi="仿宋" w:eastAsia="仿宋" w:cs="仿宋"/>
          <w:b/>
          <w:bCs/>
          <w:color w:val="auto"/>
          <w:sz w:val="24"/>
          <w:szCs w:val="24"/>
          <w:highlight w:val="none"/>
        </w:rPr>
      </w:pPr>
      <w:r>
        <w:rPr>
          <w:color w:val="auto"/>
          <w:highlight w:val="none"/>
        </w:rPr>
        <mc:AlternateContent>
          <mc:Choice Requires="wps">
            <w:drawing>
              <wp:anchor distT="0" distB="0" distL="114300" distR="114300" simplePos="0" relativeHeight="251687936" behindDoc="0" locked="0" layoutInCell="1" allowOverlap="1">
                <wp:simplePos x="0" y="0"/>
                <wp:positionH relativeFrom="column">
                  <wp:posOffset>-114300</wp:posOffset>
                </wp:positionH>
                <wp:positionV relativeFrom="paragraph">
                  <wp:posOffset>229235</wp:posOffset>
                </wp:positionV>
                <wp:extent cx="1028700" cy="523875"/>
                <wp:effectExtent l="0" t="0" r="0" b="0"/>
                <wp:wrapNone/>
                <wp:docPr id="29" name="文本框 30"/>
                <wp:cNvGraphicFramePr/>
                <a:graphic xmlns:a="http://schemas.openxmlformats.org/drawingml/2006/main">
                  <a:graphicData uri="http://schemas.microsoft.com/office/word/2010/wordprocessingShape">
                    <wps:wsp>
                      <wps:cNvSpPr txBox="1"/>
                      <wps:spPr>
                        <a:xfrm>
                          <a:off x="0" y="0"/>
                          <a:ext cx="1028700" cy="52387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发生事故的通</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知</w:t>
                            </w:r>
                          </w:p>
                          <w:p>
                            <w:pPr>
                              <w:rPr>
                                <w:rFonts w:cs="Times New Roman"/>
                                <w:color w:val="000000"/>
                                <w:sz w:val="18"/>
                                <w:szCs w:val="18"/>
                              </w:rPr>
                            </w:pPr>
                          </w:p>
                        </w:txbxContent>
                      </wps:txbx>
                      <wps:bodyPr upright="1"/>
                    </wps:wsp>
                  </a:graphicData>
                </a:graphic>
              </wp:anchor>
            </w:drawing>
          </mc:Choice>
          <mc:Fallback>
            <w:pict>
              <v:shape id="文本框 30" o:spid="_x0000_s1026" o:spt="202" type="#_x0000_t202" style="position:absolute;left:0pt;margin-left:-9pt;margin-top:18.05pt;height:41.25pt;width:81pt;z-index:251687936;mso-width-relative:page;mso-height-relative:page;" filled="f" stroked="f" coordsize="21600,21600" o:gfxdata="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NQGxh/WAAAA&#10;CgEAAA8AAAAAAAAAAQAgAAAAIgAAAGRycy9kb3ducmV2LnhtbFBLAQIUABQAAAAIAIdO4kB4ahTL&#10;rQEAAFADAAAOAAAAAAAAAAEAIAAAACUBAABkcnMvZTJvRG9jLnhtbFBLBQYAAAAABgAGAFkBAABE&#10;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发生事故的通</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知</w:t>
                      </w:r>
                    </w:p>
                    <w:p>
                      <w:pPr>
                        <w:rPr>
                          <w:rFonts w:cs="Times New Roman"/>
                          <w:color w:val="000000"/>
                          <w:sz w:val="18"/>
                          <w:szCs w:val="18"/>
                        </w:rPr>
                      </w:pPr>
                    </w:p>
                  </w:txbxContent>
                </v:textbox>
              </v:shape>
            </w:pict>
          </mc:Fallback>
        </mc:AlternateContent>
      </w:r>
      <w:r>
        <w:rPr>
          <w:rFonts w:ascii="仿宋" w:hAnsi="仿宋" w:eastAsia="仿宋" w:cs="仿宋"/>
          <w:b/>
          <w:bCs/>
          <w:color w:val="auto"/>
          <w:sz w:val="24"/>
          <w:szCs w:val="24"/>
          <w:highlight w:val="none"/>
        </w:rPr>
        <w:t xml:space="preserve">12.1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合同履行期间，合同工程发生质量与安全事故，承包人立即通知监理工程师和发包人。</w:t>
      </w:r>
    </w:p>
    <w:p>
      <w:pPr>
        <w:pStyle w:val="2"/>
        <w:shd w:val="clear" w:color="000000" w:fill="auto"/>
        <w:adjustRightInd w:val="0"/>
        <w:snapToGrid w:val="0"/>
        <w:spacing w:line="480" w:lineRule="auto"/>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688960" behindDoc="0" locked="0" layoutInCell="1" allowOverlap="1">
                <wp:simplePos x="0" y="0"/>
                <wp:positionH relativeFrom="column">
                  <wp:posOffset>-114300</wp:posOffset>
                </wp:positionH>
                <wp:positionV relativeFrom="paragraph">
                  <wp:posOffset>224790</wp:posOffset>
                </wp:positionV>
                <wp:extent cx="1028700" cy="297180"/>
                <wp:effectExtent l="0" t="0" r="0" b="0"/>
                <wp:wrapNone/>
                <wp:docPr id="30" name="文本框 31"/>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事故的处理</w:t>
                            </w:r>
                          </w:p>
                        </w:txbxContent>
                      </wps:txbx>
                      <wps:bodyPr upright="1"/>
                    </wps:wsp>
                  </a:graphicData>
                </a:graphic>
              </wp:anchor>
            </w:drawing>
          </mc:Choice>
          <mc:Fallback>
            <w:pict>
              <v:shape id="文本框 31" o:spid="_x0000_s1026" o:spt="202" type="#_x0000_t202" style="position:absolute;left:0pt;margin-left:-9pt;margin-top:17.7pt;height:23.4pt;width:81pt;z-index:251688960;mso-width-relative:page;mso-height-relative:page;" filled="f" stroked="f" coordsize="21600,21600" o:gfxdata="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1nJll1gAA&#10;AAkBAAAPAAAAAAAAAAEAIAAAACIAAABkcnMvZG93bnJldi54bWxQSwECFAAUAAAACACHTuJAoG1u&#10;Fa4BAABQAwAADgAAAAAAAAABACAAAAAlAQAAZHJzL2Uyb0RvYy54bWxQSwUGAAAAAAYABgBZAQAA&#10;RQ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事故的处理</w:t>
                      </w:r>
                    </w:p>
                  </w:txbxContent>
                </v:textbox>
              </v:shape>
            </w:pict>
          </mc:Fallback>
        </mc:AlternateContent>
      </w:r>
      <w:r>
        <w:rPr>
          <w:rFonts w:ascii="仿宋" w:hAnsi="仿宋" w:eastAsia="仿宋" w:cs="仿宋"/>
          <w:b/>
          <w:bCs/>
          <w:color w:val="auto"/>
          <w:sz w:val="24"/>
          <w:szCs w:val="24"/>
          <w:highlight w:val="none"/>
        </w:rPr>
        <w:t xml:space="preserve">12.2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接到事故通知后，合同双方当事人应立即组织人员和设备进行紧急抢救和抢修，减少人员伤亡和财产损失，防止事故扩大，并保护事故现场。需移动现场物品时，应做好标记和书面记录，妥善保护有关证据。</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合同双方当事人应按照国家规定时限如实上报政府有关部门，配合政府有关部门的调查和处理，由此发生的费用和（或）延误的工期由事故责任方承担。</w:t>
      </w:r>
    </w:p>
    <w:p>
      <w:pPr>
        <w:pStyle w:val="2"/>
        <w:shd w:val="clear" w:color="000000" w:fill="auto"/>
        <w:adjustRightInd w:val="0"/>
        <w:snapToGrid w:val="0"/>
        <w:spacing w:line="480" w:lineRule="auto"/>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689984" behindDoc="0" locked="0" layoutInCell="1" allowOverlap="1">
                <wp:simplePos x="0" y="0"/>
                <wp:positionH relativeFrom="column">
                  <wp:posOffset>-114300</wp:posOffset>
                </wp:positionH>
                <wp:positionV relativeFrom="paragraph">
                  <wp:posOffset>224790</wp:posOffset>
                </wp:positionV>
                <wp:extent cx="1028700" cy="297180"/>
                <wp:effectExtent l="0" t="0" r="0" b="0"/>
                <wp:wrapNone/>
                <wp:docPr id="31" name="文本框 32"/>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事故争议认定</w:t>
                            </w:r>
                          </w:p>
                        </w:txbxContent>
                      </wps:txbx>
                      <wps:bodyPr upright="1"/>
                    </wps:wsp>
                  </a:graphicData>
                </a:graphic>
              </wp:anchor>
            </w:drawing>
          </mc:Choice>
          <mc:Fallback>
            <w:pict>
              <v:shape id="文本框 32" o:spid="_x0000_s1026" o:spt="202" type="#_x0000_t202" style="position:absolute;left:0pt;margin-left:-9pt;margin-top:17.7pt;height:23.4pt;width:81pt;z-index:251689984;mso-width-relative:page;mso-height-relative:page;" filled="f" stroked="f" coordsize="21600,21600" o:gfxdata="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1nJll1gAA&#10;AAkBAAAPAAAAAAAAAAEAIAAAACIAAABkcnMvZG93bnJldi54bWxQSwECFAAUAAAACACHTuJACcfZ&#10;/K4BAABQAwAADgAAAAAAAAABACAAAAAlAQAAZHJzL2Uyb0RvYy54bWxQSwUGAAAAAAYABgBZAQAA&#10;RQ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事故争议认定</w:t>
                      </w:r>
                    </w:p>
                  </w:txbxContent>
                </v:textbox>
              </v:shape>
            </w:pict>
          </mc:Fallback>
        </mc:AlternateContent>
      </w:r>
      <w:r>
        <w:rPr>
          <w:rFonts w:ascii="仿宋" w:hAnsi="仿宋" w:eastAsia="仿宋" w:cs="仿宋"/>
          <w:b/>
          <w:bCs/>
          <w:color w:val="auto"/>
          <w:sz w:val="24"/>
          <w:szCs w:val="24"/>
          <w:highlight w:val="none"/>
        </w:rPr>
        <w:t xml:space="preserve">12.3  </w:t>
      </w:r>
      <w:r>
        <w:rPr>
          <w:rFonts w:ascii="仿宋" w:hAnsi="仿宋" w:eastAsia="仿宋" w:cs="仿宋"/>
          <w:b/>
          <w:bCs/>
          <w:color w:val="auto"/>
          <w:sz w:val="24"/>
          <w:szCs w:val="24"/>
          <w:highlight w:val="none"/>
          <w:u w:val="dotted"/>
        </w:rPr>
        <w:t xml:space="preserve">                                                                                                        </w:t>
      </w:r>
    </w:p>
    <w:p>
      <w:pPr>
        <w:pStyle w:val="2"/>
        <w:shd w:val="clear" w:color="000000" w:fill="auto"/>
        <w:tabs>
          <w:tab w:val="left" w:pos="1620"/>
        </w:tabs>
        <w:adjustRightInd w:val="0"/>
        <w:snapToGrid w:val="0"/>
        <w:spacing w:line="360" w:lineRule="auto"/>
        <w:ind w:left="1418" w:leftChars="675"/>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合同双方当事人对事故责任有争议时，应按照政府有关部门的认定处理或由司法机关判决。</w:t>
      </w:r>
    </w:p>
    <w:p>
      <w:pPr>
        <w:pStyle w:val="2"/>
        <w:shd w:val="clear" w:color="000000" w:fill="auto"/>
        <w:adjustRightInd w:val="0"/>
        <w:snapToGrid w:val="0"/>
        <w:spacing w:line="480" w:lineRule="auto"/>
        <w:ind w:right="-238"/>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u w:val="single"/>
        </w:rPr>
        <w:t xml:space="preserve">                                                                                  </w:t>
      </w:r>
      <w:r>
        <w:rPr>
          <w:rFonts w:ascii="仿宋" w:hAnsi="仿宋" w:eastAsia="仿宋" w:cs="仿宋"/>
          <w:b/>
          <w:bCs/>
          <w:color w:val="auto"/>
          <w:sz w:val="24"/>
          <w:szCs w:val="24"/>
          <w:highlight w:val="none"/>
        </w:rPr>
        <w:t xml:space="preserve">  </w:t>
      </w:r>
      <w:r>
        <w:rPr>
          <w:rFonts w:ascii="仿宋" w:hAnsi="仿宋" w:eastAsia="仿宋" w:cs="仿宋"/>
          <w:color w:val="auto"/>
          <w:sz w:val="24"/>
          <w:szCs w:val="24"/>
          <w:highlight w:val="none"/>
        </w:rPr>
        <w:t xml:space="preserve">                         </w:t>
      </w:r>
    </w:p>
    <w:p>
      <w:pPr>
        <w:pStyle w:val="2"/>
        <w:shd w:val="clear" w:color="000000" w:fill="auto"/>
        <w:tabs>
          <w:tab w:val="left" w:pos="1620"/>
        </w:tabs>
        <w:adjustRightInd w:val="0"/>
        <w:snapToGrid w:val="0"/>
        <w:spacing w:before="240" w:beforeLines="100" w:line="360" w:lineRule="auto"/>
        <w:ind w:right="-237" w:rightChars="-113"/>
        <w:outlineLvl w:val="2"/>
        <w:rPr>
          <w:rFonts w:ascii="仿宋" w:hAnsi="仿宋" w:eastAsia="仿宋" w:cs="Times New Roman"/>
          <w:b/>
          <w:bCs/>
          <w:color w:val="auto"/>
          <w:sz w:val="24"/>
          <w:szCs w:val="24"/>
          <w:highlight w:val="none"/>
        </w:rPr>
      </w:pPr>
      <w:bookmarkStart w:id="147" w:name="_Toc469383992"/>
      <w:bookmarkStart w:id="148" w:name="_Toc10624832"/>
      <w:bookmarkStart w:id="149" w:name="_Toc28145"/>
      <w:r>
        <w:rPr>
          <w:rFonts w:ascii="仿宋" w:hAnsi="仿宋" w:eastAsia="仿宋" w:cs="仿宋"/>
          <w:b/>
          <w:bCs/>
          <w:color w:val="auto"/>
          <w:sz w:val="24"/>
          <w:szCs w:val="24"/>
          <w:highlight w:val="none"/>
        </w:rPr>
        <w:t xml:space="preserve">13  </w:t>
      </w:r>
      <w:r>
        <w:rPr>
          <w:rFonts w:hint="eastAsia" w:ascii="仿宋" w:hAnsi="仿宋" w:eastAsia="仿宋" w:cs="仿宋"/>
          <w:b/>
          <w:bCs/>
          <w:color w:val="auto"/>
          <w:sz w:val="24"/>
          <w:szCs w:val="24"/>
          <w:highlight w:val="none"/>
        </w:rPr>
        <w:t>交通运输</w:t>
      </w:r>
      <w:bookmarkEnd w:id="147"/>
      <w:bookmarkEnd w:id="148"/>
      <w:bookmarkEnd w:id="149"/>
    </w:p>
    <w:p>
      <w:pPr>
        <w:pStyle w:val="2"/>
        <w:shd w:val="clear" w:color="000000" w:fill="auto"/>
        <w:adjustRightInd w:val="0"/>
        <w:snapToGrid w:val="0"/>
        <w:spacing w:line="360" w:lineRule="auto"/>
        <w:rPr>
          <w:rFonts w:ascii="仿宋" w:hAnsi="仿宋" w:eastAsia="仿宋" w:cs="仿宋"/>
          <w:b/>
          <w:bCs/>
          <w:color w:val="auto"/>
          <w:sz w:val="24"/>
          <w:szCs w:val="24"/>
          <w:highlight w:val="none"/>
        </w:rPr>
      </w:pPr>
      <w:r>
        <w:rPr>
          <w:color w:val="auto"/>
          <w:highlight w:val="none"/>
        </w:rPr>
        <mc:AlternateContent>
          <mc:Choice Requires="wps">
            <w:drawing>
              <wp:anchor distT="0" distB="0" distL="114300" distR="114300" simplePos="0" relativeHeight="251691008" behindDoc="0" locked="0" layoutInCell="1" allowOverlap="1">
                <wp:simplePos x="0" y="0"/>
                <wp:positionH relativeFrom="column">
                  <wp:posOffset>-114300</wp:posOffset>
                </wp:positionH>
                <wp:positionV relativeFrom="paragraph">
                  <wp:posOffset>229235</wp:posOffset>
                </wp:positionV>
                <wp:extent cx="1028700" cy="523875"/>
                <wp:effectExtent l="0" t="0" r="0" b="0"/>
                <wp:wrapNone/>
                <wp:docPr id="32" name="文本框 33"/>
                <wp:cNvGraphicFramePr/>
                <a:graphic xmlns:a="http://schemas.openxmlformats.org/drawingml/2006/main">
                  <a:graphicData uri="http://schemas.microsoft.com/office/word/2010/wordprocessingShape">
                    <wps:wsp>
                      <wps:cNvSpPr txBox="1"/>
                      <wps:spPr>
                        <a:xfrm>
                          <a:off x="0" y="0"/>
                          <a:ext cx="1028700" cy="52387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道路通行权和</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场外设施</w:t>
                            </w:r>
                          </w:p>
                          <w:p>
                            <w:pPr>
                              <w:rPr>
                                <w:rFonts w:cs="Times New Roman"/>
                                <w:color w:val="0000FF"/>
                                <w:sz w:val="18"/>
                                <w:szCs w:val="18"/>
                              </w:rPr>
                            </w:pPr>
                          </w:p>
                          <w:p>
                            <w:pPr>
                              <w:rPr>
                                <w:rFonts w:cs="Times New Roman"/>
                                <w:sz w:val="18"/>
                                <w:szCs w:val="18"/>
                              </w:rPr>
                            </w:pPr>
                          </w:p>
                        </w:txbxContent>
                      </wps:txbx>
                      <wps:bodyPr upright="1"/>
                    </wps:wsp>
                  </a:graphicData>
                </a:graphic>
              </wp:anchor>
            </w:drawing>
          </mc:Choice>
          <mc:Fallback>
            <w:pict>
              <v:shape id="文本框 33" o:spid="_x0000_s1026" o:spt="202" type="#_x0000_t202" style="position:absolute;left:0pt;margin-left:-9pt;margin-top:18.05pt;height:41.25pt;width:81pt;z-index:251691008;mso-width-relative:page;mso-height-relative:page;" filled="f" stroked="f" coordsize="21600,21600" o:gfxdata="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UBsYf1gAA&#10;AAoBAAAPAAAAAAAAAAEAIAAAACIAAABkcnMvZG93bnJldi54bWxQSwECFAAUAAAACACHTuJA0QeR&#10;aK4BAABQAwAADgAAAAAAAAABACAAAAAlAQAAZHJzL2Uyb0RvYy54bWxQSwUGAAAAAAYABgBZAQAA&#10;RQ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道路通行权和</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场外设施</w:t>
                      </w:r>
                    </w:p>
                    <w:p>
                      <w:pPr>
                        <w:rPr>
                          <w:rFonts w:cs="Times New Roman"/>
                          <w:color w:val="0000FF"/>
                          <w:sz w:val="18"/>
                          <w:szCs w:val="18"/>
                        </w:rPr>
                      </w:pPr>
                    </w:p>
                    <w:p>
                      <w:pPr>
                        <w:rPr>
                          <w:rFonts w:cs="Times New Roman"/>
                          <w:sz w:val="18"/>
                          <w:szCs w:val="18"/>
                        </w:rPr>
                      </w:pPr>
                    </w:p>
                  </w:txbxContent>
                </v:textbox>
              </v:shape>
            </w:pict>
          </mc:Fallback>
        </mc:AlternateContent>
      </w:r>
      <w:r>
        <w:rPr>
          <w:rFonts w:ascii="仿宋" w:hAnsi="仿宋" w:eastAsia="仿宋" w:cs="仿宋"/>
          <w:b/>
          <w:bCs/>
          <w:color w:val="auto"/>
          <w:sz w:val="24"/>
          <w:szCs w:val="24"/>
          <w:highlight w:val="none"/>
        </w:rPr>
        <w:t xml:space="preserve">13.1                   </w:t>
      </w:r>
    </w:p>
    <w:p>
      <w:pPr>
        <w:pStyle w:val="2"/>
        <w:shd w:val="clear" w:color="000000" w:fill="auto"/>
        <w:tabs>
          <w:tab w:val="left" w:pos="1202"/>
        </w:tabs>
        <w:adjustRightInd w:val="0"/>
        <w:snapToGrid w:val="0"/>
        <w:spacing w:line="360" w:lineRule="auto"/>
        <w:ind w:left="1619" w:leftChars="771"/>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除专用条款另有约定外，发包人应根据实施合同工程的需要，负责办理取得出入施工场地的专用和临时道路的通行权，以及取得为实施合同工程所需修建场外设施的权利，并承担有关费用（包括运输超大件或超重件所需的道路和桥梁临时加固改造费用和其他有关费用）。承包人应协助发包人办理上述手续。</w:t>
      </w:r>
    </w:p>
    <w:p>
      <w:pPr>
        <w:pStyle w:val="2"/>
        <w:shd w:val="clear" w:color="000000" w:fill="auto"/>
        <w:tabs>
          <w:tab w:val="left" w:pos="1202"/>
        </w:tabs>
        <w:adjustRightInd w:val="0"/>
        <w:snapToGrid w:val="0"/>
        <w:spacing w:line="360" w:lineRule="auto"/>
        <w:ind w:left="1619" w:leftChars="771"/>
        <w:rPr>
          <w:rFonts w:ascii="仿宋" w:hAnsi="仿宋" w:eastAsia="仿宋" w:cs="仿宋"/>
          <w:color w:val="auto"/>
          <w:sz w:val="24"/>
          <w:szCs w:val="24"/>
          <w:highlight w:val="none"/>
        </w:rPr>
      </w:pPr>
      <w:r>
        <w:rPr>
          <w:rFonts w:ascii="仿宋" w:hAnsi="仿宋" w:eastAsia="仿宋" w:cs="仿宋"/>
          <w:color w:val="auto"/>
          <w:sz w:val="24"/>
          <w:szCs w:val="24"/>
          <w:highlight w:val="none"/>
        </w:rPr>
        <w:t>承包人应在订立合同前查勘施工现场，并根据工程规模及技术参数合理预见工程施工所需的进出施工现场的方式、手段、路径等。因承包人未合理预见所增加的费用和（或）延误的工期由承包人承担。</w:t>
      </w:r>
    </w:p>
    <w:p>
      <w:pPr>
        <w:pStyle w:val="2"/>
        <w:shd w:val="clear" w:color="000000" w:fill="auto"/>
        <w:tabs>
          <w:tab w:val="left" w:pos="1202"/>
        </w:tabs>
        <w:adjustRightInd w:val="0"/>
        <w:snapToGrid w:val="0"/>
        <w:spacing w:line="360" w:lineRule="auto"/>
        <w:ind w:left="1417" w:leftChars="1" w:hanging="1415" w:hangingChars="674"/>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692032" behindDoc="0" locked="0" layoutInCell="1" allowOverlap="1">
                <wp:simplePos x="0" y="0"/>
                <wp:positionH relativeFrom="column">
                  <wp:posOffset>-114300</wp:posOffset>
                </wp:positionH>
                <wp:positionV relativeFrom="paragraph">
                  <wp:posOffset>333375</wp:posOffset>
                </wp:positionV>
                <wp:extent cx="1028700" cy="523875"/>
                <wp:effectExtent l="0" t="0" r="0" b="0"/>
                <wp:wrapNone/>
                <wp:docPr id="33" name="文本框 34"/>
                <wp:cNvGraphicFramePr/>
                <a:graphic xmlns:a="http://schemas.openxmlformats.org/drawingml/2006/main">
                  <a:graphicData uri="http://schemas.microsoft.com/office/word/2010/wordprocessingShape">
                    <wps:wsp>
                      <wps:cNvSpPr txBox="1"/>
                      <wps:spPr>
                        <a:xfrm>
                          <a:off x="0" y="0"/>
                          <a:ext cx="1028700" cy="52387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场内临时道路</w:t>
                            </w:r>
                          </w:p>
                          <w:p>
                            <w:pPr>
                              <w:rPr>
                                <w:rFonts w:ascii="宋体" w:cs="Times New Roman"/>
                                <w:color w:val="000000"/>
                                <w:sz w:val="24"/>
                                <w:szCs w:val="24"/>
                              </w:rPr>
                            </w:pPr>
                            <w:r>
                              <w:rPr>
                                <w:rFonts w:hint="eastAsia" w:ascii="楷体_GB2312" w:hAnsi="宋体" w:eastAsia="楷体_GB2312" w:cs="楷体_GB2312"/>
                                <w:b/>
                                <w:bCs/>
                                <w:color w:val="000000"/>
                                <w:sz w:val="18"/>
                                <w:szCs w:val="18"/>
                              </w:rPr>
                              <w:t>和交通设施</w:t>
                            </w:r>
                          </w:p>
                          <w:p>
                            <w:pPr>
                              <w:rPr>
                                <w:rFonts w:cs="Times New Roman"/>
                                <w:color w:val="0000FF"/>
                                <w:sz w:val="18"/>
                                <w:szCs w:val="18"/>
                              </w:rPr>
                            </w:pPr>
                          </w:p>
                          <w:p>
                            <w:pPr>
                              <w:rPr>
                                <w:rFonts w:cs="Times New Roman"/>
                                <w:sz w:val="18"/>
                                <w:szCs w:val="18"/>
                              </w:rPr>
                            </w:pPr>
                          </w:p>
                        </w:txbxContent>
                      </wps:txbx>
                      <wps:bodyPr upright="1"/>
                    </wps:wsp>
                  </a:graphicData>
                </a:graphic>
              </wp:anchor>
            </w:drawing>
          </mc:Choice>
          <mc:Fallback>
            <w:pict>
              <v:shape id="文本框 34" o:spid="_x0000_s1026" o:spt="202" type="#_x0000_t202" style="position:absolute;left:0pt;margin-left:-9pt;margin-top:26.25pt;height:41.25pt;width:81pt;z-index:251692032;mso-width-relative:page;mso-height-relative:page;" filled="f" stroked="f" coordsize="21600,21600" o:gfxdata="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FSeK5nY&#10;AAAACgEAAA8AAAAAAAAAAQAgAAAAIgAAAGRycy9kb3ducmV2LnhtbFBLAQIUABQAAAAIAIdO4kCI&#10;sliorgEAAFADAAAOAAAAAAAAAAEAIAAAACcBAABkcnMvZTJvRG9jLnhtbFBLBQYAAAAABgAGAFkB&#10;AABH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场内临时道路</w:t>
                      </w:r>
                    </w:p>
                    <w:p>
                      <w:pPr>
                        <w:rPr>
                          <w:rFonts w:ascii="宋体" w:cs="Times New Roman"/>
                          <w:color w:val="000000"/>
                          <w:sz w:val="24"/>
                          <w:szCs w:val="24"/>
                        </w:rPr>
                      </w:pPr>
                      <w:r>
                        <w:rPr>
                          <w:rFonts w:hint="eastAsia" w:ascii="楷体_GB2312" w:hAnsi="宋体" w:eastAsia="楷体_GB2312" w:cs="楷体_GB2312"/>
                          <w:b/>
                          <w:bCs/>
                          <w:color w:val="000000"/>
                          <w:sz w:val="18"/>
                          <w:szCs w:val="18"/>
                        </w:rPr>
                        <w:t>和交通设施</w:t>
                      </w:r>
                    </w:p>
                    <w:p>
                      <w:pPr>
                        <w:rPr>
                          <w:rFonts w:cs="Times New Roman"/>
                          <w:color w:val="0000FF"/>
                          <w:sz w:val="18"/>
                          <w:szCs w:val="18"/>
                        </w:rPr>
                      </w:pPr>
                    </w:p>
                    <w:p>
                      <w:pPr>
                        <w:rPr>
                          <w:rFonts w:cs="Times New Roman"/>
                          <w:sz w:val="18"/>
                          <w:szCs w:val="18"/>
                        </w:rPr>
                      </w:pPr>
                    </w:p>
                  </w:txbxContent>
                </v:textbox>
              </v:shape>
            </w:pict>
          </mc:Fallback>
        </mc:AlternateContent>
      </w:r>
      <w:r>
        <w:rPr>
          <w:rFonts w:ascii="仿宋" w:hAnsi="仿宋" w:eastAsia="仿宋" w:cs="仿宋"/>
          <w:b/>
          <w:bCs/>
          <w:color w:val="auto"/>
          <w:sz w:val="24"/>
          <w:szCs w:val="24"/>
          <w:highlight w:val="none"/>
        </w:rPr>
        <w:t>13.2</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除专用条款另有约定外，承包人应负责修建、维修、养护和管理施工场地内所需的临时道路和交通设施，包括维修、养护和管理发包人提供的道路和交通设施，并承担相应费用。</w:t>
      </w:r>
    </w:p>
    <w:p>
      <w:pPr>
        <w:pStyle w:val="2"/>
        <w:shd w:val="clear" w:color="000000" w:fill="auto"/>
        <w:tabs>
          <w:tab w:val="left" w:pos="1202"/>
        </w:tabs>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承包人修建的临时道路和交通设施应免费提供发包人使用。</w:t>
      </w:r>
    </w:p>
    <w:p>
      <w:pPr>
        <w:pStyle w:val="2"/>
        <w:shd w:val="clear" w:color="000000" w:fill="auto"/>
        <w:adjustRightInd w:val="0"/>
        <w:snapToGrid w:val="0"/>
        <w:spacing w:line="360" w:lineRule="auto"/>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693056" behindDoc="0" locked="0" layoutInCell="1" allowOverlap="1">
                <wp:simplePos x="0" y="0"/>
                <wp:positionH relativeFrom="column">
                  <wp:posOffset>-114300</wp:posOffset>
                </wp:positionH>
                <wp:positionV relativeFrom="paragraph">
                  <wp:posOffset>224790</wp:posOffset>
                </wp:positionV>
                <wp:extent cx="1028700" cy="297180"/>
                <wp:effectExtent l="0" t="0" r="0" b="0"/>
                <wp:wrapNone/>
                <wp:docPr id="34" name="文本框 35"/>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场外交通</w:t>
                            </w:r>
                          </w:p>
                        </w:txbxContent>
                      </wps:txbx>
                      <wps:bodyPr upright="1"/>
                    </wps:wsp>
                  </a:graphicData>
                </a:graphic>
              </wp:anchor>
            </w:drawing>
          </mc:Choice>
          <mc:Fallback>
            <w:pict>
              <v:shape id="文本框 35" o:spid="_x0000_s1026" o:spt="202" type="#_x0000_t202" style="position:absolute;left:0pt;margin-left:-9pt;margin-top:17.7pt;height:23.4pt;width:81pt;z-index:251693056;mso-width-relative:page;mso-height-relative:page;" filled="f" stroked="f" coordsize="21600,21600" o:gfxdata="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tZyZZdYA&#10;AAAJAQAADwAAAAAAAAABACAAAAAiAAAAZHJzL2Rvd25yZXYueG1sUEsBAhQAFAAAAAgAh07iQGb0&#10;rlevAQAAUAMAAA4AAAAAAAAAAQAgAAAAJQEAAGRycy9lMm9Eb2MueG1sUEsFBgAAAAAGAAYAWQEA&#10;AEY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场外交通</w:t>
                      </w:r>
                    </w:p>
                  </w:txbxContent>
                </v:textbox>
              </v:shape>
            </w:pict>
          </mc:Fallback>
        </mc:AlternateContent>
      </w:r>
      <w:r>
        <w:rPr>
          <w:rFonts w:ascii="仿宋" w:hAnsi="仿宋" w:eastAsia="仿宋" w:cs="仿宋"/>
          <w:b/>
          <w:bCs/>
          <w:color w:val="auto"/>
          <w:sz w:val="24"/>
          <w:szCs w:val="24"/>
          <w:highlight w:val="none"/>
        </w:rPr>
        <w:t xml:space="preserve">13.3  </w:t>
      </w:r>
      <w:r>
        <w:rPr>
          <w:rFonts w:ascii="仿宋" w:hAnsi="仿宋" w:eastAsia="仿宋" w:cs="仿宋"/>
          <w:b/>
          <w:bCs/>
          <w:color w:val="auto"/>
          <w:sz w:val="24"/>
          <w:szCs w:val="24"/>
          <w:highlight w:val="none"/>
          <w:u w:val="dotted"/>
        </w:rPr>
        <w:t xml:space="preserve">                                                                                                        </w:t>
      </w:r>
    </w:p>
    <w:p>
      <w:pPr>
        <w:pStyle w:val="2"/>
        <w:shd w:val="clear" w:color="000000" w:fill="auto"/>
        <w:tabs>
          <w:tab w:val="left" w:pos="1202"/>
        </w:tabs>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承包人应遵守有关交通法规，严格按照道路和桥梁的限制荷重安全行驶，并服从交通管理部门的检查和监督。承包人车辆外出行驶所需的场外公共道路的通行费、养路费和税款等，由承包人承担。</w:t>
      </w:r>
    </w:p>
    <w:p>
      <w:pPr>
        <w:pStyle w:val="2"/>
        <w:shd w:val="clear" w:color="000000" w:fill="auto"/>
        <w:adjustRightInd w:val="0"/>
        <w:snapToGrid w:val="0"/>
        <w:spacing w:line="360" w:lineRule="auto"/>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694080" behindDoc="0" locked="0" layoutInCell="1" allowOverlap="1">
                <wp:simplePos x="0" y="0"/>
                <wp:positionH relativeFrom="column">
                  <wp:posOffset>-114300</wp:posOffset>
                </wp:positionH>
                <wp:positionV relativeFrom="paragraph">
                  <wp:posOffset>224790</wp:posOffset>
                </wp:positionV>
                <wp:extent cx="1028700" cy="466090"/>
                <wp:effectExtent l="0" t="0" r="0" b="0"/>
                <wp:wrapNone/>
                <wp:docPr id="35" name="文本框 36"/>
                <wp:cNvGraphicFramePr/>
                <a:graphic xmlns:a="http://schemas.openxmlformats.org/drawingml/2006/main">
                  <a:graphicData uri="http://schemas.microsoft.com/office/word/2010/wordprocessingShape">
                    <wps:wsp>
                      <wps:cNvSpPr txBox="1"/>
                      <wps:spPr>
                        <a:xfrm>
                          <a:off x="0" y="0"/>
                          <a:ext cx="1028700" cy="46609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超大件和超重</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件的运输</w:t>
                            </w:r>
                          </w:p>
                        </w:txbxContent>
                      </wps:txbx>
                      <wps:bodyPr upright="1"/>
                    </wps:wsp>
                  </a:graphicData>
                </a:graphic>
              </wp:anchor>
            </w:drawing>
          </mc:Choice>
          <mc:Fallback>
            <w:pict>
              <v:shape id="文本框 36" o:spid="_x0000_s1026" o:spt="202" type="#_x0000_t202" style="position:absolute;left:0pt;margin-left:-9pt;margin-top:17.7pt;height:36.7pt;width:81pt;z-index:251694080;mso-width-relative:page;mso-height-relative:page;" filled="f" stroked="f" coordsize="21600,21600" o:gfxdata="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BvSKrfX&#10;AAAACgEAAA8AAAAAAAAAAQAgAAAAIgAAAGRycy9kb3ducmV2LnhtbFBLAQIUABQAAAAIAIdO4kCP&#10;Mt0PrwEAAFADAAAOAAAAAAAAAAEAIAAAACYBAABkcnMvZTJvRG9jLnhtbFBLBQYAAAAABgAGAFkB&#10;AABH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超大件和超重</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件的运输</w:t>
                      </w:r>
                    </w:p>
                  </w:txbxContent>
                </v:textbox>
              </v:shape>
            </w:pict>
          </mc:Fallback>
        </mc:AlternateContent>
      </w:r>
      <w:r>
        <w:rPr>
          <w:rFonts w:ascii="仿宋" w:hAnsi="仿宋" w:eastAsia="仿宋" w:cs="仿宋"/>
          <w:b/>
          <w:bCs/>
          <w:color w:val="auto"/>
          <w:sz w:val="24"/>
          <w:szCs w:val="24"/>
          <w:highlight w:val="none"/>
        </w:rPr>
        <w:t xml:space="preserve">13.4  </w:t>
      </w:r>
      <w:r>
        <w:rPr>
          <w:rFonts w:ascii="仿宋" w:hAnsi="仿宋" w:eastAsia="仿宋" w:cs="仿宋"/>
          <w:b/>
          <w:bCs/>
          <w:color w:val="auto"/>
          <w:sz w:val="24"/>
          <w:szCs w:val="24"/>
          <w:highlight w:val="none"/>
          <w:u w:val="dotted"/>
        </w:rPr>
        <w:t xml:space="preserve">                                                                                                        </w:t>
      </w:r>
    </w:p>
    <w:p>
      <w:pPr>
        <w:pStyle w:val="2"/>
        <w:shd w:val="clear" w:color="000000" w:fill="auto"/>
        <w:tabs>
          <w:tab w:val="left" w:pos="1202"/>
        </w:tabs>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应负责向交通管理部门办理运输超大件或超重件的申请手续，发包人应协助承包人办理上述手续。除专用条款另有约定外，运输超大件或超重件所需的道路和桥梁临时加固改造费用和其他有关费用，由承包人承担。</w:t>
      </w:r>
    </w:p>
    <w:p>
      <w:pPr>
        <w:pStyle w:val="2"/>
        <w:shd w:val="clear" w:color="000000" w:fill="auto"/>
        <w:adjustRightInd w:val="0"/>
        <w:snapToGrid w:val="0"/>
        <w:spacing w:line="360" w:lineRule="auto"/>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695104" behindDoc="0" locked="0" layoutInCell="1" allowOverlap="1">
                <wp:simplePos x="0" y="0"/>
                <wp:positionH relativeFrom="column">
                  <wp:posOffset>-114300</wp:posOffset>
                </wp:positionH>
                <wp:positionV relativeFrom="paragraph">
                  <wp:posOffset>224790</wp:posOffset>
                </wp:positionV>
                <wp:extent cx="1028700" cy="466090"/>
                <wp:effectExtent l="0" t="0" r="0" b="0"/>
                <wp:wrapNone/>
                <wp:docPr id="36" name="文本框 37"/>
                <wp:cNvGraphicFramePr/>
                <a:graphic xmlns:a="http://schemas.openxmlformats.org/drawingml/2006/main">
                  <a:graphicData uri="http://schemas.microsoft.com/office/word/2010/wordprocessingShape">
                    <wps:wsp>
                      <wps:cNvSpPr txBox="1"/>
                      <wps:spPr>
                        <a:xfrm>
                          <a:off x="0" y="0"/>
                          <a:ext cx="1028700" cy="46609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道路和桥梁的</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损坏责任</w:t>
                            </w:r>
                          </w:p>
                        </w:txbxContent>
                      </wps:txbx>
                      <wps:bodyPr upright="1"/>
                    </wps:wsp>
                  </a:graphicData>
                </a:graphic>
              </wp:anchor>
            </w:drawing>
          </mc:Choice>
          <mc:Fallback>
            <w:pict>
              <v:shape id="文本框 37" o:spid="_x0000_s1026" o:spt="202" type="#_x0000_t202" style="position:absolute;left:0pt;margin-left:-9pt;margin-top:17.7pt;height:36.7pt;width:81pt;z-index:251695104;mso-width-relative:page;mso-height-relative:page;" filled="f" stroked="f" coordsize="21600,21600" o:gfxdata="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BvSKrfX&#10;AAAACgEAAA8AAAAAAAAAAQAgAAAAIgAAAGRycy9kb3ducmV2LnhtbFBLAQIUABQAAAAIAIdO4kDF&#10;1ArHrwEAAFADAAAOAAAAAAAAAAEAIAAAACYBAABkcnMvZTJvRG9jLnhtbFBLBQYAAAAABgAGAFkB&#10;AABH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道路和桥梁的</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损坏责任</w:t>
                      </w:r>
                    </w:p>
                  </w:txbxContent>
                </v:textbox>
              </v:shape>
            </w:pict>
          </mc:Fallback>
        </mc:AlternateContent>
      </w:r>
      <w:r>
        <w:rPr>
          <w:rFonts w:ascii="仿宋" w:hAnsi="仿宋" w:eastAsia="仿宋" w:cs="仿宋"/>
          <w:b/>
          <w:bCs/>
          <w:color w:val="auto"/>
          <w:sz w:val="24"/>
          <w:szCs w:val="24"/>
          <w:highlight w:val="none"/>
        </w:rPr>
        <w:t xml:space="preserve">13.5  </w:t>
      </w:r>
      <w:r>
        <w:rPr>
          <w:rFonts w:ascii="仿宋" w:hAnsi="仿宋" w:eastAsia="仿宋" w:cs="仿宋"/>
          <w:b/>
          <w:bCs/>
          <w:color w:val="auto"/>
          <w:sz w:val="24"/>
          <w:szCs w:val="24"/>
          <w:highlight w:val="none"/>
          <w:u w:val="dotted"/>
        </w:rPr>
        <w:t xml:space="preserve">                                                                                                        </w:t>
      </w:r>
    </w:p>
    <w:p>
      <w:pPr>
        <w:pStyle w:val="2"/>
        <w:shd w:val="clear" w:color="000000" w:fill="auto"/>
        <w:tabs>
          <w:tab w:val="left" w:pos="1202"/>
        </w:tabs>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因承包人运输造成施工场地内外公共道路和桥梁损坏的，由承包人承担修复损坏的全部费用和可能引起的赔偿。</w:t>
      </w:r>
    </w:p>
    <w:p>
      <w:pPr>
        <w:pStyle w:val="2"/>
        <w:shd w:val="clear" w:color="000000" w:fill="auto"/>
        <w:adjustRightInd w:val="0"/>
        <w:snapToGrid w:val="0"/>
        <w:spacing w:line="360" w:lineRule="auto"/>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696128" behindDoc="0" locked="0" layoutInCell="1" allowOverlap="1">
                <wp:simplePos x="0" y="0"/>
                <wp:positionH relativeFrom="column">
                  <wp:posOffset>-114300</wp:posOffset>
                </wp:positionH>
                <wp:positionV relativeFrom="paragraph">
                  <wp:posOffset>224790</wp:posOffset>
                </wp:positionV>
                <wp:extent cx="1028700" cy="608330"/>
                <wp:effectExtent l="0" t="0" r="0" b="0"/>
                <wp:wrapNone/>
                <wp:docPr id="37" name="文本框 38"/>
                <wp:cNvGraphicFramePr/>
                <a:graphic xmlns:a="http://schemas.openxmlformats.org/drawingml/2006/main">
                  <a:graphicData uri="http://schemas.microsoft.com/office/word/2010/wordprocessingShape">
                    <wps:wsp>
                      <wps:cNvSpPr txBox="1"/>
                      <wps:spPr>
                        <a:xfrm>
                          <a:off x="0" y="0"/>
                          <a:ext cx="1028700" cy="60833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水路和航空运</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输</w:t>
                            </w:r>
                          </w:p>
                        </w:txbxContent>
                      </wps:txbx>
                      <wps:bodyPr upright="1"/>
                    </wps:wsp>
                  </a:graphicData>
                </a:graphic>
              </wp:anchor>
            </w:drawing>
          </mc:Choice>
          <mc:Fallback>
            <w:pict>
              <v:shape id="文本框 38" o:spid="_x0000_s1026" o:spt="202" type="#_x0000_t202" style="position:absolute;left:0pt;margin-left:-9pt;margin-top:17.7pt;height:47.9pt;width:81pt;z-index:251696128;mso-width-relative:page;mso-height-relative:page;" filled="f" stroked="f" coordsize="21600,21600" o:gfxdata="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eKadSdcA&#10;AAAKAQAADwAAAAAAAAABACAAAAAiAAAAZHJzL2Rvd25yZXYueG1sUEsBAhQAFAAAAAgAh07iQA/l&#10;nM6uAQAAUAMAAA4AAAAAAAAAAQAgAAAAJgEAAGRycy9lMm9Eb2MueG1sUEsFBgAAAAAGAAYAWQEA&#10;AEY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水路和航空运</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输</w:t>
                      </w:r>
                    </w:p>
                  </w:txbxContent>
                </v:textbox>
              </v:shape>
            </w:pict>
          </mc:Fallback>
        </mc:AlternateContent>
      </w:r>
      <w:r>
        <w:rPr>
          <w:rFonts w:ascii="仿宋" w:hAnsi="仿宋" w:eastAsia="仿宋" w:cs="仿宋"/>
          <w:b/>
          <w:bCs/>
          <w:color w:val="auto"/>
          <w:sz w:val="24"/>
          <w:szCs w:val="24"/>
          <w:highlight w:val="none"/>
        </w:rPr>
        <w:t xml:space="preserve">13.6 </w:t>
      </w:r>
      <w:r>
        <w:rPr>
          <w:rFonts w:ascii="仿宋" w:hAnsi="仿宋" w:eastAsia="仿宋" w:cs="仿宋"/>
          <w:b/>
          <w:bCs/>
          <w:color w:val="auto"/>
          <w:sz w:val="24"/>
          <w:szCs w:val="24"/>
          <w:highlight w:val="none"/>
          <w:u w:val="dotted"/>
        </w:rPr>
        <w:t xml:space="preserve">                                                                                                        </w:t>
      </w:r>
    </w:p>
    <w:p>
      <w:pPr>
        <w:pStyle w:val="2"/>
        <w:shd w:val="clear" w:color="000000" w:fill="auto"/>
        <w:tabs>
          <w:tab w:val="left" w:pos="1202"/>
        </w:tabs>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本条内容适用于水路运输和航空运输，其中“道路”包括河道、航线、船闸、机场、码头、堤防以及水路或航空运输中其他相似结构物；“车辆”包括船舶和飞机等。</w:t>
      </w:r>
    </w:p>
    <w:p>
      <w:pPr>
        <w:pStyle w:val="2"/>
        <w:shd w:val="clear" w:color="000000" w:fill="auto"/>
        <w:tabs>
          <w:tab w:val="left" w:pos="1202"/>
        </w:tabs>
        <w:adjustRightInd w:val="0"/>
        <w:snapToGrid w:val="0"/>
        <w:spacing w:line="240" w:lineRule="exact"/>
        <w:jc w:val="left"/>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u w:val="single"/>
        </w:rPr>
        <w:t xml:space="preserve">                                                                              </w:t>
      </w:r>
      <w:r>
        <w:rPr>
          <w:rFonts w:ascii="仿宋" w:hAnsi="仿宋" w:eastAsia="仿宋" w:cs="仿宋"/>
          <w:b/>
          <w:bCs/>
          <w:color w:val="auto"/>
          <w:sz w:val="24"/>
          <w:szCs w:val="24"/>
          <w:highlight w:val="none"/>
        </w:rPr>
        <w:t xml:space="preserve">  </w:t>
      </w:r>
    </w:p>
    <w:p>
      <w:pPr>
        <w:pStyle w:val="2"/>
        <w:shd w:val="clear" w:color="000000" w:fill="auto"/>
        <w:tabs>
          <w:tab w:val="left" w:pos="3818"/>
        </w:tabs>
        <w:adjustRightInd w:val="0"/>
        <w:snapToGrid w:val="0"/>
        <w:spacing w:before="240" w:beforeLines="100" w:line="360" w:lineRule="auto"/>
        <w:outlineLvl w:val="2"/>
        <w:rPr>
          <w:rFonts w:ascii="仿宋" w:hAnsi="仿宋" w:eastAsia="仿宋" w:cs="Times New Roman"/>
          <w:b/>
          <w:bCs/>
          <w:color w:val="auto"/>
          <w:sz w:val="24"/>
          <w:szCs w:val="24"/>
          <w:highlight w:val="none"/>
        </w:rPr>
      </w:pPr>
      <w:bookmarkStart w:id="150" w:name="_Toc469383993"/>
      <w:bookmarkStart w:id="151" w:name="_Toc21522"/>
      <w:bookmarkStart w:id="152" w:name="_Toc10624833"/>
      <w:r>
        <w:rPr>
          <w:rFonts w:ascii="仿宋" w:hAnsi="仿宋" w:eastAsia="仿宋" w:cs="仿宋"/>
          <w:b/>
          <w:bCs/>
          <w:color w:val="auto"/>
          <w:sz w:val="24"/>
          <w:szCs w:val="24"/>
          <w:highlight w:val="none"/>
        </w:rPr>
        <w:t xml:space="preserve">14  </w:t>
      </w:r>
      <w:r>
        <w:rPr>
          <w:rFonts w:hint="eastAsia" w:ascii="仿宋" w:hAnsi="仿宋" w:eastAsia="仿宋" w:cs="仿宋"/>
          <w:b/>
          <w:bCs/>
          <w:color w:val="auto"/>
          <w:sz w:val="24"/>
          <w:szCs w:val="24"/>
          <w:highlight w:val="none"/>
        </w:rPr>
        <w:t>专项批准事件的签认</w:t>
      </w:r>
      <w:bookmarkEnd w:id="150"/>
      <w:bookmarkEnd w:id="151"/>
      <w:bookmarkEnd w:id="152"/>
      <w:r>
        <w:rPr>
          <w:rFonts w:ascii="仿宋" w:hAnsi="仿宋" w:eastAsia="仿宋" w:cs="Times New Roman"/>
          <w:b/>
          <w:bCs/>
          <w:color w:val="auto"/>
          <w:sz w:val="24"/>
          <w:szCs w:val="24"/>
          <w:highlight w:val="none"/>
        </w:rPr>
        <w:tab/>
      </w:r>
    </w:p>
    <w:p>
      <w:pPr>
        <w:pStyle w:val="2"/>
        <w:shd w:val="clear" w:color="000000" w:fill="auto"/>
        <w:tabs>
          <w:tab w:val="left" w:pos="1202"/>
        </w:tabs>
        <w:adjustRightInd w:val="0"/>
        <w:snapToGrid w:val="0"/>
        <w:spacing w:line="360" w:lineRule="auto"/>
        <w:rPr>
          <w:rFonts w:ascii="仿宋" w:hAnsi="仿宋" w:eastAsia="仿宋" w:cs="仿宋"/>
          <w:b/>
          <w:bCs/>
          <w:color w:val="auto"/>
          <w:sz w:val="24"/>
          <w:szCs w:val="24"/>
          <w:highlight w:val="none"/>
        </w:rPr>
      </w:pPr>
      <w:r>
        <w:rPr>
          <w:color w:val="auto"/>
          <w:highlight w:val="none"/>
        </w:rPr>
        <mc:AlternateContent>
          <mc:Choice Requires="wps">
            <w:drawing>
              <wp:anchor distT="0" distB="0" distL="114300" distR="114300" simplePos="0" relativeHeight="251697152" behindDoc="0" locked="0" layoutInCell="1" allowOverlap="1">
                <wp:simplePos x="0" y="0"/>
                <wp:positionH relativeFrom="column">
                  <wp:posOffset>-114300</wp:posOffset>
                </wp:positionH>
                <wp:positionV relativeFrom="paragraph">
                  <wp:posOffset>246380</wp:posOffset>
                </wp:positionV>
                <wp:extent cx="914400" cy="875665"/>
                <wp:effectExtent l="0" t="0" r="0" b="0"/>
                <wp:wrapNone/>
                <wp:docPr id="38" name="文本框 39"/>
                <wp:cNvGraphicFramePr/>
                <a:graphic xmlns:a="http://schemas.openxmlformats.org/drawingml/2006/main">
                  <a:graphicData uri="http://schemas.microsoft.com/office/word/2010/wordprocessingShape">
                    <wps:wsp>
                      <wps:cNvSpPr txBox="1"/>
                      <wps:spPr>
                        <a:xfrm>
                          <a:off x="0" y="0"/>
                          <a:ext cx="914400" cy="87566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专项批准事件的签认</w:t>
                            </w:r>
                          </w:p>
                        </w:txbxContent>
                      </wps:txbx>
                      <wps:bodyPr upright="1"/>
                    </wps:wsp>
                  </a:graphicData>
                </a:graphic>
              </wp:anchor>
            </w:drawing>
          </mc:Choice>
          <mc:Fallback>
            <w:pict>
              <v:shape id="文本框 39" o:spid="_x0000_s1026" o:spt="202" type="#_x0000_t202" style="position:absolute;left:0pt;margin-left:-9pt;margin-top:19.4pt;height:68.95pt;width:72pt;z-index:251697152;mso-width-relative:page;mso-height-relative:page;" filled="f" stroked="f" coordsize="21600,21600" o:gfxdata="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GxwSxjY&#10;AAAACgEAAA8AAAAAAAAAAQAgAAAAIgAAAGRycy9kb3ducmV2LnhtbFBLAQIUABQAAAAIAIdO4kCi&#10;nenorgEAAE8DAAAOAAAAAAAAAAEAIAAAACcBAABkcnMvZTJvRG9jLnhtbFBLBQYAAAAABgAGAFkB&#10;AABH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专项批准事件的签认</w:t>
                      </w:r>
                    </w:p>
                  </w:txbxContent>
                </v:textbox>
              </v:shape>
            </w:pict>
          </mc:Fallback>
        </mc:AlternateContent>
      </w:r>
      <w:r>
        <w:rPr>
          <w:rFonts w:ascii="仿宋" w:hAnsi="仿宋" w:eastAsia="仿宋" w:cs="仿宋"/>
          <w:b/>
          <w:bCs/>
          <w:color w:val="auto"/>
          <w:sz w:val="24"/>
          <w:szCs w:val="24"/>
          <w:highlight w:val="none"/>
        </w:rPr>
        <w:t xml:space="preserve">14.1      </w:t>
      </w:r>
    </w:p>
    <w:p>
      <w:pPr>
        <w:pStyle w:val="2"/>
        <w:shd w:val="clear" w:color="000000" w:fill="auto"/>
        <w:tabs>
          <w:tab w:val="left" w:pos="1202"/>
        </w:tabs>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合同履行期间，合同工程发生第</w:t>
      </w:r>
      <w:r>
        <w:rPr>
          <w:rFonts w:ascii="仿宋" w:hAnsi="仿宋" w:eastAsia="仿宋" w:cs="仿宋"/>
          <w:color w:val="auto"/>
          <w:sz w:val="24"/>
          <w:szCs w:val="24"/>
          <w:highlight w:val="none"/>
        </w:rPr>
        <w:t>23.3</w:t>
      </w:r>
      <w:r>
        <w:rPr>
          <w:rFonts w:hint="eastAsia" w:ascii="仿宋" w:hAnsi="仿宋" w:eastAsia="仿宋" w:cs="仿宋"/>
          <w:color w:val="auto"/>
          <w:sz w:val="24"/>
          <w:szCs w:val="24"/>
          <w:highlight w:val="none"/>
        </w:rPr>
        <w:t>款、第</w:t>
      </w:r>
      <w:r>
        <w:rPr>
          <w:rFonts w:ascii="仿宋" w:hAnsi="仿宋" w:eastAsia="仿宋" w:cs="仿宋"/>
          <w:color w:val="auto"/>
          <w:sz w:val="24"/>
          <w:szCs w:val="24"/>
          <w:highlight w:val="none"/>
        </w:rPr>
        <w:t>24.3</w:t>
      </w:r>
      <w:r>
        <w:rPr>
          <w:rFonts w:hint="eastAsia" w:ascii="仿宋" w:hAnsi="仿宋" w:eastAsia="仿宋" w:cs="仿宋"/>
          <w:color w:val="auto"/>
          <w:sz w:val="24"/>
          <w:szCs w:val="24"/>
          <w:highlight w:val="none"/>
        </w:rPr>
        <w:t>款专项批准事件的，发包人批准后应通知监理工程师和（或）造价工程师按照合同约定以书面形式向承包人发出工作指令，提供所需的相关资料。承包人在收到监理工程师和（或）造价工程师发出的工作指令后，应按照合同约定实施发生事件的相关工作。</w:t>
      </w:r>
    </w:p>
    <w:p>
      <w:pPr>
        <w:pStyle w:val="2"/>
        <w:shd w:val="clear" w:color="000000" w:fill="auto"/>
        <w:tabs>
          <w:tab w:val="left" w:pos="1202"/>
        </w:tabs>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合同双方当事人应按照第</w:t>
      </w:r>
      <w:r>
        <w:rPr>
          <w:rFonts w:ascii="仿宋" w:hAnsi="仿宋" w:eastAsia="仿宋" w:cs="仿宋"/>
          <w:color w:val="auto"/>
          <w:sz w:val="24"/>
          <w:szCs w:val="24"/>
          <w:highlight w:val="none"/>
        </w:rPr>
        <w:t>14.2</w:t>
      </w:r>
      <w:r>
        <w:rPr>
          <w:rFonts w:hint="eastAsia" w:ascii="仿宋" w:hAnsi="仿宋" w:eastAsia="仿宋" w:cs="仿宋"/>
          <w:color w:val="auto"/>
          <w:sz w:val="24"/>
          <w:szCs w:val="24"/>
          <w:highlight w:val="none"/>
        </w:rPr>
        <w:t>款规定对发生的专项批准事件予以签认，并及时将发生事件的相关资料整理、归档，同时按第</w:t>
      </w:r>
      <w:r>
        <w:rPr>
          <w:rFonts w:ascii="仿宋" w:hAnsi="仿宋" w:eastAsia="仿宋" w:cs="仿宋"/>
          <w:color w:val="auto"/>
          <w:sz w:val="24"/>
          <w:szCs w:val="24"/>
          <w:highlight w:val="none"/>
        </w:rPr>
        <w:t>23.2</w:t>
      </w:r>
      <w:r>
        <w:rPr>
          <w:rFonts w:hint="eastAsia" w:ascii="仿宋" w:hAnsi="仿宋" w:eastAsia="仿宋" w:cs="仿宋"/>
          <w:color w:val="auto"/>
          <w:sz w:val="24"/>
          <w:szCs w:val="24"/>
          <w:highlight w:val="none"/>
        </w:rPr>
        <w:t>款、第</w:t>
      </w:r>
      <w:r>
        <w:rPr>
          <w:rFonts w:ascii="仿宋" w:hAnsi="仿宋" w:eastAsia="仿宋" w:cs="仿宋"/>
          <w:color w:val="auto"/>
          <w:sz w:val="24"/>
          <w:szCs w:val="24"/>
          <w:highlight w:val="none"/>
        </w:rPr>
        <w:t>24.2</w:t>
      </w:r>
      <w:r>
        <w:rPr>
          <w:rFonts w:hint="eastAsia" w:ascii="仿宋" w:hAnsi="仿宋" w:eastAsia="仿宋" w:cs="仿宋"/>
          <w:color w:val="auto"/>
          <w:sz w:val="24"/>
          <w:szCs w:val="24"/>
          <w:highlight w:val="none"/>
        </w:rPr>
        <w:t>款规定职权将其中一份送监理工程师和（或）造价工程师留存。</w:t>
      </w:r>
    </w:p>
    <w:p>
      <w:pPr>
        <w:pStyle w:val="2"/>
        <w:shd w:val="clear" w:color="000000" w:fill="auto"/>
        <w:tabs>
          <w:tab w:val="left" w:pos="2160"/>
        </w:tabs>
        <w:spacing w:before="192" w:beforeLines="80"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14.2  </w:t>
      </w:r>
      <w:r>
        <w:rPr>
          <w:rFonts w:ascii="仿宋" w:hAnsi="仿宋" w:eastAsia="仿宋" w:cs="仿宋"/>
          <w:b/>
          <w:bCs/>
          <w:color w:val="auto"/>
          <w:sz w:val="24"/>
          <w:szCs w:val="24"/>
          <w:highlight w:val="none"/>
          <w:u w:val="dotted"/>
        </w:rPr>
        <w:t xml:space="preserve">                                                                                 </w:t>
      </w:r>
    </w:p>
    <w:p>
      <w:pPr>
        <w:pStyle w:val="2"/>
        <w:shd w:val="clear" w:color="000000" w:fill="auto"/>
        <w:tabs>
          <w:tab w:val="left" w:pos="1620"/>
        </w:tabs>
        <w:spacing w:line="360" w:lineRule="auto"/>
        <w:ind w:left="1618" w:leftChars="770" w:hanging="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698176" behindDoc="0" locked="0" layoutInCell="1" allowOverlap="1">
                <wp:simplePos x="0" y="0"/>
                <wp:positionH relativeFrom="column">
                  <wp:posOffset>0</wp:posOffset>
                </wp:positionH>
                <wp:positionV relativeFrom="paragraph">
                  <wp:posOffset>10795</wp:posOffset>
                </wp:positionV>
                <wp:extent cx="914400" cy="875665"/>
                <wp:effectExtent l="0" t="0" r="0" b="0"/>
                <wp:wrapNone/>
                <wp:docPr id="39" name="文本框 40"/>
                <wp:cNvGraphicFramePr/>
                <a:graphic xmlns:a="http://schemas.openxmlformats.org/drawingml/2006/main">
                  <a:graphicData uri="http://schemas.microsoft.com/office/word/2010/wordprocessingShape">
                    <wps:wsp>
                      <wps:cNvSpPr txBox="1"/>
                      <wps:spPr>
                        <a:xfrm>
                          <a:off x="0" y="0"/>
                          <a:ext cx="914400" cy="87566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专项批准事件签认人的要求</w:t>
                            </w:r>
                          </w:p>
                        </w:txbxContent>
                      </wps:txbx>
                      <wps:bodyPr upright="1"/>
                    </wps:wsp>
                  </a:graphicData>
                </a:graphic>
              </wp:anchor>
            </w:drawing>
          </mc:Choice>
          <mc:Fallback>
            <w:pict>
              <v:shape id="文本框 40" o:spid="_x0000_s1026" o:spt="202" type="#_x0000_t202" style="position:absolute;left:0pt;margin-left:0pt;margin-top:0.85pt;height:68.95pt;width:72pt;z-index:251698176;mso-width-relative:page;mso-height-relative:page;" filled="f" stroked="f" coordsize="21600,21600" o:gfxdata="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OakbmLTAAAABgEA&#10;AA8AAAAAAAAAAQAgAAAAIgAAAGRycy9kb3ducmV2LnhtbFBLAQIUABQAAAAIAIdO4kD/9/YhrQEA&#10;AE8DAAAOAAAAAAAAAAEAIAAAACIBAABkcnMvZTJvRG9jLnhtbFBLBQYAAAAABgAGAFkBAABBBQAA&#10;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专项批准事件签认人的要求</w:t>
                      </w:r>
                    </w:p>
                  </w:txbxContent>
                </v:textbox>
              </v:shape>
            </w:pict>
          </mc:Fallback>
        </mc:AlternateContent>
      </w:r>
      <w:r>
        <w:rPr>
          <w:rFonts w:hint="eastAsia" w:ascii="仿宋" w:hAnsi="仿宋" w:eastAsia="仿宋" w:cs="仿宋"/>
          <w:color w:val="auto"/>
          <w:sz w:val="24"/>
          <w:szCs w:val="24"/>
          <w:highlight w:val="none"/>
        </w:rPr>
        <w:t>合同双方当事人应按照第</w:t>
      </w:r>
      <w:r>
        <w:rPr>
          <w:rFonts w:ascii="仿宋" w:hAnsi="仿宋" w:eastAsia="仿宋" w:cs="仿宋"/>
          <w:color w:val="auto"/>
          <w:sz w:val="24"/>
          <w:szCs w:val="24"/>
          <w:highlight w:val="none"/>
        </w:rPr>
        <w:t>23.1</w:t>
      </w:r>
      <w:r>
        <w:rPr>
          <w:rFonts w:hint="eastAsia" w:ascii="仿宋" w:hAnsi="仿宋" w:eastAsia="仿宋" w:cs="仿宋"/>
          <w:color w:val="auto"/>
          <w:sz w:val="24"/>
          <w:szCs w:val="24"/>
          <w:highlight w:val="none"/>
        </w:rPr>
        <w:t>款、第</w:t>
      </w:r>
      <w:r>
        <w:rPr>
          <w:rFonts w:ascii="仿宋" w:hAnsi="仿宋" w:eastAsia="仿宋" w:cs="仿宋"/>
          <w:color w:val="auto"/>
          <w:sz w:val="24"/>
          <w:szCs w:val="24"/>
          <w:highlight w:val="none"/>
        </w:rPr>
        <w:t>24.1</w:t>
      </w:r>
      <w:r>
        <w:rPr>
          <w:rFonts w:hint="eastAsia" w:ascii="仿宋" w:hAnsi="仿宋" w:eastAsia="仿宋" w:cs="仿宋"/>
          <w:color w:val="auto"/>
          <w:sz w:val="24"/>
          <w:szCs w:val="24"/>
          <w:highlight w:val="none"/>
        </w:rPr>
        <w:t>款和第</w:t>
      </w:r>
      <w:r>
        <w:rPr>
          <w:rFonts w:ascii="仿宋" w:hAnsi="仿宋" w:eastAsia="仿宋" w:cs="仿宋"/>
          <w:color w:val="auto"/>
          <w:sz w:val="24"/>
          <w:szCs w:val="24"/>
          <w:highlight w:val="none"/>
        </w:rPr>
        <w:t>25.1</w:t>
      </w:r>
      <w:r>
        <w:rPr>
          <w:rFonts w:hint="eastAsia" w:ascii="仿宋" w:hAnsi="仿宋" w:eastAsia="仿宋" w:cs="仿宋"/>
          <w:color w:val="auto"/>
          <w:sz w:val="24"/>
          <w:szCs w:val="24"/>
          <w:highlight w:val="none"/>
        </w:rPr>
        <w:t>款规定，分别在专用条款中写明负责专项批准事件签认的监理工程师、造价工程师和建造师具体人选，授予其负责专项批准事件签认的权力，并提供该人选的印章、签字式样，作为本合同的附件。当专项批准事件发生时，该人选应在其职权范围内，按照本合同约定的程序、时限、生效条件等要求，对发生事件的内容、数量和单价等办理签认手续，并加盖所在单位的法人公章或其授权的施工现场管理机构章。</w:t>
      </w:r>
    </w:p>
    <w:p>
      <w:pPr>
        <w:pStyle w:val="2"/>
        <w:shd w:val="clear" w:color="000000" w:fill="auto"/>
        <w:adjustRightInd w:val="0"/>
        <w:snapToGrid w:val="0"/>
        <w:ind w:right="-238"/>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
        <w:shd w:val="clear" w:color="000000" w:fill="auto"/>
        <w:adjustRightInd w:val="0"/>
        <w:snapToGrid w:val="0"/>
        <w:spacing w:before="240" w:beforeLines="100" w:line="360" w:lineRule="auto"/>
        <w:outlineLvl w:val="2"/>
        <w:rPr>
          <w:rFonts w:ascii="仿宋" w:hAnsi="仿宋" w:eastAsia="仿宋" w:cs="Times New Roman"/>
          <w:b/>
          <w:bCs/>
          <w:color w:val="auto"/>
          <w:sz w:val="24"/>
          <w:szCs w:val="24"/>
          <w:highlight w:val="none"/>
        </w:rPr>
      </w:pPr>
      <w:bookmarkStart w:id="153" w:name="_Toc469383994"/>
      <w:bookmarkStart w:id="154" w:name="_Toc29441"/>
      <w:bookmarkStart w:id="155" w:name="_Toc10624834"/>
      <w:r>
        <w:rPr>
          <w:rFonts w:ascii="仿宋" w:hAnsi="仿宋" w:eastAsia="仿宋" w:cs="仿宋"/>
          <w:b/>
          <w:bCs/>
          <w:color w:val="auto"/>
          <w:sz w:val="24"/>
          <w:szCs w:val="24"/>
          <w:highlight w:val="none"/>
        </w:rPr>
        <w:t xml:space="preserve">15  </w:t>
      </w:r>
      <w:r>
        <w:rPr>
          <w:rFonts w:hint="eastAsia" w:ascii="仿宋" w:hAnsi="仿宋" w:eastAsia="仿宋" w:cs="仿宋"/>
          <w:b/>
          <w:bCs/>
          <w:color w:val="auto"/>
          <w:sz w:val="24"/>
          <w:szCs w:val="24"/>
          <w:highlight w:val="none"/>
        </w:rPr>
        <w:t>专利技术</w:t>
      </w:r>
      <w:bookmarkEnd w:id="153"/>
      <w:bookmarkEnd w:id="154"/>
      <w:bookmarkEnd w:id="155"/>
    </w:p>
    <w:p>
      <w:pPr>
        <w:pStyle w:val="2"/>
        <w:shd w:val="clear" w:color="000000" w:fill="auto"/>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15.1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699200" behindDoc="0" locked="0" layoutInCell="1" allowOverlap="1">
                <wp:simplePos x="0" y="0"/>
                <wp:positionH relativeFrom="column">
                  <wp:posOffset>-114300</wp:posOffset>
                </wp:positionH>
                <wp:positionV relativeFrom="paragraph">
                  <wp:posOffset>22860</wp:posOffset>
                </wp:positionV>
                <wp:extent cx="914400" cy="471805"/>
                <wp:effectExtent l="0" t="0" r="0" b="0"/>
                <wp:wrapNone/>
                <wp:docPr id="40" name="文本框 41"/>
                <wp:cNvGraphicFramePr/>
                <a:graphic xmlns:a="http://schemas.openxmlformats.org/drawingml/2006/main">
                  <a:graphicData uri="http://schemas.microsoft.com/office/word/2010/wordprocessingShape">
                    <wps:wsp>
                      <wps:cNvSpPr txBox="1"/>
                      <wps:spPr>
                        <a:xfrm>
                          <a:off x="0" y="0"/>
                          <a:ext cx="914400" cy="47180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侵犯专利技术责任</w:t>
                            </w:r>
                          </w:p>
                        </w:txbxContent>
                      </wps:txbx>
                      <wps:bodyPr upright="1"/>
                    </wps:wsp>
                  </a:graphicData>
                </a:graphic>
              </wp:anchor>
            </w:drawing>
          </mc:Choice>
          <mc:Fallback>
            <w:pict>
              <v:shape id="文本框 41" o:spid="_x0000_s1026" o:spt="202" type="#_x0000_t202" style="position:absolute;left:0pt;margin-left:-9pt;margin-top:1.8pt;height:37.15pt;width:72pt;z-index:251699200;mso-width-relative:page;mso-height-relative:page;" filled="f" stroked="f" coordsize="21600,21600" o:gfxdata="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Lptk6TWAAAA&#10;CAEAAA8AAAAAAAAAAQAgAAAAIgAAAGRycy9kb3ducmV2LnhtbFBLAQIUABQAAAAIAIdO4kAkb/tt&#10;rQEAAE8DAAAOAAAAAAAAAAEAIAAAACUBAABkcnMvZTJvRG9jLnhtbFBLBQYAAAAABgAGAFkBAABE&#10;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侵犯专利技术责任</w:t>
                      </w:r>
                    </w:p>
                  </w:txbxContent>
                </v:textbox>
              </v:shape>
            </w:pict>
          </mc:Fallback>
        </mc:AlternateContent>
      </w:r>
      <w:r>
        <w:rPr>
          <w:rFonts w:hint="eastAsia" w:ascii="仿宋" w:hAnsi="仿宋" w:eastAsia="仿宋" w:cs="仿宋"/>
          <w:color w:val="auto"/>
          <w:sz w:val="24"/>
          <w:szCs w:val="24"/>
          <w:highlight w:val="none"/>
        </w:rPr>
        <w:t>承包人在实施、完成并保修合同工程过程中，如因采用施工工艺或使用施工设备及自身供应的材料和工程设备，而发生侵犯他人商标、图案、工艺、材料、设备专利权或知识产权的行为，并引起索赔或诉讼，则一切与此有关的损失、赔偿、诉讼等责任，均由承包人承担。但由于遵守发包人提供的施工设计图纸、标准与规范、技术说明和要求而造成的侵权，则属例外。</w:t>
      </w:r>
    </w:p>
    <w:p>
      <w:pPr>
        <w:pStyle w:val="2"/>
        <w:shd w:val="clear" w:color="000000" w:fill="auto"/>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15.2</w:t>
      </w:r>
      <w:r>
        <w:rPr>
          <w:rFonts w:ascii="仿宋" w:hAnsi="仿宋" w:eastAsia="仿宋" w:cs="仿宋"/>
          <w:b/>
          <w:bCs/>
          <w:color w:val="auto"/>
          <w:sz w:val="24"/>
          <w:szCs w:val="24"/>
          <w:highlight w:val="none"/>
          <w:u w:val="dotted"/>
        </w:rPr>
        <w:t xml:space="preserve">                                                                             </w:t>
      </w:r>
      <w:r>
        <w:rPr>
          <w:rFonts w:ascii="仿宋" w:hAnsi="仿宋" w:eastAsia="仿宋" w:cs="仿宋"/>
          <w:b/>
          <w:bCs/>
          <w:color w:val="auto"/>
          <w:sz w:val="24"/>
          <w:szCs w:val="24"/>
          <w:highlight w:val="none"/>
        </w:rPr>
        <w:t xml:space="preserve">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00224" behindDoc="0" locked="0" layoutInCell="1" allowOverlap="1">
                <wp:simplePos x="0" y="0"/>
                <wp:positionH relativeFrom="column">
                  <wp:posOffset>-114300</wp:posOffset>
                </wp:positionH>
                <wp:positionV relativeFrom="paragraph">
                  <wp:posOffset>22860</wp:posOffset>
                </wp:positionV>
                <wp:extent cx="914400" cy="471805"/>
                <wp:effectExtent l="0" t="0" r="0" b="0"/>
                <wp:wrapNone/>
                <wp:docPr id="41" name="文本框 42"/>
                <wp:cNvGraphicFramePr/>
                <a:graphic xmlns:a="http://schemas.openxmlformats.org/drawingml/2006/main">
                  <a:graphicData uri="http://schemas.microsoft.com/office/word/2010/wordprocessingShape">
                    <wps:wsp>
                      <wps:cNvSpPr txBox="1"/>
                      <wps:spPr>
                        <a:xfrm>
                          <a:off x="0" y="0"/>
                          <a:ext cx="914400" cy="47180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专利技术的使用</w:t>
                            </w:r>
                          </w:p>
                        </w:txbxContent>
                      </wps:txbx>
                      <wps:bodyPr upright="1"/>
                    </wps:wsp>
                  </a:graphicData>
                </a:graphic>
              </wp:anchor>
            </w:drawing>
          </mc:Choice>
          <mc:Fallback>
            <w:pict>
              <v:shape id="文本框 42" o:spid="_x0000_s1026" o:spt="202" type="#_x0000_t202" style="position:absolute;left:0pt;margin-left:-9pt;margin-top:1.8pt;height:37.15pt;width:72pt;z-index:251700224;mso-width-relative:page;mso-height-relative:page;" filled="f" stroked="f" coordsize="21600,21600" o:gfxdata="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Lptk6TWAAAA&#10;CAEAAA8AAAAAAAAAAQAgAAAAIgAAAGRycy9kb3ducmV2LnhtbFBLAQIUABQAAAAIAIdO4kAi8/S5&#10;rQEAAE8DAAAOAAAAAAAAAAEAIAAAACUBAABkcnMvZTJvRG9jLnhtbFBLBQYAAAAABgAGAFkBAABE&#10;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专利技术的使用</w:t>
                      </w:r>
                    </w:p>
                  </w:txbxContent>
                </v:textbox>
              </v:shape>
            </w:pict>
          </mc:Fallback>
        </mc:AlternateContent>
      </w:r>
      <w:r>
        <w:rPr>
          <w:rFonts w:hint="eastAsia" w:ascii="仿宋" w:hAnsi="仿宋" w:eastAsia="仿宋" w:cs="仿宋"/>
          <w:color w:val="auto"/>
          <w:sz w:val="24"/>
          <w:szCs w:val="24"/>
          <w:highlight w:val="none"/>
        </w:rPr>
        <w:t>承包人在投标文件中采用专利技术的，其发生的费用已包含在投标报价内。承包人的技术秘密和第</w:t>
      </w:r>
      <w:r>
        <w:rPr>
          <w:rFonts w:ascii="仿宋" w:hAnsi="仿宋" w:eastAsia="仿宋" w:cs="仿宋"/>
          <w:color w:val="auto"/>
          <w:sz w:val="24"/>
          <w:szCs w:val="24"/>
          <w:highlight w:val="none"/>
        </w:rPr>
        <w:t>91</w:t>
      </w:r>
      <w:r>
        <w:rPr>
          <w:rFonts w:hint="eastAsia" w:ascii="仿宋" w:hAnsi="仿宋" w:eastAsia="仿宋" w:cs="仿宋"/>
          <w:color w:val="auto"/>
          <w:sz w:val="24"/>
          <w:szCs w:val="24"/>
          <w:highlight w:val="none"/>
        </w:rPr>
        <w:t>条规定的保密信息、资料等，发包人应严格按照第</w:t>
      </w:r>
      <w:r>
        <w:rPr>
          <w:rFonts w:ascii="仿宋" w:hAnsi="仿宋" w:eastAsia="仿宋" w:cs="仿宋"/>
          <w:color w:val="auto"/>
          <w:sz w:val="24"/>
          <w:szCs w:val="24"/>
          <w:highlight w:val="none"/>
        </w:rPr>
        <w:t>91</w:t>
      </w:r>
      <w:r>
        <w:rPr>
          <w:rFonts w:hint="eastAsia" w:ascii="仿宋" w:hAnsi="仿宋" w:eastAsia="仿宋" w:cs="仿宋"/>
          <w:color w:val="auto"/>
          <w:sz w:val="24"/>
          <w:szCs w:val="24"/>
          <w:highlight w:val="none"/>
        </w:rPr>
        <w:t>条规定不得为合同以外的目的泄露给第三方。</w:t>
      </w:r>
    </w:p>
    <w:p>
      <w:pPr>
        <w:pStyle w:val="2"/>
        <w:shd w:val="clear" w:color="000000" w:fill="auto"/>
        <w:tabs>
          <w:tab w:val="left" w:pos="1680"/>
        </w:tabs>
        <w:adjustRightInd w:val="0"/>
        <w:snapToGrid w:val="0"/>
        <w:spacing w:line="360" w:lineRule="auto"/>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01248" behindDoc="0" locked="0" layoutInCell="1" allowOverlap="1">
                <wp:simplePos x="0" y="0"/>
                <wp:positionH relativeFrom="column">
                  <wp:posOffset>-114300</wp:posOffset>
                </wp:positionH>
                <wp:positionV relativeFrom="paragraph">
                  <wp:posOffset>241300</wp:posOffset>
                </wp:positionV>
                <wp:extent cx="914400" cy="497840"/>
                <wp:effectExtent l="0" t="0" r="0" b="0"/>
                <wp:wrapNone/>
                <wp:docPr id="42" name="文本框 43"/>
                <wp:cNvGraphicFramePr/>
                <a:graphic xmlns:a="http://schemas.openxmlformats.org/drawingml/2006/main">
                  <a:graphicData uri="http://schemas.microsoft.com/office/word/2010/wordprocessingShape">
                    <wps:wsp>
                      <wps:cNvSpPr txBox="1"/>
                      <wps:spPr>
                        <a:xfrm>
                          <a:off x="0" y="0"/>
                          <a:ext cx="914400" cy="49784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版权和知识产权</w:t>
                            </w:r>
                          </w:p>
                        </w:txbxContent>
                      </wps:txbx>
                      <wps:bodyPr upright="1"/>
                    </wps:wsp>
                  </a:graphicData>
                </a:graphic>
              </wp:anchor>
            </w:drawing>
          </mc:Choice>
          <mc:Fallback>
            <w:pict>
              <v:shape id="文本框 43" o:spid="_x0000_s1026" o:spt="202" type="#_x0000_t202" style="position:absolute;left:0pt;margin-left:-9pt;margin-top:19pt;height:39.2pt;width:72pt;z-index:251701248;mso-width-relative:page;mso-height-relative:page;" filled="f" stroked="f" coordsize="21600,21600" o:gfxdata="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fV6GkdcA&#10;AAAKAQAADwAAAAAAAAABACAAAAAiAAAAZHJzL2Rvd25yZXYueG1sUEsBAhQAFAAAAAgAh07iQBs3&#10;WOCuAQAATwMAAA4AAAAAAAAAAQAgAAAAJgEAAGRycy9lMm9Eb2MueG1sUEsFBgAAAAAGAAYAWQEA&#10;AEY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版权和知识产权</w:t>
                      </w:r>
                    </w:p>
                  </w:txbxContent>
                </v:textbox>
              </v:shape>
            </w:pict>
          </mc:Fallback>
        </mc:AlternateContent>
      </w:r>
      <w:r>
        <w:rPr>
          <w:rFonts w:ascii="仿宋" w:hAnsi="仿宋" w:eastAsia="仿宋" w:cs="仿宋"/>
          <w:color w:val="auto"/>
          <w:sz w:val="24"/>
          <w:szCs w:val="24"/>
          <w:highlight w:val="none"/>
        </w:rPr>
        <w:t xml:space="preserve">15.3  </w:t>
      </w:r>
      <w:r>
        <w:rPr>
          <w:rFonts w:ascii="仿宋" w:hAnsi="仿宋" w:eastAsia="仿宋" w:cs="仿宋"/>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双方当事人各自对属于自己的施工设计图纸及其他文件保留版权和知识产权。双方签订本合同后，应视为分别授权对方当事人为实施合同工程而复制、使用、传送上述施工设计图纸和文件。但未经对方当事人同意，另一方当事人不得将其另作他用或转给第三方。</w:t>
      </w:r>
    </w:p>
    <w:p>
      <w:pPr>
        <w:pStyle w:val="2"/>
        <w:shd w:val="clear" w:color="000000" w:fill="auto"/>
        <w:adjustRightInd w:val="0"/>
        <w:snapToGrid w:val="0"/>
        <w:spacing w:line="360" w:lineRule="auto"/>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
        <w:shd w:val="clear" w:color="000000" w:fill="auto"/>
        <w:adjustRightInd w:val="0"/>
        <w:snapToGrid w:val="0"/>
        <w:spacing w:line="360" w:lineRule="auto"/>
        <w:outlineLvl w:val="2"/>
        <w:rPr>
          <w:rFonts w:ascii="仿宋" w:hAnsi="仿宋" w:eastAsia="仿宋" w:cs="Times New Roman"/>
          <w:b/>
          <w:bCs/>
          <w:color w:val="auto"/>
          <w:sz w:val="24"/>
          <w:szCs w:val="24"/>
          <w:highlight w:val="none"/>
        </w:rPr>
      </w:pPr>
      <w:bookmarkStart w:id="156" w:name="_Toc10624835"/>
      <w:bookmarkStart w:id="157" w:name="_Toc25840"/>
      <w:bookmarkStart w:id="158" w:name="_Toc469383995"/>
      <w:r>
        <w:rPr>
          <w:rFonts w:ascii="仿宋" w:hAnsi="仿宋" w:eastAsia="仿宋" w:cs="仿宋"/>
          <w:b/>
          <w:bCs/>
          <w:color w:val="auto"/>
          <w:sz w:val="24"/>
          <w:szCs w:val="24"/>
          <w:highlight w:val="none"/>
        </w:rPr>
        <w:t xml:space="preserve">16  </w:t>
      </w:r>
      <w:r>
        <w:rPr>
          <w:rFonts w:hint="eastAsia" w:ascii="仿宋" w:hAnsi="仿宋" w:eastAsia="仿宋" w:cs="仿宋"/>
          <w:b/>
          <w:bCs/>
          <w:color w:val="auto"/>
          <w:sz w:val="24"/>
          <w:szCs w:val="24"/>
          <w:highlight w:val="none"/>
        </w:rPr>
        <w:t>联合的责任</w:t>
      </w:r>
      <w:bookmarkEnd w:id="156"/>
      <w:bookmarkEnd w:id="157"/>
      <w:bookmarkEnd w:id="158"/>
    </w:p>
    <w:p>
      <w:pPr>
        <w:pStyle w:val="2"/>
        <w:shd w:val="clear" w:color="000000" w:fill="auto"/>
        <w:adjustRightInd w:val="0"/>
        <w:snapToGrid w:val="0"/>
        <w:spacing w:line="360" w:lineRule="auto"/>
        <w:rPr>
          <w:rFonts w:ascii="仿宋" w:hAnsi="仿宋" w:eastAsia="仿宋" w:cs="仿宋"/>
          <w:b/>
          <w:bCs/>
          <w:color w:val="auto"/>
          <w:sz w:val="24"/>
          <w:szCs w:val="24"/>
          <w:highlight w:val="none"/>
        </w:rPr>
      </w:pPr>
      <w:r>
        <w:rPr>
          <w:color w:val="auto"/>
          <w:highlight w:val="none"/>
        </w:rPr>
        <mc:AlternateContent>
          <mc:Choice Requires="wps">
            <w:drawing>
              <wp:anchor distT="0" distB="0" distL="114300" distR="114300" simplePos="0" relativeHeight="251702272" behindDoc="0" locked="0" layoutInCell="1" allowOverlap="1">
                <wp:simplePos x="0" y="0"/>
                <wp:positionH relativeFrom="column">
                  <wp:posOffset>-114300</wp:posOffset>
                </wp:positionH>
                <wp:positionV relativeFrom="paragraph">
                  <wp:posOffset>234950</wp:posOffset>
                </wp:positionV>
                <wp:extent cx="914400" cy="461010"/>
                <wp:effectExtent l="0" t="0" r="0" b="0"/>
                <wp:wrapNone/>
                <wp:docPr id="43" name="文本框 44"/>
                <wp:cNvGraphicFramePr/>
                <a:graphic xmlns:a="http://schemas.openxmlformats.org/drawingml/2006/main">
                  <a:graphicData uri="http://schemas.microsoft.com/office/word/2010/wordprocessingShape">
                    <wps:wsp>
                      <wps:cNvSpPr txBox="1"/>
                      <wps:spPr>
                        <a:xfrm>
                          <a:off x="0" y="0"/>
                          <a:ext cx="914400" cy="46101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共同的和各自的责任</w:t>
                            </w:r>
                          </w:p>
                        </w:txbxContent>
                      </wps:txbx>
                      <wps:bodyPr upright="1"/>
                    </wps:wsp>
                  </a:graphicData>
                </a:graphic>
              </wp:anchor>
            </w:drawing>
          </mc:Choice>
          <mc:Fallback>
            <w:pict>
              <v:shape id="文本框 44" o:spid="_x0000_s1026" o:spt="202" type="#_x0000_t202" style="position:absolute;left:0pt;margin-left:-9pt;margin-top:18.5pt;height:36.3pt;width:72pt;z-index:251702272;mso-width-relative:page;mso-height-relative:page;" filled="f" stroked="f" coordsize="21600,21600" o:gfxdata="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ImsTqfXAAAA&#10;CgEAAA8AAAAAAAAAAQAgAAAAIgAAAGRycy9kb3ducmV2LnhtbFBLAQIUABQAAAAIAIdO4kDlOh+C&#10;rAEAAE8DAAAOAAAAAAAAAAEAIAAAACYBAABkcnMvZTJvRG9jLnhtbFBLBQYAAAAABgAGAFkBAABE&#10;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共同的和各自的责任</w:t>
                      </w:r>
                    </w:p>
                  </w:txbxContent>
                </v:textbox>
              </v:shape>
            </w:pict>
          </mc:Fallback>
        </mc:AlternateContent>
      </w:r>
      <w:r>
        <w:rPr>
          <w:rFonts w:ascii="仿宋" w:hAnsi="仿宋" w:eastAsia="仿宋" w:cs="仿宋"/>
          <w:b/>
          <w:bCs/>
          <w:color w:val="auto"/>
          <w:sz w:val="24"/>
          <w:szCs w:val="24"/>
          <w:highlight w:val="none"/>
        </w:rPr>
        <w:t xml:space="preserve">16.1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如果承包人是联合体经营，则联合体各方应共同与发包人签订合同协议书，并在工程开工前签订联合体施工协议书，作为本合同的附件。该联合体各方都应在合同履行期间对发包人负有共同的连带责任和各自的责任。</w:t>
      </w:r>
    </w:p>
    <w:p>
      <w:pPr>
        <w:pStyle w:val="2"/>
        <w:shd w:val="clear" w:color="000000" w:fill="auto"/>
        <w:adjustRightInd w:val="0"/>
        <w:snapToGrid w:val="0"/>
        <w:spacing w:line="360" w:lineRule="auto"/>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703296" behindDoc="0" locked="0" layoutInCell="1" allowOverlap="1">
                <wp:simplePos x="0" y="0"/>
                <wp:positionH relativeFrom="column">
                  <wp:posOffset>-114300</wp:posOffset>
                </wp:positionH>
                <wp:positionV relativeFrom="paragraph">
                  <wp:posOffset>245745</wp:posOffset>
                </wp:positionV>
                <wp:extent cx="914400" cy="495300"/>
                <wp:effectExtent l="0" t="0" r="0" b="0"/>
                <wp:wrapNone/>
                <wp:docPr id="44" name="文本框 45"/>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联合体文件签暑</w:t>
                            </w:r>
                          </w:p>
                        </w:txbxContent>
                      </wps:txbx>
                      <wps:bodyPr upright="1"/>
                    </wps:wsp>
                  </a:graphicData>
                </a:graphic>
              </wp:anchor>
            </w:drawing>
          </mc:Choice>
          <mc:Fallback>
            <w:pict>
              <v:shape id="文本框 45" o:spid="_x0000_s1026" o:spt="202" type="#_x0000_t202" style="position:absolute;left:0pt;margin-left:-9pt;margin-top:19.35pt;height:39pt;width:72pt;z-index:251703296;mso-width-relative:page;mso-height-relative:page;" filled="f" stroked="f" coordsize="21600,21600" o:gfxdata="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C7HiBtgA&#10;AAAKAQAADwAAAAAAAAABACAAAAAiAAAAZHJzL2Rvd25yZXYueG1sUEsBAhQAFAAAAAgAh07iQKMq&#10;HB2tAQAATwMAAA4AAAAAAAAAAQAgAAAAJwEAAGRycy9lMm9Eb2MueG1sUEsFBgAAAAAGAAYAWQEA&#10;AEY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联合体文件签暑</w:t>
                      </w:r>
                    </w:p>
                  </w:txbxContent>
                </v:textbox>
              </v:shape>
            </w:pict>
          </mc:Fallback>
        </mc:AlternateContent>
      </w:r>
      <w:r>
        <w:rPr>
          <w:rFonts w:ascii="仿宋" w:hAnsi="仿宋" w:eastAsia="仿宋" w:cs="仿宋"/>
          <w:b/>
          <w:bCs/>
          <w:color w:val="auto"/>
          <w:sz w:val="24"/>
          <w:szCs w:val="24"/>
          <w:highlight w:val="none"/>
        </w:rPr>
        <w:t xml:space="preserve">16.2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联合体应有一个被授权的、对联合体各方有约束力的牵头人，由其负责与发包人、监理人和工程造价咨询人（如有）联系，组织联合体各方全面履行合同。该牵头人应指派专职代表负责，履行合同的有关文件由该专职代表签署。未经发包人事先书面同意，联合体的组成、结构和施工协议书不得随意变动。</w:t>
      </w:r>
    </w:p>
    <w:p>
      <w:pPr>
        <w:shd w:val="clear" w:color="000000" w:fill="auto"/>
        <w:tabs>
          <w:tab w:val="left" w:pos="1620"/>
        </w:tabs>
        <w:spacing w:line="240" w:lineRule="exact"/>
        <w:rPr>
          <w:rFonts w:ascii="仿宋" w:hAnsi="仿宋" w:eastAsia="仿宋" w:cs="Times New Roman"/>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
        <w:shd w:val="clear" w:color="000000" w:fill="auto"/>
        <w:tabs>
          <w:tab w:val="left" w:pos="105"/>
        </w:tabs>
        <w:adjustRightInd w:val="0"/>
        <w:snapToGrid w:val="0"/>
        <w:spacing w:before="240" w:beforeLines="100"/>
        <w:outlineLvl w:val="2"/>
        <w:rPr>
          <w:rFonts w:ascii="仿宋" w:hAnsi="仿宋" w:eastAsia="仿宋" w:cs="Times New Roman"/>
          <w:b/>
          <w:bCs/>
          <w:color w:val="auto"/>
          <w:sz w:val="24"/>
          <w:szCs w:val="24"/>
          <w:highlight w:val="none"/>
        </w:rPr>
      </w:pPr>
      <w:bookmarkStart w:id="159" w:name="_Toc10624836"/>
      <w:bookmarkStart w:id="160" w:name="_Toc6878"/>
      <w:bookmarkStart w:id="161" w:name="_Toc469383996"/>
      <w:r>
        <w:rPr>
          <w:rFonts w:ascii="仿宋" w:hAnsi="仿宋" w:eastAsia="仿宋" w:cs="仿宋"/>
          <w:b/>
          <w:bCs/>
          <w:color w:val="auto"/>
          <w:sz w:val="24"/>
          <w:szCs w:val="24"/>
          <w:highlight w:val="none"/>
        </w:rPr>
        <w:t xml:space="preserve">17  </w:t>
      </w:r>
      <w:r>
        <w:rPr>
          <w:rFonts w:hint="eastAsia" w:ascii="仿宋" w:hAnsi="仿宋" w:eastAsia="仿宋" w:cs="仿宋"/>
          <w:b/>
          <w:bCs/>
          <w:color w:val="auto"/>
          <w:sz w:val="24"/>
          <w:szCs w:val="24"/>
          <w:highlight w:val="none"/>
        </w:rPr>
        <w:t>保障</w:t>
      </w:r>
      <w:bookmarkEnd w:id="159"/>
      <w:bookmarkEnd w:id="160"/>
      <w:bookmarkEnd w:id="161"/>
    </w:p>
    <w:p>
      <w:pPr>
        <w:pStyle w:val="2"/>
        <w:shd w:val="clear" w:color="000000" w:fill="auto"/>
        <w:tabs>
          <w:tab w:val="left" w:pos="1202"/>
        </w:tabs>
        <w:adjustRightInd w:val="0"/>
        <w:snapToGrid w:val="0"/>
        <w:spacing w:line="360" w:lineRule="auto"/>
        <w:rPr>
          <w:rFonts w:ascii="仿宋" w:hAnsi="仿宋" w:eastAsia="仿宋" w:cs="仿宋"/>
          <w:b/>
          <w:bCs/>
          <w:color w:val="auto"/>
          <w:sz w:val="24"/>
          <w:szCs w:val="24"/>
          <w:highlight w:val="none"/>
        </w:rPr>
      </w:pPr>
      <w:r>
        <w:rPr>
          <w:color w:val="auto"/>
          <w:highlight w:val="none"/>
        </w:rPr>
        <mc:AlternateContent>
          <mc:Choice Requires="wps">
            <w:drawing>
              <wp:anchor distT="0" distB="0" distL="114300" distR="114300" simplePos="0" relativeHeight="251704320" behindDoc="0" locked="0" layoutInCell="1" allowOverlap="1">
                <wp:simplePos x="0" y="0"/>
                <wp:positionH relativeFrom="column">
                  <wp:posOffset>0</wp:posOffset>
                </wp:positionH>
                <wp:positionV relativeFrom="paragraph">
                  <wp:posOffset>181610</wp:posOffset>
                </wp:positionV>
                <wp:extent cx="914400" cy="594360"/>
                <wp:effectExtent l="0" t="0" r="0" b="0"/>
                <wp:wrapNone/>
                <wp:docPr id="45" name="文本框 46"/>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合同双方相互保障</w:t>
                            </w:r>
                          </w:p>
                        </w:txbxContent>
                      </wps:txbx>
                      <wps:bodyPr upright="1"/>
                    </wps:wsp>
                  </a:graphicData>
                </a:graphic>
              </wp:anchor>
            </w:drawing>
          </mc:Choice>
          <mc:Fallback>
            <w:pict>
              <v:shape id="文本框 46" o:spid="_x0000_s1026" o:spt="202" type="#_x0000_t202" style="position:absolute;left:0pt;margin-left:0pt;margin-top:14.3pt;height:46.8pt;width:72pt;z-index:251704320;mso-width-relative:page;mso-height-relative:page;" filled="f" stroked="f" coordsize="21600,21600" o:gfxdata="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H/4YJDVAAAA&#10;BwEAAA8AAAAAAAAAAQAgAAAAIgAAAGRycy9kb3ducmV2LnhtbFBLAQIUABQAAAAIAIdO4kDnSzHw&#10;rgEAAE8DAAAOAAAAAAAAAAEAIAAAACQBAABkcnMvZTJvRG9jLnhtbFBLBQYAAAAABgAGAFkBAABE&#10;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合同双方相互保障</w:t>
                      </w:r>
                    </w:p>
                  </w:txbxContent>
                </v:textbox>
              </v:shape>
            </w:pict>
          </mc:Fallback>
        </mc:AlternateContent>
      </w:r>
      <w:r>
        <w:rPr>
          <w:rFonts w:ascii="仿宋" w:hAnsi="仿宋" w:eastAsia="仿宋" w:cs="仿宋"/>
          <w:b/>
          <w:bCs/>
          <w:color w:val="auto"/>
          <w:sz w:val="24"/>
          <w:szCs w:val="24"/>
          <w:highlight w:val="none"/>
        </w:rPr>
        <w:t xml:space="preserve">17.1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一方当事人应负责和保障另一方当事人不因其自身的行为或疏忽而引起的一切损害、损失和赔偿。但受保障的一方当事人应积极采取合理措施减少可能发生的损失或损害。因受保障的一方当事人未采取合理措施而导致损失扩大，则损失扩大部分由其自身承担。</w:t>
      </w:r>
    </w:p>
    <w:p>
      <w:pPr>
        <w:pStyle w:val="2"/>
        <w:shd w:val="clear" w:color="000000" w:fill="auto"/>
        <w:tabs>
          <w:tab w:val="left" w:pos="1202"/>
        </w:tabs>
        <w:adjustRightInd w:val="0"/>
        <w:snapToGrid w:val="0"/>
        <w:spacing w:line="360" w:lineRule="auto"/>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705344" behindDoc="0" locked="0" layoutInCell="1" allowOverlap="1">
                <wp:simplePos x="0" y="0"/>
                <wp:positionH relativeFrom="column">
                  <wp:posOffset>-114300</wp:posOffset>
                </wp:positionH>
                <wp:positionV relativeFrom="paragraph">
                  <wp:posOffset>240665</wp:posOffset>
                </wp:positionV>
                <wp:extent cx="914400" cy="534670"/>
                <wp:effectExtent l="0" t="0" r="0" b="0"/>
                <wp:wrapNone/>
                <wp:docPr id="46" name="文本框 47"/>
                <wp:cNvGraphicFramePr/>
                <a:graphic xmlns:a="http://schemas.openxmlformats.org/drawingml/2006/main">
                  <a:graphicData uri="http://schemas.microsoft.com/office/word/2010/wordprocessingShape">
                    <wps:wsp>
                      <wps:cNvSpPr txBox="1"/>
                      <wps:spPr>
                        <a:xfrm>
                          <a:off x="0" y="0"/>
                          <a:ext cx="914400" cy="53467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承包人对发包人的保障</w:t>
                            </w:r>
                          </w:p>
                        </w:txbxContent>
                      </wps:txbx>
                      <wps:bodyPr upright="1"/>
                    </wps:wsp>
                  </a:graphicData>
                </a:graphic>
              </wp:anchor>
            </w:drawing>
          </mc:Choice>
          <mc:Fallback>
            <w:pict>
              <v:shape id="文本框 47" o:spid="_x0000_s1026" o:spt="202" type="#_x0000_t202" style="position:absolute;left:0pt;margin-left:-9pt;margin-top:18.95pt;height:42.1pt;width:72pt;z-index:251705344;mso-width-relative:page;mso-height-relative:page;" filled="f" stroked="f" coordsize="21600,21600" o:gfxdata="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KYHkGfY&#10;AAAACgEAAA8AAAAAAAAAAQAgAAAAIgAAAGRycy9kb3ducmV2LnhtbFBLAQIUABQAAAAIAIdO4kBj&#10;J1TorgEAAE8DAAAOAAAAAAAAAAEAIAAAACcBAABkcnMvZTJvRG9jLnhtbFBLBQYAAAAABgAGAFkB&#10;AABH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承包人对发包人的保障</w:t>
                      </w:r>
                    </w:p>
                  </w:txbxContent>
                </v:textbox>
              </v:shape>
            </w:pict>
          </mc:Fallback>
        </mc:AlternateContent>
      </w:r>
      <w:r>
        <w:rPr>
          <w:rFonts w:ascii="仿宋" w:hAnsi="仿宋" w:eastAsia="仿宋" w:cs="仿宋"/>
          <w:b/>
          <w:bCs/>
          <w:color w:val="auto"/>
          <w:sz w:val="24"/>
          <w:szCs w:val="24"/>
          <w:highlight w:val="none"/>
        </w:rPr>
        <w:t xml:space="preserve">17.2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承包人应保障发包人不承担因承包人移动或使用施工场地外的施工设备和临时设施所造成的损害而引起的赔偿。</w:t>
      </w:r>
    </w:p>
    <w:p>
      <w:pPr>
        <w:pStyle w:val="2"/>
        <w:shd w:val="clear" w:color="000000" w:fill="auto"/>
        <w:adjustRightInd w:val="0"/>
        <w:snapToGrid w:val="0"/>
        <w:spacing w:line="360" w:lineRule="auto"/>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
        <w:shd w:val="clear" w:color="000000" w:fill="auto"/>
        <w:adjustRightInd w:val="0"/>
        <w:snapToGrid w:val="0"/>
        <w:spacing w:before="240" w:beforeLines="100"/>
        <w:outlineLvl w:val="2"/>
        <w:rPr>
          <w:rFonts w:ascii="仿宋" w:hAnsi="仿宋" w:eastAsia="仿宋" w:cs="Times New Roman"/>
          <w:b/>
          <w:bCs/>
          <w:color w:val="auto"/>
          <w:sz w:val="24"/>
          <w:szCs w:val="24"/>
          <w:highlight w:val="none"/>
        </w:rPr>
      </w:pPr>
      <w:bookmarkStart w:id="162" w:name="_Toc10624837"/>
      <w:bookmarkStart w:id="163" w:name="_Toc11803"/>
      <w:bookmarkStart w:id="164" w:name="_Toc469383997"/>
      <w:r>
        <w:rPr>
          <w:rFonts w:ascii="仿宋" w:hAnsi="仿宋" w:eastAsia="仿宋" w:cs="仿宋"/>
          <w:b/>
          <w:bCs/>
          <w:color w:val="auto"/>
          <w:sz w:val="24"/>
          <w:szCs w:val="24"/>
          <w:highlight w:val="none"/>
        </w:rPr>
        <w:t xml:space="preserve">18  </w:t>
      </w:r>
      <w:r>
        <w:rPr>
          <w:rFonts w:hint="eastAsia" w:ascii="仿宋" w:hAnsi="仿宋" w:eastAsia="仿宋" w:cs="仿宋"/>
          <w:b/>
          <w:bCs/>
          <w:color w:val="auto"/>
          <w:sz w:val="24"/>
          <w:szCs w:val="24"/>
          <w:highlight w:val="none"/>
        </w:rPr>
        <w:t>财产</w:t>
      </w:r>
      <w:bookmarkEnd w:id="162"/>
      <w:bookmarkEnd w:id="163"/>
      <w:bookmarkEnd w:id="164"/>
    </w:p>
    <w:p>
      <w:pPr>
        <w:shd w:val="clear" w:color="000000" w:fill="auto"/>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18.1                       </w:t>
      </w:r>
    </w:p>
    <w:p>
      <w:pPr>
        <w:shd w:val="clear" w:color="000000" w:fill="auto"/>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06368" behindDoc="0" locked="0" layoutInCell="1" allowOverlap="1">
                <wp:simplePos x="0" y="0"/>
                <wp:positionH relativeFrom="column">
                  <wp:posOffset>-114300</wp:posOffset>
                </wp:positionH>
                <wp:positionV relativeFrom="paragraph">
                  <wp:posOffset>0</wp:posOffset>
                </wp:positionV>
                <wp:extent cx="914400" cy="724535"/>
                <wp:effectExtent l="0" t="0" r="0" b="0"/>
                <wp:wrapNone/>
                <wp:docPr id="47" name="文本框 48"/>
                <wp:cNvGraphicFramePr/>
                <a:graphic xmlns:a="http://schemas.openxmlformats.org/drawingml/2006/main">
                  <a:graphicData uri="http://schemas.microsoft.com/office/word/2010/wordprocessingShape">
                    <wps:wsp>
                      <wps:cNvSpPr txBox="1"/>
                      <wps:spPr>
                        <a:xfrm>
                          <a:off x="0" y="0"/>
                          <a:ext cx="914400" cy="72453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用于工程材料、工程设备和施工设备的</w:t>
                            </w:r>
                          </w:p>
                        </w:txbxContent>
                      </wps:txbx>
                      <wps:bodyPr upright="1"/>
                    </wps:wsp>
                  </a:graphicData>
                </a:graphic>
              </wp:anchor>
            </w:drawing>
          </mc:Choice>
          <mc:Fallback>
            <w:pict>
              <v:shape id="文本框 48" o:spid="_x0000_s1026" o:spt="202" type="#_x0000_t202" style="position:absolute;left:0pt;margin-left:-9pt;margin-top:0pt;height:57.05pt;width:72pt;z-index:251706368;mso-width-relative:page;mso-height-relative:page;" filled="f" stroked="f" coordsize="21600,21600" o:gfxdata="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BRSyLnVAAAA&#10;CAEAAA8AAAAAAAAAAQAgAAAAIgAAAGRycy9kb3ducmV2LnhtbFBLAQIUABQAAAAIAIdO4kDZhWvE&#10;rgEAAE8DAAAOAAAAAAAAAAEAIAAAACQBAABkcnMvZTJvRG9jLnhtbFBLBQYAAAAABgAGAFkBAABE&#10;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用于工程材料、工程设备和施工设备的</w:t>
                      </w:r>
                    </w:p>
                  </w:txbxContent>
                </v:textbox>
              </v:shape>
            </w:pict>
          </mc:Fallback>
        </mc:AlternateContent>
      </w:r>
      <w:r>
        <w:rPr>
          <w:rFonts w:hint="eastAsia" w:ascii="仿宋" w:hAnsi="仿宋" w:eastAsia="仿宋" w:cs="仿宋"/>
          <w:color w:val="auto"/>
          <w:sz w:val="24"/>
          <w:szCs w:val="24"/>
          <w:highlight w:val="none"/>
        </w:rPr>
        <w:t>合同工程所需的材料、工程设备（包括备品备件、安装专用工器具与随机资料）和承包人的施工设备一经运至施工现场，即成为实施合同工程的财产。没有经监理工程师同意并由其报发包人批准，承包人不得使用合同工程的财产，也不得将实施合同工程的财产运出施工现场，但用于运送材料和工程设备、施工设备和雇员的运输工具除外。</w:t>
      </w:r>
    </w:p>
    <w:p>
      <w:pPr>
        <w:shd w:val="clear" w:color="000000" w:fill="auto"/>
        <w:spacing w:line="360" w:lineRule="auto"/>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707392" behindDoc="0" locked="0" layoutInCell="1" allowOverlap="1">
                <wp:simplePos x="0" y="0"/>
                <wp:positionH relativeFrom="column">
                  <wp:posOffset>-114300</wp:posOffset>
                </wp:positionH>
                <wp:positionV relativeFrom="paragraph">
                  <wp:posOffset>282575</wp:posOffset>
                </wp:positionV>
                <wp:extent cx="914400" cy="460375"/>
                <wp:effectExtent l="0" t="0" r="0" b="0"/>
                <wp:wrapNone/>
                <wp:docPr id="48" name="文本框 49"/>
                <wp:cNvGraphicFramePr/>
                <a:graphic xmlns:a="http://schemas.openxmlformats.org/drawingml/2006/main">
                  <a:graphicData uri="http://schemas.microsoft.com/office/word/2010/wordprocessingShape">
                    <wps:wsp>
                      <wps:cNvSpPr txBox="1"/>
                      <wps:spPr>
                        <a:xfrm>
                          <a:off x="0" y="0"/>
                          <a:ext cx="914400" cy="46037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发包人财产及其使用</w:t>
                            </w:r>
                          </w:p>
                        </w:txbxContent>
                      </wps:txbx>
                      <wps:bodyPr upright="1"/>
                    </wps:wsp>
                  </a:graphicData>
                </a:graphic>
              </wp:anchor>
            </w:drawing>
          </mc:Choice>
          <mc:Fallback>
            <w:pict>
              <v:shape id="文本框 49" o:spid="_x0000_s1026" o:spt="202" type="#_x0000_t202" style="position:absolute;left:0pt;margin-left:-9pt;margin-top:22.25pt;height:36.25pt;width:72pt;z-index:251707392;mso-width-relative:page;mso-height-relative:page;" filled="f" stroked="f" coordsize="21600,21600" o:gfxdata="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uho1LdcA&#10;AAAKAQAADwAAAAAAAAABACAAAAAiAAAAZHJzL2Rvd25yZXYueG1sUEsBAhQAFAAAAAgAh07iQEJv&#10;7FWuAQAATwMAAA4AAAAAAAAAAQAgAAAAJgEAAGRycy9lMm9Eb2MueG1sUEsFBgAAAAAGAAYAWQEA&#10;AEY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发包人财产及其使用</w:t>
                      </w:r>
                    </w:p>
                  </w:txbxContent>
                </v:textbox>
              </v:shape>
            </w:pict>
          </mc:Fallback>
        </mc:AlternateContent>
      </w:r>
      <w:r>
        <w:rPr>
          <w:rFonts w:ascii="仿宋" w:hAnsi="仿宋" w:eastAsia="仿宋" w:cs="仿宋"/>
          <w:b/>
          <w:bCs/>
          <w:color w:val="auto"/>
          <w:sz w:val="24"/>
          <w:szCs w:val="24"/>
          <w:highlight w:val="none"/>
        </w:rPr>
        <w:t xml:space="preserve">18.2  </w:t>
      </w:r>
      <w:r>
        <w:rPr>
          <w:rFonts w:ascii="仿宋" w:hAnsi="仿宋" w:eastAsia="仿宋" w:cs="仿宋"/>
          <w:b/>
          <w:bCs/>
          <w:color w:val="auto"/>
          <w:sz w:val="24"/>
          <w:szCs w:val="24"/>
          <w:highlight w:val="none"/>
          <w:u w:val="dotted"/>
        </w:rPr>
        <w:t xml:space="preserve">                                                                                                       </w:t>
      </w:r>
    </w:p>
    <w:p>
      <w:pPr>
        <w:shd w:val="clear" w:color="000000" w:fill="auto"/>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如果发包人依据第</w:t>
      </w:r>
      <w:r>
        <w:rPr>
          <w:rFonts w:ascii="仿宋" w:hAnsi="仿宋" w:eastAsia="仿宋" w:cs="仿宋"/>
          <w:color w:val="auto"/>
          <w:sz w:val="24"/>
          <w:szCs w:val="24"/>
          <w:highlight w:val="none"/>
        </w:rPr>
        <w:t>87.3</w:t>
      </w:r>
      <w:r>
        <w:rPr>
          <w:rFonts w:hint="eastAsia" w:ascii="仿宋" w:hAnsi="仿宋" w:eastAsia="仿宋" w:cs="仿宋"/>
          <w:color w:val="auto"/>
          <w:sz w:val="24"/>
          <w:szCs w:val="24"/>
          <w:highlight w:val="none"/>
        </w:rPr>
        <w:t>款规定的情形解除合同，则合同工程和临时工程，应认为是发包人的财产。</w:t>
      </w:r>
    </w:p>
    <w:p>
      <w:pPr>
        <w:shd w:val="clear" w:color="000000" w:fill="auto"/>
        <w:spacing w:line="480" w:lineRule="auto"/>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708416" behindDoc="0" locked="0" layoutInCell="1" allowOverlap="1">
                <wp:simplePos x="0" y="0"/>
                <wp:positionH relativeFrom="column">
                  <wp:posOffset>-114300</wp:posOffset>
                </wp:positionH>
                <wp:positionV relativeFrom="paragraph">
                  <wp:posOffset>282575</wp:posOffset>
                </wp:positionV>
                <wp:extent cx="914400" cy="544195"/>
                <wp:effectExtent l="0" t="0" r="0" b="0"/>
                <wp:wrapNone/>
                <wp:docPr id="49" name="文本框 50"/>
                <wp:cNvGraphicFramePr/>
                <a:graphic xmlns:a="http://schemas.openxmlformats.org/drawingml/2006/main">
                  <a:graphicData uri="http://schemas.microsoft.com/office/word/2010/wordprocessingShape">
                    <wps:wsp>
                      <wps:cNvSpPr txBox="1"/>
                      <wps:spPr>
                        <a:xfrm>
                          <a:off x="0" y="0"/>
                          <a:ext cx="914400" cy="54419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承包人财产及其使用</w:t>
                            </w:r>
                          </w:p>
                        </w:txbxContent>
                      </wps:txbx>
                      <wps:bodyPr upright="1"/>
                    </wps:wsp>
                  </a:graphicData>
                </a:graphic>
              </wp:anchor>
            </w:drawing>
          </mc:Choice>
          <mc:Fallback>
            <w:pict>
              <v:shape id="文本框 50" o:spid="_x0000_s1026" o:spt="202" type="#_x0000_t202" style="position:absolute;left:0pt;margin-left:-9pt;margin-top:22.25pt;height:42.85pt;width:72pt;z-index:251708416;mso-width-relative:page;mso-height-relative:page;" filled="f" stroked="f" coordsize="21600,21600" o:gfxdata="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luwFc2AAA&#10;AAoBAAAPAAAAAAAAAAEAIAAAACIAAABkcnMvZG93bnJldi54bWxQSwECFAAUAAAACACHTuJAJSGm&#10;rqwBAABPAwAADgAAAAAAAAABACAAAAAnAQAAZHJzL2Uyb0RvYy54bWxQSwUGAAAAAAYABgBZAQAA&#10;RQ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承包人财产及其使用</w:t>
                      </w:r>
                    </w:p>
                  </w:txbxContent>
                </v:textbox>
              </v:shape>
            </w:pict>
          </mc:Fallback>
        </mc:AlternateContent>
      </w:r>
      <w:r>
        <w:rPr>
          <w:rFonts w:ascii="仿宋" w:hAnsi="仿宋" w:eastAsia="仿宋" w:cs="仿宋"/>
          <w:b/>
          <w:bCs/>
          <w:color w:val="auto"/>
          <w:sz w:val="24"/>
          <w:szCs w:val="24"/>
          <w:highlight w:val="none"/>
        </w:rPr>
        <w:t xml:space="preserve">18.3  </w:t>
      </w:r>
      <w:r>
        <w:rPr>
          <w:rFonts w:ascii="仿宋" w:hAnsi="仿宋" w:eastAsia="仿宋" w:cs="仿宋"/>
          <w:b/>
          <w:bCs/>
          <w:color w:val="auto"/>
          <w:sz w:val="24"/>
          <w:szCs w:val="24"/>
          <w:highlight w:val="none"/>
          <w:u w:val="dotted"/>
        </w:rPr>
        <w:t xml:space="preserve">                                                                                                       </w:t>
      </w:r>
    </w:p>
    <w:p>
      <w:pPr>
        <w:shd w:val="clear" w:color="000000" w:fill="auto"/>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如果承包人依据第</w:t>
      </w:r>
      <w:r>
        <w:rPr>
          <w:rFonts w:ascii="仿宋" w:hAnsi="仿宋" w:eastAsia="仿宋" w:cs="仿宋"/>
          <w:color w:val="auto"/>
          <w:sz w:val="24"/>
          <w:szCs w:val="24"/>
          <w:highlight w:val="none"/>
        </w:rPr>
        <w:t>87.4</w:t>
      </w:r>
      <w:r>
        <w:rPr>
          <w:rFonts w:hint="eastAsia" w:ascii="仿宋" w:hAnsi="仿宋" w:eastAsia="仿宋" w:cs="仿宋"/>
          <w:color w:val="auto"/>
          <w:sz w:val="24"/>
          <w:szCs w:val="24"/>
          <w:highlight w:val="none"/>
        </w:rPr>
        <w:t>款规定的情形解除合同，则承包人有权要求发包人支付已完工程款，并赔偿因此造成的损失。发包人应为承包人撤出现场提供便利和协助。如发包人未付完相关款项，承包人有权留置施工现场，直到发包人付完款项为止。</w:t>
      </w:r>
    </w:p>
    <w:p>
      <w:pPr>
        <w:shd w:val="clear" w:color="000000" w:fill="auto"/>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u w:val="single"/>
        </w:rPr>
        <w:t xml:space="preserve">                                                                                                              </w:t>
      </w:r>
    </w:p>
    <w:p>
      <w:pPr>
        <w:shd w:val="clear" w:color="000000" w:fill="auto"/>
        <w:spacing w:line="360" w:lineRule="auto"/>
        <w:ind w:firstLine="2879" w:firstLineChars="1195"/>
        <w:outlineLvl w:val="1"/>
        <w:rPr>
          <w:rFonts w:ascii="仿宋" w:hAnsi="仿宋" w:eastAsia="仿宋" w:cs="Times New Roman"/>
          <w:b/>
          <w:bCs/>
          <w:color w:val="auto"/>
          <w:sz w:val="24"/>
          <w:szCs w:val="24"/>
          <w:highlight w:val="none"/>
        </w:rPr>
      </w:pPr>
      <w:bookmarkStart w:id="165" w:name="_Toc19381"/>
      <w:bookmarkStart w:id="166" w:name="_Toc3262"/>
      <w:bookmarkStart w:id="167" w:name="_Toc10624838"/>
      <w:bookmarkStart w:id="168" w:name="_Toc469383998"/>
      <w:r>
        <w:rPr>
          <w:rFonts w:hint="eastAsia" w:ascii="仿宋" w:hAnsi="仿宋" w:eastAsia="仿宋" w:cs="仿宋"/>
          <w:b/>
          <w:bCs/>
          <w:color w:val="auto"/>
          <w:sz w:val="24"/>
          <w:szCs w:val="24"/>
          <w:highlight w:val="none"/>
        </w:rPr>
        <w:t>二、合同主体</w:t>
      </w:r>
      <w:bookmarkEnd w:id="165"/>
      <w:bookmarkEnd w:id="166"/>
      <w:bookmarkEnd w:id="167"/>
      <w:bookmarkEnd w:id="168"/>
    </w:p>
    <w:p>
      <w:pPr>
        <w:pStyle w:val="5"/>
        <w:numPr>
          <w:ilvl w:val="0"/>
          <w:numId w:val="0"/>
        </w:numPr>
        <w:shd w:val="clear" w:color="000000" w:fill="auto"/>
        <w:tabs>
          <w:tab w:val="left" w:pos="420"/>
        </w:tabs>
        <w:ind w:left="720"/>
        <w:rPr>
          <w:rFonts w:ascii="仿宋" w:hAnsi="仿宋" w:eastAsia="仿宋"/>
          <w:color w:val="auto"/>
          <w:sz w:val="24"/>
          <w:szCs w:val="24"/>
          <w:highlight w:val="none"/>
        </w:rPr>
      </w:pPr>
      <w:bookmarkStart w:id="169" w:name="_Toc16756"/>
      <w:bookmarkStart w:id="170" w:name="_Toc469383999"/>
      <w:bookmarkStart w:id="171" w:name="_Toc10624839"/>
      <w:r>
        <w:rPr>
          <w:rFonts w:ascii="仿宋" w:hAnsi="仿宋" w:eastAsia="仿宋" w:cs="仿宋"/>
          <w:color w:val="auto"/>
          <w:sz w:val="24"/>
          <w:szCs w:val="24"/>
          <w:highlight w:val="none"/>
        </w:rPr>
        <w:t xml:space="preserve">19  </w:t>
      </w:r>
      <w:r>
        <w:rPr>
          <w:rFonts w:hint="eastAsia" w:ascii="仿宋" w:hAnsi="仿宋" w:eastAsia="仿宋" w:cs="仿宋"/>
          <w:color w:val="auto"/>
          <w:sz w:val="24"/>
          <w:szCs w:val="24"/>
          <w:highlight w:val="none"/>
        </w:rPr>
        <w:t>发包人</w:t>
      </w:r>
      <w:bookmarkEnd w:id="169"/>
      <w:bookmarkEnd w:id="170"/>
      <w:bookmarkEnd w:id="171"/>
    </w:p>
    <w:p>
      <w:pPr>
        <w:shd w:val="clear" w:color="000000" w:fill="auto"/>
        <w:tabs>
          <w:tab w:val="left" w:pos="1620"/>
        </w:tabs>
        <w:ind w:left="-2" w:leftChars="-1" w:firstLine="1"/>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19.1                                                        </w:t>
      </w:r>
    </w:p>
    <w:p>
      <w:pPr>
        <w:shd w:val="clear" w:color="000000" w:fill="auto"/>
        <w:tabs>
          <w:tab w:val="left" w:pos="1620"/>
        </w:tabs>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09440" behindDoc="0" locked="0" layoutInCell="1" allowOverlap="1">
                <wp:simplePos x="0" y="0"/>
                <wp:positionH relativeFrom="column">
                  <wp:posOffset>-114300</wp:posOffset>
                </wp:positionH>
                <wp:positionV relativeFrom="paragraph">
                  <wp:posOffset>4445</wp:posOffset>
                </wp:positionV>
                <wp:extent cx="914400" cy="429895"/>
                <wp:effectExtent l="0" t="0" r="0" b="0"/>
                <wp:wrapNone/>
                <wp:docPr id="50" name="文本框 51"/>
                <wp:cNvGraphicFramePr/>
                <a:graphic xmlns:a="http://schemas.openxmlformats.org/drawingml/2006/main">
                  <a:graphicData uri="http://schemas.microsoft.com/office/word/2010/wordprocessingShape">
                    <wps:wsp>
                      <wps:cNvSpPr txBox="1"/>
                      <wps:spPr>
                        <a:xfrm>
                          <a:off x="0" y="0"/>
                          <a:ext cx="914400" cy="42989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遵守法律</w:t>
                            </w:r>
                          </w:p>
                        </w:txbxContent>
                      </wps:txbx>
                      <wps:bodyPr upright="1"/>
                    </wps:wsp>
                  </a:graphicData>
                </a:graphic>
              </wp:anchor>
            </w:drawing>
          </mc:Choice>
          <mc:Fallback>
            <w:pict>
              <v:shape id="文本框 51" o:spid="_x0000_s1026" o:spt="202" type="#_x0000_t202" style="position:absolute;left:0pt;margin-left:-9pt;margin-top:0.35pt;height:33.85pt;width:72pt;z-index:251709440;mso-width-relative:page;mso-height-relative:page;" filled="f" stroked="f" coordsize="21600,21600" o:gfxdata="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hRaKZNUAAAAH&#10;AQAADwAAAAAAAAABACAAAAAiAAAAZHJzL2Rvd25yZXYueG1sUEsBAhQAFAAAAAgAh07iQJJYmvKt&#10;AQAATwMAAA4AAAAAAAAAAQAgAAAAJAEAAGRycy9lMm9Eb2MueG1sUEsFBgAAAAAGAAYAWQEAAEMF&#10;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遵守法律</w:t>
                      </w:r>
                    </w:p>
                  </w:txbxContent>
                </v:textbox>
              </v:shape>
            </w:pict>
          </mc:Fallback>
        </mc:AlternateContent>
      </w:r>
      <w:r>
        <w:rPr>
          <w:rFonts w:hint="eastAsia" w:ascii="仿宋" w:hAnsi="仿宋" w:eastAsia="仿宋" w:cs="仿宋"/>
          <w:color w:val="auto"/>
          <w:sz w:val="24"/>
          <w:szCs w:val="24"/>
          <w:highlight w:val="none"/>
        </w:rPr>
        <w:t>发包人在履行合同期间应遵守法律，并保证承包人免于承担因发包人违反法律而引起的任何责任；遵守国家、省、市有关社会信用体系建设工作的法律、行政法规、规章、规范性文件，严格执行信用承诺制度，违背信用承诺约定时，承担违约责任，并依法承担相应法律责任。</w:t>
      </w:r>
    </w:p>
    <w:p>
      <w:pPr>
        <w:shd w:val="clear" w:color="000000" w:fill="auto"/>
        <w:tabs>
          <w:tab w:val="left" w:pos="1620"/>
        </w:tabs>
        <w:spacing w:line="360" w:lineRule="auto"/>
        <w:ind w:left="-2" w:leftChars="-1" w:firstLine="1"/>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19.2 </w:t>
      </w:r>
      <w:r>
        <w:rPr>
          <w:rFonts w:ascii="仿宋" w:hAnsi="仿宋" w:eastAsia="仿宋" w:cs="仿宋"/>
          <w:b/>
          <w:bCs/>
          <w:color w:val="auto"/>
          <w:sz w:val="24"/>
          <w:szCs w:val="24"/>
          <w:highlight w:val="none"/>
          <w:u w:val="dotted"/>
        </w:rPr>
        <w:t xml:space="preserve">                                                                             </w:t>
      </w:r>
      <w:r>
        <w:rPr>
          <w:rFonts w:ascii="仿宋" w:hAnsi="仿宋" w:eastAsia="仿宋" w:cs="仿宋"/>
          <w:b/>
          <w:bCs/>
          <w:color w:val="auto"/>
          <w:sz w:val="24"/>
          <w:szCs w:val="24"/>
          <w:highlight w:val="none"/>
        </w:rPr>
        <w:t xml:space="preserve">                                                       </w:t>
      </w:r>
    </w:p>
    <w:p>
      <w:pPr>
        <w:shd w:val="clear" w:color="000000" w:fill="auto"/>
        <w:spacing w:line="360" w:lineRule="auto"/>
        <w:ind w:left="1620"/>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10464" behindDoc="0" locked="0" layoutInCell="1" allowOverlap="1">
                <wp:simplePos x="0" y="0"/>
                <wp:positionH relativeFrom="column">
                  <wp:posOffset>-114300</wp:posOffset>
                </wp:positionH>
                <wp:positionV relativeFrom="paragraph">
                  <wp:posOffset>4445</wp:posOffset>
                </wp:positionV>
                <wp:extent cx="914400" cy="429895"/>
                <wp:effectExtent l="0" t="0" r="0" b="0"/>
                <wp:wrapNone/>
                <wp:docPr id="51" name="文本框 52"/>
                <wp:cNvGraphicFramePr/>
                <a:graphic xmlns:a="http://schemas.openxmlformats.org/drawingml/2006/main">
                  <a:graphicData uri="http://schemas.microsoft.com/office/word/2010/wordprocessingShape">
                    <wps:wsp>
                      <wps:cNvSpPr txBox="1"/>
                      <wps:spPr>
                        <a:xfrm>
                          <a:off x="0" y="0"/>
                          <a:ext cx="914400" cy="42989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发包人工作</w:t>
                            </w:r>
                          </w:p>
                        </w:txbxContent>
                      </wps:txbx>
                      <wps:bodyPr upright="1"/>
                    </wps:wsp>
                  </a:graphicData>
                </a:graphic>
              </wp:anchor>
            </w:drawing>
          </mc:Choice>
          <mc:Fallback>
            <w:pict>
              <v:shape id="文本框 52" o:spid="_x0000_s1026" o:spt="202" type="#_x0000_t202" style="position:absolute;left:0pt;margin-left:-9pt;margin-top:0.35pt;height:33.85pt;width:72pt;z-index:251710464;mso-width-relative:page;mso-height-relative:page;" filled="f" stroked="f" coordsize="21600,21600" o:gfxdata="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hRaKZNUAAAAH&#10;AQAADwAAAAAAAAABACAAAAAiAAAAZHJzL2Rvd25yZXYueG1sUEsBAhQAFAAAAAgAh07iQJTElSat&#10;AQAATwMAAA4AAAAAAAAAAQAgAAAAJAEAAGRycy9lMm9Eb2MueG1sUEsFBgAAAAAGAAYAWQEAAEMF&#10;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发包人工作</w:t>
                      </w:r>
                    </w:p>
                  </w:txbxContent>
                </v:textbox>
              </v:shape>
            </w:pict>
          </mc:Fallback>
        </mc:AlternateContent>
      </w:r>
      <w:r>
        <w:rPr>
          <w:rFonts w:hint="eastAsia" w:ascii="仿宋" w:hAnsi="仿宋" w:eastAsia="仿宋" w:cs="仿宋"/>
          <w:color w:val="auto"/>
          <w:sz w:val="24"/>
          <w:szCs w:val="24"/>
          <w:highlight w:val="none"/>
        </w:rPr>
        <w:t>发包人应按照合同约定完成下列工作，包括但不限于：</w:t>
      </w:r>
    </w:p>
    <w:p>
      <w:pPr>
        <w:numPr>
          <w:ilvl w:val="0"/>
          <w:numId w:val="4"/>
        </w:numPr>
        <w:shd w:val="clear" w:color="000000" w:fill="auto"/>
        <w:tabs>
          <w:tab w:val="left" w:pos="1080"/>
          <w:tab w:val="left" w:pos="1470"/>
          <w:tab w:val="left" w:pos="1980"/>
          <w:tab w:val="clear" w:pos="990"/>
        </w:tabs>
        <w:spacing w:line="360" w:lineRule="auto"/>
        <w:ind w:left="1616" w:leftChars="749" w:hanging="43" w:hangingChars="18"/>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办理土地征用、拆迁、平整施工场地等工作，使施工场地具备施工条件，并在开工后继续负责解决上述工作遗留的问题；</w:t>
      </w:r>
    </w:p>
    <w:p>
      <w:pPr>
        <w:numPr>
          <w:ilvl w:val="0"/>
          <w:numId w:val="4"/>
        </w:numPr>
        <w:shd w:val="clear" w:color="000000" w:fill="auto"/>
        <w:tabs>
          <w:tab w:val="left" w:pos="1080"/>
          <w:tab w:val="left" w:pos="1470"/>
          <w:tab w:val="left" w:pos="1980"/>
          <w:tab w:val="clear" w:pos="990"/>
        </w:tabs>
        <w:spacing w:line="360" w:lineRule="auto"/>
        <w:ind w:left="1635" w:leftChars="750" w:hanging="60" w:hangingChars="25"/>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将施工所需水、电、通讯线路从施工场地外部接驳至专用条款约定的地点，</w:t>
      </w:r>
    </w:p>
    <w:p>
      <w:pPr>
        <w:shd w:val="clear" w:color="000000" w:fill="auto"/>
        <w:tabs>
          <w:tab w:val="left" w:pos="1980"/>
        </w:tabs>
        <w:spacing w:line="360" w:lineRule="auto"/>
        <w:ind w:left="1575" w:leftChars="750" w:firstLine="43" w:firstLineChars="18"/>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保证施工期间的需要；</w:t>
      </w:r>
    </w:p>
    <w:p>
      <w:pPr>
        <w:numPr>
          <w:ilvl w:val="0"/>
          <w:numId w:val="4"/>
        </w:numPr>
        <w:shd w:val="clear" w:color="000000" w:fill="auto"/>
        <w:tabs>
          <w:tab w:val="left" w:pos="1080"/>
          <w:tab w:val="left" w:pos="1470"/>
          <w:tab w:val="left" w:pos="1980"/>
          <w:tab w:val="clear" w:pos="990"/>
        </w:tabs>
        <w:spacing w:line="360" w:lineRule="auto"/>
        <w:ind w:left="1635" w:leftChars="750" w:hanging="60" w:hangingChars="25"/>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开通施工场地与城乡公共道路间的通道，满足第</w:t>
      </w:r>
      <w:r>
        <w:rPr>
          <w:rFonts w:ascii="仿宋" w:hAnsi="仿宋" w:eastAsia="仿宋" w:cs="仿宋"/>
          <w:color w:val="auto"/>
          <w:sz w:val="24"/>
          <w:szCs w:val="24"/>
          <w:highlight w:val="none"/>
        </w:rPr>
        <w:t>13</w:t>
      </w:r>
      <w:r>
        <w:rPr>
          <w:rFonts w:hint="eastAsia" w:ascii="仿宋" w:hAnsi="仿宋" w:eastAsia="仿宋" w:cs="仿宋"/>
          <w:color w:val="auto"/>
          <w:sz w:val="24"/>
          <w:szCs w:val="24"/>
          <w:highlight w:val="none"/>
        </w:rPr>
        <w:t>条交通运输的需要；</w:t>
      </w:r>
    </w:p>
    <w:p>
      <w:pPr>
        <w:numPr>
          <w:ilvl w:val="0"/>
          <w:numId w:val="4"/>
        </w:numPr>
        <w:shd w:val="clear" w:color="000000" w:fill="auto"/>
        <w:tabs>
          <w:tab w:val="left" w:pos="1080"/>
          <w:tab w:val="left" w:pos="1470"/>
          <w:tab w:val="left" w:pos="1980"/>
          <w:tab w:val="clear" w:pos="990"/>
        </w:tabs>
        <w:spacing w:line="360" w:lineRule="auto"/>
        <w:ind w:left="1616" w:leftChars="749" w:hanging="43" w:hangingChars="18"/>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向承包人提供施工场地的工程地质勘察资料，以及施工现场及毗邻区域内供水、排水、供电、供气、供热、通信、广播电视等地下管线资料，气象和水文观测资料，邻近建筑物和构筑物、地下工程的有关资料，并保证资料的真实、准确、完整；</w:t>
      </w:r>
    </w:p>
    <w:p>
      <w:pPr>
        <w:numPr>
          <w:ilvl w:val="0"/>
          <w:numId w:val="4"/>
        </w:numPr>
        <w:shd w:val="clear" w:color="000000" w:fill="auto"/>
        <w:tabs>
          <w:tab w:val="left" w:pos="1080"/>
          <w:tab w:val="left" w:pos="1470"/>
          <w:tab w:val="left" w:pos="1980"/>
          <w:tab w:val="clear" w:pos="990"/>
        </w:tabs>
        <w:spacing w:line="360" w:lineRule="auto"/>
        <w:ind w:left="1616" w:leftChars="748" w:hanging="45" w:hangingChars="19"/>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办理施工许可及其他所需证件、批准文件和办理临时用地、停水、停电、中断道路交通、爆破作业等的申请批准手续（承包人自身施工资质的证件除外）；</w:t>
      </w:r>
    </w:p>
    <w:p>
      <w:pPr>
        <w:numPr>
          <w:ilvl w:val="0"/>
          <w:numId w:val="4"/>
        </w:numPr>
        <w:shd w:val="clear" w:color="000000" w:fill="auto"/>
        <w:tabs>
          <w:tab w:val="left" w:pos="1080"/>
          <w:tab w:val="left" w:pos="1470"/>
          <w:tab w:val="left" w:pos="1980"/>
          <w:tab w:val="clear" w:pos="990"/>
        </w:tabs>
        <w:spacing w:line="360" w:lineRule="auto"/>
        <w:ind w:left="1635" w:leftChars="750" w:hanging="60" w:hangingChars="25"/>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确定水准点与坐标控制点，组织现场交验并以书面形式移交给承包人；</w:t>
      </w:r>
    </w:p>
    <w:p>
      <w:pPr>
        <w:shd w:val="clear" w:color="000000" w:fill="auto"/>
        <w:tabs>
          <w:tab w:val="left" w:pos="1980"/>
        </w:tabs>
        <w:spacing w:line="360" w:lineRule="auto"/>
        <w:ind w:left="540" w:leftChars="257" w:firstLine="1017" w:firstLineChars="424"/>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(7) </w:t>
      </w:r>
      <w:r>
        <w:rPr>
          <w:rFonts w:hint="eastAsia" w:ascii="仿宋" w:hAnsi="仿宋" w:eastAsia="仿宋" w:cs="仿宋"/>
          <w:color w:val="auto"/>
          <w:sz w:val="24"/>
          <w:szCs w:val="24"/>
          <w:highlight w:val="none"/>
        </w:rPr>
        <w:t>按照专用条款约定的时间向承包人提供一式两份约定的标准与规范；</w:t>
      </w:r>
    </w:p>
    <w:p>
      <w:pPr>
        <w:shd w:val="clear" w:color="000000" w:fill="auto"/>
        <w:tabs>
          <w:tab w:val="left" w:pos="1080"/>
          <w:tab w:val="left" w:pos="1980"/>
        </w:tabs>
        <w:spacing w:line="360" w:lineRule="auto"/>
        <w:ind w:left="1575"/>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(8) </w:t>
      </w:r>
      <w:r>
        <w:rPr>
          <w:rFonts w:hint="eastAsia" w:ascii="仿宋" w:hAnsi="仿宋" w:eastAsia="仿宋" w:cs="仿宋"/>
          <w:color w:val="auto"/>
          <w:sz w:val="24"/>
          <w:szCs w:val="24"/>
          <w:highlight w:val="none"/>
        </w:rPr>
        <w:t>组织承包人和设计人进行图纸会审和设计交底；</w:t>
      </w:r>
    </w:p>
    <w:p>
      <w:pPr>
        <w:shd w:val="clear" w:color="000000" w:fill="auto"/>
        <w:tabs>
          <w:tab w:val="left" w:pos="1980"/>
        </w:tabs>
        <w:spacing w:line="360" w:lineRule="auto"/>
        <w:ind w:left="1575"/>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(9)</w:t>
      </w:r>
      <w:r>
        <w:rPr>
          <w:rFonts w:hint="eastAsia" w:ascii="仿宋" w:hAnsi="仿宋" w:eastAsia="仿宋" w:cs="仿宋"/>
          <w:color w:val="auto"/>
          <w:sz w:val="24"/>
          <w:szCs w:val="24"/>
          <w:highlight w:val="none"/>
        </w:rPr>
        <w:t>协调处理施工场地周围地形关系问题和做好邻近建筑物、构筑物（包括文物</w:t>
      </w:r>
    </w:p>
    <w:p>
      <w:pPr>
        <w:shd w:val="clear" w:color="000000" w:fill="auto"/>
        <w:tabs>
          <w:tab w:val="left" w:pos="1980"/>
        </w:tabs>
        <w:spacing w:line="360" w:lineRule="auto"/>
        <w:ind w:left="1575" w:leftChars="750" w:firstLine="43" w:firstLineChars="18"/>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保护建筑）、古树名木等的保护工作；</w:t>
      </w:r>
    </w:p>
    <w:p>
      <w:pPr>
        <w:shd w:val="clear" w:color="000000" w:fill="auto"/>
        <w:tabs>
          <w:tab w:val="left" w:pos="1980"/>
        </w:tabs>
        <w:spacing w:line="360" w:lineRule="auto"/>
        <w:ind w:left="480" w:firstLine="1140" w:firstLineChars="475"/>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(10)</w:t>
      </w:r>
      <w:r>
        <w:rPr>
          <w:rFonts w:hint="eastAsia" w:ascii="仿宋" w:hAnsi="仿宋" w:eastAsia="仿宋" w:cs="仿宋"/>
          <w:color w:val="auto"/>
          <w:sz w:val="24"/>
          <w:szCs w:val="24"/>
          <w:highlight w:val="none"/>
        </w:rPr>
        <w:t>及时接收已完工程，并按照合同约定及时支付工程款及其他各种款项。</w:t>
      </w:r>
    </w:p>
    <w:p>
      <w:pPr>
        <w:pStyle w:val="25"/>
        <w:shd w:val="clear" w:color="000000" w:fill="auto"/>
        <w:tabs>
          <w:tab w:val="left" w:pos="1980"/>
        </w:tabs>
        <w:ind w:left="1619" w:leftChars="771" w:firstLine="1" w:firstLineChars="0"/>
        <w:rPr>
          <w:rFonts w:ascii="仿宋" w:hAnsi="仿宋" w:eastAsia="仿宋"/>
          <w:color w:val="auto"/>
          <w:highlight w:val="none"/>
        </w:rPr>
      </w:pPr>
      <w:r>
        <w:rPr>
          <w:rFonts w:hint="eastAsia" w:ascii="仿宋" w:hAnsi="仿宋" w:eastAsia="仿宋" w:cs="仿宋"/>
          <w:color w:val="auto"/>
          <w:highlight w:val="none"/>
        </w:rPr>
        <w:t>发包人可将其中部分工作委托给承包人办理，具体由合同双方当事人在专用条款中约定。除合同价款已包括外，由发包人承担所需费用，并向承包人支付合理利润。</w:t>
      </w:r>
    </w:p>
    <w:p>
      <w:pPr>
        <w:shd w:val="clear" w:color="000000" w:fill="auto"/>
        <w:spacing w:line="360" w:lineRule="auto"/>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19.3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shd w:val="clear" w:color="000000" w:fill="auto"/>
        <w:spacing w:line="360" w:lineRule="auto"/>
        <w:ind w:left="1619" w:leftChars="771" w:firstLine="2"/>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11488" behindDoc="0" locked="0" layoutInCell="1" allowOverlap="1">
                <wp:simplePos x="0" y="0"/>
                <wp:positionH relativeFrom="column">
                  <wp:posOffset>-114300</wp:posOffset>
                </wp:positionH>
                <wp:positionV relativeFrom="paragraph">
                  <wp:posOffset>0</wp:posOffset>
                </wp:positionV>
                <wp:extent cx="914400" cy="495300"/>
                <wp:effectExtent l="0" t="0" r="0" b="0"/>
                <wp:wrapNone/>
                <wp:docPr id="52" name="文本框 53"/>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发包人提供施工场地</w:t>
                            </w:r>
                          </w:p>
                        </w:txbxContent>
                      </wps:txbx>
                      <wps:bodyPr upright="1"/>
                    </wps:wsp>
                  </a:graphicData>
                </a:graphic>
              </wp:anchor>
            </w:drawing>
          </mc:Choice>
          <mc:Fallback>
            <w:pict>
              <v:shape id="文本框 53" o:spid="_x0000_s1026" o:spt="202" type="#_x0000_t202" style="position:absolute;left:0pt;margin-left:-9pt;margin-top:0pt;height:39pt;width:72pt;z-index:251711488;mso-width-relative:page;mso-height-relative:page;" filled="f" stroked="f" coordsize="21600,21600" o:gfxdata="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kLuITtQAAAAH&#10;AQAADwAAAAAAAAABACAAAAAiAAAAZHJzL2Rvd25yZXYueG1sUEsBAhQAFAAAAAgAh07iQO9zrUau&#10;AQAATwMAAA4AAAAAAAAAAQAgAAAAIwEAAGRycy9lMm9Eb2MueG1sUEsFBgAAAAAGAAYAWQEAAEMF&#10;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发包人提供施工场地</w:t>
                      </w:r>
                    </w:p>
                  </w:txbxContent>
                </v:textbox>
              </v:shape>
            </w:pict>
          </mc:Fallback>
        </mc:AlternateContent>
      </w:r>
      <w:r>
        <w:rPr>
          <w:rFonts w:hint="eastAsia" w:ascii="仿宋" w:hAnsi="仿宋" w:eastAsia="仿宋" w:cs="仿宋"/>
          <w:color w:val="auto"/>
          <w:sz w:val="24"/>
          <w:szCs w:val="24"/>
          <w:highlight w:val="none"/>
        </w:rPr>
        <w:t>发包人应按照专用条款约定的时间提供施工场地，并在确保承包人按照计划进度顺利开工的时间内给予承包人进入和使用施工场地的权利。</w:t>
      </w:r>
    </w:p>
    <w:p>
      <w:pPr>
        <w:shd w:val="clear" w:color="000000" w:fill="auto"/>
        <w:spacing w:line="360" w:lineRule="auto"/>
        <w:ind w:left="1619" w:leftChars="771" w:firstLine="2"/>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发包人保留其工作人员、雇员和相关执法人员进入和使用施工场地的权利。</w:t>
      </w:r>
    </w:p>
    <w:p>
      <w:pPr>
        <w:shd w:val="clear" w:color="000000" w:fill="auto"/>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19.4  </w:t>
      </w:r>
      <w:r>
        <w:rPr>
          <w:rFonts w:ascii="仿宋" w:hAnsi="仿宋" w:eastAsia="仿宋" w:cs="仿宋"/>
          <w:b/>
          <w:bCs/>
          <w:color w:val="auto"/>
          <w:sz w:val="24"/>
          <w:szCs w:val="24"/>
          <w:highlight w:val="none"/>
          <w:u w:val="dotted"/>
        </w:rPr>
        <w:t xml:space="preserve">                                                                                                       </w:t>
      </w:r>
    </w:p>
    <w:p>
      <w:pPr>
        <w:shd w:val="clear" w:color="000000" w:fill="auto"/>
        <w:spacing w:line="360" w:lineRule="auto"/>
        <w:ind w:left="1619" w:leftChars="771"/>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712512" behindDoc="0" locked="0" layoutInCell="1" allowOverlap="1">
                <wp:simplePos x="0" y="0"/>
                <wp:positionH relativeFrom="column">
                  <wp:posOffset>-114300</wp:posOffset>
                </wp:positionH>
                <wp:positionV relativeFrom="paragraph">
                  <wp:posOffset>15240</wp:posOffset>
                </wp:positionV>
                <wp:extent cx="914400" cy="715645"/>
                <wp:effectExtent l="0" t="0" r="0" b="0"/>
                <wp:wrapNone/>
                <wp:docPr id="53" name="文本框 54"/>
                <wp:cNvGraphicFramePr/>
                <a:graphic xmlns:a="http://schemas.openxmlformats.org/drawingml/2006/main">
                  <a:graphicData uri="http://schemas.microsoft.com/office/word/2010/wordprocessingShape">
                    <wps:wsp>
                      <wps:cNvSpPr txBox="1"/>
                      <wps:spPr>
                        <a:xfrm>
                          <a:off x="0" y="0"/>
                          <a:ext cx="914400" cy="71564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发包人支付款项</w:t>
                            </w:r>
                          </w:p>
                        </w:txbxContent>
                      </wps:txbx>
                      <wps:bodyPr upright="1"/>
                    </wps:wsp>
                  </a:graphicData>
                </a:graphic>
              </wp:anchor>
            </w:drawing>
          </mc:Choice>
          <mc:Fallback>
            <w:pict>
              <v:shape id="文本框 54" o:spid="_x0000_s1026" o:spt="202" type="#_x0000_t202" style="position:absolute;left:0pt;margin-left:-9pt;margin-top:1.2pt;height:56.35pt;width:72pt;z-index:251712512;mso-width-relative:page;mso-height-relative:page;" filled="f" stroked="f" coordsize="21600,21600" o:gfxdata="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VDE7k1gAA&#10;AAkBAAAPAAAAAAAAAAEAIAAAACIAAABkcnMvZG93bnJldi54bWxQSwECFAAUAAAACACHTuJAQX/l&#10;Bq4BAABPAwAADgAAAAAAAAABACAAAAAlAQAAZHJzL2Uyb0RvYy54bWxQSwUGAAAAAAYABgBZAQAA&#10;RQ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发包人支付款项</w:t>
                      </w:r>
                    </w:p>
                  </w:txbxContent>
                </v:textbox>
              </v:shape>
            </w:pict>
          </mc:Fallback>
        </mc:AlternateContent>
      </w:r>
      <w:r>
        <w:rPr>
          <w:rFonts w:hint="eastAsia" w:ascii="仿宋" w:hAnsi="仿宋" w:eastAsia="仿宋" w:cs="仿宋"/>
          <w:color w:val="auto"/>
          <w:sz w:val="24"/>
          <w:szCs w:val="24"/>
          <w:highlight w:val="none"/>
        </w:rPr>
        <w:t>发包人应按照合同约定的期限和方式向承包人支付工程款及其他应支付的款项。</w:t>
      </w:r>
    </w:p>
    <w:p>
      <w:pPr>
        <w:shd w:val="clear" w:color="000000" w:fill="auto"/>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19.5  </w:t>
      </w:r>
      <w:r>
        <w:rPr>
          <w:rFonts w:ascii="仿宋" w:hAnsi="仿宋" w:eastAsia="仿宋" w:cs="仿宋"/>
          <w:b/>
          <w:bCs/>
          <w:color w:val="auto"/>
          <w:sz w:val="24"/>
          <w:szCs w:val="24"/>
          <w:highlight w:val="none"/>
          <w:u w:val="dotted"/>
        </w:rPr>
        <w:t xml:space="preserve">                                                                                                       </w:t>
      </w:r>
    </w:p>
    <w:p>
      <w:pPr>
        <w:shd w:val="clear" w:color="000000" w:fill="auto"/>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13536" behindDoc="0" locked="0" layoutInCell="1" allowOverlap="1">
                <wp:simplePos x="0" y="0"/>
                <wp:positionH relativeFrom="column">
                  <wp:posOffset>-114300</wp:posOffset>
                </wp:positionH>
                <wp:positionV relativeFrom="paragraph">
                  <wp:posOffset>15240</wp:posOffset>
                </wp:positionV>
                <wp:extent cx="914400" cy="852170"/>
                <wp:effectExtent l="0" t="0" r="0" b="0"/>
                <wp:wrapNone/>
                <wp:docPr id="54" name="文本框 55"/>
                <wp:cNvGraphicFramePr/>
                <a:graphic xmlns:a="http://schemas.openxmlformats.org/drawingml/2006/main">
                  <a:graphicData uri="http://schemas.microsoft.com/office/word/2010/wordprocessingShape">
                    <wps:wsp>
                      <wps:cNvSpPr txBox="1"/>
                      <wps:spPr>
                        <a:xfrm>
                          <a:off x="0" y="0"/>
                          <a:ext cx="914400" cy="85217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发包人组织竣工验收</w:t>
                            </w:r>
                          </w:p>
                        </w:txbxContent>
                      </wps:txbx>
                      <wps:bodyPr upright="1"/>
                    </wps:wsp>
                  </a:graphicData>
                </a:graphic>
              </wp:anchor>
            </w:drawing>
          </mc:Choice>
          <mc:Fallback>
            <w:pict>
              <v:shape id="文本框 55" o:spid="_x0000_s1026" o:spt="202" type="#_x0000_t202" style="position:absolute;left:0pt;margin-left:-9pt;margin-top:1.2pt;height:67.1pt;width:72pt;z-index:251713536;mso-width-relative:page;mso-height-relative:page;" filled="f" stroked="f" coordsize="21600,21600" o:gfxdata="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6csd5dYA&#10;AAAJAQAADwAAAAAAAAABACAAAAAiAAAAZHJzL2Rvd25yZXYueG1sUEsBAhQAFAAAAAgAh07iQOBo&#10;GLOvAQAATwMAAA4AAAAAAAAAAQAgAAAAJQEAAGRycy9lMm9Eb2MueG1sUEsFBgAAAAAGAAYAWQEA&#10;AEY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发包人组织竣工验收</w:t>
                      </w:r>
                    </w:p>
                  </w:txbxContent>
                </v:textbox>
              </v:shape>
            </w:pict>
          </mc:Fallback>
        </mc:AlternateContent>
      </w:r>
      <w:r>
        <w:rPr>
          <w:rFonts w:hint="eastAsia" w:ascii="仿宋" w:hAnsi="仿宋" w:eastAsia="仿宋" w:cs="仿宋"/>
          <w:color w:val="auto"/>
          <w:sz w:val="24"/>
          <w:szCs w:val="24"/>
          <w:highlight w:val="none"/>
        </w:rPr>
        <w:t>发包人应按照第</w:t>
      </w:r>
      <w:r>
        <w:rPr>
          <w:rFonts w:ascii="仿宋" w:hAnsi="仿宋" w:eastAsia="仿宋" w:cs="仿宋"/>
          <w:color w:val="auto"/>
          <w:sz w:val="24"/>
          <w:szCs w:val="24"/>
          <w:highlight w:val="none"/>
        </w:rPr>
        <w:t>58</w:t>
      </w:r>
      <w:r>
        <w:rPr>
          <w:rFonts w:hint="eastAsia" w:ascii="仿宋" w:hAnsi="仿宋" w:eastAsia="仿宋" w:cs="仿宋"/>
          <w:color w:val="auto"/>
          <w:sz w:val="24"/>
          <w:szCs w:val="24"/>
          <w:highlight w:val="none"/>
        </w:rPr>
        <w:t>条规定组织承包人、设计人、监理人和工程造价咨询人（如有）等进行竣工验收。</w:t>
      </w:r>
    </w:p>
    <w:p>
      <w:pPr>
        <w:shd w:val="clear" w:color="000000" w:fill="auto"/>
        <w:spacing w:line="360" w:lineRule="auto"/>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714560" behindDoc="0" locked="0" layoutInCell="1" allowOverlap="1">
                <wp:simplePos x="0" y="0"/>
                <wp:positionH relativeFrom="column">
                  <wp:posOffset>-114300</wp:posOffset>
                </wp:positionH>
                <wp:positionV relativeFrom="paragraph">
                  <wp:posOffset>273050</wp:posOffset>
                </wp:positionV>
                <wp:extent cx="914400" cy="1162685"/>
                <wp:effectExtent l="0" t="0" r="0" b="0"/>
                <wp:wrapNone/>
                <wp:docPr id="55" name="文本框 56"/>
                <wp:cNvGraphicFramePr/>
                <a:graphic xmlns:a="http://schemas.openxmlformats.org/drawingml/2006/main">
                  <a:graphicData uri="http://schemas.microsoft.com/office/word/2010/wordprocessingShape">
                    <wps:wsp>
                      <wps:cNvSpPr txBox="1"/>
                      <wps:spPr>
                        <a:xfrm>
                          <a:off x="0" y="0"/>
                          <a:ext cx="914400" cy="116268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发包人供应材料和工程设备要求</w:t>
                            </w:r>
                          </w:p>
                        </w:txbxContent>
                      </wps:txbx>
                      <wps:bodyPr upright="1"/>
                    </wps:wsp>
                  </a:graphicData>
                </a:graphic>
              </wp:anchor>
            </w:drawing>
          </mc:Choice>
          <mc:Fallback>
            <w:pict>
              <v:shape id="文本框 56" o:spid="_x0000_s1026" o:spt="202" type="#_x0000_t202" style="position:absolute;left:0pt;margin-left:-9pt;margin-top:21.5pt;height:91.55pt;width:72pt;z-index:251714560;mso-width-relative:page;mso-height-relative:page;" filled="f" stroked="f" coordsize="21600,21600" o:gfxdata="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izItJdcA&#10;AAAKAQAADwAAAAAAAAABACAAAAAiAAAAZHJzL2Rvd25yZXYueG1sUEsBAhQAFAAAAAgAh07iQPJt&#10;mk6uAQAAUAMAAA4AAAAAAAAAAQAgAAAAJgEAAGRycy9lMm9Eb2MueG1sUEsFBgAAAAAGAAYAWQEA&#10;AEY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发包人供应材料和工程设备要求</w:t>
                      </w:r>
                    </w:p>
                  </w:txbxContent>
                </v:textbox>
              </v:shape>
            </w:pict>
          </mc:Fallback>
        </mc:AlternateContent>
      </w:r>
      <w:r>
        <w:rPr>
          <w:rFonts w:ascii="仿宋" w:hAnsi="仿宋" w:eastAsia="仿宋" w:cs="仿宋"/>
          <w:b/>
          <w:bCs/>
          <w:color w:val="auto"/>
          <w:sz w:val="24"/>
          <w:szCs w:val="24"/>
          <w:highlight w:val="none"/>
        </w:rPr>
        <w:t xml:space="preserve">19.6  </w:t>
      </w:r>
      <w:r>
        <w:rPr>
          <w:rFonts w:ascii="仿宋" w:hAnsi="仿宋" w:eastAsia="仿宋" w:cs="仿宋"/>
          <w:b/>
          <w:bCs/>
          <w:color w:val="auto"/>
          <w:sz w:val="24"/>
          <w:szCs w:val="24"/>
          <w:highlight w:val="none"/>
          <w:u w:val="dotted"/>
        </w:rPr>
        <w:t xml:space="preserve">                                                                                                       </w:t>
      </w:r>
    </w:p>
    <w:p>
      <w:pPr>
        <w:shd w:val="clear" w:color="000000" w:fill="auto"/>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发包人供应材料和工程设备的，发包人应按照第</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条规定向承包人提供材料和工程设备。</w:t>
      </w:r>
    </w:p>
    <w:p>
      <w:pPr>
        <w:shd w:val="clear" w:color="000000" w:fill="auto"/>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19.7  </w:t>
      </w:r>
      <w:r>
        <w:rPr>
          <w:rFonts w:ascii="仿宋" w:hAnsi="仿宋" w:eastAsia="仿宋" w:cs="仿宋"/>
          <w:b/>
          <w:bCs/>
          <w:color w:val="auto"/>
          <w:sz w:val="24"/>
          <w:szCs w:val="24"/>
          <w:highlight w:val="none"/>
          <w:u w:val="dotted"/>
        </w:rPr>
        <w:t xml:space="preserve">                                                                                                       </w:t>
      </w:r>
    </w:p>
    <w:p>
      <w:pPr>
        <w:shd w:val="clear" w:color="000000" w:fill="auto"/>
        <w:spacing w:line="360" w:lineRule="auto"/>
        <w:ind w:left="1619" w:leftChars="771" w:firstLine="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15584" behindDoc="0" locked="0" layoutInCell="1" allowOverlap="1">
                <wp:simplePos x="0" y="0"/>
                <wp:positionH relativeFrom="column">
                  <wp:posOffset>-114300</wp:posOffset>
                </wp:positionH>
                <wp:positionV relativeFrom="paragraph">
                  <wp:posOffset>0</wp:posOffset>
                </wp:positionV>
                <wp:extent cx="914400" cy="449580"/>
                <wp:effectExtent l="0" t="0" r="0" b="0"/>
                <wp:wrapNone/>
                <wp:docPr id="56" name="文本框 57"/>
                <wp:cNvGraphicFramePr/>
                <a:graphic xmlns:a="http://schemas.openxmlformats.org/drawingml/2006/main">
                  <a:graphicData uri="http://schemas.microsoft.com/office/word/2010/wordprocessingShape">
                    <wps:wsp>
                      <wps:cNvSpPr txBox="1"/>
                      <wps:spPr>
                        <a:xfrm>
                          <a:off x="0" y="0"/>
                          <a:ext cx="914400" cy="449580"/>
                        </a:xfrm>
                        <a:prstGeom prst="rect">
                          <a:avLst/>
                        </a:prstGeom>
                        <a:noFill/>
                        <a:ln>
                          <a:noFill/>
                        </a:ln>
                      </wps:spPr>
                      <wps:txb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发包人未尽义务的责任</w:t>
                            </w:r>
                          </w:p>
                        </w:txbxContent>
                      </wps:txbx>
                      <wps:bodyPr upright="1"/>
                    </wps:wsp>
                  </a:graphicData>
                </a:graphic>
              </wp:anchor>
            </w:drawing>
          </mc:Choice>
          <mc:Fallback>
            <w:pict>
              <v:shape id="文本框 57" o:spid="_x0000_s1026" o:spt="202" type="#_x0000_t202" style="position:absolute;left:0pt;margin-left:-9pt;margin-top:0pt;height:35.4pt;width:72pt;z-index:251715584;mso-width-relative:page;mso-height-relative:page;" filled="f" stroked="f" coordsize="21600,21600" o:gfxdata="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Kdw8trUAAAA&#10;BwEAAA8AAAAAAAAAAQAgAAAAIgAAAGRycy9kb3ducmV2LnhtbFBLAQIUABQAAAAIAIdO4kCSRvnG&#10;rwEAAE8DAAAOAAAAAAAAAAEAIAAAACMBAABkcnMvZTJvRG9jLnhtbFBLBQYAAAAABgAGAFkBAABE&#10;BQAAAAA=&#10;">
                <v:fill on="f" focussize="0,0"/>
                <v:stroke on="f"/>
                <v:imagedata o:title=""/>
                <o:lock v:ext="edit" aspectratio="f"/>
                <v:textbo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发包人未尽义务的责任</w:t>
                      </w:r>
                    </w:p>
                  </w:txbxContent>
                </v:textbox>
              </v:shape>
            </w:pict>
          </mc:Fallback>
        </mc:AlternateContent>
      </w:r>
      <w:r>
        <w:rPr>
          <w:rFonts w:hint="eastAsia" w:ascii="仿宋" w:hAnsi="仿宋" w:eastAsia="仿宋" w:cs="仿宋"/>
          <w:color w:val="auto"/>
          <w:sz w:val="24"/>
          <w:szCs w:val="24"/>
          <w:highlight w:val="none"/>
        </w:rPr>
        <w:t>发包人未能正确完成本合同约定的全部义务，导致费用的增加和（或）延误的工期，由发包人承担；给承包人造成损失的，发包人应予赔偿。</w:t>
      </w:r>
    </w:p>
    <w:p>
      <w:pPr>
        <w:shd w:val="clear" w:color="000000" w:fill="auto"/>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5"/>
        <w:numPr>
          <w:ilvl w:val="0"/>
          <w:numId w:val="0"/>
        </w:numPr>
        <w:shd w:val="clear" w:color="000000" w:fill="auto"/>
        <w:tabs>
          <w:tab w:val="left" w:pos="420"/>
        </w:tabs>
        <w:ind w:left="720"/>
        <w:rPr>
          <w:rFonts w:ascii="仿宋" w:hAnsi="仿宋" w:eastAsia="仿宋"/>
          <w:color w:val="auto"/>
          <w:sz w:val="24"/>
          <w:szCs w:val="24"/>
          <w:highlight w:val="none"/>
        </w:rPr>
      </w:pPr>
      <w:bookmarkStart w:id="172" w:name="_Toc9314"/>
      <w:bookmarkStart w:id="173" w:name="_Toc10624840"/>
      <w:bookmarkStart w:id="174" w:name="_Toc469384000"/>
      <w:r>
        <w:rPr>
          <w:rFonts w:ascii="仿宋" w:hAnsi="仿宋" w:eastAsia="仿宋" w:cs="仿宋"/>
          <w:color w:val="auto"/>
          <w:sz w:val="24"/>
          <w:szCs w:val="24"/>
          <w:highlight w:val="none"/>
        </w:rPr>
        <w:t xml:space="preserve">20  </w:t>
      </w:r>
      <w:r>
        <w:rPr>
          <w:rFonts w:hint="eastAsia" w:ascii="仿宋" w:hAnsi="仿宋" w:eastAsia="仿宋" w:cs="仿宋"/>
          <w:color w:val="auto"/>
          <w:sz w:val="24"/>
          <w:szCs w:val="24"/>
          <w:highlight w:val="none"/>
        </w:rPr>
        <w:t>承包人</w:t>
      </w:r>
      <w:bookmarkEnd w:id="172"/>
      <w:bookmarkEnd w:id="173"/>
      <w:bookmarkEnd w:id="174"/>
    </w:p>
    <w:p>
      <w:pPr>
        <w:shd w:val="clear" w:color="000000" w:fill="auto"/>
        <w:tabs>
          <w:tab w:val="left" w:pos="1620"/>
        </w:tabs>
        <w:spacing w:line="360" w:lineRule="auto"/>
        <w:ind w:left="-2" w:leftChars="-1" w:firstLine="1"/>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20.1                                                        </w:t>
      </w:r>
    </w:p>
    <w:p>
      <w:pPr>
        <w:shd w:val="clear" w:color="000000" w:fill="auto"/>
        <w:tabs>
          <w:tab w:val="left" w:pos="1620"/>
        </w:tabs>
        <w:spacing w:line="360" w:lineRule="auto"/>
        <w:ind w:left="1260" w:leftChars="600"/>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16608" behindDoc="0" locked="0" layoutInCell="1" allowOverlap="1">
                <wp:simplePos x="0" y="0"/>
                <wp:positionH relativeFrom="column">
                  <wp:posOffset>-114300</wp:posOffset>
                </wp:positionH>
                <wp:positionV relativeFrom="paragraph">
                  <wp:posOffset>4445</wp:posOffset>
                </wp:positionV>
                <wp:extent cx="914400" cy="429895"/>
                <wp:effectExtent l="0" t="0" r="0" b="0"/>
                <wp:wrapNone/>
                <wp:docPr id="57" name="文本框 58"/>
                <wp:cNvGraphicFramePr/>
                <a:graphic xmlns:a="http://schemas.openxmlformats.org/drawingml/2006/main">
                  <a:graphicData uri="http://schemas.microsoft.com/office/word/2010/wordprocessingShape">
                    <wps:wsp>
                      <wps:cNvSpPr txBox="1"/>
                      <wps:spPr>
                        <a:xfrm>
                          <a:off x="0" y="0"/>
                          <a:ext cx="914400" cy="42989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遵守法律</w:t>
                            </w:r>
                          </w:p>
                        </w:txbxContent>
                      </wps:txbx>
                      <wps:bodyPr upright="1"/>
                    </wps:wsp>
                  </a:graphicData>
                </a:graphic>
              </wp:anchor>
            </w:drawing>
          </mc:Choice>
          <mc:Fallback>
            <w:pict>
              <v:shape id="文本框 58" o:spid="_x0000_s1026" o:spt="202" type="#_x0000_t202" style="position:absolute;left:0pt;margin-left:-9pt;margin-top:0.35pt;height:33.85pt;width:72pt;z-index:251716608;mso-width-relative:page;mso-height-relative:page;" filled="f" stroked="f" coordsize="21600,21600" o:gfxdata="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IUWimTVAAAA&#10;BwEAAA8AAAAAAAAAAQAgAAAAIgAAAGRycy9kb3ducmV2LnhtbFBLAQIUABQAAAAIAIdO4kBDhiez&#10;rgEAAE8DAAAOAAAAAAAAAAEAIAAAACQBAABkcnMvZTJvRG9jLnhtbFBLBQYAAAAABgAGAFkBAABE&#10;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遵守法律</w:t>
                      </w:r>
                    </w:p>
                  </w:txbxContent>
                </v:textbox>
              </v:shape>
            </w:pict>
          </mc:Fallback>
        </mc:AlternateContent>
      </w:r>
      <w:r>
        <w:rPr>
          <w:rFonts w:hint="eastAsia" w:ascii="仿宋" w:hAnsi="仿宋" w:eastAsia="仿宋" w:cs="仿宋"/>
          <w:color w:val="auto"/>
          <w:sz w:val="24"/>
          <w:szCs w:val="24"/>
          <w:highlight w:val="none"/>
        </w:rPr>
        <w:t>承包人在履行合同期间应遵守法律，并保证发包人免于承担因承包人违反法律而引起的任何责任。遵守国家、省、市有关社会信用体系建设工作的法律、行政法规、 部门规章，严格执行信用承诺制度，违背信用承诺约定时，承担违约责任，并依法承担相应法律责任。</w:t>
      </w:r>
    </w:p>
    <w:p>
      <w:pPr>
        <w:pStyle w:val="96"/>
        <w:shd w:val="clear" w:color="000000" w:fill="auto"/>
        <w:spacing w:before="0" w:beforeAutospacing="0" w:after="0" w:afterAutospacing="0" w:line="360" w:lineRule="auto"/>
        <w:ind w:left="1500" w:leftChars="600" w:hanging="240" w:hangingChars="100"/>
        <w:rPr>
          <w:rFonts w:ascii="仿宋" w:hAnsi="仿宋" w:eastAsia="仿宋" w:cs="仿宋"/>
          <w:color w:val="auto"/>
          <w:kern w:val="2"/>
          <w:highlight w:val="none"/>
        </w:rPr>
      </w:pPr>
      <w:r>
        <w:rPr>
          <w:rFonts w:hint="eastAsia" w:ascii="仿宋" w:hAnsi="仿宋" w:eastAsia="仿宋" w:cs="仿宋"/>
          <w:color w:val="auto"/>
          <w:kern w:val="2"/>
          <w:highlight w:val="none"/>
        </w:rPr>
        <w:t>承包人在本项目发包人的工程项目中存在下列行为的，将被拒绝参与发包人后续工程</w:t>
      </w:r>
    </w:p>
    <w:p>
      <w:pPr>
        <w:pStyle w:val="96"/>
        <w:shd w:val="clear" w:color="000000" w:fill="auto"/>
        <w:spacing w:before="0" w:beforeAutospacing="0" w:after="0" w:afterAutospacing="0" w:line="360" w:lineRule="auto"/>
        <w:ind w:left="1500" w:leftChars="600" w:hanging="240" w:hangingChars="100"/>
        <w:rPr>
          <w:rFonts w:ascii="仿宋" w:hAnsi="仿宋" w:eastAsia="仿宋" w:cs="Times New Roman"/>
          <w:color w:val="auto"/>
          <w:kern w:val="2"/>
          <w:highlight w:val="none"/>
        </w:rPr>
      </w:pPr>
      <w:r>
        <w:rPr>
          <w:rFonts w:hint="eastAsia" w:ascii="仿宋" w:hAnsi="仿宋" w:eastAsia="仿宋" w:cs="仿宋"/>
          <w:color w:val="auto"/>
          <w:kern w:val="2"/>
          <w:highlight w:val="none"/>
        </w:rPr>
        <w:t>投标。拒绝投标时限由发包人（招标人）视严重程度确定，并在专用条款中约定。</w:t>
      </w:r>
    </w:p>
    <w:p>
      <w:pPr>
        <w:pStyle w:val="96"/>
        <w:shd w:val="clear" w:color="000000" w:fill="auto"/>
        <w:spacing w:before="0" w:beforeAutospacing="0" w:after="0" w:afterAutospacing="0" w:line="360" w:lineRule="auto"/>
        <w:ind w:firstLine="1440" w:firstLineChars="600"/>
        <w:rPr>
          <w:rFonts w:ascii="仿宋" w:hAnsi="仿宋" w:eastAsia="仿宋" w:cs="Times New Roman"/>
          <w:color w:val="auto"/>
          <w:kern w:val="2"/>
          <w:highlight w:val="none"/>
        </w:rPr>
      </w:pPr>
      <w:r>
        <w:rPr>
          <w:rFonts w:ascii="仿宋" w:hAnsi="仿宋" w:eastAsia="仿宋" w:cs="仿宋"/>
          <w:color w:val="auto"/>
          <w:kern w:val="2"/>
          <w:highlight w:val="none"/>
        </w:rPr>
        <w:t>1.</w:t>
      </w:r>
      <w:r>
        <w:rPr>
          <w:rFonts w:hint="eastAsia" w:ascii="仿宋" w:hAnsi="仿宋" w:eastAsia="仿宋" w:cs="仿宋"/>
          <w:color w:val="auto"/>
          <w:kern w:val="2"/>
          <w:highlight w:val="none"/>
        </w:rPr>
        <w:t>将中标工程转包或者违法分包的；</w:t>
      </w:r>
    </w:p>
    <w:p>
      <w:pPr>
        <w:pStyle w:val="96"/>
        <w:shd w:val="clear" w:color="000000" w:fill="auto"/>
        <w:spacing w:before="0" w:beforeAutospacing="0" w:after="0" w:afterAutospacing="0" w:line="360" w:lineRule="auto"/>
        <w:ind w:firstLine="1440" w:firstLineChars="600"/>
        <w:rPr>
          <w:rFonts w:ascii="仿宋" w:hAnsi="仿宋" w:eastAsia="仿宋" w:cs="Times New Roman"/>
          <w:color w:val="auto"/>
          <w:kern w:val="2"/>
          <w:highlight w:val="none"/>
        </w:rPr>
      </w:pPr>
      <w:r>
        <w:rPr>
          <w:rFonts w:ascii="仿宋" w:hAnsi="仿宋" w:eastAsia="仿宋" w:cs="仿宋"/>
          <w:color w:val="auto"/>
          <w:kern w:val="2"/>
          <w:highlight w:val="none"/>
        </w:rPr>
        <w:t>2.</w:t>
      </w:r>
      <w:r>
        <w:rPr>
          <w:rFonts w:hint="eastAsia" w:ascii="仿宋" w:hAnsi="仿宋" w:eastAsia="仿宋" w:cs="仿宋"/>
          <w:color w:val="auto"/>
          <w:kern w:val="2"/>
          <w:highlight w:val="none"/>
        </w:rPr>
        <w:t>在中标工程中不执行质量、安全生产相关规定的，造成质量或安全事故的；</w:t>
      </w:r>
    </w:p>
    <w:p>
      <w:pPr>
        <w:pStyle w:val="96"/>
        <w:shd w:val="clear" w:color="000000" w:fill="auto"/>
        <w:spacing w:before="0" w:beforeAutospacing="0" w:after="0" w:afterAutospacing="0" w:line="360" w:lineRule="auto"/>
        <w:ind w:firstLine="1440" w:firstLineChars="600"/>
        <w:rPr>
          <w:rFonts w:ascii="仿宋" w:hAnsi="仿宋" w:eastAsia="仿宋" w:cs="Times New Roman"/>
          <w:color w:val="auto"/>
          <w:kern w:val="2"/>
          <w:highlight w:val="none"/>
        </w:rPr>
      </w:pPr>
      <w:r>
        <w:rPr>
          <w:rFonts w:ascii="仿宋" w:hAnsi="仿宋" w:eastAsia="仿宋" w:cs="仿宋"/>
          <w:color w:val="auto"/>
          <w:kern w:val="2"/>
          <w:highlight w:val="none"/>
        </w:rPr>
        <w:t>3.</w:t>
      </w:r>
      <w:r>
        <w:rPr>
          <w:rFonts w:hint="eastAsia" w:ascii="仿宋" w:hAnsi="仿宋" w:eastAsia="仿宋" w:cs="仿宋"/>
          <w:color w:val="auto"/>
          <w:kern w:val="2"/>
          <w:highlight w:val="none"/>
        </w:rPr>
        <w:t>存在围标或串标情形的；</w:t>
      </w:r>
    </w:p>
    <w:p>
      <w:pPr>
        <w:pStyle w:val="96"/>
        <w:shd w:val="clear" w:color="000000" w:fill="auto"/>
        <w:spacing w:before="0" w:beforeAutospacing="0" w:after="0" w:afterAutospacing="0" w:line="360" w:lineRule="auto"/>
        <w:ind w:firstLine="1440" w:firstLineChars="600"/>
        <w:rPr>
          <w:rFonts w:ascii="仿宋" w:hAnsi="仿宋" w:eastAsia="仿宋" w:cs="Times New Roman"/>
          <w:color w:val="auto"/>
          <w:kern w:val="2"/>
          <w:highlight w:val="none"/>
        </w:rPr>
      </w:pPr>
      <w:r>
        <w:rPr>
          <w:rFonts w:ascii="仿宋" w:hAnsi="仿宋" w:eastAsia="仿宋" w:cs="仿宋"/>
          <w:color w:val="auto"/>
          <w:kern w:val="2"/>
          <w:highlight w:val="none"/>
        </w:rPr>
        <w:t>4.</w:t>
      </w:r>
      <w:r>
        <w:rPr>
          <w:rFonts w:hint="eastAsia" w:ascii="仿宋" w:hAnsi="仿宋" w:eastAsia="仿宋" w:cs="仿宋"/>
          <w:color w:val="auto"/>
          <w:kern w:val="2"/>
          <w:highlight w:val="none"/>
        </w:rPr>
        <w:t>存在弄虚作假骗取中标情形的；</w:t>
      </w:r>
    </w:p>
    <w:p>
      <w:pPr>
        <w:pStyle w:val="96"/>
        <w:shd w:val="clear" w:color="000000" w:fill="auto"/>
        <w:spacing w:before="0" w:beforeAutospacing="0" w:after="0" w:afterAutospacing="0" w:line="360" w:lineRule="auto"/>
        <w:ind w:firstLine="1440" w:firstLineChars="600"/>
        <w:rPr>
          <w:rFonts w:ascii="仿宋" w:hAnsi="仿宋" w:eastAsia="仿宋" w:cs="Times New Roman"/>
          <w:color w:val="auto"/>
          <w:kern w:val="2"/>
          <w:highlight w:val="none"/>
        </w:rPr>
      </w:pPr>
      <w:r>
        <w:rPr>
          <w:rFonts w:ascii="仿宋" w:hAnsi="仿宋" w:eastAsia="仿宋" w:cs="仿宋"/>
          <w:color w:val="auto"/>
          <w:kern w:val="2"/>
          <w:highlight w:val="none"/>
        </w:rPr>
        <w:t>5.</w:t>
      </w:r>
      <w:r>
        <w:rPr>
          <w:rFonts w:hint="eastAsia" w:ascii="仿宋" w:hAnsi="仿宋" w:eastAsia="仿宋" w:cs="仿宋"/>
          <w:color w:val="auto"/>
          <w:kern w:val="2"/>
          <w:highlight w:val="none"/>
        </w:rPr>
        <w:t>存在因过错行为被生效法律文书认定承担违约或侵权责任的。</w:t>
      </w:r>
    </w:p>
    <w:p>
      <w:pPr>
        <w:shd w:val="clear" w:color="000000" w:fill="auto"/>
        <w:tabs>
          <w:tab w:val="left" w:pos="1620"/>
        </w:tabs>
        <w:spacing w:line="360" w:lineRule="auto"/>
        <w:ind w:left="1619" w:leftChars="771"/>
        <w:rPr>
          <w:rFonts w:ascii="仿宋" w:hAnsi="仿宋" w:eastAsia="仿宋" w:cs="Times New Roman"/>
          <w:color w:val="auto"/>
          <w:sz w:val="24"/>
          <w:szCs w:val="24"/>
          <w:highlight w:val="none"/>
        </w:rPr>
      </w:pPr>
    </w:p>
    <w:p>
      <w:pPr>
        <w:shd w:val="clear" w:color="000000" w:fill="auto"/>
        <w:spacing w:line="360" w:lineRule="auto"/>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20.2</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shd w:val="clear" w:color="000000" w:fill="auto"/>
        <w:tabs>
          <w:tab w:val="left" w:pos="1620"/>
        </w:tabs>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17632" behindDoc="0" locked="0" layoutInCell="1" allowOverlap="1">
                <wp:simplePos x="0" y="0"/>
                <wp:positionH relativeFrom="column">
                  <wp:posOffset>-114300</wp:posOffset>
                </wp:positionH>
                <wp:positionV relativeFrom="paragraph">
                  <wp:posOffset>0</wp:posOffset>
                </wp:positionV>
                <wp:extent cx="914400" cy="373380"/>
                <wp:effectExtent l="0" t="0" r="0" b="0"/>
                <wp:wrapNone/>
                <wp:docPr id="58" name="文本框 59"/>
                <wp:cNvGraphicFramePr/>
                <a:graphic xmlns:a="http://schemas.openxmlformats.org/drawingml/2006/main">
                  <a:graphicData uri="http://schemas.microsoft.com/office/word/2010/wordprocessingShape">
                    <wps:wsp>
                      <wps:cNvSpPr txBox="1"/>
                      <wps:spPr>
                        <a:xfrm>
                          <a:off x="0" y="0"/>
                          <a:ext cx="914400" cy="37338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承包人工作</w:t>
                            </w:r>
                          </w:p>
                        </w:txbxContent>
                      </wps:txbx>
                      <wps:bodyPr upright="1"/>
                    </wps:wsp>
                  </a:graphicData>
                </a:graphic>
              </wp:anchor>
            </w:drawing>
          </mc:Choice>
          <mc:Fallback>
            <w:pict>
              <v:shape id="文本框 59" o:spid="_x0000_s1026" o:spt="202" type="#_x0000_t202" style="position:absolute;left:0pt;margin-left:-9pt;margin-top:0pt;height:29.4pt;width:72pt;z-index:251717632;mso-width-relative:page;mso-height-relative:page;" filled="f" stroked="f" coordsize="21600,21600" o:gfxdata="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Gin7aPUAAAA&#10;BwEAAA8AAAAAAAAAAQAgAAAAIgAAAGRycy9kb3ducmV2LnhtbFBLAQIUABQAAAAIAIdO4kBd0WLW&#10;rwEAAE8DAAAOAAAAAAAAAAEAIAAAACMBAABkcnMvZTJvRG9jLnhtbFBLBQYAAAAABgAGAFkBAABE&#10;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承包人工作</w:t>
                      </w:r>
                    </w:p>
                  </w:txbxContent>
                </v:textbox>
              </v:shape>
            </w:pict>
          </mc:Fallback>
        </mc:AlternateContent>
      </w:r>
      <w:r>
        <w:rPr>
          <w:rFonts w:hint="eastAsia" w:ascii="仿宋" w:hAnsi="仿宋" w:eastAsia="仿宋" w:cs="仿宋"/>
          <w:color w:val="auto"/>
          <w:sz w:val="24"/>
          <w:szCs w:val="24"/>
          <w:highlight w:val="none"/>
        </w:rPr>
        <w:t>承包人应按照合同约定完成下列工作，包括但不限于：</w:t>
      </w:r>
    </w:p>
    <w:p>
      <w:pPr>
        <w:numPr>
          <w:ilvl w:val="0"/>
          <w:numId w:val="5"/>
        </w:numPr>
        <w:shd w:val="clear" w:color="000000" w:fill="auto"/>
        <w:tabs>
          <w:tab w:val="left" w:pos="1980"/>
        </w:tabs>
        <w:spacing w:line="360" w:lineRule="auto"/>
        <w:ind w:left="1619" w:leftChars="771"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按照合同约定和监理工程师的指令实施、完成并保修合同工程；</w:t>
      </w:r>
    </w:p>
    <w:p>
      <w:pPr>
        <w:numPr>
          <w:ilvl w:val="0"/>
          <w:numId w:val="5"/>
        </w:numPr>
        <w:shd w:val="clear" w:color="000000" w:fill="auto"/>
        <w:tabs>
          <w:tab w:val="left" w:pos="1980"/>
        </w:tabs>
        <w:spacing w:line="360" w:lineRule="auto"/>
        <w:ind w:left="1619" w:leftChars="771"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按照合同约定和监理工程师的要求提交工程进度报告和进度计划；</w:t>
      </w:r>
    </w:p>
    <w:p>
      <w:pPr>
        <w:numPr>
          <w:ilvl w:val="0"/>
          <w:numId w:val="5"/>
        </w:numPr>
        <w:shd w:val="clear" w:color="000000" w:fill="auto"/>
        <w:tabs>
          <w:tab w:val="left" w:pos="1980"/>
        </w:tabs>
        <w:spacing w:line="360" w:lineRule="auto"/>
        <w:ind w:left="1619" w:leftChars="771"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按照合同约定和造价工程师的要求提交支付申请和工程款报告，包括绿色施工安全防护费、进度款、结算款和调整合同价款等；</w:t>
      </w:r>
    </w:p>
    <w:p>
      <w:pPr>
        <w:numPr>
          <w:ilvl w:val="0"/>
          <w:numId w:val="5"/>
        </w:numPr>
        <w:shd w:val="clear" w:color="000000" w:fill="auto"/>
        <w:tabs>
          <w:tab w:val="left" w:pos="1980"/>
        </w:tabs>
        <w:spacing w:line="360" w:lineRule="auto"/>
        <w:ind w:left="1619" w:leftChars="771"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负责施工场地安全保卫工作，防止因工程施工造成的人身伤害和财产损失，提供和维修非夜间施工使用的照明、围栏设施等安全标志；</w:t>
      </w:r>
    </w:p>
    <w:p>
      <w:pPr>
        <w:numPr>
          <w:ilvl w:val="0"/>
          <w:numId w:val="5"/>
        </w:numPr>
        <w:shd w:val="clear" w:color="000000" w:fill="auto"/>
        <w:tabs>
          <w:tab w:val="left" w:pos="1980"/>
        </w:tabs>
        <w:spacing w:line="360" w:lineRule="auto"/>
        <w:ind w:left="1619" w:leftChars="771"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按照专用条款约定的数量和要求，向发包人提供施工场地办公和生活的房屋及设施，并在施工现场保留本合同、约定的标准与规范、变更资料等各一份，供监理工程师、造价工程师需要时使用；</w:t>
      </w:r>
    </w:p>
    <w:p>
      <w:pPr>
        <w:numPr>
          <w:ilvl w:val="0"/>
          <w:numId w:val="5"/>
        </w:numPr>
        <w:shd w:val="clear" w:color="000000" w:fill="auto"/>
        <w:tabs>
          <w:tab w:val="left" w:pos="1980"/>
          <w:tab w:val="clear" w:pos="1560"/>
        </w:tabs>
        <w:spacing w:line="360" w:lineRule="auto"/>
        <w:ind w:left="1618" w:leftChars="770" w:hanging="1"/>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遵守政府部门有关施工场地交通、环境保护、施工噪声、绿色施工安全防护等的管理规定，办理有关手续，并以书面形式通知发包人，费用按政府有关部门相关文件规定由发（承）包人各自承担；</w:t>
      </w:r>
      <w:r>
        <w:rPr>
          <w:rFonts w:ascii="仿宋" w:hAnsi="仿宋" w:eastAsia="仿宋" w:cs="仿宋"/>
          <w:color w:val="auto"/>
          <w:sz w:val="24"/>
          <w:szCs w:val="24"/>
          <w:highlight w:val="none"/>
        </w:rPr>
        <w:t xml:space="preserve"> </w:t>
      </w:r>
    </w:p>
    <w:p>
      <w:pPr>
        <w:numPr>
          <w:ilvl w:val="0"/>
          <w:numId w:val="5"/>
        </w:numPr>
        <w:shd w:val="clear" w:color="000000" w:fill="auto"/>
        <w:tabs>
          <w:tab w:val="left" w:pos="1980"/>
          <w:tab w:val="left" w:pos="2520"/>
          <w:tab w:val="clear" w:pos="1560"/>
        </w:tabs>
        <w:spacing w:line="360" w:lineRule="auto"/>
        <w:ind w:left="1618" w:leftChars="770" w:hanging="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在合同工程或其某单位工程已竣工未移交给发包人之前，负责已完工程的照管工作。工程接收证书颁发时尚有部分未竣工工程的，还应负责该未竣工工程的照管工作，直至竣工后移交给发包人为止。照管期间发生损坏的，应予以修复并承担费用；发包人要求采取特殊保护措施的，由发包人承担相应费用；</w:t>
      </w:r>
    </w:p>
    <w:p>
      <w:pPr>
        <w:numPr>
          <w:ilvl w:val="0"/>
          <w:numId w:val="5"/>
        </w:numPr>
        <w:shd w:val="clear" w:color="000000" w:fill="auto"/>
        <w:tabs>
          <w:tab w:val="left" w:pos="1980"/>
          <w:tab w:val="left" w:pos="2520"/>
        </w:tabs>
        <w:spacing w:line="360" w:lineRule="auto"/>
        <w:ind w:left="1619" w:leftChars="771"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做好施工场地地下管线和邻近建筑物、构筑物（包括文物保护建筑）、古树</w:t>
      </w:r>
    </w:p>
    <w:p>
      <w:pPr>
        <w:shd w:val="clear" w:color="000000" w:fill="auto"/>
        <w:tabs>
          <w:tab w:val="left" w:pos="1980"/>
          <w:tab w:val="left" w:pos="2520"/>
        </w:tabs>
        <w:spacing w:line="360" w:lineRule="auto"/>
        <w:ind w:left="1138" w:leftChars="542" w:firstLine="480" w:firstLineChars="20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名木的保护工作；</w:t>
      </w:r>
    </w:p>
    <w:p>
      <w:pPr>
        <w:numPr>
          <w:ilvl w:val="0"/>
          <w:numId w:val="5"/>
        </w:numPr>
        <w:shd w:val="clear" w:color="000000" w:fill="auto"/>
        <w:tabs>
          <w:tab w:val="left" w:pos="1980"/>
          <w:tab w:val="left" w:pos="2520"/>
          <w:tab w:val="clear" w:pos="1560"/>
        </w:tabs>
        <w:spacing w:line="360" w:lineRule="auto"/>
        <w:ind w:left="1618" w:leftChars="770" w:hanging="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遵守政府部门有关环境卫生的管理规定，保证施工场地的清洁和做好交工前施工现场的清理工作，并承担因自身责任造成的损失和罚款；</w:t>
      </w:r>
    </w:p>
    <w:p>
      <w:pPr>
        <w:numPr>
          <w:ilvl w:val="0"/>
          <w:numId w:val="5"/>
        </w:numPr>
        <w:shd w:val="clear" w:color="000000" w:fill="auto"/>
        <w:tabs>
          <w:tab w:val="left" w:pos="1440"/>
          <w:tab w:val="left" w:pos="1980"/>
          <w:tab w:val="clear" w:pos="1560"/>
        </w:tabs>
        <w:spacing w:line="360" w:lineRule="auto"/>
        <w:ind w:left="1619" w:leftChars="771"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工程完工后，应按照合同约定提交竣工验收申请报告和竣工结算文件。</w:t>
      </w:r>
    </w:p>
    <w:p>
      <w:pPr>
        <w:shd w:val="clear" w:color="000000" w:fill="auto"/>
        <w:tabs>
          <w:tab w:val="left" w:pos="4970"/>
        </w:tabs>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20.3   </w:t>
      </w:r>
      <w:r>
        <w:rPr>
          <w:rFonts w:ascii="仿宋" w:hAnsi="仿宋" w:eastAsia="仿宋" w:cs="仿宋"/>
          <w:b/>
          <w:bCs/>
          <w:color w:val="auto"/>
          <w:sz w:val="24"/>
          <w:szCs w:val="24"/>
          <w:highlight w:val="none"/>
          <w:u w:val="dotted"/>
        </w:rPr>
        <w:t xml:space="preserve">                                                                                                       </w:t>
      </w:r>
    </w:p>
    <w:p>
      <w:pPr>
        <w:shd w:val="clear" w:color="000000" w:fill="auto"/>
        <w:tabs>
          <w:tab w:val="left" w:pos="4970"/>
        </w:tabs>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18656" behindDoc="0" locked="0" layoutInCell="1" allowOverlap="1">
                <wp:simplePos x="0" y="0"/>
                <wp:positionH relativeFrom="column">
                  <wp:posOffset>-114300</wp:posOffset>
                </wp:positionH>
                <wp:positionV relativeFrom="paragraph">
                  <wp:posOffset>0</wp:posOffset>
                </wp:positionV>
                <wp:extent cx="914400" cy="594360"/>
                <wp:effectExtent l="0" t="0" r="0" b="0"/>
                <wp:wrapNone/>
                <wp:docPr id="59" name="文本框 60"/>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承包人实施工作</w:t>
                            </w:r>
                          </w:p>
                        </w:txbxContent>
                      </wps:txbx>
                      <wps:bodyPr upright="1"/>
                    </wps:wsp>
                  </a:graphicData>
                </a:graphic>
              </wp:anchor>
            </w:drawing>
          </mc:Choice>
          <mc:Fallback>
            <w:pict>
              <v:shape id="文本框 60" o:spid="_x0000_s1026" o:spt="202" type="#_x0000_t202" style="position:absolute;left:0pt;margin-left:-9pt;margin-top:0pt;height:46.8pt;width:72pt;z-index:251718656;mso-width-relative:page;mso-height-relative:page;" filled="f" stroked="f" coordsize="21600,21600" o:gfxdata="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SyfpMtUAAAAH&#10;AQAADwAAAAAAAAABACAAAAAiAAAAZHJzL2Rvd25yZXYueG1sUEsBAhQAFAAAAAgAh07iQGb5Va+t&#10;AQAATwMAAA4AAAAAAAAAAQAgAAAAJAEAAGRycy9lMm9Eb2MueG1sUEsFBgAAAAAGAAYAWQEAAEMF&#10;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承包人实施工作</w:t>
                      </w:r>
                    </w:p>
                  </w:txbxContent>
                </v:textbox>
              </v:shape>
            </w:pict>
          </mc:Fallback>
        </mc:AlternateContent>
      </w:r>
      <w:r>
        <w:rPr>
          <w:rFonts w:hint="eastAsia" w:ascii="仿宋" w:hAnsi="仿宋" w:eastAsia="仿宋" w:cs="仿宋"/>
          <w:color w:val="auto"/>
          <w:sz w:val="24"/>
          <w:szCs w:val="24"/>
          <w:highlight w:val="none"/>
        </w:rPr>
        <w:t>承包人应按照合同约定和监理工程师指令实施、完成并保修合同工程。除专用条款另有约定外，承包人应提供为完成合同工程所需的劳务、材料、工程设备、施工设备和其他物品。如果承包人不按照合同约定或监理工程师依据合同发出的指令组织施工，且在监理工程师书面要求改正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仍未采取补救措施的，则发包人可自行或委托第三方进行补救，由此发生的费用和造成的损失由承包人承担。该笔款项经造价工程师核实后，由发包人从应支付或将支付给承包人的工程进度款或结算款中扣除。</w:t>
      </w:r>
    </w:p>
    <w:p>
      <w:pPr>
        <w:shd w:val="clear" w:color="000000" w:fill="auto"/>
        <w:tabs>
          <w:tab w:val="left" w:pos="4970"/>
        </w:tabs>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20.4   </w:t>
      </w:r>
      <w:r>
        <w:rPr>
          <w:rFonts w:ascii="仿宋" w:hAnsi="仿宋" w:eastAsia="仿宋" w:cs="仿宋"/>
          <w:b/>
          <w:bCs/>
          <w:color w:val="auto"/>
          <w:sz w:val="24"/>
          <w:szCs w:val="24"/>
          <w:highlight w:val="none"/>
          <w:u w:val="dotted"/>
        </w:rPr>
        <w:t xml:space="preserve">                                                                                                      </w:t>
      </w:r>
    </w:p>
    <w:p>
      <w:pPr>
        <w:shd w:val="clear" w:color="000000" w:fill="auto"/>
        <w:tabs>
          <w:tab w:val="left" w:pos="4970"/>
        </w:tabs>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19680" behindDoc="0" locked="0" layoutInCell="1" allowOverlap="1">
                <wp:simplePos x="0" y="0"/>
                <wp:positionH relativeFrom="column">
                  <wp:posOffset>-114300</wp:posOffset>
                </wp:positionH>
                <wp:positionV relativeFrom="paragraph">
                  <wp:posOffset>22860</wp:posOffset>
                </wp:positionV>
                <wp:extent cx="914400" cy="1003935"/>
                <wp:effectExtent l="0" t="0" r="0" b="0"/>
                <wp:wrapNone/>
                <wp:docPr id="60" name="文本框 61"/>
                <wp:cNvGraphicFramePr/>
                <a:graphic xmlns:a="http://schemas.openxmlformats.org/drawingml/2006/main">
                  <a:graphicData uri="http://schemas.microsoft.com/office/word/2010/wordprocessingShape">
                    <wps:wsp>
                      <wps:cNvSpPr txBox="1"/>
                      <wps:spPr>
                        <a:xfrm>
                          <a:off x="0" y="0"/>
                          <a:ext cx="914400" cy="100393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承包人实施施工组织设计和工作安排</w:t>
                            </w:r>
                          </w:p>
                        </w:txbxContent>
                      </wps:txbx>
                      <wps:bodyPr upright="1"/>
                    </wps:wsp>
                  </a:graphicData>
                </a:graphic>
              </wp:anchor>
            </w:drawing>
          </mc:Choice>
          <mc:Fallback>
            <w:pict>
              <v:shape id="文本框 61" o:spid="_x0000_s1026" o:spt="202" type="#_x0000_t202" style="position:absolute;left:0pt;margin-left:-9pt;margin-top:1.8pt;height:79.05pt;width:72pt;z-index:251719680;mso-width-relative:page;mso-height-relative:page;" filled="f" stroked="f" coordsize="21600,21600" o:gfxdata="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av4EJ1gAA&#10;AAkBAAAPAAAAAAAAAAEAIAAAACIAAABkcnMvZG93bnJldi54bWxQSwECFAAUAAAACACHTuJArBKA&#10;jq4BAABQAwAADgAAAAAAAAABACAAAAAlAQAAZHJzL2Uyb0RvYy54bWxQSwUGAAAAAAYABgBZAQAA&#10;RQ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承包人实施施工组织设计和工作安排</w:t>
                      </w:r>
                    </w:p>
                  </w:txbxContent>
                </v:textbox>
              </v:shape>
            </w:pict>
          </mc:Fallback>
        </mc:AlternateContent>
      </w:r>
      <w:r>
        <w:rPr>
          <w:rFonts w:hint="eastAsia" w:ascii="仿宋" w:hAnsi="仿宋" w:eastAsia="仿宋" w:cs="仿宋"/>
          <w:color w:val="auto"/>
          <w:sz w:val="24"/>
          <w:szCs w:val="24"/>
          <w:highlight w:val="none"/>
        </w:rPr>
        <w:t>承包人对所有现场作业和施工方法的完备性、稳定性和安全性负责，并应按照合同约定的工作内容和施工进度要求，向监理工程师提交合同工程拟采用的施工组织设计和工作安排的详细说明。如承包人对施工组织设计和工作安排作出重大修改，应事先征得监理工程师同意。</w:t>
      </w:r>
    </w:p>
    <w:p>
      <w:pPr>
        <w:shd w:val="clear" w:color="000000" w:fill="auto"/>
        <w:tabs>
          <w:tab w:val="left" w:pos="4970"/>
        </w:tabs>
        <w:spacing w:line="360" w:lineRule="auto"/>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20.5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pStyle w:val="33"/>
        <w:shd w:val="clear" w:color="000000" w:fill="auto"/>
        <w:tabs>
          <w:tab w:val="left" w:pos="4970"/>
        </w:tabs>
        <w:ind w:left="1619" w:leftChars="771"/>
        <w:rPr>
          <w:rFonts w:ascii="仿宋" w:hAnsi="仿宋" w:eastAsia="仿宋"/>
          <w:color w:val="auto"/>
          <w:highlight w:val="none"/>
        </w:rPr>
      </w:pPr>
      <w:r>
        <w:rPr>
          <w:color w:val="auto"/>
          <w:highlight w:val="none"/>
        </w:rPr>
        <mc:AlternateContent>
          <mc:Choice Requires="wps">
            <w:drawing>
              <wp:anchor distT="0" distB="0" distL="114300" distR="114300" simplePos="0" relativeHeight="251720704" behindDoc="0" locked="0" layoutInCell="1" allowOverlap="1">
                <wp:simplePos x="0" y="0"/>
                <wp:positionH relativeFrom="column">
                  <wp:posOffset>-114300</wp:posOffset>
                </wp:positionH>
                <wp:positionV relativeFrom="paragraph">
                  <wp:posOffset>15240</wp:posOffset>
                </wp:positionV>
                <wp:extent cx="914400" cy="657860"/>
                <wp:effectExtent l="0" t="0" r="0" b="0"/>
                <wp:wrapNone/>
                <wp:docPr id="61" name="文本框 62"/>
                <wp:cNvGraphicFramePr/>
                <a:graphic xmlns:a="http://schemas.openxmlformats.org/drawingml/2006/main">
                  <a:graphicData uri="http://schemas.microsoft.com/office/word/2010/wordprocessingShape">
                    <wps:wsp>
                      <wps:cNvSpPr txBox="1"/>
                      <wps:spPr>
                        <a:xfrm>
                          <a:off x="0" y="0"/>
                          <a:ext cx="914400" cy="657860"/>
                        </a:xfrm>
                        <a:prstGeom prst="rect">
                          <a:avLst/>
                        </a:prstGeom>
                        <a:noFill/>
                        <a:ln>
                          <a:noFill/>
                        </a:ln>
                      </wps:spPr>
                      <wps:txbx>
                        <w:txbxContent>
                          <w:p>
                            <w:pPr>
                              <w:spacing w:line="240" w:lineRule="exact"/>
                              <w:rPr>
                                <w:rFonts w:ascii="楷体_GB2312" w:hAnsi="宋体" w:eastAsia="楷体_GB2312" w:cs="Times New Roman"/>
                                <w:sz w:val="18"/>
                                <w:szCs w:val="18"/>
                              </w:rPr>
                            </w:pPr>
                            <w:r>
                              <w:rPr>
                                <w:rFonts w:hint="eastAsia" w:ascii="楷体_GB2312" w:eastAsia="楷体_GB2312" w:cs="楷体_GB2312"/>
                                <w:b/>
                                <w:bCs/>
                                <w:color w:val="000000"/>
                                <w:sz w:val="18"/>
                                <w:szCs w:val="18"/>
                              </w:rPr>
                              <w:t>承包人为发包人的人员提供配合</w:t>
                            </w:r>
                          </w:p>
                        </w:txbxContent>
                      </wps:txbx>
                      <wps:bodyPr upright="1"/>
                    </wps:wsp>
                  </a:graphicData>
                </a:graphic>
              </wp:anchor>
            </w:drawing>
          </mc:Choice>
          <mc:Fallback>
            <w:pict>
              <v:shape id="文本框 62" o:spid="_x0000_s1026" o:spt="202" type="#_x0000_t202" style="position:absolute;left:0pt;margin-left:-9pt;margin-top:1.2pt;height:51.8pt;width:72pt;z-index:251720704;mso-width-relative:page;mso-height-relative:page;" filled="f" stroked="f" coordsize="21600,21600" o:gfxdata="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GULfA9QAAAAJ&#10;AQAADwAAAAAAAAABACAAAAAiAAAAZHJzL2Rvd25yZXYueG1sUEsBAhQAFAAAAAgAh07iQI9bWLWu&#10;AQAATwMAAA4AAAAAAAAAAQAgAAAAIwEAAGRycy9lMm9Eb2MueG1sUEsFBgAAAAAGAAYAWQEAAEMF&#10;AAAAAA==&#10;">
                <v:fill on="f" focussize="0,0"/>
                <v:stroke on="f"/>
                <v:imagedata o:title=""/>
                <o:lock v:ext="edit" aspectratio="f"/>
                <v:textbox>
                  <w:txbxContent>
                    <w:p>
                      <w:pPr>
                        <w:spacing w:line="240" w:lineRule="exact"/>
                        <w:rPr>
                          <w:rFonts w:ascii="楷体_GB2312" w:hAnsi="宋体" w:eastAsia="楷体_GB2312" w:cs="Times New Roman"/>
                          <w:sz w:val="18"/>
                          <w:szCs w:val="18"/>
                        </w:rPr>
                      </w:pPr>
                      <w:r>
                        <w:rPr>
                          <w:rFonts w:hint="eastAsia" w:ascii="楷体_GB2312" w:eastAsia="楷体_GB2312" w:cs="楷体_GB2312"/>
                          <w:b/>
                          <w:bCs/>
                          <w:color w:val="000000"/>
                          <w:sz w:val="18"/>
                          <w:szCs w:val="18"/>
                        </w:rPr>
                        <w:t>承包人为发包人的人员提供配合</w:t>
                      </w:r>
                    </w:p>
                  </w:txbxContent>
                </v:textbox>
              </v:shape>
            </w:pict>
          </mc:Fallback>
        </mc:AlternateContent>
      </w:r>
      <w:r>
        <w:rPr>
          <w:rFonts w:hint="eastAsia" w:ascii="仿宋" w:hAnsi="仿宋" w:eastAsia="仿宋" w:cs="仿宋"/>
          <w:color w:val="auto"/>
          <w:highlight w:val="none"/>
        </w:rPr>
        <w:t>承包人应按照合同约定或监理工程师的指令，配合和协助下述人员在施工场地及其附近实施与合同工程有关的各项工作：</w:t>
      </w:r>
    </w:p>
    <w:p>
      <w:pPr>
        <w:shd w:val="clear" w:color="000000" w:fill="auto"/>
        <w:tabs>
          <w:tab w:val="left" w:pos="1980"/>
          <w:tab w:val="left" w:pos="4970"/>
        </w:tabs>
        <w:spacing w:line="360" w:lineRule="auto"/>
        <w:ind w:left="1619"/>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）发包人的工作人员；</w:t>
      </w:r>
    </w:p>
    <w:p>
      <w:pPr>
        <w:shd w:val="clear" w:color="000000" w:fill="auto"/>
        <w:tabs>
          <w:tab w:val="left" w:pos="1980"/>
          <w:tab w:val="left" w:pos="4970"/>
        </w:tabs>
        <w:spacing w:line="360" w:lineRule="auto"/>
        <w:ind w:left="1619"/>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）发包人的雇员；</w:t>
      </w:r>
    </w:p>
    <w:p>
      <w:pPr>
        <w:shd w:val="clear" w:color="000000" w:fill="auto"/>
        <w:tabs>
          <w:tab w:val="left" w:pos="1980"/>
          <w:tab w:val="left" w:pos="4970"/>
        </w:tabs>
        <w:spacing w:line="360" w:lineRule="auto"/>
        <w:ind w:left="1619"/>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）任何监督管理机构的执法人员。</w:t>
      </w:r>
    </w:p>
    <w:p>
      <w:pPr>
        <w:pStyle w:val="25"/>
        <w:shd w:val="clear" w:color="000000" w:fill="auto"/>
        <w:tabs>
          <w:tab w:val="left" w:pos="2520"/>
        </w:tabs>
        <w:ind w:left="1619" w:leftChars="771" w:firstLine="0" w:firstLineChars="0"/>
        <w:rPr>
          <w:rFonts w:ascii="仿宋" w:hAnsi="仿宋" w:eastAsia="仿宋"/>
          <w:color w:val="auto"/>
          <w:highlight w:val="none"/>
        </w:rPr>
      </w:pPr>
      <w:r>
        <w:rPr>
          <w:rFonts w:hint="eastAsia" w:ascii="仿宋" w:hAnsi="仿宋" w:eastAsia="仿宋" w:cs="仿宋"/>
          <w:color w:val="auto"/>
          <w:highlight w:val="none"/>
        </w:rPr>
        <w:t>此类指令若增加了承包人的工作或支出，包括使用了承包人的设备、临时工程或通行道路等，则视为工程变更，按照第</w:t>
      </w:r>
      <w:r>
        <w:rPr>
          <w:rFonts w:ascii="仿宋" w:hAnsi="仿宋" w:eastAsia="仿宋" w:cs="仿宋"/>
          <w:color w:val="auto"/>
          <w:highlight w:val="none"/>
        </w:rPr>
        <w:t>72</w:t>
      </w:r>
      <w:r>
        <w:rPr>
          <w:rFonts w:hint="eastAsia" w:ascii="仿宋" w:hAnsi="仿宋" w:eastAsia="仿宋" w:cs="仿宋"/>
          <w:color w:val="auto"/>
          <w:highlight w:val="none"/>
        </w:rPr>
        <w:t>条规定调整合同价款。</w:t>
      </w:r>
    </w:p>
    <w:p>
      <w:pPr>
        <w:shd w:val="clear" w:color="000000" w:fill="auto"/>
        <w:tabs>
          <w:tab w:val="left" w:pos="4970"/>
        </w:tabs>
        <w:spacing w:line="48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20.6  </w:t>
      </w:r>
      <w:r>
        <w:rPr>
          <w:rFonts w:ascii="仿宋" w:hAnsi="仿宋" w:eastAsia="仿宋" w:cs="仿宋"/>
          <w:b/>
          <w:bCs/>
          <w:color w:val="auto"/>
          <w:sz w:val="24"/>
          <w:szCs w:val="24"/>
          <w:highlight w:val="none"/>
          <w:u w:val="dotted"/>
        </w:rPr>
        <w:t xml:space="preserve">                                                                                                        </w:t>
      </w:r>
    </w:p>
    <w:p>
      <w:pPr>
        <w:shd w:val="clear" w:color="000000" w:fill="auto"/>
        <w:tabs>
          <w:tab w:val="left" w:pos="4970"/>
        </w:tabs>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21728" behindDoc="0" locked="0" layoutInCell="1" allowOverlap="1">
                <wp:simplePos x="0" y="0"/>
                <wp:positionH relativeFrom="column">
                  <wp:posOffset>-114300</wp:posOffset>
                </wp:positionH>
                <wp:positionV relativeFrom="paragraph">
                  <wp:posOffset>0</wp:posOffset>
                </wp:positionV>
                <wp:extent cx="914400" cy="792480"/>
                <wp:effectExtent l="0" t="0" r="0" b="0"/>
                <wp:wrapNone/>
                <wp:docPr id="62" name="文本框 63"/>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承包人避免施工损害他人利益</w:t>
                            </w:r>
                          </w:p>
                        </w:txbxContent>
                      </wps:txbx>
                      <wps:bodyPr upright="1"/>
                    </wps:wsp>
                  </a:graphicData>
                </a:graphic>
              </wp:anchor>
            </w:drawing>
          </mc:Choice>
          <mc:Fallback>
            <w:pict>
              <v:shape id="文本框 63" o:spid="_x0000_s1026" o:spt="202" type="#_x0000_t202" style="position:absolute;left:0pt;margin-left:-9pt;margin-top:0pt;height:62.4pt;width:72pt;z-index:251721728;mso-width-relative:page;mso-height-relative:page;" filled="f" stroked="f" coordsize="21600,21600" o:gfxdata="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qTZUc1QAA&#10;AAgBAAAPAAAAAAAAAAEAIAAAACIAAABkcnMvZG93bnJldi54bWxQSwECFAAUAAAACACHTuJAjeIk&#10;0q8BAABPAwAADgAAAAAAAAABACAAAAAkAQAAZHJzL2Uyb0RvYy54bWxQSwUGAAAAAAYABgBZAQAA&#10;RQUAAAAA&#10;">
                <v:fill on="f" focussize="0,0"/>
                <v:stroke on="f"/>
                <v:imagedata o:title=""/>
                <o:lock v:ext="edit" aspectratio="f"/>
                <v:textbo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承包人避免施工损害他人利益</w:t>
                      </w:r>
                    </w:p>
                  </w:txbxContent>
                </v:textbox>
              </v:shape>
            </w:pict>
          </mc:Fallback>
        </mc:AlternateContent>
      </w:r>
      <w:r>
        <w:rPr>
          <w:rFonts w:hint="eastAsia" w:ascii="仿宋" w:hAnsi="仿宋" w:eastAsia="仿宋" w:cs="仿宋"/>
          <w:color w:val="auto"/>
          <w:sz w:val="24"/>
          <w:szCs w:val="24"/>
          <w:highlight w:val="none"/>
        </w:rPr>
        <w:t>承包人在施工过程中，不得侵害发包人与他人使用公用道路、水源、市政管网等公共设施的权利，避免对邻近的公共设施产生干扰。承包人占用或使用他人的施工场地，影响他人作业或生活的，应承担相应责任。</w:t>
      </w:r>
    </w:p>
    <w:p>
      <w:pPr>
        <w:shd w:val="clear" w:color="000000" w:fill="auto"/>
        <w:tabs>
          <w:tab w:val="left" w:pos="4970"/>
        </w:tabs>
        <w:spacing w:line="48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20.7  </w:t>
      </w:r>
      <w:r>
        <w:rPr>
          <w:rFonts w:ascii="仿宋" w:hAnsi="仿宋" w:eastAsia="仿宋" w:cs="仿宋"/>
          <w:b/>
          <w:bCs/>
          <w:color w:val="auto"/>
          <w:sz w:val="24"/>
          <w:szCs w:val="24"/>
          <w:highlight w:val="none"/>
          <w:u w:val="dotted"/>
        </w:rPr>
        <w:t xml:space="preserve">                                                                                                        </w:t>
      </w:r>
    </w:p>
    <w:p>
      <w:pPr>
        <w:shd w:val="clear" w:color="000000" w:fill="auto"/>
        <w:tabs>
          <w:tab w:val="left" w:pos="4970"/>
        </w:tabs>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22752" behindDoc="0" locked="0" layoutInCell="1" allowOverlap="1">
                <wp:simplePos x="0" y="0"/>
                <wp:positionH relativeFrom="column">
                  <wp:posOffset>-114300</wp:posOffset>
                </wp:positionH>
                <wp:positionV relativeFrom="paragraph">
                  <wp:posOffset>0</wp:posOffset>
                </wp:positionV>
                <wp:extent cx="914400" cy="495300"/>
                <wp:effectExtent l="0" t="0" r="0" b="0"/>
                <wp:wrapNone/>
                <wp:docPr id="63" name="文本框 64"/>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承包人未尽义务的责任</w:t>
                            </w:r>
                          </w:p>
                        </w:txbxContent>
                      </wps:txbx>
                      <wps:bodyPr upright="1"/>
                    </wps:wsp>
                  </a:graphicData>
                </a:graphic>
              </wp:anchor>
            </w:drawing>
          </mc:Choice>
          <mc:Fallback>
            <w:pict>
              <v:shape id="文本框 64" o:spid="_x0000_s1026" o:spt="202" type="#_x0000_t202" style="position:absolute;left:0pt;margin-left:-9pt;margin-top:0pt;height:39pt;width:72pt;z-index:251722752;mso-width-relative:page;mso-height-relative:page;" filled="f" stroked="f" coordsize="21600,21600" o:gfxdata="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Qu4hO1AAAAAcB&#10;AAAPAAAAAAAAAAEAIAAAACIAAABkcnMvZG93bnJldi54bWxQSwECFAAUAAAACACHTuJAIm4c6a0B&#10;AABPAwAADgAAAAAAAAABACAAAAAjAQAAZHJzL2Uyb0RvYy54bWxQSwUGAAAAAAYABgBZAQAAQgUA&#10;AAAA&#10;">
                <v:fill on="f" focussize="0,0"/>
                <v:stroke on="f"/>
                <v:imagedata o:title=""/>
                <o:lock v:ext="edit" aspectratio="f"/>
                <v:textbo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承包人未尽义务的责任</w:t>
                      </w:r>
                    </w:p>
                  </w:txbxContent>
                </v:textbox>
              </v:shape>
            </w:pict>
          </mc:Fallback>
        </mc:AlternateContent>
      </w:r>
      <w:r>
        <w:rPr>
          <w:rFonts w:hint="eastAsia" w:ascii="仿宋" w:hAnsi="仿宋" w:eastAsia="仿宋" w:cs="仿宋"/>
          <w:color w:val="auto"/>
          <w:sz w:val="24"/>
          <w:szCs w:val="24"/>
          <w:highlight w:val="none"/>
        </w:rPr>
        <w:t>承包人未能正确完成本合同约定的全部义务，导致费用的增加和（或）延误的工期，由承包人承担；给发包人造成损失的，承包人应予赔偿。</w:t>
      </w:r>
    </w:p>
    <w:p>
      <w:pPr>
        <w:pStyle w:val="2"/>
        <w:shd w:val="clear" w:color="000000" w:fill="auto"/>
        <w:adjustRightInd w:val="0"/>
        <w:snapToGrid w:val="0"/>
        <w:spacing w:line="480" w:lineRule="auto"/>
        <w:ind w:right="-238"/>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
        <w:shd w:val="clear" w:color="000000" w:fill="auto"/>
        <w:adjustRightInd w:val="0"/>
        <w:snapToGrid w:val="0"/>
        <w:spacing w:before="240" w:beforeLines="100" w:line="360" w:lineRule="auto"/>
        <w:outlineLvl w:val="2"/>
        <w:rPr>
          <w:rFonts w:ascii="仿宋" w:hAnsi="仿宋" w:eastAsia="仿宋" w:cs="Times New Roman"/>
          <w:b/>
          <w:bCs/>
          <w:color w:val="auto"/>
          <w:sz w:val="24"/>
          <w:szCs w:val="24"/>
          <w:highlight w:val="none"/>
        </w:rPr>
      </w:pPr>
      <w:bookmarkStart w:id="175" w:name="_Toc24472"/>
      <w:bookmarkStart w:id="176" w:name="_Toc469384001"/>
      <w:bookmarkStart w:id="177" w:name="_Toc10624841"/>
      <w:r>
        <w:rPr>
          <w:rFonts w:ascii="仿宋" w:hAnsi="仿宋" w:eastAsia="仿宋" w:cs="仿宋"/>
          <w:b/>
          <w:bCs/>
          <w:color w:val="auto"/>
          <w:sz w:val="24"/>
          <w:szCs w:val="24"/>
          <w:highlight w:val="none"/>
        </w:rPr>
        <w:t xml:space="preserve">21  </w:t>
      </w:r>
      <w:r>
        <w:rPr>
          <w:rFonts w:hint="eastAsia" w:ascii="仿宋" w:hAnsi="仿宋" w:eastAsia="仿宋" w:cs="仿宋"/>
          <w:b/>
          <w:bCs/>
          <w:color w:val="auto"/>
          <w:sz w:val="24"/>
          <w:szCs w:val="24"/>
          <w:highlight w:val="none"/>
        </w:rPr>
        <w:t>现场管理人员任命和更换</w:t>
      </w:r>
      <w:bookmarkEnd w:id="175"/>
      <w:bookmarkEnd w:id="176"/>
      <w:bookmarkEnd w:id="177"/>
    </w:p>
    <w:p>
      <w:pPr>
        <w:pStyle w:val="2"/>
        <w:shd w:val="clear" w:color="000000" w:fill="auto"/>
        <w:tabs>
          <w:tab w:val="left" w:pos="1320"/>
        </w:tabs>
        <w:adjustRightInd w:val="0"/>
        <w:snapToGrid w:val="0"/>
        <w:spacing w:line="360" w:lineRule="auto"/>
        <w:ind w:right="-240"/>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21.1</w:t>
      </w:r>
    </w:p>
    <w:p>
      <w:pPr>
        <w:pStyle w:val="2"/>
        <w:shd w:val="clear" w:color="000000" w:fill="auto"/>
        <w:adjustRightInd w:val="0"/>
        <w:snapToGrid w:val="0"/>
        <w:spacing w:line="360" w:lineRule="auto"/>
        <w:ind w:left="1619" w:leftChars="771" w:firstLine="2"/>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23776" behindDoc="0" locked="0" layoutInCell="1" allowOverlap="1">
                <wp:simplePos x="0" y="0"/>
                <wp:positionH relativeFrom="column">
                  <wp:posOffset>-114300</wp:posOffset>
                </wp:positionH>
                <wp:positionV relativeFrom="paragraph">
                  <wp:posOffset>7620</wp:posOffset>
                </wp:positionV>
                <wp:extent cx="914400" cy="602615"/>
                <wp:effectExtent l="0" t="0" r="0" b="0"/>
                <wp:wrapNone/>
                <wp:docPr id="64" name="文本框 65"/>
                <wp:cNvGraphicFramePr/>
                <a:graphic xmlns:a="http://schemas.openxmlformats.org/drawingml/2006/main">
                  <a:graphicData uri="http://schemas.microsoft.com/office/word/2010/wordprocessingShape">
                    <wps:wsp>
                      <wps:cNvSpPr txBox="1"/>
                      <wps:spPr>
                        <a:xfrm>
                          <a:off x="0" y="0"/>
                          <a:ext cx="914400" cy="602615"/>
                        </a:xfrm>
                        <a:prstGeom prst="rect">
                          <a:avLst/>
                        </a:prstGeom>
                        <a:noFill/>
                        <a:ln>
                          <a:noFill/>
                        </a:ln>
                      </wps:spPr>
                      <wps:txbx>
                        <w:txbxContent>
                          <w:p>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发包人现场管理人员任命和更换</w:t>
                            </w:r>
                          </w:p>
                        </w:txbxContent>
                      </wps:txbx>
                      <wps:bodyPr upright="1"/>
                    </wps:wsp>
                  </a:graphicData>
                </a:graphic>
              </wp:anchor>
            </w:drawing>
          </mc:Choice>
          <mc:Fallback>
            <w:pict>
              <v:shape id="文本框 65" o:spid="_x0000_s1026" o:spt="202" type="#_x0000_t202" style="position:absolute;left:0pt;margin-left:-9pt;margin-top:0.6pt;height:47.45pt;width:72pt;z-index:251723776;mso-width-relative:page;mso-height-relative:page;" filled="f" stroked="f" coordsize="21600,21600" o:gfxdata="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hN1v51AAAAAgB&#10;AAAPAAAAAAAAAAEAIAAAACIAAABkcnMvZG93bnJldi54bWxQSwECFAAUAAAACACHTuJAM4mtaq0B&#10;AABPAwAADgAAAAAAAAABACAAAAAjAQAAZHJzL2Uyb0RvYy54bWxQSwUGAAAAAAYABgBZAQAAQgUA&#10;AAAA&#10;">
                <v:fill on="f" focussize="0,0"/>
                <v:stroke on="f"/>
                <v:imagedata o:title=""/>
                <o:lock v:ext="edit" aspectratio="f"/>
                <v:textbox>
                  <w:txbxContent>
                    <w:p>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发包人现场管理人员任命和更换</w:t>
                      </w:r>
                    </w:p>
                  </w:txbxContent>
                </v:textbox>
              </v:shape>
            </w:pict>
          </mc:Fallback>
        </mc:AlternateContent>
      </w:r>
      <w:r>
        <w:rPr>
          <w:rFonts w:hint="eastAsia" w:ascii="仿宋" w:hAnsi="仿宋" w:eastAsia="仿宋" w:cs="仿宋"/>
          <w:color w:val="auto"/>
          <w:sz w:val="24"/>
          <w:szCs w:val="24"/>
          <w:highlight w:val="none"/>
        </w:rPr>
        <w:t>发包人应任命代表发包人工作的现场管理人员，并在开工前将该任命书以书面形式通知承包人。该类管理人员可包括发包人代表、监理工程师、造价工程师等。国家、省规定发包人可不委托监理人和（或）工程造价咨询人（如有），发包人因而没有任命监理工程师和（或）造价工程师的，本合同规定的监理工程师和（或）造价工程师及其代表的工作，由发包人代表担任。</w:t>
      </w:r>
    </w:p>
    <w:p>
      <w:pPr>
        <w:pStyle w:val="2"/>
        <w:shd w:val="clear" w:color="000000" w:fill="auto"/>
        <w:adjustRightInd w:val="0"/>
        <w:snapToGrid w:val="0"/>
        <w:spacing w:line="360" w:lineRule="auto"/>
        <w:ind w:left="1619" w:leftChars="771" w:firstLine="2"/>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发包人如需更换现场管理人员，应至少提前</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天以书面形式通知承包人，否则该项更换无效。承包人应在收到通知后</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天内予以回复，否则视为已收到通知。后任现场管理人员应继续行使合同规定的前任现场管理人员的职权和履行相应的义务。</w:t>
      </w:r>
    </w:p>
    <w:p>
      <w:pPr>
        <w:pStyle w:val="2"/>
        <w:shd w:val="clear" w:color="000000" w:fill="auto"/>
        <w:tabs>
          <w:tab w:val="left" w:pos="1320"/>
          <w:tab w:val="left" w:pos="1620"/>
        </w:tabs>
        <w:adjustRightInd w:val="0"/>
        <w:snapToGrid w:val="0"/>
        <w:spacing w:line="360" w:lineRule="auto"/>
        <w:ind w:right="-238"/>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21.2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24800" behindDoc="0" locked="0" layoutInCell="1" allowOverlap="1">
                <wp:simplePos x="0" y="0"/>
                <wp:positionH relativeFrom="column">
                  <wp:posOffset>-114300</wp:posOffset>
                </wp:positionH>
                <wp:positionV relativeFrom="paragraph">
                  <wp:posOffset>84455</wp:posOffset>
                </wp:positionV>
                <wp:extent cx="914400" cy="457200"/>
                <wp:effectExtent l="0" t="0" r="0" b="0"/>
                <wp:wrapNone/>
                <wp:docPr id="65" name="文本框 66"/>
                <wp:cNvGraphicFramePr/>
                <a:graphic xmlns:a="http://schemas.openxmlformats.org/drawingml/2006/main">
                  <a:graphicData uri="http://schemas.microsoft.com/office/word/2010/wordprocessingShape">
                    <wps:wsp>
                      <wps:cNvSpPr txBox="1"/>
                      <wps:spPr>
                        <a:xfrm>
                          <a:off x="0" y="0"/>
                          <a:ext cx="914400" cy="457200"/>
                        </a:xfrm>
                        <a:prstGeom prst="rect">
                          <a:avLst/>
                        </a:prstGeom>
                        <a:noFill/>
                        <a:ln>
                          <a:noFill/>
                        </a:ln>
                      </wps:spPr>
                      <wps:txbx>
                        <w:txbxContent>
                          <w:p>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承包人代表任命和更换</w:t>
                            </w:r>
                          </w:p>
                        </w:txbxContent>
                      </wps:txbx>
                      <wps:bodyPr upright="1"/>
                    </wps:wsp>
                  </a:graphicData>
                </a:graphic>
              </wp:anchor>
            </w:drawing>
          </mc:Choice>
          <mc:Fallback>
            <w:pict>
              <v:shape id="文本框 66" o:spid="_x0000_s1026" o:spt="202" type="#_x0000_t202" style="position:absolute;left:0pt;margin-left:-9pt;margin-top:6.65pt;height:36pt;width:72pt;z-index:251724800;mso-width-relative:page;mso-height-relative:page;" filled="f" stroked="f" coordsize="21600,21600" o:gfxdata="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PEwJ+nWAAAA&#10;CQEAAA8AAAAAAAAAAQAgAAAAIgAAAGRycy9kb3ducmV2LnhtbFBLAQIUABQAAAAIAIdO4kBdGf5V&#10;rQEAAE8DAAAOAAAAAAAAAAEAIAAAACUBAABkcnMvZTJvRG9jLnhtbFBLBQYAAAAABgAGAFkBAABE&#10;BQAAAAA=&#10;">
                <v:fill on="f" focussize="0,0"/>
                <v:stroke on="f"/>
                <v:imagedata o:title=""/>
                <o:lock v:ext="edit" aspectratio="f"/>
                <v:textbox>
                  <w:txbxContent>
                    <w:p>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承包人代表任命和更换</w:t>
                      </w:r>
                    </w:p>
                  </w:txbxContent>
                </v:textbox>
              </v:shape>
            </w:pict>
          </mc:Fallback>
        </mc:AlternateContent>
      </w:r>
      <w:r>
        <w:rPr>
          <w:rFonts w:hint="eastAsia" w:ascii="仿宋" w:hAnsi="仿宋" w:eastAsia="仿宋" w:cs="仿宋"/>
          <w:color w:val="auto"/>
          <w:sz w:val="24"/>
          <w:szCs w:val="24"/>
          <w:highlight w:val="none"/>
        </w:rPr>
        <w:t>承包人应任命代表承包人工作的承包人代表，该代表的人选应具有注册建造师执业资格，由承包人在开工前依法向发包人提出，经发包人同意后在专用条款中写明。建设行政主管部门有规定的，应遵守其规定；招标工程的承包人代表，应为投标文件所载明的人选。</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承包人如需更换承包人代表，应取得发包人的同意和遵守建设行政主管部门的规定，并至少提前</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天以书面形式通知发包人，否则该项更换无效。发包人应在收到通知后的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天内予以答复，否则视为同意。后任承包人代表应继续行使合同规定的前任承包人代表的职权和履行相应的义务。</w:t>
      </w:r>
    </w:p>
    <w:p>
      <w:pPr>
        <w:pStyle w:val="2"/>
        <w:shd w:val="clear" w:color="000000" w:fill="auto"/>
        <w:tabs>
          <w:tab w:val="left" w:pos="1320"/>
        </w:tabs>
        <w:adjustRightInd w:val="0"/>
        <w:snapToGrid w:val="0"/>
        <w:spacing w:line="360" w:lineRule="auto"/>
        <w:ind w:right="-238"/>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21.3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725824" behindDoc="0" locked="0" layoutInCell="1" allowOverlap="1">
                <wp:simplePos x="0" y="0"/>
                <wp:positionH relativeFrom="column">
                  <wp:posOffset>-83820</wp:posOffset>
                </wp:positionH>
                <wp:positionV relativeFrom="paragraph">
                  <wp:posOffset>46355</wp:posOffset>
                </wp:positionV>
                <wp:extent cx="1231900" cy="720725"/>
                <wp:effectExtent l="0" t="0" r="0" b="0"/>
                <wp:wrapNone/>
                <wp:docPr id="66" name="文本框 67"/>
                <wp:cNvGraphicFramePr/>
                <a:graphic xmlns:a="http://schemas.openxmlformats.org/drawingml/2006/main">
                  <a:graphicData uri="http://schemas.microsoft.com/office/word/2010/wordprocessingShape">
                    <wps:wsp>
                      <wps:cNvSpPr txBox="1"/>
                      <wps:spPr>
                        <a:xfrm>
                          <a:off x="0" y="0"/>
                          <a:ext cx="1231900" cy="72072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造价工程师代</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表任命和撤回</w:t>
                            </w:r>
                          </w:p>
                        </w:txbxContent>
                      </wps:txbx>
                      <wps:bodyPr upright="1"/>
                    </wps:wsp>
                  </a:graphicData>
                </a:graphic>
              </wp:anchor>
            </w:drawing>
          </mc:Choice>
          <mc:Fallback>
            <w:pict>
              <v:shape id="文本框 67" o:spid="_x0000_s1026" o:spt="202" type="#_x0000_t202" style="position:absolute;left:0pt;margin-left:-6.6pt;margin-top:3.65pt;height:56.75pt;width:97pt;z-index:251725824;mso-width-relative:page;mso-height-relative:page;" filled="f" stroked="f" coordsize="21600,21600" o:gfxdata="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NQVlyPVAAAA&#10;CQEAAA8AAAAAAAAAAQAgAAAAIgAAAGRycy9kb3ducmV2LnhtbFBLAQIUABQAAAAIAIdO4kCYW8hO&#10;rgEAAFADAAAOAAAAAAAAAAEAIAAAACQBAABkcnMvZTJvRG9jLnhtbFBLBQYAAAAABgAGAFkBAABE&#10;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造价工程师代</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表任命和撤回</w:t>
                      </w:r>
                    </w:p>
                  </w:txbxContent>
                </v:textbox>
              </v:shape>
            </w:pict>
          </mc:Fallback>
        </mc:AlternateContent>
      </w:r>
      <w:r>
        <w:rPr>
          <w:rFonts w:hint="eastAsia" w:ascii="仿宋" w:hAnsi="仿宋" w:eastAsia="仿宋" w:cs="仿宋"/>
          <w:color w:val="auto"/>
          <w:sz w:val="24"/>
          <w:szCs w:val="24"/>
          <w:highlight w:val="none"/>
        </w:rPr>
        <w:t>除合同约定或依法应由监理工程师、造价工程师行使的职权外，监理工程师、造价工程师可将其职权以书面形式授予其任命的监理工程师、造价工程师代表，亦可将其授权撤回。任何此类任命或撤回，均应至少提前</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天以书面形式通知承包人。未将有关文件送交承包人之前，任何此类任命或撤回均为无效。</w:t>
      </w:r>
    </w:p>
    <w:p>
      <w:pPr>
        <w:pStyle w:val="2"/>
        <w:shd w:val="clear" w:color="000000" w:fill="auto"/>
        <w:tabs>
          <w:tab w:val="left" w:pos="1320"/>
        </w:tabs>
        <w:adjustRightInd w:val="0"/>
        <w:snapToGrid w:val="0"/>
        <w:spacing w:line="360" w:lineRule="auto"/>
        <w:ind w:right="-238"/>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21.4  </w:t>
      </w:r>
      <w:r>
        <w:rPr>
          <w:rFonts w:ascii="仿宋" w:hAnsi="仿宋" w:eastAsia="仿宋" w:cs="仿宋"/>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26848" behindDoc="0" locked="0" layoutInCell="1" allowOverlap="1">
                <wp:simplePos x="0" y="0"/>
                <wp:positionH relativeFrom="column">
                  <wp:posOffset>-114300</wp:posOffset>
                </wp:positionH>
                <wp:positionV relativeFrom="paragraph">
                  <wp:posOffset>35560</wp:posOffset>
                </wp:positionV>
                <wp:extent cx="914400" cy="559435"/>
                <wp:effectExtent l="0" t="0" r="0" b="0"/>
                <wp:wrapNone/>
                <wp:docPr id="67" name="文本框 68"/>
                <wp:cNvGraphicFramePr/>
                <a:graphic xmlns:a="http://schemas.openxmlformats.org/drawingml/2006/main">
                  <a:graphicData uri="http://schemas.microsoft.com/office/word/2010/wordprocessingShape">
                    <wps:wsp>
                      <wps:cNvSpPr txBox="1"/>
                      <wps:spPr>
                        <a:xfrm>
                          <a:off x="0" y="0"/>
                          <a:ext cx="914400" cy="55943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承包人代表授权人选任命和撤回</w:t>
                            </w:r>
                          </w:p>
                        </w:txbxContent>
                      </wps:txbx>
                      <wps:bodyPr upright="1"/>
                    </wps:wsp>
                  </a:graphicData>
                </a:graphic>
              </wp:anchor>
            </w:drawing>
          </mc:Choice>
          <mc:Fallback>
            <w:pict>
              <v:shape id="文本框 68" o:spid="_x0000_s1026" o:spt="202" type="#_x0000_t202" style="position:absolute;left:0pt;margin-left:-9pt;margin-top:2.8pt;height:44.05pt;width:72pt;z-index:251726848;mso-width-relative:page;mso-height-relative:page;" filled="f" stroked="f" coordsize="21600,21600" o:gfxdata="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F4g4Z1gAA&#10;AAgBAAAPAAAAAAAAAAEAIAAAACIAAABkcnMvZG93bnJldi54bWxQSwECFAAUAAAACACHTuJA572b&#10;vq4BAABPAwAADgAAAAAAAAABACAAAAAlAQAAZHJzL2Uyb0RvYy54bWxQSwUGAAAAAAYABgBZAQAA&#10;R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承包人代表授权人选任命和撤回</w:t>
                      </w:r>
                    </w:p>
                  </w:txbxContent>
                </v:textbox>
              </v:shape>
            </w:pict>
          </mc:Fallback>
        </mc:AlternateContent>
      </w:r>
      <w:r>
        <w:rPr>
          <w:rFonts w:hint="eastAsia" w:ascii="仿宋" w:hAnsi="仿宋" w:eastAsia="仿宋" w:cs="仿宋"/>
          <w:color w:val="auto"/>
          <w:sz w:val="24"/>
          <w:szCs w:val="24"/>
          <w:highlight w:val="none"/>
        </w:rPr>
        <w:t>除合同约定或依法应由承包人代表行使的职权外，承包人代表可将其职权以书</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面形式授予其任命的合格人选，亦可将其授权撤回。任何此类任命或撤回，均应至少提前</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天以书面形式通知发包人和监理工程师、造价工程师。未将有关文件提交发包人和监理工程师、造价工程师之前，任何此类任命或撤回均为无效。</w:t>
      </w:r>
    </w:p>
    <w:p>
      <w:pPr>
        <w:shd w:val="clear" w:color="000000" w:fill="auto"/>
        <w:spacing w:line="360" w:lineRule="auto"/>
        <w:rPr>
          <w:rFonts w:ascii="仿宋" w:hAnsi="仿宋" w:eastAsia="仿宋" w:cs="Times New Roman"/>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5"/>
        <w:numPr>
          <w:ilvl w:val="0"/>
          <w:numId w:val="0"/>
        </w:numPr>
        <w:shd w:val="clear" w:color="000000" w:fill="auto"/>
        <w:tabs>
          <w:tab w:val="left" w:pos="420"/>
        </w:tabs>
        <w:ind w:left="720"/>
        <w:rPr>
          <w:rFonts w:ascii="仿宋" w:hAnsi="仿宋" w:eastAsia="仿宋"/>
          <w:color w:val="auto"/>
          <w:sz w:val="24"/>
          <w:szCs w:val="24"/>
          <w:highlight w:val="none"/>
        </w:rPr>
      </w:pPr>
      <w:bookmarkStart w:id="178" w:name="_Toc3174"/>
      <w:bookmarkStart w:id="179" w:name="_Toc469384002"/>
      <w:bookmarkStart w:id="180" w:name="_Toc10624842"/>
      <w:r>
        <w:rPr>
          <w:rFonts w:ascii="仿宋" w:hAnsi="仿宋" w:eastAsia="仿宋" w:cs="仿宋"/>
          <w:color w:val="auto"/>
          <w:sz w:val="24"/>
          <w:szCs w:val="24"/>
          <w:highlight w:val="none"/>
        </w:rPr>
        <w:t xml:space="preserve">22  </w:t>
      </w:r>
      <w:r>
        <w:rPr>
          <w:rFonts w:hint="eastAsia" w:ascii="仿宋" w:hAnsi="仿宋" w:eastAsia="仿宋" w:cs="仿宋"/>
          <w:color w:val="auto"/>
          <w:sz w:val="24"/>
          <w:szCs w:val="24"/>
          <w:highlight w:val="none"/>
        </w:rPr>
        <w:t>发包人代表</w:t>
      </w:r>
      <w:bookmarkEnd w:id="178"/>
      <w:bookmarkEnd w:id="179"/>
      <w:bookmarkEnd w:id="180"/>
    </w:p>
    <w:p>
      <w:pPr>
        <w:shd w:val="clear" w:color="000000" w:fill="auto"/>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22.1                           </w:t>
      </w:r>
    </w:p>
    <w:p>
      <w:pPr>
        <w:pStyle w:val="33"/>
        <w:shd w:val="clear" w:color="000000" w:fill="auto"/>
        <w:ind w:left="1619" w:leftChars="771"/>
        <w:rPr>
          <w:rFonts w:ascii="仿宋" w:hAnsi="仿宋" w:eastAsia="仿宋"/>
          <w:color w:val="auto"/>
          <w:highlight w:val="none"/>
        </w:rPr>
      </w:pPr>
      <w:r>
        <w:rPr>
          <w:color w:val="auto"/>
          <w:highlight w:val="none"/>
        </w:rPr>
        <mc:AlternateContent>
          <mc:Choice Requires="wps">
            <w:drawing>
              <wp:anchor distT="0" distB="0" distL="114300" distR="114300" simplePos="0" relativeHeight="251727872" behindDoc="0" locked="0" layoutInCell="1" allowOverlap="1">
                <wp:simplePos x="0" y="0"/>
                <wp:positionH relativeFrom="column">
                  <wp:posOffset>-114300</wp:posOffset>
                </wp:positionH>
                <wp:positionV relativeFrom="paragraph">
                  <wp:posOffset>53340</wp:posOffset>
                </wp:positionV>
                <wp:extent cx="914400" cy="443230"/>
                <wp:effectExtent l="0" t="0" r="0" b="0"/>
                <wp:wrapNone/>
                <wp:docPr id="68" name="文本框 69"/>
                <wp:cNvGraphicFramePr/>
                <a:graphic xmlns:a="http://schemas.openxmlformats.org/drawingml/2006/main">
                  <a:graphicData uri="http://schemas.microsoft.com/office/word/2010/wordprocessingShape">
                    <wps:wsp>
                      <wps:cNvSpPr txBox="1"/>
                      <wps:spPr>
                        <a:xfrm>
                          <a:off x="0" y="0"/>
                          <a:ext cx="914400" cy="44323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发包人对其代表授权</w:t>
                            </w:r>
                          </w:p>
                        </w:txbxContent>
                      </wps:txbx>
                      <wps:bodyPr upright="1"/>
                    </wps:wsp>
                  </a:graphicData>
                </a:graphic>
              </wp:anchor>
            </w:drawing>
          </mc:Choice>
          <mc:Fallback>
            <w:pict>
              <v:shape id="文本框 69" o:spid="_x0000_s1026" o:spt="202" type="#_x0000_t202" style="position:absolute;left:0pt;margin-left:-9pt;margin-top:4.2pt;height:34.9pt;width:72pt;z-index:251727872;mso-width-relative:page;mso-height-relative:page;" filled="f" stroked="f" coordsize="21600,21600" o:gfxdata="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MK7rAXVAAAA&#10;CAEAAA8AAAAAAAAAAQAgAAAAIgAAAGRycy9kb3ducmV2LnhtbFBLAQIUABQAAAAIAIdO4kA1Su+M&#10;rgEAAE8DAAAOAAAAAAAAAAEAIAAAACQBAABkcnMvZTJvRG9jLnhtbFBLBQYAAAAABgAGAFkBAABE&#10;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发包人对其代表授权</w:t>
                      </w:r>
                    </w:p>
                  </w:txbxContent>
                </v:textbox>
              </v:shape>
            </w:pict>
          </mc:Fallback>
        </mc:AlternateContent>
      </w:r>
      <w:r>
        <w:rPr>
          <w:rFonts w:hint="eastAsia" w:ascii="仿宋" w:hAnsi="仿宋" w:eastAsia="仿宋" w:cs="仿宋"/>
          <w:color w:val="auto"/>
          <w:highlight w:val="none"/>
        </w:rPr>
        <w:t>发包人应在专用条款中写明发包人代表具体人选，并在开工前将发包人代表任命书以书面形式通知承包人，授予其代表发包人履行合同规定职责所需的一切权力。除专用条款另有约定外，发包人不应对发包人代表的权力另有限制。</w:t>
      </w:r>
    </w:p>
    <w:p>
      <w:pPr>
        <w:shd w:val="clear" w:color="000000" w:fill="auto"/>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22.2   </w:t>
      </w:r>
      <w:r>
        <w:rPr>
          <w:rFonts w:ascii="仿宋" w:hAnsi="仿宋" w:eastAsia="仿宋" w:cs="仿宋"/>
          <w:b/>
          <w:bCs/>
          <w:color w:val="auto"/>
          <w:sz w:val="24"/>
          <w:szCs w:val="24"/>
          <w:highlight w:val="none"/>
          <w:u w:val="dotted"/>
        </w:rPr>
        <w:t xml:space="preserve">                                                                                                      </w:t>
      </w:r>
    </w:p>
    <w:p>
      <w:pPr>
        <w:pStyle w:val="33"/>
        <w:shd w:val="clear" w:color="000000" w:fill="auto"/>
        <w:ind w:left="1619" w:leftChars="771"/>
        <w:rPr>
          <w:rFonts w:ascii="仿宋" w:hAnsi="仿宋" w:eastAsia="仿宋"/>
          <w:color w:val="auto"/>
          <w:highlight w:val="none"/>
        </w:rPr>
      </w:pPr>
      <w:r>
        <w:rPr>
          <w:color w:val="auto"/>
          <w:highlight w:val="none"/>
        </w:rPr>
        <mc:AlternateContent>
          <mc:Choice Requires="wps">
            <w:drawing>
              <wp:anchor distT="0" distB="0" distL="114300" distR="114300" simplePos="0" relativeHeight="251728896" behindDoc="0" locked="0" layoutInCell="1" allowOverlap="1">
                <wp:simplePos x="0" y="0"/>
                <wp:positionH relativeFrom="column">
                  <wp:posOffset>-114300</wp:posOffset>
                </wp:positionH>
                <wp:positionV relativeFrom="paragraph">
                  <wp:posOffset>76200</wp:posOffset>
                </wp:positionV>
                <wp:extent cx="914400" cy="396240"/>
                <wp:effectExtent l="0" t="0" r="0" b="0"/>
                <wp:wrapNone/>
                <wp:docPr id="69" name="文本框 70"/>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发包人代表职权</w:t>
                            </w:r>
                          </w:p>
                        </w:txbxContent>
                      </wps:txbx>
                      <wps:bodyPr upright="1"/>
                    </wps:wsp>
                  </a:graphicData>
                </a:graphic>
              </wp:anchor>
            </w:drawing>
          </mc:Choice>
          <mc:Fallback>
            <w:pict>
              <v:shape id="文本框 70" o:spid="_x0000_s1026" o:spt="202" type="#_x0000_t202" style="position:absolute;left:0pt;margin-left:-9pt;margin-top:6pt;height:31.2pt;width:72pt;z-index:251728896;mso-width-relative:page;mso-height-relative:page;" filled="f" stroked="f" coordsize="21600,21600" o:gfxdata="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M2N7btYAAAAJ&#10;AQAADwAAAAAAAAABACAAAAAiAAAAZHJzL2Rvd25yZXYueG1sUEsBAhQAFAAAAAgAh07iQMalTV+s&#10;AQAATwMAAA4AAAAAAAAAAQAgAAAAJQEAAGRycy9lMm9Eb2MueG1sUEsFBgAAAAAGAAYAWQEAAEMF&#10;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发包人代表职权</w:t>
                      </w:r>
                    </w:p>
                  </w:txbxContent>
                </v:textbox>
              </v:shape>
            </w:pict>
          </mc:Fallback>
        </mc:AlternateContent>
      </w:r>
      <w:r>
        <w:rPr>
          <w:rFonts w:hint="eastAsia" w:ascii="仿宋" w:hAnsi="仿宋" w:eastAsia="仿宋" w:cs="仿宋"/>
          <w:color w:val="auto"/>
          <w:highlight w:val="none"/>
        </w:rPr>
        <w:t>发包人代表应代表发包人履行合同规定的职责、行使合同明文规定和必然隐含的权力，对发包人负责。发包人代表在发包人授予职权范围内工作，发包人应予认可。</w:t>
      </w:r>
    </w:p>
    <w:p>
      <w:pPr>
        <w:shd w:val="clear" w:color="000000" w:fill="auto"/>
        <w:spacing w:line="360" w:lineRule="auto"/>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5"/>
        <w:numPr>
          <w:ilvl w:val="0"/>
          <w:numId w:val="0"/>
        </w:numPr>
        <w:shd w:val="clear" w:color="000000" w:fill="auto"/>
        <w:tabs>
          <w:tab w:val="left" w:pos="420"/>
        </w:tabs>
        <w:rPr>
          <w:rFonts w:ascii="仿宋" w:hAnsi="仿宋" w:eastAsia="仿宋"/>
          <w:bCs w:val="0"/>
          <w:color w:val="auto"/>
          <w:sz w:val="24"/>
          <w:szCs w:val="24"/>
          <w:highlight w:val="none"/>
        </w:rPr>
      </w:pPr>
      <w:bookmarkStart w:id="181" w:name="_Toc10624843"/>
      <w:bookmarkStart w:id="182" w:name="_Toc2907"/>
      <w:bookmarkStart w:id="183" w:name="_Toc469384003"/>
      <w:r>
        <w:rPr>
          <w:rFonts w:ascii="仿宋" w:hAnsi="仿宋" w:eastAsia="仿宋" w:cs="仿宋"/>
          <w:bCs w:val="0"/>
          <w:color w:val="auto"/>
          <w:sz w:val="24"/>
          <w:szCs w:val="24"/>
          <w:highlight w:val="none"/>
        </w:rPr>
        <w:t xml:space="preserve">23  </w:t>
      </w:r>
      <w:r>
        <w:rPr>
          <w:rFonts w:hint="eastAsia" w:ascii="仿宋" w:hAnsi="仿宋" w:eastAsia="仿宋" w:cs="仿宋"/>
          <w:bCs w:val="0"/>
          <w:color w:val="auto"/>
          <w:sz w:val="24"/>
          <w:szCs w:val="24"/>
          <w:highlight w:val="none"/>
        </w:rPr>
        <w:t>监理工程师</w:t>
      </w:r>
      <w:bookmarkEnd w:id="181"/>
      <w:bookmarkEnd w:id="182"/>
      <w:bookmarkEnd w:id="183"/>
    </w:p>
    <w:p>
      <w:pPr>
        <w:shd w:val="clear" w:color="000000" w:fill="auto"/>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23.1  </w:t>
      </w:r>
      <w:r>
        <w:rPr>
          <w:rFonts w:ascii="仿宋" w:hAnsi="仿宋" w:eastAsia="仿宋" w:cs="仿宋"/>
          <w:b/>
          <w:bCs/>
          <w:color w:val="auto"/>
          <w:sz w:val="24"/>
          <w:szCs w:val="24"/>
          <w:highlight w:val="none"/>
          <w:u w:val="dotted"/>
        </w:rPr>
        <w:t xml:space="preserve">                                                                                                        </w:t>
      </w:r>
    </w:p>
    <w:p>
      <w:pPr>
        <w:pStyle w:val="33"/>
        <w:shd w:val="clear" w:color="000000" w:fill="auto"/>
        <w:ind w:left="1619" w:leftChars="771"/>
        <w:rPr>
          <w:rFonts w:ascii="仿宋" w:hAnsi="仿宋" w:eastAsia="仿宋"/>
          <w:color w:val="auto"/>
          <w:highlight w:val="none"/>
        </w:rPr>
      </w:pPr>
      <w:r>
        <w:rPr>
          <w:color w:val="auto"/>
          <w:highlight w:val="none"/>
        </w:rPr>
        <mc:AlternateContent>
          <mc:Choice Requires="wps">
            <w:drawing>
              <wp:anchor distT="0" distB="0" distL="114300" distR="114300" simplePos="0" relativeHeight="251729920" behindDoc="0" locked="0" layoutInCell="1" allowOverlap="1">
                <wp:simplePos x="0" y="0"/>
                <wp:positionH relativeFrom="column">
                  <wp:posOffset>-114300</wp:posOffset>
                </wp:positionH>
                <wp:positionV relativeFrom="paragraph">
                  <wp:posOffset>53340</wp:posOffset>
                </wp:positionV>
                <wp:extent cx="914400" cy="389890"/>
                <wp:effectExtent l="0" t="0" r="0" b="0"/>
                <wp:wrapNone/>
                <wp:docPr id="70" name="文本框 71"/>
                <wp:cNvGraphicFramePr/>
                <a:graphic xmlns:a="http://schemas.openxmlformats.org/drawingml/2006/main">
                  <a:graphicData uri="http://schemas.microsoft.com/office/word/2010/wordprocessingShape">
                    <wps:wsp>
                      <wps:cNvSpPr txBox="1"/>
                      <wps:spPr>
                        <a:xfrm>
                          <a:off x="0" y="0"/>
                          <a:ext cx="914400" cy="38989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发包人对监理工程师授权</w:t>
                            </w:r>
                          </w:p>
                        </w:txbxContent>
                      </wps:txbx>
                      <wps:bodyPr upright="1"/>
                    </wps:wsp>
                  </a:graphicData>
                </a:graphic>
              </wp:anchor>
            </w:drawing>
          </mc:Choice>
          <mc:Fallback>
            <w:pict>
              <v:shape id="文本框 71" o:spid="_x0000_s1026" o:spt="202" type="#_x0000_t202" style="position:absolute;left:0pt;margin-left:-9pt;margin-top:4.2pt;height:30.7pt;width:72pt;z-index:251729920;mso-width-relative:page;mso-height-relative:page;" filled="f" stroked="f" coordsize="21600,21600" o:gfxdata="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G4YBILVAAAA&#10;CAEAAA8AAAAAAAAAAQAgAAAAIgAAAGRycy9kb3ducmV2LnhtbFBLAQIUABQAAAAIAIdO4kDv19eo&#10;rgEAAE8DAAAOAAAAAAAAAAEAIAAAACQBAABkcnMvZTJvRG9jLnhtbFBLBQYAAAAABgAGAFkBAABE&#10;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发包人对监理工程师授权</w:t>
                      </w:r>
                    </w:p>
                  </w:txbxContent>
                </v:textbox>
              </v:shape>
            </w:pict>
          </mc:Fallback>
        </mc:AlternateContent>
      </w:r>
      <w:r>
        <w:rPr>
          <w:rFonts w:hint="eastAsia" w:ascii="仿宋" w:hAnsi="仿宋" w:eastAsia="仿宋" w:cs="仿宋"/>
          <w:color w:val="auto"/>
          <w:highlight w:val="none"/>
        </w:rPr>
        <w:t>发包人应在专用条款中写明负责合同工程监理专业技术的监理人名称和监理工程师具体人选，并在开工前将监理工程师任命书以书面形式通知承包人，授予其代表发包人履行合同规定职责所需的权力。</w:t>
      </w:r>
    </w:p>
    <w:p>
      <w:pPr>
        <w:shd w:val="clear" w:color="000000" w:fill="auto"/>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23.2  </w:t>
      </w:r>
      <w:r>
        <w:rPr>
          <w:rFonts w:ascii="仿宋" w:hAnsi="仿宋" w:eastAsia="仿宋" w:cs="仿宋"/>
          <w:b/>
          <w:bCs/>
          <w:color w:val="auto"/>
          <w:sz w:val="24"/>
          <w:szCs w:val="24"/>
          <w:highlight w:val="none"/>
          <w:u w:val="dotted"/>
        </w:rPr>
        <w:t xml:space="preserve">                                                                                                        </w:t>
      </w:r>
    </w:p>
    <w:p>
      <w:pPr>
        <w:shd w:val="clear" w:color="000000" w:fill="auto"/>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30944" behindDoc="0" locked="0" layoutInCell="1" allowOverlap="1">
                <wp:simplePos x="0" y="0"/>
                <wp:positionH relativeFrom="column">
                  <wp:posOffset>-114300</wp:posOffset>
                </wp:positionH>
                <wp:positionV relativeFrom="paragraph">
                  <wp:posOffset>38100</wp:posOffset>
                </wp:positionV>
                <wp:extent cx="914400" cy="483870"/>
                <wp:effectExtent l="0" t="0" r="0" b="0"/>
                <wp:wrapNone/>
                <wp:docPr id="71" name="文本框 72"/>
                <wp:cNvGraphicFramePr/>
                <a:graphic xmlns:a="http://schemas.openxmlformats.org/drawingml/2006/main">
                  <a:graphicData uri="http://schemas.microsoft.com/office/word/2010/wordprocessingShape">
                    <wps:wsp>
                      <wps:cNvSpPr txBox="1"/>
                      <wps:spPr>
                        <a:xfrm>
                          <a:off x="0" y="0"/>
                          <a:ext cx="914400" cy="48387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监理工程师职权</w:t>
                            </w:r>
                          </w:p>
                        </w:txbxContent>
                      </wps:txbx>
                      <wps:bodyPr upright="1"/>
                    </wps:wsp>
                  </a:graphicData>
                </a:graphic>
              </wp:anchor>
            </w:drawing>
          </mc:Choice>
          <mc:Fallback>
            <w:pict>
              <v:shape id="文本框 72" o:spid="_x0000_s1026" o:spt="202" type="#_x0000_t202" style="position:absolute;left:0pt;margin-left:-9pt;margin-top:3pt;height:38.1pt;width:72pt;z-index:251730944;mso-width-relative:page;mso-height-relative:page;" filled="f" stroked="f" coordsize="21600,21600" o:gfxdata="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PsfmE7VAAAA&#10;CAEAAA8AAAAAAAAAAQAgAAAAIgAAAGRycy9kb3ducmV2LnhtbFBLAQIUABQAAAAIAIdO4kCOJZun&#10;rgEAAE8DAAAOAAAAAAAAAAEAIAAAACQBAABkcnMvZTJvRG9jLnhtbFBLBQYAAAAABgAGAFkBAABE&#10;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监理工程师职权</w:t>
                      </w:r>
                    </w:p>
                  </w:txbxContent>
                </v:textbox>
              </v:shape>
            </w:pict>
          </mc:Fallback>
        </mc:AlternateContent>
      </w:r>
      <w:r>
        <w:rPr>
          <w:rFonts w:hint="eastAsia" w:ascii="仿宋" w:hAnsi="仿宋" w:eastAsia="仿宋" w:cs="仿宋"/>
          <w:color w:val="auto"/>
          <w:sz w:val="24"/>
          <w:szCs w:val="24"/>
          <w:highlight w:val="none"/>
        </w:rPr>
        <w:t>监理工程师行使合同明文规定和必然隐含的职权，代表发包人负责监督、检查合同工程的进度、质量和安全，试验和检验承包人使用的与合同工程有关的材料、工程设备、施工设备和施工工艺，及时向承包人提供工作所需的批准、确认和通知等指令。监理工程师无权免除或变更合同规定的合同任何一方当事人在合同履行期间的权力、义务和责任。</w:t>
      </w:r>
    </w:p>
    <w:p>
      <w:pPr>
        <w:shd w:val="clear" w:color="000000" w:fill="auto"/>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23.3  </w:t>
      </w:r>
      <w:r>
        <w:rPr>
          <w:rFonts w:ascii="仿宋" w:hAnsi="仿宋" w:eastAsia="仿宋" w:cs="仿宋"/>
          <w:b/>
          <w:bCs/>
          <w:color w:val="auto"/>
          <w:sz w:val="24"/>
          <w:szCs w:val="24"/>
          <w:highlight w:val="none"/>
          <w:u w:val="dotted"/>
        </w:rPr>
        <w:t xml:space="preserve">                                                                                                        </w:t>
      </w:r>
    </w:p>
    <w:p>
      <w:pPr>
        <w:shd w:val="clear" w:color="000000" w:fill="auto"/>
        <w:spacing w:line="360" w:lineRule="auto"/>
        <w:ind w:left="1619" w:leftChars="771" w:firstLine="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31968" behindDoc="0" locked="0" layoutInCell="1" allowOverlap="1">
                <wp:simplePos x="0" y="0"/>
                <wp:positionH relativeFrom="column">
                  <wp:posOffset>-114300</wp:posOffset>
                </wp:positionH>
                <wp:positionV relativeFrom="paragraph">
                  <wp:posOffset>68580</wp:posOffset>
                </wp:positionV>
                <wp:extent cx="914400" cy="410210"/>
                <wp:effectExtent l="0" t="0" r="0" b="0"/>
                <wp:wrapNone/>
                <wp:docPr id="72" name="文本框 73"/>
                <wp:cNvGraphicFramePr/>
                <a:graphic xmlns:a="http://schemas.openxmlformats.org/drawingml/2006/main">
                  <a:graphicData uri="http://schemas.microsoft.com/office/word/2010/wordprocessingShape">
                    <wps:wsp>
                      <wps:cNvSpPr txBox="1"/>
                      <wps:spPr>
                        <a:xfrm>
                          <a:off x="0" y="0"/>
                          <a:ext cx="914400" cy="41021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监理工程师职权限制</w:t>
                            </w:r>
                          </w:p>
                        </w:txbxContent>
                      </wps:txbx>
                      <wps:bodyPr upright="1"/>
                    </wps:wsp>
                  </a:graphicData>
                </a:graphic>
              </wp:anchor>
            </w:drawing>
          </mc:Choice>
          <mc:Fallback>
            <w:pict>
              <v:shape id="文本框 73" o:spid="_x0000_s1026" o:spt="202" type="#_x0000_t202" style="position:absolute;left:0pt;margin-left:-9pt;margin-top:5.4pt;height:32.3pt;width:72pt;z-index:251731968;mso-width-relative:page;mso-height-relative:page;" filled="f" stroked="f" coordsize="21600,21600" o:gfxdata="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CTBLaHVAAAA&#10;CQEAAA8AAAAAAAAAAQAgAAAAIgAAAGRycy9kb3ducmV2LnhtbFBLAQIUABQAAAAIAIdO4kA0OhPg&#10;rgEAAE8DAAAOAAAAAAAAAAEAIAAAACQBAABkcnMvZTJvRG9jLnhtbFBLBQYAAAAABgAGAFkBAABE&#10;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监理工程师职权限制</w:t>
                      </w:r>
                    </w:p>
                  </w:txbxContent>
                </v:textbox>
              </v:shape>
            </w:pict>
          </mc:Fallback>
        </mc:AlternateContent>
      </w:r>
      <w:r>
        <w:rPr>
          <w:rFonts w:hint="eastAsia" w:ascii="仿宋" w:hAnsi="仿宋" w:eastAsia="仿宋" w:cs="仿宋"/>
          <w:color w:val="auto"/>
          <w:sz w:val="24"/>
          <w:szCs w:val="24"/>
          <w:highlight w:val="none"/>
        </w:rPr>
        <w:t>除属于第</w:t>
      </w:r>
      <w:r>
        <w:rPr>
          <w:rFonts w:ascii="仿宋" w:hAnsi="仿宋" w:eastAsia="仿宋" w:cs="仿宋"/>
          <w:color w:val="auto"/>
          <w:sz w:val="24"/>
          <w:szCs w:val="24"/>
          <w:highlight w:val="none"/>
        </w:rPr>
        <w:t>86</w:t>
      </w:r>
      <w:r>
        <w:rPr>
          <w:rFonts w:hint="eastAsia" w:ascii="仿宋" w:hAnsi="仿宋" w:eastAsia="仿宋" w:cs="仿宋"/>
          <w:color w:val="auto"/>
          <w:sz w:val="24"/>
          <w:szCs w:val="24"/>
          <w:highlight w:val="none"/>
        </w:rPr>
        <w:t>条规定的争议外，监理工程师在职权范围内的工作，发包人应予认可，但下列事件应事先取得发包人的专项批准：</w:t>
      </w:r>
    </w:p>
    <w:p>
      <w:pPr>
        <w:numPr>
          <w:ilvl w:val="0"/>
          <w:numId w:val="6"/>
        </w:numPr>
        <w:shd w:val="clear" w:color="000000" w:fill="auto"/>
        <w:spacing w:line="360" w:lineRule="auto"/>
        <w:ind w:left="1619" w:leftChars="771" w:firstLine="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5.2</w:t>
      </w:r>
      <w:r>
        <w:rPr>
          <w:rFonts w:hint="eastAsia" w:ascii="仿宋" w:hAnsi="仿宋" w:eastAsia="仿宋" w:cs="仿宋"/>
          <w:color w:val="auto"/>
          <w:sz w:val="24"/>
          <w:szCs w:val="24"/>
          <w:highlight w:val="none"/>
        </w:rPr>
        <w:t>款规定批准承包人提供的配合施工设计图纸；</w:t>
      </w:r>
    </w:p>
    <w:p>
      <w:pPr>
        <w:numPr>
          <w:ilvl w:val="0"/>
          <w:numId w:val="6"/>
        </w:numPr>
        <w:shd w:val="clear" w:color="000000" w:fill="auto"/>
        <w:spacing w:line="360" w:lineRule="auto"/>
        <w:ind w:left="1619" w:leftChars="771" w:firstLine="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7.2</w:t>
      </w:r>
      <w:r>
        <w:rPr>
          <w:rFonts w:hint="eastAsia" w:ascii="仿宋" w:hAnsi="仿宋" w:eastAsia="仿宋" w:cs="仿宋"/>
          <w:color w:val="auto"/>
          <w:sz w:val="24"/>
          <w:szCs w:val="24"/>
          <w:highlight w:val="none"/>
        </w:rPr>
        <w:t>款规定同意承包人分包工程；</w:t>
      </w:r>
    </w:p>
    <w:p>
      <w:pPr>
        <w:numPr>
          <w:ilvl w:val="0"/>
          <w:numId w:val="6"/>
        </w:numPr>
        <w:shd w:val="clear" w:color="000000" w:fill="auto"/>
        <w:spacing w:line="360" w:lineRule="auto"/>
        <w:ind w:left="1619" w:leftChars="771" w:firstLine="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18.1</w:t>
      </w:r>
      <w:r>
        <w:rPr>
          <w:rFonts w:hint="eastAsia" w:ascii="仿宋" w:hAnsi="仿宋" w:eastAsia="仿宋" w:cs="仿宋"/>
          <w:color w:val="auto"/>
          <w:sz w:val="24"/>
          <w:szCs w:val="24"/>
          <w:highlight w:val="none"/>
        </w:rPr>
        <w:t>款规定批准承包人将材料和工程设备、施工设备移出施工场地；</w:t>
      </w:r>
    </w:p>
    <w:p>
      <w:pPr>
        <w:numPr>
          <w:ilvl w:val="0"/>
          <w:numId w:val="6"/>
        </w:numPr>
        <w:shd w:val="clear" w:color="000000" w:fill="auto"/>
        <w:spacing w:line="360" w:lineRule="auto"/>
        <w:ind w:left="1619" w:leftChars="771" w:firstLine="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33</w:t>
      </w:r>
      <w:r>
        <w:rPr>
          <w:rFonts w:hint="eastAsia" w:ascii="仿宋" w:hAnsi="仿宋" w:eastAsia="仿宋" w:cs="仿宋"/>
          <w:color w:val="auto"/>
          <w:sz w:val="24"/>
          <w:szCs w:val="24"/>
          <w:highlight w:val="none"/>
        </w:rPr>
        <w:t>条规定批准承包人的施工组织设计和工程进度计划；</w:t>
      </w:r>
    </w:p>
    <w:p>
      <w:pPr>
        <w:numPr>
          <w:ilvl w:val="0"/>
          <w:numId w:val="6"/>
        </w:numPr>
        <w:shd w:val="clear" w:color="000000" w:fill="auto"/>
        <w:spacing w:line="360" w:lineRule="auto"/>
        <w:ind w:left="1619" w:leftChars="771" w:firstLine="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34.2</w:t>
      </w:r>
      <w:r>
        <w:rPr>
          <w:rFonts w:hint="eastAsia" w:ascii="仿宋" w:hAnsi="仿宋" w:eastAsia="仿宋" w:cs="仿宋"/>
          <w:color w:val="auto"/>
          <w:sz w:val="24"/>
          <w:szCs w:val="24"/>
          <w:highlight w:val="none"/>
        </w:rPr>
        <w:t>款规定发出的工程开工令；</w:t>
      </w:r>
    </w:p>
    <w:p>
      <w:pPr>
        <w:numPr>
          <w:ilvl w:val="0"/>
          <w:numId w:val="6"/>
        </w:numPr>
        <w:shd w:val="clear" w:color="000000" w:fill="auto"/>
        <w:spacing w:line="360" w:lineRule="auto"/>
        <w:ind w:left="1619" w:leftChars="771" w:firstLine="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37.2</w:t>
      </w:r>
      <w:r>
        <w:rPr>
          <w:rFonts w:hint="eastAsia" w:ascii="仿宋" w:hAnsi="仿宋" w:eastAsia="仿宋" w:cs="仿宋"/>
          <w:color w:val="auto"/>
          <w:sz w:val="24"/>
          <w:szCs w:val="24"/>
          <w:highlight w:val="none"/>
        </w:rPr>
        <w:t>款规定发出加快进度的变更指令；</w:t>
      </w:r>
    </w:p>
    <w:p>
      <w:pPr>
        <w:numPr>
          <w:ilvl w:val="0"/>
          <w:numId w:val="6"/>
        </w:numPr>
        <w:shd w:val="clear" w:color="000000" w:fill="auto"/>
        <w:spacing w:line="360" w:lineRule="auto"/>
        <w:ind w:left="1619" w:leftChars="771" w:firstLine="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49.6</w:t>
      </w:r>
      <w:r>
        <w:rPr>
          <w:rFonts w:hint="eastAsia" w:ascii="仿宋" w:hAnsi="仿宋" w:eastAsia="仿宋" w:cs="仿宋"/>
          <w:color w:val="auto"/>
          <w:sz w:val="24"/>
          <w:szCs w:val="24"/>
          <w:highlight w:val="none"/>
        </w:rPr>
        <w:t>款规定使用替换材料；</w:t>
      </w:r>
    </w:p>
    <w:p>
      <w:pPr>
        <w:numPr>
          <w:ilvl w:val="0"/>
          <w:numId w:val="6"/>
        </w:numPr>
        <w:shd w:val="clear" w:color="000000" w:fill="auto"/>
        <w:spacing w:line="360" w:lineRule="auto"/>
        <w:ind w:left="1619" w:leftChars="771" w:firstLine="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63</w:t>
      </w:r>
      <w:r>
        <w:rPr>
          <w:rFonts w:hint="eastAsia" w:ascii="仿宋" w:hAnsi="仿宋" w:eastAsia="仿宋" w:cs="仿宋"/>
          <w:color w:val="auto"/>
          <w:sz w:val="24"/>
          <w:szCs w:val="24"/>
          <w:highlight w:val="none"/>
        </w:rPr>
        <w:t>条规定发出使用暂列金额的工作指令；</w:t>
      </w:r>
    </w:p>
    <w:p>
      <w:pPr>
        <w:numPr>
          <w:ilvl w:val="0"/>
          <w:numId w:val="6"/>
        </w:numPr>
        <w:shd w:val="clear" w:color="000000" w:fill="auto"/>
        <w:spacing w:line="360" w:lineRule="auto"/>
        <w:ind w:left="1619" w:leftChars="771" w:firstLine="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64</w:t>
      </w:r>
      <w:r>
        <w:rPr>
          <w:rFonts w:hint="eastAsia" w:ascii="仿宋" w:hAnsi="仿宋" w:eastAsia="仿宋" w:cs="仿宋"/>
          <w:color w:val="auto"/>
          <w:sz w:val="24"/>
          <w:szCs w:val="24"/>
          <w:highlight w:val="none"/>
        </w:rPr>
        <w:t>条规定发出使用计日工的工作指令；</w:t>
      </w:r>
    </w:p>
    <w:p>
      <w:pPr>
        <w:pStyle w:val="87"/>
        <w:shd w:val="clear" w:color="000000" w:fill="auto"/>
        <w:spacing w:line="360" w:lineRule="auto"/>
        <w:ind w:firstLine="1440" w:firstLineChars="600"/>
        <w:jc w:val="left"/>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（1</w:t>
      </w:r>
      <w:r>
        <w:rPr>
          <w:rFonts w:ascii="仿宋" w:hAnsi="仿宋" w:eastAsia="仿宋" w:cs="仿宋"/>
          <w:color w:val="auto"/>
          <w:sz w:val="24"/>
          <w:szCs w:val="24"/>
          <w:highlight w:val="none"/>
        </w:rPr>
        <w:t>0</w:t>
      </w: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56</w:t>
      </w:r>
      <w:r>
        <w:rPr>
          <w:rFonts w:hint="eastAsia" w:ascii="仿宋" w:hAnsi="仿宋" w:eastAsia="仿宋" w:cs="仿宋"/>
          <w:color w:val="auto"/>
          <w:sz w:val="24"/>
          <w:szCs w:val="24"/>
          <w:highlight w:val="none"/>
        </w:rPr>
        <w:t>条规定指令或批准的工程变更；</w:t>
      </w:r>
    </w:p>
    <w:p>
      <w:pPr>
        <w:pStyle w:val="87"/>
        <w:shd w:val="clear" w:color="000000" w:fill="auto"/>
        <w:spacing w:line="360" w:lineRule="auto"/>
        <w:ind w:firstLine="1440" w:firstLineChars="60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（1</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75</w:t>
      </w:r>
      <w:r>
        <w:rPr>
          <w:rFonts w:hint="eastAsia" w:ascii="仿宋" w:hAnsi="仿宋" w:eastAsia="仿宋" w:cs="仿宋"/>
          <w:color w:val="auto"/>
          <w:sz w:val="24"/>
          <w:szCs w:val="24"/>
          <w:highlight w:val="none"/>
        </w:rPr>
        <w:t>条规定指令或确认的现场签证；</w:t>
      </w:r>
    </w:p>
    <w:p>
      <w:pPr>
        <w:shd w:val="clear" w:color="000000" w:fill="auto"/>
        <w:spacing w:line="360" w:lineRule="auto"/>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 xml:space="preserve">             （</w:t>
      </w:r>
      <w:r>
        <w:rPr>
          <w:rFonts w:ascii="仿宋" w:hAnsi="仿宋" w:eastAsia="仿宋" w:cs="仿宋"/>
          <w:color w:val="auto"/>
          <w:sz w:val="24"/>
          <w:szCs w:val="24"/>
          <w:highlight w:val="none"/>
        </w:rPr>
        <w:t>12</w:t>
      </w:r>
      <w:r>
        <w:rPr>
          <w:rFonts w:hint="eastAsia" w:ascii="仿宋" w:hAnsi="仿宋" w:eastAsia="仿宋" w:cs="仿宋"/>
          <w:color w:val="auto"/>
          <w:sz w:val="24"/>
          <w:szCs w:val="24"/>
          <w:highlight w:val="none"/>
        </w:rPr>
        <w:t>）专用条款约定需要发包人批准的其他事项。</w:t>
      </w:r>
    </w:p>
    <w:p>
      <w:pPr>
        <w:shd w:val="clear" w:color="000000" w:fill="auto"/>
        <w:spacing w:line="360" w:lineRule="auto"/>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732992" behindDoc="0" locked="0" layoutInCell="1" allowOverlap="1">
                <wp:simplePos x="0" y="0"/>
                <wp:positionH relativeFrom="column">
                  <wp:posOffset>-114300</wp:posOffset>
                </wp:positionH>
                <wp:positionV relativeFrom="paragraph">
                  <wp:posOffset>278130</wp:posOffset>
                </wp:positionV>
                <wp:extent cx="1028700" cy="457200"/>
                <wp:effectExtent l="0" t="0" r="0" b="0"/>
                <wp:wrapNone/>
                <wp:docPr id="73" name="文本框 74"/>
                <wp:cNvGraphicFramePr/>
                <a:graphic xmlns:a="http://schemas.openxmlformats.org/drawingml/2006/main">
                  <a:graphicData uri="http://schemas.microsoft.com/office/word/2010/wordprocessingShape">
                    <wps:wsp>
                      <wps:cNvSpPr txBox="1"/>
                      <wps:spPr>
                        <a:xfrm>
                          <a:off x="0" y="0"/>
                          <a:ext cx="1028700" cy="45720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监理工程师指</w:t>
                            </w:r>
                          </w:p>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令</w:t>
                            </w:r>
                          </w:p>
                        </w:txbxContent>
                      </wps:txbx>
                      <wps:bodyPr upright="1"/>
                    </wps:wsp>
                  </a:graphicData>
                </a:graphic>
              </wp:anchor>
            </w:drawing>
          </mc:Choice>
          <mc:Fallback>
            <w:pict>
              <v:shape id="文本框 74" o:spid="_x0000_s1026" o:spt="202" type="#_x0000_t202" style="position:absolute;left:0pt;margin-left:-9pt;margin-top:21.9pt;height:36pt;width:81pt;z-index:251732992;mso-width-relative:page;mso-height-relative:page;" filled="f" stroked="f" coordsize="21600,21600" o:gfxdata="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OZhKhdcA&#10;AAAKAQAADwAAAAAAAAABACAAAAAiAAAAZHJzL2Rvd25yZXYueG1sUEsBAhQAFAAAAAgAh07iQM+P&#10;A1WuAQAAUAMAAA4AAAAAAAAAAQAgAAAAJgEAAGRycy9lMm9Eb2MueG1sUEsFBgAAAAAGAAYAWQEA&#10;AEY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监理工程师指</w:t>
                      </w:r>
                    </w:p>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令</w:t>
                      </w:r>
                    </w:p>
                  </w:txbxContent>
                </v:textbox>
              </v:shape>
            </w:pict>
          </mc:Fallback>
        </mc:AlternateContent>
      </w:r>
      <w:r>
        <w:rPr>
          <w:rFonts w:ascii="仿宋" w:hAnsi="仿宋" w:eastAsia="仿宋" w:cs="仿宋"/>
          <w:b/>
          <w:bCs/>
          <w:color w:val="auto"/>
          <w:sz w:val="24"/>
          <w:szCs w:val="24"/>
          <w:highlight w:val="none"/>
        </w:rPr>
        <w:t xml:space="preserve">23.4  </w:t>
      </w:r>
      <w:r>
        <w:rPr>
          <w:rFonts w:ascii="仿宋" w:hAnsi="仿宋" w:eastAsia="仿宋" w:cs="仿宋"/>
          <w:b/>
          <w:bCs/>
          <w:color w:val="auto"/>
          <w:sz w:val="24"/>
          <w:szCs w:val="24"/>
          <w:highlight w:val="none"/>
          <w:u w:val="dotted"/>
        </w:rPr>
        <w:t xml:space="preserve">                                                                                                       </w:t>
      </w:r>
    </w:p>
    <w:p>
      <w:pPr>
        <w:shd w:val="clear" w:color="000000" w:fill="auto"/>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监理工程师应按照合同约定时间向承包人提供实施合同工程的进度、质量和安全工作所需的批准、确认和通知等指令。</w:t>
      </w:r>
    </w:p>
    <w:p>
      <w:pPr>
        <w:shd w:val="clear" w:color="000000" w:fill="auto"/>
        <w:tabs>
          <w:tab w:val="left" w:pos="1260"/>
        </w:tabs>
        <w:spacing w:line="360" w:lineRule="auto"/>
        <w:ind w:left="1619" w:leftChars="771"/>
        <w:rPr>
          <w:rFonts w:ascii="仿宋" w:hAnsi="仿宋" w:eastAsia="仿宋" w:cs="Times New Roman"/>
          <w:b/>
          <w:bCs/>
          <w:color w:val="auto"/>
          <w:sz w:val="24"/>
          <w:szCs w:val="24"/>
          <w:highlight w:val="none"/>
        </w:rPr>
      </w:pPr>
      <w:r>
        <w:rPr>
          <w:rFonts w:hint="eastAsia" w:ascii="仿宋" w:hAnsi="仿宋" w:eastAsia="仿宋" w:cs="仿宋"/>
          <w:color w:val="auto"/>
          <w:sz w:val="24"/>
          <w:szCs w:val="24"/>
          <w:highlight w:val="none"/>
        </w:rPr>
        <w:t>监理工程师提供的指令，均应采用书面形式。在紧急情况下，监理工程师可发出口头指令，但应在</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小时内给予书面确认。对监理工程师的口头指令，承包人应予执行。如果承包人在监理工程师发出口头指令</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小时后未收到书面确认，则应在接到口头指令后的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天内向监理工程师发出书面确认函。监理工程师应在承包人发出书面确认函后</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小时内给予答复；逾期未予答复的，视为承包人的书面确认函已被认可。</w:t>
      </w:r>
    </w:p>
    <w:p>
      <w:pPr>
        <w:shd w:val="clear" w:color="000000" w:fill="auto"/>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23.5  </w:t>
      </w:r>
      <w:r>
        <w:rPr>
          <w:rFonts w:ascii="仿宋" w:hAnsi="仿宋" w:eastAsia="仿宋" w:cs="仿宋"/>
          <w:b/>
          <w:bCs/>
          <w:color w:val="auto"/>
          <w:sz w:val="24"/>
          <w:szCs w:val="24"/>
          <w:highlight w:val="none"/>
          <w:u w:val="dotted"/>
        </w:rPr>
        <w:t xml:space="preserve">                                                                                                        </w:t>
      </w:r>
    </w:p>
    <w:p>
      <w:pPr>
        <w:shd w:val="clear" w:color="000000" w:fill="auto"/>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34016" behindDoc="0" locked="0" layoutInCell="1" allowOverlap="1">
                <wp:simplePos x="0" y="0"/>
                <wp:positionH relativeFrom="column">
                  <wp:posOffset>-114300</wp:posOffset>
                </wp:positionH>
                <wp:positionV relativeFrom="paragraph">
                  <wp:posOffset>49530</wp:posOffset>
                </wp:positionV>
                <wp:extent cx="914400" cy="430530"/>
                <wp:effectExtent l="0" t="0" r="0" b="0"/>
                <wp:wrapNone/>
                <wp:docPr id="74" name="文本框 75"/>
                <wp:cNvGraphicFramePr/>
                <a:graphic xmlns:a="http://schemas.openxmlformats.org/drawingml/2006/main">
                  <a:graphicData uri="http://schemas.microsoft.com/office/word/2010/wordprocessingShape">
                    <wps:wsp>
                      <wps:cNvSpPr txBox="1"/>
                      <wps:spPr>
                        <a:xfrm>
                          <a:off x="0" y="0"/>
                          <a:ext cx="914400" cy="43053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承包人执行监理工程师指令</w:t>
                            </w:r>
                          </w:p>
                        </w:txbxContent>
                      </wps:txbx>
                      <wps:bodyPr upright="1"/>
                    </wps:wsp>
                  </a:graphicData>
                </a:graphic>
              </wp:anchor>
            </w:drawing>
          </mc:Choice>
          <mc:Fallback>
            <w:pict>
              <v:shape id="文本框 75" o:spid="_x0000_s1026" o:spt="202" type="#_x0000_t202" style="position:absolute;left:0pt;margin-left:-9pt;margin-top:3.9pt;height:33.9pt;width:72pt;z-index:251734016;mso-width-relative:page;mso-height-relative:page;" filled="f" stroked="f" coordsize="21600,21600" o:gfxdata="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JWd8frUAAAA&#10;CAEAAA8AAAAAAAAAAQAgAAAAIgAAAGRycy9kb3ducmV2LnhtbFBLAQIUABQAAAAIAIdO4kDccLDd&#10;rwEAAE8DAAAOAAAAAAAAAAEAIAAAACMBAABkcnMvZTJvRG9jLnhtbFBLBQYAAAAABgAGAFkBAABE&#10;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承包人执行监理工程师指令</w:t>
                      </w:r>
                    </w:p>
                  </w:txbxContent>
                </v:textbox>
              </v:shape>
            </w:pict>
          </mc:Fallback>
        </mc:AlternateContent>
      </w:r>
      <w:r>
        <w:rPr>
          <w:rFonts w:hint="eastAsia" w:ascii="仿宋" w:hAnsi="仿宋" w:eastAsia="仿宋" w:cs="仿宋"/>
          <w:color w:val="auto"/>
          <w:sz w:val="24"/>
          <w:szCs w:val="24"/>
          <w:highlight w:val="none"/>
        </w:rPr>
        <w:t>如果承包人认为监理工程师的指令不合理，应在收到指令后</w:t>
      </w:r>
      <w:r>
        <w:rPr>
          <w:rFonts w:ascii="仿宋" w:hAnsi="仿宋" w:eastAsia="仿宋" w:cs="仿宋"/>
          <w:color w:val="auto"/>
          <w:sz w:val="24"/>
          <w:szCs w:val="24"/>
          <w:highlight w:val="none"/>
        </w:rPr>
        <w:t>24</w:t>
      </w:r>
      <w:r>
        <w:rPr>
          <w:rFonts w:hint="eastAsia" w:ascii="仿宋" w:hAnsi="仿宋" w:eastAsia="仿宋" w:cs="仿宋"/>
          <w:color w:val="auto"/>
          <w:sz w:val="24"/>
          <w:szCs w:val="24"/>
          <w:highlight w:val="none"/>
        </w:rPr>
        <w:t>小时内向监理工程师提出书面报告，监理工程师应在收到承包人报告后</w:t>
      </w:r>
      <w:r>
        <w:rPr>
          <w:rFonts w:ascii="仿宋" w:hAnsi="仿宋" w:eastAsia="仿宋" w:cs="仿宋"/>
          <w:color w:val="auto"/>
          <w:sz w:val="24"/>
          <w:szCs w:val="24"/>
          <w:highlight w:val="none"/>
        </w:rPr>
        <w:t>24</w:t>
      </w:r>
      <w:r>
        <w:rPr>
          <w:rFonts w:hint="eastAsia" w:ascii="仿宋" w:hAnsi="仿宋" w:eastAsia="仿宋" w:cs="仿宋"/>
          <w:color w:val="auto"/>
          <w:sz w:val="24"/>
          <w:szCs w:val="24"/>
          <w:highlight w:val="none"/>
        </w:rPr>
        <w:t>小时内做出修改指令或继续执行原指令的决定，并书面通知承包人。逾期不做出决定的，承包人可不执行监理工程师的指令。</w:t>
      </w:r>
    </w:p>
    <w:p>
      <w:pPr>
        <w:shd w:val="clear" w:color="000000" w:fill="auto"/>
        <w:spacing w:line="360" w:lineRule="auto"/>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23.6</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shd w:val="clear" w:color="000000" w:fill="auto"/>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35040" behindDoc="0" locked="0" layoutInCell="1" allowOverlap="1">
                <wp:simplePos x="0" y="0"/>
                <wp:positionH relativeFrom="column">
                  <wp:posOffset>-114300</wp:posOffset>
                </wp:positionH>
                <wp:positionV relativeFrom="paragraph">
                  <wp:posOffset>21590</wp:posOffset>
                </wp:positionV>
                <wp:extent cx="914400" cy="443230"/>
                <wp:effectExtent l="0" t="0" r="0" b="0"/>
                <wp:wrapNone/>
                <wp:docPr id="75" name="文本框 76"/>
                <wp:cNvGraphicFramePr/>
                <a:graphic xmlns:a="http://schemas.openxmlformats.org/drawingml/2006/main">
                  <a:graphicData uri="http://schemas.microsoft.com/office/word/2010/wordprocessingShape">
                    <wps:wsp>
                      <wps:cNvSpPr txBox="1"/>
                      <wps:spPr>
                        <a:xfrm>
                          <a:off x="0" y="0"/>
                          <a:ext cx="914400" cy="44323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监理工程师职权委托</w:t>
                            </w:r>
                          </w:p>
                        </w:txbxContent>
                      </wps:txbx>
                      <wps:bodyPr upright="1"/>
                    </wps:wsp>
                  </a:graphicData>
                </a:graphic>
              </wp:anchor>
            </w:drawing>
          </mc:Choice>
          <mc:Fallback>
            <w:pict>
              <v:shape id="文本框 76" o:spid="_x0000_s1026" o:spt="202" type="#_x0000_t202" style="position:absolute;left:0pt;margin-left:-9pt;margin-top:1.7pt;height:34.9pt;width:72pt;z-index:251735040;mso-width-relative:page;mso-height-relative:page;" filled="f" stroked="f" coordsize="21600,21600" o:gfxdata="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pLIZsdYA&#10;AAAIAQAADwAAAAAAAAABACAAAAAiAAAAZHJzL2Rvd25yZXYueG1sUEsBAhQAFAAAAAgAh07iQBmN&#10;6jOvAQAATwMAAA4AAAAAAAAAAQAgAAAAJQEAAGRycy9lMm9Eb2MueG1sUEsFBgAAAAAGAAYAWQEA&#10;AEY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监理工程师职权委托</w:t>
                      </w:r>
                    </w:p>
                  </w:txbxContent>
                </v:textbox>
              </v:shape>
            </w:pict>
          </mc:Fallback>
        </mc:AlternateContent>
      </w:r>
      <w:r>
        <w:rPr>
          <w:rFonts w:hint="eastAsia" w:ascii="仿宋" w:hAnsi="仿宋" w:eastAsia="仿宋" w:cs="仿宋"/>
          <w:color w:val="auto"/>
          <w:sz w:val="24"/>
          <w:szCs w:val="24"/>
          <w:highlight w:val="none"/>
        </w:rPr>
        <w:t>监理工程师可按照第</w:t>
      </w:r>
      <w:r>
        <w:rPr>
          <w:rFonts w:ascii="仿宋" w:hAnsi="仿宋" w:eastAsia="仿宋" w:cs="仿宋"/>
          <w:color w:val="auto"/>
          <w:sz w:val="24"/>
          <w:szCs w:val="24"/>
          <w:highlight w:val="none"/>
        </w:rPr>
        <w:t>21.3</w:t>
      </w:r>
      <w:r>
        <w:rPr>
          <w:rFonts w:hint="eastAsia" w:ascii="仿宋" w:hAnsi="仿宋" w:eastAsia="仿宋" w:cs="仿宋"/>
          <w:color w:val="auto"/>
          <w:sz w:val="24"/>
          <w:szCs w:val="24"/>
          <w:highlight w:val="none"/>
        </w:rPr>
        <w:t>款规定授权给其任命的监理工程师代表，亦可将其授权撤回。监理工程师代表行使监理工程师授予的职权，对监理工程师负责。监理工程师代表在监理工程师授予职权范围内工作，监理工程师应予认可，但监理工程师保留因监理工程师代表未反对合同工程的工程质量检查、材料和工程设备使用等工作的错误而否定该类工作，并发出纠正指令的权力。未按照第</w:t>
      </w:r>
      <w:r>
        <w:rPr>
          <w:rFonts w:ascii="仿宋" w:hAnsi="仿宋" w:eastAsia="仿宋" w:cs="仿宋"/>
          <w:color w:val="auto"/>
          <w:sz w:val="24"/>
          <w:szCs w:val="24"/>
          <w:highlight w:val="none"/>
        </w:rPr>
        <w:t>21.3</w:t>
      </w:r>
      <w:r>
        <w:rPr>
          <w:rFonts w:hint="eastAsia" w:ascii="仿宋" w:hAnsi="仿宋" w:eastAsia="仿宋" w:cs="仿宋"/>
          <w:color w:val="auto"/>
          <w:sz w:val="24"/>
          <w:szCs w:val="24"/>
          <w:highlight w:val="none"/>
        </w:rPr>
        <w:t>款规定，任何此类任命或撤回均为无效。</w:t>
      </w:r>
    </w:p>
    <w:p>
      <w:pPr>
        <w:shd w:val="clear" w:color="000000" w:fill="auto"/>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23.7  </w:t>
      </w:r>
      <w:r>
        <w:rPr>
          <w:rFonts w:ascii="仿宋" w:hAnsi="仿宋" w:eastAsia="仿宋" w:cs="仿宋"/>
          <w:b/>
          <w:bCs/>
          <w:color w:val="auto"/>
          <w:sz w:val="24"/>
          <w:szCs w:val="24"/>
          <w:highlight w:val="none"/>
          <w:u w:val="dotted"/>
        </w:rPr>
        <w:t xml:space="preserve">                                                                                                        </w:t>
      </w:r>
    </w:p>
    <w:p>
      <w:pPr>
        <w:shd w:val="clear" w:color="000000" w:fill="auto"/>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36064" behindDoc="0" locked="0" layoutInCell="1" allowOverlap="1">
                <wp:simplePos x="0" y="0"/>
                <wp:positionH relativeFrom="column">
                  <wp:posOffset>-114300</wp:posOffset>
                </wp:positionH>
                <wp:positionV relativeFrom="paragraph">
                  <wp:posOffset>29210</wp:posOffset>
                </wp:positionV>
                <wp:extent cx="914400" cy="610870"/>
                <wp:effectExtent l="0" t="0" r="0" b="0"/>
                <wp:wrapNone/>
                <wp:docPr id="76" name="文本框 77"/>
                <wp:cNvGraphicFramePr/>
                <a:graphic xmlns:a="http://schemas.openxmlformats.org/drawingml/2006/main">
                  <a:graphicData uri="http://schemas.microsoft.com/office/word/2010/wordprocessingShape">
                    <wps:wsp>
                      <wps:cNvSpPr txBox="1"/>
                      <wps:spPr>
                        <a:xfrm>
                          <a:off x="0" y="0"/>
                          <a:ext cx="914400" cy="61087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监理工程师未尽义务或失误的责任</w:t>
                            </w:r>
                          </w:p>
                        </w:txbxContent>
                      </wps:txbx>
                      <wps:bodyPr upright="1"/>
                    </wps:wsp>
                  </a:graphicData>
                </a:graphic>
              </wp:anchor>
            </w:drawing>
          </mc:Choice>
          <mc:Fallback>
            <w:pict>
              <v:shape id="文本框 77" o:spid="_x0000_s1026" o:spt="202" type="#_x0000_t202" style="position:absolute;left:0pt;margin-left:-9pt;margin-top:2.3pt;height:48.1pt;width:72pt;z-index:251736064;mso-width-relative:page;mso-height-relative:page;" filled="f" stroked="f" coordsize="21600,21600" o:gfxdata="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46hzP1gAA&#10;AAkBAAAPAAAAAAAAAAEAIAAAACIAAABkcnMvZG93bnJldi54bWxQSwECFAAUAAAACACHTuJA5ni1&#10;AK4BAABPAwAADgAAAAAAAAABACAAAAAlAQAAZHJzL2Uyb0RvYy54bWxQSwUGAAAAAAYABgBZAQAA&#10;R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监理工程师未尽义务或失误的责任</w:t>
                      </w:r>
                    </w:p>
                  </w:txbxContent>
                </v:textbox>
              </v:shape>
            </w:pict>
          </mc:Fallback>
        </mc:AlternateContent>
      </w:r>
      <w:r>
        <w:rPr>
          <w:rFonts w:hint="eastAsia" w:ascii="仿宋" w:hAnsi="仿宋" w:eastAsia="仿宋" w:cs="仿宋"/>
          <w:color w:val="auto"/>
          <w:sz w:val="24"/>
          <w:szCs w:val="24"/>
          <w:highlight w:val="none"/>
        </w:rPr>
        <w:t>监理工程师（含其代表）未能正确完成本合同约定的全部义务，或工作出现失误，导致费用的增加和（或）延误的工期，由发包人承担；给承包人造成损失的，发包人应予赔偿。</w:t>
      </w:r>
    </w:p>
    <w:p>
      <w:pPr>
        <w:shd w:val="clear" w:color="000000" w:fill="auto"/>
        <w:tabs>
          <w:tab w:val="left" w:pos="1260"/>
        </w:tabs>
        <w:spacing w:line="360" w:lineRule="auto"/>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5"/>
        <w:numPr>
          <w:ilvl w:val="0"/>
          <w:numId w:val="0"/>
        </w:numPr>
        <w:shd w:val="clear" w:color="000000" w:fill="auto"/>
        <w:tabs>
          <w:tab w:val="left" w:pos="420"/>
        </w:tabs>
        <w:ind w:left="720"/>
        <w:rPr>
          <w:rFonts w:ascii="仿宋" w:hAnsi="仿宋" w:eastAsia="仿宋"/>
          <w:color w:val="auto"/>
          <w:sz w:val="24"/>
          <w:szCs w:val="24"/>
          <w:highlight w:val="none"/>
        </w:rPr>
      </w:pPr>
      <w:bookmarkStart w:id="184" w:name="_Toc10624844"/>
      <w:bookmarkStart w:id="185" w:name="_Toc23632"/>
      <w:bookmarkStart w:id="186" w:name="_Toc469384004"/>
      <w:r>
        <w:rPr>
          <w:rFonts w:ascii="仿宋" w:hAnsi="仿宋" w:eastAsia="仿宋" w:cs="仿宋"/>
          <w:color w:val="auto"/>
          <w:sz w:val="24"/>
          <w:szCs w:val="24"/>
          <w:highlight w:val="none"/>
        </w:rPr>
        <w:t xml:space="preserve">24  </w:t>
      </w:r>
      <w:r>
        <w:rPr>
          <w:rFonts w:hint="eastAsia" w:ascii="仿宋" w:hAnsi="仿宋" w:eastAsia="仿宋" w:cs="仿宋"/>
          <w:color w:val="auto"/>
          <w:sz w:val="24"/>
          <w:szCs w:val="24"/>
          <w:highlight w:val="none"/>
        </w:rPr>
        <w:t>造价工程师</w:t>
      </w:r>
      <w:bookmarkEnd w:id="184"/>
      <w:bookmarkEnd w:id="185"/>
      <w:bookmarkEnd w:id="186"/>
    </w:p>
    <w:p>
      <w:pPr>
        <w:shd w:val="clear" w:color="000000" w:fill="auto"/>
        <w:tabs>
          <w:tab w:val="left" w:pos="1260"/>
        </w:tabs>
        <w:spacing w:line="400" w:lineRule="exact"/>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24.1                                                   </w:t>
      </w:r>
    </w:p>
    <w:p>
      <w:pPr>
        <w:pStyle w:val="33"/>
        <w:shd w:val="clear" w:color="000000" w:fill="auto"/>
        <w:tabs>
          <w:tab w:val="left" w:pos="1260"/>
          <w:tab w:val="left" w:pos="1620"/>
        </w:tabs>
        <w:ind w:left="1619" w:leftChars="771"/>
        <w:rPr>
          <w:rFonts w:ascii="仿宋" w:hAnsi="仿宋" w:eastAsia="仿宋"/>
          <w:color w:val="auto"/>
          <w:highlight w:val="none"/>
        </w:rPr>
      </w:pPr>
      <w:r>
        <w:rPr>
          <w:color w:val="auto"/>
          <w:highlight w:val="none"/>
        </w:rPr>
        <mc:AlternateContent>
          <mc:Choice Requires="wps">
            <w:drawing>
              <wp:anchor distT="0" distB="0" distL="114300" distR="114300" simplePos="0" relativeHeight="251737088" behindDoc="0" locked="0" layoutInCell="1" allowOverlap="1">
                <wp:simplePos x="0" y="0"/>
                <wp:positionH relativeFrom="column">
                  <wp:posOffset>-114300</wp:posOffset>
                </wp:positionH>
                <wp:positionV relativeFrom="paragraph">
                  <wp:posOffset>45720</wp:posOffset>
                </wp:positionV>
                <wp:extent cx="914400" cy="449580"/>
                <wp:effectExtent l="0" t="0" r="0" b="0"/>
                <wp:wrapNone/>
                <wp:docPr id="77" name="文本框 78"/>
                <wp:cNvGraphicFramePr/>
                <a:graphic xmlns:a="http://schemas.openxmlformats.org/drawingml/2006/main">
                  <a:graphicData uri="http://schemas.microsoft.com/office/word/2010/wordprocessingShape">
                    <wps:wsp>
                      <wps:cNvSpPr txBox="1"/>
                      <wps:spPr>
                        <a:xfrm>
                          <a:off x="0" y="0"/>
                          <a:ext cx="914400" cy="44958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发包人对造价工程师授权</w:t>
                            </w:r>
                          </w:p>
                        </w:txbxContent>
                      </wps:txbx>
                      <wps:bodyPr upright="1"/>
                    </wps:wsp>
                  </a:graphicData>
                </a:graphic>
              </wp:anchor>
            </w:drawing>
          </mc:Choice>
          <mc:Fallback>
            <w:pict>
              <v:shape id="文本框 78" o:spid="_x0000_s1026" o:spt="202" type="#_x0000_t202" style="position:absolute;left:0pt;margin-left:-9pt;margin-top:3.6pt;height:35.4pt;width:72pt;z-index:251737088;mso-width-relative:page;mso-height-relative:page;" filled="f" stroked="f" coordsize="21600,21600" o:gfxdata="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bo5MUNMAAAAI&#10;AQAADwAAAAAAAAABACAAAAAiAAAAZHJzL2Rvd25yZXYueG1sUEsBAhQAFAAAAAgAh07iQL0onQCv&#10;AQAATwMAAA4AAAAAAAAAAQAgAAAAIgEAAGRycy9lMm9Eb2MueG1sUEsFBgAAAAAGAAYAWQEAAEMF&#10;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发包人对造价工程师授权</w:t>
                      </w:r>
                    </w:p>
                  </w:txbxContent>
                </v:textbox>
              </v:shape>
            </w:pict>
          </mc:Fallback>
        </mc:AlternateContent>
      </w:r>
      <w:r>
        <w:rPr>
          <w:rFonts w:hint="eastAsia" w:ascii="仿宋" w:hAnsi="仿宋" w:eastAsia="仿宋" w:cs="仿宋"/>
          <w:color w:val="auto"/>
          <w:highlight w:val="none"/>
        </w:rPr>
        <w:t>发包人应在专用条款中写明负责合同工程造价专业技术的工程造价咨询人（如有）名称和造价工程师具体人选，并在开工前将造价工程师任命书以书面形式通知承包人，授予其代表发包人履行合同规定职责所需的权力。</w:t>
      </w:r>
    </w:p>
    <w:p>
      <w:pPr>
        <w:shd w:val="clear" w:color="000000" w:fill="auto"/>
        <w:tabs>
          <w:tab w:val="left" w:pos="1260"/>
        </w:tabs>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24.2  </w:t>
      </w:r>
      <w:r>
        <w:rPr>
          <w:rFonts w:ascii="仿宋" w:hAnsi="仿宋" w:eastAsia="仿宋" w:cs="仿宋"/>
          <w:b/>
          <w:bCs/>
          <w:color w:val="auto"/>
          <w:sz w:val="24"/>
          <w:szCs w:val="24"/>
          <w:highlight w:val="none"/>
          <w:u w:val="dotted"/>
        </w:rPr>
        <w:t xml:space="preserve">                                                                                                        </w:t>
      </w:r>
    </w:p>
    <w:p>
      <w:pPr>
        <w:shd w:val="clear" w:color="000000" w:fill="auto"/>
        <w:tabs>
          <w:tab w:val="left" w:pos="1260"/>
        </w:tabs>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38112" behindDoc="0" locked="0" layoutInCell="1" allowOverlap="1">
                <wp:simplePos x="0" y="0"/>
                <wp:positionH relativeFrom="column">
                  <wp:posOffset>-114300</wp:posOffset>
                </wp:positionH>
                <wp:positionV relativeFrom="paragraph">
                  <wp:posOffset>-1270</wp:posOffset>
                </wp:positionV>
                <wp:extent cx="914400" cy="427990"/>
                <wp:effectExtent l="0" t="0" r="0" b="0"/>
                <wp:wrapNone/>
                <wp:docPr id="78" name="文本框 79"/>
                <wp:cNvGraphicFramePr/>
                <a:graphic xmlns:a="http://schemas.openxmlformats.org/drawingml/2006/main">
                  <a:graphicData uri="http://schemas.microsoft.com/office/word/2010/wordprocessingShape">
                    <wps:wsp>
                      <wps:cNvSpPr txBox="1"/>
                      <wps:spPr>
                        <a:xfrm>
                          <a:off x="0" y="0"/>
                          <a:ext cx="914400" cy="42799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造价工程师职权</w:t>
                            </w:r>
                          </w:p>
                        </w:txbxContent>
                      </wps:txbx>
                      <wps:bodyPr upright="1"/>
                    </wps:wsp>
                  </a:graphicData>
                </a:graphic>
              </wp:anchor>
            </w:drawing>
          </mc:Choice>
          <mc:Fallback>
            <w:pict>
              <v:shape id="文本框 79" o:spid="_x0000_s1026" o:spt="202" type="#_x0000_t202" style="position:absolute;left:0pt;margin-left:-9pt;margin-top:-0.1pt;height:33.7pt;width:72pt;z-index:251738112;mso-width-relative:page;mso-height-relative:page;" filled="f" stroked="f" coordsize="21600,21600" o:gfxdata="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JyitqPVAAAA&#10;CAEAAA8AAAAAAAAAAQAgAAAAIgAAAGRycy9kb3ducmV2LnhtbFBLAQIUABQAAAAIAIdO4kBBOrc2&#10;rgEAAE8DAAAOAAAAAAAAAAEAIAAAACQBAABkcnMvZTJvRG9jLnhtbFBLBQYAAAAABgAGAFkBAABE&#10;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造价工程师职权</w:t>
                      </w:r>
                    </w:p>
                  </w:txbxContent>
                </v:textbox>
              </v:shape>
            </w:pict>
          </mc:Fallback>
        </mc:AlternateContent>
      </w:r>
      <w:r>
        <w:rPr>
          <w:rFonts w:hint="eastAsia" w:ascii="仿宋" w:hAnsi="仿宋" w:eastAsia="仿宋" w:cs="仿宋"/>
          <w:color w:val="auto"/>
          <w:sz w:val="24"/>
          <w:szCs w:val="24"/>
          <w:highlight w:val="none"/>
        </w:rPr>
        <w:t>造价工程师行使合同明文规定和必然隐含的职权，代表发包人负责工程计量和计价，工程进度款的调整和核实，结算价款的编制、调整和复核，签发支付证书，及时向承包人提供合同价款的核实、调整和通知等指令。造价工程师无权免除或变更合同规定的合同任何一方当事人在合同履行期间的权力、义务和责任。</w:t>
      </w:r>
    </w:p>
    <w:p>
      <w:pPr>
        <w:shd w:val="clear" w:color="000000" w:fill="auto"/>
        <w:tabs>
          <w:tab w:val="left" w:pos="1260"/>
        </w:tabs>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24.3  </w:t>
      </w:r>
      <w:r>
        <w:rPr>
          <w:rFonts w:ascii="仿宋" w:hAnsi="仿宋" w:eastAsia="仿宋" w:cs="仿宋"/>
          <w:b/>
          <w:bCs/>
          <w:color w:val="auto"/>
          <w:sz w:val="24"/>
          <w:szCs w:val="24"/>
          <w:highlight w:val="none"/>
          <w:u w:val="dotted"/>
        </w:rPr>
        <w:t xml:space="preserve">                                                                                                        </w:t>
      </w:r>
    </w:p>
    <w:p>
      <w:pPr>
        <w:shd w:val="clear" w:color="000000" w:fill="auto"/>
        <w:tabs>
          <w:tab w:val="left" w:pos="1260"/>
        </w:tabs>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39136" behindDoc="0" locked="0" layoutInCell="1" allowOverlap="1">
                <wp:simplePos x="0" y="0"/>
                <wp:positionH relativeFrom="column">
                  <wp:posOffset>-114300</wp:posOffset>
                </wp:positionH>
                <wp:positionV relativeFrom="paragraph">
                  <wp:posOffset>0</wp:posOffset>
                </wp:positionV>
                <wp:extent cx="914400" cy="510540"/>
                <wp:effectExtent l="0" t="0" r="0" b="0"/>
                <wp:wrapNone/>
                <wp:docPr id="79" name="文本框 80"/>
                <wp:cNvGraphicFramePr/>
                <a:graphic xmlns:a="http://schemas.openxmlformats.org/drawingml/2006/main">
                  <a:graphicData uri="http://schemas.microsoft.com/office/word/2010/wordprocessingShape">
                    <wps:wsp>
                      <wps:cNvSpPr txBox="1"/>
                      <wps:spPr>
                        <a:xfrm>
                          <a:off x="0" y="0"/>
                          <a:ext cx="914400" cy="5105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造价工程师职权限制</w:t>
                            </w:r>
                          </w:p>
                        </w:txbxContent>
                      </wps:txbx>
                      <wps:bodyPr upright="1"/>
                    </wps:wsp>
                  </a:graphicData>
                </a:graphic>
              </wp:anchor>
            </w:drawing>
          </mc:Choice>
          <mc:Fallback>
            <w:pict>
              <v:shape id="文本框 80" o:spid="_x0000_s1026" o:spt="202" type="#_x0000_t202" style="position:absolute;left:0pt;margin-left:-9pt;margin-top:0pt;height:40.2pt;width:72pt;z-index:251739136;mso-width-relative:page;mso-height-relative:page;" filled="f" stroked="f" coordsize="21600,21600" o:gfxdata="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u7y521AAAAAcB&#10;AAAPAAAAAAAAAAEAIAAAACIAAABkcnMvZG93bnJldi54bWxQSwECFAAUAAAACACHTuJAvCSTza0B&#10;AABPAwAADgAAAAAAAAABACAAAAAjAQAAZHJzL2Uyb0RvYy54bWxQSwUGAAAAAAYABgBZAQAAQgUA&#10;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造价工程师职权限制</w:t>
                      </w:r>
                    </w:p>
                  </w:txbxContent>
                </v:textbox>
              </v:shape>
            </w:pict>
          </mc:Fallback>
        </mc:AlternateContent>
      </w:r>
      <w:r>
        <w:rPr>
          <w:rFonts w:hint="eastAsia" w:ascii="仿宋" w:hAnsi="仿宋" w:eastAsia="仿宋" w:cs="仿宋"/>
          <w:color w:val="auto"/>
          <w:sz w:val="24"/>
          <w:szCs w:val="24"/>
          <w:highlight w:val="none"/>
        </w:rPr>
        <w:t>除属于第</w:t>
      </w:r>
      <w:r>
        <w:rPr>
          <w:rFonts w:ascii="仿宋" w:hAnsi="仿宋" w:eastAsia="仿宋" w:cs="仿宋"/>
          <w:color w:val="auto"/>
          <w:sz w:val="24"/>
          <w:szCs w:val="24"/>
          <w:highlight w:val="none"/>
        </w:rPr>
        <w:t>86</w:t>
      </w:r>
      <w:r>
        <w:rPr>
          <w:rFonts w:hint="eastAsia" w:ascii="仿宋" w:hAnsi="仿宋" w:eastAsia="仿宋" w:cs="仿宋"/>
          <w:color w:val="auto"/>
          <w:sz w:val="24"/>
          <w:szCs w:val="24"/>
          <w:highlight w:val="none"/>
        </w:rPr>
        <w:t>条规定的争议外，造价工程师在职权范围内的工作，发包人应予认可，但下列事件应事先取得发包人的专项批准：</w:t>
      </w:r>
    </w:p>
    <w:p>
      <w:pPr>
        <w:numPr>
          <w:ilvl w:val="0"/>
          <w:numId w:val="7"/>
        </w:numPr>
        <w:shd w:val="clear" w:color="000000" w:fill="auto"/>
        <w:tabs>
          <w:tab w:val="left" w:pos="2160"/>
        </w:tabs>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63</w:t>
      </w:r>
      <w:r>
        <w:rPr>
          <w:rFonts w:hint="eastAsia" w:ascii="仿宋" w:hAnsi="仿宋" w:eastAsia="仿宋" w:cs="仿宋"/>
          <w:color w:val="auto"/>
          <w:sz w:val="24"/>
          <w:szCs w:val="24"/>
          <w:highlight w:val="none"/>
        </w:rPr>
        <w:t>条规定使用暂列金额；</w:t>
      </w:r>
    </w:p>
    <w:p>
      <w:pPr>
        <w:numPr>
          <w:ilvl w:val="0"/>
          <w:numId w:val="7"/>
        </w:numPr>
        <w:shd w:val="clear" w:color="000000" w:fill="auto"/>
        <w:tabs>
          <w:tab w:val="left" w:pos="2160"/>
        </w:tabs>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64</w:t>
      </w:r>
      <w:r>
        <w:rPr>
          <w:rFonts w:hint="eastAsia" w:ascii="仿宋" w:hAnsi="仿宋" w:eastAsia="仿宋" w:cs="仿宋"/>
          <w:color w:val="auto"/>
          <w:sz w:val="24"/>
          <w:szCs w:val="24"/>
          <w:highlight w:val="none"/>
        </w:rPr>
        <w:t>条规定使用计日工；</w:t>
      </w:r>
    </w:p>
    <w:p>
      <w:pPr>
        <w:numPr>
          <w:ilvl w:val="0"/>
          <w:numId w:val="7"/>
        </w:numPr>
        <w:shd w:val="clear" w:color="000000" w:fill="auto"/>
        <w:tabs>
          <w:tab w:val="left" w:pos="2160"/>
        </w:tabs>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65</w:t>
      </w:r>
      <w:r>
        <w:rPr>
          <w:rFonts w:hint="eastAsia" w:ascii="仿宋" w:hAnsi="仿宋" w:eastAsia="仿宋" w:cs="仿宋"/>
          <w:color w:val="auto"/>
          <w:sz w:val="24"/>
          <w:szCs w:val="24"/>
          <w:highlight w:val="none"/>
        </w:rPr>
        <w:t>条规定使用暂估价；</w:t>
      </w:r>
    </w:p>
    <w:p>
      <w:pPr>
        <w:numPr>
          <w:ilvl w:val="0"/>
          <w:numId w:val="7"/>
        </w:numPr>
        <w:shd w:val="clear" w:color="000000" w:fill="auto"/>
        <w:tabs>
          <w:tab w:val="left" w:pos="2160"/>
        </w:tabs>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66</w:t>
      </w:r>
      <w:r>
        <w:rPr>
          <w:rFonts w:hint="eastAsia" w:ascii="仿宋" w:hAnsi="仿宋" w:eastAsia="仿宋" w:cs="仿宋"/>
          <w:color w:val="auto"/>
          <w:sz w:val="24"/>
          <w:szCs w:val="24"/>
          <w:highlight w:val="none"/>
        </w:rPr>
        <w:t>条确定的提前竣工奖与误期赔偿费；</w:t>
      </w:r>
    </w:p>
    <w:p>
      <w:pPr>
        <w:numPr>
          <w:ilvl w:val="0"/>
          <w:numId w:val="7"/>
        </w:numPr>
        <w:shd w:val="clear" w:color="000000" w:fill="auto"/>
        <w:tabs>
          <w:tab w:val="left" w:pos="2160"/>
        </w:tabs>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67</w:t>
      </w:r>
      <w:r>
        <w:rPr>
          <w:rFonts w:hint="eastAsia" w:ascii="仿宋" w:hAnsi="仿宋" w:eastAsia="仿宋" w:cs="仿宋"/>
          <w:color w:val="auto"/>
          <w:sz w:val="24"/>
          <w:szCs w:val="24"/>
          <w:highlight w:val="none"/>
        </w:rPr>
        <w:t>条确定的工程优质费；</w:t>
      </w:r>
    </w:p>
    <w:p>
      <w:pPr>
        <w:numPr>
          <w:ilvl w:val="0"/>
          <w:numId w:val="7"/>
        </w:numPr>
        <w:shd w:val="clear" w:color="000000" w:fill="auto"/>
        <w:tabs>
          <w:tab w:val="left" w:pos="2160"/>
        </w:tabs>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68.2</w:t>
      </w:r>
      <w:r>
        <w:rPr>
          <w:rFonts w:hint="eastAsia" w:ascii="仿宋" w:hAnsi="仿宋" w:eastAsia="仿宋" w:cs="仿宋"/>
          <w:color w:val="auto"/>
          <w:sz w:val="24"/>
          <w:szCs w:val="24"/>
          <w:highlight w:val="none"/>
        </w:rPr>
        <w:t>款规定事件调整的合同价款；</w:t>
      </w:r>
    </w:p>
    <w:p>
      <w:pPr>
        <w:numPr>
          <w:ilvl w:val="0"/>
          <w:numId w:val="7"/>
        </w:numPr>
        <w:shd w:val="clear" w:color="000000" w:fill="auto"/>
        <w:tabs>
          <w:tab w:val="left" w:pos="2160"/>
        </w:tabs>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专用条款约定需要发包人批准的其他事项。</w:t>
      </w:r>
    </w:p>
    <w:p>
      <w:pPr>
        <w:shd w:val="clear" w:color="000000" w:fill="auto"/>
        <w:spacing w:line="400" w:lineRule="exact"/>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24.4  </w:t>
      </w:r>
      <w:r>
        <w:rPr>
          <w:rFonts w:ascii="仿宋" w:hAnsi="仿宋" w:eastAsia="仿宋" w:cs="仿宋"/>
          <w:b/>
          <w:bCs/>
          <w:color w:val="auto"/>
          <w:sz w:val="24"/>
          <w:szCs w:val="24"/>
          <w:highlight w:val="none"/>
          <w:u w:val="dotted"/>
        </w:rPr>
        <w:t xml:space="preserve">                                                                                                        </w:t>
      </w:r>
    </w:p>
    <w:p>
      <w:pPr>
        <w:shd w:val="clear" w:color="000000" w:fill="auto"/>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40160" behindDoc="0" locked="0" layoutInCell="1" allowOverlap="1">
                <wp:simplePos x="0" y="0"/>
                <wp:positionH relativeFrom="column">
                  <wp:posOffset>-114300</wp:posOffset>
                </wp:positionH>
                <wp:positionV relativeFrom="paragraph">
                  <wp:posOffset>0</wp:posOffset>
                </wp:positionV>
                <wp:extent cx="1092200" cy="434340"/>
                <wp:effectExtent l="0" t="0" r="0" b="0"/>
                <wp:wrapNone/>
                <wp:docPr id="80" name="文本框 81"/>
                <wp:cNvGraphicFramePr/>
                <a:graphic xmlns:a="http://schemas.openxmlformats.org/drawingml/2006/main">
                  <a:graphicData uri="http://schemas.microsoft.com/office/word/2010/wordprocessingShape">
                    <wps:wsp>
                      <wps:cNvSpPr txBox="1"/>
                      <wps:spPr>
                        <a:xfrm>
                          <a:off x="0" y="0"/>
                          <a:ext cx="1092200" cy="4343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造价工程师指</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令</w:t>
                            </w:r>
                          </w:p>
                        </w:txbxContent>
                      </wps:txbx>
                      <wps:bodyPr upright="1"/>
                    </wps:wsp>
                  </a:graphicData>
                </a:graphic>
              </wp:anchor>
            </w:drawing>
          </mc:Choice>
          <mc:Fallback>
            <w:pict>
              <v:shape id="文本框 81" o:spid="_x0000_s1026" o:spt="202" type="#_x0000_t202" style="position:absolute;left:0pt;margin-left:-9pt;margin-top:0pt;height:34.2pt;width:86pt;z-index:251740160;mso-width-relative:page;mso-height-relative:page;" filled="f" stroked="f" coordsize="21600,21600" o:gfxdata="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BrxjfJ1QAAAAcB&#10;AAAPAAAAAAAAAAEAIAAAACIAAABkcnMvZG93bnJldi54bWxQSwECFAAUAAAACACHTuJA5xgtGawB&#10;AABQAwAADgAAAAAAAAABACAAAAAkAQAAZHJzL2Uyb0RvYy54bWxQSwUGAAAAAAYABgBZAQAAQgUA&#10;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造价工程师指</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令</w:t>
                      </w:r>
                    </w:p>
                  </w:txbxContent>
                </v:textbox>
              </v:shape>
            </w:pict>
          </mc:Fallback>
        </mc:AlternateContent>
      </w:r>
      <w:r>
        <w:rPr>
          <w:rFonts w:hint="eastAsia" w:ascii="仿宋" w:hAnsi="仿宋" w:eastAsia="仿宋" w:cs="仿宋"/>
          <w:color w:val="auto"/>
          <w:sz w:val="24"/>
          <w:szCs w:val="24"/>
          <w:highlight w:val="none"/>
        </w:rPr>
        <w:t>造价工程师应按照合同约定时间向承包人提供实施合同工程的工程造价工作所需的核实、调整和通知等指令。</w:t>
      </w:r>
    </w:p>
    <w:p>
      <w:pPr>
        <w:shd w:val="clear" w:color="000000" w:fill="auto"/>
        <w:tabs>
          <w:tab w:val="left" w:pos="1260"/>
        </w:tabs>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造价工程师提供的指令，均应采用书面形式。在紧急情况下，造价工程师可发出口头指令，但应在</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小时内给予书面确认。对造价工程师的口头指令，承包人应予执行。如果承包人在造价工程师发出的口头指令</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小时后未收到书面确认，则应在接到口头指令后的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天内向造价工程师发出书面确认函。造价工程师应在承包人发出书面确认函后</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小时内给予答复；逾期未予答复的，视为承包人的书面确认函已被认可。</w:t>
      </w:r>
    </w:p>
    <w:p>
      <w:pPr>
        <w:shd w:val="clear" w:color="000000" w:fill="auto"/>
        <w:tabs>
          <w:tab w:val="left" w:pos="1260"/>
        </w:tabs>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24.5  </w:t>
      </w:r>
      <w:r>
        <w:rPr>
          <w:rFonts w:ascii="仿宋" w:hAnsi="仿宋" w:eastAsia="仿宋" w:cs="仿宋"/>
          <w:b/>
          <w:bCs/>
          <w:color w:val="auto"/>
          <w:sz w:val="24"/>
          <w:szCs w:val="24"/>
          <w:highlight w:val="none"/>
          <w:u w:val="dotted"/>
        </w:rPr>
        <w:t xml:space="preserve">                                                                                                        </w:t>
      </w:r>
    </w:p>
    <w:p>
      <w:pPr>
        <w:shd w:val="clear" w:color="000000" w:fill="auto"/>
        <w:tabs>
          <w:tab w:val="left" w:pos="1260"/>
        </w:tabs>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41184" behindDoc="0" locked="0" layoutInCell="1" allowOverlap="1">
                <wp:simplePos x="0" y="0"/>
                <wp:positionH relativeFrom="column">
                  <wp:posOffset>-114300</wp:posOffset>
                </wp:positionH>
                <wp:positionV relativeFrom="paragraph">
                  <wp:posOffset>15240</wp:posOffset>
                </wp:positionV>
                <wp:extent cx="914400" cy="448310"/>
                <wp:effectExtent l="0" t="0" r="0" b="0"/>
                <wp:wrapNone/>
                <wp:docPr id="81" name="文本框 82"/>
                <wp:cNvGraphicFramePr/>
                <a:graphic xmlns:a="http://schemas.openxmlformats.org/drawingml/2006/main">
                  <a:graphicData uri="http://schemas.microsoft.com/office/word/2010/wordprocessingShape">
                    <wps:wsp>
                      <wps:cNvSpPr txBox="1"/>
                      <wps:spPr>
                        <a:xfrm>
                          <a:off x="0" y="0"/>
                          <a:ext cx="914400" cy="44831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承包人执行造价工程师指令</w:t>
                            </w:r>
                          </w:p>
                        </w:txbxContent>
                      </wps:txbx>
                      <wps:bodyPr upright="1"/>
                    </wps:wsp>
                  </a:graphicData>
                </a:graphic>
              </wp:anchor>
            </w:drawing>
          </mc:Choice>
          <mc:Fallback>
            <w:pict>
              <v:shape id="文本框 82" o:spid="_x0000_s1026" o:spt="202" type="#_x0000_t202" style="position:absolute;left:0pt;margin-left:-9pt;margin-top:1.2pt;height:35.3pt;width:72pt;z-index:251741184;mso-width-relative:page;mso-height-relative:page;" filled="f" stroked="f" coordsize="21600,21600" o:gfxdata="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SqNdRdUAAAAI&#10;AQAADwAAAAAAAAABACAAAAAiAAAAZHJzL2Rvd25yZXYueG1sUEsBAhQAFAAAAAgAh07iQMA5TM6t&#10;AQAATwMAAA4AAAAAAAAAAQAgAAAAJAEAAGRycy9lMm9Eb2MueG1sUEsFBgAAAAAGAAYAWQEAAEMF&#10;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承包人执行造价工程师指令</w:t>
                      </w:r>
                    </w:p>
                  </w:txbxContent>
                </v:textbox>
              </v:shape>
            </w:pict>
          </mc:Fallback>
        </mc:AlternateContent>
      </w:r>
      <w:r>
        <w:rPr>
          <w:rFonts w:hint="eastAsia" w:ascii="仿宋" w:hAnsi="仿宋" w:eastAsia="仿宋" w:cs="仿宋"/>
          <w:color w:val="auto"/>
          <w:sz w:val="24"/>
          <w:szCs w:val="24"/>
          <w:highlight w:val="none"/>
        </w:rPr>
        <w:t>如果承包人认为造价工程师的指令不合理，应在收到指令后</w:t>
      </w:r>
      <w:r>
        <w:rPr>
          <w:rFonts w:ascii="仿宋" w:hAnsi="仿宋" w:eastAsia="仿宋" w:cs="仿宋"/>
          <w:color w:val="auto"/>
          <w:sz w:val="24"/>
          <w:szCs w:val="24"/>
          <w:highlight w:val="none"/>
        </w:rPr>
        <w:t>24</w:t>
      </w:r>
      <w:r>
        <w:rPr>
          <w:rFonts w:hint="eastAsia" w:ascii="仿宋" w:hAnsi="仿宋" w:eastAsia="仿宋" w:cs="仿宋"/>
          <w:color w:val="auto"/>
          <w:sz w:val="24"/>
          <w:szCs w:val="24"/>
          <w:highlight w:val="none"/>
        </w:rPr>
        <w:t>小时内向造价工程师提出书面报告，造价工程师应在收到承包人报告后</w:t>
      </w:r>
      <w:r>
        <w:rPr>
          <w:rFonts w:ascii="仿宋" w:hAnsi="仿宋" w:eastAsia="仿宋" w:cs="仿宋"/>
          <w:color w:val="auto"/>
          <w:sz w:val="24"/>
          <w:szCs w:val="24"/>
          <w:highlight w:val="none"/>
        </w:rPr>
        <w:t>24</w:t>
      </w:r>
      <w:r>
        <w:rPr>
          <w:rFonts w:hint="eastAsia" w:ascii="仿宋" w:hAnsi="仿宋" w:eastAsia="仿宋" w:cs="仿宋"/>
          <w:color w:val="auto"/>
          <w:sz w:val="24"/>
          <w:szCs w:val="24"/>
          <w:highlight w:val="none"/>
        </w:rPr>
        <w:t>小时内做出修改指令或继续执行原指令的决定，并书面通知承包人。逾期不做出决定的，承包人可不执行造价工程师的指令。</w:t>
      </w:r>
    </w:p>
    <w:p>
      <w:pPr>
        <w:shd w:val="clear" w:color="000000" w:fill="auto"/>
        <w:tabs>
          <w:tab w:val="left" w:pos="1260"/>
        </w:tabs>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24.6  </w:t>
      </w:r>
      <w:r>
        <w:rPr>
          <w:rFonts w:ascii="仿宋" w:hAnsi="仿宋" w:eastAsia="仿宋" w:cs="仿宋"/>
          <w:b/>
          <w:bCs/>
          <w:color w:val="auto"/>
          <w:sz w:val="24"/>
          <w:szCs w:val="24"/>
          <w:highlight w:val="none"/>
          <w:u w:val="dotted"/>
        </w:rPr>
        <w:t xml:space="preserve">                                                                                                        </w:t>
      </w:r>
    </w:p>
    <w:p>
      <w:pPr>
        <w:shd w:val="clear" w:color="000000" w:fill="auto"/>
        <w:tabs>
          <w:tab w:val="left" w:pos="1260"/>
        </w:tabs>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42208" behindDoc="0" locked="0" layoutInCell="1" allowOverlap="1">
                <wp:simplePos x="0" y="0"/>
                <wp:positionH relativeFrom="column">
                  <wp:posOffset>-114300</wp:posOffset>
                </wp:positionH>
                <wp:positionV relativeFrom="paragraph">
                  <wp:posOffset>0</wp:posOffset>
                </wp:positionV>
                <wp:extent cx="914400" cy="594360"/>
                <wp:effectExtent l="0" t="0" r="0" b="0"/>
                <wp:wrapNone/>
                <wp:docPr id="82" name="文本框 83"/>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造价工程师职权委托</w:t>
                            </w:r>
                          </w:p>
                        </w:txbxContent>
                      </wps:txbx>
                      <wps:bodyPr upright="1"/>
                    </wps:wsp>
                  </a:graphicData>
                </a:graphic>
              </wp:anchor>
            </w:drawing>
          </mc:Choice>
          <mc:Fallback>
            <w:pict>
              <v:shape id="文本框 83" o:spid="_x0000_s1026" o:spt="202" type="#_x0000_t202" style="position:absolute;left:0pt;margin-left:-9pt;margin-top:0pt;height:46.8pt;width:72pt;z-index:251742208;mso-width-relative:page;mso-height-relative:page;" filled="f" stroked="f" coordsize="21600,21600" o:gfxdata="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LJ+ky1QAA&#10;AAcBAAAPAAAAAAAAAAEAIAAAACIAAABkcnMvZG93bnJldi54bWxQSwECFAAUAAAACACHTuJAtoHG&#10;Ra8BAABPAwAADgAAAAAAAAABACAAAAAkAQAAZHJzL2Uyb0RvYy54bWxQSwUGAAAAAAYABgBZAQAA&#10;RQUAAAAA&#10;">
                <v:fill on="f" focussize="0,0"/>
                <v:stroke on="f"/>
                <v:imagedata o:title=""/>
                <o:lock v:ext="edit" aspectratio="f"/>
                <v:textbo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造价工程师职权委托</w:t>
                      </w:r>
                    </w:p>
                  </w:txbxContent>
                </v:textbox>
              </v:shape>
            </w:pict>
          </mc:Fallback>
        </mc:AlternateContent>
      </w:r>
      <w:r>
        <w:rPr>
          <w:rFonts w:hint="eastAsia" w:ascii="仿宋" w:hAnsi="仿宋" w:eastAsia="仿宋" w:cs="仿宋"/>
          <w:color w:val="auto"/>
          <w:sz w:val="24"/>
          <w:szCs w:val="24"/>
          <w:highlight w:val="none"/>
        </w:rPr>
        <w:t>造价工程师可按照第</w:t>
      </w:r>
      <w:r>
        <w:rPr>
          <w:rFonts w:ascii="仿宋" w:hAnsi="仿宋" w:eastAsia="仿宋" w:cs="仿宋"/>
          <w:color w:val="auto"/>
          <w:sz w:val="24"/>
          <w:szCs w:val="24"/>
          <w:highlight w:val="none"/>
        </w:rPr>
        <w:t>21.3</w:t>
      </w:r>
      <w:r>
        <w:rPr>
          <w:rFonts w:hint="eastAsia" w:ascii="仿宋" w:hAnsi="仿宋" w:eastAsia="仿宋" w:cs="仿宋"/>
          <w:color w:val="auto"/>
          <w:sz w:val="24"/>
          <w:szCs w:val="24"/>
          <w:highlight w:val="none"/>
        </w:rPr>
        <w:t>款规定授权给其任命的造价工程师代表，亦可将其授权撤回，造价工程师代表行使造价工程师授予的职权，对造价工程师负责。造价工程师代表在造价工程师授予职权范围内工作，造价工程师应予认可，但造价工程师保留因造价工程师代表未反对合同工程的工程计量和计价工作的错误而否定该工作，并发出纠正指令的权力。未按照第</w:t>
      </w:r>
      <w:r>
        <w:rPr>
          <w:rFonts w:ascii="仿宋" w:hAnsi="仿宋" w:eastAsia="仿宋" w:cs="仿宋"/>
          <w:color w:val="auto"/>
          <w:sz w:val="24"/>
          <w:szCs w:val="24"/>
          <w:highlight w:val="none"/>
        </w:rPr>
        <w:t>21.3</w:t>
      </w:r>
      <w:r>
        <w:rPr>
          <w:rFonts w:hint="eastAsia" w:ascii="仿宋" w:hAnsi="仿宋" w:eastAsia="仿宋" w:cs="仿宋"/>
          <w:color w:val="auto"/>
          <w:sz w:val="24"/>
          <w:szCs w:val="24"/>
          <w:highlight w:val="none"/>
        </w:rPr>
        <w:t>款规定，任何此类任命或撤回均为无效。</w:t>
      </w:r>
    </w:p>
    <w:p>
      <w:pPr>
        <w:shd w:val="clear" w:color="000000" w:fill="auto"/>
        <w:tabs>
          <w:tab w:val="left" w:pos="1260"/>
        </w:tabs>
        <w:spacing w:line="360" w:lineRule="auto"/>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24.7</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shd w:val="clear" w:color="000000" w:fill="auto"/>
        <w:tabs>
          <w:tab w:val="left" w:pos="1260"/>
        </w:tabs>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43232" behindDoc="0" locked="0" layoutInCell="1" allowOverlap="1">
                <wp:simplePos x="0" y="0"/>
                <wp:positionH relativeFrom="column">
                  <wp:posOffset>-114300</wp:posOffset>
                </wp:positionH>
                <wp:positionV relativeFrom="paragraph">
                  <wp:posOffset>0</wp:posOffset>
                </wp:positionV>
                <wp:extent cx="914400" cy="594360"/>
                <wp:effectExtent l="0" t="0" r="0" b="0"/>
                <wp:wrapNone/>
                <wp:docPr id="83" name="文本框 84"/>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造价工程师未尽义务或失误的责任</w:t>
                            </w:r>
                          </w:p>
                        </w:txbxContent>
                      </wps:txbx>
                      <wps:bodyPr upright="1"/>
                    </wps:wsp>
                  </a:graphicData>
                </a:graphic>
              </wp:anchor>
            </w:drawing>
          </mc:Choice>
          <mc:Fallback>
            <w:pict>
              <v:shape id="文本框 84" o:spid="_x0000_s1026" o:spt="202" type="#_x0000_t202" style="position:absolute;left:0pt;margin-left:-9pt;margin-top:0pt;height:46.8pt;width:72pt;z-index:251743232;mso-width-relative:page;mso-height-relative:page;" filled="f" stroked="f" coordsize="21600,21600" o:gfxdata="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LJ+ky1QAA&#10;AAcBAAAPAAAAAAAAAAEAIAAAACIAAABkcnMvZG93bnJldi54bWxQSwECFAAUAAAACACHTuJAyXUf&#10;Nq8BAABPAwAADgAAAAAAAAABACAAAAAkAQAAZHJzL2Uyb0RvYy54bWxQSwUGAAAAAAYABgBZAQAA&#10;R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造价工程师未尽义务或失误的责任</w:t>
                      </w:r>
                    </w:p>
                  </w:txbxContent>
                </v:textbox>
              </v:shape>
            </w:pict>
          </mc:Fallback>
        </mc:AlternateContent>
      </w:r>
      <w:r>
        <w:rPr>
          <w:rFonts w:hint="eastAsia" w:ascii="仿宋" w:hAnsi="仿宋" w:eastAsia="仿宋" w:cs="仿宋"/>
          <w:color w:val="auto"/>
          <w:sz w:val="24"/>
          <w:szCs w:val="24"/>
          <w:highlight w:val="none"/>
        </w:rPr>
        <w:t>造价工程师（含其代表）未能正确完成本合同约定的全部义务，或工作出现失误，导致费用的增加和（或）延误的工期，由发包人承担；给承包人造成损失的，发包人应予赔偿。</w:t>
      </w:r>
    </w:p>
    <w:p>
      <w:pPr>
        <w:shd w:val="clear" w:color="000000" w:fill="auto"/>
        <w:tabs>
          <w:tab w:val="left" w:pos="540"/>
          <w:tab w:val="left" w:pos="720"/>
        </w:tabs>
        <w:spacing w:line="360" w:lineRule="auto"/>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5"/>
        <w:numPr>
          <w:ilvl w:val="0"/>
          <w:numId w:val="0"/>
        </w:numPr>
        <w:shd w:val="clear" w:color="000000" w:fill="auto"/>
        <w:tabs>
          <w:tab w:val="left" w:pos="420"/>
        </w:tabs>
        <w:ind w:left="720"/>
        <w:rPr>
          <w:rFonts w:ascii="仿宋" w:hAnsi="仿宋" w:eastAsia="仿宋"/>
          <w:color w:val="auto"/>
          <w:sz w:val="24"/>
          <w:szCs w:val="24"/>
          <w:highlight w:val="none"/>
        </w:rPr>
      </w:pPr>
      <w:bookmarkStart w:id="187" w:name="_Toc10624845"/>
      <w:bookmarkStart w:id="188" w:name="_Toc9765"/>
      <w:bookmarkStart w:id="189" w:name="_Toc469384005"/>
      <w:r>
        <w:rPr>
          <w:rFonts w:ascii="仿宋" w:hAnsi="仿宋" w:eastAsia="仿宋" w:cs="仿宋"/>
          <w:color w:val="auto"/>
          <w:sz w:val="24"/>
          <w:szCs w:val="24"/>
          <w:highlight w:val="none"/>
        </w:rPr>
        <w:t xml:space="preserve">25  </w:t>
      </w:r>
      <w:r>
        <w:rPr>
          <w:rFonts w:hint="eastAsia" w:ascii="仿宋" w:hAnsi="仿宋" w:eastAsia="仿宋" w:cs="仿宋"/>
          <w:color w:val="auto"/>
          <w:sz w:val="24"/>
          <w:szCs w:val="24"/>
          <w:highlight w:val="none"/>
        </w:rPr>
        <w:t>承包人代表</w:t>
      </w:r>
      <w:bookmarkEnd w:id="187"/>
      <w:bookmarkEnd w:id="188"/>
      <w:bookmarkEnd w:id="189"/>
    </w:p>
    <w:p>
      <w:pPr>
        <w:shd w:val="clear" w:color="000000" w:fill="auto"/>
        <w:tabs>
          <w:tab w:val="left" w:pos="540"/>
          <w:tab w:val="left" w:pos="720"/>
        </w:tabs>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25.1                                 </w:t>
      </w:r>
    </w:p>
    <w:p>
      <w:pPr>
        <w:pStyle w:val="33"/>
        <w:shd w:val="clear" w:color="000000" w:fill="auto"/>
        <w:tabs>
          <w:tab w:val="left" w:pos="540"/>
          <w:tab w:val="left" w:pos="720"/>
        </w:tabs>
        <w:ind w:left="1619" w:leftChars="771"/>
        <w:rPr>
          <w:rFonts w:ascii="仿宋" w:hAnsi="仿宋" w:eastAsia="仿宋"/>
          <w:color w:val="auto"/>
          <w:highlight w:val="none"/>
        </w:rPr>
      </w:pPr>
      <w:r>
        <w:rPr>
          <w:color w:val="auto"/>
          <w:highlight w:val="none"/>
        </w:rPr>
        <mc:AlternateContent>
          <mc:Choice Requires="wps">
            <w:drawing>
              <wp:anchor distT="0" distB="0" distL="114300" distR="114300" simplePos="0" relativeHeight="251744256" behindDoc="0" locked="0" layoutInCell="1" allowOverlap="1">
                <wp:simplePos x="0" y="0"/>
                <wp:positionH relativeFrom="column">
                  <wp:posOffset>-114300</wp:posOffset>
                </wp:positionH>
                <wp:positionV relativeFrom="paragraph">
                  <wp:posOffset>0</wp:posOffset>
                </wp:positionV>
                <wp:extent cx="914400" cy="419100"/>
                <wp:effectExtent l="0" t="0" r="0" b="0"/>
                <wp:wrapNone/>
                <wp:docPr id="84" name="文本框 85"/>
                <wp:cNvGraphicFramePr/>
                <a:graphic xmlns:a="http://schemas.openxmlformats.org/drawingml/2006/main">
                  <a:graphicData uri="http://schemas.microsoft.com/office/word/2010/wordprocessingShape">
                    <wps:wsp>
                      <wps:cNvSpPr txBox="1"/>
                      <wps:spPr>
                        <a:xfrm>
                          <a:off x="0" y="0"/>
                          <a:ext cx="914400" cy="41910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承包人对其代表授权</w:t>
                            </w:r>
                          </w:p>
                        </w:txbxContent>
                      </wps:txbx>
                      <wps:bodyPr upright="1"/>
                    </wps:wsp>
                  </a:graphicData>
                </a:graphic>
              </wp:anchor>
            </w:drawing>
          </mc:Choice>
          <mc:Fallback>
            <w:pict>
              <v:shape id="文本框 85" o:spid="_x0000_s1026" o:spt="202" type="#_x0000_t202" style="position:absolute;left:0pt;margin-left:-9pt;margin-top:0pt;height:33pt;width:72pt;z-index:251744256;mso-width-relative:page;mso-height-relative:page;" filled="f" stroked="f" coordsize="21600,21600" o:gfxdata="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Bpc6rI1AAAAAcB&#10;AAAPAAAAAAAAAAEAIAAAACIAAABkcnMvZG93bnJldi54bWxQSwECFAAUAAAACACHTuJAzf4YD60B&#10;AABPAwAADgAAAAAAAAABACAAAAAjAQAAZHJzL2Uyb0RvYy54bWxQSwUGAAAAAAYABgBZAQAAQgUA&#10;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承包人对其代表授权</w:t>
                      </w:r>
                    </w:p>
                  </w:txbxContent>
                </v:textbox>
              </v:shape>
            </w:pict>
          </mc:Fallback>
        </mc:AlternateContent>
      </w:r>
      <w:r>
        <w:rPr>
          <w:rFonts w:hint="eastAsia" w:ascii="仿宋" w:hAnsi="仿宋" w:eastAsia="仿宋" w:cs="仿宋"/>
          <w:color w:val="auto"/>
          <w:highlight w:val="none"/>
        </w:rPr>
        <w:t>承包人应依据第</w:t>
      </w:r>
      <w:r>
        <w:rPr>
          <w:rFonts w:ascii="仿宋" w:hAnsi="仿宋" w:eastAsia="仿宋" w:cs="仿宋"/>
          <w:color w:val="auto"/>
          <w:highlight w:val="none"/>
        </w:rPr>
        <w:t>21.2</w:t>
      </w:r>
      <w:r>
        <w:rPr>
          <w:rFonts w:hint="eastAsia" w:ascii="仿宋" w:hAnsi="仿宋" w:eastAsia="仿宋" w:cs="仿宋"/>
          <w:color w:val="auto"/>
          <w:highlight w:val="none"/>
        </w:rPr>
        <w:t>款规定在专用条款中写明承包人代表具体人选，同时在开工前将承包人代表任命书以书面形式通知发包人，授予其代表承包人履行合同规定职责所需的一切权力。</w:t>
      </w:r>
    </w:p>
    <w:p>
      <w:pPr>
        <w:shd w:val="clear" w:color="000000" w:fill="auto"/>
        <w:tabs>
          <w:tab w:val="left" w:pos="540"/>
          <w:tab w:val="left" w:pos="720"/>
          <w:tab w:val="left" w:pos="1260"/>
          <w:tab w:val="left" w:pos="1440"/>
        </w:tabs>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25.2  </w:t>
      </w:r>
      <w:r>
        <w:rPr>
          <w:rFonts w:ascii="仿宋" w:hAnsi="仿宋" w:eastAsia="仿宋" w:cs="仿宋"/>
          <w:b/>
          <w:bCs/>
          <w:color w:val="auto"/>
          <w:sz w:val="24"/>
          <w:szCs w:val="24"/>
          <w:highlight w:val="none"/>
          <w:u w:val="dotted"/>
        </w:rPr>
        <w:t xml:space="preserve">                                                                                                        </w:t>
      </w:r>
    </w:p>
    <w:p>
      <w:pPr>
        <w:shd w:val="clear" w:color="000000" w:fill="auto"/>
        <w:tabs>
          <w:tab w:val="left" w:pos="540"/>
          <w:tab w:val="left" w:pos="720"/>
          <w:tab w:val="left" w:pos="1260"/>
          <w:tab w:val="left" w:pos="1440"/>
        </w:tabs>
        <w:spacing w:line="360" w:lineRule="auto"/>
        <w:ind w:left="1619" w:leftChars="771" w:firstLine="2"/>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45280" behindDoc="0" locked="0" layoutInCell="1" allowOverlap="1">
                <wp:simplePos x="0" y="0"/>
                <wp:positionH relativeFrom="column">
                  <wp:posOffset>-114300</wp:posOffset>
                </wp:positionH>
                <wp:positionV relativeFrom="paragraph">
                  <wp:posOffset>7620</wp:posOffset>
                </wp:positionV>
                <wp:extent cx="1028700" cy="396240"/>
                <wp:effectExtent l="0" t="0" r="0" b="0"/>
                <wp:wrapNone/>
                <wp:docPr id="85" name="文本框 86"/>
                <wp:cNvGraphicFramePr/>
                <a:graphic xmlns:a="http://schemas.openxmlformats.org/drawingml/2006/main">
                  <a:graphicData uri="http://schemas.microsoft.com/office/word/2010/wordprocessingShape">
                    <wps:wsp>
                      <wps:cNvSpPr txBox="1"/>
                      <wps:spPr>
                        <a:xfrm>
                          <a:off x="0" y="0"/>
                          <a:ext cx="1028700" cy="3962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承包人代表职</w:t>
                            </w:r>
                          </w:p>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权</w:t>
                            </w:r>
                          </w:p>
                        </w:txbxContent>
                      </wps:txbx>
                      <wps:bodyPr upright="1"/>
                    </wps:wsp>
                  </a:graphicData>
                </a:graphic>
              </wp:anchor>
            </w:drawing>
          </mc:Choice>
          <mc:Fallback>
            <w:pict>
              <v:shape id="文本框 86" o:spid="_x0000_s1026" o:spt="202" type="#_x0000_t202" style="position:absolute;left:0pt;margin-left:-9pt;margin-top:0.6pt;height:31.2pt;width:81pt;z-index:251745280;mso-width-relative:page;mso-height-relative:page;" filled="f" stroked="f" coordsize="21600,21600" o:gfxdata="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4yfBG1QAA&#10;AAgBAAAPAAAAAAAAAAEAIAAAACIAAABkcnMvZG93bnJldi54bWxQSwECFAAUAAAACACHTuJAxLLA&#10;EK8BAABQAwAADgAAAAAAAAABACAAAAAkAQAAZHJzL2Uyb0RvYy54bWxQSwUGAAAAAAYABgBZAQAA&#10;R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承包人代表职</w:t>
                      </w:r>
                    </w:p>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权</w:t>
                      </w:r>
                    </w:p>
                  </w:txbxContent>
                </v:textbox>
              </v:shape>
            </w:pict>
          </mc:Fallback>
        </mc:AlternateContent>
      </w:r>
      <w:r>
        <w:rPr>
          <w:rFonts w:hint="eastAsia" w:ascii="仿宋" w:hAnsi="仿宋" w:eastAsia="仿宋" w:cs="仿宋"/>
          <w:color w:val="auto"/>
          <w:sz w:val="24"/>
          <w:szCs w:val="24"/>
          <w:highlight w:val="none"/>
        </w:rPr>
        <w:t>承包人代表应代表承包人履行合同规定的职责、行使合同明文约定或必然隐含的权力，对承包人负责。承包人代表在承包人授予职权范围内的工作，承包人应予认可。</w:t>
      </w:r>
    </w:p>
    <w:p>
      <w:pPr>
        <w:shd w:val="clear" w:color="000000" w:fill="auto"/>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25.3  </w:t>
      </w:r>
      <w:r>
        <w:rPr>
          <w:rFonts w:ascii="仿宋" w:hAnsi="仿宋" w:eastAsia="仿宋" w:cs="仿宋"/>
          <w:b/>
          <w:bCs/>
          <w:color w:val="auto"/>
          <w:sz w:val="24"/>
          <w:szCs w:val="24"/>
          <w:highlight w:val="none"/>
          <w:u w:val="dotted"/>
        </w:rPr>
        <w:t xml:space="preserve">                                                                                                        </w:t>
      </w:r>
    </w:p>
    <w:p>
      <w:pPr>
        <w:shd w:val="clear" w:color="000000" w:fill="auto"/>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46304" behindDoc="0" locked="0" layoutInCell="1" allowOverlap="1">
                <wp:simplePos x="0" y="0"/>
                <wp:positionH relativeFrom="column">
                  <wp:posOffset>-114300</wp:posOffset>
                </wp:positionH>
                <wp:positionV relativeFrom="paragraph">
                  <wp:posOffset>0</wp:posOffset>
                </wp:positionV>
                <wp:extent cx="914400" cy="487680"/>
                <wp:effectExtent l="0" t="0" r="0" b="0"/>
                <wp:wrapNone/>
                <wp:docPr id="86" name="文本框 87"/>
                <wp:cNvGraphicFramePr/>
                <a:graphic xmlns:a="http://schemas.openxmlformats.org/drawingml/2006/main">
                  <a:graphicData uri="http://schemas.microsoft.com/office/word/2010/wordprocessingShape">
                    <wps:wsp>
                      <wps:cNvSpPr txBox="1"/>
                      <wps:spPr>
                        <a:xfrm>
                          <a:off x="0" y="0"/>
                          <a:ext cx="914400" cy="48768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承包人代表临时任命人职权</w:t>
                            </w:r>
                          </w:p>
                        </w:txbxContent>
                      </wps:txbx>
                      <wps:bodyPr upright="1"/>
                    </wps:wsp>
                  </a:graphicData>
                </a:graphic>
              </wp:anchor>
            </w:drawing>
          </mc:Choice>
          <mc:Fallback>
            <w:pict>
              <v:shape id="文本框 87" o:spid="_x0000_s1026" o:spt="202" type="#_x0000_t202" style="position:absolute;left:0pt;margin-left:-9pt;margin-top:0pt;height:38.4pt;width:72pt;z-index:251746304;mso-width-relative:page;mso-height-relative:page;" filled="f" stroked="f" coordsize="21600,21600" o:gfxdata="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HLt0V7VAAAA&#10;BwEAAA8AAAAAAAAAAQAgAAAAIgAAAGRycy9kb3ducmV2LnhtbFBLAQIUABQAAAAIAIdO4kAUOdsW&#10;rgEAAE8DAAAOAAAAAAAAAAEAIAAAACQBAABkcnMvZTJvRG9jLnhtbFBLBQYAAAAABgAGAFkBAABE&#10;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承包人代表临时任命人职权</w:t>
                      </w:r>
                    </w:p>
                  </w:txbxContent>
                </v:textbox>
              </v:shape>
            </w:pict>
          </mc:Fallback>
        </mc:AlternateContent>
      </w:r>
      <w:r>
        <w:rPr>
          <w:rFonts w:hint="eastAsia" w:ascii="仿宋" w:hAnsi="仿宋" w:eastAsia="仿宋" w:cs="仿宋"/>
          <w:color w:val="auto"/>
          <w:sz w:val="24"/>
          <w:szCs w:val="24"/>
          <w:highlight w:val="none"/>
        </w:rPr>
        <w:t>如果承包人代表在合同履行期间确需暂离现场，则应在监理工程师同意下，按照第</w:t>
      </w:r>
      <w:r>
        <w:rPr>
          <w:rFonts w:ascii="仿宋" w:hAnsi="仿宋" w:eastAsia="仿宋" w:cs="仿宋"/>
          <w:color w:val="auto"/>
          <w:sz w:val="24"/>
          <w:szCs w:val="24"/>
          <w:highlight w:val="none"/>
        </w:rPr>
        <w:t>21.4</w:t>
      </w:r>
      <w:r>
        <w:rPr>
          <w:rFonts w:hint="eastAsia" w:ascii="仿宋" w:hAnsi="仿宋" w:eastAsia="仿宋" w:cs="仿宋"/>
          <w:color w:val="auto"/>
          <w:sz w:val="24"/>
          <w:szCs w:val="24"/>
          <w:highlight w:val="none"/>
        </w:rPr>
        <w:t>款规定授权给其任命的合格人选，亦可将其授权撤回。任命的人选行使承包人代表授予的职权，对承包人代表负责。该人选在承包人代表授予职权范围内的工作，承包人代表应予认可，但承包人代表保留因该人选未曾对实施、完成合同工程工作错误加以反对的失误而否定该工作，并发出纠正通知的权力。未按照第</w:t>
      </w:r>
      <w:r>
        <w:rPr>
          <w:rFonts w:ascii="仿宋" w:hAnsi="仿宋" w:eastAsia="仿宋" w:cs="仿宋"/>
          <w:color w:val="auto"/>
          <w:sz w:val="24"/>
          <w:szCs w:val="24"/>
          <w:highlight w:val="none"/>
        </w:rPr>
        <w:t>21.4</w:t>
      </w:r>
      <w:r>
        <w:rPr>
          <w:rFonts w:hint="eastAsia" w:ascii="仿宋" w:hAnsi="仿宋" w:eastAsia="仿宋" w:cs="仿宋"/>
          <w:color w:val="auto"/>
          <w:sz w:val="24"/>
          <w:szCs w:val="24"/>
          <w:highlight w:val="none"/>
        </w:rPr>
        <w:t>款规定，任何此类任命或撤回均为无效。</w:t>
      </w:r>
    </w:p>
    <w:p>
      <w:pPr>
        <w:shd w:val="clear" w:color="000000" w:fill="auto"/>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25.4  </w:t>
      </w:r>
      <w:r>
        <w:rPr>
          <w:rFonts w:ascii="仿宋" w:hAnsi="仿宋" w:eastAsia="仿宋" w:cs="仿宋"/>
          <w:b/>
          <w:bCs/>
          <w:color w:val="auto"/>
          <w:sz w:val="24"/>
          <w:szCs w:val="24"/>
          <w:highlight w:val="none"/>
          <w:u w:val="dotted"/>
        </w:rPr>
        <w:t xml:space="preserve">                                                                                                        </w:t>
      </w:r>
    </w:p>
    <w:p>
      <w:pPr>
        <w:shd w:val="clear" w:color="000000" w:fill="auto"/>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47328" behindDoc="0" locked="0" layoutInCell="1" allowOverlap="1">
                <wp:simplePos x="0" y="0"/>
                <wp:positionH relativeFrom="column">
                  <wp:posOffset>-114300</wp:posOffset>
                </wp:positionH>
                <wp:positionV relativeFrom="paragraph">
                  <wp:posOffset>0</wp:posOffset>
                </wp:positionV>
                <wp:extent cx="914400" cy="762000"/>
                <wp:effectExtent l="0" t="0" r="0" b="0"/>
                <wp:wrapNone/>
                <wp:docPr id="87" name="文本框 88"/>
                <wp:cNvGraphicFramePr/>
                <a:graphic xmlns:a="http://schemas.openxmlformats.org/drawingml/2006/main">
                  <a:graphicData uri="http://schemas.microsoft.com/office/word/2010/wordprocessingShape">
                    <wps:wsp>
                      <wps:cNvSpPr txBox="1"/>
                      <wps:spPr>
                        <a:xfrm>
                          <a:off x="0" y="0"/>
                          <a:ext cx="914400" cy="76200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紧急情况时承包人代表采取措施及双方责任</w:t>
                            </w:r>
                          </w:p>
                        </w:txbxContent>
                      </wps:txbx>
                      <wps:bodyPr upright="1"/>
                    </wps:wsp>
                  </a:graphicData>
                </a:graphic>
              </wp:anchor>
            </w:drawing>
          </mc:Choice>
          <mc:Fallback>
            <w:pict>
              <v:shape id="文本框 88" o:spid="_x0000_s1026" o:spt="202" type="#_x0000_t202" style="position:absolute;left:0pt;margin-left:-9pt;margin-top:0pt;height:60pt;width:72pt;z-index:251747328;mso-width-relative:page;mso-height-relative:page;" filled="f" stroked="f" coordsize="21600,21600" o:gfxdata="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9rvZW9QAAAAI&#10;AQAADwAAAAAAAAABACAAAAAiAAAAZHJzL2Rvd25yZXYueG1sUEsBAhQAFAAAAAgAh07iQFv4o8mu&#10;AQAATwMAAA4AAAAAAAAAAQAgAAAAIwEAAGRycy9lMm9Eb2MueG1sUEsFBgAAAAAGAAYAWQEAAEMF&#10;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紧急情况时承包人代表采取措施及双方责任</w:t>
                      </w:r>
                    </w:p>
                  </w:txbxContent>
                </v:textbox>
              </v:shape>
            </w:pict>
          </mc:Fallback>
        </mc:AlternateContent>
      </w:r>
      <w:r>
        <w:rPr>
          <w:rFonts w:hint="eastAsia" w:ascii="仿宋" w:hAnsi="仿宋" w:eastAsia="仿宋" w:cs="仿宋"/>
          <w:color w:val="auto"/>
          <w:sz w:val="24"/>
          <w:szCs w:val="24"/>
          <w:highlight w:val="none"/>
        </w:rPr>
        <w:t>承包人代表按照经发包人认可的施工组织设计和监理工程师发出的指令组织施工。在紧急情况下，且无法与监理工程师取得联系时，承包人代表应立即采取保证人员生命和工程、财产安全的有效措施，并在采取措施后</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小时内向监理工程师提交书面报告，通知发包人。属于发包人或第三方责任的，其发生的费用和（或）延误的工期由发包人承担，并支付承包人合理利润；属于承包人责任的，其发生的费用和（或）延误的工期由承包人承担。</w:t>
      </w:r>
    </w:p>
    <w:p>
      <w:pPr>
        <w:pStyle w:val="2"/>
        <w:shd w:val="clear" w:color="000000" w:fill="auto"/>
        <w:tabs>
          <w:tab w:val="left" w:pos="540"/>
        </w:tabs>
        <w:adjustRightInd w:val="0"/>
        <w:snapToGrid w:val="0"/>
        <w:spacing w:line="360" w:lineRule="auto"/>
        <w:ind w:right="-240"/>
        <w:rPr>
          <w:rFonts w:ascii="仿宋" w:hAnsi="仿宋" w:eastAsia="仿宋" w:cs="仿宋"/>
          <w:b/>
          <w:bCs/>
          <w:color w:val="auto"/>
          <w:sz w:val="24"/>
          <w:szCs w:val="24"/>
          <w:highlight w:val="none"/>
          <w:u w:val="single"/>
        </w:rPr>
      </w:pPr>
      <w:bookmarkStart w:id="190" w:name="_Toc468936969"/>
      <w:r>
        <w:rPr>
          <w:rFonts w:ascii="仿宋" w:hAnsi="仿宋" w:eastAsia="仿宋" w:cs="仿宋"/>
          <w:b/>
          <w:bCs/>
          <w:color w:val="auto"/>
          <w:sz w:val="24"/>
          <w:szCs w:val="24"/>
          <w:highlight w:val="none"/>
          <w:u w:val="single"/>
        </w:rPr>
        <w:t xml:space="preserve">                                                                                                             </w:t>
      </w:r>
    </w:p>
    <w:p>
      <w:pPr>
        <w:pStyle w:val="2"/>
        <w:shd w:val="clear" w:color="000000" w:fill="auto"/>
        <w:tabs>
          <w:tab w:val="left" w:pos="540"/>
        </w:tabs>
        <w:adjustRightInd w:val="0"/>
        <w:snapToGrid w:val="0"/>
        <w:ind w:right="-240"/>
        <w:outlineLvl w:val="2"/>
        <w:rPr>
          <w:rFonts w:ascii="仿宋" w:hAnsi="仿宋" w:eastAsia="仿宋" w:cs="Times New Roman"/>
          <w:b/>
          <w:bCs/>
          <w:color w:val="auto"/>
          <w:sz w:val="24"/>
          <w:szCs w:val="24"/>
          <w:highlight w:val="none"/>
        </w:rPr>
      </w:pPr>
      <w:bookmarkStart w:id="191" w:name="_Toc469384006"/>
      <w:bookmarkStart w:id="192" w:name="_Toc24567"/>
      <w:bookmarkStart w:id="193" w:name="_Toc10624846"/>
      <w:r>
        <w:rPr>
          <w:rFonts w:ascii="仿宋" w:hAnsi="仿宋" w:eastAsia="仿宋" w:cs="仿宋"/>
          <w:b/>
          <w:bCs/>
          <w:color w:val="auto"/>
          <w:sz w:val="24"/>
          <w:szCs w:val="24"/>
          <w:highlight w:val="none"/>
        </w:rPr>
        <w:t xml:space="preserve">26  </w:t>
      </w:r>
      <w:r>
        <w:rPr>
          <w:rFonts w:hint="eastAsia" w:ascii="仿宋" w:hAnsi="仿宋" w:eastAsia="仿宋" w:cs="仿宋"/>
          <w:b/>
          <w:bCs/>
          <w:color w:val="auto"/>
          <w:sz w:val="24"/>
          <w:szCs w:val="24"/>
          <w:highlight w:val="none"/>
        </w:rPr>
        <w:t>指定分包</w:t>
      </w:r>
      <w:bookmarkEnd w:id="190"/>
      <w:r>
        <w:rPr>
          <w:rFonts w:hint="eastAsia" w:ascii="仿宋" w:hAnsi="仿宋" w:eastAsia="仿宋" w:cs="仿宋"/>
          <w:b/>
          <w:bCs/>
          <w:color w:val="auto"/>
          <w:sz w:val="24"/>
          <w:szCs w:val="24"/>
          <w:highlight w:val="none"/>
        </w:rPr>
        <w:t>人</w:t>
      </w:r>
      <w:bookmarkEnd w:id="191"/>
      <w:bookmarkEnd w:id="192"/>
      <w:bookmarkEnd w:id="193"/>
    </w:p>
    <w:p>
      <w:pPr>
        <w:shd w:val="clear" w:color="000000" w:fill="auto"/>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26.1 </w:t>
      </w:r>
    </w:p>
    <w:p>
      <w:pPr>
        <w:pStyle w:val="2"/>
        <w:shd w:val="clear" w:color="000000" w:fill="auto"/>
        <w:adjustRightInd w:val="0"/>
        <w:snapToGrid w:val="0"/>
        <w:spacing w:line="360" w:lineRule="auto"/>
        <w:ind w:left="1978" w:leftChars="942"/>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48352" behindDoc="0" locked="0" layoutInCell="1" allowOverlap="1">
                <wp:simplePos x="0" y="0"/>
                <wp:positionH relativeFrom="column">
                  <wp:posOffset>-114300</wp:posOffset>
                </wp:positionH>
                <wp:positionV relativeFrom="paragraph">
                  <wp:posOffset>60325</wp:posOffset>
                </wp:positionV>
                <wp:extent cx="914400" cy="693420"/>
                <wp:effectExtent l="0" t="0" r="0" b="0"/>
                <wp:wrapNone/>
                <wp:docPr id="88" name="文本框 89"/>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指定分包人工作</w:t>
                            </w:r>
                          </w:p>
                        </w:txbxContent>
                      </wps:txbx>
                      <wps:bodyPr upright="1"/>
                    </wps:wsp>
                  </a:graphicData>
                </a:graphic>
              </wp:anchor>
            </w:drawing>
          </mc:Choice>
          <mc:Fallback>
            <w:pict>
              <v:shape id="文本框 89" o:spid="_x0000_s1026" o:spt="202" type="#_x0000_t202" style="position:absolute;left:0pt;margin-left:-9pt;margin-top:4.75pt;height:54.6pt;width:72pt;z-index:251748352;mso-width-relative:page;mso-height-relative:page;" filled="f" stroked="f" coordsize="21600,21600" o:gfxdata="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F7Lq11gAA&#10;AAkBAAAPAAAAAAAAAAEAIAAAACIAAABkcnMvZG93bnJldi54bWxQSwECFAAUAAAACACHTuJAqwNt&#10;8K4BAABPAwAADgAAAAAAAAABACAAAAAlAQAAZHJzL2Uyb0RvYy54bWxQSwUGAAAAAAYABgBZAQAA&#10;R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指定分包人工作</w:t>
                      </w:r>
                    </w:p>
                  </w:txbxContent>
                </v:textbox>
              </v:shape>
            </w:pict>
          </mc:Fallback>
        </mc:AlternateContent>
      </w:r>
      <w:r>
        <w:rPr>
          <w:rFonts w:hint="eastAsia" w:ascii="仿宋" w:hAnsi="仿宋" w:eastAsia="仿宋" w:cs="仿宋"/>
          <w:color w:val="auto"/>
          <w:sz w:val="24"/>
          <w:szCs w:val="24"/>
          <w:highlight w:val="none"/>
        </w:rPr>
        <w:t>指定分包人是指发包人事先指定的从事下列工作之一的分包人：</w:t>
      </w:r>
    </w:p>
    <w:p>
      <w:pPr>
        <w:pStyle w:val="2"/>
        <w:widowControl/>
        <w:shd w:val="clear" w:color="000000" w:fill="auto"/>
        <w:adjustRightInd w:val="0"/>
        <w:snapToGrid w:val="0"/>
        <w:spacing w:line="360" w:lineRule="auto"/>
        <w:ind w:left="1978"/>
        <w:jc w:val="left"/>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）根据专用条款的约定，发包人依法事先指定的实施、完成部分永久工程的分包人；</w:t>
      </w:r>
    </w:p>
    <w:p>
      <w:pPr>
        <w:pStyle w:val="2"/>
        <w:widowControl/>
        <w:shd w:val="clear" w:color="000000" w:fill="auto"/>
        <w:adjustRightInd w:val="0"/>
        <w:snapToGrid w:val="0"/>
        <w:spacing w:line="360" w:lineRule="auto"/>
        <w:ind w:left="1978" w:leftChars="942" w:firstLine="16" w:firstLineChars="7"/>
        <w:jc w:val="left"/>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）根据专用条款的约定，发包人选定的提供合同工程材料、工程设备和服务的分包人。</w:t>
      </w:r>
    </w:p>
    <w:p>
      <w:pPr>
        <w:shd w:val="clear" w:color="000000" w:fill="auto"/>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26.2  </w:t>
      </w:r>
      <w:r>
        <w:rPr>
          <w:rFonts w:ascii="仿宋" w:hAnsi="仿宋" w:eastAsia="仿宋" w:cs="仿宋"/>
          <w:b/>
          <w:bCs/>
          <w:color w:val="auto"/>
          <w:sz w:val="24"/>
          <w:szCs w:val="24"/>
          <w:highlight w:val="none"/>
          <w:u w:val="dotted"/>
        </w:rPr>
        <w:t xml:space="preserve">                                                                             </w:t>
      </w:r>
    </w:p>
    <w:p>
      <w:pPr>
        <w:pStyle w:val="2"/>
        <w:widowControl/>
        <w:shd w:val="clear" w:color="000000" w:fill="auto"/>
        <w:adjustRightInd w:val="0"/>
        <w:snapToGrid w:val="0"/>
        <w:spacing w:line="360" w:lineRule="auto"/>
        <w:ind w:left="1978" w:leftChars="942" w:firstLine="2" w:firstLineChars="1"/>
        <w:jc w:val="left"/>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49376" behindDoc="0" locked="0" layoutInCell="1" allowOverlap="1">
                <wp:simplePos x="0" y="0"/>
                <wp:positionH relativeFrom="column">
                  <wp:posOffset>-114300</wp:posOffset>
                </wp:positionH>
                <wp:positionV relativeFrom="paragraph">
                  <wp:posOffset>0</wp:posOffset>
                </wp:positionV>
                <wp:extent cx="1028700" cy="627380"/>
                <wp:effectExtent l="0" t="0" r="0" b="0"/>
                <wp:wrapNone/>
                <wp:docPr id="89" name="文本框 90"/>
                <wp:cNvGraphicFramePr/>
                <a:graphic xmlns:a="http://schemas.openxmlformats.org/drawingml/2006/main">
                  <a:graphicData uri="http://schemas.microsoft.com/office/word/2010/wordprocessingShape">
                    <wps:wsp>
                      <wps:cNvSpPr txBox="1"/>
                      <wps:spPr>
                        <a:xfrm>
                          <a:off x="0" y="0"/>
                          <a:ext cx="1028700" cy="62738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承包人对指定分包人的接受</w:t>
                            </w:r>
                          </w:p>
                        </w:txbxContent>
                      </wps:txbx>
                      <wps:bodyPr upright="1"/>
                    </wps:wsp>
                  </a:graphicData>
                </a:graphic>
              </wp:anchor>
            </w:drawing>
          </mc:Choice>
          <mc:Fallback>
            <w:pict>
              <v:shape id="文本框 90" o:spid="_x0000_s1026" o:spt="202" type="#_x0000_t202" style="position:absolute;left:0pt;margin-left:-9pt;margin-top:0pt;height:49.4pt;width:81pt;z-index:251749376;mso-width-relative:page;mso-height-relative:page;" filled="f" stroked="f" coordsize="21600,21600" o:gfxdata="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GgOwG1AAAAAcB&#10;AAAPAAAAAAAAAAEAIAAAACIAAABkcnMvZG93bnJldi54bWxQSwECFAAUAAAACACHTuJAXYr/O60B&#10;AABQAwAADgAAAAAAAAABACAAAAAjAQAAZHJzL2Uyb0RvYy54bWxQSwUGAAAAAAYABgBZAQAAQgUA&#10;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承包人对指定分包人的接受</w:t>
                      </w:r>
                    </w:p>
                  </w:txbxContent>
                </v:textbox>
              </v:shape>
            </w:pict>
          </mc:Fallback>
        </mc:AlternateContent>
      </w:r>
      <w:r>
        <w:rPr>
          <w:rFonts w:hint="eastAsia" w:ascii="仿宋" w:hAnsi="仿宋" w:eastAsia="仿宋" w:cs="仿宋"/>
          <w:color w:val="auto"/>
          <w:sz w:val="24"/>
          <w:szCs w:val="24"/>
          <w:highlight w:val="none"/>
        </w:rPr>
        <w:t>指定分包人属于承包人的分包人，发包人不应要求承包人有义务接受承包人有理由反对的任何指定分包人。</w:t>
      </w:r>
    </w:p>
    <w:p>
      <w:pPr>
        <w:shd w:val="clear" w:color="000000" w:fill="auto"/>
        <w:spacing w:line="360" w:lineRule="auto"/>
        <w:rPr>
          <w:rFonts w:ascii="仿宋" w:hAnsi="仿宋" w:eastAsia="仿宋" w:cs="Times New Roman"/>
          <w:b/>
          <w:bCs/>
          <w:color w:val="auto"/>
          <w:sz w:val="24"/>
          <w:szCs w:val="24"/>
          <w:highlight w:val="none"/>
          <w:u w:val="dotted"/>
        </w:rPr>
      </w:pPr>
      <w:r>
        <w:rPr>
          <w:color w:val="auto"/>
          <w:highlight w:val="none"/>
        </w:rPr>
        <mc:AlternateContent>
          <mc:Choice Requires="wps">
            <w:drawing>
              <wp:anchor distT="0" distB="0" distL="114300" distR="114300" simplePos="0" relativeHeight="251750400" behindDoc="0" locked="0" layoutInCell="1" allowOverlap="1">
                <wp:simplePos x="0" y="0"/>
                <wp:positionH relativeFrom="column">
                  <wp:posOffset>-114300</wp:posOffset>
                </wp:positionH>
                <wp:positionV relativeFrom="paragraph">
                  <wp:posOffset>237490</wp:posOffset>
                </wp:positionV>
                <wp:extent cx="1028700" cy="699135"/>
                <wp:effectExtent l="0" t="0" r="0" b="0"/>
                <wp:wrapNone/>
                <wp:docPr id="90" name="文本框 91"/>
                <wp:cNvGraphicFramePr/>
                <a:graphic xmlns:a="http://schemas.openxmlformats.org/drawingml/2006/main">
                  <a:graphicData uri="http://schemas.microsoft.com/office/word/2010/wordprocessingShape">
                    <wps:wsp>
                      <wps:cNvSpPr txBox="1"/>
                      <wps:spPr>
                        <a:xfrm>
                          <a:off x="0" y="0"/>
                          <a:ext cx="1028700" cy="69913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指定分包工程款结算与支付</w:t>
                            </w:r>
                          </w:p>
                        </w:txbxContent>
                      </wps:txbx>
                      <wps:bodyPr upright="1"/>
                    </wps:wsp>
                  </a:graphicData>
                </a:graphic>
              </wp:anchor>
            </w:drawing>
          </mc:Choice>
          <mc:Fallback>
            <w:pict>
              <v:shape id="文本框 91" o:spid="_x0000_s1026" o:spt="202" type="#_x0000_t202" style="position:absolute;left:0pt;margin-left:-9pt;margin-top:18.7pt;height:55.05pt;width:81pt;z-index:251750400;mso-width-relative:page;mso-height-relative:page;" filled="f" stroked="f" coordsize="21600,21600" o:gfxdata="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O8sHLtgA&#10;AAAKAQAADwAAAAAAAAABACAAAAAiAAAAZHJzL2Rvd25yZXYueG1sUEsBAhQAFAAAAAgAh07iQPUJ&#10;W6CtAQAAUAMAAA4AAAAAAAAAAQAgAAAAJwEAAGRycy9lMm9Eb2MueG1sUEsFBgAAAAAGAAYAWQEA&#10;AEY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指定分包工程款结算与支付</w:t>
                      </w:r>
                    </w:p>
                  </w:txbxContent>
                </v:textbox>
              </v:shape>
            </w:pict>
          </mc:Fallback>
        </mc:AlternateContent>
      </w:r>
      <w:r>
        <w:rPr>
          <w:rFonts w:ascii="仿宋" w:hAnsi="仿宋" w:eastAsia="仿宋" w:cs="仿宋"/>
          <w:b/>
          <w:bCs/>
          <w:color w:val="auto"/>
          <w:sz w:val="24"/>
          <w:szCs w:val="24"/>
          <w:highlight w:val="none"/>
        </w:rPr>
        <w:t xml:space="preserve">26.3  </w:t>
      </w:r>
      <w:r>
        <w:rPr>
          <w:rFonts w:ascii="仿宋" w:hAnsi="仿宋" w:eastAsia="仿宋" w:cs="仿宋"/>
          <w:b/>
          <w:bCs/>
          <w:color w:val="auto"/>
          <w:sz w:val="24"/>
          <w:szCs w:val="24"/>
          <w:highlight w:val="none"/>
          <w:u w:val="dotted"/>
        </w:rPr>
        <w:t xml:space="preserve">                                                                              </w:t>
      </w:r>
    </w:p>
    <w:p>
      <w:pPr>
        <w:pStyle w:val="2"/>
        <w:widowControl/>
        <w:shd w:val="clear" w:color="000000" w:fill="auto"/>
        <w:adjustRightInd w:val="0"/>
        <w:snapToGrid w:val="0"/>
        <w:spacing w:line="360" w:lineRule="auto"/>
        <w:ind w:firstLine="1920" w:firstLineChars="800"/>
        <w:jc w:val="left"/>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发包人应按照合同的约定向承包人支付指定分包人的分包工程配合费。</w:t>
      </w:r>
    </w:p>
    <w:p>
      <w:pPr>
        <w:pStyle w:val="2"/>
        <w:widowControl/>
        <w:shd w:val="clear" w:color="000000" w:fill="auto"/>
        <w:adjustRightInd w:val="0"/>
        <w:snapToGrid w:val="0"/>
        <w:spacing w:line="360" w:lineRule="auto"/>
        <w:ind w:left="1978"/>
        <w:jc w:val="left"/>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指定分包工程款的结算与支付，按照第</w:t>
      </w:r>
      <w:r>
        <w:rPr>
          <w:rFonts w:ascii="仿宋" w:hAnsi="仿宋" w:eastAsia="仿宋" w:cs="仿宋"/>
          <w:color w:val="auto"/>
          <w:sz w:val="24"/>
          <w:szCs w:val="24"/>
          <w:highlight w:val="none"/>
        </w:rPr>
        <w:t>7.4</w:t>
      </w:r>
      <w:r>
        <w:rPr>
          <w:rFonts w:hint="eastAsia" w:ascii="仿宋" w:hAnsi="仿宋" w:eastAsia="仿宋" w:cs="仿宋"/>
          <w:color w:val="auto"/>
          <w:sz w:val="24"/>
          <w:szCs w:val="24"/>
          <w:highlight w:val="none"/>
        </w:rPr>
        <w:t>款办理。</w:t>
      </w:r>
    </w:p>
    <w:p>
      <w:pPr>
        <w:shd w:val="clear" w:color="000000" w:fill="auto"/>
        <w:spacing w:line="360" w:lineRule="auto"/>
        <w:rPr>
          <w:rFonts w:ascii="仿宋" w:hAnsi="仿宋" w:eastAsia="仿宋" w:cs="Times New Roman"/>
          <w:b/>
          <w:bCs/>
          <w:color w:val="auto"/>
          <w:sz w:val="24"/>
          <w:szCs w:val="24"/>
          <w:highlight w:val="none"/>
          <w:u w:val="dotted"/>
        </w:rPr>
      </w:pPr>
      <w:r>
        <w:rPr>
          <w:color w:val="auto"/>
          <w:highlight w:val="none"/>
        </w:rPr>
        <mc:AlternateContent>
          <mc:Choice Requires="wps">
            <w:drawing>
              <wp:anchor distT="0" distB="0" distL="114300" distR="114300" simplePos="0" relativeHeight="251751424" behindDoc="0" locked="0" layoutInCell="1" allowOverlap="1">
                <wp:simplePos x="0" y="0"/>
                <wp:positionH relativeFrom="column">
                  <wp:posOffset>-66675</wp:posOffset>
                </wp:positionH>
                <wp:positionV relativeFrom="paragraph">
                  <wp:posOffset>199390</wp:posOffset>
                </wp:positionV>
                <wp:extent cx="1133475" cy="791845"/>
                <wp:effectExtent l="0" t="0" r="0" b="0"/>
                <wp:wrapNone/>
                <wp:docPr id="91" name="文本框 92"/>
                <wp:cNvGraphicFramePr/>
                <a:graphic xmlns:a="http://schemas.openxmlformats.org/drawingml/2006/main">
                  <a:graphicData uri="http://schemas.microsoft.com/office/word/2010/wordprocessingShape">
                    <wps:wsp>
                      <wps:cNvSpPr txBox="1"/>
                      <wps:spPr>
                        <a:xfrm>
                          <a:off x="0" y="0"/>
                          <a:ext cx="1133475" cy="79184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承包人对指定</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分包工程的义</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务</w:t>
                            </w:r>
                          </w:p>
                          <w:p>
                            <w:pPr>
                              <w:rPr>
                                <w:rFonts w:ascii="楷体_GB2312" w:hAnsi="宋体" w:eastAsia="楷体_GB2312" w:cs="Times New Roman"/>
                                <w:b/>
                                <w:bCs/>
                                <w:color w:val="000000"/>
                              </w:rPr>
                            </w:pPr>
                          </w:p>
                          <w:p>
                            <w:pPr>
                              <w:rPr>
                                <w:rFonts w:cs="Times New Roman"/>
                              </w:rPr>
                            </w:pPr>
                          </w:p>
                          <w:p>
                            <w:pPr>
                              <w:rPr>
                                <w:rFonts w:cs="Times New Roman"/>
                              </w:rPr>
                            </w:pPr>
                          </w:p>
                        </w:txbxContent>
                      </wps:txbx>
                      <wps:bodyPr upright="1"/>
                    </wps:wsp>
                  </a:graphicData>
                </a:graphic>
              </wp:anchor>
            </w:drawing>
          </mc:Choice>
          <mc:Fallback>
            <w:pict>
              <v:shape id="文本框 92" o:spid="_x0000_s1026" o:spt="202" type="#_x0000_t202" style="position:absolute;left:0pt;margin-left:-5.25pt;margin-top:15.7pt;height:62.35pt;width:89.25pt;z-index:251751424;mso-width-relative:page;mso-height-relative:page;" filled="f" stroked="f" coordsize="21600,21600" o:gfxdata="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JTIIv&#10;1wAAAAoBAAAPAAAAAAAAAAEAIAAAACIAAABkcnMvZG93bnJldi54bWxQSwECFAAUAAAACACHTuJA&#10;VPaclLABAABQAwAADgAAAAAAAAABACAAAAAmAQAAZHJzL2Uyb0RvYy54bWxQSwUGAAAAAAYABgBZ&#10;AQAASA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承包人对指定</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分包工程的义</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务</w:t>
                      </w:r>
                    </w:p>
                    <w:p>
                      <w:pPr>
                        <w:rPr>
                          <w:rFonts w:ascii="楷体_GB2312" w:hAnsi="宋体" w:eastAsia="楷体_GB2312" w:cs="Times New Roman"/>
                          <w:b/>
                          <w:bCs/>
                          <w:color w:val="000000"/>
                        </w:rPr>
                      </w:pPr>
                    </w:p>
                    <w:p>
                      <w:pPr>
                        <w:rPr>
                          <w:rFonts w:cs="Times New Roman"/>
                        </w:rPr>
                      </w:pPr>
                    </w:p>
                    <w:p>
                      <w:pPr>
                        <w:rPr>
                          <w:rFonts w:cs="Times New Roman"/>
                        </w:rPr>
                      </w:pPr>
                    </w:p>
                  </w:txbxContent>
                </v:textbox>
              </v:shape>
            </w:pict>
          </mc:Fallback>
        </mc:AlternateContent>
      </w:r>
      <w:r>
        <w:rPr>
          <w:rFonts w:ascii="仿宋" w:hAnsi="仿宋" w:eastAsia="仿宋" w:cs="仿宋"/>
          <w:b/>
          <w:bCs/>
          <w:color w:val="auto"/>
          <w:sz w:val="24"/>
          <w:szCs w:val="24"/>
          <w:highlight w:val="none"/>
        </w:rPr>
        <w:t>26.4</w:t>
      </w:r>
      <w:r>
        <w:rPr>
          <w:rFonts w:ascii="仿宋" w:hAnsi="仿宋" w:eastAsia="仿宋" w:cs="仿宋"/>
          <w:b/>
          <w:bCs/>
          <w:color w:val="auto"/>
          <w:sz w:val="24"/>
          <w:szCs w:val="24"/>
          <w:highlight w:val="none"/>
          <w:u w:val="dotted"/>
        </w:rPr>
        <w:t xml:space="preserve">                                                                               </w:t>
      </w:r>
    </w:p>
    <w:p>
      <w:pPr>
        <w:pStyle w:val="2"/>
        <w:widowControl/>
        <w:shd w:val="clear" w:color="000000" w:fill="auto"/>
        <w:tabs>
          <w:tab w:val="left" w:pos="1260"/>
        </w:tabs>
        <w:adjustRightInd w:val="0"/>
        <w:snapToGrid w:val="0"/>
        <w:spacing w:line="360" w:lineRule="auto"/>
        <w:ind w:left="1978" w:leftChars="942" w:firstLine="1"/>
        <w:jc w:val="left"/>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指定分包人应按照分包合同的约定对承包人负责。承包人有义务协助、配合指定分包人实施分包工程。</w:t>
      </w:r>
    </w:p>
    <w:p>
      <w:pPr>
        <w:shd w:val="clear" w:color="000000" w:fill="auto"/>
        <w:spacing w:line="360" w:lineRule="auto"/>
        <w:rPr>
          <w:rFonts w:ascii="仿宋" w:hAnsi="仿宋" w:eastAsia="仿宋" w:cs="Times New Roman"/>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
        <w:shd w:val="clear" w:color="000000" w:fill="auto"/>
        <w:tabs>
          <w:tab w:val="left" w:pos="540"/>
        </w:tabs>
        <w:adjustRightInd w:val="0"/>
        <w:snapToGrid w:val="0"/>
        <w:spacing w:before="240" w:beforeLines="100"/>
        <w:outlineLvl w:val="2"/>
        <w:rPr>
          <w:rFonts w:ascii="仿宋" w:hAnsi="仿宋" w:eastAsia="仿宋" w:cs="Times New Roman"/>
          <w:b/>
          <w:bCs/>
          <w:color w:val="auto"/>
          <w:sz w:val="24"/>
          <w:szCs w:val="24"/>
          <w:highlight w:val="none"/>
        </w:rPr>
      </w:pPr>
      <w:bookmarkStart w:id="194" w:name="_Toc10624847"/>
      <w:bookmarkStart w:id="195" w:name="_Toc469384007"/>
      <w:bookmarkStart w:id="196" w:name="_Toc17467"/>
      <w:r>
        <w:rPr>
          <w:rFonts w:ascii="仿宋" w:hAnsi="仿宋" w:eastAsia="仿宋" w:cs="仿宋"/>
          <w:b/>
          <w:bCs/>
          <w:color w:val="auto"/>
          <w:sz w:val="24"/>
          <w:szCs w:val="24"/>
          <w:highlight w:val="none"/>
        </w:rPr>
        <w:t xml:space="preserve">27  </w:t>
      </w:r>
      <w:r>
        <w:rPr>
          <w:rFonts w:hint="eastAsia" w:ascii="仿宋" w:hAnsi="仿宋" w:eastAsia="仿宋" w:cs="仿宋"/>
          <w:b/>
          <w:bCs/>
          <w:color w:val="auto"/>
          <w:sz w:val="24"/>
          <w:szCs w:val="24"/>
          <w:highlight w:val="none"/>
        </w:rPr>
        <w:t>承包人劳务</w:t>
      </w:r>
      <w:bookmarkEnd w:id="194"/>
      <w:bookmarkEnd w:id="195"/>
      <w:bookmarkEnd w:id="196"/>
    </w:p>
    <w:p>
      <w:pPr>
        <w:shd w:val="clear" w:color="000000" w:fill="auto"/>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27.1   </w:t>
      </w:r>
    </w:p>
    <w:p>
      <w:pPr>
        <w:widowControl/>
        <w:shd w:val="clear" w:color="000000" w:fill="auto"/>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52448" behindDoc="0" locked="0" layoutInCell="1" allowOverlap="1">
                <wp:simplePos x="0" y="0"/>
                <wp:positionH relativeFrom="column">
                  <wp:posOffset>-114300</wp:posOffset>
                </wp:positionH>
                <wp:positionV relativeFrom="paragraph">
                  <wp:posOffset>8255</wp:posOffset>
                </wp:positionV>
                <wp:extent cx="914400" cy="692150"/>
                <wp:effectExtent l="0" t="0" r="0" b="0"/>
                <wp:wrapNone/>
                <wp:docPr id="92" name="文本框 93"/>
                <wp:cNvGraphicFramePr/>
                <a:graphic xmlns:a="http://schemas.openxmlformats.org/drawingml/2006/main">
                  <a:graphicData uri="http://schemas.microsoft.com/office/word/2010/wordprocessingShape">
                    <wps:wsp>
                      <wps:cNvSpPr txBox="1"/>
                      <wps:spPr>
                        <a:xfrm>
                          <a:off x="0" y="0"/>
                          <a:ext cx="914400" cy="69215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承包人提交施工机构安排报告</w:t>
                            </w:r>
                          </w:p>
                        </w:txbxContent>
                      </wps:txbx>
                      <wps:bodyPr upright="1"/>
                    </wps:wsp>
                  </a:graphicData>
                </a:graphic>
              </wp:anchor>
            </w:drawing>
          </mc:Choice>
          <mc:Fallback>
            <w:pict>
              <v:shape id="文本框 93" o:spid="_x0000_s1026" o:spt="202" type="#_x0000_t202" style="position:absolute;left:0pt;margin-left:-9pt;margin-top:0.65pt;height:54.5pt;width:72pt;z-index:251752448;mso-width-relative:page;mso-height-relative:page;" filled="f" stroked="f" coordsize="21600,21600" o:gfxdata="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Ds6rC1QAA&#10;AAkBAAAPAAAAAAAAAAEAIAAAACIAAABkcnMvZG93bnJldi54bWxQSwECFAAUAAAACACHTuJAbwb4&#10;b68BAABPAwAADgAAAAAAAAABACAAAAAkAQAAZHJzL2Uyb0RvYy54bWxQSwUGAAAAAAYABgBZAQAA&#10;R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承包人提交施工机构安排报告</w:t>
                      </w:r>
                    </w:p>
                  </w:txbxContent>
                </v:textbox>
              </v:shape>
            </w:pict>
          </mc:Fallback>
        </mc:AlternateContent>
      </w:r>
      <w:r>
        <w:rPr>
          <w:rFonts w:hint="eastAsia" w:ascii="仿宋" w:hAnsi="仿宋" w:eastAsia="仿宋" w:cs="仿宋"/>
          <w:color w:val="auto"/>
          <w:sz w:val="24"/>
          <w:szCs w:val="24"/>
          <w:highlight w:val="none"/>
        </w:rPr>
        <w:t>承包人应在接到开工令后</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向监理工程师提交承包人在施工场地的管理机构以及人员安排报告，并附上投标文件中的“主要人员一览表”。报告内容应包括管理机构的设置、各主要岗位的技术和管理人员名单及其资格，以及各工种技术工人的安排情况等。</w:t>
      </w:r>
    </w:p>
    <w:p>
      <w:pPr>
        <w:shd w:val="clear" w:color="000000" w:fill="auto"/>
        <w:spacing w:line="360" w:lineRule="auto"/>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27.2 </w:t>
      </w:r>
      <w:r>
        <w:rPr>
          <w:rFonts w:ascii="仿宋" w:hAnsi="仿宋" w:eastAsia="仿宋" w:cs="仿宋"/>
          <w:b/>
          <w:bCs/>
          <w:color w:val="auto"/>
          <w:sz w:val="24"/>
          <w:szCs w:val="24"/>
          <w:highlight w:val="none"/>
          <w:u w:val="dotted"/>
        </w:rPr>
        <w:t xml:space="preserve">                                                                                 </w:t>
      </w:r>
      <w:r>
        <w:rPr>
          <w:rFonts w:ascii="仿宋" w:hAnsi="仿宋" w:eastAsia="仿宋" w:cs="仿宋"/>
          <w:b/>
          <w:bCs/>
          <w:color w:val="auto"/>
          <w:sz w:val="24"/>
          <w:szCs w:val="24"/>
          <w:highlight w:val="none"/>
        </w:rPr>
        <w:t xml:space="preserve">   </w:t>
      </w:r>
    </w:p>
    <w:p>
      <w:pPr>
        <w:widowControl/>
        <w:shd w:val="clear" w:color="000000" w:fill="auto"/>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53472" behindDoc="0" locked="0" layoutInCell="1" allowOverlap="1">
                <wp:simplePos x="0" y="0"/>
                <wp:positionH relativeFrom="column">
                  <wp:posOffset>-114300</wp:posOffset>
                </wp:positionH>
                <wp:positionV relativeFrom="paragraph">
                  <wp:posOffset>8255</wp:posOffset>
                </wp:positionV>
                <wp:extent cx="914400" cy="396240"/>
                <wp:effectExtent l="0" t="0" r="0" b="0"/>
                <wp:wrapNone/>
                <wp:docPr id="93" name="文本框 9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承包人人员的雇佣</w:t>
                            </w:r>
                          </w:p>
                        </w:txbxContent>
                      </wps:txbx>
                      <wps:bodyPr upright="1"/>
                    </wps:wsp>
                  </a:graphicData>
                </a:graphic>
              </wp:anchor>
            </w:drawing>
          </mc:Choice>
          <mc:Fallback>
            <w:pict>
              <v:shape id="文本框 94" o:spid="_x0000_s1026" o:spt="202" type="#_x0000_t202" style="position:absolute;left:0pt;margin-left:-9pt;margin-top:0.65pt;height:31.2pt;width:72pt;z-index:251753472;mso-width-relative:page;mso-height-relative:page;" filled="f" stroked="f" coordsize="21600,21600" o:gfxdata="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Wt2iW1QAA&#10;AAgBAAAPAAAAAAAAAAEAIAAAACIAAABkcnMvZG93bnJldi54bWxQSwECFAAUAAAACACHTuJAcmrY&#10;868BAABPAwAADgAAAAAAAAABACAAAAAkAQAAZHJzL2Uyb0RvYy54bWxQSwUGAAAAAAYABgBZAQAA&#10;R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承包人人员的雇佣</w:t>
                      </w:r>
                    </w:p>
                  </w:txbxContent>
                </v:textbox>
              </v:shape>
            </w:pict>
          </mc:Fallback>
        </mc:AlternateContent>
      </w:r>
      <w:r>
        <w:rPr>
          <w:rFonts w:hint="eastAsia" w:ascii="仿宋" w:hAnsi="仿宋" w:eastAsia="仿宋" w:cs="仿宋"/>
          <w:color w:val="auto"/>
          <w:sz w:val="24"/>
          <w:szCs w:val="24"/>
          <w:highlight w:val="none"/>
        </w:rPr>
        <w:t>承包人除应雇佣投标文件中“主要人员一览表”中指明的人员外，也可以雇佣经监理工程师批准的其他人员，但不得从发包人或服务于发包人的人员中雇佣人员。</w:t>
      </w:r>
    </w:p>
    <w:p>
      <w:pPr>
        <w:shd w:val="clear" w:color="000000" w:fill="auto"/>
        <w:tabs>
          <w:tab w:val="left" w:pos="1620"/>
        </w:tabs>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27.3  </w:t>
      </w:r>
      <w:r>
        <w:rPr>
          <w:rFonts w:ascii="仿宋" w:hAnsi="仿宋" w:eastAsia="仿宋" w:cs="仿宋"/>
          <w:b/>
          <w:bCs/>
          <w:color w:val="auto"/>
          <w:sz w:val="24"/>
          <w:szCs w:val="24"/>
          <w:highlight w:val="none"/>
          <w:u w:val="dotted"/>
        </w:rPr>
        <w:t xml:space="preserve">                                                                                                        </w:t>
      </w:r>
    </w:p>
    <w:p>
      <w:pPr>
        <w:shd w:val="clear" w:color="000000" w:fill="auto"/>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54496" behindDoc="0" locked="0" layoutInCell="1" allowOverlap="1">
                <wp:simplePos x="0" y="0"/>
                <wp:positionH relativeFrom="column">
                  <wp:posOffset>-114300</wp:posOffset>
                </wp:positionH>
                <wp:positionV relativeFrom="paragraph">
                  <wp:posOffset>59690</wp:posOffset>
                </wp:positionV>
                <wp:extent cx="914400" cy="495300"/>
                <wp:effectExtent l="0" t="0" r="0" b="0"/>
                <wp:wrapNone/>
                <wp:docPr id="94" name="文本框 95"/>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承包人对雇员应做的工作</w:t>
                            </w:r>
                          </w:p>
                        </w:txbxContent>
                      </wps:txbx>
                      <wps:bodyPr upright="1"/>
                    </wps:wsp>
                  </a:graphicData>
                </a:graphic>
              </wp:anchor>
            </w:drawing>
          </mc:Choice>
          <mc:Fallback>
            <w:pict>
              <v:shape id="文本框 95" o:spid="_x0000_s1026" o:spt="202" type="#_x0000_t202" style="position:absolute;left:0pt;margin-left:-9pt;margin-top:4.7pt;height:39pt;width:72pt;z-index:251754496;mso-width-relative:page;mso-height-relative:page;" filled="f" stroked="f" coordsize="21600,21600" o:gfxdata="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wVgKKNUAAAAI&#10;AQAADwAAAAAAAAABACAAAAAiAAAAZHJzL2Rvd25yZXYueG1sUEsBAhQAFAAAAAgAh07iQLglVSet&#10;AQAATwMAAA4AAAAAAAAAAQAgAAAAJAEAAGRycy9lMm9Eb2MueG1sUEsFBgAAAAAGAAYAWQEAAEMF&#10;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承包人对雇员应做的工作</w:t>
                      </w:r>
                    </w:p>
                  </w:txbxContent>
                </v:textbox>
              </v:shape>
            </w:pict>
          </mc:Fallback>
        </mc:AlternateContent>
      </w:r>
      <w:r>
        <w:rPr>
          <w:rFonts w:hint="eastAsia" w:ascii="仿宋" w:hAnsi="仿宋" w:eastAsia="仿宋" w:cs="仿宋"/>
          <w:color w:val="auto"/>
          <w:sz w:val="24"/>
          <w:szCs w:val="24"/>
          <w:highlight w:val="none"/>
        </w:rPr>
        <w:t>承包人应完善雇员的劳务注册手续，并与雇员订立劳动合同，明确双方的权利和义务。雇佣期间，承包人应做好下列工作：</w:t>
      </w:r>
    </w:p>
    <w:p>
      <w:pPr>
        <w:shd w:val="clear" w:color="000000" w:fill="auto"/>
        <w:tabs>
          <w:tab w:val="left" w:pos="1080"/>
          <w:tab w:val="left" w:pos="2160"/>
        </w:tabs>
        <w:spacing w:line="360" w:lineRule="auto"/>
        <w:ind w:left="1619"/>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负责为雇员提供必要的食宿及各种生活设施，采取合理的卫生、劳动保护和安全防护措施，保证雇员的健康和安全；</w:t>
      </w:r>
    </w:p>
    <w:p>
      <w:pPr>
        <w:shd w:val="clear" w:color="000000" w:fill="auto"/>
        <w:tabs>
          <w:tab w:val="left" w:pos="1080"/>
          <w:tab w:val="left" w:pos="2160"/>
        </w:tabs>
        <w:spacing w:line="360" w:lineRule="auto"/>
        <w:ind w:left="1680" w:leftChars="8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保障雇员的合法权利和人身安全，及时采取有效措施抢救和治疗施工中受伤害的雇员；</w:t>
      </w:r>
    </w:p>
    <w:p>
      <w:pPr>
        <w:shd w:val="clear" w:color="000000" w:fill="auto"/>
        <w:tabs>
          <w:tab w:val="left" w:pos="2160"/>
        </w:tabs>
        <w:spacing w:line="360" w:lineRule="auto"/>
        <w:ind w:left="1617"/>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充分考虑和保障雇员的休息时间和法定节假日休假时间，尊重雇员的宗教信仰和风俗习惯；</w:t>
      </w:r>
    </w:p>
    <w:p>
      <w:pPr>
        <w:shd w:val="clear" w:color="000000" w:fill="auto"/>
        <w:tabs>
          <w:tab w:val="left" w:pos="1080"/>
          <w:tab w:val="left" w:pos="2160"/>
        </w:tabs>
        <w:spacing w:line="360" w:lineRule="auto"/>
        <w:ind w:left="1617"/>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(4)</w:t>
      </w:r>
      <w:r>
        <w:rPr>
          <w:rFonts w:hint="eastAsia" w:ascii="仿宋" w:hAnsi="仿宋" w:eastAsia="仿宋" w:cs="仿宋"/>
          <w:color w:val="auto"/>
          <w:sz w:val="24"/>
          <w:szCs w:val="24"/>
          <w:highlight w:val="none"/>
        </w:rPr>
        <w:t>在施工现场主要出入口处设榜公布雇员工资发放时间和投诉电话，以及合同工程中标价格、进度款支付情况。</w:t>
      </w:r>
    </w:p>
    <w:p>
      <w:pPr>
        <w:shd w:val="clear" w:color="000000" w:fill="auto"/>
        <w:tabs>
          <w:tab w:val="left" w:pos="1080"/>
          <w:tab w:val="left" w:pos="2160"/>
        </w:tabs>
        <w:spacing w:line="360" w:lineRule="auto"/>
        <w:ind w:left="1617"/>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(5)</w:t>
      </w:r>
      <w:r>
        <w:rPr>
          <w:rFonts w:hint="eastAsia" w:ascii="仿宋" w:hAnsi="仿宋" w:eastAsia="仿宋" w:cs="仿宋"/>
          <w:color w:val="auto"/>
          <w:sz w:val="24"/>
          <w:szCs w:val="24"/>
          <w:highlight w:val="none"/>
        </w:rPr>
        <w:t>督促雇员和发包人现场人员应佩戴由合同双方当事人共同盖章、签发的工作证上岗；</w:t>
      </w:r>
    </w:p>
    <w:p>
      <w:pPr>
        <w:shd w:val="clear" w:color="000000" w:fill="auto"/>
        <w:tabs>
          <w:tab w:val="left" w:pos="1080"/>
          <w:tab w:val="left" w:pos="2160"/>
        </w:tabs>
        <w:spacing w:line="360" w:lineRule="auto"/>
        <w:ind w:left="1619"/>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(6)</w:t>
      </w:r>
      <w:r>
        <w:rPr>
          <w:rFonts w:hint="eastAsia" w:ascii="仿宋" w:hAnsi="仿宋" w:eastAsia="仿宋" w:cs="仿宋"/>
          <w:color w:val="auto"/>
          <w:sz w:val="24"/>
          <w:szCs w:val="24"/>
          <w:highlight w:val="none"/>
        </w:rPr>
        <w:t>办理雇员的意外伤害等一切保险，处理雇员因工伤亡事故的善后事宜。</w:t>
      </w:r>
    </w:p>
    <w:p>
      <w:pPr>
        <w:shd w:val="clear" w:color="000000" w:fill="auto"/>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27.4  </w:t>
      </w:r>
      <w:r>
        <w:rPr>
          <w:rFonts w:ascii="仿宋" w:hAnsi="仿宋" w:eastAsia="仿宋" w:cs="仿宋"/>
          <w:b/>
          <w:bCs/>
          <w:color w:val="auto"/>
          <w:sz w:val="24"/>
          <w:szCs w:val="24"/>
          <w:highlight w:val="none"/>
          <w:u w:val="dotted"/>
        </w:rPr>
        <w:t xml:space="preserve">                                                                                                        </w:t>
      </w:r>
    </w:p>
    <w:p>
      <w:pPr>
        <w:pStyle w:val="33"/>
        <w:shd w:val="clear" w:color="000000" w:fill="auto"/>
        <w:ind w:left="1619" w:leftChars="771"/>
        <w:rPr>
          <w:rFonts w:ascii="仿宋" w:hAnsi="仿宋" w:eastAsia="仿宋"/>
          <w:color w:val="auto"/>
          <w:highlight w:val="none"/>
        </w:rPr>
      </w:pPr>
      <w:r>
        <w:rPr>
          <w:color w:val="auto"/>
          <w:highlight w:val="none"/>
        </w:rPr>
        <mc:AlternateContent>
          <mc:Choice Requires="wps">
            <w:drawing>
              <wp:anchor distT="0" distB="0" distL="114300" distR="114300" simplePos="0" relativeHeight="251755520" behindDoc="0" locked="0" layoutInCell="1" allowOverlap="1">
                <wp:simplePos x="0" y="0"/>
                <wp:positionH relativeFrom="column">
                  <wp:posOffset>-114300</wp:posOffset>
                </wp:positionH>
                <wp:positionV relativeFrom="paragraph">
                  <wp:posOffset>0</wp:posOffset>
                </wp:positionV>
                <wp:extent cx="914400" cy="693420"/>
                <wp:effectExtent l="0" t="0" r="0" b="0"/>
                <wp:wrapNone/>
                <wp:docPr id="95" name="文本框 96"/>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承包人特殊时间施工的批准</w:t>
                            </w:r>
                          </w:p>
                        </w:txbxContent>
                      </wps:txbx>
                      <wps:bodyPr upright="1"/>
                    </wps:wsp>
                  </a:graphicData>
                </a:graphic>
              </wp:anchor>
            </w:drawing>
          </mc:Choice>
          <mc:Fallback>
            <w:pict>
              <v:shape id="文本框 96" o:spid="_x0000_s1026" o:spt="202" type="#_x0000_t202" style="position:absolute;left:0pt;margin-left:-9pt;margin-top:0pt;height:54.6pt;width:72pt;z-index:251755520;mso-width-relative:page;mso-height-relative:page;" filled="f" stroked="f" coordsize="21600,21600" o:gfxdata="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jlEVM9QAAAAI&#10;AQAADwAAAAAAAAABACAAAAAiAAAAZHJzL2Rvd25yZXYueG1sUEsBAhQAFAAAAAgAh07iQIfEaE+u&#10;AQAATwMAAA4AAAAAAAAAAQAgAAAAIwEAAGRycy9lMm9Eb2MueG1sUEsFBgAAAAAGAAYAWQEAAEMF&#10;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承包人特殊时间施工的批准</w:t>
                      </w:r>
                    </w:p>
                  </w:txbxContent>
                </v:textbox>
              </v:shape>
            </w:pict>
          </mc:Fallback>
        </mc:AlternateContent>
      </w:r>
      <w:r>
        <w:rPr>
          <w:rFonts w:hint="eastAsia" w:ascii="仿宋" w:hAnsi="仿宋" w:eastAsia="仿宋" w:cs="仿宋"/>
          <w:color w:val="auto"/>
          <w:highlight w:val="none"/>
        </w:rPr>
        <w:t>承包人如需在法定节假日施工，应经监理工程师同意；如需在夜间施工，除应经监理工程师同意外，还应经有关部门批准。此类情况，均不得超过法律规定的限度，并应按照法律规定给予雇员补休或付酬。如无特殊原因，只要在不影响工程质量、施工安全、周围环境的情况下，监理工程师应予同意。但为抢救生命、保护财产，或为工程安全、质量而不可避免的作业，则无需事先经监理工程师同意。</w:t>
      </w:r>
    </w:p>
    <w:p>
      <w:pPr>
        <w:shd w:val="clear" w:color="000000" w:fill="auto"/>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27.5  </w:t>
      </w:r>
      <w:r>
        <w:rPr>
          <w:rFonts w:ascii="仿宋" w:hAnsi="仿宋" w:eastAsia="仿宋" w:cs="仿宋"/>
          <w:b/>
          <w:bCs/>
          <w:color w:val="auto"/>
          <w:sz w:val="24"/>
          <w:szCs w:val="24"/>
          <w:highlight w:val="none"/>
          <w:u w:val="dotted"/>
        </w:rPr>
        <w:t xml:space="preserve">                                                                                                        </w:t>
      </w:r>
    </w:p>
    <w:p>
      <w:pPr>
        <w:pStyle w:val="33"/>
        <w:shd w:val="clear" w:color="000000" w:fill="auto"/>
        <w:ind w:left="1619" w:leftChars="771"/>
        <w:rPr>
          <w:rFonts w:ascii="仿宋" w:hAnsi="仿宋" w:eastAsia="仿宋"/>
          <w:color w:val="auto"/>
          <w:highlight w:val="none"/>
        </w:rPr>
      </w:pPr>
      <w:r>
        <w:rPr>
          <w:color w:val="auto"/>
          <w:highlight w:val="none"/>
        </w:rPr>
        <mc:AlternateContent>
          <mc:Choice Requires="wps">
            <w:drawing>
              <wp:anchor distT="0" distB="0" distL="114300" distR="114300" simplePos="0" relativeHeight="251756544" behindDoc="0" locked="0" layoutInCell="1" allowOverlap="1">
                <wp:simplePos x="0" y="0"/>
                <wp:positionH relativeFrom="column">
                  <wp:posOffset>-114300</wp:posOffset>
                </wp:positionH>
                <wp:positionV relativeFrom="paragraph">
                  <wp:posOffset>0</wp:posOffset>
                </wp:positionV>
                <wp:extent cx="914400" cy="480695"/>
                <wp:effectExtent l="0" t="0" r="0" b="0"/>
                <wp:wrapNone/>
                <wp:docPr id="96" name="文本框 97"/>
                <wp:cNvGraphicFramePr/>
                <a:graphic xmlns:a="http://schemas.openxmlformats.org/drawingml/2006/main">
                  <a:graphicData uri="http://schemas.microsoft.com/office/word/2010/wordprocessingShape">
                    <wps:wsp>
                      <wps:cNvSpPr txBox="1"/>
                      <wps:spPr>
                        <a:xfrm>
                          <a:off x="0" y="0"/>
                          <a:ext cx="914400" cy="48069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承包人向雇员支付劳务工资</w:t>
                            </w:r>
                          </w:p>
                        </w:txbxContent>
                      </wps:txbx>
                      <wps:bodyPr upright="1"/>
                    </wps:wsp>
                  </a:graphicData>
                </a:graphic>
              </wp:anchor>
            </w:drawing>
          </mc:Choice>
          <mc:Fallback>
            <w:pict>
              <v:shape id="文本框 97" o:spid="_x0000_s1026" o:spt="202" type="#_x0000_t202" style="position:absolute;left:0pt;margin-left:-9pt;margin-top:0pt;height:37.85pt;width:72pt;z-index:251756544;mso-width-relative:page;mso-height-relative:page;" filled="f" stroked="f" coordsize="21600,21600" o:gfxdata="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HY257LVAAAA&#10;BwEAAA8AAAAAAAAAAQAgAAAAIgAAAGRycy9kb3ducmV2LnhtbFBLAQIUABQAAAAIAIdO4kBA3HUR&#10;rgEAAE8DAAAOAAAAAAAAAAEAIAAAACQBAABkcnMvZTJvRG9jLnhtbFBLBQYAAAAABgAGAFkBAABE&#10;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承包人向雇员支付劳务工资</w:t>
                      </w:r>
                    </w:p>
                  </w:txbxContent>
                </v:textbox>
              </v:shape>
            </w:pict>
          </mc:Fallback>
        </mc:AlternateContent>
      </w:r>
      <w:r>
        <w:rPr>
          <w:rFonts w:hint="eastAsia" w:ascii="仿宋" w:hAnsi="仿宋" w:eastAsia="仿宋" w:cs="仿宋"/>
          <w:color w:val="auto"/>
          <w:highlight w:val="none"/>
        </w:rPr>
        <w:t>承包人应按照时足额向雇员支付劳务工资，并不低于当地最低工资标准。因承包人拖欠其雇员工资而造成群体性示威、游行等一切后果，由承包人承担。对发包人造成损失和（或）导致工期延误的，应赔偿发包人的损失，工期不予顺延。</w:t>
      </w:r>
    </w:p>
    <w:p>
      <w:pPr>
        <w:shd w:val="clear" w:color="000000" w:fill="auto"/>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27.6  </w:t>
      </w:r>
      <w:r>
        <w:rPr>
          <w:rFonts w:ascii="仿宋" w:hAnsi="仿宋" w:eastAsia="仿宋" w:cs="仿宋"/>
          <w:b/>
          <w:bCs/>
          <w:color w:val="auto"/>
          <w:sz w:val="24"/>
          <w:szCs w:val="24"/>
          <w:highlight w:val="none"/>
          <w:u w:val="dotted"/>
        </w:rPr>
        <w:t xml:space="preserve">                                                                                                        </w:t>
      </w:r>
    </w:p>
    <w:p>
      <w:pPr>
        <w:shd w:val="clear" w:color="000000" w:fill="auto"/>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57568" behindDoc="0" locked="0" layoutInCell="1" allowOverlap="1">
                <wp:simplePos x="0" y="0"/>
                <wp:positionH relativeFrom="column">
                  <wp:posOffset>-114300</wp:posOffset>
                </wp:positionH>
                <wp:positionV relativeFrom="paragraph">
                  <wp:posOffset>0</wp:posOffset>
                </wp:positionV>
                <wp:extent cx="914400" cy="891540"/>
                <wp:effectExtent l="0" t="0" r="0" b="0"/>
                <wp:wrapNone/>
                <wp:docPr id="97" name="文本框 98"/>
                <wp:cNvGraphicFramePr/>
                <a:graphic xmlns:a="http://schemas.openxmlformats.org/drawingml/2006/main">
                  <a:graphicData uri="http://schemas.microsoft.com/office/word/2010/wordprocessingShape">
                    <wps:wsp>
                      <wps:cNvSpPr txBox="1"/>
                      <wps:spPr>
                        <a:xfrm>
                          <a:off x="0" y="0"/>
                          <a:ext cx="914400" cy="8915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承包人向工地派遣雇员的要求</w:t>
                            </w:r>
                          </w:p>
                        </w:txbxContent>
                      </wps:txbx>
                      <wps:bodyPr upright="1"/>
                    </wps:wsp>
                  </a:graphicData>
                </a:graphic>
              </wp:anchor>
            </w:drawing>
          </mc:Choice>
          <mc:Fallback>
            <w:pict>
              <v:shape id="文本框 98" o:spid="_x0000_s1026" o:spt="202" type="#_x0000_t202" style="position:absolute;left:0pt;margin-left:-9pt;margin-top:0pt;height:70.2pt;width:72pt;z-index:251757568;mso-width-relative:page;mso-height-relative:page;" filled="f" stroked="f" coordsize="21600,21600" o:gfxdata="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NKzjETUAAAA&#10;CAEAAA8AAAAAAAAAAQAgAAAAIgAAAGRycy9kb3ducmV2LnhtbFBLAQIUABQAAAAIAIdO4kAjoOHs&#10;rwEAAE8DAAAOAAAAAAAAAAEAIAAAACMBAABkcnMvZTJvRG9jLnhtbFBLBQYAAAAABgAGAFkBAABE&#10;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承包人向工地派遣雇员的要求</w:t>
                      </w:r>
                    </w:p>
                  </w:txbxContent>
                </v:textbox>
              </v:shape>
            </w:pict>
          </mc:Fallback>
        </mc:AlternateContent>
      </w:r>
      <w:r>
        <w:rPr>
          <w:rFonts w:hint="eastAsia" w:ascii="仿宋" w:hAnsi="仿宋" w:eastAsia="仿宋" w:cs="仿宋"/>
          <w:color w:val="auto"/>
          <w:sz w:val="24"/>
          <w:szCs w:val="24"/>
          <w:highlight w:val="none"/>
        </w:rPr>
        <w:t>承包人的雇员应是在行业或职业内具有相应资格、技能和经验的人员。承包人应向施工场地派遣足够数量的下列雇员：</w:t>
      </w:r>
    </w:p>
    <w:p>
      <w:pPr>
        <w:numPr>
          <w:ilvl w:val="1"/>
          <w:numId w:val="8"/>
        </w:numPr>
        <w:shd w:val="clear" w:color="000000" w:fill="auto"/>
        <w:tabs>
          <w:tab w:val="left" w:pos="2160"/>
          <w:tab w:val="left" w:pos="2340"/>
        </w:tabs>
        <w:spacing w:line="360" w:lineRule="auto"/>
        <w:ind w:left="1619" w:leftChars="771" w:firstLine="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具有相应资格的专业技工和合格的普工；</w:t>
      </w:r>
      <w:r>
        <w:rPr>
          <w:rFonts w:ascii="仿宋" w:hAnsi="仿宋" w:eastAsia="仿宋" w:cs="仿宋"/>
          <w:color w:val="auto"/>
          <w:sz w:val="24"/>
          <w:szCs w:val="24"/>
          <w:highlight w:val="none"/>
        </w:rPr>
        <w:t xml:space="preserve"> </w:t>
      </w:r>
    </w:p>
    <w:p>
      <w:pPr>
        <w:numPr>
          <w:ilvl w:val="1"/>
          <w:numId w:val="8"/>
        </w:numPr>
        <w:shd w:val="clear" w:color="000000" w:fill="auto"/>
        <w:tabs>
          <w:tab w:val="left" w:pos="2160"/>
          <w:tab w:val="left" w:pos="2340"/>
        </w:tabs>
        <w:spacing w:line="360" w:lineRule="auto"/>
        <w:ind w:left="1619" w:leftChars="771"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具有相应施工经验的技术人员；</w:t>
      </w:r>
    </w:p>
    <w:p>
      <w:pPr>
        <w:numPr>
          <w:ilvl w:val="1"/>
          <w:numId w:val="8"/>
        </w:numPr>
        <w:shd w:val="clear" w:color="000000" w:fill="auto"/>
        <w:tabs>
          <w:tab w:val="left" w:pos="2160"/>
          <w:tab w:val="left" w:pos="2340"/>
        </w:tabs>
        <w:spacing w:line="360" w:lineRule="auto"/>
        <w:ind w:left="1619" w:leftChars="771"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具有相应岗位资格的各级管理人员。</w:t>
      </w:r>
    </w:p>
    <w:p>
      <w:pPr>
        <w:shd w:val="clear" w:color="000000" w:fill="auto"/>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27.7  </w:t>
      </w:r>
      <w:r>
        <w:rPr>
          <w:rFonts w:ascii="仿宋" w:hAnsi="仿宋" w:eastAsia="仿宋" w:cs="仿宋"/>
          <w:b/>
          <w:bCs/>
          <w:color w:val="auto"/>
          <w:sz w:val="24"/>
          <w:szCs w:val="24"/>
          <w:highlight w:val="none"/>
          <w:u w:val="dotted"/>
        </w:rPr>
        <w:t xml:space="preserve">                                                                                                        </w:t>
      </w:r>
    </w:p>
    <w:p>
      <w:pPr>
        <w:shd w:val="clear" w:color="000000" w:fill="auto"/>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58592" behindDoc="0" locked="0" layoutInCell="1" allowOverlap="1">
                <wp:simplePos x="0" y="0"/>
                <wp:positionH relativeFrom="column">
                  <wp:posOffset>-114300</wp:posOffset>
                </wp:positionH>
                <wp:positionV relativeFrom="paragraph">
                  <wp:posOffset>0</wp:posOffset>
                </wp:positionV>
                <wp:extent cx="914400" cy="511175"/>
                <wp:effectExtent l="0" t="0" r="0" b="0"/>
                <wp:wrapNone/>
                <wp:docPr id="98" name="文本框 99"/>
                <wp:cNvGraphicFramePr/>
                <a:graphic xmlns:a="http://schemas.openxmlformats.org/drawingml/2006/main">
                  <a:graphicData uri="http://schemas.microsoft.com/office/word/2010/wordprocessingShape">
                    <wps:wsp>
                      <wps:cNvSpPr txBox="1"/>
                      <wps:spPr>
                        <a:xfrm>
                          <a:off x="0" y="0"/>
                          <a:ext cx="914400" cy="51117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承包人雇员安排和撤换</w:t>
                            </w:r>
                          </w:p>
                        </w:txbxContent>
                      </wps:txbx>
                      <wps:bodyPr upright="1"/>
                    </wps:wsp>
                  </a:graphicData>
                </a:graphic>
              </wp:anchor>
            </w:drawing>
          </mc:Choice>
          <mc:Fallback>
            <w:pict>
              <v:shape id="文本框 99" o:spid="_x0000_s1026" o:spt="202" type="#_x0000_t202" style="position:absolute;left:0pt;margin-left:-9pt;margin-top:0pt;height:40.25pt;width:72pt;z-index:251758592;mso-width-relative:page;mso-height-relative:page;" filled="f" stroked="f" coordsize="21600,21600" o:gfxdata="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2b8yh1AAAAAcB&#10;AAAPAAAAAAAAAAEAIAAAACIAAABkcnMvZG93bnJldi54bWxQSwECFAAUAAAACACHTuJAqBF9nq0B&#10;AABPAwAADgAAAAAAAAABACAAAAAjAQAAZHJzL2Uyb0RvYy54bWxQSwUGAAAAAAYABgBZAQAAQgUA&#10;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承包人雇员安排和撤换</w:t>
                      </w:r>
                    </w:p>
                  </w:txbxContent>
                </v:textbox>
              </v:shape>
            </w:pict>
          </mc:Fallback>
        </mc:AlternateContent>
      </w:r>
      <w:r>
        <w:rPr>
          <w:rFonts w:hint="eastAsia" w:ascii="仿宋" w:hAnsi="仿宋" w:eastAsia="仿宋" w:cs="仿宋"/>
          <w:color w:val="auto"/>
          <w:sz w:val="24"/>
          <w:szCs w:val="24"/>
          <w:highlight w:val="none"/>
        </w:rPr>
        <w:t>承包人安排在施工场地的雇员应保持相对稳定，但有下列行为的任何承包人雇员，监理工程师可要求承包人将其撤换：</w:t>
      </w:r>
    </w:p>
    <w:p>
      <w:pPr>
        <w:numPr>
          <w:ilvl w:val="0"/>
          <w:numId w:val="9"/>
        </w:numPr>
        <w:shd w:val="clear" w:color="000000" w:fill="auto"/>
        <w:tabs>
          <w:tab w:val="left" w:pos="2160"/>
        </w:tabs>
        <w:spacing w:line="360" w:lineRule="auto"/>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经常行为不当，或工作漫不经心；</w:t>
      </w:r>
    </w:p>
    <w:p>
      <w:pPr>
        <w:numPr>
          <w:ilvl w:val="0"/>
          <w:numId w:val="9"/>
        </w:numPr>
        <w:shd w:val="clear" w:color="000000" w:fill="auto"/>
        <w:tabs>
          <w:tab w:val="left" w:pos="2160"/>
        </w:tabs>
        <w:spacing w:line="360" w:lineRule="auto"/>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无能力履行义务或玩忽职守；</w:t>
      </w:r>
    </w:p>
    <w:p>
      <w:pPr>
        <w:numPr>
          <w:ilvl w:val="0"/>
          <w:numId w:val="9"/>
        </w:numPr>
        <w:shd w:val="clear" w:color="000000" w:fill="auto"/>
        <w:tabs>
          <w:tab w:val="left" w:pos="2160"/>
        </w:tabs>
        <w:spacing w:line="360" w:lineRule="auto"/>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不遵守合同的约定；</w:t>
      </w:r>
    </w:p>
    <w:p>
      <w:pPr>
        <w:numPr>
          <w:ilvl w:val="0"/>
          <w:numId w:val="9"/>
        </w:numPr>
        <w:shd w:val="clear" w:color="000000" w:fill="auto"/>
        <w:tabs>
          <w:tab w:val="left" w:pos="2160"/>
        </w:tabs>
        <w:spacing w:line="360" w:lineRule="auto"/>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有损安全、健康和不利于环境保护的行为。</w:t>
      </w:r>
    </w:p>
    <w:p>
      <w:pPr>
        <w:shd w:val="clear" w:color="000000" w:fill="auto"/>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27.8  </w:t>
      </w:r>
      <w:r>
        <w:rPr>
          <w:rFonts w:ascii="仿宋" w:hAnsi="仿宋" w:eastAsia="仿宋" w:cs="仿宋"/>
          <w:b/>
          <w:bCs/>
          <w:color w:val="auto"/>
          <w:sz w:val="24"/>
          <w:szCs w:val="24"/>
          <w:highlight w:val="none"/>
          <w:u w:val="dotted"/>
        </w:rPr>
        <w:t xml:space="preserve">                                                                                                        </w:t>
      </w:r>
    </w:p>
    <w:p>
      <w:pPr>
        <w:pStyle w:val="33"/>
        <w:shd w:val="clear" w:color="000000" w:fill="auto"/>
        <w:ind w:left="1619" w:leftChars="771"/>
        <w:rPr>
          <w:rFonts w:ascii="仿宋" w:hAnsi="仿宋" w:eastAsia="仿宋"/>
          <w:color w:val="auto"/>
          <w:highlight w:val="none"/>
        </w:rPr>
      </w:pPr>
      <w:r>
        <w:rPr>
          <w:color w:val="auto"/>
          <w:highlight w:val="none"/>
        </w:rPr>
        <mc:AlternateContent>
          <mc:Choice Requires="wps">
            <w:drawing>
              <wp:anchor distT="0" distB="0" distL="114300" distR="114300" simplePos="0" relativeHeight="251759616" behindDoc="0" locked="0" layoutInCell="1" allowOverlap="1">
                <wp:simplePos x="0" y="0"/>
                <wp:positionH relativeFrom="column">
                  <wp:posOffset>-114300</wp:posOffset>
                </wp:positionH>
                <wp:positionV relativeFrom="paragraph">
                  <wp:posOffset>0</wp:posOffset>
                </wp:positionV>
                <wp:extent cx="914400" cy="434975"/>
                <wp:effectExtent l="0" t="0" r="0" b="0"/>
                <wp:wrapNone/>
                <wp:docPr id="99" name="文本框 100"/>
                <wp:cNvGraphicFramePr/>
                <a:graphic xmlns:a="http://schemas.openxmlformats.org/drawingml/2006/main">
                  <a:graphicData uri="http://schemas.microsoft.com/office/word/2010/wordprocessingShape">
                    <wps:wsp>
                      <wps:cNvSpPr txBox="1"/>
                      <wps:spPr>
                        <a:xfrm>
                          <a:off x="0" y="0"/>
                          <a:ext cx="914400" cy="43497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承包人对雇员的保护</w:t>
                            </w:r>
                          </w:p>
                        </w:txbxContent>
                      </wps:txbx>
                      <wps:bodyPr upright="1"/>
                    </wps:wsp>
                  </a:graphicData>
                </a:graphic>
              </wp:anchor>
            </w:drawing>
          </mc:Choice>
          <mc:Fallback>
            <w:pict>
              <v:shape id="文本框 100" o:spid="_x0000_s1026" o:spt="202" type="#_x0000_t202" style="position:absolute;left:0pt;margin-left:-9pt;margin-top:0pt;height:34.25pt;width:72pt;z-index:251759616;mso-width-relative:page;mso-height-relative:page;" filled="f" stroked="f" coordsize="21600,21600" o:gfxdata="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LS12O/VAAAA&#10;BwEAAA8AAAAAAAAAAQAgAAAAIgAAAGRycy9kb3ducmV2LnhtbFBLAQIUABQAAAAIAIdO4kDnaZTZ&#10;rgEAAFADAAAOAAAAAAAAAAEAIAAAACQBAABkcnMvZTJvRG9jLnhtbFBLBQYAAAAABgAGAFkBAABE&#10;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承包人对雇员的保护</w:t>
                      </w:r>
                    </w:p>
                  </w:txbxContent>
                </v:textbox>
              </v:shape>
            </w:pict>
          </mc:Fallback>
        </mc:AlternateContent>
      </w:r>
      <w:r>
        <w:rPr>
          <w:rFonts w:hint="eastAsia" w:ascii="仿宋" w:hAnsi="仿宋" w:eastAsia="仿宋" w:cs="仿宋"/>
          <w:color w:val="auto"/>
          <w:highlight w:val="none"/>
        </w:rPr>
        <w:t>承包人应自始至终采取各种合理的预防措施，防止雇员内部发生打斗和任何无序、非法的不良行为，以确保现场安定和保护现场及邻近人员的生命、财产安全。</w:t>
      </w:r>
    </w:p>
    <w:p>
      <w:pPr>
        <w:shd w:val="clear" w:color="000000" w:fill="auto"/>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u w:val="single"/>
        </w:rPr>
        <w:t xml:space="preserve">                                                                                                              </w:t>
      </w:r>
    </w:p>
    <w:p>
      <w:pPr>
        <w:pStyle w:val="2"/>
        <w:shd w:val="clear" w:color="000000" w:fill="auto"/>
        <w:adjustRightInd w:val="0"/>
        <w:snapToGrid w:val="0"/>
        <w:spacing w:line="360" w:lineRule="auto"/>
        <w:ind w:right="-238"/>
        <w:jc w:val="center"/>
        <w:outlineLvl w:val="1"/>
        <w:rPr>
          <w:rFonts w:ascii="仿宋" w:hAnsi="仿宋" w:eastAsia="仿宋" w:cs="Times New Roman"/>
          <w:b/>
          <w:bCs/>
          <w:color w:val="auto"/>
          <w:sz w:val="24"/>
          <w:szCs w:val="24"/>
          <w:highlight w:val="none"/>
        </w:rPr>
      </w:pPr>
      <w:bookmarkStart w:id="197" w:name="_Toc469384008"/>
      <w:bookmarkStart w:id="198" w:name="_Toc18616"/>
      <w:bookmarkStart w:id="199" w:name="_Toc6962"/>
      <w:bookmarkStart w:id="200" w:name="_Toc10624848"/>
      <w:r>
        <w:rPr>
          <w:rFonts w:hint="eastAsia" w:ascii="仿宋" w:hAnsi="仿宋" w:eastAsia="仿宋" w:cs="仿宋"/>
          <w:b/>
          <w:bCs/>
          <w:color w:val="auto"/>
          <w:sz w:val="24"/>
          <w:szCs w:val="24"/>
          <w:highlight w:val="none"/>
        </w:rPr>
        <w:t>三、担保、保险与风险</w:t>
      </w:r>
      <w:bookmarkEnd w:id="197"/>
      <w:bookmarkEnd w:id="198"/>
      <w:bookmarkEnd w:id="199"/>
      <w:bookmarkEnd w:id="200"/>
    </w:p>
    <w:p>
      <w:pPr>
        <w:pStyle w:val="2"/>
        <w:shd w:val="clear" w:color="000000" w:fill="auto"/>
        <w:tabs>
          <w:tab w:val="left" w:pos="540"/>
        </w:tabs>
        <w:adjustRightInd w:val="0"/>
        <w:snapToGrid w:val="0"/>
        <w:spacing w:before="240" w:beforeLines="100" w:line="360" w:lineRule="auto"/>
        <w:outlineLvl w:val="2"/>
        <w:rPr>
          <w:rFonts w:ascii="仿宋" w:hAnsi="仿宋" w:eastAsia="仿宋" w:cs="Times New Roman"/>
          <w:b/>
          <w:bCs/>
          <w:color w:val="auto"/>
          <w:sz w:val="24"/>
          <w:szCs w:val="24"/>
          <w:highlight w:val="none"/>
        </w:rPr>
      </w:pPr>
      <w:bookmarkStart w:id="201" w:name="_Toc469384009"/>
      <w:bookmarkStart w:id="202" w:name="_Toc8242"/>
      <w:bookmarkStart w:id="203" w:name="_Toc10624849"/>
      <w:r>
        <w:rPr>
          <w:rFonts w:ascii="仿宋" w:hAnsi="仿宋" w:eastAsia="仿宋" w:cs="仿宋"/>
          <w:b/>
          <w:bCs/>
          <w:color w:val="auto"/>
          <w:sz w:val="24"/>
          <w:szCs w:val="24"/>
          <w:highlight w:val="none"/>
        </w:rPr>
        <w:t xml:space="preserve">28  </w:t>
      </w:r>
      <w:r>
        <w:rPr>
          <w:rFonts w:hint="eastAsia" w:ascii="仿宋" w:hAnsi="仿宋" w:eastAsia="仿宋" w:cs="仿宋"/>
          <w:b/>
          <w:bCs/>
          <w:color w:val="auto"/>
          <w:sz w:val="24"/>
          <w:szCs w:val="24"/>
          <w:highlight w:val="none"/>
        </w:rPr>
        <w:t>工程担保</w:t>
      </w:r>
      <w:bookmarkEnd w:id="201"/>
      <w:bookmarkEnd w:id="202"/>
      <w:bookmarkEnd w:id="203"/>
    </w:p>
    <w:p>
      <w:pPr>
        <w:pStyle w:val="2"/>
        <w:shd w:val="clear" w:color="000000" w:fill="auto"/>
        <w:tabs>
          <w:tab w:val="left" w:pos="1320"/>
        </w:tabs>
        <w:adjustRightInd w:val="0"/>
        <w:snapToGrid w:val="0"/>
        <w:spacing w:line="360" w:lineRule="auto"/>
        <w:ind w:right="-240"/>
        <w:rPr>
          <w:rFonts w:ascii="仿宋" w:hAnsi="仿宋" w:eastAsia="仿宋" w:cs="仿宋"/>
          <w:b/>
          <w:bCs/>
          <w:color w:val="auto"/>
          <w:sz w:val="24"/>
          <w:szCs w:val="24"/>
          <w:highlight w:val="none"/>
        </w:rPr>
      </w:pPr>
      <w:r>
        <w:rPr>
          <w:color w:val="auto"/>
          <w:highlight w:val="none"/>
        </w:rPr>
        <mc:AlternateContent>
          <mc:Choice Requires="wps">
            <w:drawing>
              <wp:anchor distT="0" distB="0" distL="114300" distR="114300" simplePos="0" relativeHeight="251760640" behindDoc="0" locked="0" layoutInCell="1" allowOverlap="1">
                <wp:simplePos x="0" y="0"/>
                <wp:positionH relativeFrom="column">
                  <wp:posOffset>-114300</wp:posOffset>
                </wp:positionH>
                <wp:positionV relativeFrom="paragraph">
                  <wp:posOffset>243840</wp:posOffset>
                </wp:positionV>
                <wp:extent cx="914400" cy="396240"/>
                <wp:effectExtent l="0" t="0" r="0" b="0"/>
                <wp:wrapNone/>
                <wp:docPr id="100" name="文本框 10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承包人提供履约担保</w:t>
                            </w:r>
                          </w:p>
                        </w:txbxContent>
                      </wps:txbx>
                      <wps:bodyPr upright="1"/>
                    </wps:wsp>
                  </a:graphicData>
                </a:graphic>
              </wp:anchor>
            </w:drawing>
          </mc:Choice>
          <mc:Fallback>
            <w:pict>
              <v:shape id="文本框 101" o:spid="_x0000_s1026" o:spt="202" type="#_x0000_t202" style="position:absolute;left:0pt;margin-left:-9pt;margin-top:19.2pt;height:31.2pt;width:72pt;z-index:251760640;mso-width-relative:page;mso-height-relative:page;" filled="f" stroked="f" coordsize="21600,21600" o:gfxdata="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7gblBNcA&#10;AAAKAQAADwAAAAAAAAABACAAAAAiAAAAZHJzL2Rvd25yZXYueG1sUEsBAhQAFAAAAAgAh07iQDej&#10;uZSuAQAAUQMAAA4AAAAAAAAAAQAgAAAAJgEAAGRycy9lMm9Eb2MueG1sUEsFBgAAAAAGAAYAWQEA&#10;AEY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承包人提供履约担保</w:t>
                      </w:r>
                    </w:p>
                  </w:txbxContent>
                </v:textbox>
              </v:shape>
            </w:pict>
          </mc:Fallback>
        </mc:AlternateContent>
      </w:r>
      <w:r>
        <w:rPr>
          <w:rFonts w:ascii="仿宋" w:hAnsi="仿宋" w:eastAsia="仿宋" w:cs="仿宋"/>
          <w:b/>
          <w:bCs/>
          <w:color w:val="auto"/>
          <w:sz w:val="24"/>
          <w:szCs w:val="24"/>
          <w:highlight w:val="none"/>
        </w:rPr>
        <w:t xml:space="preserve">28.1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为正确履行本合同，发包人应在招标文件中或在签订合同前明确履约担保的有关要求，承包人应按照合同约定时间向发包人提供履约担保。履约担保采用银行保函、担保公司担保或履约保证保险的形式，提供履约保函、担保公司担保、履约保证保险所发生的费用由承包人承担。</w:t>
      </w:r>
    </w:p>
    <w:p>
      <w:pPr>
        <w:pStyle w:val="2"/>
        <w:shd w:val="clear" w:color="000000" w:fill="auto"/>
        <w:tabs>
          <w:tab w:val="left" w:pos="1320"/>
        </w:tabs>
        <w:adjustRightInd w:val="0"/>
        <w:snapToGrid w:val="0"/>
        <w:spacing w:line="360" w:lineRule="auto"/>
        <w:ind w:right="-240"/>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761664" behindDoc="0" locked="0" layoutInCell="1" allowOverlap="1">
                <wp:simplePos x="0" y="0"/>
                <wp:positionH relativeFrom="column">
                  <wp:posOffset>-114300</wp:posOffset>
                </wp:positionH>
                <wp:positionV relativeFrom="paragraph">
                  <wp:posOffset>255905</wp:posOffset>
                </wp:positionV>
                <wp:extent cx="914400" cy="394970"/>
                <wp:effectExtent l="0" t="0" r="0" b="0"/>
                <wp:wrapNone/>
                <wp:docPr id="101" name="文本框 102"/>
                <wp:cNvGraphicFramePr/>
                <a:graphic xmlns:a="http://schemas.openxmlformats.org/drawingml/2006/main">
                  <a:graphicData uri="http://schemas.microsoft.com/office/word/2010/wordprocessingShape">
                    <wps:wsp>
                      <wps:cNvSpPr txBox="1"/>
                      <wps:spPr>
                        <a:xfrm>
                          <a:off x="0" y="0"/>
                          <a:ext cx="914400" cy="39497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履约担保期限和退还</w:t>
                            </w:r>
                          </w:p>
                        </w:txbxContent>
                      </wps:txbx>
                      <wps:bodyPr upright="1"/>
                    </wps:wsp>
                  </a:graphicData>
                </a:graphic>
              </wp:anchor>
            </w:drawing>
          </mc:Choice>
          <mc:Fallback>
            <w:pict>
              <v:shape id="文本框 102" o:spid="_x0000_s1026" o:spt="202" type="#_x0000_t202" style="position:absolute;left:0pt;margin-left:-9pt;margin-top:20.15pt;height:31.1pt;width:72pt;z-index:251761664;mso-width-relative:page;mso-height-relative:page;" filled="f" stroked="f" coordsize="21600,21600" o:gfxdata="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CkedSNcA&#10;AAAKAQAADwAAAAAAAAABACAAAAAiAAAAZHJzL2Rvd25yZXYueG1sUEsBAhQAFAAAAAgAh07iQK7n&#10;3jWuAQAAUQMAAA4AAAAAAAAAAQAgAAAAJgEAAGRycy9lMm9Eb2MueG1sUEsFBgAAAAAGAAYAWQEA&#10;AEY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履约担保期限和退还</w:t>
                      </w:r>
                    </w:p>
                  </w:txbxContent>
                </v:textbox>
              </v:shape>
            </w:pict>
          </mc:Fallback>
        </mc:AlternateContent>
      </w:r>
      <w:r>
        <w:rPr>
          <w:rFonts w:ascii="仿宋" w:hAnsi="仿宋" w:eastAsia="仿宋" w:cs="仿宋"/>
          <w:b/>
          <w:bCs/>
          <w:color w:val="auto"/>
          <w:sz w:val="24"/>
          <w:szCs w:val="24"/>
          <w:highlight w:val="none"/>
        </w:rPr>
        <w:t xml:space="preserve">28.2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履约担保的有效期，是从提供履约担保之日起至合同工程竣工验收合格之日止。发包人应在担保有效期满后的</w:t>
      </w:r>
      <w:r>
        <w:rPr>
          <w:rFonts w:ascii="仿宋" w:hAnsi="仿宋" w:eastAsia="仿宋" w:cs="仿宋"/>
          <w:color w:val="auto"/>
          <w:sz w:val="24"/>
          <w:szCs w:val="24"/>
          <w:highlight w:val="none"/>
        </w:rPr>
        <w:t xml:space="preserve">14 </w:t>
      </w:r>
      <w:r>
        <w:rPr>
          <w:rFonts w:hint="eastAsia" w:ascii="仿宋" w:hAnsi="仿宋" w:eastAsia="仿宋" w:cs="仿宋"/>
          <w:color w:val="auto"/>
          <w:sz w:val="24"/>
          <w:szCs w:val="24"/>
          <w:highlight w:val="none"/>
        </w:rPr>
        <w:t>天内将此担保退还给承包人。</w:t>
      </w:r>
    </w:p>
    <w:p>
      <w:pPr>
        <w:pStyle w:val="2"/>
        <w:shd w:val="clear" w:color="000000" w:fill="auto"/>
        <w:tabs>
          <w:tab w:val="left" w:pos="1320"/>
        </w:tabs>
        <w:adjustRightInd w:val="0"/>
        <w:snapToGrid w:val="0"/>
        <w:spacing w:line="360" w:lineRule="auto"/>
        <w:ind w:right="-238"/>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762688" behindDoc="0" locked="0" layoutInCell="1" allowOverlap="1">
                <wp:simplePos x="0" y="0"/>
                <wp:positionH relativeFrom="column">
                  <wp:posOffset>-114300</wp:posOffset>
                </wp:positionH>
                <wp:positionV relativeFrom="paragraph">
                  <wp:posOffset>248920</wp:posOffset>
                </wp:positionV>
                <wp:extent cx="914400" cy="495300"/>
                <wp:effectExtent l="0" t="0" r="0" b="0"/>
                <wp:wrapNone/>
                <wp:docPr id="102" name="文本框 103"/>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向发包人支付索赔款项</w:t>
                            </w:r>
                          </w:p>
                        </w:txbxContent>
                      </wps:txbx>
                      <wps:bodyPr upright="1"/>
                    </wps:wsp>
                  </a:graphicData>
                </a:graphic>
              </wp:anchor>
            </w:drawing>
          </mc:Choice>
          <mc:Fallback>
            <w:pict>
              <v:shape id="文本框 103" o:spid="_x0000_s1026" o:spt="202" type="#_x0000_t202" style="position:absolute;left:0pt;margin-left:-9pt;margin-top:19.6pt;height:39pt;width:72pt;z-index:251762688;mso-width-relative:page;mso-height-relative:page;" filled="f" stroked="f" coordsize="21600,21600" o:gfxdata="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LW7JD7Y&#10;AAAACgEAAA8AAAAAAAAAAQAgAAAAIgAAAGRycy9kb3ducmV2LnhtbFBLAQIUABQAAAAIAIdO4kCY&#10;ENgergEAAFEDAAAOAAAAAAAAAAEAIAAAACcBAABkcnMvZTJvRG9jLnhtbFBLBQYAAAAABgAGAFkB&#10;AABH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向发包人支付索赔款项</w:t>
                      </w:r>
                    </w:p>
                  </w:txbxContent>
                </v:textbox>
              </v:shape>
            </w:pict>
          </mc:Fallback>
        </mc:AlternateContent>
      </w:r>
      <w:r>
        <w:rPr>
          <w:rFonts w:ascii="仿宋" w:hAnsi="仿宋" w:eastAsia="仿宋" w:cs="仿宋"/>
          <w:b/>
          <w:bCs/>
          <w:color w:val="auto"/>
          <w:sz w:val="24"/>
          <w:szCs w:val="24"/>
          <w:highlight w:val="none"/>
        </w:rPr>
        <w:t xml:space="preserve">28.3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b/>
          <w:bCs/>
          <w:color w:val="auto"/>
          <w:sz w:val="24"/>
          <w:szCs w:val="24"/>
          <w:highlight w:val="none"/>
        </w:rPr>
      </w:pPr>
      <w:r>
        <w:rPr>
          <w:rFonts w:hint="eastAsia" w:ascii="仿宋" w:hAnsi="仿宋" w:eastAsia="仿宋" w:cs="仿宋"/>
          <w:color w:val="auto"/>
          <w:sz w:val="24"/>
          <w:szCs w:val="24"/>
          <w:highlight w:val="none"/>
        </w:rPr>
        <w:t>发包人在对履约担保提出索赔要求之前，应书面通知承包人，说明导致此项索赔的原因，并及时向担保人提出索赔文件。担保人根据担保合同的约定在担保范围内承担担保责任，并无须征得承包人的同意，直接向发包人支付索赔价款。</w:t>
      </w:r>
    </w:p>
    <w:p>
      <w:pPr>
        <w:pStyle w:val="2"/>
        <w:shd w:val="clear" w:color="000000" w:fill="auto"/>
        <w:tabs>
          <w:tab w:val="left" w:pos="540"/>
          <w:tab w:val="left" w:pos="720"/>
        </w:tabs>
        <w:adjustRightInd w:val="0"/>
        <w:snapToGrid w:val="0"/>
        <w:spacing w:line="360" w:lineRule="auto"/>
        <w:ind w:right="-238"/>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763712" behindDoc="0" locked="0" layoutInCell="1" allowOverlap="1">
                <wp:simplePos x="0" y="0"/>
                <wp:positionH relativeFrom="column">
                  <wp:posOffset>-114300</wp:posOffset>
                </wp:positionH>
                <wp:positionV relativeFrom="paragraph">
                  <wp:posOffset>251460</wp:posOffset>
                </wp:positionV>
                <wp:extent cx="914400" cy="417830"/>
                <wp:effectExtent l="0" t="0" r="0" b="0"/>
                <wp:wrapNone/>
                <wp:docPr id="103" name="文本框 104"/>
                <wp:cNvGraphicFramePr/>
                <a:graphic xmlns:a="http://schemas.openxmlformats.org/drawingml/2006/main">
                  <a:graphicData uri="http://schemas.microsoft.com/office/word/2010/wordprocessingShape">
                    <wps:wsp>
                      <wps:cNvSpPr txBox="1"/>
                      <wps:spPr>
                        <a:xfrm>
                          <a:off x="0" y="0"/>
                          <a:ext cx="914400" cy="41783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发包人提供支付担保</w:t>
                            </w:r>
                          </w:p>
                        </w:txbxContent>
                      </wps:txbx>
                      <wps:bodyPr upright="1"/>
                    </wps:wsp>
                  </a:graphicData>
                </a:graphic>
              </wp:anchor>
            </w:drawing>
          </mc:Choice>
          <mc:Fallback>
            <w:pict>
              <v:shape id="文本框 104" o:spid="_x0000_s1026" o:spt="202" type="#_x0000_t202" style="position:absolute;left:0pt;margin-left:-9pt;margin-top:19.8pt;height:32.9pt;width:72pt;z-index:251763712;mso-width-relative:page;mso-height-relative:page;" filled="f" stroked="f" coordsize="21600,21600" o:gfxdata="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LE7+Y&#10;2AAAAAoBAAAPAAAAAAAAAAEAIAAAACIAAABkcnMvZG93bnJldi54bWxQSwECFAAUAAAACACHTuJA&#10;2tHKmq8BAABRAwAADgAAAAAAAAABACAAAAAnAQAAZHJzL2Uyb0RvYy54bWxQSwUGAAAAAAYABgBZ&#10;AQAASA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发包人提供支付担保</w:t>
                      </w:r>
                    </w:p>
                  </w:txbxContent>
                </v:textbox>
              </v:shape>
            </w:pict>
          </mc:Fallback>
        </mc:AlternateContent>
      </w:r>
      <w:r>
        <w:rPr>
          <w:rFonts w:ascii="仿宋" w:hAnsi="仿宋" w:eastAsia="仿宋" w:cs="仿宋"/>
          <w:b/>
          <w:bCs/>
          <w:color w:val="auto"/>
          <w:sz w:val="24"/>
          <w:szCs w:val="24"/>
          <w:highlight w:val="none"/>
        </w:rPr>
        <w:t xml:space="preserve">28.4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承包人按照第</w:t>
      </w:r>
      <w:r>
        <w:rPr>
          <w:rFonts w:ascii="仿宋" w:hAnsi="仿宋" w:eastAsia="仿宋" w:cs="仿宋"/>
          <w:color w:val="auto"/>
          <w:sz w:val="24"/>
          <w:szCs w:val="24"/>
          <w:highlight w:val="none"/>
        </w:rPr>
        <w:t>28.1</w:t>
      </w:r>
      <w:r>
        <w:rPr>
          <w:rFonts w:hint="eastAsia" w:ascii="仿宋" w:hAnsi="仿宋" w:eastAsia="仿宋" w:cs="仿宋"/>
          <w:color w:val="auto"/>
          <w:sz w:val="24"/>
          <w:szCs w:val="24"/>
          <w:highlight w:val="none"/>
        </w:rPr>
        <w:t>款的要求提交了履约担保，发包人应按照合同约定时间向承包人提交与履约担保等值的支付担保；发、承包人也可约定由发包人向承包人提交预付款等值的支付担保。支付担保采用银行保函、担保公司担保或支付保证保险的形式，提供支付保函、担保公司担保、支付保证保险所发生的费用由发包人承担。</w:t>
      </w:r>
    </w:p>
    <w:p>
      <w:pPr>
        <w:pStyle w:val="2"/>
        <w:shd w:val="clear" w:color="000000" w:fill="auto"/>
        <w:tabs>
          <w:tab w:val="left" w:pos="1320"/>
        </w:tabs>
        <w:adjustRightInd w:val="0"/>
        <w:snapToGrid w:val="0"/>
        <w:spacing w:line="360" w:lineRule="auto"/>
        <w:ind w:right="-238"/>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764736" behindDoc="0" locked="0" layoutInCell="1" allowOverlap="1">
                <wp:simplePos x="0" y="0"/>
                <wp:positionH relativeFrom="column">
                  <wp:posOffset>-114300</wp:posOffset>
                </wp:positionH>
                <wp:positionV relativeFrom="paragraph">
                  <wp:posOffset>238125</wp:posOffset>
                </wp:positionV>
                <wp:extent cx="914400" cy="412750"/>
                <wp:effectExtent l="0" t="0" r="0" b="0"/>
                <wp:wrapNone/>
                <wp:docPr id="104" name="文本框 105"/>
                <wp:cNvGraphicFramePr/>
                <a:graphic xmlns:a="http://schemas.openxmlformats.org/drawingml/2006/main">
                  <a:graphicData uri="http://schemas.microsoft.com/office/word/2010/wordprocessingShape">
                    <wps:wsp>
                      <wps:cNvSpPr txBox="1"/>
                      <wps:spPr>
                        <a:xfrm>
                          <a:off x="0" y="0"/>
                          <a:ext cx="914400" cy="41275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支付担保期限和退还</w:t>
                            </w:r>
                          </w:p>
                        </w:txbxContent>
                      </wps:txbx>
                      <wps:bodyPr upright="1"/>
                    </wps:wsp>
                  </a:graphicData>
                </a:graphic>
              </wp:anchor>
            </w:drawing>
          </mc:Choice>
          <mc:Fallback>
            <w:pict>
              <v:shape id="文本框 105" o:spid="_x0000_s1026" o:spt="202" type="#_x0000_t202" style="position:absolute;left:0pt;margin-left:-9pt;margin-top:18.75pt;height:32.5pt;width:72pt;z-index:251764736;mso-width-relative:page;mso-height-relative:page;" filled="f" stroked="f" coordsize="21600,21600" o:gfxdata="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PDJ&#10;2NgAAAAKAQAADwAAAAAAAAABACAAAAAiAAAAZHJzL2Rvd25yZXYueG1sUEsBAhQAFAAAAAgAh07i&#10;QK4kpW2wAQAAUQMAAA4AAAAAAAAAAQAgAAAAJwEAAGRycy9lMm9Eb2MueG1sUEsFBgAAAAAGAAYA&#10;WQEAAEk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支付担保期限和退还</w:t>
                      </w:r>
                    </w:p>
                  </w:txbxContent>
                </v:textbox>
              </v:shape>
            </w:pict>
          </mc:Fallback>
        </mc:AlternateContent>
      </w:r>
      <w:r>
        <w:rPr>
          <w:rFonts w:ascii="仿宋" w:hAnsi="仿宋" w:eastAsia="仿宋" w:cs="仿宋"/>
          <w:b/>
          <w:bCs/>
          <w:color w:val="auto"/>
          <w:sz w:val="24"/>
          <w:szCs w:val="24"/>
          <w:highlight w:val="none"/>
        </w:rPr>
        <w:t xml:space="preserve">28.5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支付担保的有效期，是从提供支付担保之日起至发包人根据本合同约定支付完除质量保证金以外的全部款项之日止。承包人应在担保有效期满后的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天内将此担保退还给发包人。</w:t>
      </w:r>
    </w:p>
    <w:p>
      <w:pPr>
        <w:pStyle w:val="2"/>
        <w:shd w:val="clear" w:color="000000" w:fill="auto"/>
        <w:tabs>
          <w:tab w:val="left" w:pos="1320"/>
        </w:tabs>
        <w:adjustRightInd w:val="0"/>
        <w:snapToGrid w:val="0"/>
        <w:spacing w:line="360" w:lineRule="auto"/>
        <w:ind w:right="-238"/>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765760" behindDoc="0" locked="0" layoutInCell="1" allowOverlap="1">
                <wp:simplePos x="0" y="0"/>
                <wp:positionH relativeFrom="column">
                  <wp:posOffset>-114300</wp:posOffset>
                </wp:positionH>
                <wp:positionV relativeFrom="paragraph">
                  <wp:posOffset>247650</wp:posOffset>
                </wp:positionV>
                <wp:extent cx="914400" cy="396240"/>
                <wp:effectExtent l="0" t="0" r="0" b="0"/>
                <wp:wrapNone/>
                <wp:docPr id="105" name="文本框 106"/>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向承包人支付索赔款项</w:t>
                            </w:r>
                          </w:p>
                        </w:txbxContent>
                      </wps:txbx>
                      <wps:bodyPr upright="1"/>
                    </wps:wsp>
                  </a:graphicData>
                </a:graphic>
              </wp:anchor>
            </w:drawing>
          </mc:Choice>
          <mc:Fallback>
            <w:pict>
              <v:shape id="文本框 106" o:spid="_x0000_s1026" o:spt="202" type="#_x0000_t202" style="position:absolute;left:0pt;margin-left:-9pt;margin-top:19.5pt;height:31.2pt;width:72pt;z-index:251765760;mso-width-relative:page;mso-height-relative:page;" filled="f" stroked="f" coordsize="21600,21600" o:gfxdata="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koaQYtYA&#10;AAAKAQAADwAAAAAAAAABACAAAAAiAAAAZHJzL2Rvd25yZXYueG1sUEsBAhQAFAAAAAgAh07iQEcD&#10;/E6vAQAAUQMAAA4AAAAAAAAAAQAgAAAAJQEAAGRycy9lMm9Eb2MueG1sUEsFBgAAAAAGAAYAWQEA&#10;AEY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向承包人支付索赔款项</w:t>
                      </w:r>
                    </w:p>
                  </w:txbxContent>
                </v:textbox>
              </v:shape>
            </w:pict>
          </mc:Fallback>
        </mc:AlternateContent>
      </w:r>
      <w:r>
        <w:rPr>
          <w:rFonts w:ascii="仿宋" w:hAnsi="仿宋" w:eastAsia="仿宋" w:cs="仿宋"/>
          <w:b/>
          <w:bCs/>
          <w:color w:val="auto"/>
          <w:sz w:val="24"/>
          <w:szCs w:val="24"/>
          <w:highlight w:val="none"/>
        </w:rPr>
        <w:t xml:space="preserve">28.6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在对支付担保提出索赔要求之前，应书面通知发包人和造价工程师，说明导致此项索赔的原因，并及时向担保人提出索赔文件。担保人根据担保合同的约定在担保范围内承担担保责任，并无须征得发包人的同意，直接向承包人支付索赔款额。</w:t>
      </w:r>
    </w:p>
    <w:p>
      <w:pPr>
        <w:pStyle w:val="2"/>
        <w:shd w:val="clear" w:color="000000" w:fill="auto"/>
        <w:tabs>
          <w:tab w:val="left" w:pos="1320"/>
        </w:tabs>
        <w:adjustRightInd w:val="0"/>
        <w:snapToGrid w:val="0"/>
        <w:spacing w:line="360" w:lineRule="auto"/>
        <w:ind w:right="-238"/>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766784" behindDoc="0" locked="0" layoutInCell="1" allowOverlap="1">
                <wp:simplePos x="0" y="0"/>
                <wp:positionH relativeFrom="column">
                  <wp:posOffset>-114300</wp:posOffset>
                </wp:positionH>
                <wp:positionV relativeFrom="paragraph">
                  <wp:posOffset>243205</wp:posOffset>
                </wp:positionV>
                <wp:extent cx="914400" cy="422910"/>
                <wp:effectExtent l="0" t="0" r="0" b="0"/>
                <wp:wrapNone/>
                <wp:docPr id="106" name="文本框 107"/>
                <wp:cNvGraphicFramePr/>
                <a:graphic xmlns:a="http://schemas.openxmlformats.org/drawingml/2006/main">
                  <a:graphicData uri="http://schemas.microsoft.com/office/word/2010/wordprocessingShape">
                    <wps:wsp>
                      <wps:cNvSpPr txBox="1"/>
                      <wps:spPr>
                        <a:xfrm>
                          <a:off x="0" y="0"/>
                          <a:ext cx="914400" cy="42291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双方延长担保期限</w:t>
                            </w:r>
                          </w:p>
                        </w:txbxContent>
                      </wps:txbx>
                      <wps:bodyPr upright="1"/>
                    </wps:wsp>
                  </a:graphicData>
                </a:graphic>
              </wp:anchor>
            </w:drawing>
          </mc:Choice>
          <mc:Fallback>
            <w:pict>
              <v:shape id="文本框 107" o:spid="_x0000_s1026" o:spt="202" type="#_x0000_t202" style="position:absolute;left:0pt;margin-left:-9pt;margin-top:19.15pt;height:33.3pt;width:72pt;z-index:251766784;mso-width-relative:page;mso-height-relative:page;" filled="f" stroked="f" coordsize="21600,21600" o:gfxdata="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DAE2KnX&#10;AAAACgEAAA8AAAAAAAAAAQAgAAAAIgAAAGRycy9kb3ducmV2LnhtbFBLAQIUABQAAAAIAIdO4kC/&#10;CaThrwEAAFEDAAAOAAAAAAAAAAEAIAAAACYBAABkcnMvZTJvRG9jLnhtbFBLBQYAAAAABgAGAFkB&#10;AABH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双方延长担保期限</w:t>
                      </w:r>
                    </w:p>
                  </w:txbxContent>
                </v:textbox>
              </v:shape>
            </w:pict>
          </mc:Fallback>
        </mc:AlternateContent>
      </w:r>
      <w:r>
        <w:rPr>
          <w:rFonts w:ascii="仿宋" w:hAnsi="仿宋" w:eastAsia="仿宋" w:cs="仿宋"/>
          <w:b/>
          <w:bCs/>
          <w:color w:val="auto"/>
          <w:sz w:val="24"/>
          <w:szCs w:val="24"/>
          <w:highlight w:val="none"/>
        </w:rPr>
        <w:t xml:space="preserve">28.7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合同双方当事人均应确保合同工程担保有效期符合工期合理顺延的要求。若合同一方当事人未能保证延长担保有效期，另一方当事人可向其索赔担保的全部金额。</w:t>
      </w:r>
    </w:p>
    <w:p>
      <w:pPr>
        <w:pStyle w:val="2"/>
        <w:shd w:val="clear" w:color="000000" w:fill="auto"/>
        <w:tabs>
          <w:tab w:val="left" w:pos="1320"/>
        </w:tabs>
        <w:adjustRightInd w:val="0"/>
        <w:snapToGrid w:val="0"/>
        <w:spacing w:line="360" w:lineRule="auto"/>
        <w:ind w:right="-238"/>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767808" behindDoc="0" locked="0" layoutInCell="1" allowOverlap="1">
                <wp:simplePos x="0" y="0"/>
                <wp:positionH relativeFrom="column">
                  <wp:posOffset>-114300</wp:posOffset>
                </wp:positionH>
                <wp:positionV relativeFrom="paragraph">
                  <wp:posOffset>255270</wp:posOffset>
                </wp:positionV>
                <wp:extent cx="914400" cy="339090"/>
                <wp:effectExtent l="0" t="0" r="0" b="0"/>
                <wp:wrapNone/>
                <wp:docPr id="107" name="文本框 108"/>
                <wp:cNvGraphicFramePr/>
                <a:graphic xmlns:a="http://schemas.openxmlformats.org/drawingml/2006/main">
                  <a:graphicData uri="http://schemas.microsoft.com/office/word/2010/wordprocessingShape">
                    <wps:wsp>
                      <wps:cNvSpPr txBox="1"/>
                      <wps:spPr>
                        <a:xfrm>
                          <a:off x="0" y="0"/>
                          <a:ext cx="914400" cy="33909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约定担保事项</w:t>
                            </w:r>
                          </w:p>
                        </w:txbxContent>
                      </wps:txbx>
                      <wps:bodyPr upright="1"/>
                    </wps:wsp>
                  </a:graphicData>
                </a:graphic>
              </wp:anchor>
            </w:drawing>
          </mc:Choice>
          <mc:Fallback>
            <w:pict>
              <v:shape id="文本框 108" o:spid="_x0000_s1026" o:spt="202" type="#_x0000_t202" style="position:absolute;left:0pt;margin-left:-9pt;margin-top:20.1pt;height:26.7pt;width:72pt;z-index:251767808;mso-width-relative:page;mso-height-relative:page;" filled="f" stroked="f" coordsize="21600,21600" o:gfxdata="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cSH3V&#10;1wAAAAkBAAAPAAAAAAAAAAEAIAAAACIAAABkcnMvZG93bnJldi54bWxQSwECFAAUAAAACACHTuJA&#10;FBZRDbABAABRAwAADgAAAAAAAAABACAAAAAmAQAAZHJzL2Uyb0RvYy54bWxQSwUGAAAAAAYABgBZ&#10;AQAASA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约定担保事项</w:t>
                      </w:r>
                    </w:p>
                  </w:txbxContent>
                </v:textbox>
              </v:shape>
            </w:pict>
          </mc:Fallback>
        </mc:AlternateContent>
      </w:r>
      <w:r>
        <w:rPr>
          <w:rFonts w:ascii="仿宋" w:hAnsi="仿宋" w:eastAsia="仿宋" w:cs="仿宋"/>
          <w:b/>
          <w:bCs/>
          <w:color w:val="auto"/>
          <w:sz w:val="24"/>
          <w:szCs w:val="24"/>
          <w:highlight w:val="none"/>
        </w:rPr>
        <w:t xml:space="preserve">28.8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合同双方当事人在专用条款中约定担保内容、方式和责任等事项，并签订担保合同，作为本合同附件。</w:t>
      </w:r>
    </w:p>
    <w:p>
      <w:pPr>
        <w:pStyle w:val="2"/>
        <w:shd w:val="clear" w:color="000000" w:fill="auto"/>
        <w:adjustRightInd w:val="0"/>
        <w:snapToGrid w:val="0"/>
        <w:ind w:right="-240"/>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
        <w:shd w:val="clear" w:color="000000" w:fill="auto"/>
        <w:tabs>
          <w:tab w:val="left" w:pos="540"/>
        </w:tabs>
        <w:adjustRightInd w:val="0"/>
        <w:snapToGrid w:val="0"/>
        <w:spacing w:before="240" w:beforeLines="100" w:line="360" w:lineRule="auto"/>
        <w:outlineLvl w:val="2"/>
        <w:rPr>
          <w:rFonts w:ascii="仿宋" w:hAnsi="仿宋" w:eastAsia="仿宋" w:cs="Times New Roman"/>
          <w:b/>
          <w:bCs/>
          <w:color w:val="auto"/>
          <w:sz w:val="24"/>
          <w:szCs w:val="24"/>
          <w:highlight w:val="none"/>
        </w:rPr>
      </w:pPr>
      <w:bookmarkStart w:id="204" w:name="_Toc10624850"/>
      <w:bookmarkStart w:id="205" w:name="_Toc469384010"/>
      <w:bookmarkStart w:id="206" w:name="_Toc29682"/>
      <w:r>
        <w:rPr>
          <w:rFonts w:ascii="仿宋" w:hAnsi="仿宋" w:eastAsia="仿宋" w:cs="仿宋"/>
          <w:b/>
          <w:bCs/>
          <w:color w:val="auto"/>
          <w:sz w:val="24"/>
          <w:szCs w:val="24"/>
          <w:highlight w:val="none"/>
        </w:rPr>
        <w:t xml:space="preserve">29  </w:t>
      </w:r>
      <w:r>
        <w:rPr>
          <w:rFonts w:hint="eastAsia" w:ascii="仿宋" w:hAnsi="仿宋" w:eastAsia="仿宋" w:cs="仿宋"/>
          <w:b/>
          <w:bCs/>
          <w:color w:val="auto"/>
          <w:sz w:val="24"/>
          <w:szCs w:val="24"/>
          <w:highlight w:val="none"/>
        </w:rPr>
        <w:t>发包人风险</w:t>
      </w:r>
      <w:bookmarkEnd w:id="204"/>
      <w:bookmarkEnd w:id="205"/>
      <w:bookmarkEnd w:id="206"/>
    </w:p>
    <w:p>
      <w:pPr>
        <w:pStyle w:val="2"/>
        <w:shd w:val="clear" w:color="000000" w:fill="auto"/>
        <w:adjustRightInd w:val="0"/>
        <w:snapToGrid w:val="0"/>
        <w:spacing w:line="360" w:lineRule="auto"/>
        <w:ind w:right="-240"/>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768832" behindDoc="0" locked="0" layoutInCell="1" allowOverlap="1">
                <wp:simplePos x="0" y="0"/>
                <wp:positionH relativeFrom="column">
                  <wp:posOffset>-114300</wp:posOffset>
                </wp:positionH>
                <wp:positionV relativeFrom="paragraph">
                  <wp:posOffset>226695</wp:posOffset>
                </wp:positionV>
                <wp:extent cx="914400" cy="396240"/>
                <wp:effectExtent l="0" t="0" r="0" b="0"/>
                <wp:wrapNone/>
                <wp:docPr id="108" name="文本框 109"/>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发包人承担风险</w:t>
                            </w:r>
                          </w:p>
                        </w:txbxContent>
                      </wps:txbx>
                      <wps:bodyPr upright="1"/>
                    </wps:wsp>
                  </a:graphicData>
                </a:graphic>
              </wp:anchor>
            </w:drawing>
          </mc:Choice>
          <mc:Fallback>
            <w:pict>
              <v:shape id="文本框 109" o:spid="_x0000_s1026" o:spt="202" type="#_x0000_t202" style="position:absolute;left:0pt;margin-left:-9pt;margin-top:17.85pt;height:31.2pt;width:72pt;z-index:251768832;mso-width-relative:page;mso-height-relative:page;" filled="f" stroked="f" coordsize="21600,21600" o:gfxdata="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OFo6vjX&#10;AAAACQEAAA8AAAAAAAAAAQAgAAAAIgAAAGRycy9kb3ducmV2LnhtbFBLAQIUABQAAAAIAIdO4kDo&#10;eRnXrwEAAFEDAAAOAAAAAAAAAAEAIAAAACYBAABkcnMvZTJvRG9jLnhtbFBLBQYAAAAABgAGAFkB&#10;AABH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发包人承担风险</w:t>
                      </w:r>
                    </w:p>
                  </w:txbxContent>
                </v:textbox>
              </v:shape>
            </w:pict>
          </mc:Fallback>
        </mc:AlternateContent>
      </w:r>
      <w:r>
        <w:rPr>
          <w:rFonts w:ascii="仿宋" w:hAnsi="仿宋" w:eastAsia="仿宋" w:cs="仿宋"/>
          <w:b/>
          <w:bCs/>
          <w:color w:val="auto"/>
          <w:sz w:val="24"/>
          <w:szCs w:val="24"/>
          <w:highlight w:val="none"/>
        </w:rPr>
        <w:t xml:space="preserve">29.1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发包人应承担本合同中规定应由发包人承担的风险。</w:t>
      </w:r>
    </w:p>
    <w:p>
      <w:pPr>
        <w:pStyle w:val="2"/>
        <w:shd w:val="clear" w:color="000000" w:fill="auto"/>
        <w:adjustRightInd w:val="0"/>
        <w:snapToGrid w:val="0"/>
        <w:spacing w:line="480" w:lineRule="auto"/>
        <w:ind w:right="-240"/>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29.2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right="-240" w:firstLine="1417" w:firstLineChars="675"/>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69856" behindDoc="0" locked="0" layoutInCell="1" allowOverlap="1">
                <wp:simplePos x="0" y="0"/>
                <wp:positionH relativeFrom="column">
                  <wp:posOffset>-114300</wp:posOffset>
                </wp:positionH>
                <wp:positionV relativeFrom="paragraph">
                  <wp:posOffset>10795</wp:posOffset>
                </wp:positionV>
                <wp:extent cx="914400" cy="356235"/>
                <wp:effectExtent l="0" t="0" r="0" b="0"/>
                <wp:wrapNone/>
                <wp:docPr id="109" name="文本框 110"/>
                <wp:cNvGraphicFramePr/>
                <a:graphic xmlns:a="http://schemas.openxmlformats.org/drawingml/2006/main">
                  <a:graphicData uri="http://schemas.microsoft.com/office/word/2010/wordprocessingShape">
                    <wps:wsp>
                      <wps:cNvSpPr txBox="1"/>
                      <wps:spPr>
                        <a:xfrm>
                          <a:off x="0" y="0"/>
                          <a:ext cx="914400" cy="35623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发包人风险</w:t>
                            </w:r>
                          </w:p>
                        </w:txbxContent>
                      </wps:txbx>
                      <wps:bodyPr upright="1"/>
                    </wps:wsp>
                  </a:graphicData>
                </a:graphic>
              </wp:anchor>
            </w:drawing>
          </mc:Choice>
          <mc:Fallback>
            <w:pict>
              <v:shape id="文本框 110" o:spid="_x0000_s1026" o:spt="202" type="#_x0000_t202" style="position:absolute;left:0pt;margin-left:-9pt;margin-top:0.85pt;height:28.05pt;width:72pt;z-index:251769856;mso-width-relative:page;mso-height-relative:page;" filled="f" stroked="f" coordsize="21600,21600" o:gfxdata="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HUQVNjVAAAA&#10;CAEAAA8AAAAAAAAAAQAgAAAAIgAAAGRycy9kb3ducmV2LnhtbFBLAQIUABQAAAAIAIdO4kADcQRP&#10;rgEAAFEDAAAOAAAAAAAAAAEAIAAAACQBAABkcnMvZTJvRG9jLnhtbFBLBQYAAAAABgAGAFkBAABE&#10;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发包人风险</w:t>
                      </w:r>
                    </w:p>
                  </w:txbxContent>
                </v:textbox>
              </v:shape>
            </w:pict>
          </mc:Fallback>
        </mc:AlternateContent>
      </w:r>
      <w:r>
        <w:rPr>
          <w:rFonts w:hint="eastAsia" w:ascii="仿宋" w:hAnsi="仿宋" w:eastAsia="仿宋" w:cs="仿宋"/>
          <w:color w:val="auto"/>
          <w:sz w:val="24"/>
          <w:szCs w:val="24"/>
          <w:highlight w:val="none"/>
        </w:rPr>
        <w:t>自开工之日起至颁发工程接收证书之日止，发包人风险包括但不限于：</w:t>
      </w:r>
    </w:p>
    <w:p>
      <w:pPr>
        <w:pStyle w:val="2"/>
        <w:numPr>
          <w:ilvl w:val="0"/>
          <w:numId w:val="10"/>
        </w:numPr>
        <w:shd w:val="clear" w:color="000000" w:fill="auto"/>
        <w:tabs>
          <w:tab w:val="left" w:pos="1080"/>
        </w:tabs>
        <w:adjustRightInd w:val="0"/>
        <w:snapToGrid w:val="0"/>
        <w:spacing w:line="360" w:lineRule="auto"/>
        <w:ind w:left="1619" w:leftChars="771" w:firstLine="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由于永久工程本身或施工而不可避免造成的财产（除工程本身、材料和工程设备和施工设备外）损失或损坏；</w:t>
      </w:r>
    </w:p>
    <w:p>
      <w:pPr>
        <w:pStyle w:val="2"/>
        <w:numPr>
          <w:ilvl w:val="0"/>
          <w:numId w:val="10"/>
        </w:numPr>
        <w:shd w:val="clear" w:color="000000" w:fill="auto"/>
        <w:tabs>
          <w:tab w:val="left" w:pos="1080"/>
        </w:tabs>
        <w:adjustRightInd w:val="0"/>
        <w:snapToGrid w:val="0"/>
        <w:spacing w:line="360" w:lineRule="auto"/>
        <w:ind w:left="1619" w:leftChars="771" w:firstLine="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由于发包人工作人员及其相关人员（除承包人外）的疏忽或违规造成的人员伤亡、财产损失或损坏；</w:t>
      </w:r>
    </w:p>
    <w:p>
      <w:pPr>
        <w:pStyle w:val="2"/>
        <w:numPr>
          <w:ilvl w:val="0"/>
          <w:numId w:val="10"/>
        </w:numPr>
        <w:shd w:val="clear" w:color="000000" w:fill="auto"/>
        <w:tabs>
          <w:tab w:val="left" w:pos="1080"/>
        </w:tabs>
        <w:adjustRightInd w:val="0"/>
        <w:snapToGrid w:val="0"/>
        <w:spacing w:line="360" w:lineRule="auto"/>
        <w:ind w:left="2096" w:leftChars="772" w:hanging="475" w:hangingChars="198"/>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由于发包人提前使用或占用永久工程或其部分造成的损失或损坏；</w:t>
      </w:r>
    </w:p>
    <w:p>
      <w:pPr>
        <w:pStyle w:val="2"/>
        <w:numPr>
          <w:ilvl w:val="0"/>
          <w:numId w:val="10"/>
        </w:numPr>
        <w:shd w:val="clear" w:color="000000" w:fill="auto"/>
        <w:tabs>
          <w:tab w:val="left" w:pos="1080"/>
        </w:tabs>
        <w:adjustRightInd w:val="0"/>
        <w:snapToGrid w:val="0"/>
        <w:spacing w:line="360" w:lineRule="auto"/>
        <w:ind w:left="1619" w:leftChars="771" w:firstLine="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由于发包人提供或发包人负责的设计造成的对永久工程、材料和工程设备和施工设备的损失或损害；</w:t>
      </w:r>
    </w:p>
    <w:p>
      <w:pPr>
        <w:pStyle w:val="2"/>
        <w:shd w:val="clear" w:color="000000" w:fill="auto"/>
        <w:adjustRightInd w:val="0"/>
        <w:snapToGrid w:val="0"/>
        <w:spacing w:line="360" w:lineRule="auto"/>
        <w:ind w:right="-240"/>
        <w:rPr>
          <w:rFonts w:ascii="仿宋" w:hAnsi="仿宋" w:eastAsia="仿宋" w:cs="仿宋"/>
          <w:color w:val="auto"/>
          <w:sz w:val="24"/>
          <w:szCs w:val="24"/>
          <w:highlight w:val="none"/>
          <w:u w:val="single"/>
        </w:rPr>
      </w:pPr>
      <w:r>
        <w:rPr>
          <w:rFonts w:ascii="仿宋" w:hAnsi="仿宋" w:eastAsia="仿宋" w:cs="仿宋"/>
          <w:color w:val="auto"/>
          <w:sz w:val="24"/>
          <w:szCs w:val="24"/>
          <w:highlight w:val="none"/>
          <w:u w:val="single"/>
        </w:rPr>
        <w:t xml:space="preserve">                                                                                                             </w:t>
      </w:r>
    </w:p>
    <w:p>
      <w:pPr>
        <w:pStyle w:val="2"/>
        <w:shd w:val="clear" w:color="000000" w:fill="auto"/>
        <w:adjustRightInd w:val="0"/>
        <w:snapToGrid w:val="0"/>
        <w:spacing w:line="360" w:lineRule="auto"/>
        <w:ind w:right="-240"/>
        <w:outlineLvl w:val="2"/>
        <w:rPr>
          <w:rFonts w:ascii="仿宋" w:hAnsi="仿宋" w:eastAsia="仿宋" w:cs="Times New Roman"/>
          <w:b/>
          <w:bCs/>
          <w:color w:val="auto"/>
          <w:sz w:val="24"/>
          <w:szCs w:val="24"/>
          <w:highlight w:val="none"/>
        </w:rPr>
      </w:pPr>
      <w:bookmarkStart w:id="207" w:name="_Toc469384011"/>
      <w:bookmarkStart w:id="208" w:name="_Toc3875"/>
      <w:bookmarkStart w:id="209" w:name="_Toc10624851"/>
      <w:r>
        <w:rPr>
          <w:rFonts w:ascii="仿宋" w:hAnsi="仿宋" w:eastAsia="仿宋" w:cs="仿宋"/>
          <w:b/>
          <w:bCs/>
          <w:color w:val="auto"/>
          <w:sz w:val="24"/>
          <w:szCs w:val="24"/>
          <w:highlight w:val="none"/>
        </w:rPr>
        <w:t xml:space="preserve">30  </w:t>
      </w:r>
      <w:r>
        <w:rPr>
          <w:rFonts w:hint="eastAsia" w:ascii="仿宋" w:hAnsi="仿宋" w:eastAsia="仿宋" w:cs="仿宋"/>
          <w:b/>
          <w:bCs/>
          <w:color w:val="auto"/>
          <w:sz w:val="24"/>
          <w:szCs w:val="24"/>
          <w:highlight w:val="none"/>
        </w:rPr>
        <w:t>承包人风险</w:t>
      </w:r>
      <w:bookmarkEnd w:id="207"/>
      <w:bookmarkEnd w:id="208"/>
      <w:bookmarkEnd w:id="209"/>
    </w:p>
    <w:p>
      <w:pPr>
        <w:pStyle w:val="2"/>
        <w:shd w:val="clear" w:color="000000" w:fill="auto"/>
        <w:tabs>
          <w:tab w:val="left" w:pos="1320"/>
          <w:tab w:val="left" w:pos="1440"/>
        </w:tabs>
        <w:adjustRightInd w:val="0"/>
        <w:snapToGrid w:val="0"/>
        <w:spacing w:line="360" w:lineRule="auto"/>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770880" behindDoc="0" locked="0" layoutInCell="1" allowOverlap="1">
                <wp:simplePos x="0" y="0"/>
                <wp:positionH relativeFrom="column">
                  <wp:posOffset>-133350</wp:posOffset>
                </wp:positionH>
                <wp:positionV relativeFrom="paragraph">
                  <wp:posOffset>254635</wp:posOffset>
                </wp:positionV>
                <wp:extent cx="1028700" cy="427355"/>
                <wp:effectExtent l="0" t="0" r="0" b="0"/>
                <wp:wrapNone/>
                <wp:docPr id="110" name="文本框 111"/>
                <wp:cNvGraphicFramePr/>
                <a:graphic xmlns:a="http://schemas.openxmlformats.org/drawingml/2006/main">
                  <a:graphicData uri="http://schemas.microsoft.com/office/word/2010/wordprocessingShape">
                    <wps:wsp>
                      <wps:cNvSpPr txBox="1"/>
                      <wps:spPr>
                        <a:xfrm>
                          <a:off x="0" y="0"/>
                          <a:ext cx="1028700" cy="42735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承包人承担风</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险</w:t>
                            </w:r>
                          </w:p>
                        </w:txbxContent>
                      </wps:txbx>
                      <wps:bodyPr upright="1"/>
                    </wps:wsp>
                  </a:graphicData>
                </a:graphic>
              </wp:anchor>
            </w:drawing>
          </mc:Choice>
          <mc:Fallback>
            <w:pict>
              <v:shape id="文本框 111" o:spid="_x0000_s1026" o:spt="202" type="#_x0000_t202" style="position:absolute;left:0pt;margin-left:-10.5pt;margin-top:20.05pt;height:33.65pt;width:81pt;z-index:251770880;mso-width-relative:page;mso-height-relative:page;" filled="f" stroked="f" coordsize="21600,21600" o:gfxdata="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ZKqyZ1gAA&#10;AAoBAAAPAAAAAAAAAAEAIAAAACIAAABkcnMvZG93bnJldi54bWxQSwECFAAUAAAACACHTuJALPbC&#10;d64BAABSAwAADgAAAAAAAAABACAAAAAlAQAAZHJzL2Uyb0RvYy54bWxQSwUGAAAAAAYABgBZAQAA&#10;R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承包人承担风</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险</w:t>
                      </w:r>
                    </w:p>
                  </w:txbxContent>
                </v:textbox>
              </v:shape>
            </w:pict>
          </mc:Fallback>
        </mc:AlternateContent>
      </w:r>
      <w:r>
        <w:rPr>
          <w:rFonts w:ascii="仿宋" w:hAnsi="仿宋" w:eastAsia="仿宋" w:cs="仿宋"/>
          <w:b/>
          <w:bCs/>
          <w:color w:val="auto"/>
          <w:sz w:val="24"/>
          <w:szCs w:val="24"/>
          <w:highlight w:val="none"/>
        </w:rPr>
        <w:t xml:space="preserve">30.1      </w:t>
      </w:r>
    </w:p>
    <w:p>
      <w:pPr>
        <w:pStyle w:val="2"/>
        <w:shd w:val="clear" w:color="000000" w:fill="auto"/>
        <w:tabs>
          <w:tab w:val="left" w:pos="1440"/>
        </w:tabs>
        <w:adjustRightInd w:val="0"/>
        <w:snapToGrid w:val="0"/>
        <w:spacing w:line="360" w:lineRule="auto"/>
        <w:ind w:firstLine="1620" w:firstLineChars="675"/>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承包人应承担本合同中规定应由承包人承担的风险。</w:t>
      </w:r>
    </w:p>
    <w:p>
      <w:pPr>
        <w:pStyle w:val="2"/>
        <w:shd w:val="clear" w:color="000000" w:fill="auto"/>
        <w:tabs>
          <w:tab w:val="left" w:pos="1320"/>
          <w:tab w:val="left" w:pos="1440"/>
        </w:tabs>
        <w:adjustRightInd w:val="0"/>
        <w:snapToGrid w:val="0"/>
        <w:spacing w:line="360" w:lineRule="auto"/>
        <w:rPr>
          <w:rFonts w:ascii="仿宋" w:hAnsi="仿宋" w:eastAsia="仿宋" w:cs="仿宋"/>
          <w:b/>
          <w:bCs/>
          <w:color w:val="auto"/>
          <w:sz w:val="24"/>
          <w:szCs w:val="24"/>
          <w:highlight w:val="none"/>
        </w:rPr>
      </w:pPr>
      <w:r>
        <w:rPr>
          <w:color w:val="auto"/>
          <w:highlight w:val="none"/>
        </w:rPr>
        <mc:AlternateContent>
          <mc:Choice Requires="wps">
            <w:drawing>
              <wp:anchor distT="0" distB="0" distL="114300" distR="114300" simplePos="0" relativeHeight="251771904" behindDoc="0" locked="0" layoutInCell="1" allowOverlap="1">
                <wp:simplePos x="0" y="0"/>
                <wp:positionH relativeFrom="column">
                  <wp:posOffset>-114300</wp:posOffset>
                </wp:positionH>
                <wp:positionV relativeFrom="paragraph">
                  <wp:posOffset>262255</wp:posOffset>
                </wp:positionV>
                <wp:extent cx="914400" cy="307975"/>
                <wp:effectExtent l="0" t="0" r="0" b="0"/>
                <wp:wrapNone/>
                <wp:docPr id="111" name="文本框 112"/>
                <wp:cNvGraphicFramePr/>
                <a:graphic xmlns:a="http://schemas.openxmlformats.org/drawingml/2006/main">
                  <a:graphicData uri="http://schemas.microsoft.com/office/word/2010/wordprocessingShape">
                    <wps:wsp>
                      <wps:cNvSpPr txBox="1"/>
                      <wps:spPr>
                        <a:xfrm>
                          <a:off x="0" y="0"/>
                          <a:ext cx="914400" cy="30797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承包人风险</w:t>
                            </w:r>
                          </w:p>
                        </w:txbxContent>
                      </wps:txbx>
                      <wps:bodyPr upright="1"/>
                    </wps:wsp>
                  </a:graphicData>
                </a:graphic>
              </wp:anchor>
            </w:drawing>
          </mc:Choice>
          <mc:Fallback>
            <w:pict>
              <v:shape id="文本框 112" o:spid="_x0000_s1026" o:spt="202" type="#_x0000_t202" style="position:absolute;left:0pt;margin-left:-9pt;margin-top:20.65pt;height:24.25pt;width:72pt;z-index:251771904;mso-width-relative:page;mso-height-relative:page;" filled="f" stroked="f" coordsize="21600,21600" o:gfxdata="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OC+T5zX&#10;AAAACQEAAA8AAAAAAAAAAQAgAAAAIgAAAGRycy9kb3ducmV2LnhtbFBLAQIUABQAAAAIAIdO4kB7&#10;XOe7rwEAAFEDAAAOAAAAAAAAAAEAIAAAACYBAABkcnMvZTJvRG9jLnhtbFBLBQYAAAAABgAGAFkB&#10;AABH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承包人风险</w:t>
                      </w:r>
                    </w:p>
                  </w:txbxContent>
                </v:textbox>
              </v:shape>
            </w:pict>
          </mc:Fallback>
        </mc:AlternateContent>
      </w:r>
      <w:r>
        <w:rPr>
          <w:rFonts w:ascii="仿宋" w:hAnsi="仿宋" w:eastAsia="仿宋" w:cs="仿宋"/>
          <w:b/>
          <w:bCs/>
          <w:color w:val="auto"/>
          <w:sz w:val="24"/>
          <w:szCs w:val="24"/>
          <w:highlight w:val="none"/>
        </w:rPr>
        <w:t xml:space="preserve">30.2  </w:t>
      </w:r>
      <w:r>
        <w:rPr>
          <w:rFonts w:ascii="仿宋" w:hAnsi="仿宋" w:eastAsia="仿宋" w:cs="仿宋"/>
          <w:b/>
          <w:bCs/>
          <w:color w:val="auto"/>
          <w:sz w:val="24"/>
          <w:szCs w:val="24"/>
          <w:highlight w:val="none"/>
          <w:u w:val="dotted"/>
        </w:rPr>
        <w:t xml:space="preserve">                                                                                                                </w:t>
      </w:r>
      <w:r>
        <w:rPr>
          <w:rFonts w:ascii="仿宋" w:hAnsi="仿宋" w:eastAsia="仿宋" w:cs="仿宋"/>
          <w:b/>
          <w:bCs/>
          <w:color w:val="auto"/>
          <w:sz w:val="24"/>
          <w:szCs w:val="24"/>
          <w:highlight w:val="none"/>
        </w:rPr>
        <w:t xml:space="preserve">                                                                                     </w:t>
      </w:r>
    </w:p>
    <w:p>
      <w:pPr>
        <w:pStyle w:val="2"/>
        <w:shd w:val="clear" w:color="000000" w:fill="auto"/>
        <w:tabs>
          <w:tab w:val="left" w:pos="1440"/>
        </w:tabs>
        <w:adjustRightInd w:val="0"/>
        <w:snapToGrid w:val="0"/>
        <w:spacing w:line="360" w:lineRule="auto"/>
        <w:ind w:left="1619" w:leftChars="771" w:firstLine="2"/>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自开工之日起直到颁发工程接收证书之日止，承包人风险为：除第</w:t>
      </w:r>
      <w:r>
        <w:rPr>
          <w:rFonts w:ascii="仿宋" w:hAnsi="仿宋" w:eastAsia="仿宋" w:cs="仿宋"/>
          <w:color w:val="auto"/>
          <w:sz w:val="24"/>
          <w:szCs w:val="24"/>
          <w:highlight w:val="none"/>
        </w:rPr>
        <w:t>29</w:t>
      </w:r>
      <w:r>
        <w:rPr>
          <w:rFonts w:hint="eastAsia" w:ascii="仿宋" w:hAnsi="仿宋" w:eastAsia="仿宋" w:cs="仿宋"/>
          <w:color w:val="auto"/>
          <w:sz w:val="24"/>
          <w:szCs w:val="24"/>
          <w:highlight w:val="none"/>
        </w:rPr>
        <w:t>条和第</w:t>
      </w:r>
      <w:r>
        <w:rPr>
          <w:rFonts w:ascii="仿宋" w:hAnsi="仿宋" w:eastAsia="仿宋" w:cs="仿宋"/>
          <w:color w:val="auto"/>
          <w:sz w:val="24"/>
          <w:szCs w:val="24"/>
          <w:highlight w:val="none"/>
        </w:rPr>
        <w:t>31</w:t>
      </w:r>
      <w:r>
        <w:rPr>
          <w:rFonts w:hint="eastAsia" w:ascii="仿宋" w:hAnsi="仿宋" w:eastAsia="仿宋" w:cs="仿宋"/>
          <w:color w:val="auto"/>
          <w:sz w:val="24"/>
          <w:szCs w:val="24"/>
          <w:highlight w:val="none"/>
        </w:rPr>
        <w:t>条以外的人员伤亡以及财产（包括但不限于合同工程、材料、工程设备和施工设备）的损失或损坏。</w:t>
      </w:r>
    </w:p>
    <w:p>
      <w:pPr>
        <w:pStyle w:val="2"/>
        <w:shd w:val="clear" w:color="000000" w:fill="auto"/>
        <w:adjustRightInd w:val="0"/>
        <w:snapToGrid w:val="0"/>
        <w:spacing w:line="360" w:lineRule="auto"/>
        <w:ind w:right="-240"/>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
        <w:shd w:val="clear" w:color="000000" w:fill="auto"/>
        <w:adjustRightInd w:val="0"/>
        <w:snapToGrid w:val="0"/>
        <w:spacing w:line="360" w:lineRule="auto"/>
        <w:ind w:right="-240"/>
        <w:outlineLvl w:val="2"/>
        <w:rPr>
          <w:rFonts w:ascii="仿宋" w:hAnsi="仿宋" w:eastAsia="仿宋" w:cs="Times New Roman"/>
          <w:b/>
          <w:bCs/>
          <w:color w:val="auto"/>
          <w:sz w:val="24"/>
          <w:szCs w:val="24"/>
          <w:highlight w:val="none"/>
        </w:rPr>
      </w:pPr>
      <w:bookmarkStart w:id="210" w:name="_Toc10624852"/>
      <w:bookmarkStart w:id="211" w:name="_Toc469384012"/>
      <w:bookmarkStart w:id="212" w:name="_Toc32305"/>
      <w:r>
        <w:rPr>
          <w:rFonts w:ascii="仿宋" w:hAnsi="仿宋" w:eastAsia="仿宋" w:cs="仿宋"/>
          <w:b/>
          <w:bCs/>
          <w:color w:val="auto"/>
          <w:sz w:val="24"/>
          <w:szCs w:val="24"/>
          <w:highlight w:val="none"/>
        </w:rPr>
        <w:t xml:space="preserve">31  </w:t>
      </w:r>
      <w:r>
        <w:rPr>
          <w:rFonts w:hint="eastAsia" w:ascii="仿宋" w:hAnsi="仿宋" w:eastAsia="仿宋" w:cs="仿宋"/>
          <w:b/>
          <w:bCs/>
          <w:color w:val="auto"/>
          <w:sz w:val="24"/>
          <w:szCs w:val="24"/>
          <w:highlight w:val="none"/>
        </w:rPr>
        <w:t>不可抗力</w:t>
      </w:r>
      <w:bookmarkEnd w:id="210"/>
      <w:bookmarkEnd w:id="211"/>
      <w:bookmarkEnd w:id="212"/>
    </w:p>
    <w:p>
      <w:pPr>
        <w:pStyle w:val="2"/>
        <w:shd w:val="clear" w:color="000000" w:fill="auto"/>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31.1      </w:t>
      </w:r>
    </w:p>
    <w:p>
      <w:pPr>
        <w:pStyle w:val="2"/>
        <w:shd w:val="clear" w:color="000000" w:fill="auto"/>
        <w:adjustRightInd w:val="0"/>
        <w:snapToGrid w:val="0"/>
        <w:spacing w:line="360" w:lineRule="auto"/>
        <w:ind w:left="1619"/>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不可抗力是指合同当事人在签订合同时不可预见，在合同履行过程中不可避免且不能克服的自然灾害和社会性突发事件，如地震、海啸、瘟疫、骚乱、戒严、暴动、战争等。</w:t>
      </w:r>
    </w:p>
    <w:p>
      <w:pPr>
        <w:pStyle w:val="2"/>
        <w:shd w:val="clear" w:color="000000" w:fill="auto"/>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31.2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72928" behindDoc="0" locked="0" layoutInCell="1" allowOverlap="1">
                <wp:simplePos x="0" y="0"/>
                <wp:positionH relativeFrom="column">
                  <wp:posOffset>-114300</wp:posOffset>
                </wp:positionH>
                <wp:positionV relativeFrom="paragraph">
                  <wp:posOffset>7620</wp:posOffset>
                </wp:positionV>
                <wp:extent cx="914400" cy="492760"/>
                <wp:effectExtent l="0" t="0" r="0" b="0"/>
                <wp:wrapNone/>
                <wp:docPr id="112" name="文本框 113"/>
                <wp:cNvGraphicFramePr/>
                <a:graphic xmlns:a="http://schemas.openxmlformats.org/drawingml/2006/main">
                  <a:graphicData uri="http://schemas.microsoft.com/office/word/2010/wordprocessingShape">
                    <wps:wsp>
                      <wps:cNvSpPr txBox="1"/>
                      <wps:spPr>
                        <a:xfrm>
                          <a:off x="0" y="0"/>
                          <a:ext cx="914400" cy="49276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不可抗力处理程序</w:t>
                            </w:r>
                          </w:p>
                        </w:txbxContent>
                      </wps:txbx>
                      <wps:bodyPr upright="1"/>
                    </wps:wsp>
                  </a:graphicData>
                </a:graphic>
              </wp:anchor>
            </w:drawing>
          </mc:Choice>
          <mc:Fallback>
            <w:pict>
              <v:shape id="文本框 113" o:spid="_x0000_s1026" o:spt="202" type="#_x0000_t202" style="position:absolute;left:0pt;margin-left:-9pt;margin-top:0.6pt;height:38.8pt;width:72pt;z-index:251772928;mso-width-relative:page;mso-height-relative:page;" filled="f" stroked="f" coordsize="21600,21600" o:gfxdata="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r7S/t1QAA&#10;AAgBAAAPAAAAAAAAAAEAIAAAACIAAABkcnMvZG93bnJldi54bWxQSwECFAAUAAAACACHTuJAVWA1&#10;oq8BAABRAwAADgAAAAAAAAABACAAAAAkAQAAZHJzL2Uyb0RvYy54bWxQSwUGAAAAAAYABgBZAQAA&#10;R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不可抗力处理程序</w:t>
                      </w:r>
                    </w:p>
                  </w:txbxContent>
                </v:textbox>
              </v:shape>
            </w:pict>
          </mc:Fallback>
        </mc:AlternateContent>
      </w:r>
      <w:r>
        <w:rPr>
          <w:rFonts w:hint="eastAsia" w:ascii="仿宋" w:hAnsi="仿宋" w:eastAsia="仿宋" w:cs="仿宋"/>
          <w:color w:val="auto"/>
          <w:sz w:val="24"/>
          <w:szCs w:val="24"/>
          <w:highlight w:val="none"/>
        </w:rPr>
        <w:t>不可抗力事件发生后，承包人应立即书面通知发包人和监理工程师，并在力所能及的条件下迅速采取措施，尽力减少损失，发包人应协助承包人采取相应措施。监理工程师认为应当暂停施工的，承包人应暂停施工。不可抗力事件结束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天内，承包人向监理工程师通报受害情况和损失情况，并预计清理和修复的费用，抄送造价工程师。不可抗力事件持续发生，承包人应每隔</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天向监理工程师和造价工程师报告一次受害情况。不可抗力事件结束后的</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天内，承包人应分别按照第</w:t>
      </w:r>
      <w:r>
        <w:rPr>
          <w:rFonts w:ascii="仿宋" w:hAnsi="仿宋" w:eastAsia="仿宋" w:cs="仿宋"/>
          <w:color w:val="auto"/>
          <w:sz w:val="24"/>
          <w:szCs w:val="24"/>
          <w:highlight w:val="none"/>
        </w:rPr>
        <w:t>36</w:t>
      </w:r>
      <w:r>
        <w:rPr>
          <w:rFonts w:hint="eastAsia" w:ascii="仿宋" w:hAnsi="仿宋" w:eastAsia="仿宋" w:cs="仿宋"/>
          <w:color w:val="auto"/>
          <w:sz w:val="24"/>
          <w:szCs w:val="24"/>
          <w:highlight w:val="none"/>
        </w:rPr>
        <w:t>条、第</w:t>
      </w:r>
      <w:r>
        <w:rPr>
          <w:rFonts w:ascii="仿宋" w:hAnsi="仿宋" w:eastAsia="仿宋" w:cs="仿宋"/>
          <w:color w:val="auto"/>
          <w:sz w:val="24"/>
          <w:szCs w:val="24"/>
          <w:highlight w:val="none"/>
        </w:rPr>
        <w:t>74</w:t>
      </w:r>
      <w:r>
        <w:rPr>
          <w:rFonts w:hint="eastAsia" w:ascii="仿宋" w:hAnsi="仿宋" w:eastAsia="仿宋" w:cs="仿宋"/>
          <w:color w:val="auto"/>
          <w:sz w:val="24"/>
          <w:szCs w:val="24"/>
          <w:highlight w:val="none"/>
        </w:rPr>
        <w:t>条规定索赔工期、费用。</w:t>
      </w:r>
    </w:p>
    <w:p>
      <w:pPr>
        <w:pStyle w:val="2"/>
        <w:shd w:val="clear" w:color="000000" w:fill="auto"/>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31.3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firstLine="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73952" behindDoc="0" locked="0" layoutInCell="1" allowOverlap="1">
                <wp:simplePos x="0" y="0"/>
                <wp:positionH relativeFrom="column">
                  <wp:posOffset>-114300</wp:posOffset>
                </wp:positionH>
                <wp:positionV relativeFrom="paragraph">
                  <wp:posOffset>22225</wp:posOffset>
                </wp:positionV>
                <wp:extent cx="914400" cy="693420"/>
                <wp:effectExtent l="0" t="0" r="0" b="0"/>
                <wp:wrapNone/>
                <wp:docPr id="113" name="文本框 114"/>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不可抗力引起费用的承担</w:t>
                            </w:r>
                          </w:p>
                        </w:txbxContent>
                      </wps:txbx>
                      <wps:bodyPr upright="1"/>
                    </wps:wsp>
                  </a:graphicData>
                </a:graphic>
              </wp:anchor>
            </w:drawing>
          </mc:Choice>
          <mc:Fallback>
            <w:pict>
              <v:shape id="文本框 114" o:spid="_x0000_s1026" o:spt="202" type="#_x0000_t202" style="position:absolute;left:0pt;margin-left:-9pt;margin-top:1.75pt;height:54.6pt;width:72pt;z-index:251773952;mso-width-relative:page;mso-height-relative:page;" filled="f" stroked="f" coordsize="21600,21600" o:gfxdata="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GhLrpXX&#10;AAAACQEAAA8AAAAAAAAAAQAgAAAAIgAAAGRycy9kb3ducmV2LnhtbFBLAQIUABQAAAAIAIdO4kBs&#10;RN6xrwEAAFEDAAAOAAAAAAAAAAEAIAAAACYBAABkcnMvZTJvRG9jLnhtbFBLBQYAAAAABgAGAFkB&#10;AABH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不可抗力引起费用的承担</w:t>
                      </w:r>
                    </w:p>
                  </w:txbxContent>
                </v:textbox>
              </v:shape>
            </w:pict>
          </mc:Fallback>
        </mc:AlternateContent>
      </w:r>
      <w:r>
        <w:rPr>
          <w:rFonts w:hint="eastAsia" w:ascii="仿宋" w:hAnsi="仿宋" w:eastAsia="仿宋" w:cs="仿宋"/>
          <w:color w:val="auto"/>
          <w:sz w:val="24"/>
          <w:szCs w:val="24"/>
          <w:highlight w:val="none"/>
        </w:rPr>
        <w:t>因不可抗力事件导致的费用，由合同双方当事人按照下列规定承担，并相应调整合同价款：</w:t>
      </w:r>
    </w:p>
    <w:p>
      <w:pPr>
        <w:pStyle w:val="2"/>
        <w:numPr>
          <w:ilvl w:val="0"/>
          <w:numId w:val="11"/>
        </w:numPr>
        <w:shd w:val="clear" w:color="000000" w:fill="auto"/>
        <w:tabs>
          <w:tab w:val="left" w:pos="1080"/>
        </w:tabs>
        <w:adjustRightInd w:val="0"/>
        <w:snapToGrid w:val="0"/>
        <w:spacing w:line="360" w:lineRule="auto"/>
        <w:ind w:left="1619" w:leftChars="771" w:firstLine="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永久工程本身的损害、已运至施工场地的材料和工程设备的损害，由发包人与承包人共同承担，但是因工程损害导致第三者人员伤亡和财产损失，由承包人自行承担；</w:t>
      </w:r>
    </w:p>
    <w:p>
      <w:pPr>
        <w:pStyle w:val="2"/>
        <w:numPr>
          <w:ilvl w:val="0"/>
          <w:numId w:val="11"/>
        </w:numPr>
        <w:shd w:val="clear" w:color="000000" w:fill="auto"/>
        <w:tabs>
          <w:tab w:val="left" w:pos="1080"/>
        </w:tabs>
        <w:adjustRightInd w:val="0"/>
        <w:snapToGrid w:val="0"/>
        <w:spacing w:line="360" w:lineRule="auto"/>
        <w:ind w:left="1619" w:leftChars="771" w:firstLine="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承包人施工设备和用于合同工程的周转材料损坏以及停工损失，由承包人承担；发包人提供的施工设备损坏，由发包人承担；</w:t>
      </w:r>
    </w:p>
    <w:p>
      <w:pPr>
        <w:pStyle w:val="2"/>
        <w:numPr>
          <w:ilvl w:val="0"/>
          <w:numId w:val="11"/>
        </w:numPr>
        <w:shd w:val="clear" w:color="000000" w:fill="auto"/>
        <w:tabs>
          <w:tab w:val="left" w:pos="1080"/>
        </w:tabs>
        <w:adjustRightInd w:val="0"/>
        <w:snapToGrid w:val="0"/>
        <w:spacing w:line="360" w:lineRule="auto"/>
        <w:ind w:left="1619" w:leftChars="771"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施工场地内的人员伤亡和本款第</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点、第</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点以外财产损失及其相关费用，由合同双方当事人各自承担；</w:t>
      </w:r>
    </w:p>
    <w:p>
      <w:pPr>
        <w:pStyle w:val="2"/>
        <w:numPr>
          <w:ilvl w:val="0"/>
          <w:numId w:val="11"/>
        </w:numPr>
        <w:shd w:val="clear" w:color="000000" w:fill="auto"/>
        <w:tabs>
          <w:tab w:val="left" w:pos="1080"/>
        </w:tabs>
        <w:adjustRightInd w:val="0"/>
        <w:snapToGrid w:val="0"/>
        <w:spacing w:line="360" w:lineRule="auto"/>
        <w:ind w:left="1619" w:leftChars="771" w:firstLine="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停工期间，承包人应监理工程师要求照管工程的费用，由发包人承担；</w:t>
      </w:r>
    </w:p>
    <w:p>
      <w:pPr>
        <w:pStyle w:val="2"/>
        <w:numPr>
          <w:ilvl w:val="0"/>
          <w:numId w:val="11"/>
        </w:numPr>
        <w:shd w:val="clear" w:color="000000" w:fill="auto"/>
        <w:tabs>
          <w:tab w:val="left" w:pos="1080"/>
        </w:tabs>
        <w:adjustRightInd w:val="0"/>
        <w:snapToGrid w:val="0"/>
        <w:spacing w:line="360" w:lineRule="auto"/>
        <w:ind w:left="2096" w:leftChars="772" w:hanging="475" w:hangingChars="198"/>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工程所需的清理、修复费用，由发包人承担。</w:t>
      </w:r>
    </w:p>
    <w:p>
      <w:pPr>
        <w:pStyle w:val="2"/>
        <w:shd w:val="clear" w:color="000000" w:fill="auto"/>
        <w:adjustRightInd w:val="0"/>
        <w:snapToGrid w:val="0"/>
        <w:spacing w:line="360" w:lineRule="auto"/>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774976" behindDoc="0" locked="0" layoutInCell="1" allowOverlap="1">
                <wp:simplePos x="0" y="0"/>
                <wp:positionH relativeFrom="column">
                  <wp:posOffset>-114300</wp:posOffset>
                </wp:positionH>
                <wp:positionV relativeFrom="paragraph">
                  <wp:posOffset>247650</wp:posOffset>
                </wp:positionV>
                <wp:extent cx="914400" cy="563245"/>
                <wp:effectExtent l="0" t="0" r="0" b="0"/>
                <wp:wrapNone/>
                <wp:docPr id="114" name="文本框 115"/>
                <wp:cNvGraphicFramePr/>
                <a:graphic xmlns:a="http://schemas.openxmlformats.org/drawingml/2006/main">
                  <a:graphicData uri="http://schemas.microsoft.com/office/word/2010/wordprocessingShape">
                    <wps:wsp>
                      <wps:cNvSpPr txBox="1"/>
                      <wps:spPr>
                        <a:xfrm>
                          <a:off x="0" y="0"/>
                          <a:ext cx="914400" cy="563245"/>
                        </a:xfrm>
                        <a:prstGeom prst="rect">
                          <a:avLst/>
                        </a:prstGeom>
                        <a:noFill/>
                        <a:ln>
                          <a:noFill/>
                        </a:ln>
                      </wps:spPr>
                      <wps:txb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不可抗力引起工期的处理</w:t>
                            </w:r>
                          </w:p>
                        </w:txbxContent>
                      </wps:txbx>
                      <wps:bodyPr upright="1"/>
                    </wps:wsp>
                  </a:graphicData>
                </a:graphic>
              </wp:anchor>
            </w:drawing>
          </mc:Choice>
          <mc:Fallback>
            <w:pict>
              <v:shape id="文本框 115" o:spid="_x0000_s1026" o:spt="202" type="#_x0000_t202" style="position:absolute;left:0pt;margin-left:-9pt;margin-top:19.5pt;height:44.35pt;width:72pt;z-index:251774976;mso-width-relative:page;mso-height-relative:page;" filled="f" stroked="f" coordsize="21600,21600" o:gfxdata="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JOcIaHX&#10;AAAACgEAAA8AAAAAAAAAAQAgAAAAIgAAAGRycy9kb3ducmV2LnhtbFBLAQIUABQAAAAIAIdO4kAE&#10;eARBrwEAAFEDAAAOAAAAAAAAAAEAIAAAACYBAABkcnMvZTJvRG9jLnhtbFBLBQYAAAAABgAGAFkB&#10;AABHBQAAAAA=&#10;">
                <v:fill on="f" focussize="0,0"/>
                <v:stroke on="f"/>
                <v:imagedata o:title=""/>
                <o:lock v:ext="edit" aspectratio="f"/>
                <v:textbo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不可抗力引起工期的处理</w:t>
                      </w:r>
                    </w:p>
                  </w:txbxContent>
                </v:textbox>
              </v:shape>
            </w:pict>
          </mc:Fallback>
        </mc:AlternateContent>
      </w:r>
      <w:r>
        <w:rPr>
          <w:rFonts w:ascii="仿宋" w:hAnsi="仿宋" w:eastAsia="仿宋" w:cs="仿宋"/>
          <w:b/>
          <w:bCs/>
          <w:color w:val="auto"/>
          <w:sz w:val="24"/>
          <w:szCs w:val="24"/>
          <w:highlight w:val="none"/>
        </w:rPr>
        <w:t xml:space="preserve">31.4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dstrike/>
          <w:color w:val="auto"/>
          <w:sz w:val="24"/>
          <w:szCs w:val="24"/>
          <w:highlight w:val="none"/>
        </w:rPr>
      </w:pPr>
      <w:r>
        <w:rPr>
          <w:rFonts w:hint="eastAsia" w:ascii="仿宋" w:hAnsi="仿宋" w:eastAsia="仿宋" w:cs="仿宋"/>
          <w:color w:val="auto"/>
          <w:sz w:val="24"/>
          <w:szCs w:val="24"/>
          <w:highlight w:val="none"/>
        </w:rPr>
        <w:t>因发生不可抗力事件导致工期延误的，工期相应顺延；不能按期竣工的，承包人无需为此支付任何误期赔偿费。发包人要求赶工的，承包人应采取赶工措施，赶工费用由发包人支付。</w:t>
      </w:r>
    </w:p>
    <w:p>
      <w:pPr>
        <w:pStyle w:val="2"/>
        <w:shd w:val="clear" w:color="000000" w:fill="auto"/>
        <w:adjustRightInd w:val="0"/>
        <w:snapToGrid w:val="0"/>
        <w:spacing w:line="360" w:lineRule="auto"/>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776000" behindDoc="0" locked="0" layoutInCell="1" allowOverlap="1">
                <wp:simplePos x="0" y="0"/>
                <wp:positionH relativeFrom="column">
                  <wp:posOffset>-114300</wp:posOffset>
                </wp:positionH>
                <wp:positionV relativeFrom="paragraph">
                  <wp:posOffset>247650</wp:posOffset>
                </wp:positionV>
                <wp:extent cx="914400" cy="563245"/>
                <wp:effectExtent l="0" t="0" r="0" b="0"/>
                <wp:wrapNone/>
                <wp:docPr id="115" name="文本框 116"/>
                <wp:cNvGraphicFramePr/>
                <a:graphic xmlns:a="http://schemas.openxmlformats.org/drawingml/2006/main">
                  <a:graphicData uri="http://schemas.microsoft.com/office/word/2010/wordprocessingShape">
                    <wps:wsp>
                      <wps:cNvSpPr txBox="1"/>
                      <wps:spPr>
                        <a:xfrm>
                          <a:off x="0" y="0"/>
                          <a:ext cx="914400" cy="56324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延迟履约发生不可抗力的责任</w:t>
                            </w:r>
                          </w:p>
                        </w:txbxContent>
                      </wps:txbx>
                      <wps:bodyPr upright="1"/>
                    </wps:wsp>
                  </a:graphicData>
                </a:graphic>
              </wp:anchor>
            </w:drawing>
          </mc:Choice>
          <mc:Fallback>
            <w:pict>
              <v:shape id="文本框 116" o:spid="_x0000_s1026" o:spt="202" type="#_x0000_t202" style="position:absolute;left:0pt;margin-left:-9pt;margin-top:19.5pt;height:44.35pt;width:72pt;z-index:251776000;mso-width-relative:page;mso-height-relative:page;" filled="f" stroked="f" coordsize="21600,21600" o:gfxdata="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k5whodcA&#10;AAAKAQAADwAAAAAAAAABACAAAAAiAAAAZHJzL2Rvd25yZXYueG1sUEsBAhQAFAAAAAgAh07iQDs2&#10;KVeuAQAAUQMAAA4AAAAAAAAAAQAgAAAAJgEAAGRycy9lMm9Eb2MueG1sUEsFBgAAAAAGAAYAWQEA&#10;AEY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延迟履约发生不可抗力的责任</w:t>
                      </w:r>
                    </w:p>
                  </w:txbxContent>
                </v:textbox>
              </v:shape>
            </w:pict>
          </mc:Fallback>
        </mc:AlternateContent>
      </w:r>
      <w:r>
        <w:rPr>
          <w:rFonts w:ascii="仿宋" w:hAnsi="仿宋" w:eastAsia="仿宋" w:cs="仿宋"/>
          <w:b/>
          <w:bCs/>
          <w:color w:val="auto"/>
          <w:sz w:val="24"/>
          <w:szCs w:val="24"/>
          <w:highlight w:val="none"/>
        </w:rPr>
        <w:t xml:space="preserve">31.5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合同任何一方当事人延迟履行合同后发生不可抗力事件的，不能免除其因不可抗力造成损失的责任。</w:t>
      </w:r>
    </w:p>
    <w:p>
      <w:pPr>
        <w:pStyle w:val="2"/>
        <w:shd w:val="clear" w:color="000000" w:fill="auto"/>
        <w:adjustRightInd w:val="0"/>
        <w:snapToGrid w:val="0"/>
        <w:spacing w:line="480" w:lineRule="auto"/>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777024" behindDoc="0" locked="0" layoutInCell="1" allowOverlap="1">
                <wp:simplePos x="0" y="0"/>
                <wp:positionH relativeFrom="column">
                  <wp:posOffset>-114300</wp:posOffset>
                </wp:positionH>
                <wp:positionV relativeFrom="paragraph">
                  <wp:posOffset>247650</wp:posOffset>
                </wp:positionV>
                <wp:extent cx="914400" cy="563245"/>
                <wp:effectExtent l="0" t="0" r="0" b="0"/>
                <wp:wrapNone/>
                <wp:docPr id="116" name="文本框 117"/>
                <wp:cNvGraphicFramePr/>
                <a:graphic xmlns:a="http://schemas.openxmlformats.org/drawingml/2006/main">
                  <a:graphicData uri="http://schemas.microsoft.com/office/word/2010/wordprocessingShape">
                    <wps:wsp>
                      <wps:cNvSpPr txBox="1"/>
                      <wps:spPr>
                        <a:xfrm>
                          <a:off x="0" y="0"/>
                          <a:ext cx="914400" cy="56324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避免和减少不可抗力的损失</w:t>
                            </w:r>
                          </w:p>
                        </w:txbxContent>
                      </wps:txbx>
                      <wps:bodyPr upright="1"/>
                    </wps:wsp>
                  </a:graphicData>
                </a:graphic>
              </wp:anchor>
            </w:drawing>
          </mc:Choice>
          <mc:Fallback>
            <w:pict>
              <v:shape id="文本框 117" o:spid="_x0000_s1026" o:spt="202" type="#_x0000_t202" style="position:absolute;left:0pt;margin-left:-9pt;margin-top:19.5pt;height:44.35pt;width:72pt;z-index:251777024;mso-width-relative:page;mso-height-relative:page;" filled="f" stroked="f" coordsize="21600,21600" o:gfxdata="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JOcIaHX&#10;AAAACgEAAA8AAAAAAAAAAQAgAAAAIgAAAGRycy9kb3ducmV2LnhtbFBLAQIUABQAAAAIAIdO4kAD&#10;jIjKrwEAAFEDAAAOAAAAAAAAAAEAIAAAACYBAABkcnMvZTJvRG9jLnhtbFBLBQYAAAAABgAGAFkB&#10;AABH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避免和减少不可抗力的损失</w:t>
                      </w:r>
                    </w:p>
                  </w:txbxContent>
                </v:textbox>
              </v:shape>
            </w:pict>
          </mc:Fallback>
        </mc:AlternateContent>
      </w:r>
      <w:r>
        <w:rPr>
          <w:rFonts w:ascii="仿宋" w:hAnsi="仿宋" w:eastAsia="仿宋" w:cs="仿宋"/>
          <w:b/>
          <w:bCs/>
          <w:color w:val="auto"/>
          <w:sz w:val="24"/>
          <w:szCs w:val="24"/>
          <w:highlight w:val="none"/>
        </w:rPr>
        <w:t xml:space="preserve">31.6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不可抗力事件发生后，合同双方当事人应采取措施尽量避免和减少由此发生的损失。因合同任何一方当事人没有采取有效措施而导致损失扩大的，则损失扩大部分由其自身承担。</w:t>
      </w:r>
    </w:p>
    <w:p>
      <w:pPr>
        <w:pStyle w:val="2"/>
        <w:shd w:val="clear" w:color="000000" w:fill="auto"/>
        <w:adjustRightInd w:val="0"/>
        <w:snapToGrid w:val="0"/>
        <w:spacing w:line="480" w:lineRule="auto"/>
        <w:rPr>
          <w:rFonts w:ascii="仿宋" w:hAnsi="仿宋" w:eastAsia="仿宋" w:cs="仿宋"/>
          <w:color w:val="auto"/>
          <w:sz w:val="24"/>
          <w:szCs w:val="24"/>
          <w:highlight w:val="none"/>
          <w:u w:val="single"/>
        </w:rPr>
      </w:pPr>
      <w:r>
        <w:rPr>
          <w:rFonts w:ascii="仿宋" w:hAnsi="仿宋" w:eastAsia="仿宋" w:cs="仿宋"/>
          <w:b/>
          <w:bCs/>
          <w:color w:val="auto"/>
          <w:sz w:val="24"/>
          <w:szCs w:val="24"/>
          <w:highlight w:val="none"/>
          <w:u w:val="single"/>
        </w:rPr>
        <w:t xml:space="preserve">                                                                                   </w:t>
      </w:r>
      <w:r>
        <w:rPr>
          <w:rFonts w:ascii="仿宋" w:hAnsi="仿宋" w:eastAsia="仿宋" w:cs="仿宋"/>
          <w:color w:val="auto"/>
          <w:sz w:val="24"/>
          <w:szCs w:val="24"/>
          <w:highlight w:val="none"/>
          <w:u w:val="single"/>
        </w:rPr>
        <w:t xml:space="preserve">        </w:t>
      </w:r>
    </w:p>
    <w:p>
      <w:pPr>
        <w:pStyle w:val="2"/>
        <w:shd w:val="clear" w:color="000000" w:fill="auto"/>
        <w:tabs>
          <w:tab w:val="left" w:pos="540"/>
        </w:tabs>
        <w:adjustRightInd w:val="0"/>
        <w:snapToGrid w:val="0"/>
        <w:spacing w:before="240" w:beforeLines="100" w:line="360" w:lineRule="auto"/>
        <w:outlineLvl w:val="2"/>
        <w:rPr>
          <w:rFonts w:ascii="仿宋" w:hAnsi="仿宋" w:eastAsia="仿宋" w:cs="Times New Roman"/>
          <w:b/>
          <w:bCs/>
          <w:color w:val="auto"/>
          <w:sz w:val="24"/>
          <w:szCs w:val="24"/>
          <w:highlight w:val="none"/>
        </w:rPr>
      </w:pPr>
      <w:bookmarkStart w:id="213" w:name="_Toc10624853"/>
      <w:bookmarkStart w:id="214" w:name="_Toc9047"/>
      <w:bookmarkStart w:id="215" w:name="_Toc469384013"/>
      <w:r>
        <w:rPr>
          <w:rFonts w:ascii="仿宋" w:hAnsi="仿宋" w:eastAsia="仿宋" w:cs="仿宋"/>
          <w:b/>
          <w:bCs/>
          <w:color w:val="auto"/>
          <w:sz w:val="24"/>
          <w:szCs w:val="24"/>
          <w:highlight w:val="none"/>
        </w:rPr>
        <w:t xml:space="preserve">32  </w:t>
      </w:r>
      <w:r>
        <w:rPr>
          <w:rFonts w:hint="eastAsia" w:ascii="仿宋" w:hAnsi="仿宋" w:eastAsia="仿宋" w:cs="仿宋"/>
          <w:b/>
          <w:bCs/>
          <w:color w:val="auto"/>
          <w:sz w:val="24"/>
          <w:szCs w:val="24"/>
          <w:highlight w:val="none"/>
        </w:rPr>
        <w:t>保险</w:t>
      </w:r>
      <w:bookmarkEnd w:id="213"/>
      <w:bookmarkEnd w:id="214"/>
      <w:bookmarkEnd w:id="215"/>
    </w:p>
    <w:p>
      <w:pPr>
        <w:pStyle w:val="2"/>
        <w:shd w:val="clear" w:color="000000" w:fill="auto"/>
        <w:tabs>
          <w:tab w:val="left" w:pos="1320"/>
        </w:tabs>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32.1      </w:t>
      </w:r>
    </w:p>
    <w:p>
      <w:pPr>
        <w:pStyle w:val="2"/>
        <w:shd w:val="clear" w:color="000000" w:fill="auto"/>
        <w:adjustRightInd w:val="0"/>
        <w:snapToGrid w:val="0"/>
        <w:spacing w:line="360" w:lineRule="auto"/>
        <w:ind w:firstLine="1417" w:firstLineChars="675"/>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78048" behindDoc="0" locked="0" layoutInCell="1" allowOverlap="1">
                <wp:simplePos x="0" y="0"/>
                <wp:positionH relativeFrom="column">
                  <wp:posOffset>-114300</wp:posOffset>
                </wp:positionH>
                <wp:positionV relativeFrom="paragraph">
                  <wp:posOffset>7620</wp:posOffset>
                </wp:positionV>
                <wp:extent cx="1028700" cy="396240"/>
                <wp:effectExtent l="0" t="0" r="0" b="0"/>
                <wp:wrapNone/>
                <wp:docPr id="117" name="文本框 118"/>
                <wp:cNvGraphicFramePr/>
                <a:graphic xmlns:a="http://schemas.openxmlformats.org/drawingml/2006/main">
                  <a:graphicData uri="http://schemas.microsoft.com/office/word/2010/wordprocessingShape">
                    <wps:wsp>
                      <wps:cNvSpPr txBox="1"/>
                      <wps:spPr>
                        <a:xfrm>
                          <a:off x="0" y="0"/>
                          <a:ext cx="1028700" cy="3962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发包人办理保</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险</w:t>
                            </w:r>
                          </w:p>
                        </w:txbxContent>
                      </wps:txbx>
                      <wps:bodyPr upright="1"/>
                    </wps:wsp>
                  </a:graphicData>
                </a:graphic>
              </wp:anchor>
            </w:drawing>
          </mc:Choice>
          <mc:Fallback>
            <w:pict>
              <v:shape id="文本框 118" o:spid="_x0000_s1026" o:spt="202" type="#_x0000_t202" style="position:absolute;left:0pt;margin-left:-9pt;margin-top:0.6pt;height:31.2pt;width:81pt;z-index:251778048;mso-width-relative:page;mso-height-relative:page;" filled="f" stroked="f" coordsize="21600,21600" o:gfxdata="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4yfBG1QAA&#10;AAgBAAAPAAAAAAAAAAEAIAAAACIAAABkcnMvZG93bnJldi54bWxQSwECFAAUAAAACACHTuJAfF0k&#10;j68BAABSAwAADgAAAAAAAAABACAAAAAkAQAAZHJzL2Uyb0RvYy54bWxQSwUGAAAAAAYABgBZAQAA&#10;R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发包人办理保</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险</w:t>
                      </w:r>
                    </w:p>
                  </w:txbxContent>
                </v:textbox>
              </v:shape>
            </w:pict>
          </mc:Fallback>
        </mc:AlternateContent>
      </w:r>
      <w:r>
        <w:rPr>
          <w:rFonts w:hint="eastAsia" w:ascii="仿宋" w:hAnsi="仿宋" w:eastAsia="仿宋" w:cs="仿宋"/>
          <w:color w:val="auto"/>
          <w:sz w:val="24"/>
          <w:szCs w:val="24"/>
          <w:highlight w:val="none"/>
        </w:rPr>
        <w:t>发包人应按照下列规定办理保险，并支付保险费：</w:t>
      </w:r>
    </w:p>
    <w:p>
      <w:pPr>
        <w:pStyle w:val="2"/>
        <w:numPr>
          <w:ilvl w:val="0"/>
          <w:numId w:val="12"/>
        </w:numPr>
        <w:shd w:val="clear" w:color="000000" w:fill="auto"/>
        <w:tabs>
          <w:tab w:val="left" w:pos="1980"/>
        </w:tabs>
        <w:adjustRightInd w:val="0"/>
        <w:snapToGrid w:val="0"/>
        <w:spacing w:line="360" w:lineRule="auto"/>
        <w:ind w:left="1620"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工程开工前，为合同工程办理建筑工程一切险、安装工程一切险；</w:t>
      </w:r>
    </w:p>
    <w:p>
      <w:pPr>
        <w:pStyle w:val="2"/>
        <w:numPr>
          <w:ilvl w:val="0"/>
          <w:numId w:val="12"/>
        </w:numPr>
        <w:shd w:val="clear" w:color="000000" w:fill="auto"/>
        <w:tabs>
          <w:tab w:val="left" w:pos="540"/>
          <w:tab w:val="left" w:pos="1980"/>
        </w:tabs>
        <w:adjustRightInd w:val="0"/>
        <w:snapToGrid w:val="0"/>
        <w:spacing w:line="360" w:lineRule="auto"/>
        <w:ind w:left="1617" w:leftChars="770"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工程开工前，为施工场地内的自有人员（包括监理工程师、造价工程师在内）办理工伤保险、意外伤害保险；</w:t>
      </w:r>
    </w:p>
    <w:p>
      <w:pPr>
        <w:pStyle w:val="2"/>
        <w:numPr>
          <w:ilvl w:val="0"/>
          <w:numId w:val="12"/>
        </w:numPr>
        <w:shd w:val="clear" w:color="000000" w:fill="auto"/>
        <w:tabs>
          <w:tab w:val="left" w:pos="540"/>
          <w:tab w:val="left" w:pos="1980"/>
        </w:tabs>
        <w:adjustRightInd w:val="0"/>
        <w:snapToGrid w:val="0"/>
        <w:spacing w:line="360" w:lineRule="auto"/>
        <w:ind w:left="2099" w:leftChars="771" w:hanging="480" w:hangingChars="20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为第三者办理第三者责任险；</w:t>
      </w:r>
    </w:p>
    <w:p>
      <w:pPr>
        <w:pStyle w:val="2"/>
        <w:numPr>
          <w:ilvl w:val="0"/>
          <w:numId w:val="12"/>
        </w:numPr>
        <w:shd w:val="clear" w:color="000000" w:fill="auto"/>
        <w:tabs>
          <w:tab w:val="left" w:pos="1980"/>
        </w:tabs>
        <w:adjustRightInd w:val="0"/>
        <w:snapToGrid w:val="0"/>
        <w:spacing w:line="360" w:lineRule="auto"/>
        <w:ind w:left="1620"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为运至施工场地内用于永久工程的材料和待安装工程设备办理保险。</w:t>
      </w:r>
    </w:p>
    <w:p>
      <w:pPr>
        <w:pStyle w:val="2"/>
        <w:shd w:val="clear" w:color="000000" w:fill="auto"/>
        <w:tabs>
          <w:tab w:val="left" w:pos="1080"/>
        </w:tabs>
        <w:adjustRightInd w:val="0"/>
        <w:snapToGrid w:val="0"/>
        <w:spacing w:line="360" w:lineRule="auto"/>
        <w:ind w:left="162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保险期从办理保险之日起至工程竣工验收合格之日止。</w:t>
      </w:r>
    </w:p>
    <w:p>
      <w:pPr>
        <w:pStyle w:val="2"/>
        <w:shd w:val="clear" w:color="000000" w:fill="auto"/>
        <w:tabs>
          <w:tab w:val="left" w:pos="1080"/>
        </w:tabs>
        <w:adjustRightInd w:val="0"/>
        <w:snapToGrid w:val="0"/>
        <w:spacing w:line="360" w:lineRule="auto"/>
        <w:ind w:left="162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发包人可将其中部分事项委托给承包人办理，具体由合同双方当事人在专用条款中约定。除合同价款已包括外，由发包人承担所需保险费用，并向承包人支付合理利润。</w:t>
      </w:r>
    </w:p>
    <w:p>
      <w:pPr>
        <w:shd w:val="clear" w:color="000000" w:fill="auto"/>
        <w:ind w:left="1575" w:hanging="1575" w:hangingChars="750"/>
        <w:rPr>
          <w:rFonts w:cs="Times New Roman"/>
          <w:color w:val="auto"/>
          <w:highlight w:val="none"/>
        </w:rPr>
      </w:pPr>
      <w:r>
        <w:rPr>
          <w:color w:val="auto"/>
          <w:highlight w:val="none"/>
        </w:rPr>
        <w:t xml:space="preserve">               </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5</w:t>
      </w:r>
      <w:r>
        <w:rPr>
          <w:rFonts w:hint="eastAsia" w:ascii="仿宋" w:hAnsi="仿宋" w:eastAsia="仿宋" w:cs="仿宋"/>
          <w:color w:val="auto"/>
          <w:sz w:val="24"/>
          <w:szCs w:val="24"/>
          <w:highlight w:val="none"/>
        </w:rPr>
        <w:t>）工程开工前，为合同工程办理工程质量保险；并由保险公司对工程质量、施工安全进行综合担保，以及聘请专业的团队进行工程建设全过程风险、质量控制。</w:t>
      </w:r>
    </w:p>
    <w:p>
      <w:pPr>
        <w:pStyle w:val="2"/>
        <w:shd w:val="clear" w:color="000000" w:fill="auto"/>
        <w:tabs>
          <w:tab w:val="left" w:pos="1320"/>
        </w:tabs>
        <w:adjustRightInd w:val="0"/>
        <w:snapToGrid w:val="0"/>
        <w:spacing w:line="480" w:lineRule="auto"/>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32.2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79072" behindDoc="0" locked="0" layoutInCell="1" allowOverlap="1">
                <wp:simplePos x="0" y="0"/>
                <wp:positionH relativeFrom="column">
                  <wp:posOffset>-114300</wp:posOffset>
                </wp:positionH>
                <wp:positionV relativeFrom="paragraph">
                  <wp:posOffset>635</wp:posOffset>
                </wp:positionV>
                <wp:extent cx="1028700" cy="478155"/>
                <wp:effectExtent l="0" t="0" r="0" b="0"/>
                <wp:wrapNone/>
                <wp:docPr id="118" name="文本框 119"/>
                <wp:cNvGraphicFramePr/>
                <a:graphic xmlns:a="http://schemas.openxmlformats.org/drawingml/2006/main">
                  <a:graphicData uri="http://schemas.microsoft.com/office/word/2010/wordprocessingShape">
                    <wps:wsp>
                      <wps:cNvSpPr txBox="1"/>
                      <wps:spPr>
                        <a:xfrm>
                          <a:off x="0" y="0"/>
                          <a:ext cx="1028700" cy="47815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承包人办理保</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险</w:t>
                            </w:r>
                          </w:p>
                        </w:txbxContent>
                      </wps:txbx>
                      <wps:bodyPr upright="1"/>
                    </wps:wsp>
                  </a:graphicData>
                </a:graphic>
              </wp:anchor>
            </w:drawing>
          </mc:Choice>
          <mc:Fallback>
            <w:pict>
              <v:shape id="文本框 119" o:spid="_x0000_s1026" o:spt="202" type="#_x0000_t202" style="position:absolute;left:0pt;margin-left:-9pt;margin-top:0.05pt;height:37.65pt;width:81pt;z-index:251779072;mso-width-relative:page;mso-height-relative:page;" filled="f" stroked="f" coordsize="21600,21600" o:gfxdata="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OlOyxbUAAAA&#10;BwEAAA8AAAAAAAAAAQAgAAAAIgAAAGRycy9kb3ducmV2LnhtbFBLAQIUABQAAAAIAIdO4kDv9atY&#10;rwEAAFIDAAAOAAAAAAAAAAEAIAAAACMBAABkcnMvZTJvRG9jLnhtbFBLBQYAAAAABgAGAFkBAABE&#10;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承包人办理保</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险</w:t>
                      </w:r>
                    </w:p>
                  </w:txbxContent>
                </v:textbox>
              </v:shape>
            </w:pict>
          </mc:Fallback>
        </mc:AlternateContent>
      </w:r>
      <w:r>
        <w:rPr>
          <w:rFonts w:hint="eastAsia" w:ascii="仿宋" w:hAnsi="仿宋" w:eastAsia="仿宋" w:cs="仿宋"/>
          <w:color w:val="auto"/>
          <w:sz w:val="24"/>
          <w:szCs w:val="24"/>
          <w:highlight w:val="none"/>
        </w:rPr>
        <w:t>承包人应按照下列规定办理保险，并支付保险费：</w:t>
      </w:r>
    </w:p>
    <w:p>
      <w:pPr>
        <w:pStyle w:val="2"/>
        <w:shd w:val="clear" w:color="000000" w:fill="auto"/>
        <w:adjustRightInd w:val="0"/>
        <w:snapToGrid w:val="0"/>
        <w:spacing w:line="360" w:lineRule="auto"/>
        <w:ind w:left="1617" w:leftChars="770" w:firstLine="1"/>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工程开工前，为施工场地内自有人员（包括分包人在内）办理工伤保险、意外伤害保险；</w:t>
      </w:r>
    </w:p>
    <w:p>
      <w:pPr>
        <w:pStyle w:val="2"/>
        <w:shd w:val="clear" w:color="000000" w:fill="auto"/>
        <w:adjustRightInd w:val="0"/>
        <w:snapToGrid w:val="0"/>
        <w:spacing w:line="360" w:lineRule="auto"/>
        <w:ind w:left="1676" w:leftChars="798"/>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为施工场地内的自有施工设备、第</w:t>
      </w:r>
      <w:r>
        <w:rPr>
          <w:rFonts w:ascii="仿宋" w:hAnsi="仿宋" w:eastAsia="仿宋" w:cs="仿宋"/>
          <w:color w:val="auto"/>
          <w:sz w:val="24"/>
          <w:szCs w:val="24"/>
          <w:highlight w:val="none"/>
        </w:rPr>
        <w:t>32.1</w:t>
      </w:r>
      <w:r>
        <w:rPr>
          <w:rFonts w:hint="eastAsia" w:ascii="仿宋" w:hAnsi="仿宋" w:eastAsia="仿宋" w:cs="仿宋"/>
          <w:color w:val="auto"/>
          <w:sz w:val="24"/>
          <w:szCs w:val="24"/>
          <w:highlight w:val="none"/>
        </w:rPr>
        <w:t>款第</w:t>
      </w:r>
      <w:r>
        <w:rPr>
          <w:rFonts w:ascii="仿宋" w:hAnsi="仿宋" w:eastAsia="仿宋" w:cs="仿宋"/>
          <w:color w:val="auto"/>
          <w:sz w:val="24"/>
          <w:szCs w:val="24"/>
          <w:highlight w:val="none"/>
        </w:rPr>
        <w:t>(4)</w:t>
      </w:r>
      <w:r>
        <w:rPr>
          <w:rFonts w:hint="eastAsia" w:ascii="仿宋" w:hAnsi="仿宋" w:eastAsia="仿宋" w:cs="仿宋"/>
          <w:color w:val="auto"/>
          <w:sz w:val="24"/>
          <w:szCs w:val="24"/>
          <w:highlight w:val="none"/>
        </w:rPr>
        <w:t>点以外采购进场的材料和工程设备等办理保险。</w:t>
      </w:r>
    </w:p>
    <w:p>
      <w:pPr>
        <w:pStyle w:val="2"/>
        <w:shd w:val="clear" w:color="000000" w:fill="auto"/>
        <w:tabs>
          <w:tab w:val="left" w:pos="1080"/>
        </w:tabs>
        <w:adjustRightInd w:val="0"/>
        <w:snapToGrid w:val="0"/>
        <w:spacing w:line="360" w:lineRule="auto"/>
        <w:ind w:left="1680" w:leftChars="80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保险期从开工之日起至工程竣工验收合格之日止。</w:t>
      </w:r>
    </w:p>
    <w:p>
      <w:pPr>
        <w:pStyle w:val="2"/>
        <w:shd w:val="clear" w:color="000000" w:fill="auto"/>
        <w:tabs>
          <w:tab w:val="left" w:pos="1080"/>
        </w:tabs>
        <w:adjustRightInd w:val="0"/>
        <w:snapToGrid w:val="0"/>
        <w:spacing w:line="360" w:lineRule="auto"/>
        <w:rPr>
          <w:rFonts w:ascii="仿宋" w:hAnsi="仿宋" w:eastAsia="仿宋" w:cs="仿宋"/>
          <w:b/>
          <w:bCs/>
          <w:color w:val="auto"/>
          <w:sz w:val="24"/>
          <w:szCs w:val="24"/>
          <w:highlight w:val="none"/>
          <w:u w:val="dotted"/>
        </w:rPr>
      </w:pPr>
      <w:r>
        <w:rPr>
          <w:color w:val="auto"/>
          <w:highlight w:val="none"/>
        </w:rPr>
        <mc:AlternateContent>
          <mc:Choice Requires="wps">
            <w:drawing>
              <wp:anchor distT="0" distB="0" distL="114300" distR="114300" simplePos="0" relativeHeight="251780096" behindDoc="0" locked="0" layoutInCell="1" allowOverlap="1">
                <wp:simplePos x="0" y="0"/>
                <wp:positionH relativeFrom="column">
                  <wp:posOffset>-114300</wp:posOffset>
                </wp:positionH>
                <wp:positionV relativeFrom="paragraph">
                  <wp:posOffset>287020</wp:posOffset>
                </wp:positionV>
                <wp:extent cx="914400" cy="541020"/>
                <wp:effectExtent l="0" t="0" r="0" b="0"/>
                <wp:wrapNone/>
                <wp:docPr id="119" name="文本框 120"/>
                <wp:cNvGraphicFramePr/>
                <a:graphic xmlns:a="http://schemas.openxmlformats.org/drawingml/2006/main">
                  <a:graphicData uri="http://schemas.microsoft.com/office/word/2010/wordprocessingShape">
                    <wps:wsp>
                      <wps:cNvSpPr txBox="1"/>
                      <wps:spPr>
                        <a:xfrm>
                          <a:off x="0" y="0"/>
                          <a:ext cx="914400" cy="54102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双方提供保险单和凭证</w:t>
                            </w:r>
                          </w:p>
                        </w:txbxContent>
                      </wps:txbx>
                      <wps:bodyPr upright="1"/>
                    </wps:wsp>
                  </a:graphicData>
                </a:graphic>
              </wp:anchor>
            </w:drawing>
          </mc:Choice>
          <mc:Fallback>
            <w:pict>
              <v:shape id="文本框 120" o:spid="_x0000_s1026" o:spt="202" type="#_x0000_t202" style="position:absolute;left:0pt;margin-left:-9pt;margin-top:22.6pt;height:42.6pt;width:72pt;z-index:251780096;mso-width-relative:page;mso-height-relative:page;" filled="f" stroked="f" coordsize="21600,21600" o:gfxdata="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LJGd42AAA&#10;AAoBAAAPAAAAAAAAAAEAIAAAACIAAABkcnMvZG93bnJldi54bWxQSwECFAAUAAAACACHTuJARCZ2&#10;RawBAABRAwAADgAAAAAAAAABACAAAAAnAQAAZHJzL2Uyb0RvYy54bWxQSwUGAAAAAAYABgBZAQAA&#10;R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双方提供保险单和凭证</w:t>
                      </w:r>
                    </w:p>
                  </w:txbxContent>
                </v:textbox>
              </v:shape>
            </w:pict>
          </mc:Fallback>
        </mc:AlternateContent>
      </w:r>
      <w:r>
        <w:rPr>
          <w:rFonts w:ascii="仿宋" w:hAnsi="仿宋" w:eastAsia="仿宋" w:cs="仿宋"/>
          <w:b/>
          <w:bCs/>
          <w:color w:val="auto"/>
          <w:sz w:val="24"/>
          <w:szCs w:val="24"/>
          <w:highlight w:val="none"/>
        </w:rPr>
        <w:t xml:space="preserve">32.3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合同一方当事人应按照本合同要求向另一方当事人提供有效的投保保险单和保险凭证。</w:t>
      </w:r>
    </w:p>
    <w:p>
      <w:pPr>
        <w:pStyle w:val="2"/>
        <w:shd w:val="clear" w:color="000000" w:fill="auto"/>
        <w:tabs>
          <w:tab w:val="left" w:pos="1320"/>
        </w:tabs>
        <w:adjustRightInd w:val="0"/>
        <w:snapToGrid w:val="0"/>
        <w:spacing w:line="360" w:lineRule="auto"/>
        <w:rPr>
          <w:rFonts w:ascii="仿宋" w:hAnsi="仿宋" w:eastAsia="仿宋" w:cs="仿宋"/>
          <w:b/>
          <w:bCs/>
          <w:color w:val="auto"/>
          <w:sz w:val="24"/>
          <w:szCs w:val="24"/>
          <w:highlight w:val="none"/>
          <w:u w:val="dotted"/>
        </w:rPr>
      </w:pPr>
      <w:r>
        <w:rPr>
          <w:color w:val="auto"/>
          <w:highlight w:val="none"/>
        </w:rPr>
        <mc:AlternateContent>
          <mc:Choice Requires="wps">
            <w:drawing>
              <wp:anchor distT="0" distB="0" distL="114300" distR="114300" simplePos="0" relativeHeight="251781120" behindDoc="0" locked="0" layoutInCell="1" allowOverlap="1">
                <wp:simplePos x="0" y="0"/>
                <wp:positionH relativeFrom="column">
                  <wp:posOffset>-114300</wp:posOffset>
                </wp:positionH>
                <wp:positionV relativeFrom="paragraph">
                  <wp:posOffset>236855</wp:posOffset>
                </wp:positionV>
                <wp:extent cx="914400" cy="396240"/>
                <wp:effectExtent l="0" t="0" r="0" b="0"/>
                <wp:wrapNone/>
                <wp:docPr id="120" name="文本框 12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未按规定投保的补救</w:t>
                            </w:r>
                          </w:p>
                        </w:txbxContent>
                      </wps:txbx>
                      <wps:bodyPr upright="1"/>
                    </wps:wsp>
                  </a:graphicData>
                </a:graphic>
              </wp:anchor>
            </w:drawing>
          </mc:Choice>
          <mc:Fallback>
            <w:pict>
              <v:shape id="文本框 121" o:spid="_x0000_s1026" o:spt="202" type="#_x0000_t202" style="position:absolute;left:0pt;margin-left:-9pt;margin-top:18.65pt;height:31.2pt;width:72pt;z-index:251781120;mso-width-relative:page;mso-height-relative:page;" filled="f" stroked="f" coordsize="21600,21600" o:gfxdata="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XCiQ4tcA&#10;AAAJAQAADwAAAAAAAAABACAAAAAiAAAAZHJzL2Rvd25yZXYueG1sUEsBAhQAFAAAAAgAh07iQGC6&#10;VgquAQAAUQMAAA4AAAAAAAAAAQAgAAAAJgEAAGRycy9lMm9Eb2MueG1sUEsFBgAAAAAGAAYAWQEA&#10;AEYFAAAAAA==&#10;">
                <v:fill on="f" focussize="0,0"/>
                <v:stroke on="f"/>
                <v:imagedata o:title=""/>
                <o:lock v:ext="edit" aspectratio="f"/>
                <v:textbo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未按规定投保的补救</w:t>
                      </w:r>
                    </w:p>
                  </w:txbxContent>
                </v:textbox>
              </v:shape>
            </w:pict>
          </mc:Fallback>
        </mc:AlternateContent>
      </w:r>
      <w:r>
        <w:rPr>
          <w:rFonts w:ascii="仿宋" w:hAnsi="仿宋" w:eastAsia="仿宋" w:cs="仿宋"/>
          <w:b/>
          <w:bCs/>
          <w:color w:val="auto"/>
          <w:sz w:val="24"/>
          <w:szCs w:val="24"/>
          <w:highlight w:val="none"/>
        </w:rPr>
        <w:t xml:space="preserve">32.4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合同双方当事人应遵守本条规定办理有关保险事项。如果未按规定投保的，应按下列规定补偿：</w:t>
      </w:r>
    </w:p>
    <w:p>
      <w:pPr>
        <w:pStyle w:val="2"/>
        <w:shd w:val="clear" w:color="000000" w:fill="auto"/>
        <w:adjustRightInd w:val="0"/>
        <w:snapToGrid w:val="0"/>
        <w:spacing w:line="360" w:lineRule="auto"/>
        <w:ind w:left="1617" w:leftChars="770" w:firstLine="1"/>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由于负有投保义务的合同一方当事人未按合同约定办理保险，或未能使保险持续有效的，则另一方当事人可代为办理，所需费用由对方当事人承担；</w:t>
      </w:r>
    </w:p>
    <w:p>
      <w:pPr>
        <w:pStyle w:val="2"/>
        <w:shd w:val="clear" w:color="000000" w:fill="auto"/>
        <w:adjustRightInd w:val="0"/>
        <w:snapToGrid w:val="0"/>
        <w:spacing w:line="360" w:lineRule="auto"/>
        <w:ind w:left="1617" w:leftChars="770" w:firstLine="1"/>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由于负有投保义务的合同一方当事人未按合同约定办理某项保险，导致受益人未能得到保险人的赔偿，则该项保险金应由负有投保义务的一方当事人支付。</w:t>
      </w:r>
    </w:p>
    <w:p>
      <w:pPr>
        <w:pStyle w:val="2"/>
        <w:shd w:val="clear" w:color="000000" w:fill="auto"/>
        <w:adjustRightInd w:val="0"/>
        <w:snapToGrid w:val="0"/>
        <w:spacing w:line="360" w:lineRule="auto"/>
        <w:rPr>
          <w:rFonts w:ascii="仿宋" w:hAnsi="仿宋" w:eastAsia="仿宋" w:cs="仿宋"/>
          <w:color w:val="auto"/>
          <w:sz w:val="24"/>
          <w:szCs w:val="24"/>
          <w:highlight w:val="none"/>
          <w:u w:val="dotted"/>
        </w:rPr>
      </w:pPr>
      <w:r>
        <w:rPr>
          <w:color w:val="auto"/>
          <w:highlight w:val="none"/>
        </w:rPr>
        <mc:AlternateContent>
          <mc:Choice Requires="wps">
            <w:drawing>
              <wp:anchor distT="0" distB="0" distL="114300" distR="114300" simplePos="0" relativeHeight="251782144" behindDoc="0" locked="0" layoutInCell="1" allowOverlap="1">
                <wp:simplePos x="0" y="0"/>
                <wp:positionH relativeFrom="column">
                  <wp:posOffset>-114300</wp:posOffset>
                </wp:positionH>
                <wp:positionV relativeFrom="paragraph">
                  <wp:posOffset>292100</wp:posOffset>
                </wp:positionV>
                <wp:extent cx="914400" cy="541020"/>
                <wp:effectExtent l="0" t="0" r="0" b="0"/>
                <wp:wrapNone/>
                <wp:docPr id="121" name="文本框 122"/>
                <wp:cNvGraphicFramePr/>
                <a:graphic xmlns:a="http://schemas.openxmlformats.org/drawingml/2006/main">
                  <a:graphicData uri="http://schemas.microsoft.com/office/word/2010/wordprocessingShape">
                    <wps:wsp>
                      <wps:cNvSpPr txBox="1"/>
                      <wps:spPr>
                        <a:xfrm>
                          <a:off x="0" y="0"/>
                          <a:ext cx="914400" cy="54102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发生保险事故双方应尽的责任</w:t>
                            </w:r>
                          </w:p>
                        </w:txbxContent>
                      </wps:txbx>
                      <wps:bodyPr upright="1"/>
                    </wps:wsp>
                  </a:graphicData>
                </a:graphic>
              </wp:anchor>
            </w:drawing>
          </mc:Choice>
          <mc:Fallback>
            <w:pict>
              <v:shape id="文本框 122" o:spid="_x0000_s1026" o:spt="202" type="#_x0000_t202" style="position:absolute;left:0pt;margin-left:-9pt;margin-top:23pt;height:42.6pt;width:72pt;z-index:251782144;mso-width-relative:page;mso-height-relative:page;" filled="f" stroked="f" coordsize="21600,21600" o:gfxdata="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xjylF9cA&#10;AAAKAQAADwAAAAAAAAABACAAAAAiAAAAZHJzL2Rvd25yZXYueG1sUEsBAhQAFAAAAAgAh07iQOwD&#10;mA6uAQAAUQMAAA4AAAAAAAAAAQAgAAAAJgEAAGRycy9lMm9Eb2MueG1sUEsFBgAAAAAGAAYAWQEA&#10;AEY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发生保险事故双方应尽的责任</w:t>
                      </w:r>
                    </w:p>
                  </w:txbxContent>
                </v:textbox>
              </v:shape>
            </w:pict>
          </mc:Fallback>
        </mc:AlternateContent>
      </w:r>
      <w:r>
        <w:rPr>
          <w:rFonts w:ascii="仿宋" w:hAnsi="仿宋" w:eastAsia="仿宋" w:cs="仿宋"/>
          <w:b/>
          <w:bCs/>
          <w:color w:val="auto"/>
          <w:sz w:val="24"/>
          <w:szCs w:val="24"/>
          <w:highlight w:val="none"/>
        </w:rPr>
        <w:t xml:space="preserve">32.5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当合同工程发生保险事故时</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被保险人应及时通知保险人，并提供有关资料。合同双方当事人有责任采取合理有效措施防止或减少损失，并应相互协助做好向保险人的报告和理赔工作。</w:t>
      </w:r>
    </w:p>
    <w:p>
      <w:pPr>
        <w:pStyle w:val="2"/>
        <w:shd w:val="clear" w:color="000000" w:fill="auto"/>
        <w:tabs>
          <w:tab w:val="left" w:pos="1320"/>
          <w:tab w:val="left" w:pos="1620"/>
        </w:tabs>
        <w:adjustRightInd w:val="0"/>
        <w:snapToGrid w:val="0"/>
        <w:spacing w:line="360" w:lineRule="auto"/>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32.6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83168" behindDoc="0" locked="0" layoutInCell="1" allowOverlap="1">
                <wp:simplePos x="0" y="0"/>
                <wp:positionH relativeFrom="column">
                  <wp:posOffset>-114300</wp:posOffset>
                </wp:positionH>
                <wp:positionV relativeFrom="paragraph">
                  <wp:posOffset>0</wp:posOffset>
                </wp:positionV>
                <wp:extent cx="914400" cy="552450"/>
                <wp:effectExtent l="0" t="0" r="0" b="0"/>
                <wp:wrapNone/>
                <wp:docPr id="122" name="文本框 123"/>
                <wp:cNvGraphicFramePr/>
                <a:graphic xmlns:a="http://schemas.openxmlformats.org/drawingml/2006/main">
                  <a:graphicData uri="http://schemas.microsoft.com/office/word/2010/wordprocessingShape">
                    <wps:wsp>
                      <wps:cNvSpPr txBox="1"/>
                      <wps:spPr>
                        <a:xfrm>
                          <a:off x="0" y="0"/>
                          <a:ext cx="914400" cy="55245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工程变更被保险人应尽的责任</w:t>
                            </w:r>
                          </w:p>
                        </w:txbxContent>
                      </wps:txbx>
                      <wps:bodyPr upright="1"/>
                    </wps:wsp>
                  </a:graphicData>
                </a:graphic>
              </wp:anchor>
            </w:drawing>
          </mc:Choice>
          <mc:Fallback>
            <w:pict>
              <v:shape id="文本框 123" o:spid="_x0000_s1026" o:spt="202" type="#_x0000_t202" style="position:absolute;left:0pt;margin-left:-9pt;margin-top:0pt;height:43.5pt;width:72pt;z-index:251783168;mso-width-relative:page;mso-height-relative:page;" filled="f" stroked="f" coordsize="21600,21600" o:gfxdata="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n0QCftQAAAAH&#10;AQAADwAAAAAAAAABACAAAAAiAAAAZHJzL2Rvd25yZXYueG1sUEsBAhQAFAAAAAgAh07iQGvf6Nmu&#10;AQAAUQMAAA4AAAAAAAAAAQAgAAAAIwEAAGRycy9lMm9Eb2MueG1sUEsFBgAAAAAGAAYAWQEAAEMF&#10;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工程变更被保险人应尽的责任</w:t>
                      </w:r>
                    </w:p>
                  </w:txbxContent>
                </v:textbox>
              </v:shape>
            </w:pict>
          </mc:Fallback>
        </mc:AlternateContent>
      </w:r>
      <w:r>
        <w:rPr>
          <w:rFonts w:hint="eastAsia" w:ascii="仿宋" w:hAnsi="仿宋" w:eastAsia="仿宋" w:cs="仿宋"/>
          <w:color w:val="auto"/>
          <w:sz w:val="24"/>
          <w:szCs w:val="24"/>
          <w:highlight w:val="none"/>
        </w:rPr>
        <w:t>当合同工程的性质、规模或计划发生变更时，被保险人应及时通知保险人，并在合同履行期间按照本条规定保证足够的保险额，由此造成的费用由责任方承担。</w:t>
      </w:r>
    </w:p>
    <w:p>
      <w:pPr>
        <w:pStyle w:val="2"/>
        <w:shd w:val="clear" w:color="000000" w:fill="auto"/>
        <w:tabs>
          <w:tab w:val="left" w:pos="1320"/>
        </w:tabs>
        <w:adjustRightInd w:val="0"/>
        <w:snapToGrid w:val="0"/>
        <w:spacing w:line="360" w:lineRule="auto"/>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32.7  </w:t>
      </w:r>
      <w:r>
        <w:rPr>
          <w:rFonts w:ascii="仿宋" w:hAnsi="仿宋" w:eastAsia="仿宋" w:cs="仿宋"/>
          <w:b/>
          <w:bCs/>
          <w:color w:val="auto"/>
          <w:sz w:val="24"/>
          <w:szCs w:val="24"/>
          <w:highlight w:val="none"/>
          <w:u w:val="dotted"/>
        </w:rPr>
        <w:t xml:space="preserve">                                                                                                        </w:t>
      </w:r>
    </w:p>
    <w:p>
      <w:pPr>
        <w:pStyle w:val="2"/>
        <w:shd w:val="clear" w:color="000000" w:fill="auto"/>
        <w:tabs>
          <w:tab w:val="left" w:pos="1320"/>
        </w:tabs>
        <w:adjustRightInd w:val="0"/>
        <w:snapToGrid w:val="0"/>
        <w:spacing w:line="360" w:lineRule="auto"/>
        <w:ind w:left="1575" w:leftChars="750"/>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784192" behindDoc="0" locked="0" layoutInCell="1" allowOverlap="1">
                <wp:simplePos x="0" y="0"/>
                <wp:positionH relativeFrom="column">
                  <wp:posOffset>-66675</wp:posOffset>
                </wp:positionH>
                <wp:positionV relativeFrom="paragraph">
                  <wp:posOffset>13970</wp:posOffset>
                </wp:positionV>
                <wp:extent cx="914400" cy="425450"/>
                <wp:effectExtent l="0" t="0" r="0" b="0"/>
                <wp:wrapNone/>
                <wp:docPr id="123" name="文本框 124"/>
                <wp:cNvGraphicFramePr/>
                <a:graphic xmlns:a="http://schemas.openxmlformats.org/drawingml/2006/main">
                  <a:graphicData uri="http://schemas.microsoft.com/office/word/2010/wordprocessingShape">
                    <wps:wsp>
                      <wps:cNvSpPr txBox="1"/>
                      <wps:spPr>
                        <a:xfrm>
                          <a:off x="0" y="0"/>
                          <a:ext cx="914400" cy="42545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保险赔偿金的用途</w:t>
                            </w:r>
                          </w:p>
                        </w:txbxContent>
                      </wps:txbx>
                      <wps:bodyPr upright="1"/>
                    </wps:wsp>
                  </a:graphicData>
                </a:graphic>
              </wp:anchor>
            </w:drawing>
          </mc:Choice>
          <mc:Fallback>
            <w:pict>
              <v:shape id="文本框 124" o:spid="_x0000_s1026" o:spt="202" type="#_x0000_t202" style="position:absolute;left:0pt;margin-left:-5.25pt;margin-top:1.1pt;height:33.5pt;width:72pt;z-index:251784192;mso-width-relative:page;mso-height-relative:page;" filled="f" stroked="f" coordsize="21600,21600" o:gfxdata="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pP1NR1QAA&#10;AAgBAAAPAAAAAAAAAAEAIAAAACIAAABkcnMvZG93bnJldi54bWxQSwECFAAUAAAACACHTuJA+aNK&#10;oq8BAABRAwAADgAAAAAAAAABACAAAAAkAQAAZHJzL2Uyb0RvYy54bWxQSwUGAAAAAAYABgBZAQAA&#10;R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保险赔偿金的用途</w:t>
                      </w:r>
                    </w:p>
                  </w:txbxContent>
                </v:textbox>
              </v:shape>
            </w:pict>
          </mc:Fallback>
        </mc:AlternateContent>
      </w:r>
      <w:r>
        <w:rPr>
          <w:rFonts w:hint="eastAsia" w:ascii="仿宋" w:hAnsi="仿宋" w:eastAsia="仿宋" w:cs="仿宋"/>
          <w:color w:val="auto"/>
          <w:sz w:val="24"/>
          <w:szCs w:val="24"/>
          <w:highlight w:val="none"/>
        </w:rPr>
        <w:t>从保险人收到的因合同工程本身损失或损坏的保险金</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应专项用于修复合同工程的损失或损坏，或作为对未能修复合同工程这些损失或损坏的补偿。</w:t>
      </w:r>
    </w:p>
    <w:p>
      <w:pPr>
        <w:pStyle w:val="2"/>
        <w:shd w:val="clear" w:color="000000" w:fill="auto"/>
        <w:tabs>
          <w:tab w:val="left" w:pos="1320"/>
        </w:tabs>
        <w:adjustRightInd w:val="0"/>
        <w:snapToGrid w:val="0"/>
        <w:spacing w:line="360" w:lineRule="auto"/>
        <w:rPr>
          <w:rFonts w:ascii="仿宋" w:hAnsi="仿宋" w:eastAsia="仿宋" w:cs="仿宋"/>
          <w:b/>
          <w:bCs/>
          <w:color w:val="auto"/>
          <w:sz w:val="24"/>
          <w:szCs w:val="24"/>
          <w:highlight w:val="none"/>
          <w:u w:val="dotted"/>
        </w:rPr>
      </w:pPr>
      <w:r>
        <w:rPr>
          <w:color w:val="auto"/>
          <w:highlight w:val="none"/>
        </w:rPr>
        <mc:AlternateContent>
          <mc:Choice Requires="wps">
            <w:drawing>
              <wp:anchor distT="0" distB="0" distL="114300" distR="114300" simplePos="0" relativeHeight="251785216" behindDoc="0" locked="0" layoutInCell="1" allowOverlap="1">
                <wp:simplePos x="0" y="0"/>
                <wp:positionH relativeFrom="column">
                  <wp:posOffset>-114300</wp:posOffset>
                </wp:positionH>
                <wp:positionV relativeFrom="paragraph">
                  <wp:posOffset>227330</wp:posOffset>
                </wp:positionV>
                <wp:extent cx="914400" cy="407035"/>
                <wp:effectExtent l="0" t="0" r="0" b="0"/>
                <wp:wrapNone/>
                <wp:docPr id="124" name="文本框 125"/>
                <wp:cNvGraphicFramePr/>
                <a:graphic xmlns:a="http://schemas.openxmlformats.org/drawingml/2006/main">
                  <a:graphicData uri="http://schemas.microsoft.com/office/word/2010/wordprocessingShape">
                    <wps:wsp>
                      <wps:cNvSpPr txBox="1"/>
                      <wps:spPr>
                        <a:xfrm>
                          <a:off x="0" y="0"/>
                          <a:ext cx="914400" cy="407035"/>
                        </a:xfrm>
                        <a:prstGeom prst="rect">
                          <a:avLst/>
                        </a:prstGeom>
                        <a:noFill/>
                        <a:ln>
                          <a:noFill/>
                        </a:ln>
                      </wps:spPr>
                      <wps:txb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约定投保事项</w:t>
                            </w:r>
                          </w:p>
                        </w:txbxContent>
                      </wps:txbx>
                      <wps:bodyPr upright="1"/>
                    </wps:wsp>
                  </a:graphicData>
                </a:graphic>
              </wp:anchor>
            </w:drawing>
          </mc:Choice>
          <mc:Fallback>
            <w:pict>
              <v:shape id="文本框 125" o:spid="_x0000_s1026" o:spt="202" type="#_x0000_t202" style="position:absolute;left:0pt;margin-left:-9pt;margin-top:17.9pt;height:32.05pt;width:72pt;z-index:251785216;mso-width-relative:page;mso-height-relative:page;" filled="f" stroked="f" coordsize="21600,21600" o:gfxdata="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dw8uNYA&#10;AAAJAQAADwAAAAAAAAABACAAAAAiAAAAZHJzL2Rvd25yZXYueG1sUEsBAhQAFAAAAAgAh07iQH+X&#10;SN2vAQAAUQMAAA4AAAAAAAAAAQAgAAAAJQEAAGRycy9lMm9Eb2MueG1sUEsFBgAAAAAGAAYAWQEA&#10;AEYFAAAAAA==&#10;">
                <v:fill on="f" focussize="0,0"/>
                <v:stroke on="f"/>
                <v:imagedata o:title=""/>
                <o:lock v:ext="edit" aspectratio="f"/>
                <v:textbo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约定投保事项</w:t>
                      </w:r>
                    </w:p>
                  </w:txbxContent>
                </v:textbox>
              </v:shape>
            </w:pict>
          </mc:Fallback>
        </mc:AlternateContent>
      </w:r>
      <w:r>
        <w:rPr>
          <w:rFonts w:ascii="仿宋" w:hAnsi="仿宋" w:eastAsia="仿宋" w:cs="仿宋"/>
          <w:b/>
          <w:bCs/>
          <w:color w:val="auto"/>
          <w:sz w:val="24"/>
          <w:szCs w:val="24"/>
          <w:highlight w:val="none"/>
        </w:rPr>
        <w:t xml:space="preserve">32.8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具体投保内容、保险金、保险期限及相关责任等事项，合同双方当事人应在专用条款中约定。</w:t>
      </w:r>
    </w:p>
    <w:p>
      <w:pPr>
        <w:pStyle w:val="2"/>
        <w:shd w:val="clear" w:color="000000" w:fill="auto"/>
        <w:adjustRightInd w:val="0"/>
        <w:snapToGrid w:val="0"/>
        <w:spacing w:line="360" w:lineRule="auto"/>
        <w:ind w:right="-238"/>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u w:val="single"/>
        </w:rPr>
        <w:t xml:space="preserve">                                                                                                              </w:t>
      </w:r>
    </w:p>
    <w:p>
      <w:pPr>
        <w:pStyle w:val="2"/>
        <w:shd w:val="clear" w:color="000000" w:fill="auto"/>
        <w:adjustRightInd w:val="0"/>
        <w:snapToGrid w:val="0"/>
        <w:spacing w:line="360" w:lineRule="auto"/>
        <w:ind w:right="-238"/>
        <w:jc w:val="center"/>
        <w:outlineLvl w:val="1"/>
        <w:rPr>
          <w:rFonts w:ascii="仿宋" w:hAnsi="仿宋" w:eastAsia="仿宋" w:cs="Times New Roman"/>
          <w:b/>
          <w:bCs/>
          <w:color w:val="auto"/>
          <w:sz w:val="24"/>
          <w:szCs w:val="24"/>
          <w:highlight w:val="none"/>
        </w:rPr>
      </w:pPr>
      <w:bookmarkStart w:id="216" w:name="_Toc469384014"/>
      <w:bookmarkStart w:id="217" w:name="_Toc96"/>
      <w:bookmarkStart w:id="218" w:name="_Toc22459"/>
      <w:bookmarkStart w:id="219" w:name="_Toc10624854"/>
      <w:r>
        <w:rPr>
          <w:rFonts w:hint="eastAsia" w:ascii="仿宋" w:hAnsi="仿宋" w:eastAsia="仿宋" w:cs="仿宋"/>
          <w:b/>
          <w:bCs/>
          <w:color w:val="auto"/>
          <w:sz w:val="24"/>
          <w:szCs w:val="24"/>
          <w:highlight w:val="none"/>
        </w:rPr>
        <w:t>四、工</w:t>
      </w:r>
      <w:r>
        <w:rPr>
          <w:rFonts w:ascii="仿宋" w:hAnsi="仿宋" w:eastAsia="仿宋" w:cs="仿宋"/>
          <w:b/>
          <w:bCs/>
          <w:color w:val="auto"/>
          <w:sz w:val="24"/>
          <w:szCs w:val="24"/>
          <w:highlight w:val="none"/>
        </w:rPr>
        <w:t xml:space="preserve">  </w:t>
      </w:r>
      <w:r>
        <w:rPr>
          <w:rFonts w:hint="eastAsia" w:ascii="仿宋" w:hAnsi="仿宋" w:eastAsia="仿宋" w:cs="仿宋"/>
          <w:b/>
          <w:bCs/>
          <w:color w:val="auto"/>
          <w:sz w:val="24"/>
          <w:szCs w:val="24"/>
          <w:highlight w:val="none"/>
        </w:rPr>
        <w:t>期</w:t>
      </w:r>
      <w:bookmarkEnd w:id="216"/>
      <w:bookmarkEnd w:id="217"/>
      <w:bookmarkEnd w:id="218"/>
      <w:bookmarkEnd w:id="219"/>
    </w:p>
    <w:p>
      <w:pPr>
        <w:pStyle w:val="2"/>
        <w:shd w:val="clear" w:color="000000" w:fill="auto"/>
        <w:tabs>
          <w:tab w:val="left" w:pos="540"/>
        </w:tabs>
        <w:adjustRightInd w:val="0"/>
        <w:snapToGrid w:val="0"/>
        <w:spacing w:before="240" w:beforeLines="100" w:line="360" w:lineRule="auto"/>
        <w:outlineLvl w:val="2"/>
        <w:rPr>
          <w:rFonts w:ascii="仿宋" w:hAnsi="仿宋" w:eastAsia="仿宋" w:cs="Times New Roman"/>
          <w:b/>
          <w:bCs/>
          <w:color w:val="auto"/>
          <w:sz w:val="24"/>
          <w:szCs w:val="24"/>
          <w:highlight w:val="none"/>
        </w:rPr>
      </w:pPr>
      <w:bookmarkStart w:id="220" w:name="_Toc22920"/>
      <w:bookmarkStart w:id="221" w:name="_Toc469384015"/>
      <w:bookmarkStart w:id="222" w:name="_Toc10624855"/>
      <w:r>
        <w:rPr>
          <w:rFonts w:ascii="仿宋" w:hAnsi="仿宋" w:eastAsia="仿宋" w:cs="仿宋"/>
          <w:b/>
          <w:bCs/>
          <w:color w:val="auto"/>
          <w:sz w:val="24"/>
          <w:szCs w:val="24"/>
          <w:highlight w:val="none"/>
        </w:rPr>
        <w:t xml:space="preserve">33  </w:t>
      </w:r>
      <w:r>
        <w:rPr>
          <w:rFonts w:hint="eastAsia" w:ascii="仿宋" w:hAnsi="仿宋" w:eastAsia="仿宋" w:cs="仿宋"/>
          <w:b/>
          <w:bCs/>
          <w:color w:val="auto"/>
          <w:sz w:val="24"/>
          <w:szCs w:val="24"/>
          <w:highlight w:val="none"/>
        </w:rPr>
        <w:t>进度计划和报告</w:t>
      </w:r>
      <w:bookmarkEnd w:id="220"/>
      <w:bookmarkEnd w:id="221"/>
      <w:bookmarkEnd w:id="222"/>
    </w:p>
    <w:p>
      <w:pPr>
        <w:pStyle w:val="2"/>
        <w:shd w:val="clear" w:color="000000" w:fill="auto"/>
        <w:tabs>
          <w:tab w:val="left" w:pos="1620"/>
        </w:tabs>
        <w:adjustRightInd w:val="0"/>
        <w:snapToGrid w:val="0"/>
        <w:spacing w:line="360" w:lineRule="auto"/>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786240" behindDoc="0" locked="0" layoutInCell="1" allowOverlap="1">
                <wp:simplePos x="0" y="0"/>
                <wp:positionH relativeFrom="column">
                  <wp:posOffset>-114300</wp:posOffset>
                </wp:positionH>
                <wp:positionV relativeFrom="paragraph">
                  <wp:posOffset>283845</wp:posOffset>
                </wp:positionV>
                <wp:extent cx="914400" cy="412750"/>
                <wp:effectExtent l="0" t="0" r="0" b="0"/>
                <wp:wrapNone/>
                <wp:docPr id="125" name="文本框 126"/>
                <wp:cNvGraphicFramePr/>
                <a:graphic xmlns:a="http://schemas.openxmlformats.org/drawingml/2006/main">
                  <a:graphicData uri="http://schemas.microsoft.com/office/word/2010/wordprocessingShape">
                    <wps:wsp>
                      <wps:cNvSpPr txBox="1"/>
                      <wps:spPr>
                        <a:xfrm>
                          <a:off x="0" y="0"/>
                          <a:ext cx="914400" cy="412750"/>
                        </a:xfrm>
                        <a:prstGeom prst="rect">
                          <a:avLst/>
                        </a:prstGeom>
                        <a:noFill/>
                        <a:ln>
                          <a:noFill/>
                        </a:ln>
                      </wps:spPr>
                      <wps:txbx>
                        <w:txbxContent>
                          <w:p>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提交工程进度计划</w:t>
                            </w:r>
                          </w:p>
                        </w:txbxContent>
                      </wps:txbx>
                      <wps:bodyPr upright="1"/>
                    </wps:wsp>
                  </a:graphicData>
                </a:graphic>
              </wp:anchor>
            </w:drawing>
          </mc:Choice>
          <mc:Fallback>
            <w:pict>
              <v:shape id="文本框 126" o:spid="_x0000_s1026" o:spt="202" type="#_x0000_t202" style="position:absolute;left:0pt;margin-left:-9pt;margin-top:22.35pt;height:32.5pt;width:72pt;z-index:251786240;mso-width-relative:page;mso-height-relative:page;" filled="f" stroked="f" coordsize="21600,21600" o:gfxdata="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3cbg7&#10;2AAAAAoBAAAPAAAAAAAAAAEAIAAAACIAAABkcnMvZG93bnJldi54bWxQSwECFAAUAAAACACHTuJA&#10;xnNn5a8BAABRAwAADgAAAAAAAAABACAAAAAnAQAAZHJzL2Uyb0RvYy54bWxQSwUGAAAAAAYABgBZ&#10;AQAASAUAAAAA&#10;">
                <v:fill on="f" focussize="0,0"/>
                <v:stroke on="f"/>
                <v:imagedata o:title=""/>
                <o:lock v:ext="edit" aspectratio="f"/>
                <v:textbox>
                  <w:txbxContent>
                    <w:p>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提交工程进度计划</w:t>
                      </w:r>
                    </w:p>
                  </w:txbxContent>
                </v:textbox>
              </v:shape>
            </w:pict>
          </mc:Fallback>
        </mc:AlternateContent>
      </w:r>
      <w:r>
        <w:rPr>
          <w:rFonts w:ascii="仿宋" w:hAnsi="仿宋" w:eastAsia="仿宋" w:cs="仿宋"/>
          <w:b/>
          <w:bCs/>
          <w:color w:val="auto"/>
          <w:sz w:val="24"/>
          <w:szCs w:val="24"/>
          <w:highlight w:val="none"/>
        </w:rPr>
        <w:t xml:space="preserve">33.1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承包人应在签订本合同后的</w:t>
      </w:r>
      <w:r>
        <w:rPr>
          <w:rFonts w:ascii="仿宋" w:hAnsi="仿宋" w:eastAsia="仿宋" w:cs="仿宋"/>
          <w:color w:val="auto"/>
          <w:sz w:val="24"/>
          <w:szCs w:val="24"/>
          <w:highlight w:val="none"/>
        </w:rPr>
        <w:t>31</w:t>
      </w:r>
      <w:r>
        <w:rPr>
          <w:rFonts w:hint="eastAsia" w:ascii="仿宋" w:hAnsi="仿宋" w:eastAsia="仿宋" w:cs="仿宋"/>
          <w:color w:val="auto"/>
          <w:sz w:val="24"/>
          <w:szCs w:val="24"/>
          <w:highlight w:val="none"/>
        </w:rPr>
        <w:t>天内，向监理工程师提交一式两份施工组织设计和合同工程进度计划，向发包方提交一份施工组织设计和合同工程进度计划。经发包人批准后，监理工程师应在收到该设计和计划后的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予以确认或提出修改意见，逾期不确认也不提出书面意见的，视为同意。工程进度计划，应对合同工程的全部施工作业提出总体上的施工方法、施工安排、作业顺序和时间表。合同约定有单位工程的，承包人还应编制单位工程进度计划。</w:t>
      </w:r>
    </w:p>
    <w:p>
      <w:pPr>
        <w:pStyle w:val="2"/>
        <w:shd w:val="clear" w:color="000000" w:fill="auto"/>
        <w:tabs>
          <w:tab w:val="left" w:pos="1620"/>
        </w:tabs>
        <w:adjustRightInd w:val="0"/>
        <w:snapToGrid w:val="0"/>
        <w:spacing w:line="360" w:lineRule="auto"/>
        <w:rPr>
          <w:rFonts w:ascii="仿宋" w:hAnsi="仿宋" w:eastAsia="仿宋" w:cs="仿宋"/>
          <w:b/>
          <w:bCs/>
          <w:color w:val="auto"/>
          <w:sz w:val="24"/>
          <w:szCs w:val="24"/>
          <w:highlight w:val="none"/>
          <w:u w:val="dotted"/>
        </w:rPr>
      </w:pPr>
      <w:r>
        <w:rPr>
          <w:color w:val="auto"/>
          <w:highlight w:val="none"/>
        </w:rPr>
        <mc:AlternateContent>
          <mc:Choice Requires="wps">
            <w:drawing>
              <wp:anchor distT="0" distB="0" distL="114300" distR="114300" simplePos="0" relativeHeight="251787264" behindDoc="0" locked="0" layoutInCell="1" allowOverlap="1">
                <wp:simplePos x="0" y="0"/>
                <wp:positionH relativeFrom="column">
                  <wp:posOffset>-114300</wp:posOffset>
                </wp:positionH>
                <wp:positionV relativeFrom="paragraph">
                  <wp:posOffset>281305</wp:posOffset>
                </wp:positionV>
                <wp:extent cx="914400" cy="471805"/>
                <wp:effectExtent l="0" t="0" r="0" b="0"/>
                <wp:wrapNone/>
                <wp:docPr id="126" name="文本框 127"/>
                <wp:cNvGraphicFramePr/>
                <a:graphic xmlns:a="http://schemas.openxmlformats.org/drawingml/2006/main">
                  <a:graphicData uri="http://schemas.microsoft.com/office/word/2010/wordprocessingShape">
                    <wps:wsp>
                      <wps:cNvSpPr txBox="1"/>
                      <wps:spPr>
                        <a:xfrm>
                          <a:off x="0" y="0"/>
                          <a:ext cx="914400" cy="47180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工程进度的监督和检查</w:t>
                            </w:r>
                          </w:p>
                        </w:txbxContent>
                      </wps:txbx>
                      <wps:bodyPr upright="1"/>
                    </wps:wsp>
                  </a:graphicData>
                </a:graphic>
              </wp:anchor>
            </w:drawing>
          </mc:Choice>
          <mc:Fallback>
            <w:pict>
              <v:shape id="文本框 127" o:spid="_x0000_s1026" o:spt="202" type="#_x0000_t202" style="position:absolute;left:0pt;margin-left:-9pt;margin-top:22.15pt;height:37.15pt;width:72pt;z-index:251787264;mso-width-relative:page;mso-height-relative:page;" filled="f" stroked="f" coordsize="21600,21600" o:gfxdata="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EgftHjX&#10;AAAACgEAAA8AAAAAAAAAAQAgAAAAIgAAAGRycy9kb3ducmV2LnhtbFBLAQIUABQAAAAIAIdO4kAu&#10;CLlOrwEAAFEDAAAOAAAAAAAAAAEAIAAAACYBAABkcnMvZTJvRG9jLnhtbFBLBQYAAAAABgAGAFkB&#10;AABH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工程进度的监督和检查</w:t>
                      </w:r>
                    </w:p>
                  </w:txbxContent>
                </v:textbox>
              </v:shape>
            </w:pict>
          </mc:Fallback>
        </mc:AlternateContent>
      </w:r>
      <w:r>
        <w:rPr>
          <w:rFonts w:ascii="仿宋" w:hAnsi="仿宋" w:eastAsia="仿宋" w:cs="仿宋"/>
          <w:b/>
          <w:bCs/>
          <w:color w:val="auto"/>
          <w:sz w:val="24"/>
          <w:szCs w:val="24"/>
          <w:highlight w:val="none"/>
        </w:rPr>
        <w:t xml:space="preserve">33.2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承包人应按照经监理工程师确认并由其报发包人批准的进度计划组织施工，接受监理工程师对工程进度的监督和检查。</w:t>
      </w:r>
    </w:p>
    <w:p>
      <w:pPr>
        <w:pStyle w:val="2"/>
        <w:shd w:val="clear" w:color="000000" w:fill="auto"/>
        <w:tabs>
          <w:tab w:val="left" w:pos="1620"/>
        </w:tabs>
        <w:adjustRightInd w:val="0"/>
        <w:snapToGrid w:val="0"/>
        <w:spacing w:line="360" w:lineRule="auto"/>
        <w:rPr>
          <w:rFonts w:ascii="仿宋" w:hAnsi="仿宋" w:eastAsia="仿宋" w:cs="仿宋"/>
          <w:b/>
          <w:bCs/>
          <w:color w:val="auto"/>
          <w:sz w:val="24"/>
          <w:szCs w:val="24"/>
          <w:highlight w:val="none"/>
          <w:u w:val="dotted"/>
        </w:rPr>
      </w:pPr>
      <w:r>
        <w:rPr>
          <w:color w:val="auto"/>
          <w:highlight w:val="none"/>
        </w:rPr>
        <mc:AlternateContent>
          <mc:Choice Requires="wps">
            <w:drawing>
              <wp:anchor distT="0" distB="0" distL="114300" distR="114300" simplePos="0" relativeHeight="251788288" behindDoc="0" locked="0" layoutInCell="1" allowOverlap="1">
                <wp:simplePos x="0" y="0"/>
                <wp:positionH relativeFrom="column">
                  <wp:posOffset>-114300</wp:posOffset>
                </wp:positionH>
                <wp:positionV relativeFrom="paragraph">
                  <wp:posOffset>265430</wp:posOffset>
                </wp:positionV>
                <wp:extent cx="914400" cy="555625"/>
                <wp:effectExtent l="0" t="0" r="0" b="0"/>
                <wp:wrapNone/>
                <wp:docPr id="127" name="文本框 128"/>
                <wp:cNvGraphicFramePr/>
                <a:graphic xmlns:a="http://schemas.openxmlformats.org/drawingml/2006/main">
                  <a:graphicData uri="http://schemas.microsoft.com/office/word/2010/wordprocessingShape">
                    <wps:wsp>
                      <wps:cNvSpPr txBox="1"/>
                      <wps:spPr>
                        <a:xfrm>
                          <a:off x="0" y="0"/>
                          <a:ext cx="914400" cy="55562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提交施工进度报告和修订进度计划</w:t>
                            </w:r>
                          </w:p>
                        </w:txbxContent>
                      </wps:txbx>
                      <wps:bodyPr upright="1"/>
                    </wps:wsp>
                  </a:graphicData>
                </a:graphic>
              </wp:anchor>
            </w:drawing>
          </mc:Choice>
          <mc:Fallback>
            <w:pict>
              <v:shape id="文本框 128" o:spid="_x0000_s1026" o:spt="202" type="#_x0000_t202" style="position:absolute;left:0pt;margin-left:-9pt;margin-top:20.9pt;height:43.75pt;width:72pt;z-index:251788288;mso-width-relative:page;mso-height-relative:page;" filled="f" stroked="f" coordsize="21600,21600" o:gfxdata="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OC5uAjX&#10;AAAACgEAAA8AAAAAAAAAAQAgAAAAIgAAAGRycy9kb3ducmV2LnhtbFBLAQIUABQAAAAIAIdO4kDa&#10;vzPorwEAAFEDAAAOAAAAAAAAAAEAIAAAACYBAABkcnMvZTJvRG9jLnhtbFBLBQYAAAAABgAGAFkB&#10;AABH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提交施工进度报告和修订进度计划</w:t>
                      </w:r>
                    </w:p>
                  </w:txbxContent>
                </v:textbox>
              </v:shape>
            </w:pict>
          </mc:Fallback>
        </mc:AlternateContent>
      </w:r>
      <w:r>
        <w:rPr>
          <w:rFonts w:ascii="仿宋" w:hAnsi="仿宋" w:eastAsia="仿宋" w:cs="仿宋"/>
          <w:b/>
          <w:bCs/>
          <w:color w:val="auto"/>
          <w:sz w:val="24"/>
          <w:szCs w:val="24"/>
          <w:highlight w:val="none"/>
        </w:rPr>
        <w:t xml:space="preserve">33.3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除专用条款另有约定外，承包人应编制每月施工进度报告，同时每季度对进度计划修订一次，并在每月或季结束后的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天内向监理工程师提交上述报告和修订计划一式两份。月施工进度报告的内容至少应包括：</w:t>
      </w:r>
    </w:p>
    <w:p>
      <w:pPr>
        <w:pStyle w:val="2"/>
        <w:shd w:val="clear" w:color="000000" w:fill="auto"/>
        <w:adjustRightInd w:val="0"/>
        <w:snapToGrid w:val="0"/>
        <w:spacing w:line="360" w:lineRule="auto"/>
        <w:ind w:firstLine="1560" w:firstLineChars="65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）施工、安装、试验以及其他发包人工作等进展情况的图表和说明；</w:t>
      </w:r>
    </w:p>
    <w:p>
      <w:pPr>
        <w:pStyle w:val="2"/>
        <w:shd w:val="clear" w:color="000000" w:fill="auto"/>
        <w:adjustRightInd w:val="0"/>
        <w:snapToGrid w:val="0"/>
        <w:spacing w:line="360" w:lineRule="auto"/>
        <w:ind w:firstLine="1560" w:firstLineChars="65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）材料、设备、货物的采购和制造商名称、地点以及进入现场情况；</w:t>
      </w:r>
    </w:p>
    <w:p>
      <w:pPr>
        <w:pStyle w:val="2"/>
        <w:shd w:val="clear" w:color="000000" w:fill="auto"/>
        <w:adjustRightInd w:val="0"/>
        <w:snapToGrid w:val="0"/>
        <w:spacing w:line="360" w:lineRule="auto"/>
        <w:ind w:firstLine="1560" w:firstLineChars="65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）索赔情况和安全统计；</w:t>
      </w:r>
    </w:p>
    <w:p>
      <w:pPr>
        <w:pStyle w:val="2"/>
        <w:shd w:val="clear" w:color="000000" w:fill="auto"/>
        <w:adjustRightInd w:val="0"/>
        <w:snapToGrid w:val="0"/>
        <w:spacing w:line="360" w:lineRule="auto"/>
        <w:ind w:left="1558" w:leftChars="742"/>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4</w:t>
      </w:r>
      <w:r>
        <w:rPr>
          <w:rFonts w:hint="eastAsia" w:ascii="仿宋" w:hAnsi="仿宋" w:eastAsia="仿宋" w:cs="仿宋"/>
          <w:color w:val="auto"/>
          <w:sz w:val="24"/>
          <w:szCs w:val="24"/>
          <w:highlight w:val="none"/>
        </w:rPr>
        <w:t>）实际进度与计划进度的对比，以及为消除延误正在或准备采取的措施。</w:t>
      </w:r>
    </w:p>
    <w:p>
      <w:pPr>
        <w:pStyle w:val="2"/>
        <w:shd w:val="clear" w:color="000000" w:fill="auto"/>
        <w:tabs>
          <w:tab w:val="left" w:pos="1620"/>
        </w:tabs>
        <w:adjustRightInd w:val="0"/>
        <w:snapToGrid w:val="0"/>
        <w:spacing w:line="480" w:lineRule="auto"/>
        <w:rPr>
          <w:rFonts w:ascii="仿宋" w:hAnsi="仿宋" w:eastAsia="仿宋" w:cs="仿宋"/>
          <w:color w:val="auto"/>
          <w:sz w:val="24"/>
          <w:szCs w:val="24"/>
          <w:highlight w:val="none"/>
          <w:u w:val="dotted"/>
        </w:rPr>
      </w:pPr>
      <w:r>
        <w:rPr>
          <w:color w:val="auto"/>
          <w:highlight w:val="none"/>
        </w:rPr>
        <mc:AlternateContent>
          <mc:Choice Requires="wps">
            <w:drawing>
              <wp:anchor distT="0" distB="0" distL="114300" distR="114300" simplePos="0" relativeHeight="251789312" behindDoc="0" locked="0" layoutInCell="1" allowOverlap="1">
                <wp:simplePos x="0" y="0"/>
                <wp:positionH relativeFrom="column">
                  <wp:posOffset>-114300</wp:posOffset>
                </wp:positionH>
                <wp:positionV relativeFrom="paragraph">
                  <wp:posOffset>243840</wp:posOffset>
                </wp:positionV>
                <wp:extent cx="914400" cy="644525"/>
                <wp:effectExtent l="0" t="0" r="0" b="0"/>
                <wp:wrapNone/>
                <wp:docPr id="128" name="文本框 129"/>
                <wp:cNvGraphicFramePr/>
                <a:graphic xmlns:a="http://schemas.openxmlformats.org/drawingml/2006/main">
                  <a:graphicData uri="http://schemas.microsoft.com/office/word/2010/wordprocessingShape">
                    <wps:wsp>
                      <wps:cNvSpPr txBox="1"/>
                      <wps:spPr>
                        <a:xfrm>
                          <a:off x="0" y="0"/>
                          <a:ext cx="914400" cy="64452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实际进度与进度计划不符时的处理</w:t>
                            </w:r>
                          </w:p>
                        </w:txbxContent>
                      </wps:txbx>
                      <wps:bodyPr upright="1"/>
                    </wps:wsp>
                  </a:graphicData>
                </a:graphic>
              </wp:anchor>
            </w:drawing>
          </mc:Choice>
          <mc:Fallback>
            <w:pict>
              <v:shape id="文本框 129" o:spid="_x0000_s1026" o:spt="202" type="#_x0000_t202" style="position:absolute;left:0pt;margin-left:-9pt;margin-top:19.2pt;height:50.75pt;width:72pt;z-index:251789312;mso-width-relative:page;mso-height-relative:page;" filled="f" stroked="f" coordsize="21600,21600" o:gfxdata="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KHppVDY&#10;AAAACgEAAA8AAAAAAAAAAQAgAAAAIgAAAGRycy9kb3ducmV2LnhtbFBLAQIUABQAAAAIAIdO4kCX&#10;igN1rgEAAFEDAAAOAAAAAAAAAAEAIAAAACcBAABkcnMvZTJvRG9jLnhtbFBLBQYAAAAABgAGAFkB&#10;AABH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实际进度与进度计划不符时的处理</w:t>
                      </w:r>
                    </w:p>
                  </w:txbxContent>
                </v:textbox>
              </v:shape>
            </w:pict>
          </mc:Fallback>
        </mc:AlternateContent>
      </w:r>
      <w:r>
        <w:rPr>
          <w:rFonts w:ascii="仿宋" w:hAnsi="仿宋" w:eastAsia="仿宋" w:cs="仿宋"/>
          <w:b/>
          <w:bCs/>
          <w:color w:val="auto"/>
          <w:sz w:val="24"/>
          <w:szCs w:val="24"/>
          <w:highlight w:val="none"/>
        </w:rPr>
        <w:t xml:space="preserve">33.4  </w:t>
      </w:r>
      <w:r>
        <w:rPr>
          <w:rFonts w:ascii="仿宋" w:hAnsi="仿宋" w:eastAsia="仿宋" w:cs="仿宋"/>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如果监理工程师指出承包人的实际进度和经确认的计划进度不符时，承包人应按照监理工程师的要求提出改进措施，经监理工程师确认后执行。因承包人的原因导致实际进度迟于计划进度的，承包人不但无权就改进措施要求发包人支付任何附加费用，而且应按照第</w:t>
      </w:r>
      <w:r>
        <w:rPr>
          <w:rFonts w:ascii="仿宋" w:hAnsi="仿宋" w:eastAsia="仿宋" w:cs="仿宋"/>
          <w:color w:val="auto"/>
          <w:sz w:val="24"/>
          <w:szCs w:val="24"/>
          <w:highlight w:val="none"/>
        </w:rPr>
        <w:t>66.2</w:t>
      </w:r>
      <w:r>
        <w:rPr>
          <w:rFonts w:hint="eastAsia" w:ascii="仿宋" w:hAnsi="仿宋" w:eastAsia="仿宋" w:cs="仿宋"/>
          <w:color w:val="auto"/>
          <w:sz w:val="24"/>
          <w:szCs w:val="24"/>
          <w:highlight w:val="none"/>
        </w:rPr>
        <w:t>款规定向发包人支付由此产生的误期赔偿费。工程进度计划即使经监理工程师确认，也不能免除承包人按照合同约定应承担的任何责任和应履行的任何义务。</w:t>
      </w:r>
    </w:p>
    <w:p>
      <w:pPr>
        <w:pStyle w:val="2"/>
        <w:shd w:val="clear" w:color="000000" w:fill="auto"/>
        <w:adjustRightInd w:val="0"/>
        <w:snapToGrid w:val="0"/>
        <w:spacing w:line="360" w:lineRule="auto"/>
        <w:ind w:right="-238"/>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u w:val="single"/>
        </w:rPr>
        <w:t xml:space="preserve">                                                                                                                                                       </w:t>
      </w:r>
    </w:p>
    <w:p>
      <w:pPr>
        <w:pStyle w:val="2"/>
        <w:shd w:val="clear" w:color="000000" w:fill="auto"/>
        <w:adjustRightInd w:val="0"/>
        <w:snapToGrid w:val="0"/>
        <w:spacing w:line="360" w:lineRule="auto"/>
        <w:ind w:right="-238"/>
        <w:outlineLvl w:val="2"/>
        <w:rPr>
          <w:rFonts w:ascii="仿宋" w:hAnsi="仿宋" w:eastAsia="仿宋" w:cs="Times New Roman"/>
          <w:b/>
          <w:bCs/>
          <w:color w:val="auto"/>
          <w:sz w:val="24"/>
          <w:szCs w:val="24"/>
          <w:highlight w:val="none"/>
        </w:rPr>
      </w:pPr>
      <w:bookmarkStart w:id="223" w:name="_Toc15414"/>
      <w:bookmarkStart w:id="224" w:name="_Toc10624856"/>
      <w:bookmarkStart w:id="225" w:name="_Toc469384016"/>
      <w:r>
        <w:rPr>
          <w:rFonts w:ascii="仿宋" w:hAnsi="仿宋" w:eastAsia="仿宋" w:cs="仿宋"/>
          <w:b/>
          <w:bCs/>
          <w:color w:val="auto"/>
          <w:sz w:val="24"/>
          <w:szCs w:val="24"/>
          <w:highlight w:val="none"/>
        </w:rPr>
        <w:t xml:space="preserve">34  </w:t>
      </w:r>
      <w:r>
        <w:rPr>
          <w:rFonts w:hint="eastAsia" w:ascii="仿宋" w:hAnsi="仿宋" w:eastAsia="仿宋" w:cs="仿宋"/>
          <w:b/>
          <w:bCs/>
          <w:color w:val="auto"/>
          <w:sz w:val="24"/>
          <w:szCs w:val="24"/>
          <w:highlight w:val="none"/>
        </w:rPr>
        <w:t>开工</w:t>
      </w:r>
      <w:bookmarkEnd w:id="223"/>
      <w:bookmarkEnd w:id="224"/>
      <w:bookmarkEnd w:id="225"/>
    </w:p>
    <w:p>
      <w:pPr>
        <w:pStyle w:val="2"/>
        <w:shd w:val="clear" w:color="000000" w:fill="auto"/>
        <w:tabs>
          <w:tab w:val="left" w:pos="1320"/>
        </w:tabs>
        <w:adjustRightInd w:val="0"/>
        <w:snapToGrid w:val="0"/>
        <w:spacing w:line="360" w:lineRule="auto"/>
        <w:ind w:right="3"/>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790336" behindDoc="0" locked="0" layoutInCell="1" allowOverlap="1">
                <wp:simplePos x="0" y="0"/>
                <wp:positionH relativeFrom="column">
                  <wp:posOffset>-114300</wp:posOffset>
                </wp:positionH>
                <wp:positionV relativeFrom="paragraph">
                  <wp:posOffset>247015</wp:posOffset>
                </wp:positionV>
                <wp:extent cx="800100" cy="310515"/>
                <wp:effectExtent l="0" t="0" r="0" b="0"/>
                <wp:wrapNone/>
                <wp:docPr id="129" name="文本框 130"/>
                <wp:cNvGraphicFramePr/>
                <a:graphic xmlns:a="http://schemas.openxmlformats.org/drawingml/2006/main">
                  <a:graphicData uri="http://schemas.microsoft.com/office/word/2010/wordprocessingShape">
                    <wps:wsp>
                      <wps:cNvSpPr txBox="1"/>
                      <wps:spPr>
                        <a:xfrm>
                          <a:off x="0" y="0"/>
                          <a:ext cx="800100" cy="31051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开工条件</w:t>
                            </w:r>
                          </w:p>
                        </w:txbxContent>
                      </wps:txbx>
                      <wps:bodyPr upright="1"/>
                    </wps:wsp>
                  </a:graphicData>
                </a:graphic>
              </wp:anchor>
            </w:drawing>
          </mc:Choice>
          <mc:Fallback>
            <w:pict>
              <v:shape id="文本框 130" o:spid="_x0000_s1026" o:spt="202" type="#_x0000_t202" style="position:absolute;left:0pt;margin-left:-9pt;margin-top:19.45pt;height:24.45pt;width:63pt;z-index:251790336;mso-width-relative:page;mso-height-relative:page;" filled="f" stroked="f" coordsize="21600,21600" o:gfxdata="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Bh+JWA1QAAAAkB&#10;AAAPAAAAAAAAAAEAIAAAACIAAABkcnMvZG93bnJldi54bWxQSwECFAAUAAAACACHTuJAJ7DIX6wB&#10;AABRAwAADgAAAAAAAAABACAAAAAkAQAAZHJzL2Uyb0RvYy54bWxQSwUGAAAAAAYABgBZAQAAQgUA&#10;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开工条件</w:t>
                      </w:r>
                    </w:p>
                  </w:txbxContent>
                </v:textbox>
              </v:shape>
            </w:pict>
          </mc:Fallback>
        </mc:AlternateContent>
      </w:r>
      <w:r>
        <w:rPr>
          <w:rFonts w:ascii="仿宋" w:hAnsi="仿宋" w:eastAsia="仿宋" w:cs="仿宋"/>
          <w:b/>
          <w:bCs/>
          <w:color w:val="auto"/>
          <w:sz w:val="24"/>
          <w:szCs w:val="24"/>
          <w:highlight w:val="none"/>
        </w:rPr>
        <w:t xml:space="preserve">34.1    </w:t>
      </w:r>
    </w:p>
    <w:p>
      <w:pPr>
        <w:pStyle w:val="2"/>
        <w:shd w:val="clear" w:color="000000" w:fill="auto"/>
        <w:adjustRightInd w:val="0"/>
        <w:snapToGrid w:val="0"/>
        <w:spacing w:line="360" w:lineRule="auto"/>
        <w:ind w:left="1619" w:leftChars="771" w:right="6"/>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工程开工必须具备法律规定的开工条件，并已经领取了施工许可证。</w:t>
      </w:r>
    </w:p>
    <w:p>
      <w:pPr>
        <w:pStyle w:val="2"/>
        <w:shd w:val="clear" w:color="000000" w:fill="auto"/>
        <w:tabs>
          <w:tab w:val="left" w:pos="1320"/>
        </w:tabs>
        <w:adjustRightInd w:val="0"/>
        <w:snapToGrid w:val="0"/>
        <w:spacing w:line="360" w:lineRule="auto"/>
        <w:ind w:right="3"/>
        <w:rPr>
          <w:rFonts w:ascii="仿宋" w:hAnsi="仿宋" w:eastAsia="仿宋" w:cs="仿宋"/>
          <w:b/>
          <w:bCs/>
          <w:color w:val="auto"/>
          <w:sz w:val="24"/>
          <w:szCs w:val="24"/>
          <w:highlight w:val="none"/>
          <w:u w:val="dotted"/>
        </w:rPr>
      </w:pPr>
      <w:r>
        <w:rPr>
          <w:color w:val="auto"/>
          <w:highlight w:val="none"/>
        </w:rPr>
        <mc:AlternateContent>
          <mc:Choice Requires="wps">
            <w:drawing>
              <wp:anchor distT="0" distB="0" distL="114300" distR="114300" simplePos="0" relativeHeight="251791360" behindDoc="0" locked="0" layoutInCell="1" allowOverlap="1">
                <wp:simplePos x="0" y="0"/>
                <wp:positionH relativeFrom="column">
                  <wp:posOffset>-114300</wp:posOffset>
                </wp:positionH>
                <wp:positionV relativeFrom="paragraph">
                  <wp:posOffset>242570</wp:posOffset>
                </wp:positionV>
                <wp:extent cx="800100" cy="297180"/>
                <wp:effectExtent l="0" t="0" r="0" b="0"/>
                <wp:wrapNone/>
                <wp:docPr id="130" name="文本框 131"/>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工程开工</w:t>
                            </w:r>
                          </w:p>
                        </w:txbxContent>
                      </wps:txbx>
                      <wps:bodyPr upright="1"/>
                    </wps:wsp>
                  </a:graphicData>
                </a:graphic>
              </wp:anchor>
            </w:drawing>
          </mc:Choice>
          <mc:Fallback>
            <w:pict>
              <v:shape id="文本框 131" o:spid="_x0000_s1026" o:spt="202" type="#_x0000_t202" style="position:absolute;left:0pt;margin-left:-9pt;margin-top:19.1pt;height:23.4pt;width:63pt;z-index:251791360;mso-width-relative:page;mso-height-relative:page;" filled="f" stroked="f" coordsize="21600,21600" o:gfxdata="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LhZulfWAAAA&#10;CQEAAA8AAAAAAAAAAQAgAAAAIgAAAGRycy9kb3ducmV2LnhtbFBLAQIUABQAAAAIAIdO4kDQJ/LM&#10;rQEAAFEDAAAOAAAAAAAAAAEAIAAAACUBAABkcnMvZTJvRG9jLnhtbFBLBQYAAAAABgAGAFkBAABE&#10;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工程开工</w:t>
                      </w:r>
                    </w:p>
                  </w:txbxContent>
                </v:textbox>
              </v:shape>
            </w:pict>
          </mc:Fallback>
        </mc:AlternateContent>
      </w:r>
      <w:r>
        <w:rPr>
          <w:rFonts w:ascii="仿宋" w:hAnsi="仿宋" w:eastAsia="仿宋" w:cs="仿宋"/>
          <w:b/>
          <w:bCs/>
          <w:color w:val="auto"/>
          <w:sz w:val="24"/>
          <w:szCs w:val="24"/>
          <w:highlight w:val="none"/>
        </w:rPr>
        <w:t xml:space="preserve">34.2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ight="3"/>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承包人应在签订本合同后的</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天内，向监理工程师提交开工申请书，并附上表明已做好开工准备的有关资料。除专用条款另有约定外，监理工程师应在本合同签订后的</w:t>
      </w:r>
      <w:r>
        <w:rPr>
          <w:rFonts w:ascii="仿宋" w:hAnsi="仿宋" w:eastAsia="仿宋" w:cs="仿宋"/>
          <w:color w:val="auto"/>
          <w:sz w:val="24"/>
          <w:szCs w:val="24"/>
          <w:highlight w:val="none"/>
        </w:rPr>
        <w:t>42</w:t>
      </w:r>
      <w:r>
        <w:rPr>
          <w:rFonts w:hint="eastAsia" w:ascii="仿宋" w:hAnsi="仿宋" w:eastAsia="仿宋" w:cs="仿宋"/>
          <w:color w:val="auto"/>
          <w:sz w:val="24"/>
          <w:szCs w:val="24"/>
          <w:highlight w:val="none"/>
        </w:rPr>
        <w:t>天内报发包人批准后向承包人发出开工令；承包人应在接到开工令后的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天内开工，并一直保持合同工程连续均衡施工，直至其被改变为止。</w:t>
      </w:r>
    </w:p>
    <w:p>
      <w:pPr>
        <w:pStyle w:val="2"/>
        <w:shd w:val="clear" w:color="000000" w:fill="auto"/>
        <w:tabs>
          <w:tab w:val="left" w:pos="1320"/>
        </w:tabs>
        <w:adjustRightInd w:val="0"/>
        <w:snapToGrid w:val="0"/>
        <w:spacing w:line="360" w:lineRule="auto"/>
        <w:ind w:right="3"/>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792384" behindDoc="0" locked="0" layoutInCell="1" allowOverlap="1">
                <wp:simplePos x="0" y="0"/>
                <wp:positionH relativeFrom="column">
                  <wp:posOffset>-114300</wp:posOffset>
                </wp:positionH>
                <wp:positionV relativeFrom="paragraph">
                  <wp:posOffset>269875</wp:posOffset>
                </wp:positionV>
                <wp:extent cx="914400" cy="594360"/>
                <wp:effectExtent l="0" t="0" r="0" b="0"/>
                <wp:wrapNone/>
                <wp:docPr id="131" name="文本框 132"/>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承包人未按时开工的处理程序和责任</w:t>
                            </w:r>
                          </w:p>
                        </w:txbxContent>
                      </wps:txbx>
                      <wps:bodyPr upright="1"/>
                    </wps:wsp>
                  </a:graphicData>
                </a:graphic>
              </wp:anchor>
            </w:drawing>
          </mc:Choice>
          <mc:Fallback>
            <w:pict>
              <v:shape id="文本框 132" o:spid="_x0000_s1026" o:spt="202" type="#_x0000_t202" style="position:absolute;left:0pt;margin-left:-9pt;margin-top:21.25pt;height:46.8pt;width:72pt;z-index:251792384;mso-width-relative:page;mso-height-relative:page;" filled="f" stroked="f" coordsize="21600,21600" o:gfxdata="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F6Ck&#10;4NgAAAAKAQAADwAAAAAAAAABACAAAAAiAAAAZHJzL2Rvd25yZXYueG1sUEsBAhQAFAAAAAgAh07i&#10;QD5Be4awAQAAUQMAAA4AAAAAAAAAAQAgAAAAJwEAAGRycy9lMm9Eb2MueG1sUEsFBgAAAAAGAAYA&#10;WQEAAEk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承包人未按时开工的处理程序和责任</w:t>
                      </w:r>
                    </w:p>
                  </w:txbxContent>
                </v:textbox>
              </v:shape>
            </w:pict>
          </mc:Fallback>
        </mc:AlternateContent>
      </w:r>
      <w:r>
        <w:rPr>
          <w:rFonts w:ascii="仿宋" w:hAnsi="仿宋" w:eastAsia="仿宋" w:cs="仿宋"/>
          <w:b/>
          <w:bCs/>
          <w:color w:val="auto"/>
          <w:sz w:val="24"/>
          <w:szCs w:val="24"/>
          <w:highlight w:val="none"/>
        </w:rPr>
        <w:t xml:space="preserve">34.3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ight="3"/>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承包人未能按照时开工，应在接到开工令后立即以书面形式向监理工程师提出延期开工的要求并说明理由。监理工程师应当在接到延期开工申请后的</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小时内书面予以答复，否则视为同意。由此造成的损失和延误的工期由承包人承担</w:t>
      </w:r>
      <w:r>
        <w:rPr>
          <w:rFonts w:ascii="仿宋" w:hAnsi="仿宋" w:eastAsia="仿宋" w:cs="仿宋"/>
          <w:color w:val="auto"/>
          <w:sz w:val="24"/>
          <w:szCs w:val="24"/>
          <w:highlight w:val="none"/>
        </w:rPr>
        <w:t>.</w:t>
      </w:r>
    </w:p>
    <w:p>
      <w:pPr>
        <w:pStyle w:val="2"/>
        <w:shd w:val="clear" w:color="000000" w:fill="auto"/>
        <w:tabs>
          <w:tab w:val="left" w:pos="1320"/>
        </w:tabs>
        <w:adjustRightInd w:val="0"/>
        <w:snapToGrid w:val="0"/>
        <w:spacing w:line="360" w:lineRule="auto"/>
        <w:ind w:right="3"/>
        <w:rPr>
          <w:rFonts w:ascii="仿宋" w:hAnsi="仿宋" w:eastAsia="仿宋" w:cs="仿宋"/>
          <w:color w:val="auto"/>
          <w:sz w:val="24"/>
          <w:szCs w:val="24"/>
          <w:highlight w:val="none"/>
          <w:u w:val="dotted"/>
        </w:rPr>
      </w:pPr>
      <w:r>
        <w:rPr>
          <w:color w:val="auto"/>
          <w:highlight w:val="none"/>
        </w:rPr>
        <mc:AlternateContent>
          <mc:Choice Requires="wps">
            <w:drawing>
              <wp:anchor distT="0" distB="0" distL="114300" distR="114300" simplePos="0" relativeHeight="251793408" behindDoc="0" locked="0" layoutInCell="1" allowOverlap="1">
                <wp:simplePos x="0" y="0"/>
                <wp:positionH relativeFrom="column">
                  <wp:posOffset>-114300</wp:posOffset>
                </wp:positionH>
                <wp:positionV relativeFrom="paragraph">
                  <wp:posOffset>237490</wp:posOffset>
                </wp:positionV>
                <wp:extent cx="914400" cy="568325"/>
                <wp:effectExtent l="0" t="0" r="0" b="0"/>
                <wp:wrapNone/>
                <wp:docPr id="132" name="文本框 133"/>
                <wp:cNvGraphicFramePr/>
                <a:graphic xmlns:a="http://schemas.openxmlformats.org/drawingml/2006/main">
                  <a:graphicData uri="http://schemas.microsoft.com/office/word/2010/wordprocessingShape">
                    <wps:wsp>
                      <wps:cNvSpPr txBox="1"/>
                      <wps:spPr>
                        <a:xfrm>
                          <a:off x="0" y="0"/>
                          <a:ext cx="914400" cy="56832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发包人推迟开工的处理程序和责任</w:t>
                            </w:r>
                          </w:p>
                        </w:txbxContent>
                      </wps:txbx>
                      <wps:bodyPr upright="1"/>
                    </wps:wsp>
                  </a:graphicData>
                </a:graphic>
              </wp:anchor>
            </w:drawing>
          </mc:Choice>
          <mc:Fallback>
            <w:pict>
              <v:shape id="文本框 133" o:spid="_x0000_s1026" o:spt="202" type="#_x0000_t202" style="position:absolute;left:0pt;margin-left:-9pt;margin-top:18.7pt;height:44.75pt;width:72pt;z-index:251793408;mso-width-relative:page;mso-height-relative:page;" filled="f" stroked="f" coordsize="21600,21600" o:gfxdata="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KQd2RLX&#10;AAAACgEAAA8AAAAAAAAAAQAgAAAAIgAAAGRycy9kb3ducmV2LnhtbFBLAQIUABQAAAAIAIdO4kCK&#10;cS5IrwEAAFEDAAAOAAAAAAAAAAEAIAAAACYBAABkcnMvZTJvRG9jLnhtbFBLBQYAAAAABgAGAFkB&#10;AABH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发包人推迟开工的处理程序和责任</w:t>
                      </w:r>
                    </w:p>
                  </w:txbxContent>
                </v:textbox>
              </v:shape>
            </w:pict>
          </mc:Fallback>
        </mc:AlternateContent>
      </w:r>
      <w:r>
        <w:rPr>
          <w:rFonts w:ascii="仿宋" w:hAnsi="仿宋" w:eastAsia="仿宋" w:cs="仿宋"/>
          <w:color w:val="auto"/>
          <w:sz w:val="24"/>
          <w:szCs w:val="24"/>
          <w:highlight w:val="none"/>
        </w:rPr>
        <w:t xml:space="preserve">34.4  </w:t>
      </w:r>
      <w:r>
        <w:rPr>
          <w:rFonts w:ascii="仿宋" w:hAnsi="仿宋" w:eastAsia="仿宋" w:cs="仿宋"/>
          <w:color w:val="auto"/>
          <w:sz w:val="24"/>
          <w:szCs w:val="24"/>
          <w:highlight w:val="none"/>
          <w:u w:val="dotted"/>
        </w:rPr>
        <w:t xml:space="preserve">                                                                                                        </w:t>
      </w:r>
    </w:p>
    <w:p>
      <w:pPr>
        <w:pStyle w:val="2"/>
        <w:shd w:val="clear" w:color="000000" w:fill="auto"/>
        <w:adjustRightInd w:val="0"/>
        <w:snapToGrid w:val="0"/>
        <w:spacing w:line="360" w:lineRule="auto"/>
        <w:ind w:left="1619" w:leftChars="771" w:right="3"/>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因发包人的原因不能在第</w:t>
      </w:r>
      <w:r>
        <w:rPr>
          <w:rFonts w:ascii="仿宋" w:hAnsi="仿宋" w:eastAsia="仿宋" w:cs="仿宋"/>
          <w:color w:val="auto"/>
          <w:sz w:val="24"/>
          <w:szCs w:val="24"/>
          <w:highlight w:val="none"/>
        </w:rPr>
        <w:t>34.2</w:t>
      </w:r>
      <w:r>
        <w:rPr>
          <w:rFonts w:hint="eastAsia" w:ascii="仿宋" w:hAnsi="仿宋" w:eastAsia="仿宋" w:cs="仿宋"/>
          <w:color w:val="auto"/>
          <w:sz w:val="24"/>
          <w:szCs w:val="24"/>
          <w:highlight w:val="none"/>
        </w:rPr>
        <w:t>款规定的时间内发出开工令的，监理工程师应至少提前</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天以书面形式通知承包人推迟开工。由此造成的损失由发包人承担，开工日期相应顺延。监理工程师未能提前</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天通知承包人推迟开工的，由此造成损失的扩大由发包人承担。</w:t>
      </w:r>
    </w:p>
    <w:p>
      <w:pPr>
        <w:pStyle w:val="2"/>
        <w:shd w:val="clear" w:color="000000" w:fill="auto"/>
        <w:adjustRightInd w:val="0"/>
        <w:snapToGrid w:val="0"/>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
        <w:shd w:val="clear" w:color="000000" w:fill="auto"/>
        <w:adjustRightInd w:val="0"/>
        <w:snapToGrid w:val="0"/>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      </w:t>
      </w:r>
    </w:p>
    <w:p>
      <w:pPr>
        <w:pStyle w:val="2"/>
        <w:shd w:val="clear" w:color="000000" w:fill="auto"/>
        <w:adjustRightInd w:val="0"/>
        <w:snapToGrid w:val="0"/>
        <w:outlineLvl w:val="2"/>
        <w:rPr>
          <w:rFonts w:ascii="仿宋" w:hAnsi="仿宋" w:eastAsia="仿宋" w:cs="Times New Roman"/>
          <w:b/>
          <w:bCs/>
          <w:color w:val="auto"/>
          <w:sz w:val="24"/>
          <w:szCs w:val="24"/>
          <w:highlight w:val="none"/>
        </w:rPr>
      </w:pPr>
      <w:bookmarkStart w:id="226" w:name="_Toc19687"/>
      <w:bookmarkStart w:id="227" w:name="_Toc469384017"/>
      <w:bookmarkStart w:id="228" w:name="_Toc10624857"/>
      <w:r>
        <w:rPr>
          <w:rFonts w:ascii="仿宋" w:hAnsi="仿宋" w:eastAsia="仿宋" w:cs="仿宋"/>
          <w:b/>
          <w:bCs/>
          <w:color w:val="auto"/>
          <w:sz w:val="24"/>
          <w:szCs w:val="24"/>
          <w:highlight w:val="none"/>
        </w:rPr>
        <w:t xml:space="preserve">35  </w:t>
      </w:r>
      <w:r>
        <w:rPr>
          <w:rFonts w:hint="eastAsia" w:ascii="仿宋" w:hAnsi="仿宋" w:eastAsia="仿宋" w:cs="仿宋"/>
          <w:b/>
          <w:bCs/>
          <w:color w:val="auto"/>
          <w:sz w:val="24"/>
          <w:szCs w:val="24"/>
          <w:highlight w:val="none"/>
        </w:rPr>
        <w:t>暂停施工和复工</w:t>
      </w:r>
      <w:bookmarkEnd w:id="226"/>
      <w:bookmarkEnd w:id="227"/>
      <w:bookmarkEnd w:id="228"/>
    </w:p>
    <w:p>
      <w:pPr>
        <w:pStyle w:val="2"/>
        <w:shd w:val="clear" w:color="000000" w:fill="auto"/>
        <w:adjustRightInd w:val="0"/>
        <w:snapToGrid w:val="0"/>
        <w:spacing w:line="360" w:lineRule="auto"/>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794432" behindDoc="0" locked="0" layoutInCell="1" allowOverlap="1">
                <wp:simplePos x="0" y="0"/>
                <wp:positionH relativeFrom="column">
                  <wp:posOffset>-114300</wp:posOffset>
                </wp:positionH>
                <wp:positionV relativeFrom="paragraph">
                  <wp:posOffset>261620</wp:posOffset>
                </wp:positionV>
                <wp:extent cx="914400" cy="497205"/>
                <wp:effectExtent l="0" t="0" r="0" b="0"/>
                <wp:wrapNone/>
                <wp:docPr id="133" name="文本框 134"/>
                <wp:cNvGraphicFramePr/>
                <a:graphic xmlns:a="http://schemas.openxmlformats.org/drawingml/2006/main">
                  <a:graphicData uri="http://schemas.microsoft.com/office/word/2010/wordprocessingShape">
                    <wps:wsp>
                      <wps:cNvSpPr txBox="1"/>
                      <wps:spPr>
                        <a:xfrm>
                          <a:off x="0" y="0"/>
                          <a:ext cx="914400" cy="49720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暂停施工的指令</w:t>
                            </w:r>
                          </w:p>
                        </w:txbxContent>
                      </wps:txbx>
                      <wps:bodyPr upright="1"/>
                    </wps:wsp>
                  </a:graphicData>
                </a:graphic>
              </wp:anchor>
            </w:drawing>
          </mc:Choice>
          <mc:Fallback>
            <w:pict>
              <v:shape id="文本框 134" o:spid="_x0000_s1026" o:spt="202" type="#_x0000_t202" style="position:absolute;left:0pt;margin-left:-9pt;margin-top:20.6pt;height:39.15pt;width:72pt;z-index:251794432;mso-width-relative:page;mso-height-relative:page;" filled="f" stroked="f" coordsize="21600,21600" o:gfxdata="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BG1TejX&#10;AAAACgEAAA8AAAAAAAAAAQAgAAAAIgAAAGRycy9kb3ducmV2LnhtbFBLAQIUABQAAAAIAIdO4kCd&#10;iNhsrwEAAFEDAAAOAAAAAAAAAAEAIAAAACYBAABkcnMvZTJvRG9jLnhtbFBLBQYAAAAABgAGAFkB&#10;AABH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暂停施工的指令</w:t>
                      </w:r>
                    </w:p>
                  </w:txbxContent>
                </v:textbox>
              </v:shape>
            </w:pict>
          </mc:Fallback>
        </mc:AlternateContent>
      </w:r>
      <w:r>
        <w:rPr>
          <w:rFonts w:ascii="仿宋" w:hAnsi="仿宋" w:eastAsia="仿宋" w:cs="仿宋"/>
          <w:b/>
          <w:bCs/>
          <w:color w:val="auto"/>
          <w:sz w:val="24"/>
          <w:szCs w:val="24"/>
          <w:highlight w:val="none"/>
        </w:rPr>
        <w:t xml:space="preserve">35.1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监理工程师认为有必要时，可向承包人发出暂停施工令，并在</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小时内提出处理意见，承包人应按照监理工程师的指令停止施工。不论任何原因造成的暂停施工，暂停施工期间承包人应妥善保护已完工程并提供安全保障。</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因发包人的原因引起暂停施工的合同工程发生紧急情况，且监理工程师又未及时发出暂停施工令时，承包人可先暂停施工，并及时向监理工程师提出暂停施工报告。监理工程师应在收到暂停施工报告后的</w:t>
      </w:r>
      <w:r>
        <w:rPr>
          <w:rFonts w:ascii="仿宋" w:hAnsi="仿宋" w:eastAsia="仿宋" w:cs="仿宋"/>
          <w:color w:val="auto"/>
          <w:sz w:val="24"/>
          <w:szCs w:val="24"/>
          <w:highlight w:val="none"/>
        </w:rPr>
        <w:t>24</w:t>
      </w:r>
      <w:r>
        <w:rPr>
          <w:rFonts w:hint="eastAsia" w:ascii="仿宋" w:hAnsi="仿宋" w:eastAsia="仿宋" w:cs="仿宋"/>
          <w:color w:val="auto"/>
          <w:sz w:val="24"/>
          <w:szCs w:val="24"/>
          <w:highlight w:val="none"/>
        </w:rPr>
        <w:t>小时内予以答复；逾期未答复的，视为承包人的暂停施工报告被认可。</w:t>
      </w:r>
    </w:p>
    <w:p>
      <w:pPr>
        <w:pStyle w:val="2"/>
        <w:shd w:val="clear" w:color="000000" w:fill="auto"/>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35.2</w:t>
      </w:r>
      <w:r>
        <w:rPr>
          <w:rFonts w:ascii="仿宋" w:hAnsi="仿宋" w:eastAsia="仿宋" w:cs="仿宋"/>
          <w:b/>
          <w:bCs/>
          <w:color w:val="auto"/>
          <w:sz w:val="24"/>
          <w:szCs w:val="24"/>
          <w:highlight w:val="none"/>
          <w:u w:val="dotted"/>
        </w:rPr>
        <w:t xml:space="preserve">                                                                             </w:t>
      </w:r>
      <w:r>
        <w:rPr>
          <w:rFonts w:ascii="仿宋" w:hAnsi="仿宋" w:eastAsia="仿宋" w:cs="仿宋"/>
          <w:b/>
          <w:bCs/>
          <w:color w:val="auto"/>
          <w:sz w:val="24"/>
          <w:szCs w:val="24"/>
          <w:highlight w:val="none"/>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95456" behindDoc="0" locked="0" layoutInCell="1" allowOverlap="1">
                <wp:simplePos x="0" y="0"/>
                <wp:positionH relativeFrom="column">
                  <wp:posOffset>-114300</wp:posOffset>
                </wp:positionH>
                <wp:positionV relativeFrom="paragraph">
                  <wp:posOffset>20320</wp:posOffset>
                </wp:positionV>
                <wp:extent cx="914400" cy="497205"/>
                <wp:effectExtent l="0" t="0" r="0" b="0"/>
                <wp:wrapNone/>
                <wp:docPr id="134" name="文本框 135"/>
                <wp:cNvGraphicFramePr/>
                <a:graphic xmlns:a="http://schemas.openxmlformats.org/drawingml/2006/main">
                  <a:graphicData uri="http://schemas.microsoft.com/office/word/2010/wordprocessingShape">
                    <wps:wsp>
                      <wps:cNvSpPr txBox="1"/>
                      <wps:spPr>
                        <a:xfrm>
                          <a:off x="0" y="0"/>
                          <a:ext cx="914400" cy="49720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复工的要求</w:t>
                            </w:r>
                          </w:p>
                        </w:txbxContent>
                      </wps:txbx>
                      <wps:bodyPr upright="1"/>
                    </wps:wsp>
                  </a:graphicData>
                </a:graphic>
              </wp:anchor>
            </w:drawing>
          </mc:Choice>
          <mc:Fallback>
            <w:pict>
              <v:shape id="文本框 135" o:spid="_x0000_s1026" o:spt="202" type="#_x0000_t202" style="position:absolute;left:0pt;margin-left:-9pt;margin-top:1.6pt;height:39.15pt;width:72pt;z-index:251795456;mso-width-relative:page;mso-height-relative:page;" filled="f" stroked="f" coordsize="21600,21600" o:gfxdata="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xNzy01QAA&#10;AAgBAAAPAAAAAAAAAAEAIAAAACIAAABkcnMvZG93bnJldi54bWxQSwECFAAUAAAACACHTuJAk7TH&#10;mq8BAABRAwAADgAAAAAAAAABACAAAAAkAQAAZHJzL2Uyb0RvYy54bWxQSwUGAAAAAAYABgBZAQAA&#10;R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复工的要求</w:t>
                      </w:r>
                    </w:p>
                  </w:txbxContent>
                </v:textbox>
              </v:shape>
            </w:pict>
          </mc:Fallback>
        </mc:AlternateContent>
      </w:r>
      <w:r>
        <w:rPr>
          <w:rFonts w:hint="eastAsia" w:ascii="仿宋" w:hAnsi="仿宋" w:eastAsia="仿宋" w:cs="仿宋"/>
          <w:color w:val="auto"/>
          <w:sz w:val="24"/>
          <w:szCs w:val="24"/>
          <w:highlight w:val="none"/>
        </w:rPr>
        <w:t>承包人实施监理工程师的处理意见后，可向监理工程师提交复工报审表要求复工；监理工程师应在收到复工报审表后的</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小时内予以答复。具备复工条件时，监理工程师应立即向承包人发出复工令，承包人应立即组织复工。监理工程师在收到复工报审表后的</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小时内未答复也未提出处理意见的，承包人可自行复工，监理工程师应予认可。</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承包人无故拖延或拒绝复工的，由此增加的费用和（或）延误的工期由承包人承担；因发包人的原因无法按时复工的，承包人有权要求发包人增加发生的费用和（或）顺延工期，并支付合理利润。</w:t>
      </w:r>
    </w:p>
    <w:p>
      <w:pPr>
        <w:pStyle w:val="2"/>
        <w:shd w:val="clear" w:color="000000" w:fill="auto"/>
        <w:adjustRightInd w:val="0"/>
        <w:snapToGrid w:val="0"/>
        <w:spacing w:line="360" w:lineRule="auto"/>
        <w:rPr>
          <w:rFonts w:ascii="仿宋" w:hAnsi="仿宋" w:eastAsia="仿宋" w:cs="仿宋"/>
          <w:b/>
          <w:bCs/>
          <w:color w:val="auto"/>
          <w:sz w:val="24"/>
          <w:szCs w:val="24"/>
          <w:highlight w:val="none"/>
          <w:u w:val="dotted"/>
        </w:rPr>
      </w:pPr>
      <w:r>
        <w:rPr>
          <w:color w:val="auto"/>
          <w:highlight w:val="none"/>
        </w:rPr>
        <mc:AlternateContent>
          <mc:Choice Requires="wps">
            <w:drawing>
              <wp:anchor distT="0" distB="0" distL="114300" distR="114300" simplePos="0" relativeHeight="251796480" behindDoc="0" locked="0" layoutInCell="1" allowOverlap="1">
                <wp:simplePos x="0" y="0"/>
                <wp:positionH relativeFrom="column">
                  <wp:posOffset>-114300</wp:posOffset>
                </wp:positionH>
                <wp:positionV relativeFrom="paragraph">
                  <wp:posOffset>244475</wp:posOffset>
                </wp:positionV>
                <wp:extent cx="914400" cy="792480"/>
                <wp:effectExtent l="0" t="0" r="0" b="0"/>
                <wp:wrapNone/>
                <wp:docPr id="135" name="文本框 136"/>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pPr>
                              <w:spacing w:line="22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暂停施工持续</w:t>
                            </w:r>
                            <w:r>
                              <w:rPr>
                                <w:rFonts w:ascii="楷体_GB2312" w:hAnsi="宋体" w:eastAsia="楷体_GB2312" w:cs="楷体_GB2312"/>
                                <w:b/>
                                <w:bCs/>
                                <w:color w:val="000000"/>
                                <w:sz w:val="18"/>
                                <w:szCs w:val="18"/>
                              </w:rPr>
                              <w:t>56</w:t>
                            </w:r>
                            <w:r>
                              <w:rPr>
                                <w:rFonts w:hint="eastAsia" w:ascii="楷体_GB2312" w:hAnsi="宋体" w:eastAsia="楷体_GB2312" w:cs="楷体_GB2312"/>
                                <w:b/>
                                <w:bCs/>
                                <w:color w:val="000000"/>
                                <w:sz w:val="18"/>
                                <w:szCs w:val="18"/>
                              </w:rPr>
                              <w:t>天以上的复工要求</w:t>
                            </w:r>
                          </w:p>
                        </w:txbxContent>
                      </wps:txbx>
                      <wps:bodyPr upright="1"/>
                    </wps:wsp>
                  </a:graphicData>
                </a:graphic>
              </wp:anchor>
            </w:drawing>
          </mc:Choice>
          <mc:Fallback>
            <w:pict>
              <v:shape id="文本框 136" o:spid="_x0000_s1026" o:spt="202" type="#_x0000_t202" style="position:absolute;left:0pt;margin-left:-9pt;margin-top:19.25pt;height:62.4pt;width:72pt;z-index:251796480;mso-width-relative:page;mso-height-relative:page;" filled="f" stroked="f" coordsize="21600,21600" o:gfxdata="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RwnZ3&#10;1wAAAAoBAAAPAAAAAAAAAAEAIAAAACIAAABkcnMvZG93bnJldi54bWxQSwECFAAUAAAACACHTuJA&#10;4yrQO7ABAABRAwAADgAAAAAAAAABACAAAAAmAQAAZHJzL2Uyb0RvYy54bWxQSwUGAAAAAAYABgBZ&#10;AQAASAUAAAAA&#10;">
                <v:fill on="f" focussize="0,0"/>
                <v:stroke on="f"/>
                <v:imagedata o:title=""/>
                <o:lock v:ext="edit" aspectratio="f"/>
                <v:textbox>
                  <w:txbxContent>
                    <w:p>
                      <w:pPr>
                        <w:spacing w:line="22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暂停施工持续</w:t>
                      </w:r>
                      <w:r>
                        <w:rPr>
                          <w:rFonts w:ascii="楷体_GB2312" w:hAnsi="宋体" w:eastAsia="楷体_GB2312" w:cs="楷体_GB2312"/>
                          <w:b/>
                          <w:bCs/>
                          <w:color w:val="000000"/>
                          <w:sz w:val="18"/>
                          <w:szCs w:val="18"/>
                        </w:rPr>
                        <w:t>56</w:t>
                      </w:r>
                      <w:r>
                        <w:rPr>
                          <w:rFonts w:hint="eastAsia" w:ascii="楷体_GB2312" w:hAnsi="宋体" w:eastAsia="楷体_GB2312" w:cs="楷体_GB2312"/>
                          <w:b/>
                          <w:bCs/>
                          <w:color w:val="000000"/>
                          <w:sz w:val="18"/>
                          <w:szCs w:val="18"/>
                        </w:rPr>
                        <w:t>天以上的复工要求</w:t>
                      </w:r>
                    </w:p>
                  </w:txbxContent>
                </v:textbox>
              </v:shape>
            </w:pict>
          </mc:Fallback>
        </mc:AlternateContent>
      </w:r>
      <w:r>
        <w:rPr>
          <w:rFonts w:ascii="仿宋" w:hAnsi="仿宋" w:eastAsia="仿宋" w:cs="仿宋"/>
          <w:b/>
          <w:bCs/>
          <w:color w:val="auto"/>
          <w:sz w:val="24"/>
          <w:szCs w:val="24"/>
          <w:highlight w:val="none"/>
        </w:rPr>
        <w:t xml:space="preserve">35.3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非承包人的原因造成暂停施工持续</w:t>
      </w:r>
      <w:r>
        <w:rPr>
          <w:rFonts w:ascii="仿宋" w:hAnsi="仿宋" w:eastAsia="仿宋" w:cs="仿宋"/>
          <w:color w:val="auto"/>
          <w:sz w:val="24"/>
          <w:szCs w:val="24"/>
          <w:highlight w:val="none"/>
        </w:rPr>
        <w:t>56</w:t>
      </w:r>
      <w:r>
        <w:rPr>
          <w:rFonts w:hint="eastAsia" w:ascii="仿宋" w:hAnsi="仿宋" w:eastAsia="仿宋" w:cs="仿宋"/>
          <w:color w:val="auto"/>
          <w:sz w:val="24"/>
          <w:szCs w:val="24"/>
          <w:highlight w:val="none"/>
        </w:rPr>
        <w:t>天以上时，承包人可向监理工程师提交复工报审表要求复工；监理工程师应在收到复工报审表后的</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天内准许复工。如果在上述期限内监理工程师未予准许，则承包人可以作如下选择：</w:t>
      </w:r>
    </w:p>
    <w:p>
      <w:pPr>
        <w:pStyle w:val="2"/>
        <w:numPr>
          <w:ilvl w:val="0"/>
          <w:numId w:val="13"/>
        </w:numPr>
        <w:shd w:val="clear" w:color="000000" w:fill="auto"/>
        <w:tabs>
          <w:tab w:val="left" w:pos="1080"/>
        </w:tabs>
        <w:adjustRightInd w:val="0"/>
        <w:snapToGrid w:val="0"/>
        <w:spacing w:line="360" w:lineRule="auto"/>
        <w:ind w:left="1618" w:leftChars="770" w:hanging="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如果此项停工仅影响合同工程的一部分时，则根据第</w:t>
      </w:r>
      <w:r>
        <w:rPr>
          <w:rFonts w:ascii="仿宋" w:hAnsi="仿宋" w:eastAsia="仿宋" w:cs="仿宋"/>
          <w:color w:val="auto"/>
          <w:sz w:val="24"/>
          <w:szCs w:val="24"/>
          <w:highlight w:val="none"/>
        </w:rPr>
        <w:t>56.2</w:t>
      </w:r>
      <w:r>
        <w:rPr>
          <w:rFonts w:hint="eastAsia" w:ascii="仿宋" w:hAnsi="仿宋" w:eastAsia="仿宋" w:cs="仿宋"/>
          <w:color w:val="auto"/>
          <w:sz w:val="24"/>
          <w:szCs w:val="24"/>
          <w:highlight w:val="none"/>
        </w:rPr>
        <w:t>款规定及时提出工程变更，取消该部分工程，并书面通知发包人，抄送监理工程师和造价工程师；</w:t>
      </w:r>
    </w:p>
    <w:p>
      <w:pPr>
        <w:pStyle w:val="2"/>
        <w:numPr>
          <w:ilvl w:val="0"/>
          <w:numId w:val="13"/>
        </w:numPr>
        <w:shd w:val="clear" w:color="000000" w:fill="auto"/>
        <w:tabs>
          <w:tab w:val="left" w:pos="1080"/>
        </w:tabs>
        <w:adjustRightInd w:val="0"/>
        <w:snapToGrid w:val="0"/>
        <w:spacing w:line="360" w:lineRule="auto"/>
        <w:ind w:left="2159" w:leftChars="771" w:hanging="540" w:hangingChars="225"/>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如果此项停工影响整个合同工程时，则根据第</w:t>
      </w:r>
      <w:r>
        <w:rPr>
          <w:rFonts w:ascii="仿宋" w:hAnsi="仿宋" w:eastAsia="仿宋" w:cs="仿宋"/>
          <w:color w:val="auto"/>
          <w:sz w:val="24"/>
          <w:szCs w:val="24"/>
          <w:highlight w:val="none"/>
        </w:rPr>
        <w:t>87.4</w:t>
      </w:r>
      <w:r>
        <w:rPr>
          <w:rFonts w:hint="eastAsia" w:ascii="仿宋" w:hAnsi="仿宋" w:eastAsia="仿宋" w:cs="仿宋"/>
          <w:color w:val="auto"/>
          <w:sz w:val="24"/>
          <w:szCs w:val="24"/>
          <w:highlight w:val="none"/>
        </w:rPr>
        <w:t>款规定解除合同。</w:t>
      </w:r>
    </w:p>
    <w:p>
      <w:pPr>
        <w:pStyle w:val="2"/>
        <w:shd w:val="clear" w:color="000000" w:fill="auto"/>
        <w:adjustRightInd w:val="0"/>
        <w:snapToGrid w:val="0"/>
        <w:spacing w:line="360" w:lineRule="auto"/>
        <w:ind w:left="1619"/>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因承包人的原因引起暂停施工持续</w:t>
      </w:r>
      <w:r>
        <w:rPr>
          <w:rFonts w:ascii="仿宋" w:hAnsi="仿宋" w:eastAsia="仿宋" w:cs="仿宋"/>
          <w:color w:val="auto"/>
          <w:sz w:val="24"/>
          <w:szCs w:val="24"/>
          <w:highlight w:val="none"/>
        </w:rPr>
        <w:t>56</w:t>
      </w:r>
      <w:r>
        <w:rPr>
          <w:rFonts w:hint="eastAsia" w:ascii="仿宋" w:hAnsi="仿宋" w:eastAsia="仿宋" w:cs="仿宋"/>
          <w:color w:val="auto"/>
          <w:sz w:val="24"/>
          <w:szCs w:val="24"/>
          <w:highlight w:val="none"/>
        </w:rPr>
        <w:t>天以上，承包人不采取有效的复工措施，造成工期延误的，发包人可根据第</w:t>
      </w:r>
      <w:r>
        <w:rPr>
          <w:rFonts w:ascii="仿宋" w:hAnsi="仿宋" w:eastAsia="仿宋" w:cs="仿宋"/>
          <w:color w:val="auto"/>
          <w:sz w:val="24"/>
          <w:szCs w:val="24"/>
          <w:highlight w:val="none"/>
        </w:rPr>
        <w:t>87.3</w:t>
      </w:r>
      <w:r>
        <w:rPr>
          <w:rFonts w:hint="eastAsia" w:ascii="仿宋" w:hAnsi="仿宋" w:eastAsia="仿宋" w:cs="仿宋"/>
          <w:color w:val="auto"/>
          <w:sz w:val="24"/>
          <w:szCs w:val="24"/>
          <w:highlight w:val="none"/>
        </w:rPr>
        <w:t>款规定解除合同。</w:t>
      </w:r>
    </w:p>
    <w:p>
      <w:pPr>
        <w:pStyle w:val="2"/>
        <w:shd w:val="clear" w:color="000000" w:fill="auto"/>
        <w:tabs>
          <w:tab w:val="left" w:pos="2160"/>
        </w:tabs>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35.4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firstLine="2"/>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97504" behindDoc="0" locked="0" layoutInCell="1" allowOverlap="1">
                <wp:simplePos x="0" y="0"/>
                <wp:positionH relativeFrom="column">
                  <wp:posOffset>-114300</wp:posOffset>
                </wp:positionH>
                <wp:positionV relativeFrom="paragraph">
                  <wp:posOffset>635</wp:posOffset>
                </wp:positionV>
                <wp:extent cx="914400" cy="792480"/>
                <wp:effectExtent l="0" t="0" r="0" b="0"/>
                <wp:wrapNone/>
                <wp:docPr id="136" name="文本框 137"/>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pPr>
                              <w:spacing w:line="22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发包人、承包人原因和不可抗力因素造成暂停施工的责任</w:t>
                            </w:r>
                          </w:p>
                        </w:txbxContent>
                      </wps:txbx>
                      <wps:bodyPr upright="1"/>
                    </wps:wsp>
                  </a:graphicData>
                </a:graphic>
              </wp:anchor>
            </w:drawing>
          </mc:Choice>
          <mc:Fallback>
            <w:pict>
              <v:shape id="文本框 137" o:spid="_x0000_s1026" o:spt="202" type="#_x0000_t202" style="position:absolute;left:0pt;margin-left:-9pt;margin-top:0.05pt;height:62.4pt;width:72pt;z-index:251797504;mso-width-relative:page;mso-height-relative:page;" filled="f" stroked="f" coordsize="21600,21600" o:gfxdata="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t2odL1AAA&#10;AAgBAAAPAAAAAAAAAAEAIAAAACIAAABkcnMvZG93bnJldi54bWxQSwECFAAUAAAACACHTuJA25Bx&#10;prABAABRAwAADgAAAAAAAAABACAAAAAjAQAAZHJzL2Uyb0RvYy54bWxQSwUGAAAAAAYABgBZAQAA&#10;RQUAAAAA&#10;">
                <v:fill on="f" focussize="0,0"/>
                <v:stroke on="f"/>
                <v:imagedata o:title=""/>
                <o:lock v:ext="edit" aspectratio="f"/>
                <v:textbox>
                  <w:txbxContent>
                    <w:p>
                      <w:pPr>
                        <w:spacing w:line="22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发包人、承包人原因和不可抗力因素造成暂停施工的责任</w:t>
                      </w:r>
                    </w:p>
                  </w:txbxContent>
                </v:textbox>
              </v:shape>
            </w:pict>
          </mc:Fallback>
        </mc:AlternateContent>
      </w:r>
      <w:r>
        <w:rPr>
          <w:rFonts w:hint="eastAsia" w:ascii="仿宋" w:hAnsi="仿宋" w:eastAsia="仿宋" w:cs="仿宋"/>
          <w:color w:val="auto"/>
          <w:sz w:val="24"/>
          <w:szCs w:val="24"/>
          <w:highlight w:val="none"/>
        </w:rPr>
        <w:t>因发包人的原因造成暂停施工且引起工期延误的，承包人有权要求发包人增加由此发生的费用和（或）顺延工期，并支付合理利润。</w:t>
      </w:r>
    </w:p>
    <w:p>
      <w:pPr>
        <w:pStyle w:val="2"/>
        <w:shd w:val="clear" w:color="000000" w:fill="auto"/>
        <w:adjustRightInd w:val="0"/>
        <w:snapToGrid w:val="0"/>
        <w:spacing w:line="360" w:lineRule="auto"/>
        <w:ind w:left="1619" w:leftChars="771" w:firstLine="2"/>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因承包人下列原因造成的暂停施工，增加的费用和（或）延误的工期由承包人承担：</w:t>
      </w:r>
    </w:p>
    <w:p>
      <w:pPr>
        <w:pStyle w:val="2"/>
        <w:numPr>
          <w:ilvl w:val="0"/>
          <w:numId w:val="14"/>
        </w:numPr>
        <w:shd w:val="clear" w:color="000000" w:fill="auto"/>
        <w:adjustRightInd w:val="0"/>
        <w:snapToGrid w:val="0"/>
        <w:spacing w:line="360" w:lineRule="auto"/>
        <w:ind w:left="1617" w:leftChars="770"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工作失误或违约造成的；</w:t>
      </w:r>
    </w:p>
    <w:p>
      <w:pPr>
        <w:pStyle w:val="2"/>
        <w:numPr>
          <w:ilvl w:val="0"/>
          <w:numId w:val="14"/>
        </w:numPr>
        <w:shd w:val="clear" w:color="000000" w:fill="auto"/>
        <w:adjustRightInd w:val="0"/>
        <w:snapToGrid w:val="0"/>
        <w:spacing w:line="360" w:lineRule="auto"/>
        <w:ind w:left="2157" w:leftChars="770" w:hanging="540" w:hangingChars="225"/>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为合同工程合理施工和安全保障所必需的；</w:t>
      </w:r>
    </w:p>
    <w:p>
      <w:pPr>
        <w:pStyle w:val="2"/>
        <w:numPr>
          <w:ilvl w:val="0"/>
          <w:numId w:val="14"/>
        </w:numPr>
        <w:shd w:val="clear" w:color="000000" w:fill="auto"/>
        <w:adjustRightInd w:val="0"/>
        <w:snapToGrid w:val="0"/>
        <w:spacing w:line="360" w:lineRule="auto"/>
        <w:ind w:left="1617" w:leftChars="770"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施工现场气候条件（除不可抗力停工外）导致的；</w:t>
      </w:r>
    </w:p>
    <w:p>
      <w:pPr>
        <w:pStyle w:val="2"/>
        <w:numPr>
          <w:ilvl w:val="0"/>
          <w:numId w:val="14"/>
        </w:numPr>
        <w:shd w:val="clear" w:color="000000" w:fill="auto"/>
        <w:adjustRightInd w:val="0"/>
        <w:snapToGrid w:val="0"/>
        <w:spacing w:line="360" w:lineRule="auto"/>
        <w:ind w:left="1617" w:leftChars="770"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擅自停工的；</w:t>
      </w:r>
    </w:p>
    <w:p>
      <w:pPr>
        <w:pStyle w:val="2"/>
        <w:numPr>
          <w:ilvl w:val="0"/>
          <w:numId w:val="14"/>
        </w:numPr>
        <w:shd w:val="clear" w:color="000000" w:fill="auto"/>
        <w:adjustRightInd w:val="0"/>
        <w:snapToGrid w:val="0"/>
        <w:spacing w:line="360" w:lineRule="auto"/>
        <w:ind w:left="1617" w:leftChars="770"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专用条款约定的其他原因。</w:t>
      </w:r>
    </w:p>
    <w:p>
      <w:pPr>
        <w:pStyle w:val="2"/>
        <w:shd w:val="clear" w:color="000000" w:fill="auto"/>
        <w:tabs>
          <w:tab w:val="left" w:pos="1980"/>
        </w:tabs>
        <w:adjustRightInd w:val="0"/>
        <w:snapToGrid w:val="0"/>
        <w:spacing w:line="360" w:lineRule="auto"/>
        <w:ind w:left="1617" w:leftChars="77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因不可抗力因素造成暂停施工的，按照第</w:t>
      </w:r>
      <w:r>
        <w:rPr>
          <w:rFonts w:ascii="仿宋" w:hAnsi="仿宋" w:eastAsia="仿宋" w:cs="仿宋"/>
          <w:color w:val="auto"/>
          <w:sz w:val="24"/>
          <w:szCs w:val="24"/>
          <w:highlight w:val="none"/>
        </w:rPr>
        <w:t>31</w:t>
      </w:r>
      <w:r>
        <w:rPr>
          <w:rFonts w:hint="eastAsia" w:ascii="仿宋" w:hAnsi="仿宋" w:eastAsia="仿宋" w:cs="仿宋"/>
          <w:color w:val="auto"/>
          <w:sz w:val="24"/>
          <w:szCs w:val="24"/>
          <w:highlight w:val="none"/>
        </w:rPr>
        <w:t>条规定处理。</w:t>
      </w:r>
    </w:p>
    <w:p>
      <w:pPr>
        <w:pStyle w:val="2"/>
        <w:shd w:val="clear" w:color="000000" w:fill="auto"/>
        <w:tabs>
          <w:tab w:val="left" w:pos="1320"/>
        </w:tabs>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35.5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798528" behindDoc="0" locked="0" layoutInCell="1" allowOverlap="1">
                <wp:simplePos x="0" y="0"/>
                <wp:positionH relativeFrom="column">
                  <wp:posOffset>-66675</wp:posOffset>
                </wp:positionH>
                <wp:positionV relativeFrom="paragraph">
                  <wp:posOffset>6350</wp:posOffset>
                </wp:positionV>
                <wp:extent cx="914400" cy="693420"/>
                <wp:effectExtent l="0" t="0" r="0" b="0"/>
                <wp:wrapNone/>
                <wp:docPr id="137" name="文本框 138"/>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pPr>
                              <w:spacing w:line="22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发包人不按规定支付工程款造成暂停施工的责任</w:t>
                            </w:r>
                          </w:p>
                        </w:txbxContent>
                      </wps:txbx>
                      <wps:bodyPr upright="1"/>
                    </wps:wsp>
                  </a:graphicData>
                </a:graphic>
              </wp:anchor>
            </w:drawing>
          </mc:Choice>
          <mc:Fallback>
            <w:pict>
              <v:shape id="文本框 138" o:spid="_x0000_s1026" o:spt="202" type="#_x0000_t202" style="position:absolute;left:0pt;margin-left:-5.25pt;margin-top:0.5pt;height:54.6pt;width:72pt;z-index:251798528;mso-width-relative:page;mso-height-relative:page;" filled="f" stroked="f" coordsize="21600,21600" o:gfxdata="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i1Sze1AAA&#10;AAkBAAAPAAAAAAAAAAEAIAAAACIAAABkcnMvZG93bnJldi54bWxQSwECFAAUAAAACACHTuJAx2WE&#10;d7ABAABRAwAADgAAAAAAAAABACAAAAAjAQAAZHJzL2Uyb0RvYy54bWxQSwUGAAAAAAYABgBZAQAA&#10;RQUAAAAA&#10;">
                <v:fill on="f" focussize="0,0"/>
                <v:stroke on="f"/>
                <v:imagedata o:title=""/>
                <o:lock v:ext="edit" aspectratio="f"/>
                <v:textbox>
                  <w:txbxContent>
                    <w:p>
                      <w:pPr>
                        <w:spacing w:line="22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发包人不按规定支付工程款造成暂停施工的责任</w:t>
                      </w:r>
                    </w:p>
                  </w:txbxContent>
                </v:textbox>
              </v:shape>
            </w:pict>
          </mc:Fallback>
        </mc:AlternateContent>
      </w:r>
      <w:r>
        <w:rPr>
          <w:rFonts w:hint="eastAsia" w:ascii="仿宋" w:hAnsi="仿宋" w:eastAsia="仿宋" w:cs="仿宋"/>
          <w:color w:val="auto"/>
          <w:sz w:val="24"/>
          <w:szCs w:val="24"/>
          <w:highlight w:val="none"/>
        </w:rPr>
        <w:t>如果发包人未按照合同约定支付工程进度款，经催告后在</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天内仍未支付的，承包人可以暂停施工，直至收到包括第</w:t>
      </w:r>
      <w:r>
        <w:rPr>
          <w:rFonts w:ascii="仿宋" w:hAnsi="仿宋" w:eastAsia="仿宋" w:cs="仿宋"/>
          <w:color w:val="auto"/>
          <w:sz w:val="24"/>
          <w:szCs w:val="24"/>
          <w:highlight w:val="none"/>
        </w:rPr>
        <w:t>78.2</w:t>
      </w:r>
      <w:r>
        <w:rPr>
          <w:rFonts w:hint="eastAsia" w:ascii="仿宋" w:hAnsi="仿宋" w:eastAsia="仿宋" w:cs="仿宋"/>
          <w:color w:val="auto"/>
          <w:sz w:val="24"/>
          <w:szCs w:val="24"/>
          <w:highlight w:val="none"/>
        </w:rPr>
        <w:t>款规定的应付利息在内的所欠全部款项。由此造成的暂停施工，视为是因发包人的原因引起的，并按照第</w:t>
      </w:r>
      <w:r>
        <w:rPr>
          <w:rFonts w:ascii="仿宋" w:hAnsi="仿宋" w:eastAsia="仿宋" w:cs="仿宋"/>
          <w:color w:val="auto"/>
          <w:sz w:val="24"/>
          <w:szCs w:val="24"/>
          <w:highlight w:val="none"/>
        </w:rPr>
        <w:t>35.4</w:t>
      </w:r>
      <w:r>
        <w:rPr>
          <w:rFonts w:hint="eastAsia" w:ascii="仿宋" w:hAnsi="仿宋" w:eastAsia="仿宋" w:cs="仿宋"/>
          <w:color w:val="auto"/>
          <w:sz w:val="24"/>
          <w:szCs w:val="24"/>
          <w:highlight w:val="none"/>
        </w:rPr>
        <w:t>款规定处理。</w:t>
      </w:r>
    </w:p>
    <w:p>
      <w:pPr>
        <w:pStyle w:val="2"/>
        <w:shd w:val="clear" w:color="000000" w:fill="auto"/>
        <w:tabs>
          <w:tab w:val="left" w:pos="1320"/>
        </w:tabs>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35.6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799552" behindDoc="0" locked="0" layoutInCell="1" allowOverlap="1">
                <wp:simplePos x="0" y="0"/>
                <wp:positionH relativeFrom="column">
                  <wp:posOffset>-114300</wp:posOffset>
                </wp:positionH>
                <wp:positionV relativeFrom="paragraph">
                  <wp:posOffset>635</wp:posOffset>
                </wp:positionV>
                <wp:extent cx="914400" cy="396240"/>
                <wp:effectExtent l="0" t="0" r="0" b="0"/>
                <wp:wrapNone/>
                <wp:docPr id="138" name="文本框 139"/>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2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暂停施工结束后的处理</w:t>
                            </w:r>
                          </w:p>
                        </w:txbxContent>
                      </wps:txbx>
                      <wps:bodyPr upright="1"/>
                    </wps:wsp>
                  </a:graphicData>
                </a:graphic>
              </wp:anchor>
            </w:drawing>
          </mc:Choice>
          <mc:Fallback>
            <w:pict>
              <v:shape id="文本框 139" o:spid="_x0000_s1026" o:spt="202" type="#_x0000_t202" style="position:absolute;left:0pt;margin-left:-9pt;margin-top:0.05pt;height:31.2pt;width:72pt;z-index:251799552;mso-width-relative:page;mso-height-relative:page;" filled="f" stroked="f" coordsize="21600,21600" o:gfxdata="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H8G9LdMAAAAH&#10;AQAADwAAAAAAAAABACAAAAAiAAAAZHJzL2Rvd25yZXYueG1sUEsBAhQAFAAAAAgAh07iQDRvOeuv&#10;AQAAUQMAAA4AAAAAAAAAAQAgAAAAIgEAAGRycy9lMm9Eb2MueG1sUEsFBgAAAAAGAAYAWQEAAEMF&#10;AAAAAA==&#10;">
                <v:fill on="f" focussize="0,0"/>
                <v:stroke on="f"/>
                <v:imagedata o:title=""/>
                <o:lock v:ext="edit" aspectratio="f"/>
                <v:textbox>
                  <w:txbxContent>
                    <w:p>
                      <w:pPr>
                        <w:spacing w:line="22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暂停施工结束后的处理</w:t>
                      </w:r>
                    </w:p>
                  </w:txbxContent>
                </v:textbox>
              </v:shape>
            </w:pict>
          </mc:Fallback>
        </mc:AlternateContent>
      </w:r>
      <w:r>
        <w:rPr>
          <w:rFonts w:hint="eastAsia" w:ascii="仿宋" w:hAnsi="仿宋" w:eastAsia="仿宋" w:cs="仿宋"/>
          <w:color w:val="auto"/>
          <w:sz w:val="24"/>
          <w:szCs w:val="24"/>
          <w:highlight w:val="none"/>
        </w:rPr>
        <w:t>暂停施工结束后，承包人和监理工程师应对受暂停施工影响的工程、材料和工程设备进行检查。承包人负责修复在暂停期间发生的任何变质、缺陷或损坏，因而发生的费用和造成的损失按照第</w:t>
      </w:r>
      <w:r>
        <w:rPr>
          <w:rFonts w:ascii="仿宋" w:hAnsi="仿宋" w:eastAsia="仿宋" w:cs="仿宋"/>
          <w:color w:val="auto"/>
          <w:sz w:val="24"/>
          <w:szCs w:val="24"/>
          <w:highlight w:val="none"/>
        </w:rPr>
        <w:t>35.4</w:t>
      </w:r>
      <w:r>
        <w:rPr>
          <w:rFonts w:hint="eastAsia" w:ascii="仿宋" w:hAnsi="仿宋" w:eastAsia="仿宋" w:cs="仿宋"/>
          <w:color w:val="auto"/>
          <w:sz w:val="24"/>
          <w:szCs w:val="24"/>
          <w:highlight w:val="none"/>
        </w:rPr>
        <w:t>款规定处理。</w:t>
      </w:r>
    </w:p>
    <w:p>
      <w:pPr>
        <w:pStyle w:val="2"/>
        <w:shd w:val="clear" w:color="000000" w:fill="auto"/>
        <w:adjustRightInd w:val="0"/>
        <w:snapToGrid w:val="0"/>
        <w:spacing w:line="360" w:lineRule="auto"/>
        <w:outlineLvl w:val="2"/>
        <w:rPr>
          <w:rFonts w:ascii="仿宋" w:hAnsi="仿宋" w:eastAsia="仿宋" w:cs="Times New Roman"/>
          <w:b/>
          <w:bCs/>
          <w:color w:val="auto"/>
          <w:sz w:val="24"/>
          <w:szCs w:val="24"/>
          <w:highlight w:val="none"/>
        </w:rPr>
      </w:pPr>
      <w:bookmarkStart w:id="229" w:name="_Toc469384018"/>
      <w:bookmarkStart w:id="230" w:name="_Toc10003"/>
      <w:bookmarkStart w:id="231" w:name="_Toc10624858"/>
      <w:r>
        <w:rPr>
          <w:rFonts w:ascii="仿宋" w:hAnsi="仿宋" w:eastAsia="仿宋" w:cs="仿宋"/>
          <w:b/>
          <w:bCs/>
          <w:color w:val="auto"/>
          <w:sz w:val="24"/>
          <w:szCs w:val="24"/>
          <w:highlight w:val="none"/>
        </w:rPr>
        <w:t xml:space="preserve">36  </w:t>
      </w:r>
      <w:r>
        <w:rPr>
          <w:rFonts w:hint="eastAsia" w:ascii="仿宋" w:hAnsi="仿宋" w:eastAsia="仿宋" w:cs="仿宋"/>
          <w:b/>
          <w:bCs/>
          <w:color w:val="auto"/>
          <w:sz w:val="24"/>
          <w:szCs w:val="24"/>
          <w:highlight w:val="none"/>
        </w:rPr>
        <w:t>工期和工期延误</w:t>
      </w:r>
      <w:bookmarkEnd w:id="229"/>
      <w:bookmarkEnd w:id="230"/>
      <w:bookmarkEnd w:id="231"/>
    </w:p>
    <w:p>
      <w:pPr>
        <w:pStyle w:val="2"/>
        <w:shd w:val="clear" w:color="000000" w:fill="auto"/>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36.1     </w:t>
      </w:r>
    </w:p>
    <w:p>
      <w:pPr>
        <w:shd w:val="clear" w:color="000000" w:fill="auto"/>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合同工程的工期，由合同双方当事人根据广东省建设工程工期定额等有关规定，结合合同工程拟实施的施工组织设计或施工方案等情况，科学合理地编制工期，并在合同中约定。</w:t>
      </w:r>
      <w:r>
        <w:rPr>
          <w:color w:val="auto"/>
          <w:highlight w:val="none"/>
        </w:rPr>
        <mc:AlternateContent>
          <mc:Choice Requires="wps">
            <w:drawing>
              <wp:anchor distT="0" distB="0" distL="114300" distR="114300" simplePos="0" relativeHeight="251800576" behindDoc="0" locked="0" layoutInCell="1" allowOverlap="1">
                <wp:simplePos x="0" y="0"/>
                <wp:positionH relativeFrom="column">
                  <wp:posOffset>-114300</wp:posOffset>
                </wp:positionH>
                <wp:positionV relativeFrom="paragraph">
                  <wp:posOffset>393700</wp:posOffset>
                </wp:positionV>
                <wp:extent cx="977900" cy="335915"/>
                <wp:effectExtent l="0" t="0" r="0" b="0"/>
                <wp:wrapNone/>
                <wp:docPr id="139" name="文本框 140"/>
                <wp:cNvGraphicFramePr/>
                <a:graphic xmlns:a="http://schemas.openxmlformats.org/drawingml/2006/main">
                  <a:graphicData uri="http://schemas.microsoft.com/office/word/2010/wordprocessingShape">
                    <wps:wsp>
                      <wps:cNvSpPr txBox="1"/>
                      <wps:spPr>
                        <a:xfrm>
                          <a:off x="0" y="0"/>
                          <a:ext cx="977900" cy="335915"/>
                        </a:xfrm>
                        <a:prstGeom prst="rect">
                          <a:avLst/>
                        </a:prstGeom>
                        <a:noFill/>
                        <a:ln>
                          <a:noFill/>
                        </a:ln>
                      </wps:spPr>
                      <wps:txbx>
                        <w:txbxContent>
                          <w:p>
                            <w:pPr>
                              <w:rPr>
                                <w:rFonts w:cs="Times New Roman"/>
                              </w:rPr>
                            </w:pPr>
                          </w:p>
                        </w:txbxContent>
                      </wps:txbx>
                      <wps:bodyPr upright="1"/>
                    </wps:wsp>
                  </a:graphicData>
                </a:graphic>
              </wp:anchor>
            </w:drawing>
          </mc:Choice>
          <mc:Fallback>
            <w:pict>
              <v:shape id="文本框 140" o:spid="_x0000_s1026" o:spt="202" type="#_x0000_t202" style="position:absolute;left:0pt;margin-left:-9pt;margin-top:31pt;height:26.45pt;width:77pt;z-index:251800576;mso-width-relative:page;mso-height-relative:page;" filled="f" stroked="f" coordsize="21600,21600" o:gfxdata="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mX/eiNcA&#10;AAAKAQAADwAAAAAAAAABACAAAAAiAAAAZHJzL2Rvd25yZXYueG1sUEsBAhQAFAAAAAgAh07iQIYL&#10;SGeuAQAAUQMAAA4AAAAAAAAAAQAgAAAAJgEAAGRycy9lMm9Eb2MueG1sUEsFBgAAAAAGAAYAWQEA&#10;AEYFAAAAAA==&#10;">
                <v:fill on="f" focussize="0,0"/>
                <v:stroke on="f"/>
                <v:imagedata o:title=""/>
                <o:lock v:ext="edit" aspectratio="f"/>
                <v:textbox>
                  <w:txbxContent>
                    <w:p>
                      <w:pPr>
                        <w:rPr>
                          <w:rFonts w:cs="Times New Roman"/>
                        </w:rPr>
                      </w:pPr>
                    </w:p>
                  </w:txbxContent>
                </v:textbox>
              </v:shape>
            </w:pict>
          </mc:Fallback>
        </mc:AlternateContent>
      </w:r>
      <w:r>
        <w:rPr>
          <w:color w:val="auto"/>
          <w:highlight w:val="none"/>
        </w:rPr>
        <mc:AlternateContent>
          <mc:Choice Requires="wps">
            <w:drawing>
              <wp:anchor distT="0" distB="0" distL="114300" distR="114300" simplePos="0" relativeHeight="251801600" behindDoc="0" locked="0" layoutInCell="1" allowOverlap="1">
                <wp:simplePos x="0" y="0"/>
                <wp:positionH relativeFrom="column">
                  <wp:posOffset>-114300</wp:posOffset>
                </wp:positionH>
                <wp:positionV relativeFrom="paragraph">
                  <wp:posOffset>31750</wp:posOffset>
                </wp:positionV>
                <wp:extent cx="800100" cy="459740"/>
                <wp:effectExtent l="0" t="0" r="0" b="0"/>
                <wp:wrapNone/>
                <wp:docPr id="140" name="文本框 141"/>
                <wp:cNvGraphicFramePr/>
                <a:graphic xmlns:a="http://schemas.openxmlformats.org/drawingml/2006/main">
                  <a:graphicData uri="http://schemas.microsoft.com/office/word/2010/wordprocessingShape">
                    <wps:wsp>
                      <wps:cNvSpPr txBox="1"/>
                      <wps:spPr>
                        <a:xfrm>
                          <a:off x="0" y="0"/>
                          <a:ext cx="800100" cy="45974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工期计算</w:t>
                            </w:r>
                          </w:p>
                        </w:txbxContent>
                      </wps:txbx>
                      <wps:bodyPr upright="1"/>
                    </wps:wsp>
                  </a:graphicData>
                </a:graphic>
              </wp:anchor>
            </w:drawing>
          </mc:Choice>
          <mc:Fallback>
            <w:pict>
              <v:shape id="文本框 141" o:spid="_x0000_s1026" o:spt="202" type="#_x0000_t202" style="position:absolute;left:0pt;margin-left:-9pt;margin-top:2.5pt;height:36.2pt;width:63pt;z-index:251801600;mso-width-relative:page;mso-height-relative:page;" filled="f" stroked="f" coordsize="21600,21600" o:gfxdata="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VyCmINUAAAAI&#10;AQAADwAAAAAAAAABACAAAAAiAAAAZHJzL2Rvd25yZXYueG1sUEsBAhQAFAAAAAgAh07iQJFALoit&#10;AQAAUQMAAA4AAAAAAAAAAQAgAAAAJAEAAGRycy9lMm9Eb2MueG1sUEsFBgAAAAAGAAYAWQEAAEMF&#10;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工期计算</w:t>
                      </w:r>
                    </w:p>
                  </w:txbxContent>
                </v:textbox>
              </v:shape>
            </w:pict>
          </mc:Fallback>
        </mc:AlternateContent>
      </w:r>
      <w:r>
        <w:rPr>
          <w:rFonts w:hint="eastAsia" w:ascii="仿宋" w:hAnsi="仿宋" w:eastAsia="仿宋" w:cs="仿宋"/>
          <w:color w:val="auto"/>
          <w:sz w:val="24"/>
          <w:szCs w:val="24"/>
          <w:highlight w:val="none"/>
        </w:rPr>
        <w:t>如合同工期与广东省建设工程工期定额规定不一致的，需说明与省工期定额规定不一致的原因，并制定保障措施，确保质量、施工安全。</w:t>
      </w:r>
    </w:p>
    <w:p>
      <w:pPr>
        <w:pStyle w:val="2"/>
        <w:shd w:val="clear" w:color="000000" w:fill="auto"/>
        <w:adjustRightInd w:val="0"/>
        <w:snapToGrid w:val="0"/>
        <w:spacing w:line="360" w:lineRule="auto"/>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36.2 </w:t>
      </w:r>
      <w:r>
        <w:rPr>
          <w:rFonts w:ascii="仿宋" w:hAnsi="仿宋" w:eastAsia="仿宋" w:cs="仿宋"/>
          <w:color w:val="auto"/>
          <w:sz w:val="24"/>
          <w:szCs w:val="24"/>
          <w:highlight w:val="none"/>
          <w:u w:val="dotted"/>
        </w:rPr>
        <w:t xml:space="preserve">                                                                          </w:t>
      </w:r>
    </w:p>
    <w:p>
      <w:pPr>
        <w:pStyle w:val="2"/>
        <w:shd w:val="clear" w:color="000000" w:fill="auto"/>
        <w:adjustRightInd w:val="0"/>
        <w:snapToGrid w:val="0"/>
        <w:spacing w:line="360" w:lineRule="auto"/>
        <w:ind w:left="1671" w:leftChars="771" w:hanging="52" w:hangingChars="25"/>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02624" behindDoc="0" locked="0" layoutInCell="1" allowOverlap="1">
                <wp:simplePos x="0" y="0"/>
                <wp:positionH relativeFrom="column">
                  <wp:posOffset>-114300</wp:posOffset>
                </wp:positionH>
                <wp:positionV relativeFrom="paragraph">
                  <wp:posOffset>31750</wp:posOffset>
                </wp:positionV>
                <wp:extent cx="800100" cy="459740"/>
                <wp:effectExtent l="0" t="0" r="0" b="0"/>
                <wp:wrapNone/>
                <wp:docPr id="141" name="文本框 142"/>
                <wp:cNvGraphicFramePr/>
                <a:graphic xmlns:a="http://schemas.openxmlformats.org/drawingml/2006/main">
                  <a:graphicData uri="http://schemas.microsoft.com/office/word/2010/wordprocessingShape">
                    <wps:wsp>
                      <wps:cNvSpPr txBox="1"/>
                      <wps:spPr>
                        <a:xfrm>
                          <a:off x="0" y="0"/>
                          <a:ext cx="800100" cy="45974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工期约定的要求</w:t>
                            </w:r>
                          </w:p>
                        </w:txbxContent>
                      </wps:txbx>
                      <wps:bodyPr upright="1"/>
                    </wps:wsp>
                  </a:graphicData>
                </a:graphic>
              </wp:anchor>
            </w:drawing>
          </mc:Choice>
          <mc:Fallback>
            <w:pict>
              <v:shape id="文本框 142" o:spid="_x0000_s1026" o:spt="202" type="#_x0000_t202" style="position:absolute;left:0pt;margin-left:-9pt;margin-top:2.5pt;height:36.2pt;width:63pt;z-index:251802624;mso-width-relative:page;mso-height-relative:page;" filled="f" stroked="f" coordsize="21600,21600" o:gfxdata="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XIKYg1QAA&#10;AAgBAAAPAAAAAAAAAAEAIAAAACIAAABkcnMvZG93bnJldi54bWxQSwECFAAUAAAACACHTuJArg4D&#10;nq8BAABRAwAADgAAAAAAAAABACAAAAAkAQAAZHJzL2Uyb0RvYy54bWxQSwUGAAAAAAYABgBZAQAA&#10;RQ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工期约定的要求</w:t>
                      </w:r>
                    </w:p>
                  </w:txbxContent>
                </v:textbox>
              </v:shape>
            </w:pict>
          </mc:Fallback>
        </mc:AlternateContent>
      </w:r>
      <w:r>
        <w:rPr>
          <w:rFonts w:hint="eastAsia" w:ascii="仿宋" w:hAnsi="仿宋" w:eastAsia="仿宋" w:cs="仿宋"/>
          <w:color w:val="auto"/>
          <w:sz w:val="24"/>
          <w:szCs w:val="24"/>
          <w:highlight w:val="none"/>
        </w:rPr>
        <w:t>合同双方当事人应在专用条款中约定合同工程的工期，工期从开工日期开始计算。合同中包括有多个单位工程的，应在专用条款中约定各单位工程的工期。</w:t>
      </w:r>
    </w:p>
    <w:p>
      <w:pPr>
        <w:pStyle w:val="2"/>
        <w:shd w:val="clear" w:color="000000" w:fill="auto"/>
        <w:adjustRightInd w:val="0"/>
        <w:snapToGrid w:val="0"/>
        <w:spacing w:line="360" w:lineRule="auto"/>
        <w:ind w:right="-2"/>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36.3  </w:t>
      </w:r>
      <w:r>
        <w:rPr>
          <w:rFonts w:ascii="仿宋" w:hAnsi="仿宋" w:eastAsia="仿宋" w:cs="仿宋"/>
          <w:b/>
          <w:bCs/>
          <w:color w:val="auto"/>
          <w:sz w:val="24"/>
          <w:szCs w:val="24"/>
          <w:highlight w:val="none"/>
          <w:u w:val="dotted"/>
        </w:rPr>
        <w:t xml:space="preserve">                                                                                                       </w:t>
      </w:r>
    </w:p>
    <w:p>
      <w:pPr>
        <w:shd w:val="clear" w:color="000000" w:fill="auto"/>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03648" behindDoc="0" locked="0" layoutInCell="1" allowOverlap="1">
                <wp:simplePos x="0" y="0"/>
                <wp:positionH relativeFrom="column">
                  <wp:posOffset>-114300</wp:posOffset>
                </wp:positionH>
                <wp:positionV relativeFrom="paragraph">
                  <wp:posOffset>16510</wp:posOffset>
                </wp:positionV>
                <wp:extent cx="800100" cy="261620"/>
                <wp:effectExtent l="0" t="0" r="0" b="0"/>
                <wp:wrapNone/>
                <wp:docPr id="142" name="文本框 143"/>
                <wp:cNvGraphicFramePr/>
                <a:graphic xmlns:a="http://schemas.openxmlformats.org/drawingml/2006/main">
                  <a:graphicData uri="http://schemas.microsoft.com/office/word/2010/wordprocessingShape">
                    <wps:wsp>
                      <wps:cNvSpPr txBox="1"/>
                      <wps:spPr>
                        <a:xfrm>
                          <a:off x="0" y="0"/>
                          <a:ext cx="800100" cy="26162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工期顺延</w:t>
                            </w:r>
                          </w:p>
                        </w:txbxContent>
                      </wps:txbx>
                      <wps:bodyPr upright="1"/>
                    </wps:wsp>
                  </a:graphicData>
                </a:graphic>
              </wp:anchor>
            </w:drawing>
          </mc:Choice>
          <mc:Fallback>
            <w:pict>
              <v:shape id="文本框 143" o:spid="_x0000_s1026" o:spt="202" type="#_x0000_t202" style="position:absolute;left:0pt;margin-left:-9pt;margin-top:1.3pt;height:20.6pt;width:63pt;z-index:251803648;mso-width-relative:page;mso-height-relative:page;" filled="f" stroked="f" coordsize="21600,21600" o:gfxdata="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KnHbgjVAAAA&#10;CAEAAA8AAAAAAAAAAQAgAAAAIgAAAGRycy9kb3ducmV2LnhtbFBLAQIUABQAAAAIAIdO4kAqpT24&#10;rgEAAFEDAAAOAAAAAAAAAAEAIAAAACQBAABkcnMvZTJvRG9jLnhtbFBLBQYAAAAABgAGAFkBAABE&#10;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工期顺延</w:t>
                      </w:r>
                    </w:p>
                  </w:txbxContent>
                </v:textbox>
              </v:shape>
            </w:pict>
          </mc:Fallback>
        </mc:AlternateContent>
      </w:r>
      <w:r>
        <w:rPr>
          <w:rFonts w:hint="eastAsia" w:ascii="仿宋" w:hAnsi="仿宋" w:eastAsia="仿宋" w:cs="仿宋"/>
          <w:color w:val="auto"/>
          <w:sz w:val="24"/>
          <w:szCs w:val="24"/>
          <w:highlight w:val="none"/>
        </w:rPr>
        <w:t>合同履行期间，由于下列原因造成工期延误的，承包人有权要求发包人增加由此发生的费用和（或）顺延工期，并支付合理利润。本款发生顺延的工期，由承包人提出，经监理工程师核实后由合同双方当事人协商确定；协商不能达成一致的，由监理工程师暂定，通知承包人并抄报发包人。构成争议的，由合同双方当事人按照第</w:t>
      </w:r>
      <w:r>
        <w:rPr>
          <w:rFonts w:ascii="仿宋" w:hAnsi="仿宋" w:eastAsia="仿宋" w:cs="仿宋"/>
          <w:color w:val="auto"/>
          <w:sz w:val="24"/>
          <w:szCs w:val="24"/>
          <w:highlight w:val="none"/>
        </w:rPr>
        <w:t>86</w:t>
      </w:r>
      <w:r>
        <w:rPr>
          <w:rFonts w:hint="eastAsia" w:ascii="仿宋" w:hAnsi="仿宋" w:eastAsia="仿宋" w:cs="仿宋"/>
          <w:color w:val="auto"/>
          <w:sz w:val="24"/>
          <w:szCs w:val="24"/>
          <w:highlight w:val="none"/>
        </w:rPr>
        <w:t>条规定处理。</w:t>
      </w:r>
    </w:p>
    <w:p>
      <w:pPr>
        <w:pStyle w:val="2"/>
        <w:shd w:val="clear" w:color="000000" w:fill="auto"/>
        <w:adjustRightInd w:val="0"/>
        <w:snapToGrid w:val="0"/>
        <w:spacing w:line="420" w:lineRule="exact"/>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发包人未能按照专用条款的约定提供施工设计图纸及其它开工条件；</w:t>
      </w:r>
    </w:p>
    <w:p>
      <w:pPr>
        <w:pStyle w:val="2"/>
        <w:shd w:val="clear" w:color="000000" w:fill="auto"/>
        <w:adjustRightInd w:val="0"/>
        <w:snapToGrid w:val="0"/>
        <w:spacing w:line="420" w:lineRule="exact"/>
        <w:ind w:left="1680" w:leftChars="80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）发包人未能按照专用条款约定的时间支付工程预付款、绿色施工安全防护费和进度款；</w:t>
      </w:r>
    </w:p>
    <w:p>
      <w:pPr>
        <w:pStyle w:val="2"/>
        <w:shd w:val="clear" w:color="000000" w:fill="auto"/>
        <w:adjustRightInd w:val="0"/>
        <w:snapToGrid w:val="0"/>
        <w:spacing w:line="420" w:lineRule="exact"/>
        <w:ind w:left="2339" w:leftChars="771" w:hanging="720" w:hangingChars="30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发包人代表或施工现场发包人雇用的其他人员造成的人为因素；</w:t>
      </w:r>
    </w:p>
    <w:p>
      <w:pPr>
        <w:pStyle w:val="2"/>
        <w:shd w:val="clear" w:color="000000" w:fill="auto"/>
        <w:adjustRightInd w:val="0"/>
        <w:snapToGrid w:val="0"/>
        <w:spacing w:line="420" w:lineRule="exact"/>
        <w:ind w:left="2339" w:leftChars="771" w:hanging="720" w:hangingChars="30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4</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监理工程师未按照合同约定及时提供所需指令、回复等；</w:t>
      </w:r>
    </w:p>
    <w:p>
      <w:pPr>
        <w:pStyle w:val="2"/>
        <w:shd w:val="clear" w:color="000000" w:fill="auto"/>
        <w:adjustRightInd w:val="0"/>
        <w:snapToGrid w:val="0"/>
        <w:spacing w:line="420" w:lineRule="exact"/>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5</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工程变更（含增加合同工作内容、改变合同的任何一项工作等）；</w:t>
      </w:r>
    </w:p>
    <w:p>
      <w:pPr>
        <w:pStyle w:val="2"/>
        <w:shd w:val="clear" w:color="000000" w:fill="auto"/>
        <w:adjustRightInd w:val="0"/>
        <w:snapToGrid w:val="0"/>
        <w:spacing w:line="420" w:lineRule="exact"/>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6</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工程量增加；</w:t>
      </w:r>
    </w:p>
    <w:p>
      <w:pPr>
        <w:pStyle w:val="2"/>
        <w:shd w:val="clear" w:color="000000" w:fill="auto"/>
        <w:adjustRightInd w:val="0"/>
        <w:snapToGrid w:val="0"/>
        <w:spacing w:line="420" w:lineRule="exact"/>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一周内非承包人原因停水、停电、停气造成停工累计超过</w:t>
      </w:r>
      <w:r>
        <w:rPr>
          <w:rFonts w:ascii="仿宋" w:hAnsi="仿宋" w:eastAsia="仿宋" w:cs="仿宋"/>
          <w:color w:val="auto"/>
          <w:sz w:val="24"/>
          <w:szCs w:val="24"/>
          <w:highlight w:val="none"/>
        </w:rPr>
        <w:t>8</w:t>
      </w:r>
      <w:r>
        <w:rPr>
          <w:rFonts w:hint="eastAsia" w:ascii="仿宋" w:hAnsi="仿宋" w:eastAsia="仿宋" w:cs="仿宋"/>
          <w:color w:val="auto"/>
          <w:sz w:val="24"/>
          <w:szCs w:val="24"/>
          <w:highlight w:val="none"/>
        </w:rPr>
        <w:t>小时；</w:t>
      </w:r>
    </w:p>
    <w:p>
      <w:pPr>
        <w:pStyle w:val="2"/>
        <w:shd w:val="clear" w:color="000000" w:fill="auto"/>
        <w:adjustRightInd w:val="0"/>
        <w:snapToGrid w:val="0"/>
        <w:spacing w:line="420" w:lineRule="exact"/>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8</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不可抗力；</w:t>
      </w:r>
    </w:p>
    <w:p>
      <w:pPr>
        <w:pStyle w:val="2"/>
        <w:shd w:val="clear" w:color="000000" w:fill="auto"/>
        <w:adjustRightInd w:val="0"/>
        <w:snapToGrid w:val="0"/>
        <w:spacing w:line="420" w:lineRule="exact"/>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9</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发包人风险事件；</w:t>
      </w:r>
    </w:p>
    <w:p>
      <w:pPr>
        <w:pStyle w:val="2"/>
        <w:shd w:val="clear" w:color="000000" w:fill="auto"/>
        <w:adjustRightInd w:val="0"/>
        <w:snapToGrid w:val="0"/>
        <w:spacing w:line="420" w:lineRule="exact"/>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10</w:t>
      </w:r>
      <w:r>
        <w:rPr>
          <w:rFonts w:hint="eastAsia" w:ascii="仿宋" w:hAnsi="仿宋" w:eastAsia="仿宋" w:cs="仿宋"/>
          <w:color w:val="auto"/>
          <w:sz w:val="24"/>
          <w:szCs w:val="24"/>
          <w:highlight w:val="none"/>
        </w:rPr>
        <w:t>）因发包人的原因导致的暂停施工；</w:t>
      </w:r>
    </w:p>
    <w:p>
      <w:pPr>
        <w:pStyle w:val="2"/>
        <w:shd w:val="clear" w:color="000000" w:fill="auto"/>
        <w:adjustRightInd w:val="0"/>
        <w:snapToGrid w:val="0"/>
        <w:spacing w:line="420" w:lineRule="exact"/>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11</w:t>
      </w:r>
      <w:r>
        <w:rPr>
          <w:rFonts w:hint="eastAsia" w:ascii="仿宋" w:hAnsi="仿宋" w:eastAsia="仿宋" w:cs="仿宋"/>
          <w:color w:val="auto"/>
          <w:sz w:val="24"/>
          <w:szCs w:val="24"/>
          <w:highlight w:val="none"/>
        </w:rPr>
        <w:t>）非承包人失误、违约，以及监理工程师同意的工期顺延。</w:t>
      </w:r>
    </w:p>
    <w:p>
      <w:pPr>
        <w:pStyle w:val="2"/>
        <w:shd w:val="clear" w:color="000000" w:fill="auto"/>
        <w:adjustRightInd w:val="0"/>
        <w:snapToGrid w:val="0"/>
        <w:spacing w:line="420" w:lineRule="exact"/>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12</w:t>
      </w:r>
      <w:r>
        <w:rPr>
          <w:rFonts w:hint="eastAsia" w:ascii="仿宋" w:hAnsi="仿宋" w:eastAsia="仿宋" w:cs="仿宋"/>
          <w:color w:val="auto"/>
          <w:sz w:val="24"/>
          <w:szCs w:val="24"/>
          <w:highlight w:val="none"/>
        </w:rPr>
        <w:t>）发包人造成工期延误的其他原因。</w:t>
      </w:r>
    </w:p>
    <w:p>
      <w:pPr>
        <w:pStyle w:val="2"/>
        <w:shd w:val="clear" w:color="000000" w:fill="auto"/>
        <w:adjustRightInd w:val="0"/>
        <w:snapToGrid w:val="0"/>
        <w:spacing w:line="360" w:lineRule="auto"/>
        <w:ind w:right="-2"/>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36.4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04672" behindDoc="0" locked="0" layoutInCell="1" allowOverlap="1">
                <wp:simplePos x="0" y="0"/>
                <wp:positionH relativeFrom="column">
                  <wp:posOffset>-114300</wp:posOffset>
                </wp:positionH>
                <wp:positionV relativeFrom="paragraph">
                  <wp:posOffset>62230</wp:posOffset>
                </wp:positionV>
                <wp:extent cx="914400" cy="396240"/>
                <wp:effectExtent l="0" t="0" r="0" b="0"/>
                <wp:wrapNone/>
                <wp:docPr id="143" name="文本框 14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20" w:lineRule="exact"/>
                              <w:rPr>
                                <w:rFonts w:ascii="宋体" w:cs="Times New Roman"/>
                                <w:sz w:val="18"/>
                                <w:szCs w:val="18"/>
                              </w:rPr>
                            </w:pPr>
                            <w:r>
                              <w:rPr>
                                <w:rFonts w:hint="eastAsia" w:ascii="楷体_GB2312" w:hAnsi="宋体" w:eastAsia="楷体_GB2312" w:cs="楷体_GB2312"/>
                                <w:b/>
                                <w:bCs/>
                                <w:color w:val="000000"/>
                                <w:sz w:val="18"/>
                                <w:szCs w:val="18"/>
                              </w:rPr>
                              <w:t>提交工期顺延报告</w:t>
                            </w:r>
                          </w:p>
                        </w:txbxContent>
                      </wps:txbx>
                      <wps:bodyPr upright="1"/>
                    </wps:wsp>
                  </a:graphicData>
                </a:graphic>
              </wp:anchor>
            </w:drawing>
          </mc:Choice>
          <mc:Fallback>
            <w:pict>
              <v:shape id="文本框 144" o:spid="_x0000_s1026" o:spt="202" type="#_x0000_t202" style="position:absolute;left:0pt;margin-left:-9pt;margin-top:4.9pt;height:31.2pt;width:72pt;z-index:251804672;mso-width-relative:page;mso-height-relative:page;" filled="f" stroked="f" coordsize="21600,21600" o:gfxdata="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FrluZrVAAAA&#10;CAEAAA8AAAAAAAAAAQAgAAAAIgAAAGRycy9kb3ducmV2LnhtbFBLAQIUABQAAAAIAIdO4kCZRWFI&#10;rgEAAFEDAAAOAAAAAAAAAAEAIAAAACQBAABkcnMvZTJvRG9jLnhtbFBLBQYAAAAABgAGAFkBAABE&#10;BQAAAAA=&#10;">
                <v:fill on="f" focussize="0,0"/>
                <v:stroke on="f"/>
                <v:imagedata o:title=""/>
                <o:lock v:ext="edit" aspectratio="f"/>
                <v:textbox>
                  <w:txbxContent>
                    <w:p>
                      <w:pPr>
                        <w:spacing w:line="220" w:lineRule="exact"/>
                        <w:rPr>
                          <w:rFonts w:ascii="宋体" w:cs="Times New Roman"/>
                          <w:sz w:val="18"/>
                          <w:szCs w:val="18"/>
                        </w:rPr>
                      </w:pPr>
                      <w:r>
                        <w:rPr>
                          <w:rFonts w:hint="eastAsia" w:ascii="楷体_GB2312" w:hAnsi="宋体" w:eastAsia="楷体_GB2312" w:cs="楷体_GB2312"/>
                          <w:b/>
                          <w:bCs/>
                          <w:color w:val="000000"/>
                          <w:sz w:val="18"/>
                          <w:szCs w:val="18"/>
                        </w:rPr>
                        <w:t>提交工期顺延报告</w:t>
                      </w:r>
                    </w:p>
                  </w:txbxContent>
                </v:textbox>
              </v:shape>
            </w:pict>
          </mc:Fallback>
        </mc:AlternateContent>
      </w:r>
      <w:r>
        <w:rPr>
          <w:rFonts w:hint="eastAsia" w:ascii="仿宋" w:hAnsi="仿宋" w:eastAsia="仿宋" w:cs="仿宋"/>
          <w:color w:val="auto"/>
          <w:sz w:val="24"/>
          <w:szCs w:val="24"/>
          <w:highlight w:val="none"/>
        </w:rPr>
        <w:t>当第</w:t>
      </w:r>
      <w:r>
        <w:rPr>
          <w:rFonts w:ascii="仿宋" w:hAnsi="仿宋" w:eastAsia="仿宋" w:cs="仿宋"/>
          <w:color w:val="auto"/>
          <w:sz w:val="24"/>
          <w:szCs w:val="24"/>
          <w:highlight w:val="none"/>
        </w:rPr>
        <w:t>36.3</w:t>
      </w:r>
      <w:r>
        <w:rPr>
          <w:rFonts w:hint="eastAsia" w:ascii="仿宋" w:hAnsi="仿宋" w:eastAsia="仿宋" w:cs="仿宋"/>
          <w:color w:val="auto"/>
          <w:sz w:val="24"/>
          <w:szCs w:val="24"/>
          <w:highlight w:val="none"/>
        </w:rPr>
        <w:t>款所述事件首次发生后，承包人应在</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天内向监理工程师发出工期顺延意向书，并抄送发包人。承包人应在发出工期顺延意向书后的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天内，向监理工程师提交工期顺延报告和有关详细资料。</w:t>
      </w:r>
    </w:p>
    <w:p>
      <w:pPr>
        <w:pStyle w:val="2"/>
        <w:shd w:val="clear" w:color="000000" w:fill="auto"/>
        <w:adjustRightInd w:val="0"/>
        <w:snapToGrid w:val="0"/>
        <w:spacing w:line="360" w:lineRule="auto"/>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36.5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805696" behindDoc="0" locked="0" layoutInCell="1" allowOverlap="1">
                <wp:simplePos x="0" y="0"/>
                <wp:positionH relativeFrom="column">
                  <wp:posOffset>-114300</wp:posOffset>
                </wp:positionH>
                <wp:positionV relativeFrom="paragraph">
                  <wp:posOffset>46990</wp:posOffset>
                </wp:positionV>
                <wp:extent cx="914400" cy="396240"/>
                <wp:effectExtent l="0" t="0" r="0" b="0"/>
                <wp:wrapNone/>
                <wp:docPr id="144" name="文本框 145"/>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工期顺延持续发生的要求</w:t>
                            </w:r>
                          </w:p>
                        </w:txbxContent>
                      </wps:txbx>
                      <wps:bodyPr upright="1"/>
                    </wps:wsp>
                  </a:graphicData>
                </a:graphic>
              </wp:anchor>
            </w:drawing>
          </mc:Choice>
          <mc:Fallback>
            <w:pict>
              <v:shape id="文本框 145" o:spid="_x0000_s1026" o:spt="202" type="#_x0000_t202" style="position:absolute;left:0pt;margin-left:-9pt;margin-top:3.7pt;height:31.2pt;width:72pt;z-index:251805696;mso-width-relative:page;mso-height-relative:page;" filled="f" stroked="f" coordsize="21600,21600" o:gfxdata="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P3JBq1QAA&#10;AAgBAAAPAAAAAAAAAAEAIAAAACIAAABkcnMvZG93bnJldi54bWxQSwECFAAUAAAACACHTuJAl3l+&#10;vq8BAABRAwAADgAAAAAAAAABACAAAAAkAQAAZHJzL2Uyb0RvYy54bWxQSwUGAAAAAAYABgBZAQAA&#10;R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工期顺延持续发生的要求</w:t>
                      </w:r>
                    </w:p>
                  </w:txbxContent>
                </v:textbox>
              </v:shape>
            </w:pict>
          </mc:Fallback>
        </mc:AlternateContent>
      </w:r>
      <w:r>
        <w:rPr>
          <w:rFonts w:hint="eastAsia" w:ascii="仿宋" w:hAnsi="仿宋" w:eastAsia="仿宋" w:cs="仿宋"/>
          <w:color w:val="auto"/>
          <w:sz w:val="24"/>
          <w:szCs w:val="24"/>
          <w:highlight w:val="none"/>
        </w:rPr>
        <w:t>如果工期顺延事件持续发生时，承包人应每隔</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天向监理工程师发出工期顺延意向书，并在工期顺延事件终结后的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天内，向监理工程师提交最终工期顺延报告和详细资料。</w:t>
      </w:r>
    </w:p>
    <w:p>
      <w:pPr>
        <w:pStyle w:val="2"/>
        <w:shd w:val="clear" w:color="000000" w:fill="auto"/>
        <w:adjustRightInd w:val="0"/>
        <w:snapToGrid w:val="0"/>
        <w:spacing w:line="360" w:lineRule="auto"/>
        <w:ind w:right="-2"/>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36.6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仿宋"/>
          <w:color w:val="auto"/>
          <w:sz w:val="24"/>
          <w:szCs w:val="24"/>
          <w:highlight w:val="none"/>
        </w:rPr>
      </w:pPr>
      <w:r>
        <w:rPr>
          <w:color w:val="auto"/>
          <w:highlight w:val="none"/>
        </w:rPr>
        <mc:AlternateContent>
          <mc:Choice Requires="wps">
            <w:drawing>
              <wp:anchor distT="0" distB="0" distL="114300" distR="114300" simplePos="0" relativeHeight="251806720" behindDoc="0" locked="0" layoutInCell="1" allowOverlap="1">
                <wp:simplePos x="0" y="0"/>
                <wp:positionH relativeFrom="column">
                  <wp:posOffset>-114300</wp:posOffset>
                </wp:positionH>
                <wp:positionV relativeFrom="paragraph">
                  <wp:posOffset>45720</wp:posOffset>
                </wp:positionV>
                <wp:extent cx="914400" cy="483870"/>
                <wp:effectExtent l="0" t="0" r="0" b="0"/>
                <wp:wrapNone/>
                <wp:docPr id="145" name="文本框 146"/>
                <wp:cNvGraphicFramePr/>
                <a:graphic xmlns:a="http://schemas.openxmlformats.org/drawingml/2006/main">
                  <a:graphicData uri="http://schemas.microsoft.com/office/word/2010/wordprocessingShape">
                    <wps:wsp>
                      <wps:cNvSpPr txBox="1"/>
                      <wps:spPr>
                        <a:xfrm>
                          <a:off x="0" y="0"/>
                          <a:ext cx="914400" cy="48387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拒绝延期</w:t>
                            </w:r>
                          </w:p>
                        </w:txbxContent>
                      </wps:txbx>
                      <wps:bodyPr upright="1"/>
                    </wps:wsp>
                  </a:graphicData>
                </a:graphic>
              </wp:anchor>
            </w:drawing>
          </mc:Choice>
          <mc:Fallback>
            <w:pict>
              <v:shape id="文本框 146" o:spid="_x0000_s1026" o:spt="202" type="#_x0000_t202" style="position:absolute;left:0pt;margin-left:-9pt;margin-top:3.6pt;height:38.1pt;width:72pt;z-index:251806720;mso-width-relative:page;mso-height-relative:page;" filled="f" stroked="f" coordsize="21600,21600" o:gfxdata="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2pdDx9YA&#10;AAAIAQAADwAAAAAAAAABACAAAAAiAAAAZHJzL2Rvd25yZXYueG1sUEsBAhQAFAAAAAgAh07iQLCg&#10;X2mvAQAAUQMAAA4AAAAAAAAAAQAgAAAAJQEAAGRycy9lMm9Eb2MueG1sUEsFBgAAAAAGAAYAWQEA&#10;AEY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拒绝延期</w:t>
                      </w:r>
                    </w:p>
                  </w:txbxContent>
                </v:textbox>
              </v:shape>
            </w:pict>
          </mc:Fallback>
        </mc:AlternateContent>
      </w:r>
      <w:r>
        <w:rPr>
          <w:rFonts w:hint="eastAsia" w:ascii="仿宋" w:hAnsi="仿宋" w:eastAsia="仿宋" w:cs="仿宋"/>
          <w:color w:val="auto"/>
          <w:sz w:val="24"/>
          <w:szCs w:val="24"/>
          <w:highlight w:val="none"/>
        </w:rPr>
        <w:t>如果承包人未能在第</w:t>
      </w:r>
      <w:r>
        <w:rPr>
          <w:rFonts w:ascii="仿宋" w:hAnsi="仿宋" w:eastAsia="仿宋" w:cs="仿宋"/>
          <w:color w:val="auto"/>
          <w:sz w:val="24"/>
          <w:szCs w:val="24"/>
          <w:highlight w:val="none"/>
        </w:rPr>
        <w:t>36.4</w:t>
      </w:r>
      <w:r>
        <w:rPr>
          <w:rFonts w:hint="eastAsia" w:ascii="仿宋" w:hAnsi="仿宋" w:eastAsia="仿宋" w:cs="仿宋"/>
          <w:color w:val="auto"/>
          <w:sz w:val="24"/>
          <w:szCs w:val="24"/>
          <w:highlight w:val="none"/>
        </w:rPr>
        <w:t>款和第</w:t>
      </w:r>
      <w:r>
        <w:rPr>
          <w:rFonts w:ascii="仿宋" w:hAnsi="仿宋" w:eastAsia="仿宋" w:cs="仿宋"/>
          <w:color w:val="auto"/>
          <w:sz w:val="24"/>
          <w:szCs w:val="24"/>
          <w:highlight w:val="none"/>
        </w:rPr>
        <w:t>36.5</w:t>
      </w:r>
      <w:r>
        <w:rPr>
          <w:rFonts w:hint="eastAsia" w:ascii="仿宋" w:hAnsi="仿宋" w:eastAsia="仿宋" w:cs="仿宋"/>
          <w:color w:val="auto"/>
          <w:sz w:val="24"/>
          <w:szCs w:val="24"/>
          <w:highlight w:val="none"/>
        </w:rPr>
        <w:t>款（发生时）规定的时间内提交（最终）工期顺延报告和详细资料，则视为该事件不影响施工进度或承包人放弃顺延工期的权利。</w:t>
      </w:r>
      <w:r>
        <w:rPr>
          <w:rFonts w:ascii="仿宋" w:hAnsi="仿宋" w:eastAsia="仿宋" w:cs="仿宋"/>
          <w:color w:val="auto"/>
          <w:sz w:val="24"/>
          <w:szCs w:val="24"/>
          <w:highlight w:val="none"/>
        </w:rPr>
        <w:t xml:space="preserve"> </w:t>
      </w:r>
    </w:p>
    <w:p>
      <w:pPr>
        <w:pStyle w:val="2"/>
        <w:shd w:val="clear" w:color="000000" w:fill="auto"/>
        <w:adjustRightInd w:val="0"/>
        <w:snapToGrid w:val="0"/>
        <w:spacing w:line="360" w:lineRule="auto"/>
        <w:ind w:right="-2"/>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36.7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07744" behindDoc="0" locked="0" layoutInCell="1" allowOverlap="1">
                <wp:simplePos x="0" y="0"/>
                <wp:positionH relativeFrom="column">
                  <wp:posOffset>-114300</wp:posOffset>
                </wp:positionH>
                <wp:positionV relativeFrom="paragraph">
                  <wp:posOffset>45720</wp:posOffset>
                </wp:positionV>
                <wp:extent cx="914400" cy="483870"/>
                <wp:effectExtent l="0" t="0" r="0" b="0"/>
                <wp:wrapNone/>
                <wp:docPr id="146" name="文本框 147"/>
                <wp:cNvGraphicFramePr/>
                <a:graphic xmlns:a="http://schemas.openxmlformats.org/drawingml/2006/main">
                  <a:graphicData uri="http://schemas.microsoft.com/office/word/2010/wordprocessingShape">
                    <wps:wsp>
                      <wps:cNvSpPr txBox="1"/>
                      <wps:spPr>
                        <a:xfrm>
                          <a:off x="0" y="0"/>
                          <a:ext cx="914400" cy="483870"/>
                        </a:xfrm>
                        <a:prstGeom prst="rect">
                          <a:avLst/>
                        </a:prstGeom>
                        <a:noFill/>
                        <a:ln>
                          <a:noFill/>
                        </a:ln>
                      </wps:spPr>
                      <wps:txb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工期顺延的核实与确定</w:t>
                            </w:r>
                          </w:p>
                        </w:txbxContent>
                      </wps:txbx>
                      <wps:bodyPr upright="1"/>
                    </wps:wsp>
                  </a:graphicData>
                </a:graphic>
              </wp:anchor>
            </w:drawing>
          </mc:Choice>
          <mc:Fallback>
            <w:pict>
              <v:shape id="文本框 147" o:spid="_x0000_s1026" o:spt="202" type="#_x0000_t202" style="position:absolute;left:0pt;margin-left:-9pt;margin-top:3.6pt;height:38.1pt;width:72pt;z-index:251807744;mso-width-relative:page;mso-height-relative:page;" filled="f" stroked="f" coordsize="21600,21600" o:gfxdata="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2pdDx9YA&#10;AAAIAQAADwAAAAAAAAABACAAAAAiAAAAZHJzL2Rvd25yZXYueG1sUEsBAhQAFAAAAAgAh07iQIga&#10;/vSvAQAAUQMAAA4AAAAAAAAAAQAgAAAAJQEAAGRycy9lMm9Eb2MueG1sUEsFBgAAAAAGAAYAWQEA&#10;AEYFAAAAAA==&#10;">
                <v:fill on="f" focussize="0,0"/>
                <v:stroke on="f"/>
                <v:imagedata o:title=""/>
                <o:lock v:ext="edit" aspectratio="f"/>
                <v:textbo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工期顺延的核实与确定</w:t>
                      </w:r>
                    </w:p>
                  </w:txbxContent>
                </v:textbox>
              </v:shape>
            </w:pict>
          </mc:Fallback>
        </mc:AlternateContent>
      </w:r>
      <w:r>
        <w:rPr>
          <w:rFonts w:hint="eastAsia" w:ascii="仿宋" w:hAnsi="仿宋" w:eastAsia="仿宋" w:cs="仿宋"/>
          <w:color w:val="auto"/>
          <w:sz w:val="24"/>
          <w:szCs w:val="24"/>
          <w:highlight w:val="none"/>
        </w:rPr>
        <w:t>监理工程师应在收到承包人按照第</w:t>
      </w:r>
      <w:r>
        <w:rPr>
          <w:rFonts w:ascii="仿宋" w:hAnsi="仿宋" w:eastAsia="仿宋" w:cs="仿宋"/>
          <w:color w:val="auto"/>
          <w:sz w:val="24"/>
          <w:szCs w:val="24"/>
          <w:highlight w:val="none"/>
        </w:rPr>
        <w:t>36.4</w:t>
      </w:r>
      <w:r>
        <w:rPr>
          <w:rFonts w:hint="eastAsia" w:ascii="仿宋" w:hAnsi="仿宋" w:eastAsia="仿宋" w:cs="仿宋"/>
          <w:color w:val="auto"/>
          <w:sz w:val="24"/>
          <w:szCs w:val="24"/>
          <w:highlight w:val="none"/>
        </w:rPr>
        <w:t>款和第</w:t>
      </w:r>
      <w:r>
        <w:rPr>
          <w:rFonts w:ascii="仿宋" w:hAnsi="仿宋" w:eastAsia="仿宋" w:cs="仿宋"/>
          <w:color w:val="auto"/>
          <w:sz w:val="24"/>
          <w:szCs w:val="24"/>
          <w:highlight w:val="none"/>
        </w:rPr>
        <w:t>36.5</w:t>
      </w:r>
      <w:r>
        <w:rPr>
          <w:rFonts w:hint="eastAsia" w:ascii="仿宋" w:hAnsi="仿宋" w:eastAsia="仿宋" w:cs="仿宋"/>
          <w:color w:val="auto"/>
          <w:sz w:val="24"/>
          <w:szCs w:val="24"/>
          <w:highlight w:val="none"/>
        </w:rPr>
        <w:t>款（发生时）规定提交（最终）工期顺延报告和详细资料后的</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天内，按照第</w:t>
      </w:r>
      <w:r>
        <w:rPr>
          <w:rFonts w:ascii="仿宋" w:hAnsi="仿宋" w:eastAsia="仿宋" w:cs="仿宋"/>
          <w:color w:val="auto"/>
          <w:sz w:val="24"/>
          <w:szCs w:val="24"/>
          <w:highlight w:val="none"/>
        </w:rPr>
        <w:t>36.3</w:t>
      </w:r>
      <w:r>
        <w:rPr>
          <w:rFonts w:hint="eastAsia" w:ascii="仿宋" w:hAnsi="仿宋" w:eastAsia="仿宋" w:cs="仿宋"/>
          <w:color w:val="auto"/>
          <w:sz w:val="24"/>
          <w:szCs w:val="24"/>
          <w:highlight w:val="none"/>
        </w:rPr>
        <w:t>款规定予以核实，或要求承包人进一步补充顺延工期的理由。合同双方当事人一旦协商确定顺延的工期，发包人应承担由此增加的费用，并向承包人支付合理利润。</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如果监理工程师在收到上述报告和资料后的</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天内未予核实也未对承包人作出进一步要求，则视为监理工程师已认可承包人上述报告中提出的顺延工期天数。</w:t>
      </w:r>
    </w:p>
    <w:p>
      <w:pPr>
        <w:pStyle w:val="2"/>
        <w:shd w:val="clear" w:color="000000" w:fill="auto"/>
        <w:adjustRightInd w:val="0"/>
        <w:snapToGrid w:val="0"/>
        <w:spacing w:line="360" w:lineRule="auto"/>
        <w:ind w:left="1626" w:leftChars="1" w:hanging="1624" w:hangingChars="674"/>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36.8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08768" behindDoc="0" locked="0" layoutInCell="1" allowOverlap="1">
                <wp:simplePos x="0" y="0"/>
                <wp:positionH relativeFrom="column">
                  <wp:posOffset>-114300</wp:posOffset>
                </wp:positionH>
                <wp:positionV relativeFrom="paragraph">
                  <wp:posOffset>45720</wp:posOffset>
                </wp:positionV>
                <wp:extent cx="914400" cy="593725"/>
                <wp:effectExtent l="0" t="0" r="0" b="0"/>
                <wp:wrapNone/>
                <wp:docPr id="147" name="文本框 148"/>
                <wp:cNvGraphicFramePr/>
                <a:graphic xmlns:a="http://schemas.openxmlformats.org/drawingml/2006/main">
                  <a:graphicData uri="http://schemas.microsoft.com/office/word/2010/wordprocessingShape">
                    <wps:wsp>
                      <wps:cNvSpPr txBox="1"/>
                      <wps:spPr>
                        <a:xfrm>
                          <a:off x="0" y="0"/>
                          <a:ext cx="914400" cy="59372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承包人误期的赔偿、责任承担</w:t>
                            </w:r>
                          </w:p>
                        </w:txbxContent>
                      </wps:txbx>
                      <wps:bodyPr upright="1"/>
                    </wps:wsp>
                  </a:graphicData>
                </a:graphic>
              </wp:anchor>
            </w:drawing>
          </mc:Choice>
          <mc:Fallback>
            <w:pict>
              <v:shape id="文本框 148" o:spid="_x0000_s1026" o:spt="202" type="#_x0000_t202" style="position:absolute;left:0pt;margin-left:-9pt;margin-top:3.6pt;height:46.75pt;width:72pt;z-index:251808768;mso-width-relative:page;mso-height-relative:page;" filled="f" stroked="f" coordsize="21600,21600" o:gfxdata="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O4qOK/W&#10;AAAACQEAAA8AAAAAAAAAAQAgAAAAIgAAAGRycy9kb3ducmV2LnhtbFBLAQIUABQAAAAIAIdO4kDS&#10;wHJ4sAEAAFEDAAAOAAAAAAAAAAEAIAAAACUBAABkcnMvZTJvRG9jLnhtbFBLBQYAAAAABgAGAFkB&#10;AABH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承包人误期的赔偿、责任承担</w:t>
                      </w:r>
                    </w:p>
                  </w:txbxContent>
                </v:textbox>
              </v:shape>
            </w:pict>
          </mc:Fallback>
        </mc:AlternateContent>
      </w:r>
      <w:r>
        <w:rPr>
          <w:rFonts w:hint="eastAsia" w:ascii="仿宋" w:hAnsi="仿宋" w:eastAsia="仿宋" w:cs="仿宋"/>
          <w:color w:val="auto"/>
          <w:sz w:val="24"/>
          <w:szCs w:val="24"/>
          <w:highlight w:val="none"/>
        </w:rPr>
        <w:t>承包人未能按照合同进度计划完成工作，或因承包人的原因造成工期延误，发包人可按照本条规定的时限和第</w:t>
      </w:r>
      <w:r>
        <w:rPr>
          <w:rFonts w:ascii="仿宋" w:hAnsi="仿宋" w:eastAsia="仿宋" w:cs="仿宋"/>
          <w:color w:val="auto"/>
          <w:sz w:val="24"/>
          <w:szCs w:val="24"/>
          <w:highlight w:val="none"/>
        </w:rPr>
        <w:t>66.2</w:t>
      </w:r>
      <w:r>
        <w:rPr>
          <w:rFonts w:hint="eastAsia" w:ascii="仿宋" w:hAnsi="仿宋" w:eastAsia="仿宋" w:cs="仿宋"/>
          <w:color w:val="auto"/>
          <w:sz w:val="24"/>
          <w:szCs w:val="24"/>
          <w:highlight w:val="none"/>
        </w:rPr>
        <w:t>款规定要求承包人支付该支付期的误期赔偿费。</w:t>
      </w:r>
    </w:p>
    <w:p>
      <w:pPr>
        <w:shd w:val="clear" w:color="000000" w:fill="auto"/>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36.9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75008" behindDoc="0" locked="0" layoutInCell="1" allowOverlap="1">
                <wp:simplePos x="0" y="0"/>
                <wp:positionH relativeFrom="column">
                  <wp:posOffset>-64770</wp:posOffset>
                </wp:positionH>
                <wp:positionV relativeFrom="paragraph">
                  <wp:posOffset>65405</wp:posOffset>
                </wp:positionV>
                <wp:extent cx="923290" cy="454025"/>
                <wp:effectExtent l="0" t="0" r="0" b="0"/>
                <wp:wrapNone/>
                <wp:docPr id="407" name="文本框 149"/>
                <wp:cNvGraphicFramePr/>
                <a:graphic xmlns:a="http://schemas.openxmlformats.org/drawingml/2006/main">
                  <a:graphicData uri="http://schemas.microsoft.com/office/word/2010/wordprocessingShape">
                    <wps:wsp>
                      <wps:cNvSpPr txBox="1"/>
                      <wps:spPr>
                        <a:xfrm>
                          <a:off x="0" y="0"/>
                          <a:ext cx="923290" cy="454025"/>
                        </a:xfrm>
                        <a:prstGeom prst="rect">
                          <a:avLst/>
                        </a:prstGeom>
                        <a:noFill/>
                        <a:ln>
                          <a:noFill/>
                        </a:ln>
                      </wps:spPr>
                      <wps:txbx>
                        <w:txbxContent>
                          <w:p>
                            <w:pPr>
                              <w:spacing w:line="240" w:lineRule="exact"/>
                              <w:rPr>
                                <w:rFonts w:ascii="楷体_GB2312" w:hAnsi="宋体" w:eastAsia="楷体_GB2312" w:cs="楷体_GB2312"/>
                                <w:b/>
                                <w:bCs/>
                                <w:sz w:val="18"/>
                                <w:szCs w:val="18"/>
                              </w:rPr>
                            </w:pPr>
                            <w:r>
                              <w:rPr>
                                <w:rFonts w:hint="eastAsia" w:ascii="楷体_GB2312" w:hAnsi="宋体" w:eastAsia="楷体_GB2312" w:cs="楷体_GB2312"/>
                                <w:b/>
                                <w:bCs/>
                                <w:sz w:val="18"/>
                                <w:szCs w:val="18"/>
                              </w:rPr>
                              <w:t>赶工措施费</w:t>
                            </w:r>
                            <w:r>
                              <w:rPr>
                                <w:rFonts w:ascii="楷体_GB2312" w:hAnsi="宋体" w:eastAsia="楷体_GB2312" w:cs="楷体_GB2312"/>
                                <w:b/>
                                <w:bCs/>
                                <w:sz w:val="18"/>
                                <w:szCs w:val="18"/>
                              </w:rPr>
                              <w:t xml:space="preserve">           </w:t>
                            </w:r>
                          </w:p>
                        </w:txbxContent>
                      </wps:txbx>
                      <wps:bodyPr upright="1"/>
                    </wps:wsp>
                  </a:graphicData>
                </a:graphic>
              </wp:anchor>
            </w:drawing>
          </mc:Choice>
          <mc:Fallback>
            <w:pict>
              <v:shape id="文本框 149" o:spid="_x0000_s1026" o:spt="202" type="#_x0000_t202" style="position:absolute;left:0pt;margin-left:-5.1pt;margin-top:5.15pt;height:35.75pt;width:72.7pt;z-index:252075008;mso-width-relative:page;mso-height-relative:page;" filled="f" stroked="f" coordsize="21600,21600" o:gfxdata="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Gtiuj1QAA&#10;AAkBAAAPAAAAAAAAAAEAIAAAACIAAABkcnMvZG93bnJldi54bWxQSwECFAAUAAAACACHTuJAjfcQ&#10;kK8BAABRAwAADgAAAAAAAAABACAAAAAkAQAAZHJzL2Uyb0RvYy54bWxQSwUGAAAAAAYABgBZAQAA&#10;RQUAAAAA&#10;">
                <v:fill on="f" focussize="0,0"/>
                <v:stroke on="f"/>
                <v:imagedata o:title=""/>
                <o:lock v:ext="edit" aspectratio="f"/>
                <v:textbox>
                  <w:txbxContent>
                    <w:p>
                      <w:pPr>
                        <w:spacing w:line="240" w:lineRule="exact"/>
                        <w:rPr>
                          <w:rFonts w:ascii="楷体_GB2312" w:hAnsi="宋体" w:eastAsia="楷体_GB2312" w:cs="楷体_GB2312"/>
                          <w:b/>
                          <w:bCs/>
                          <w:sz w:val="18"/>
                          <w:szCs w:val="18"/>
                        </w:rPr>
                      </w:pPr>
                      <w:r>
                        <w:rPr>
                          <w:rFonts w:hint="eastAsia" w:ascii="楷体_GB2312" w:hAnsi="宋体" w:eastAsia="楷体_GB2312" w:cs="楷体_GB2312"/>
                          <w:b/>
                          <w:bCs/>
                          <w:sz w:val="18"/>
                          <w:szCs w:val="18"/>
                        </w:rPr>
                        <w:t>赶工措施费</w:t>
                      </w:r>
                      <w:r>
                        <w:rPr>
                          <w:rFonts w:ascii="楷体_GB2312" w:hAnsi="宋体" w:eastAsia="楷体_GB2312" w:cs="楷体_GB2312"/>
                          <w:b/>
                          <w:bCs/>
                          <w:sz w:val="18"/>
                          <w:szCs w:val="18"/>
                        </w:rPr>
                        <w:t xml:space="preserve">           </w:t>
                      </w:r>
                    </w:p>
                  </w:txbxContent>
                </v:textbox>
              </v:shape>
            </w:pict>
          </mc:Fallback>
        </mc:AlternateContent>
      </w:r>
      <w:r>
        <w:rPr>
          <w:rFonts w:hint="eastAsia" w:ascii="仿宋" w:hAnsi="仿宋" w:eastAsia="仿宋" w:cs="仿宋"/>
          <w:color w:val="auto"/>
          <w:sz w:val="24"/>
          <w:szCs w:val="24"/>
          <w:highlight w:val="none"/>
        </w:rPr>
        <w:t>发包人要求的合同工程工期小于定额工期时，按合同工程基准日期实施的赶工措施费规定执行：广东省建设工程计价依据的赶工措施费、广州市住房和城乡建设局或广州市造价管理部门发布的赶工措施费。同时在专用条款中约定具体计算方法。</w:t>
      </w:r>
    </w:p>
    <w:p>
      <w:pPr>
        <w:pStyle w:val="2"/>
        <w:shd w:val="clear" w:color="000000" w:fill="auto"/>
        <w:tabs>
          <w:tab w:val="left" w:pos="540"/>
        </w:tabs>
        <w:adjustRightInd w:val="0"/>
        <w:snapToGrid w:val="0"/>
        <w:spacing w:before="240" w:beforeLines="100" w:line="240" w:lineRule="exact"/>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
        <w:shd w:val="clear" w:color="000000" w:fill="auto"/>
        <w:tabs>
          <w:tab w:val="left" w:pos="540"/>
        </w:tabs>
        <w:adjustRightInd w:val="0"/>
        <w:snapToGrid w:val="0"/>
        <w:spacing w:before="240" w:beforeLines="100" w:line="360" w:lineRule="auto"/>
        <w:outlineLvl w:val="2"/>
        <w:rPr>
          <w:rFonts w:ascii="仿宋" w:hAnsi="仿宋" w:eastAsia="仿宋" w:cs="Times New Roman"/>
          <w:b/>
          <w:bCs/>
          <w:color w:val="auto"/>
          <w:sz w:val="24"/>
          <w:szCs w:val="24"/>
          <w:highlight w:val="none"/>
        </w:rPr>
      </w:pPr>
      <w:bookmarkStart w:id="232" w:name="_Toc10624859"/>
      <w:bookmarkStart w:id="233" w:name="_Toc4226"/>
      <w:bookmarkStart w:id="234" w:name="_Toc469384019"/>
      <w:r>
        <w:rPr>
          <w:rFonts w:ascii="仿宋" w:hAnsi="仿宋" w:eastAsia="仿宋" w:cs="仿宋"/>
          <w:b/>
          <w:bCs/>
          <w:color w:val="auto"/>
          <w:sz w:val="24"/>
          <w:szCs w:val="24"/>
          <w:highlight w:val="none"/>
        </w:rPr>
        <w:t xml:space="preserve">37  </w:t>
      </w:r>
      <w:r>
        <w:rPr>
          <w:rFonts w:hint="eastAsia" w:ascii="仿宋" w:hAnsi="仿宋" w:eastAsia="仿宋" w:cs="仿宋"/>
          <w:b/>
          <w:bCs/>
          <w:color w:val="auto"/>
          <w:sz w:val="24"/>
          <w:szCs w:val="24"/>
          <w:highlight w:val="none"/>
        </w:rPr>
        <w:t>加快进度</w:t>
      </w:r>
      <w:bookmarkEnd w:id="232"/>
      <w:bookmarkEnd w:id="233"/>
      <w:bookmarkEnd w:id="234"/>
    </w:p>
    <w:p>
      <w:pPr>
        <w:pStyle w:val="2"/>
        <w:shd w:val="clear" w:color="000000" w:fill="auto"/>
        <w:tabs>
          <w:tab w:val="left" w:pos="1320"/>
        </w:tabs>
        <w:adjustRightInd w:val="0"/>
        <w:snapToGrid w:val="0"/>
        <w:spacing w:line="360" w:lineRule="auto"/>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809792" behindDoc="0" locked="0" layoutInCell="1" allowOverlap="1">
                <wp:simplePos x="0" y="0"/>
                <wp:positionH relativeFrom="column">
                  <wp:posOffset>-114300</wp:posOffset>
                </wp:positionH>
                <wp:positionV relativeFrom="paragraph">
                  <wp:posOffset>160655</wp:posOffset>
                </wp:positionV>
                <wp:extent cx="914400" cy="540385"/>
                <wp:effectExtent l="0" t="0" r="0" b="0"/>
                <wp:wrapNone/>
                <wp:docPr id="148" name="文本框 150"/>
                <wp:cNvGraphicFramePr/>
                <a:graphic xmlns:a="http://schemas.openxmlformats.org/drawingml/2006/main">
                  <a:graphicData uri="http://schemas.microsoft.com/office/word/2010/wordprocessingShape">
                    <wps:wsp>
                      <wps:cNvSpPr txBox="1"/>
                      <wps:spPr>
                        <a:xfrm>
                          <a:off x="0" y="0"/>
                          <a:ext cx="914400" cy="540385"/>
                        </a:xfrm>
                        <a:prstGeom prst="rect">
                          <a:avLst/>
                        </a:prstGeom>
                        <a:noFill/>
                        <a:ln>
                          <a:noFill/>
                        </a:ln>
                      </wps:spPr>
                      <wps:txbx>
                        <w:txbxContent>
                          <w:p>
                            <w:pPr>
                              <w:rPr>
                                <w:rFonts w:ascii="宋体" w:cs="Times New Roman"/>
                                <w:sz w:val="18"/>
                                <w:szCs w:val="18"/>
                              </w:rPr>
                            </w:pPr>
                            <w:r>
                              <w:rPr>
                                <w:rFonts w:hint="eastAsia" w:ascii="楷体_GB2312" w:hAnsi="宋体" w:eastAsia="楷体_GB2312" w:cs="楷体_GB2312"/>
                                <w:b/>
                                <w:bCs/>
                                <w:color w:val="000000"/>
                                <w:sz w:val="18"/>
                                <w:szCs w:val="18"/>
                              </w:rPr>
                              <w:t>承包人原因加快进度的要求</w:t>
                            </w:r>
                          </w:p>
                        </w:txbxContent>
                      </wps:txbx>
                      <wps:bodyPr upright="1"/>
                    </wps:wsp>
                  </a:graphicData>
                </a:graphic>
              </wp:anchor>
            </w:drawing>
          </mc:Choice>
          <mc:Fallback>
            <w:pict>
              <v:shape id="文本框 150" o:spid="_x0000_s1026" o:spt="202" type="#_x0000_t202" style="position:absolute;left:0pt;margin-left:-9pt;margin-top:12.65pt;height:42.55pt;width:72pt;z-index:251809792;mso-width-relative:page;mso-height-relative:page;" filled="f" stroked="f" coordsize="21600,21600" o:gfxdata="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eDRRg1wAA&#10;AAoBAAAPAAAAAAAAAAEAIAAAACIAAABkcnMvZG93bnJldi54bWxQSwECFAAUAAAACACHTuJAYGue&#10;u60BAABRAwAADgAAAAAAAAABACAAAAAmAQAAZHJzL2Uyb0RvYy54bWxQSwUGAAAAAAYABgBZAQAA&#10;RQUAAAAA&#10;">
                <v:fill on="f" focussize="0,0"/>
                <v:stroke on="f"/>
                <v:imagedata o:title=""/>
                <o:lock v:ext="edit" aspectratio="f"/>
                <v:textbox>
                  <w:txbxContent>
                    <w:p>
                      <w:pPr>
                        <w:rPr>
                          <w:rFonts w:ascii="宋体" w:cs="Times New Roman"/>
                          <w:sz w:val="18"/>
                          <w:szCs w:val="18"/>
                        </w:rPr>
                      </w:pPr>
                      <w:r>
                        <w:rPr>
                          <w:rFonts w:hint="eastAsia" w:ascii="楷体_GB2312" w:hAnsi="宋体" w:eastAsia="楷体_GB2312" w:cs="楷体_GB2312"/>
                          <w:b/>
                          <w:bCs/>
                          <w:color w:val="000000"/>
                          <w:sz w:val="18"/>
                          <w:szCs w:val="18"/>
                        </w:rPr>
                        <w:t>承包人原因加快进度的要求</w:t>
                      </w:r>
                    </w:p>
                  </w:txbxContent>
                </v:textbox>
              </v:shape>
            </w:pict>
          </mc:Fallback>
        </mc:AlternateContent>
      </w:r>
      <w:r>
        <w:rPr>
          <w:rFonts w:ascii="仿宋" w:hAnsi="仿宋" w:eastAsia="仿宋" w:cs="仿宋"/>
          <w:b/>
          <w:bCs/>
          <w:color w:val="auto"/>
          <w:sz w:val="24"/>
          <w:szCs w:val="24"/>
          <w:highlight w:val="none"/>
        </w:rPr>
        <w:t xml:space="preserve">37.1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在非发包人延误工期的情况下，如果监理工程师书面指出承包人实施合同工程或其任何部分的进度过慢，迟于进度计划或不能按期竣工，则承包人应按照第</w:t>
      </w:r>
      <w:r>
        <w:rPr>
          <w:rFonts w:ascii="仿宋" w:hAnsi="仿宋" w:eastAsia="仿宋" w:cs="仿宋"/>
          <w:color w:val="auto"/>
          <w:sz w:val="24"/>
          <w:szCs w:val="24"/>
          <w:highlight w:val="none"/>
        </w:rPr>
        <w:t>33.4</w:t>
      </w:r>
      <w:r>
        <w:rPr>
          <w:rFonts w:hint="eastAsia" w:ascii="仿宋" w:hAnsi="仿宋" w:eastAsia="仿宋" w:cs="仿宋"/>
          <w:color w:val="auto"/>
          <w:sz w:val="24"/>
          <w:szCs w:val="24"/>
          <w:highlight w:val="none"/>
        </w:rPr>
        <w:t>款规定采取改进措施，加快工程进度。</w:t>
      </w:r>
      <w:r>
        <w:rPr>
          <w:rFonts w:ascii="仿宋" w:hAnsi="仿宋" w:eastAsia="仿宋" w:cs="Times New Roman"/>
          <w:color w:val="auto"/>
          <w:sz w:val="24"/>
          <w:szCs w:val="24"/>
          <w:highlight w:val="none"/>
        </w:rPr>
        <w:br w:type="textWrapping"/>
      </w:r>
      <w:r>
        <w:rPr>
          <w:rFonts w:hint="eastAsia" w:ascii="仿宋" w:hAnsi="仿宋" w:eastAsia="仿宋" w:cs="仿宋"/>
          <w:color w:val="auto"/>
          <w:sz w:val="24"/>
          <w:szCs w:val="24"/>
          <w:highlight w:val="none"/>
        </w:rPr>
        <w:t>如果承包人在接到监理工程师通知后的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天内，未能采取加快工程进度的措施，致使实际进度进一步延迟；或承包人虽然采取了改进措施，仍无法按期竣工，监理工程师应立即报告发包人，并抄送承包人。发包人可按照第</w:t>
      </w:r>
      <w:r>
        <w:rPr>
          <w:rFonts w:ascii="仿宋" w:hAnsi="仿宋" w:eastAsia="仿宋" w:cs="仿宋"/>
          <w:color w:val="auto"/>
          <w:sz w:val="24"/>
          <w:szCs w:val="24"/>
          <w:highlight w:val="none"/>
        </w:rPr>
        <w:t>87.3</w:t>
      </w:r>
      <w:r>
        <w:rPr>
          <w:rFonts w:hint="eastAsia" w:ascii="仿宋" w:hAnsi="仿宋" w:eastAsia="仿宋" w:cs="仿宋"/>
          <w:color w:val="auto"/>
          <w:sz w:val="24"/>
          <w:szCs w:val="24"/>
          <w:highlight w:val="none"/>
        </w:rPr>
        <w:t>款规定解除合同，也可将合同工程中的一部分工作交由第三方完成，由此增加的一切费用由承包人承担。即使承包人承担增加的费用，也不能免除其按照合同约定应承担的任何责任和应履行的任何义务。</w:t>
      </w:r>
      <w:r>
        <w:rPr>
          <w:rFonts w:ascii="仿宋" w:hAnsi="仿宋" w:eastAsia="仿宋" w:cs="仿宋"/>
          <w:color w:val="auto"/>
          <w:sz w:val="24"/>
          <w:szCs w:val="24"/>
          <w:highlight w:val="none"/>
        </w:rPr>
        <w:t xml:space="preserve"> </w:t>
      </w:r>
    </w:p>
    <w:p>
      <w:pPr>
        <w:pStyle w:val="2"/>
        <w:shd w:val="clear" w:color="000000" w:fill="auto"/>
        <w:tabs>
          <w:tab w:val="left" w:pos="1320"/>
        </w:tabs>
        <w:adjustRightInd w:val="0"/>
        <w:snapToGrid w:val="0"/>
        <w:spacing w:line="360" w:lineRule="auto"/>
        <w:rPr>
          <w:rFonts w:ascii="仿宋" w:hAnsi="仿宋" w:eastAsia="仿宋" w:cs="仿宋"/>
          <w:b/>
          <w:bCs/>
          <w:color w:val="auto"/>
          <w:sz w:val="24"/>
          <w:szCs w:val="24"/>
          <w:highlight w:val="none"/>
          <w:u w:val="dotted"/>
        </w:rPr>
      </w:pPr>
      <w:r>
        <w:rPr>
          <w:color w:val="auto"/>
          <w:highlight w:val="none"/>
        </w:rPr>
        <mc:AlternateContent>
          <mc:Choice Requires="wps">
            <w:drawing>
              <wp:anchor distT="0" distB="0" distL="114300" distR="114300" simplePos="0" relativeHeight="251810816" behindDoc="0" locked="0" layoutInCell="1" allowOverlap="1">
                <wp:simplePos x="0" y="0"/>
                <wp:positionH relativeFrom="column">
                  <wp:posOffset>-114300</wp:posOffset>
                </wp:positionH>
                <wp:positionV relativeFrom="paragraph">
                  <wp:posOffset>278130</wp:posOffset>
                </wp:positionV>
                <wp:extent cx="914400" cy="494665"/>
                <wp:effectExtent l="0" t="0" r="0" b="0"/>
                <wp:wrapNone/>
                <wp:docPr id="149" name="文本框 151"/>
                <wp:cNvGraphicFramePr/>
                <a:graphic xmlns:a="http://schemas.openxmlformats.org/drawingml/2006/main">
                  <a:graphicData uri="http://schemas.microsoft.com/office/word/2010/wordprocessingShape">
                    <wps:wsp>
                      <wps:cNvSpPr txBox="1"/>
                      <wps:spPr>
                        <a:xfrm>
                          <a:off x="0" y="0"/>
                          <a:ext cx="914400" cy="49466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发包人原因加快进度的要求</w:t>
                            </w:r>
                          </w:p>
                        </w:txbxContent>
                      </wps:txbx>
                      <wps:bodyPr upright="1"/>
                    </wps:wsp>
                  </a:graphicData>
                </a:graphic>
              </wp:anchor>
            </w:drawing>
          </mc:Choice>
          <mc:Fallback>
            <w:pict>
              <v:shape id="文本框 151" o:spid="_x0000_s1026" o:spt="202" type="#_x0000_t202" style="position:absolute;left:0pt;margin-left:-9pt;margin-top:21.9pt;height:38.95pt;width:72pt;z-index:251810816;mso-width-relative:page;mso-height-relative:page;" filled="f" stroked="f" coordsize="21600,21600" o:gfxdata="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DWfa7zX&#10;AAAACgEAAA8AAAAAAAAAAQAgAAAAIgAAAGRycy9kb3ducmV2LnhtbFBLAQIUABQAAAAIAIdO4kA/&#10;H/vtrwEAAFEDAAAOAAAAAAAAAAEAIAAAACYBAABkcnMvZTJvRG9jLnhtbFBLBQYAAAAABgAGAFkB&#10;AABH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发包人原因加快进度的要求</w:t>
                      </w:r>
                    </w:p>
                  </w:txbxContent>
                </v:textbox>
              </v:shape>
            </w:pict>
          </mc:Fallback>
        </mc:AlternateContent>
      </w:r>
      <w:r>
        <w:rPr>
          <w:rFonts w:ascii="仿宋" w:hAnsi="仿宋" w:eastAsia="仿宋" w:cs="仿宋"/>
          <w:b/>
          <w:bCs/>
          <w:color w:val="auto"/>
          <w:sz w:val="24"/>
          <w:szCs w:val="24"/>
          <w:highlight w:val="none"/>
        </w:rPr>
        <w:t xml:space="preserve">37.2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如果发包人希望承包人提前竣工，那么发包人可要求承包人提交为加快进度而编制的提前竣工建议书。承包人应在接到发包人要求后的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天内完成编制并向发包人提交提前竣工建议书，该建议书的内容至少应包括：</w:t>
      </w:r>
    </w:p>
    <w:p>
      <w:pPr>
        <w:pStyle w:val="2"/>
        <w:numPr>
          <w:ilvl w:val="0"/>
          <w:numId w:val="15"/>
        </w:numPr>
        <w:shd w:val="clear" w:color="000000" w:fill="auto"/>
        <w:tabs>
          <w:tab w:val="left" w:pos="1980"/>
        </w:tabs>
        <w:adjustRightInd w:val="0"/>
        <w:snapToGrid w:val="0"/>
        <w:spacing w:line="360" w:lineRule="auto"/>
        <w:ind w:left="1620"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加快进度拟采取的措施；</w:t>
      </w:r>
    </w:p>
    <w:p>
      <w:pPr>
        <w:pStyle w:val="2"/>
        <w:numPr>
          <w:ilvl w:val="0"/>
          <w:numId w:val="15"/>
        </w:numPr>
        <w:shd w:val="clear" w:color="000000" w:fill="auto"/>
        <w:tabs>
          <w:tab w:val="left" w:pos="1980"/>
        </w:tabs>
        <w:adjustRightInd w:val="0"/>
        <w:snapToGrid w:val="0"/>
        <w:spacing w:line="360" w:lineRule="auto"/>
        <w:ind w:left="1620"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加快进度后的进度计划</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以及与原计划的对比；</w:t>
      </w:r>
    </w:p>
    <w:p>
      <w:pPr>
        <w:pStyle w:val="2"/>
        <w:numPr>
          <w:ilvl w:val="0"/>
          <w:numId w:val="15"/>
        </w:numPr>
        <w:shd w:val="clear" w:color="000000" w:fill="auto"/>
        <w:tabs>
          <w:tab w:val="left" w:pos="1980"/>
        </w:tabs>
        <w:adjustRightInd w:val="0"/>
        <w:snapToGrid w:val="0"/>
        <w:spacing w:line="360" w:lineRule="auto"/>
        <w:ind w:left="1620"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加快进度所需的合同价款增加额（含第</w:t>
      </w:r>
      <w:r>
        <w:rPr>
          <w:rFonts w:ascii="仿宋" w:hAnsi="仿宋" w:eastAsia="仿宋" w:cs="仿宋"/>
          <w:color w:val="auto"/>
          <w:sz w:val="24"/>
          <w:szCs w:val="24"/>
          <w:highlight w:val="none"/>
        </w:rPr>
        <w:t>66.1</w:t>
      </w:r>
      <w:r>
        <w:rPr>
          <w:rFonts w:hint="eastAsia" w:ascii="仿宋" w:hAnsi="仿宋" w:eastAsia="仿宋" w:cs="仿宋"/>
          <w:color w:val="auto"/>
          <w:sz w:val="24"/>
          <w:szCs w:val="24"/>
          <w:highlight w:val="none"/>
        </w:rPr>
        <w:t>款规定的提前竣工奖）。该增加额按照第</w:t>
      </w:r>
      <w:r>
        <w:rPr>
          <w:rFonts w:ascii="仿宋" w:hAnsi="仿宋" w:eastAsia="仿宋" w:cs="仿宋"/>
          <w:color w:val="auto"/>
          <w:sz w:val="24"/>
          <w:szCs w:val="24"/>
          <w:highlight w:val="none"/>
        </w:rPr>
        <w:t>72.2</w:t>
      </w:r>
      <w:r>
        <w:rPr>
          <w:rFonts w:hint="eastAsia" w:ascii="仿宋" w:hAnsi="仿宋" w:eastAsia="仿宋" w:cs="仿宋"/>
          <w:color w:val="auto"/>
          <w:sz w:val="24"/>
          <w:szCs w:val="24"/>
          <w:highlight w:val="none"/>
        </w:rPr>
        <w:t>款、第</w:t>
      </w:r>
      <w:r>
        <w:rPr>
          <w:rFonts w:ascii="仿宋" w:hAnsi="仿宋" w:eastAsia="仿宋" w:cs="仿宋"/>
          <w:color w:val="auto"/>
          <w:sz w:val="24"/>
          <w:szCs w:val="24"/>
          <w:highlight w:val="none"/>
        </w:rPr>
        <w:t>72.3</w:t>
      </w:r>
      <w:r>
        <w:rPr>
          <w:rFonts w:hint="eastAsia" w:ascii="仿宋" w:hAnsi="仿宋" w:eastAsia="仿宋" w:cs="仿宋"/>
          <w:color w:val="auto"/>
          <w:sz w:val="24"/>
          <w:szCs w:val="24"/>
          <w:highlight w:val="none"/>
        </w:rPr>
        <w:t>款和第</w:t>
      </w:r>
      <w:r>
        <w:rPr>
          <w:rFonts w:ascii="仿宋" w:hAnsi="仿宋" w:eastAsia="仿宋" w:cs="仿宋"/>
          <w:color w:val="auto"/>
          <w:sz w:val="24"/>
          <w:szCs w:val="24"/>
          <w:highlight w:val="none"/>
        </w:rPr>
        <w:t>72.5</w:t>
      </w:r>
      <w:r>
        <w:rPr>
          <w:rFonts w:hint="eastAsia" w:ascii="仿宋" w:hAnsi="仿宋" w:eastAsia="仿宋" w:cs="仿宋"/>
          <w:color w:val="auto"/>
          <w:sz w:val="24"/>
          <w:szCs w:val="24"/>
          <w:highlight w:val="none"/>
        </w:rPr>
        <w:t>款规定计算。</w:t>
      </w:r>
    </w:p>
    <w:p>
      <w:pPr>
        <w:pStyle w:val="2"/>
        <w:shd w:val="clear" w:color="000000" w:fill="auto"/>
        <w:adjustRightInd w:val="0"/>
        <w:snapToGrid w:val="0"/>
        <w:spacing w:line="360" w:lineRule="auto"/>
        <w:ind w:left="1617" w:leftChars="770" w:firstLine="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发包人应在接到建议书后的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天内予以答复。如果发包人接受了该建议书，则监理工程师应以书面形式发出变更指令，相应调整工期；造价工程师应核实并相应调整合同价款。</w:t>
      </w:r>
    </w:p>
    <w:p>
      <w:pPr>
        <w:pStyle w:val="2"/>
        <w:shd w:val="clear" w:color="000000" w:fill="auto"/>
        <w:adjustRightInd w:val="0"/>
        <w:snapToGrid w:val="0"/>
        <w:spacing w:line="240" w:lineRule="exact"/>
        <w:ind w:right="-240"/>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
        <w:shd w:val="clear" w:color="000000" w:fill="auto"/>
        <w:tabs>
          <w:tab w:val="left" w:pos="540"/>
        </w:tabs>
        <w:adjustRightInd w:val="0"/>
        <w:snapToGrid w:val="0"/>
        <w:spacing w:before="240" w:beforeLines="100" w:line="360" w:lineRule="auto"/>
        <w:outlineLvl w:val="2"/>
        <w:rPr>
          <w:rFonts w:ascii="仿宋" w:hAnsi="仿宋" w:eastAsia="仿宋" w:cs="Times New Roman"/>
          <w:b/>
          <w:bCs/>
          <w:color w:val="auto"/>
          <w:sz w:val="24"/>
          <w:szCs w:val="24"/>
          <w:highlight w:val="none"/>
        </w:rPr>
      </w:pPr>
      <w:bookmarkStart w:id="235" w:name="_Toc10624860"/>
      <w:bookmarkStart w:id="236" w:name="_Toc469384020"/>
      <w:bookmarkStart w:id="237" w:name="_Toc22095"/>
      <w:r>
        <w:rPr>
          <w:rFonts w:ascii="仿宋" w:hAnsi="仿宋" w:eastAsia="仿宋" w:cs="仿宋"/>
          <w:b/>
          <w:bCs/>
          <w:color w:val="auto"/>
          <w:sz w:val="24"/>
          <w:szCs w:val="24"/>
          <w:highlight w:val="none"/>
        </w:rPr>
        <w:t xml:space="preserve">38  </w:t>
      </w:r>
      <w:r>
        <w:rPr>
          <w:rFonts w:hint="eastAsia" w:ascii="仿宋" w:hAnsi="仿宋" w:eastAsia="仿宋" w:cs="仿宋"/>
          <w:b/>
          <w:bCs/>
          <w:color w:val="auto"/>
          <w:sz w:val="24"/>
          <w:szCs w:val="24"/>
          <w:highlight w:val="none"/>
        </w:rPr>
        <w:t>竣工日期</w:t>
      </w:r>
      <w:bookmarkEnd w:id="235"/>
      <w:bookmarkEnd w:id="236"/>
      <w:bookmarkEnd w:id="237"/>
    </w:p>
    <w:p>
      <w:pPr>
        <w:pStyle w:val="2"/>
        <w:shd w:val="clear" w:color="000000" w:fill="auto"/>
        <w:adjustRightInd w:val="0"/>
        <w:snapToGrid w:val="0"/>
        <w:spacing w:line="360" w:lineRule="auto"/>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811840" behindDoc="0" locked="0" layoutInCell="1" allowOverlap="1">
                <wp:simplePos x="0" y="0"/>
                <wp:positionH relativeFrom="column">
                  <wp:posOffset>-133350</wp:posOffset>
                </wp:positionH>
                <wp:positionV relativeFrom="paragraph">
                  <wp:posOffset>135890</wp:posOffset>
                </wp:positionV>
                <wp:extent cx="977900" cy="396240"/>
                <wp:effectExtent l="0" t="0" r="0" b="0"/>
                <wp:wrapNone/>
                <wp:docPr id="150" name="文本框 152"/>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约定计划竣工日期</w:t>
                            </w:r>
                          </w:p>
                        </w:txbxContent>
                      </wps:txbx>
                      <wps:bodyPr upright="1"/>
                    </wps:wsp>
                  </a:graphicData>
                </a:graphic>
              </wp:anchor>
            </w:drawing>
          </mc:Choice>
          <mc:Fallback>
            <w:pict>
              <v:shape id="文本框 152" o:spid="_x0000_s1026" o:spt="202" type="#_x0000_t202" style="position:absolute;left:0pt;margin-left:-10.5pt;margin-top:10.7pt;height:31.2pt;width:77pt;z-index:251811840;mso-width-relative:page;mso-height-relative:page;" filled="f" stroked="f" coordsize="21600,21600" o:gfxdata="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Go4dVfX&#10;AAAACQEAAA8AAAAAAAAAAQAgAAAAIgAAAGRycy9kb3ducmV2LnhtbFBLAQIUABQAAAAIAIdO4kAD&#10;dvXKrwEAAFEDAAAOAAAAAAAAAAEAIAAAACYBAABkcnMvZTJvRG9jLnhtbFBLBQYAAAAABgAGAFkB&#10;AABH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约定计划竣工日期</w:t>
                      </w:r>
                    </w:p>
                  </w:txbxContent>
                </v:textbox>
              </v:shape>
            </w:pict>
          </mc:Fallback>
        </mc:AlternateContent>
      </w:r>
      <w:r>
        <w:rPr>
          <w:rFonts w:ascii="仿宋" w:hAnsi="仿宋" w:eastAsia="仿宋" w:cs="仿宋"/>
          <w:b/>
          <w:bCs/>
          <w:color w:val="auto"/>
          <w:sz w:val="24"/>
          <w:szCs w:val="24"/>
          <w:highlight w:val="none"/>
        </w:rPr>
        <w:t xml:space="preserve">38.1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合同双方当事人应在协议书和专用条款中约定合同工程的计划竣工日期。</w:t>
      </w:r>
    </w:p>
    <w:p>
      <w:pPr>
        <w:pStyle w:val="2"/>
        <w:shd w:val="clear" w:color="000000" w:fill="auto"/>
        <w:adjustRightInd w:val="0"/>
        <w:snapToGrid w:val="0"/>
        <w:spacing w:line="360" w:lineRule="auto"/>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38.2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12864" behindDoc="0" locked="0" layoutInCell="1" allowOverlap="1">
                <wp:simplePos x="0" y="0"/>
                <wp:positionH relativeFrom="column">
                  <wp:posOffset>-114300</wp:posOffset>
                </wp:positionH>
                <wp:positionV relativeFrom="paragraph">
                  <wp:posOffset>5715</wp:posOffset>
                </wp:positionV>
                <wp:extent cx="977900" cy="396240"/>
                <wp:effectExtent l="0" t="0" r="0" b="0"/>
                <wp:wrapNone/>
                <wp:docPr id="151" name="文本框 153"/>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实际竣工日期的确定</w:t>
                            </w:r>
                          </w:p>
                        </w:txbxContent>
                      </wps:txbx>
                      <wps:bodyPr upright="1"/>
                    </wps:wsp>
                  </a:graphicData>
                </a:graphic>
              </wp:anchor>
            </w:drawing>
          </mc:Choice>
          <mc:Fallback>
            <w:pict>
              <v:shape id="文本框 153" o:spid="_x0000_s1026" o:spt="202" type="#_x0000_t202" style="position:absolute;left:0pt;margin-left:-9pt;margin-top:0.45pt;height:31.2pt;width:77pt;z-index:251812864;mso-width-relative:page;mso-height-relative:page;" filled="f" stroked="f" coordsize="21600,21600" o:gfxdata="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QJmhxtUA&#10;AAAHAQAADwAAAAAAAAABACAAAAAiAAAAZHJzL2Rvd25yZXYueG1sUEsBAhQAFAAAAAgAh07iQCCP&#10;i2KwAQAAUQMAAA4AAAAAAAAAAQAgAAAAJAEAAGRycy9lMm9Eb2MueG1sUEsFBgAAAAAGAAYAWQEA&#10;AEY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实际竣工日期的确定</w:t>
                      </w:r>
                    </w:p>
                  </w:txbxContent>
                </v:textbox>
              </v:shape>
            </w:pict>
          </mc:Fallback>
        </mc:AlternateContent>
      </w:r>
      <w:r>
        <w:rPr>
          <w:rFonts w:hint="eastAsia" w:ascii="仿宋" w:hAnsi="仿宋" w:eastAsia="仿宋" w:cs="仿宋"/>
          <w:color w:val="auto"/>
          <w:sz w:val="24"/>
          <w:szCs w:val="24"/>
          <w:highlight w:val="none"/>
        </w:rPr>
        <w:t>除发生不可抗力事件致使发包人不能按时竣工验收外，实际竣工日期按照下列情况分别确定：</w:t>
      </w:r>
    </w:p>
    <w:p>
      <w:pPr>
        <w:pStyle w:val="2"/>
        <w:numPr>
          <w:ilvl w:val="0"/>
          <w:numId w:val="16"/>
        </w:numPr>
        <w:shd w:val="clear" w:color="000000" w:fill="auto"/>
        <w:tabs>
          <w:tab w:val="left" w:pos="1980"/>
          <w:tab w:val="left" w:pos="2160"/>
        </w:tabs>
        <w:adjustRightInd w:val="0"/>
        <w:snapToGrid w:val="0"/>
        <w:spacing w:line="360" w:lineRule="auto"/>
        <w:ind w:left="1619" w:leftChars="771"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工程经竣工验收合格的，以承包人提交竣工验收申请报告之日为实际竣工日期；</w:t>
      </w:r>
    </w:p>
    <w:p>
      <w:pPr>
        <w:pStyle w:val="2"/>
        <w:shd w:val="clear" w:color="000000" w:fill="auto"/>
        <w:tabs>
          <w:tab w:val="left" w:pos="1980"/>
          <w:tab w:val="left" w:pos="2160"/>
        </w:tabs>
        <w:adjustRightInd w:val="0"/>
        <w:snapToGrid w:val="0"/>
        <w:spacing w:line="360" w:lineRule="auto"/>
        <w:ind w:left="1613"/>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承包人已按照第</w:t>
      </w:r>
      <w:r>
        <w:rPr>
          <w:rFonts w:ascii="仿宋" w:hAnsi="仿宋" w:eastAsia="仿宋" w:cs="仿宋"/>
          <w:color w:val="auto"/>
          <w:sz w:val="24"/>
          <w:szCs w:val="24"/>
          <w:highlight w:val="none"/>
        </w:rPr>
        <w:t>57.2</w:t>
      </w:r>
      <w:r>
        <w:rPr>
          <w:rFonts w:hint="eastAsia" w:ascii="仿宋" w:hAnsi="仿宋" w:eastAsia="仿宋" w:cs="仿宋"/>
          <w:color w:val="auto"/>
          <w:sz w:val="24"/>
          <w:szCs w:val="24"/>
          <w:highlight w:val="none"/>
        </w:rPr>
        <w:t>款规定提交竣工验收申请报告，但发包人未按照第</w:t>
      </w:r>
      <w:r>
        <w:rPr>
          <w:rFonts w:ascii="仿宋" w:hAnsi="仿宋" w:eastAsia="仿宋" w:cs="仿宋"/>
          <w:color w:val="auto"/>
          <w:sz w:val="24"/>
          <w:szCs w:val="24"/>
          <w:highlight w:val="none"/>
        </w:rPr>
        <w:t>58.3</w:t>
      </w:r>
      <w:r>
        <w:rPr>
          <w:rFonts w:hint="eastAsia" w:ascii="仿宋" w:hAnsi="仿宋" w:eastAsia="仿宋" w:cs="仿宋"/>
          <w:color w:val="auto"/>
          <w:sz w:val="24"/>
          <w:szCs w:val="24"/>
          <w:highlight w:val="none"/>
        </w:rPr>
        <w:t>款规定完成合同工程验收的，以承包人提交竣工验收申请报告之日为实际竣工日期；</w:t>
      </w:r>
    </w:p>
    <w:p>
      <w:pPr>
        <w:pStyle w:val="2"/>
        <w:shd w:val="clear" w:color="000000" w:fill="auto"/>
        <w:tabs>
          <w:tab w:val="left" w:pos="1980"/>
          <w:tab w:val="left" w:pos="2160"/>
        </w:tabs>
        <w:adjustRightInd w:val="0"/>
        <w:snapToGrid w:val="0"/>
        <w:spacing w:line="360" w:lineRule="auto"/>
        <w:ind w:left="1617"/>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工程未经竣工验收，发包人擅自使用的，以转移占有工程之日为实际竣工日期。</w:t>
      </w:r>
    </w:p>
    <w:p>
      <w:pPr>
        <w:pStyle w:val="2"/>
        <w:shd w:val="clear" w:color="000000" w:fill="auto"/>
        <w:adjustRightInd w:val="0"/>
        <w:snapToGrid w:val="0"/>
        <w:spacing w:line="360" w:lineRule="auto"/>
        <w:ind w:left="1626" w:leftChars="1" w:hanging="1624" w:hangingChars="674"/>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38.3  </w:t>
      </w:r>
      <w:r>
        <w:rPr>
          <w:rFonts w:ascii="仿宋" w:hAnsi="仿宋" w:eastAsia="仿宋" w:cs="仿宋"/>
          <w:b/>
          <w:bCs/>
          <w:color w:val="auto"/>
          <w:sz w:val="24"/>
          <w:szCs w:val="24"/>
          <w:highlight w:val="none"/>
          <w:u w:val="dotted"/>
        </w:rPr>
        <w:t xml:space="preserve">                                                                                                        </w:t>
      </w:r>
    </w:p>
    <w:p>
      <w:pPr>
        <w:pStyle w:val="13"/>
        <w:shd w:val="clear" w:color="000000" w:fill="auto"/>
        <w:adjustRightInd w:val="0"/>
        <w:snapToGrid w:val="0"/>
        <w:spacing w:line="360" w:lineRule="auto"/>
        <w:ind w:left="1619" w:leftChars="771" w:firstLine="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13888" behindDoc="0" locked="0" layoutInCell="1" allowOverlap="1">
                <wp:simplePos x="0" y="0"/>
                <wp:positionH relativeFrom="column">
                  <wp:posOffset>-114300</wp:posOffset>
                </wp:positionH>
                <wp:positionV relativeFrom="paragraph">
                  <wp:posOffset>47625</wp:posOffset>
                </wp:positionV>
                <wp:extent cx="914400" cy="455930"/>
                <wp:effectExtent l="0" t="0" r="0" b="0"/>
                <wp:wrapNone/>
                <wp:docPr id="152" name="文本框 154"/>
                <wp:cNvGraphicFramePr/>
                <a:graphic xmlns:a="http://schemas.openxmlformats.org/drawingml/2006/main">
                  <a:graphicData uri="http://schemas.microsoft.com/office/word/2010/wordprocessingShape">
                    <wps:wsp>
                      <wps:cNvSpPr txBox="1"/>
                      <wps:spPr>
                        <a:xfrm>
                          <a:off x="0" y="0"/>
                          <a:ext cx="914400" cy="45593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延迟竣工的责任</w:t>
                            </w:r>
                          </w:p>
                        </w:txbxContent>
                      </wps:txbx>
                      <wps:bodyPr upright="1"/>
                    </wps:wsp>
                  </a:graphicData>
                </a:graphic>
              </wp:anchor>
            </w:drawing>
          </mc:Choice>
          <mc:Fallback>
            <w:pict>
              <v:shape id="文本框 154" o:spid="_x0000_s1026" o:spt="202" type="#_x0000_t202" style="position:absolute;left:0pt;margin-left:-9pt;margin-top:3.75pt;height:35.9pt;width:72pt;z-index:251813888;mso-width-relative:page;mso-height-relative:page;" filled="f" stroked="f" coordsize="21600,21600" o:gfxdata="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6BDNytUA&#10;AAAIAQAADwAAAAAAAAABACAAAAAiAAAAZHJzL2Rvd25yZXYueG1sUEsBAhQAFAAAAAgAh07iQKrG&#10;0xawAQAAUQMAAA4AAAAAAAAAAQAgAAAAJAEAAGRycy9lMm9Eb2MueG1sUEsFBgAAAAAGAAYAWQEA&#10;AEY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延迟竣工的责任</w:t>
                      </w:r>
                    </w:p>
                  </w:txbxContent>
                </v:textbox>
              </v:shape>
            </w:pict>
          </mc:Fallback>
        </mc:AlternateContent>
      </w:r>
      <w:r>
        <w:rPr>
          <w:rFonts w:hint="eastAsia" w:ascii="仿宋" w:hAnsi="仿宋" w:eastAsia="仿宋" w:cs="仿宋"/>
          <w:color w:val="auto"/>
          <w:sz w:val="24"/>
          <w:szCs w:val="24"/>
          <w:highlight w:val="none"/>
        </w:rPr>
        <w:t>因发包人的原因导致实际竣工日期迟于计划竣工日期的，发包人应承担由此增加的费用和（或）延误的工期，并向承包人支付合理利润。</w:t>
      </w:r>
    </w:p>
    <w:p>
      <w:pPr>
        <w:shd w:val="clear" w:color="000000" w:fill="auto"/>
        <w:spacing w:line="360" w:lineRule="auto"/>
        <w:ind w:left="1619" w:leftChars="771" w:firstLine="60" w:firstLineChars="25"/>
        <w:rPr>
          <w:rFonts w:ascii="仿宋" w:hAnsi="仿宋" w:eastAsia="仿宋" w:cs="Times New Roman"/>
          <w:caps/>
          <w:color w:val="auto"/>
          <w:sz w:val="24"/>
          <w:szCs w:val="24"/>
          <w:highlight w:val="none"/>
        </w:rPr>
      </w:pPr>
      <w:r>
        <w:rPr>
          <w:rFonts w:hint="eastAsia" w:ascii="仿宋" w:hAnsi="仿宋" w:eastAsia="仿宋" w:cs="仿宋"/>
          <w:color w:val="auto"/>
          <w:sz w:val="24"/>
          <w:szCs w:val="24"/>
          <w:highlight w:val="none"/>
        </w:rPr>
        <w:t>因承包人的原因导致实际竣工日期迟于计划竣工日期的，承包人应按照第</w:t>
      </w:r>
      <w:r>
        <w:rPr>
          <w:rFonts w:ascii="仿宋" w:hAnsi="仿宋" w:eastAsia="仿宋" w:cs="仿宋"/>
          <w:color w:val="auto"/>
          <w:sz w:val="24"/>
          <w:szCs w:val="24"/>
          <w:highlight w:val="none"/>
        </w:rPr>
        <w:t>40</w:t>
      </w:r>
      <w:r>
        <w:rPr>
          <w:rFonts w:hint="eastAsia" w:ascii="仿宋" w:hAnsi="仿宋" w:eastAsia="仿宋" w:cs="仿宋"/>
          <w:color w:val="auto"/>
          <w:sz w:val="24"/>
          <w:szCs w:val="24"/>
          <w:highlight w:val="none"/>
        </w:rPr>
        <w:t>条规定</w:t>
      </w:r>
      <w:r>
        <w:rPr>
          <w:rFonts w:hint="eastAsia" w:ascii="仿宋" w:hAnsi="仿宋" w:eastAsia="仿宋" w:cs="仿宋"/>
          <w:caps/>
          <w:color w:val="auto"/>
          <w:sz w:val="24"/>
          <w:szCs w:val="24"/>
          <w:highlight w:val="none"/>
        </w:rPr>
        <w:t>赔偿发包人由此造成的损失，并向发包人支付误期赔偿费。</w:t>
      </w:r>
    </w:p>
    <w:p>
      <w:pPr>
        <w:shd w:val="clear" w:color="000000" w:fill="auto"/>
        <w:rPr>
          <w:rFonts w:ascii="仿宋" w:hAnsi="仿宋" w:eastAsia="仿宋" w:cs="仿宋"/>
          <w:caps/>
          <w:color w:val="auto"/>
          <w:sz w:val="24"/>
          <w:szCs w:val="24"/>
          <w:highlight w:val="none"/>
          <w:u w:val="single"/>
        </w:rPr>
      </w:pPr>
      <w:r>
        <w:rPr>
          <w:rFonts w:ascii="仿宋" w:hAnsi="仿宋" w:eastAsia="仿宋" w:cs="仿宋"/>
          <w:b/>
          <w:bCs/>
          <w:caps/>
          <w:color w:val="auto"/>
          <w:sz w:val="24"/>
          <w:szCs w:val="24"/>
          <w:highlight w:val="none"/>
          <w:u w:val="single"/>
        </w:rPr>
        <w:t xml:space="preserve">                                                                                    </w:t>
      </w:r>
      <w:r>
        <w:rPr>
          <w:rFonts w:ascii="仿宋" w:hAnsi="仿宋" w:eastAsia="仿宋" w:cs="仿宋"/>
          <w:caps/>
          <w:color w:val="auto"/>
          <w:sz w:val="24"/>
          <w:szCs w:val="24"/>
          <w:highlight w:val="none"/>
          <w:u w:val="single"/>
        </w:rPr>
        <w:t xml:space="preserve">                     </w:t>
      </w:r>
    </w:p>
    <w:p>
      <w:pPr>
        <w:pStyle w:val="2"/>
        <w:shd w:val="clear" w:color="000000" w:fill="auto"/>
        <w:tabs>
          <w:tab w:val="left" w:pos="540"/>
        </w:tabs>
        <w:adjustRightInd w:val="0"/>
        <w:snapToGrid w:val="0"/>
        <w:spacing w:before="240" w:beforeLines="100"/>
        <w:outlineLvl w:val="2"/>
        <w:rPr>
          <w:rFonts w:ascii="仿宋" w:hAnsi="仿宋" w:eastAsia="仿宋" w:cs="Times New Roman"/>
          <w:b/>
          <w:bCs/>
          <w:color w:val="auto"/>
          <w:sz w:val="24"/>
          <w:szCs w:val="24"/>
          <w:highlight w:val="none"/>
        </w:rPr>
      </w:pPr>
      <w:bookmarkStart w:id="238" w:name="_Toc469384021"/>
      <w:bookmarkStart w:id="239" w:name="_Toc200"/>
      <w:bookmarkStart w:id="240" w:name="_Toc10624861"/>
      <w:r>
        <w:rPr>
          <w:rFonts w:ascii="仿宋" w:hAnsi="仿宋" w:eastAsia="仿宋" w:cs="仿宋"/>
          <w:b/>
          <w:bCs/>
          <w:color w:val="auto"/>
          <w:sz w:val="24"/>
          <w:szCs w:val="24"/>
          <w:highlight w:val="none"/>
        </w:rPr>
        <w:t xml:space="preserve">39  </w:t>
      </w:r>
      <w:r>
        <w:rPr>
          <w:rFonts w:hint="eastAsia" w:ascii="仿宋" w:hAnsi="仿宋" w:eastAsia="仿宋" w:cs="仿宋"/>
          <w:b/>
          <w:bCs/>
          <w:color w:val="auto"/>
          <w:sz w:val="24"/>
          <w:szCs w:val="24"/>
          <w:highlight w:val="none"/>
        </w:rPr>
        <w:t>提前竣工</w:t>
      </w:r>
      <w:bookmarkEnd w:id="238"/>
      <w:bookmarkEnd w:id="239"/>
      <w:bookmarkEnd w:id="240"/>
    </w:p>
    <w:p>
      <w:pPr>
        <w:pStyle w:val="2"/>
        <w:shd w:val="clear" w:color="000000" w:fill="auto"/>
        <w:adjustRightInd w:val="0"/>
        <w:snapToGrid w:val="0"/>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39.1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14912" behindDoc="0" locked="0" layoutInCell="1" allowOverlap="1">
                <wp:simplePos x="0" y="0"/>
                <wp:positionH relativeFrom="column">
                  <wp:posOffset>-66675</wp:posOffset>
                </wp:positionH>
                <wp:positionV relativeFrom="paragraph">
                  <wp:posOffset>30480</wp:posOffset>
                </wp:positionV>
                <wp:extent cx="977900" cy="396240"/>
                <wp:effectExtent l="0" t="0" r="0" b="0"/>
                <wp:wrapNone/>
                <wp:docPr id="153" name="文本框 155"/>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提前竣工的要求</w:t>
                            </w:r>
                          </w:p>
                        </w:txbxContent>
                      </wps:txbx>
                      <wps:bodyPr upright="1"/>
                    </wps:wsp>
                  </a:graphicData>
                </a:graphic>
              </wp:anchor>
            </w:drawing>
          </mc:Choice>
          <mc:Fallback>
            <w:pict>
              <v:shape id="文本框 155" o:spid="_x0000_s1026" o:spt="202" type="#_x0000_t202" style="position:absolute;left:0pt;margin-left:-5.25pt;margin-top:2.4pt;height:31.2pt;width:77pt;z-index:251814912;mso-width-relative:page;mso-height-relative:page;" filled="f" stroked="f" coordsize="21600,21600" o:gfxdata="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9h0/j9UA&#10;AAAIAQAADwAAAAAAAAABACAAAAAiAAAAZHJzL2Rvd25yZXYueG1sUEsBAhQAFAAAAAgAh07iQF4T&#10;0U6wAQAAUQMAAA4AAAAAAAAAAQAgAAAAJAEAAGRycy9lMm9Eb2MueG1sUEsFBgAAAAAGAAYAWQEA&#10;AEY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提前竣工的要求</w:t>
                      </w:r>
                    </w:p>
                  </w:txbxContent>
                </v:textbox>
              </v:shape>
            </w:pict>
          </mc:Fallback>
        </mc:AlternateContent>
      </w:r>
      <w:r>
        <w:rPr>
          <w:rFonts w:hint="eastAsia" w:ascii="仿宋" w:hAnsi="仿宋" w:eastAsia="仿宋" w:cs="仿宋"/>
          <w:color w:val="auto"/>
          <w:sz w:val="24"/>
          <w:szCs w:val="24"/>
          <w:highlight w:val="none"/>
        </w:rPr>
        <w:t>发包人要求承包人提前竣工，或承包人按照第</w:t>
      </w:r>
      <w:r>
        <w:rPr>
          <w:rFonts w:ascii="仿宋" w:hAnsi="仿宋" w:eastAsia="仿宋" w:cs="仿宋"/>
          <w:color w:val="auto"/>
          <w:sz w:val="24"/>
          <w:szCs w:val="24"/>
          <w:highlight w:val="none"/>
        </w:rPr>
        <w:t>37.2</w:t>
      </w:r>
      <w:r>
        <w:rPr>
          <w:rFonts w:hint="eastAsia" w:ascii="仿宋" w:hAnsi="仿宋" w:eastAsia="仿宋" w:cs="仿宋"/>
          <w:color w:val="auto"/>
          <w:sz w:val="24"/>
          <w:szCs w:val="24"/>
          <w:highlight w:val="none"/>
        </w:rPr>
        <w:t>款规定提交提前竣工建议书为发包人接受的，监理工程师应与承包人商定采取加快工程进度的措施，并修订合同工程进度计划。</w:t>
      </w:r>
    </w:p>
    <w:p>
      <w:pPr>
        <w:pStyle w:val="2"/>
        <w:shd w:val="clear" w:color="000000" w:fill="auto"/>
        <w:adjustRightInd w:val="0"/>
        <w:snapToGrid w:val="0"/>
        <w:spacing w:line="360" w:lineRule="auto"/>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39.2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15936" behindDoc="0" locked="0" layoutInCell="1" allowOverlap="1">
                <wp:simplePos x="0" y="0"/>
                <wp:positionH relativeFrom="column">
                  <wp:posOffset>-114300</wp:posOffset>
                </wp:positionH>
                <wp:positionV relativeFrom="paragraph">
                  <wp:posOffset>5715</wp:posOffset>
                </wp:positionV>
                <wp:extent cx="977900" cy="396240"/>
                <wp:effectExtent l="0" t="0" r="0" b="0"/>
                <wp:wrapNone/>
                <wp:docPr id="154" name="文本框 156"/>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提前竣工天数的计算</w:t>
                            </w:r>
                          </w:p>
                        </w:txbxContent>
                      </wps:txbx>
                      <wps:bodyPr upright="1"/>
                    </wps:wsp>
                  </a:graphicData>
                </a:graphic>
              </wp:anchor>
            </w:drawing>
          </mc:Choice>
          <mc:Fallback>
            <w:pict>
              <v:shape id="文本框 156" o:spid="_x0000_s1026" o:spt="202" type="#_x0000_t202" style="position:absolute;left:0pt;margin-left:-9pt;margin-top:0.45pt;height:31.2pt;width:77pt;z-index:251815936;mso-width-relative:page;mso-height-relative:page;" filled="f" stroked="f" coordsize="21600,21600" o:gfxdata="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QJmhxtUA&#10;AAAHAQAADwAAAAAAAAABACAAAAAiAAAAZHJzL2Rvd25yZXYueG1sUEsBAhQAFAAAAAgAh07iQEyY&#10;nQawAQAAUQMAAA4AAAAAAAAAAQAgAAAAJAEAAGRycy9lMm9Eb2MueG1sUEsFBgAAAAAGAAYAWQEA&#10;AEY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提前竣工天数的计算</w:t>
                      </w:r>
                    </w:p>
                  </w:txbxContent>
                </v:textbox>
              </v:shape>
            </w:pict>
          </mc:Fallback>
        </mc:AlternateContent>
      </w:r>
      <w:r>
        <w:rPr>
          <w:rFonts w:hint="eastAsia" w:ascii="仿宋" w:hAnsi="仿宋" w:eastAsia="仿宋" w:cs="仿宋"/>
          <w:color w:val="auto"/>
          <w:sz w:val="24"/>
          <w:szCs w:val="24"/>
          <w:highlight w:val="none"/>
        </w:rPr>
        <w:t>提前竣工天数按照第</w:t>
      </w:r>
      <w:r>
        <w:rPr>
          <w:rFonts w:ascii="仿宋" w:hAnsi="仿宋" w:eastAsia="仿宋" w:cs="仿宋"/>
          <w:color w:val="auto"/>
          <w:sz w:val="24"/>
          <w:szCs w:val="24"/>
          <w:highlight w:val="none"/>
        </w:rPr>
        <w:t>38.2</w:t>
      </w:r>
      <w:r>
        <w:rPr>
          <w:rFonts w:hint="eastAsia" w:ascii="仿宋" w:hAnsi="仿宋" w:eastAsia="仿宋" w:cs="仿宋"/>
          <w:color w:val="auto"/>
          <w:sz w:val="24"/>
          <w:szCs w:val="24"/>
          <w:highlight w:val="none"/>
        </w:rPr>
        <w:t>款规定确定的计划竣工天数减去实际竣工天数计算，其公式为：</w:t>
      </w:r>
    </w:p>
    <w:p>
      <w:pPr>
        <w:pStyle w:val="2"/>
        <w:shd w:val="clear" w:color="000000" w:fill="auto"/>
        <w:adjustRightInd w:val="0"/>
        <w:snapToGrid w:val="0"/>
        <w:spacing w:line="360" w:lineRule="auto"/>
        <w:ind w:firstLine="2160" w:firstLineChars="90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提前竣工天数</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计划竣工天数</w:t>
      </w:r>
      <w:r>
        <w:rPr>
          <w:rFonts w:ascii="仿宋" w:hAnsi="仿宋" w:eastAsia="仿宋" w:cs="仿宋"/>
          <w:color w:val="auto"/>
          <w:sz w:val="24"/>
          <w:szCs w:val="24"/>
          <w:highlight w:val="none"/>
        </w:rPr>
        <w:t xml:space="preserve"> — </w:t>
      </w:r>
      <w:r>
        <w:rPr>
          <w:rFonts w:hint="eastAsia" w:ascii="仿宋" w:hAnsi="仿宋" w:eastAsia="仿宋" w:cs="仿宋"/>
          <w:color w:val="auto"/>
          <w:sz w:val="24"/>
          <w:szCs w:val="24"/>
          <w:highlight w:val="none"/>
        </w:rPr>
        <w:t>实际竣工天数</w:t>
      </w:r>
    </w:p>
    <w:p>
      <w:pPr>
        <w:pStyle w:val="2"/>
        <w:shd w:val="clear" w:color="000000" w:fill="auto"/>
        <w:tabs>
          <w:tab w:val="left" w:pos="1980"/>
          <w:tab w:val="left" w:pos="2160"/>
        </w:tabs>
        <w:adjustRightInd w:val="0"/>
        <w:snapToGrid w:val="0"/>
        <w:spacing w:line="360" w:lineRule="auto"/>
        <w:ind w:left="1616"/>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合同工程提前竣工，发包人应承担承包人由此增加的费用，并按照第</w:t>
      </w:r>
      <w:r>
        <w:rPr>
          <w:rFonts w:ascii="仿宋" w:hAnsi="仿宋" w:eastAsia="仿宋" w:cs="仿宋"/>
          <w:color w:val="auto"/>
          <w:sz w:val="24"/>
          <w:szCs w:val="24"/>
          <w:highlight w:val="none"/>
        </w:rPr>
        <w:t>66.1</w:t>
      </w:r>
      <w:r>
        <w:rPr>
          <w:rFonts w:hint="eastAsia" w:ascii="仿宋" w:hAnsi="仿宋" w:eastAsia="仿宋" w:cs="仿宋"/>
          <w:color w:val="auto"/>
          <w:sz w:val="24"/>
          <w:szCs w:val="24"/>
          <w:highlight w:val="none"/>
        </w:rPr>
        <w:t>款规定向承包人支付提前竣工奖。</w:t>
      </w:r>
    </w:p>
    <w:p>
      <w:pPr>
        <w:pStyle w:val="2"/>
        <w:shd w:val="clear" w:color="000000" w:fill="auto"/>
        <w:tabs>
          <w:tab w:val="left" w:pos="540"/>
        </w:tabs>
        <w:adjustRightInd w:val="0"/>
        <w:snapToGrid w:val="0"/>
        <w:spacing w:before="240" w:beforeLines="100" w:line="240" w:lineRule="exact"/>
        <w:rPr>
          <w:rFonts w:ascii="仿宋" w:hAnsi="仿宋" w:eastAsia="仿宋" w:cs="仿宋"/>
          <w:b/>
          <w:bCs/>
          <w:caps/>
          <w:color w:val="auto"/>
          <w:sz w:val="24"/>
          <w:szCs w:val="24"/>
          <w:highlight w:val="none"/>
          <w:u w:val="single"/>
        </w:rPr>
      </w:pPr>
      <w:r>
        <w:rPr>
          <w:rFonts w:ascii="仿宋" w:hAnsi="仿宋" w:eastAsia="仿宋" w:cs="仿宋"/>
          <w:b/>
          <w:bCs/>
          <w:caps/>
          <w:color w:val="auto"/>
          <w:sz w:val="24"/>
          <w:szCs w:val="24"/>
          <w:highlight w:val="none"/>
          <w:u w:val="single"/>
        </w:rPr>
        <w:t xml:space="preserve">                                                                                </w:t>
      </w:r>
    </w:p>
    <w:p>
      <w:pPr>
        <w:pStyle w:val="2"/>
        <w:shd w:val="clear" w:color="000000" w:fill="auto"/>
        <w:tabs>
          <w:tab w:val="left" w:pos="540"/>
        </w:tabs>
        <w:adjustRightInd w:val="0"/>
        <w:snapToGrid w:val="0"/>
        <w:spacing w:before="240" w:beforeLines="100"/>
        <w:outlineLvl w:val="2"/>
        <w:rPr>
          <w:rFonts w:ascii="仿宋" w:hAnsi="仿宋" w:eastAsia="仿宋" w:cs="Times New Roman"/>
          <w:b/>
          <w:bCs/>
          <w:color w:val="auto"/>
          <w:sz w:val="24"/>
          <w:szCs w:val="24"/>
          <w:highlight w:val="none"/>
        </w:rPr>
      </w:pPr>
      <w:bookmarkStart w:id="241" w:name="_Toc469384022"/>
      <w:bookmarkStart w:id="242" w:name="_Toc18222"/>
      <w:bookmarkStart w:id="243" w:name="_Toc10624862"/>
      <w:r>
        <w:rPr>
          <w:rFonts w:ascii="仿宋" w:hAnsi="仿宋" w:eastAsia="仿宋" w:cs="仿宋"/>
          <w:b/>
          <w:bCs/>
          <w:color w:val="auto"/>
          <w:sz w:val="24"/>
          <w:szCs w:val="24"/>
          <w:highlight w:val="none"/>
        </w:rPr>
        <w:t xml:space="preserve">40  </w:t>
      </w:r>
      <w:r>
        <w:rPr>
          <w:rFonts w:hint="eastAsia" w:ascii="仿宋" w:hAnsi="仿宋" w:eastAsia="仿宋" w:cs="仿宋"/>
          <w:b/>
          <w:bCs/>
          <w:color w:val="auto"/>
          <w:sz w:val="24"/>
          <w:szCs w:val="24"/>
          <w:highlight w:val="none"/>
        </w:rPr>
        <w:t>误期赔偿</w:t>
      </w:r>
      <w:bookmarkEnd w:id="241"/>
      <w:bookmarkEnd w:id="242"/>
      <w:bookmarkEnd w:id="243"/>
    </w:p>
    <w:p>
      <w:pPr>
        <w:shd w:val="clear" w:color="000000" w:fill="auto"/>
        <w:rPr>
          <w:rFonts w:ascii="仿宋" w:hAnsi="仿宋" w:eastAsia="仿宋" w:cs="Times New Roman"/>
          <w:b/>
          <w:bCs/>
          <w:caps/>
          <w:color w:val="auto"/>
          <w:sz w:val="24"/>
          <w:szCs w:val="24"/>
          <w:highlight w:val="none"/>
        </w:rPr>
      </w:pPr>
      <w:r>
        <w:rPr>
          <w:rFonts w:ascii="仿宋" w:hAnsi="仿宋" w:eastAsia="仿宋" w:cs="仿宋"/>
          <w:b/>
          <w:bCs/>
          <w:color w:val="auto"/>
          <w:sz w:val="24"/>
          <w:szCs w:val="24"/>
          <w:highlight w:val="none"/>
        </w:rPr>
        <w:t>40.1</w:t>
      </w:r>
    </w:p>
    <w:p>
      <w:pPr>
        <w:shd w:val="clear" w:color="000000" w:fill="auto"/>
        <w:spacing w:line="360" w:lineRule="auto"/>
        <w:ind w:left="1619" w:leftChars="771"/>
        <w:rPr>
          <w:rFonts w:ascii="仿宋" w:hAnsi="仿宋" w:eastAsia="仿宋" w:cs="Times New Roman"/>
          <w:caps/>
          <w:color w:val="auto"/>
          <w:sz w:val="24"/>
          <w:szCs w:val="24"/>
          <w:highlight w:val="none"/>
        </w:rPr>
      </w:pPr>
      <w:r>
        <w:rPr>
          <w:color w:val="auto"/>
          <w:highlight w:val="none"/>
        </w:rPr>
        <mc:AlternateContent>
          <mc:Choice Requires="wps">
            <w:drawing>
              <wp:anchor distT="0" distB="0" distL="114300" distR="114300" simplePos="0" relativeHeight="251816960" behindDoc="0" locked="0" layoutInCell="1" allowOverlap="1">
                <wp:simplePos x="0" y="0"/>
                <wp:positionH relativeFrom="column">
                  <wp:posOffset>-133350</wp:posOffset>
                </wp:positionH>
                <wp:positionV relativeFrom="paragraph">
                  <wp:posOffset>104140</wp:posOffset>
                </wp:positionV>
                <wp:extent cx="977900" cy="328295"/>
                <wp:effectExtent l="0" t="0" r="0" b="0"/>
                <wp:wrapNone/>
                <wp:docPr id="155" name="文本框 157"/>
                <wp:cNvGraphicFramePr/>
                <a:graphic xmlns:a="http://schemas.openxmlformats.org/drawingml/2006/main">
                  <a:graphicData uri="http://schemas.microsoft.com/office/word/2010/wordprocessingShape">
                    <wps:wsp>
                      <wps:cNvSpPr txBox="1"/>
                      <wps:spPr>
                        <a:xfrm>
                          <a:off x="0" y="0"/>
                          <a:ext cx="977900" cy="32829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误期的赔偿</w:t>
                            </w:r>
                          </w:p>
                        </w:txbxContent>
                      </wps:txbx>
                      <wps:bodyPr upright="1"/>
                    </wps:wsp>
                  </a:graphicData>
                </a:graphic>
              </wp:anchor>
            </w:drawing>
          </mc:Choice>
          <mc:Fallback>
            <w:pict>
              <v:shape id="文本框 157" o:spid="_x0000_s1026" o:spt="202" type="#_x0000_t202" style="position:absolute;left:0pt;margin-left:-10.5pt;margin-top:8.2pt;height:25.85pt;width:77pt;z-index:251816960;mso-width-relative:page;mso-height-relative:page;" filled="f" stroked="f" coordsize="21600,21600" o:gfxdata="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x1tREdYA&#10;AAAJAQAADwAAAAAAAAABACAAAAAiAAAAZHJzL2Rvd25yZXYueG1sUEsBAhQAFAAAAAgAh07iQIP9&#10;kZWvAQAAUQMAAA4AAAAAAAAAAQAgAAAAJQEAAGRycy9lMm9Eb2MueG1sUEsFBgAAAAAGAAYAWQEA&#10;AEY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误期的赔偿</w:t>
                      </w:r>
                    </w:p>
                  </w:txbxContent>
                </v:textbox>
              </v:shape>
            </w:pict>
          </mc:Fallback>
        </mc:AlternateContent>
      </w:r>
      <w:r>
        <w:rPr>
          <w:rFonts w:hint="eastAsia" w:ascii="仿宋" w:hAnsi="仿宋" w:eastAsia="仿宋" w:cs="仿宋"/>
          <w:caps/>
          <w:color w:val="auto"/>
          <w:sz w:val="24"/>
          <w:szCs w:val="24"/>
          <w:highlight w:val="none"/>
        </w:rPr>
        <w:t>如果承包人未按照第</w:t>
      </w:r>
      <w:r>
        <w:rPr>
          <w:rFonts w:ascii="仿宋" w:hAnsi="仿宋" w:eastAsia="仿宋" w:cs="仿宋"/>
          <w:caps/>
          <w:color w:val="auto"/>
          <w:sz w:val="24"/>
          <w:szCs w:val="24"/>
          <w:highlight w:val="none"/>
        </w:rPr>
        <w:t>33.4</w:t>
      </w:r>
      <w:r>
        <w:rPr>
          <w:rFonts w:hint="eastAsia" w:ascii="仿宋" w:hAnsi="仿宋" w:eastAsia="仿宋" w:cs="仿宋"/>
          <w:caps/>
          <w:color w:val="auto"/>
          <w:sz w:val="24"/>
          <w:szCs w:val="24"/>
          <w:highlight w:val="none"/>
        </w:rPr>
        <w:t>款规定按计划进度施工，导致实际进度迟于计划进度的，承包人应向发包人支付误期赔偿费，具体金额可另行约定。即使承包人支付误期赔偿费，也不能免除承包人按照合同约定应承担的任何责任和应履行的任何义务。</w:t>
      </w:r>
    </w:p>
    <w:p>
      <w:pPr>
        <w:shd w:val="clear" w:color="000000" w:fill="auto"/>
        <w:spacing w:line="360" w:lineRule="auto"/>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40.2  </w:t>
      </w:r>
      <w:r>
        <w:rPr>
          <w:rFonts w:ascii="仿宋" w:hAnsi="仿宋" w:eastAsia="仿宋" w:cs="仿宋"/>
          <w:b/>
          <w:bCs/>
          <w:color w:val="auto"/>
          <w:sz w:val="24"/>
          <w:szCs w:val="24"/>
          <w:highlight w:val="none"/>
          <w:u w:val="dotted"/>
        </w:rPr>
        <w:t xml:space="preserve">                                                                                                        </w:t>
      </w:r>
    </w:p>
    <w:p>
      <w:pPr>
        <w:shd w:val="clear" w:color="000000" w:fill="auto"/>
        <w:spacing w:line="360" w:lineRule="auto"/>
        <w:ind w:left="1619" w:leftChars="771" w:firstLine="71" w:firstLineChars="34"/>
        <w:rPr>
          <w:rFonts w:ascii="仿宋" w:hAnsi="仿宋" w:eastAsia="仿宋" w:cs="Times New Roman"/>
          <w:caps/>
          <w:color w:val="auto"/>
          <w:sz w:val="24"/>
          <w:szCs w:val="24"/>
          <w:highlight w:val="none"/>
        </w:rPr>
      </w:pPr>
      <w:r>
        <w:rPr>
          <w:color w:val="auto"/>
          <w:highlight w:val="none"/>
        </w:rPr>
        <mc:AlternateContent>
          <mc:Choice Requires="wps">
            <w:drawing>
              <wp:anchor distT="0" distB="0" distL="114300" distR="114300" simplePos="0" relativeHeight="251817984" behindDoc="0" locked="0" layoutInCell="1" allowOverlap="1">
                <wp:simplePos x="0" y="0"/>
                <wp:positionH relativeFrom="column">
                  <wp:posOffset>-114300</wp:posOffset>
                </wp:positionH>
                <wp:positionV relativeFrom="paragraph">
                  <wp:posOffset>31750</wp:posOffset>
                </wp:positionV>
                <wp:extent cx="1071245" cy="791845"/>
                <wp:effectExtent l="0" t="0" r="0" b="0"/>
                <wp:wrapNone/>
                <wp:docPr id="156" name="文本框 158"/>
                <wp:cNvGraphicFramePr/>
                <a:graphic xmlns:a="http://schemas.openxmlformats.org/drawingml/2006/main">
                  <a:graphicData uri="http://schemas.microsoft.com/office/word/2010/wordprocessingShape">
                    <wps:wsp>
                      <wps:cNvSpPr txBox="1"/>
                      <wps:spPr>
                        <a:xfrm>
                          <a:off x="0" y="0"/>
                          <a:ext cx="1071245" cy="79184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实际延误天数</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的计算</w:t>
                            </w:r>
                          </w:p>
                        </w:txbxContent>
                      </wps:txbx>
                      <wps:bodyPr upright="1"/>
                    </wps:wsp>
                  </a:graphicData>
                </a:graphic>
              </wp:anchor>
            </w:drawing>
          </mc:Choice>
          <mc:Fallback>
            <w:pict>
              <v:shape id="文本框 158" o:spid="_x0000_s1026" o:spt="202" type="#_x0000_t202" style="position:absolute;left:0pt;margin-left:-9pt;margin-top:2.5pt;height:62.35pt;width:84.35pt;z-index:251817984;mso-width-relative:page;mso-height-relative:page;" filled="f" stroked="f" coordsize="21600,21600" o:gfxdata="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b5n7idYA&#10;AAAJAQAADwAAAAAAAAABACAAAAAiAAAAZHJzL2Rvd25yZXYueG1sUEsBAhQAFAAAAAgAh07iQFmV&#10;J8KvAQAAUgMAAA4AAAAAAAAAAQAgAAAAJQEAAGRycy9lMm9Eb2MueG1sUEsFBgAAAAAGAAYAWQEA&#10;AEY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实际延误天数</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的计算</w:t>
                      </w:r>
                    </w:p>
                  </w:txbxContent>
                </v:textbox>
              </v:shape>
            </w:pict>
          </mc:Fallback>
        </mc:AlternateContent>
      </w:r>
      <w:r>
        <w:rPr>
          <w:rFonts w:hint="eastAsia" w:ascii="仿宋" w:hAnsi="仿宋" w:eastAsia="仿宋" w:cs="仿宋"/>
          <w:caps/>
          <w:color w:val="auto"/>
          <w:sz w:val="24"/>
          <w:szCs w:val="24"/>
          <w:highlight w:val="none"/>
        </w:rPr>
        <w:t>误期（实际延误天数）按照实际施工天数减去计划施工天数计算，其公式为：</w:t>
      </w:r>
    </w:p>
    <w:p>
      <w:pPr>
        <w:shd w:val="clear" w:color="000000" w:fill="auto"/>
        <w:spacing w:line="360" w:lineRule="auto"/>
        <w:ind w:firstLine="1680" w:firstLineChars="700"/>
        <w:rPr>
          <w:rFonts w:ascii="仿宋" w:hAnsi="仿宋" w:eastAsia="仿宋" w:cs="Times New Roman"/>
          <w:caps/>
          <w:color w:val="auto"/>
          <w:sz w:val="24"/>
          <w:szCs w:val="24"/>
          <w:highlight w:val="none"/>
        </w:rPr>
      </w:pPr>
      <w:r>
        <w:rPr>
          <w:rFonts w:hint="eastAsia" w:ascii="仿宋" w:hAnsi="仿宋" w:eastAsia="仿宋" w:cs="仿宋"/>
          <w:caps/>
          <w:color w:val="auto"/>
          <w:sz w:val="24"/>
          <w:szCs w:val="24"/>
          <w:highlight w:val="none"/>
        </w:rPr>
        <w:t>实际延误天数＝实际施工天数</w:t>
      </w:r>
      <w:r>
        <w:rPr>
          <w:rFonts w:ascii="仿宋" w:hAnsi="仿宋" w:eastAsia="仿宋" w:cs="仿宋"/>
          <w:caps/>
          <w:color w:val="auto"/>
          <w:sz w:val="24"/>
          <w:szCs w:val="24"/>
          <w:highlight w:val="none"/>
        </w:rPr>
        <w:t xml:space="preserve"> </w:t>
      </w:r>
      <w:r>
        <w:rPr>
          <w:rFonts w:hint="eastAsia" w:ascii="仿宋" w:hAnsi="仿宋" w:eastAsia="仿宋" w:cs="仿宋"/>
          <w:caps/>
          <w:color w:val="auto"/>
          <w:sz w:val="24"/>
          <w:szCs w:val="24"/>
          <w:highlight w:val="none"/>
        </w:rPr>
        <w:t>－</w:t>
      </w:r>
      <w:r>
        <w:rPr>
          <w:rFonts w:ascii="仿宋" w:hAnsi="仿宋" w:eastAsia="仿宋" w:cs="仿宋"/>
          <w:caps/>
          <w:color w:val="auto"/>
          <w:sz w:val="24"/>
          <w:szCs w:val="24"/>
          <w:highlight w:val="none"/>
        </w:rPr>
        <w:t xml:space="preserve"> </w:t>
      </w:r>
      <w:r>
        <w:rPr>
          <w:rFonts w:hint="eastAsia" w:ascii="仿宋" w:hAnsi="仿宋" w:eastAsia="仿宋" w:cs="仿宋"/>
          <w:caps/>
          <w:color w:val="auto"/>
          <w:sz w:val="24"/>
          <w:szCs w:val="24"/>
          <w:highlight w:val="none"/>
        </w:rPr>
        <w:t>计划施工天数</w:t>
      </w:r>
    </w:p>
    <w:p>
      <w:pPr>
        <w:shd w:val="clear" w:color="000000" w:fill="auto"/>
        <w:spacing w:line="360" w:lineRule="auto"/>
        <w:ind w:left="1680" w:leftChars="800"/>
        <w:rPr>
          <w:rFonts w:ascii="仿宋" w:hAnsi="仿宋" w:eastAsia="仿宋" w:cs="Times New Roman"/>
          <w:caps/>
          <w:color w:val="auto"/>
          <w:sz w:val="24"/>
          <w:szCs w:val="24"/>
          <w:highlight w:val="none"/>
        </w:rPr>
      </w:pPr>
      <w:r>
        <w:rPr>
          <w:rFonts w:hint="eastAsia" w:ascii="仿宋" w:hAnsi="仿宋" w:eastAsia="仿宋" w:cs="仿宋"/>
          <w:caps/>
          <w:color w:val="auto"/>
          <w:sz w:val="24"/>
          <w:szCs w:val="24"/>
          <w:highlight w:val="none"/>
        </w:rPr>
        <w:t>合同工程发生误期，承包人应赔偿发包人由此造成的损失，并按照第</w:t>
      </w:r>
      <w:r>
        <w:rPr>
          <w:rFonts w:ascii="仿宋" w:hAnsi="仿宋" w:eastAsia="仿宋" w:cs="仿宋"/>
          <w:caps/>
          <w:color w:val="auto"/>
          <w:sz w:val="24"/>
          <w:szCs w:val="24"/>
          <w:highlight w:val="none"/>
        </w:rPr>
        <w:t>66.2</w:t>
      </w:r>
      <w:r>
        <w:rPr>
          <w:rFonts w:hint="eastAsia" w:ascii="仿宋" w:hAnsi="仿宋" w:eastAsia="仿宋" w:cs="仿宋"/>
          <w:caps/>
          <w:color w:val="auto"/>
          <w:sz w:val="24"/>
          <w:szCs w:val="24"/>
          <w:highlight w:val="none"/>
        </w:rPr>
        <w:t>款规定向发包人支付误期赔偿费。</w:t>
      </w:r>
    </w:p>
    <w:p>
      <w:pPr>
        <w:pStyle w:val="2"/>
        <w:shd w:val="clear" w:color="000000" w:fill="auto"/>
        <w:adjustRightInd w:val="0"/>
        <w:snapToGrid w:val="0"/>
        <w:spacing w:line="360" w:lineRule="auto"/>
        <w:ind w:right="-238"/>
        <w:rPr>
          <w:rFonts w:ascii="仿宋" w:hAnsi="仿宋" w:eastAsia="仿宋" w:cs="Times New Roman"/>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
        <w:shd w:val="clear" w:color="000000" w:fill="auto"/>
        <w:adjustRightInd w:val="0"/>
        <w:snapToGrid w:val="0"/>
        <w:spacing w:line="360" w:lineRule="auto"/>
        <w:ind w:firstLine="2768" w:firstLineChars="1149"/>
        <w:outlineLvl w:val="1"/>
        <w:rPr>
          <w:rFonts w:ascii="仿宋" w:hAnsi="仿宋" w:eastAsia="仿宋" w:cs="Times New Roman"/>
          <w:b/>
          <w:bCs/>
          <w:color w:val="auto"/>
          <w:sz w:val="24"/>
          <w:szCs w:val="24"/>
          <w:highlight w:val="none"/>
        </w:rPr>
      </w:pPr>
      <w:bookmarkStart w:id="244" w:name="_Toc13881"/>
      <w:bookmarkStart w:id="245" w:name="_Toc10558"/>
      <w:bookmarkStart w:id="246" w:name="_Toc469384023"/>
      <w:bookmarkStart w:id="247" w:name="_Toc10624863"/>
      <w:r>
        <w:rPr>
          <w:rFonts w:hint="eastAsia" w:ascii="仿宋" w:hAnsi="仿宋" w:eastAsia="仿宋" w:cs="仿宋"/>
          <w:b/>
          <w:bCs/>
          <w:color w:val="auto"/>
          <w:sz w:val="24"/>
          <w:szCs w:val="24"/>
          <w:highlight w:val="none"/>
        </w:rPr>
        <w:t>五、质量与安全</w:t>
      </w:r>
      <w:bookmarkEnd w:id="244"/>
      <w:bookmarkEnd w:id="245"/>
      <w:bookmarkEnd w:id="246"/>
      <w:bookmarkEnd w:id="247"/>
    </w:p>
    <w:p>
      <w:pPr>
        <w:pStyle w:val="2"/>
        <w:shd w:val="clear" w:color="000000" w:fill="auto"/>
        <w:adjustRightInd w:val="0"/>
        <w:snapToGrid w:val="0"/>
        <w:spacing w:line="360" w:lineRule="auto"/>
        <w:outlineLvl w:val="2"/>
        <w:rPr>
          <w:rFonts w:ascii="仿宋" w:hAnsi="仿宋" w:eastAsia="仿宋" w:cs="Times New Roman"/>
          <w:b/>
          <w:bCs/>
          <w:color w:val="auto"/>
          <w:sz w:val="24"/>
          <w:szCs w:val="24"/>
          <w:highlight w:val="none"/>
        </w:rPr>
      </w:pPr>
      <w:bookmarkStart w:id="248" w:name="_Toc10068"/>
      <w:bookmarkStart w:id="249" w:name="_Toc10624864"/>
      <w:bookmarkStart w:id="250" w:name="_Toc469384024"/>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41  </w:t>
      </w:r>
      <w:r>
        <w:rPr>
          <w:rFonts w:hint="eastAsia" w:ascii="仿宋" w:hAnsi="仿宋" w:eastAsia="仿宋" w:cs="仿宋"/>
          <w:b/>
          <w:bCs/>
          <w:color w:val="auto"/>
          <w:sz w:val="24"/>
          <w:szCs w:val="24"/>
          <w:highlight w:val="none"/>
        </w:rPr>
        <w:t>质量与安全管理</w:t>
      </w:r>
      <w:bookmarkEnd w:id="248"/>
      <w:bookmarkEnd w:id="249"/>
      <w:bookmarkEnd w:id="250"/>
    </w:p>
    <w:p>
      <w:pPr>
        <w:shd w:val="clear" w:color="000000" w:fill="auto"/>
        <w:tabs>
          <w:tab w:val="left" w:pos="780"/>
        </w:tabs>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41.1 </w:t>
      </w:r>
      <w:r>
        <w:rPr>
          <w:rFonts w:ascii="仿宋" w:hAnsi="仿宋" w:eastAsia="仿宋" w:cs="仿宋"/>
          <w:b/>
          <w:bCs/>
          <w:color w:val="auto"/>
          <w:sz w:val="24"/>
          <w:szCs w:val="24"/>
          <w:highlight w:val="none"/>
        </w:rPr>
        <w:tab/>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19008" behindDoc="0" locked="0" layoutInCell="1" allowOverlap="1">
                <wp:simplePos x="0" y="0"/>
                <wp:positionH relativeFrom="column">
                  <wp:posOffset>-114300</wp:posOffset>
                </wp:positionH>
                <wp:positionV relativeFrom="paragraph">
                  <wp:posOffset>-6350</wp:posOffset>
                </wp:positionV>
                <wp:extent cx="914400" cy="526415"/>
                <wp:effectExtent l="0" t="0" r="0" b="0"/>
                <wp:wrapNone/>
                <wp:docPr id="157" name="文本框 159"/>
                <wp:cNvGraphicFramePr/>
                <a:graphic xmlns:a="http://schemas.openxmlformats.org/drawingml/2006/main">
                  <a:graphicData uri="http://schemas.microsoft.com/office/word/2010/wordprocessingShape">
                    <wps:wsp>
                      <wps:cNvSpPr txBox="1"/>
                      <wps:spPr>
                        <a:xfrm>
                          <a:off x="0" y="0"/>
                          <a:ext cx="914400" cy="52641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履行职责和义务</w:t>
                            </w:r>
                          </w:p>
                        </w:txbxContent>
                      </wps:txbx>
                      <wps:bodyPr upright="1"/>
                    </wps:wsp>
                  </a:graphicData>
                </a:graphic>
              </wp:anchor>
            </w:drawing>
          </mc:Choice>
          <mc:Fallback>
            <w:pict>
              <v:shape id="文本框 159" o:spid="_x0000_s1026" o:spt="202" type="#_x0000_t202" style="position:absolute;left:0pt;margin-left:-9pt;margin-top:-0.5pt;height:41.45pt;width:72pt;z-index:251819008;mso-width-relative:page;mso-height-relative:page;" filled="f" stroked="f" coordsize="21600,21600" o:gfxdata="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tZ8091QAA&#10;AAkBAAAPAAAAAAAAAAEAIAAAACIAAABkcnMvZG93bnJldi54bWxQSwECFAAUAAAACACHTuJAFDxO&#10;z68BAABRAwAADgAAAAAAAAABACAAAAAkAQAAZHJzL2Uyb0RvYy54bWxQSwUGAAAAAAYABgBZAQAA&#10;R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履行职责和义务</w:t>
                      </w:r>
                    </w:p>
                  </w:txbxContent>
                </v:textbox>
              </v:shape>
            </w:pict>
          </mc:Fallback>
        </mc:AlternateContent>
      </w:r>
      <w:r>
        <w:rPr>
          <w:rFonts w:hint="eastAsia" w:ascii="仿宋" w:hAnsi="仿宋" w:eastAsia="仿宋" w:cs="仿宋"/>
          <w:color w:val="auto"/>
          <w:sz w:val="24"/>
          <w:szCs w:val="24"/>
          <w:highlight w:val="none"/>
        </w:rPr>
        <w:t>合同双方当事人应严格遵守国家、省有关工程质量和施工安全的法律法规、标准与规范等规定，认真履行合同约定的工程质量和施工安全的职责和义务。如发生质量、安全方面的问题、隐患，合同双方当事人应按照国家规定时限如实上报政府有关部门，配合政府有关部门的调查、处理，由此发生的费用和（或）延误的工期由责任方承担。</w:t>
      </w:r>
    </w:p>
    <w:p>
      <w:pPr>
        <w:pStyle w:val="13"/>
        <w:shd w:val="clear" w:color="000000" w:fill="auto"/>
        <w:adjustRightInd w:val="0"/>
        <w:snapToGrid w:val="0"/>
        <w:spacing w:line="480" w:lineRule="auto"/>
        <w:ind w:firstLine="0"/>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41.2  </w:t>
      </w:r>
      <w:r>
        <w:rPr>
          <w:rFonts w:ascii="仿宋" w:hAnsi="仿宋" w:eastAsia="仿宋" w:cs="仿宋"/>
          <w:b/>
          <w:bCs/>
          <w:color w:val="auto"/>
          <w:sz w:val="24"/>
          <w:szCs w:val="24"/>
          <w:highlight w:val="none"/>
          <w:u w:val="dotted"/>
        </w:rPr>
        <w:t xml:space="preserve">                                                                               </w:t>
      </w:r>
    </w:p>
    <w:p>
      <w:pPr>
        <w:pStyle w:val="13"/>
        <w:shd w:val="clear" w:color="000000" w:fill="auto"/>
        <w:adjustRightInd w:val="0"/>
        <w:snapToGrid w:val="0"/>
        <w:spacing w:line="360" w:lineRule="auto"/>
        <w:ind w:left="1619" w:leftChars="771" w:firstLine="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20032" behindDoc="0" locked="0" layoutInCell="1" allowOverlap="1">
                <wp:simplePos x="0" y="0"/>
                <wp:positionH relativeFrom="column">
                  <wp:posOffset>-114300</wp:posOffset>
                </wp:positionH>
                <wp:positionV relativeFrom="paragraph">
                  <wp:posOffset>35560</wp:posOffset>
                </wp:positionV>
                <wp:extent cx="914400" cy="410210"/>
                <wp:effectExtent l="0" t="0" r="0" b="0"/>
                <wp:wrapNone/>
                <wp:docPr id="158" name="文本框 160"/>
                <wp:cNvGraphicFramePr/>
                <a:graphic xmlns:a="http://schemas.openxmlformats.org/drawingml/2006/main">
                  <a:graphicData uri="http://schemas.microsoft.com/office/word/2010/wordprocessingShape">
                    <wps:wsp>
                      <wps:cNvSpPr txBox="1"/>
                      <wps:spPr>
                        <a:xfrm>
                          <a:off x="0" y="0"/>
                          <a:ext cx="914400" cy="41021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质量与安全的监管</w:t>
                            </w:r>
                          </w:p>
                        </w:txbxContent>
                      </wps:txbx>
                      <wps:bodyPr upright="1"/>
                    </wps:wsp>
                  </a:graphicData>
                </a:graphic>
              </wp:anchor>
            </w:drawing>
          </mc:Choice>
          <mc:Fallback>
            <w:pict>
              <v:shape id="文本框 160" o:spid="_x0000_s1026" o:spt="202" type="#_x0000_t202" style="position:absolute;left:0pt;margin-left:-9pt;margin-top:2.8pt;height:32.3pt;width:72pt;z-index:251820032;mso-width-relative:page;mso-height-relative:page;" filled="f" stroked="f" coordsize="21600,21600" o:gfxdata="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FLuJb1QAAAAgB&#10;AAAPAAAAAAAAAAEAIAAAACIAAABkcnMvZG93bnJldi54bWxQSwECFAAUAAAACACHTuJAJYVewKwB&#10;AABRAwAADgAAAAAAAAABACAAAAAkAQAAZHJzL2Uyb0RvYy54bWxQSwUGAAAAAAYABgBZAQAAQgUA&#10;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质量与安全的监管</w:t>
                      </w:r>
                    </w:p>
                  </w:txbxContent>
                </v:textbox>
              </v:shape>
            </w:pict>
          </mc:Fallback>
        </mc:AlternateContent>
      </w:r>
      <w:r>
        <w:rPr>
          <w:rFonts w:hint="eastAsia" w:ascii="仿宋" w:hAnsi="仿宋" w:eastAsia="仿宋" w:cs="仿宋"/>
          <w:color w:val="auto"/>
          <w:sz w:val="24"/>
          <w:szCs w:val="24"/>
          <w:highlight w:val="none"/>
        </w:rPr>
        <w:t>发包人在领取施工许可证或者开工报告之前，应按照国家有关规定办理合同工程质量和施工安全监督手续。承包人应在施工场地设置专门的工程质量和施工安全管理机构，配备专职管理人员，建立完善的管理制度。</w:t>
      </w:r>
    </w:p>
    <w:p>
      <w:pPr>
        <w:pStyle w:val="13"/>
        <w:shd w:val="clear" w:color="000000" w:fill="auto"/>
        <w:adjustRightInd w:val="0"/>
        <w:snapToGrid w:val="0"/>
        <w:spacing w:line="480" w:lineRule="auto"/>
        <w:ind w:firstLine="0"/>
        <w:rPr>
          <w:rFonts w:ascii="仿宋" w:hAnsi="仿宋" w:eastAsia="仿宋"/>
          <w:b/>
          <w:bCs/>
          <w:color w:val="auto"/>
          <w:sz w:val="24"/>
          <w:szCs w:val="24"/>
          <w:highlight w:val="none"/>
        </w:rPr>
      </w:pPr>
      <w:r>
        <w:rPr>
          <w:color w:val="auto"/>
          <w:highlight w:val="none"/>
        </w:rPr>
        <mc:AlternateContent>
          <mc:Choice Requires="wps">
            <w:drawing>
              <wp:anchor distT="0" distB="0" distL="114300" distR="114300" simplePos="0" relativeHeight="251821056" behindDoc="0" locked="0" layoutInCell="1" allowOverlap="1">
                <wp:simplePos x="0" y="0"/>
                <wp:positionH relativeFrom="column">
                  <wp:posOffset>-114300</wp:posOffset>
                </wp:positionH>
                <wp:positionV relativeFrom="paragraph">
                  <wp:posOffset>277495</wp:posOffset>
                </wp:positionV>
                <wp:extent cx="914400" cy="342900"/>
                <wp:effectExtent l="0" t="0" r="0" b="0"/>
                <wp:wrapNone/>
                <wp:docPr id="159" name="文本框 161"/>
                <wp:cNvGraphicFramePr/>
                <a:graphic xmlns:a="http://schemas.openxmlformats.org/drawingml/2006/main">
                  <a:graphicData uri="http://schemas.microsoft.com/office/word/2010/wordprocessingShape">
                    <wps:wsp>
                      <wps:cNvSpPr txBox="1"/>
                      <wps:spPr>
                        <a:xfrm>
                          <a:off x="0" y="0"/>
                          <a:ext cx="914400" cy="34290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管理的要求</w:t>
                            </w:r>
                          </w:p>
                        </w:txbxContent>
                      </wps:txbx>
                      <wps:bodyPr upright="1"/>
                    </wps:wsp>
                  </a:graphicData>
                </a:graphic>
              </wp:anchor>
            </w:drawing>
          </mc:Choice>
          <mc:Fallback>
            <w:pict>
              <v:shape id="文本框 161" o:spid="_x0000_s1026" o:spt="202" type="#_x0000_t202" style="position:absolute;left:0pt;margin-left:-9pt;margin-top:21.85pt;height:27pt;width:72pt;z-index:251821056;mso-width-relative:page;mso-height-relative:page;" filled="f" stroked="f" coordsize="21600,21600" o:gfxdata="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P5Azu9cA&#10;AAAJAQAADwAAAAAAAAABACAAAAAiAAAAZHJzL2Rvd25yZXYueG1sUEsBAhQAFAAAAAgAh07iQDqS&#10;ZoKuAQAAUQMAAA4AAAAAAAAAAQAgAAAAJgEAAGRycy9lMm9Eb2MueG1sUEsFBgAAAAAGAAYAWQEA&#10;AEY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管理的要求</w:t>
                      </w:r>
                    </w:p>
                  </w:txbxContent>
                </v:textbox>
              </v:shape>
            </w:pict>
          </mc:Fallback>
        </mc:AlternateContent>
      </w:r>
      <w:r>
        <w:rPr>
          <w:rFonts w:ascii="仿宋" w:hAnsi="仿宋" w:eastAsia="仿宋" w:cs="仿宋"/>
          <w:b/>
          <w:bCs/>
          <w:color w:val="auto"/>
          <w:sz w:val="24"/>
          <w:szCs w:val="24"/>
          <w:highlight w:val="none"/>
        </w:rPr>
        <w:t xml:space="preserve">41.3  </w:t>
      </w:r>
      <w:r>
        <w:rPr>
          <w:rFonts w:ascii="仿宋" w:hAnsi="仿宋" w:eastAsia="仿宋" w:cs="仿宋"/>
          <w:b/>
          <w:bCs/>
          <w:color w:val="auto"/>
          <w:sz w:val="24"/>
          <w:szCs w:val="24"/>
          <w:highlight w:val="none"/>
          <w:u w:val="dotted"/>
        </w:rPr>
        <w:t xml:space="preserve">                                                                                                       </w:t>
      </w:r>
    </w:p>
    <w:p>
      <w:pPr>
        <w:pStyle w:val="13"/>
        <w:shd w:val="clear" w:color="000000" w:fill="auto"/>
        <w:adjustRightInd w:val="0"/>
        <w:snapToGrid w:val="0"/>
        <w:spacing w:line="360" w:lineRule="auto"/>
        <w:ind w:left="1619" w:leftChars="771" w:firstLine="0"/>
        <w:rPr>
          <w:rFonts w:ascii="仿宋" w:hAnsi="仿宋" w:eastAsia="仿宋"/>
          <w:color w:val="auto"/>
          <w:sz w:val="24"/>
          <w:szCs w:val="24"/>
          <w:highlight w:val="none"/>
        </w:rPr>
      </w:pPr>
      <w:r>
        <w:rPr>
          <w:rFonts w:hint="eastAsia" w:ascii="仿宋" w:hAnsi="仿宋" w:eastAsia="仿宋" w:cs="仿宋"/>
          <w:color w:val="auto"/>
          <w:sz w:val="24"/>
          <w:szCs w:val="24"/>
          <w:highlight w:val="none"/>
        </w:rPr>
        <w:t>发包人不得以任何理由，要求承包人在施工作业中违反法律法规、工程建设强制性标准，以及工程质量和施工安全标准，降低合同工程质量。承包人应加强对施工作业人员的工程质量和施工安全教育培训，定期考核施工作业人员的劳动技能，加强工程质量和施工安全管理。</w:t>
      </w:r>
    </w:p>
    <w:p>
      <w:pPr>
        <w:pStyle w:val="13"/>
        <w:shd w:val="clear" w:color="000000" w:fill="auto"/>
        <w:adjustRightInd w:val="0"/>
        <w:snapToGrid w:val="0"/>
        <w:spacing w:line="360" w:lineRule="auto"/>
        <w:ind w:firstLine="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22080" behindDoc="0" locked="0" layoutInCell="1" allowOverlap="1">
                <wp:simplePos x="0" y="0"/>
                <wp:positionH relativeFrom="column">
                  <wp:posOffset>-115570</wp:posOffset>
                </wp:positionH>
                <wp:positionV relativeFrom="paragraph">
                  <wp:posOffset>279400</wp:posOffset>
                </wp:positionV>
                <wp:extent cx="914400" cy="389890"/>
                <wp:effectExtent l="0" t="0" r="0" b="0"/>
                <wp:wrapNone/>
                <wp:docPr id="160" name="文本框 162"/>
                <wp:cNvGraphicFramePr/>
                <a:graphic xmlns:a="http://schemas.openxmlformats.org/drawingml/2006/main">
                  <a:graphicData uri="http://schemas.microsoft.com/office/word/2010/wordprocessingShape">
                    <wps:wsp>
                      <wps:cNvSpPr txBox="1"/>
                      <wps:spPr>
                        <a:xfrm>
                          <a:off x="0" y="0"/>
                          <a:ext cx="914400" cy="389890"/>
                        </a:xfrm>
                        <a:prstGeom prst="rect">
                          <a:avLst/>
                        </a:prstGeom>
                        <a:noFill/>
                        <a:ln>
                          <a:noFill/>
                        </a:ln>
                      </wps:spPr>
                      <wps:txb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承包人对质量与安全负责</w:t>
                            </w:r>
                          </w:p>
                        </w:txbxContent>
                      </wps:txbx>
                      <wps:bodyPr upright="1"/>
                    </wps:wsp>
                  </a:graphicData>
                </a:graphic>
              </wp:anchor>
            </w:drawing>
          </mc:Choice>
          <mc:Fallback>
            <w:pict>
              <v:shape id="文本框 162" o:spid="_x0000_s1026" o:spt="202" type="#_x0000_t202" style="position:absolute;left:0pt;margin-left:-9.1pt;margin-top:22pt;height:30.7pt;width:72pt;z-index:251822080;mso-width-relative:page;mso-height-relative:page;" filled="f" stroked="f" coordsize="21600,21600" o:gfxdata="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t3YQS9YA&#10;AAAKAQAADwAAAAAAAAABACAAAAAiAAAAZHJzL2Rvd25yZXYueG1sUEsBAhQAFAAAAAgAh07iQGIb&#10;zBevAQAAUQMAAA4AAAAAAAAAAQAgAAAAJQEAAGRycy9lMm9Eb2MueG1sUEsFBgAAAAAGAAYAWQEA&#10;AEYFAAAAAA==&#10;">
                <v:fill on="f" focussize="0,0"/>
                <v:stroke on="f"/>
                <v:imagedata o:title=""/>
                <o:lock v:ext="edit" aspectratio="f"/>
                <v:textbo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承包人对质量与安全负责</w:t>
                      </w:r>
                    </w:p>
                  </w:txbxContent>
                </v:textbox>
              </v:shape>
            </w:pict>
          </mc:Fallback>
        </mc:AlternateContent>
      </w:r>
      <w:r>
        <w:rPr>
          <w:rFonts w:ascii="仿宋" w:hAnsi="仿宋" w:eastAsia="仿宋" w:cs="仿宋"/>
          <w:b/>
          <w:bCs/>
          <w:color w:val="auto"/>
          <w:sz w:val="24"/>
          <w:szCs w:val="24"/>
          <w:highlight w:val="none"/>
        </w:rPr>
        <w:t xml:space="preserve">41.4  </w:t>
      </w:r>
      <w:r>
        <w:rPr>
          <w:rFonts w:ascii="仿宋" w:hAnsi="仿宋" w:eastAsia="仿宋" w:cs="仿宋"/>
          <w:b/>
          <w:bCs/>
          <w:color w:val="auto"/>
          <w:sz w:val="24"/>
          <w:szCs w:val="24"/>
          <w:highlight w:val="none"/>
          <w:u w:val="dotted"/>
        </w:rPr>
        <w:t xml:space="preserve"> </w:t>
      </w:r>
      <w:r>
        <w:rPr>
          <w:rFonts w:ascii="仿宋" w:hAnsi="仿宋" w:eastAsia="仿宋" w:cs="仿宋"/>
          <w:color w:val="auto"/>
          <w:sz w:val="24"/>
          <w:szCs w:val="24"/>
          <w:highlight w:val="none"/>
          <w:u w:val="dotted"/>
        </w:rPr>
        <w:t xml:space="preserve">                                                                                                       </w:t>
      </w:r>
    </w:p>
    <w:p>
      <w:pPr>
        <w:pStyle w:val="13"/>
        <w:shd w:val="clear" w:color="000000" w:fill="auto"/>
        <w:adjustRightInd w:val="0"/>
        <w:snapToGrid w:val="0"/>
        <w:spacing w:line="360" w:lineRule="auto"/>
        <w:ind w:left="1619" w:leftChars="771" w:firstLine="0"/>
        <w:rPr>
          <w:rFonts w:ascii="仿宋" w:hAnsi="仿宋" w:eastAsia="仿宋"/>
          <w:color w:val="auto"/>
          <w:sz w:val="24"/>
          <w:szCs w:val="24"/>
          <w:highlight w:val="none"/>
        </w:rPr>
      </w:pPr>
      <w:r>
        <w:rPr>
          <w:rFonts w:hint="eastAsia" w:ascii="仿宋" w:hAnsi="仿宋" w:eastAsia="仿宋" w:cs="仿宋"/>
          <w:color w:val="auto"/>
          <w:sz w:val="24"/>
          <w:szCs w:val="24"/>
          <w:highlight w:val="none"/>
        </w:rPr>
        <w:t>承包人应对合同工程质量和施工安全负责，严格执行国家、省有关工程质量和施工安全的操作规程及管理要求，按照施工设计图纸和施工技术标准施工，不得偷工减料，不得擅自修改施工设计图纸，确保合同工程质量和施工安全。</w:t>
      </w:r>
    </w:p>
    <w:p>
      <w:pPr>
        <w:pStyle w:val="13"/>
        <w:shd w:val="clear" w:color="000000" w:fill="auto"/>
        <w:adjustRightInd w:val="0"/>
        <w:snapToGrid w:val="0"/>
        <w:spacing w:line="360" w:lineRule="auto"/>
        <w:ind w:left="1619" w:leftChars="771" w:firstLine="0"/>
        <w:rPr>
          <w:rFonts w:ascii="仿宋" w:hAnsi="仿宋" w:eastAsia="仿宋"/>
          <w:color w:val="auto"/>
          <w:kern w:val="0"/>
          <w:sz w:val="24"/>
          <w:szCs w:val="24"/>
          <w:highlight w:val="none"/>
        </w:rPr>
      </w:pPr>
      <w:r>
        <w:rPr>
          <w:rFonts w:hint="eastAsia" w:ascii="仿宋" w:hAnsi="仿宋" w:eastAsia="仿宋" w:cs="仿宋"/>
          <w:color w:val="auto"/>
          <w:kern w:val="0"/>
          <w:sz w:val="24"/>
          <w:szCs w:val="24"/>
          <w:highlight w:val="none"/>
        </w:rPr>
        <w:t>因承包人原因造成工程质量未达到合同约定标准的，发包人有权要求承包人返工直至工程质量达到合同约定的标准为止，并由承包人承担由此增加的费用和延误工期的责任。</w:t>
      </w:r>
    </w:p>
    <w:p>
      <w:pPr>
        <w:pStyle w:val="13"/>
        <w:shd w:val="clear" w:color="000000" w:fill="auto"/>
        <w:adjustRightInd w:val="0"/>
        <w:snapToGrid w:val="0"/>
        <w:spacing w:line="360" w:lineRule="auto"/>
        <w:ind w:firstLine="0"/>
        <w:rPr>
          <w:rFonts w:ascii="仿宋" w:hAnsi="仿宋" w:eastAsia="仿宋"/>
          <w:color w:val="auto"/>
          <w:sz w:val="24"/>
          <w:szCs w:val="24"/>
          <w:highlight w:val="none"/>
        </w:rPr>
      </w:pPr>
      <w:r>
        <w:rPr>
          <w:rFonts w:ascii="仿宋" w:hAnsi="仿宋" w:eastAsia="仿宋" w:cs="仿宋"/>
          <w:b/>
          <w:bCs/>
          <w:color w:val="auto"/>
          <w:sz w:val="24"/>
          <w:szCs w:val="24"/>
          <w:highlight w:val="none"/>
        </w:rPr>
        <w:t xml:space="preserve">41.5  </w:t>
      </w:r>
      <w:r>
        <w:rPr>
          <w:rFonts w:ascii="仿宋" w:hAnsi="仿宋" w:eastAsia="仿宋" w:cs="仿宋"/>
          <w:b/>
          <w:bCs/>
          <w:color w:val="auto"/>
          <w:sz w:val="24"/>
          <w:szCs w:val="24"/>
          <w:highlight w:val="none"/>
          <w:u w:val="dotted"/>
        </w:rPr>
        <w:t xml:space="preserve"> </w:t>
      </w:r>
      <w:r>
        <w:rPr>
          <w:rFonts w:ascii="仿宋" w:hAnsi="仿宋" w:eastAsia="仿宋" w:cs="仿宋"/>
          <w:color w:val="auto"/>
          <w:sz w:val="24"/>
          <w:szCs w:val="24"/>
          <w:highlight w:val="none"/>
          <w:u w:val="dotted"/>
        </w:rPr>
        <w:t xml:space="preserve">                                                                                </w:t>
      </w:r>
    </w:p>
    <w:p>
      <w:pPr>
        <w:shd w:val="clear" w:color="000000" w:fill="auto"/>
        <w:autoSpaceDE w:val="0"/>
        <w:autoSpaceDN w:val="0"/>
        <w:adjustRightInd w:val="0"/>
        <w:spacing w:line="360" w:lineRule="auto"/>
        <w:ind w:left="1495" w:leftChars="712"/>
        <w:jc w:val="left"/>
        <w:rPr>
          <w:rFonts w:ascii="仿宋" w:hAnsi="仿宋" w:eastAsia="仿宋" w:cs="Times New Roman"/>
          <w:color w:val="auto"/>
          <w:kern w:val="0"/>
          <w:sz w:val="24"/>
          <w:szCs w:val="24"/>
          <w:highlight w:val="none"/>
        </w:rPr>
      </w:pPr>
      <w:r>
        <w:rPr>
          <w:color w:val="auto"/>
          <w:highlight w:val="none"/>
        </w:rPr>
        <mc:AlternateContent>
          <mc:Choice Requires="wps">
            <w:drawing>
              <wp:anchor distT="0" distB="0" distL="114300" distR="114300" simplePos="0" relativeHeight="251823104" behindDoc="0" locked="0" layoutInCell="1" allowOverlap="1">
                <wp:simplePos x="0" y="0"/>
                <wp:positionH relativeFrom="column">
                  <wp:posOffset>-114300</wp:posOffset>
                </wp:positionH>
                <wp:positionV relativeFrom="paragraph">
                  <wp:posOffset>13970</wp:posOffset>
                </wp:positionV>
                <wp:extent cx="914400" cy="594360"/>
                <wp:effectExtent l="0" t="0" r="0" b="0"/>
                <wp:wrapNone/>
                <wp:docPr id="161" name="文本框 163"/>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pPr>
                              <w:spacing w:line="240" w:lineRule="exact"/>
                              <w:jc w:val="left"/>
                              <w:rPr>
                                <w:rFonts w:ascii="楷体_GB2312" w:hAnsi="宋体" w:eastAsia="楷体_GB2312" w:cs="Times New Roman"/>
                                <w:b/>
                                <w:bCs/>
                                <w:sz w:val="18"/>
                                <w:szCs w:val="18"/>
                              </w:rPr>
                            </w:pPr>
                            <w:r>
                              <w:rPr>
                                <w:rFonts w:hint="eastAsia" w:ascii="楷体_GB2312" w:hAnsi="宋体" w:eastAsia="楷体_GB2312" w:cs="楷体_GB2312"/>
                                <w:b/>
                                <w:bCs/>
                                <w:sz w:val="18"/>
                                <w:szCs w:val="18"/>
                              </w:rPr>
                              <w:t>发包人对质量与安全应负的责任</w:t>
                            </w:r>
                          </w:p>
                        </w:txbxContent>
                      </wps:txbx>
                      <wps:bodyPr upright="1"/>
                    </wps:wsp>
                  </a:graphicData>
                </a:graphic>
              </wp:anchor>
            </w:drawing>
          </mc:Choice>
          <mc:Fallback>
            <w:pict>
              <v:shape id="文本框 163" o:spid="_x0000_s1026" o:spt="202" type="#_x0000_t202" style="position:absolute;left:0pt;margin-left:-9pt;margin-top:1.1pt;height:46.8pt;width:72pt;z-index:251823104;mso-width-relative:page;mso-height-relative:page;" filled="f" stroked="f" coordsize="21600,21600" o:gfxdata="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W2NDS1QAA&#10;AAgBAAAPAAAAAAAAAAEAIAAAACIAAABkcnMvZG93bnJldi54bWxQSwECFAAUAAAACACHTuJA1KEy&#10;na8BAABRAwAADgAAAAAAAAABACAAAAAkAQAAZHJzL2Uyb0RvYy54bWxQSwUGAAAAAAYABgBZAQAA&#10;RQUAAAAA&#10;">
                <v:fill on="f" focussize="0,0"/>
                <v:stroke on="f"/>
                <v:imagedata o:title=""/>
                <o:lock v:ext="edit" aspectratio="f"/>
                <v:textbox>
                  <w:txbxContent>
                    <w:p>
                      <w:pPr>
                        <w:spacing w:line="240" w:lineRule="exact"/>
                        <w:jc w:val="left"/>
                        <w:rPr>
                          <w:rFonts w:ascii="楷体_GB2312" w:hAnsi="宋体" w:eastAsia="楷体_GB2312" w:cs="Times New Roman"/>
                          <w:b/>
                          <w:bCs/>
                          <w:sz w:val="18"/>
                          <w:szCs w:val="18"/>
                        </w:rPr>
                      </w:pPr>
                      <w:r>
                        <w:rPr>
                          <w:rFonts w:hint="eastAsia" w:ascii="楷体_GB2312" w:hAnsi="宋体" w:eastAsia="楷体_GB2312" w:cs="楷体_GB2312"/>
                          <w:b/>
                          <w:bCs/>
                          <w:sz w:val="18"/>
                          <w:szCs w:val="18"/>
                        </w:rPr>
                        <w:t>发包人对质量与安全应负的责任</w:t>
                      </w:r>
                    </w:p>
                  </w:txbxContent>
                </v:textbox>
              </v:shape>
            </w:pict>
          </mc:Fallback>
        </mc:AlternateContent>
      </w:r>
      <w:r>
        <w:rPr>
          <w:rFonts w:hint="eastAsia" w:ascii="仿宋" w:hAnsi="仿宋" w:eastAsia="仿宋" w:cs="仿宋"/>
          <w:color w:val="auto"/>
          <w:kern w:val="0"/>
          <w:sz w:val="24"/>
          <w:szCs w:val="24"/>
          <w:highlight w:val="none"/>
        </w:rPr>
        <w:t>因发包人原因造成工程质量未达到合同约定标准的，由发包人承担由此增加的费用和延误工期的责任，增加的费用按本合同相关条款以及投标报价或预算的计价原则计算。</w:t>
      </w:r>
    </w:p>
    <w:p>
      <w:pPr>
        <w:shd w:val="clear" w:color="000000" w:fill="auto"/>
        <w:autoSpaceDE w:val="0"/>
        <w:autoSpaceDN w:val="0"/>
        <w:adjustRightInd w:val="0"/>
        <w:spacing w:line="360" w:lineRule="auto"/>
        <w:jc w:val="left"/>
        <w:rPr>
          <w:rFonts w:ascii="仿宋" w:hAnsi="仿宋" w:eastAsia="仿宋" w:cs="仿宋"/>
          <w:color w:val="auto"/>
          <w:sz w:val="24"/>
          <w:szCs w:val="24"/>
          <w:highlight w:val="none"/>
          <w:u w:val="dotted"/>
        </w:rPr>
      </w:pPr>
      <w:r>
        <w:rPr>
          <w:rFonts w:ascii="仿宋" w:hAnsi="仿宋" w:eastAsia="仿宋" w:cs="仿宋"/>
          <w:b/>
          <w:bCs/>
          <w:color w:val="auto"/>
          <w:sz w:val="24"/>
          <w:szCs w:val="24"/>
          <w:highlight w:val="none"/>
        </w:rPr>
        <w:t xml:space="preserve">41.6 </w:t>
      </w:r>
      <w:r>
        <w:rPr>
          <w:rFonts w:ascii="仿宋" w:hAnsi="仿宋" w:eastAsia="仿宋" w:cs="仿宋"/>
          <w:b/>
          <w:bCs/>
          <w:color w:val="auto"/>
          <w:sz w:val="24"/>
          <w:szCs w:val="24"/>
          <w:highlight w:val="none"/>
          <w:u w:val="dotted"/>
        </w:rPr>
        <w:t xml:space="preserve"> </w:t>
      </w:r>
      <w:r>
        <w:rPr>
          <w:rFonts w:ascii="仿宋" w:hAnsi="仿宋" w:eastAsia="仿宋" w:cs="仿宋"/>
          <w:color w:val="auto"/>
          <w:sz w:val="24"/>
          <w:szCs w:val="24"/>
          <w:highlight w:val="none"/>
          <w:u w:val="dotted"/>
        </w:rPr>
        <w:t xml:space="preserve">                                                                               </w:t>
      </w:r>
    </w:p>
    <w:p>
      <w:pPr>
        <w:shd w:val="clear" w:color="000000" w:fill="auto"/>
        <w:autoSpaceDE w:val="0"/>
        <w:autoSpaceDN w:val="0"/>
        <w:adjustRightInd w:val="0"/>
        <w:spacing w:line="360" w:lineRule="auto"/>
        <w:ind w:left="1346" w:leftChars="641"/>
        <w:jc w:val="left"/>
        <w:rPr>
          <w:rFonts w:ascii="仿宋" w:hAnsi="仿宋" w:eastAsia="仿宋" w:cs="Times New Roman"/>
          <w:color w:val="auto"/>
          <w:kern w:val="0"/>
          <w:sz w:val="24"/>
          <w:szCs w:val="24"/>
          <w:highlight w:val="none"/>
        </w:rPr>
      </w:pPr>
      <w:r>
        <w:rPr>
          <w:color w:val="auto"/>
          <w:highlight w:val="none"/>
        </w:rPr>
        <mc:AlternateContent>
          <mc:Choice Requires="wps">
            <w:drawing>
              <wp:anchor distT="0" distB="0" distL="114300" distR="114300" simplePos="0" relativeHeight="251824128" behindDoc="0" locked="0" layoutInCell="1" allowOverlap="1">
                <wp:simplePos x="0" y="0"/>
                <wp:positionH relativeFrom="column">
                  <wp:posOffset>-114300</wp:posOffset>
                </wp:positionH>
                <wp:positionV relativeFrom="paragraph">
                  <wp:posOffset>16510</wp:posOffset>
                </wp:positionV>
                <wp:extent cx="800100" cy="495300"/>
                <wp:effectExtent l="0" t="0" r="0" b="0"/>
                <wp:wrapNone/>
                <wp:docPr id="162" name="文本框 164"/>
                <wp:cNvGraphicFramePr/>
                <a:graphic xmlns:a="http://schemas.openxmlformats.org/drawingml/2006/main">
                  <a:graphicData uri="http://schemas.microsoft.com/office/word/2010/wordprocessingShape">
                    <wps:wsp>
                      <wps:cNvSpPr txBox="1"/>
                      <wps:spPr>
                        <a:xfrm>
                          <a:off x="0" y="0"/>
                          <a:ext cx="800100" cy="495300"/>
                        </a:xfrm>
                        <a:prstGeom prst="rect">
                          <a:avLst/>
                        </a:prstGeom>
                        <a:noFill/>
                        <a:ln>
                          <a:noFill/>
                        </a:ln>
                      </wps:spPr>
                      <wps:txbx>
                        <w:txbxContent>
                          <w:p>
                            <w:pPr>
                              <w:rPr>
                                <w:rFonts w:cs="Times New Roman"/>
                                <w:color w:val="FF0000"/>
                              </w:rPr>
                            </w:pPr>
                            <w:r>
                              <w:rPr>
                                <w:rFonts w:hint="eastAsia" w:ascii="楷体_GB2312" w:hAnsi="宋体" w:eastAsia="楷体_GB2312" w:cs="楷体_GB2312"/>
                                <w:b/>
                                <w:bCs/>
                                <w:sz w:val="18"/>
                                <w:szCs w:val="18"/>
                              </w:rPr>
                              <w:t>监理人的质量检查和检验</w:t>
                            </w:r>
                          </w:p>
                        </w:txbxContent>
                      </wps:txbx>
                      <wps:bodyPr upright="1"/>
                    </wps:wsp>
                  </a:graphicData>
                </a:graphic>
              </wp:anchor>
            </w:drawing>
          </mc:Choice>
          <mc:Fallback>
            <w:pict>
              <v:shape id="文本框 164" o:spid="_x0000_s1026" o:spt="202" type="#_x0000_t202" style="position:absolute;left:0pt;margin-left:-9pt;margin-top:1.3pt;height:39pt;width:63pt;z-index:251824128;mso-width-relative:page;mso-height-relative:page;" filled="f" stroked="f" coordsize="21600,21600" o:gfxdata="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4kbEE1AAAAAgB&#10;AAAPAAAAAAAAAAEAIAAAACIAAABkcnMvZG93bnJldi54bWxQSwECFAAUAAAACACHTuJAirO+K60B&#10;AABRAwAADgAAAAAAAAABACAAAAAjAQAAZHJzL2Uyb0RvYy54bWxQSwUGAAAAAAYABgBZAQAAQgUA&#10;AAAA&#10;">
                <v:fill on="f" focussize="0,0"/>
                <v:stroke on="f"/>
                <v:imagedata o:title=""/>
                <o:lock v:ext="edit" aspectratio="f"/>
                <v:textbox>
                  <w:txbxContent>
                    <w:p>
                      <w:pPr>
                        <w:rPr>
                          <w:rFonts w:cs="Times New Roman"/>
                          <w:color w:val="FF0000"/>
                        </w:rPr>
                      </w:pPr>
                      <w:r>
                        <w:rPr>
                          <w:rFonts w:hint="eastAsia" w:ascii="楷体_GB2312" w:hAnsi="宋体" w:eastAsia="楷体_GB2312" w:cs="楷体_GB2312"/>
                          <w:b/>
                          <w:bCs/>
                          <w:sz w:val="18"/>
                          <w:szCs w:val="18"/>
                        </w:rPr>
                        <w:t>监理人的质量检查和检验</w:t>
                      </w:r>
                    </w:p>
                  </w:txbxContent>
                </v:textbox>
              </v:shape>
            </w:pict>
          </mc:Fallback>
        </mc:AlternateContent>
      </w:r>
      <w:r>
        <w:rPr>
          <w:rFonts w:hint="eastAsia" w:ascii="仿宋" w:hAnsi="仿宋" w:eastAsia="仿宋" w:cs="仿宋"/>
          <w:color w:val="auto"/>
          <w:kern w:val="0"/>
          <w:sz w:val="24"/>
          <w:szCs w:val="24"/>
          <w:highlight w:val="none"/>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pPr>
        <w:pStyle w:val="13"/>
        <w:shd w:val="clear" w:color="000000" w:fill="auto"/>
        <w:adjustRightInd w:val="0"/>
        <w:snapToGrid w:val="0"/>
        <w:spacing w:line="360" w:lineRule="auto"/>
        <w:ind w:firstLine="0"/>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13"/>
        <w:shd w:val="clear" w:color="000000" w:fill="auto"/>
        <w:adjustRightInd w:val="0"/>
        <w:snapToGrid w:val="0"/>
        <w:spacing w:line="360" w:lineRule="auto"/>
        <w:ind w:firstLine="0"/>
        <w:outlineLvl w:val="2"/>
        <w:rPr>
          <w:rFonts w:ascii="仿宋" w:hAnsi="仿宋" w:eastAsia="仿宋"/>
          <w:b/>
          <w:bCs/>
          <w:color w:val="auto"/>
          <w:sz w:val="24"/>
          <w:szCs w:val="24"/>
          <w:highlight w:val="none"/>
        </w:rPr>
      </w:pPr>
      <w:bookmarkStart w:id="251" w:name="_Toc19074"/>
      <w:bookmarkStart w:id="252" w:name="_Toc10624865"/>
      <w:bookmarkStart w:id="253" w:name="_Toc469384025"/>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42  </w:t>
      </w:r>
      <w:r>
        <w:rPr>
          <w:rFonts w:hint="eastAsia" w:ascii="仿宋" w:hAnsi="仿宋" w:eastAsia="仿宋" w:cs="仿宋"/>
          <w:b/>
          <w:bCs/>
          <w:color w:val="auto"/>
          <w:sz w:val="24"/>
          <w:szCs w:val="24"/>
          <w:highlight w:val="none"/>
        </w:rPr>
        <w:t>质量标准</w:t>
      </w:r>
      <w:bookmarkEnd w:id="251"/>
      <w:bookmarkEnd w:id="252"/>
      <w:bookmarkEnd w:id="253"/>
    </w:p>
    <w:p>
      <w:pPr>
        <w:shd w:val="clear" w:color="000000" w:fill="auto"/>
        <w:adjustRightInd w:val="0"/>
        <w:snapToGrid w:val="0"/>
        <w:spacing w:line="360" w:lineRule="auto"/>
        <w:jc w:val="left"/>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42.1 </w:t>
      </w:r>
    </w:p>
    <w:p>
      <w:pPr>
        <w:shd w:val="clear" w:color="000000" w:fill="auto"/>
        <w:adjustRightInd w:val="0"/>
        <w:snapToGrid w:val="0"/>
        <w:spacing w:line="360" w:lineRule="auto"/>
        <w:ind w:left="1619" w:leftChars="771"/>
        <w:jc w:val="left"/>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25152" behindDoc="0" locked="0" layoutInCell="1" allowOverlap="1">
                <wp:simplePos x="0" y="0"/>
                <wp:positionH relativeFrom="column">
                  <wp:posOffset>-114300</wp:posOffset>
                </wp:positionH>
                <wp:positionV relativeFrom="paragraph">
                  <wp:posOffset>8255</wp:posOffset>
                </wp:positionV>
                <wp:extent cx="914400" cy="389890"/>
                <wp:effectExtent l="0" t="0" r="0" b="0"/>
                <wp:wrapNone/>
                <wp:docPr id="163" name="文本框 165"/>
                <wp:cNvGraphicFramePr/>
                <a:graphic xmlns:a="http://schemas.openxmlformats.org/drawingml/2006/main">
                  <a:graphicData uri="http://schemas.microsoft.com/office/word/2010/wordprocessingShape">
                    <wps:wsp>
                      <wps:cNvSpPr txBox="1"/>
                      <wps:spPr>
                        <a:xfrm>
                          <a:off x="0" y="0"/>
                          <a:ext cx="914400" cy="389890"/>
                        </a:xfrm>
                        <a:prstGeom prst="rect">
                          <a:avLst/>
                        </a:prstGeom>
                        <a:noFill/>
                        <a:ln>
                          <a:noFill/>
                        </a:ln>
                      </wps:spPr>
                      <wps:txb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约定工程质量标准</w:t>
                            </w:r>
                          </w:p>
                        </w:txbxContent>
                      </wps:txbx>
                      <wps:bodyPr upright="1"/>
                    </wps:wsp>
                  </a:graphicData>
                </a:graphic>
              </wp:anchor>
            </w:drawing>
          </mc:Choice>
          <mc:Fallback>
            <w:pict>
              <v:shape id="文本框 165" o:spid="_x0000_s1026" o:spt="202" type="#_x0000_t202" style="position:absolute;left:0pt;margin-left:-9pt;margin-top:0.65pt;height:30.7pt;width:72pt;z-index:251825152;mso-width-relative:page;mso-height-relative:page;" filled="f" stroked="f" coordsize="21600,21600" o:gfxdata="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0IwP89UA&#10;AAAIAQAADwAAAAAAAAABACAAAAAiAAAAZHJzL2Rvd25yZXYueG1sUEsBAhQAFAAAAAgAh07iQD9+&#10;6JOwAQAAUQMAAA4AAAAAAAAAAQAgAAAAJAEAAGRycy9lMm9Eb2MueG1sUEsFBgAAAAAGAAYAWQEA&#10;AEYFAAAAAA==&#10;">
                <v:fill on="f" focussize="0,0"/>
                <v:stroke on="f"/>
                <v:imagedata o:title=""/>
                <o:lock v:ext="edit" aspectratio="f"/>
                <v:textbo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约定工程质量标准</w:t>
                      </w:r>
                    </w:p>
                  </w:txbxContent>
                </v:textbox>
              </v:shape>
            </w:pict>
          </mc:Fallback>
        </mc:AlternateContent>
      </w:r>
      <w:r>
        <w:rPr>
          <w:rFonts w:hint="eastAsia" w:ascii="仿宋" w:hAnsi="仿宋" w:eastAsia="仿宋" w:cs="仿宋"/>
          <w:color w:val="auto"/>
          <w:sz w:val="24"/>
          <w:szCs w:val="24"/>
          <w:highlight w:val="none"/>
        </w:rPr>
        <w:t>合同双方当事人应在专用条款中约定工程质量标准，但不得低于国家或行业的强制性标准。工程质量应当达到专用条款约定的质量标准。</w:t>
      </w:r>
    </w:p>
    <w:p>
      <w:pPr>
        <w:shd w:val="clear" w:color="000000" w:fill="auto"/>
        <w:adjustRightInd w:val="0"/>
        <w:snapToGrid w:val="0"/>
        <w:spacing w:line="360" w:lineRule="auto"/>
        <w:ind w:left="1619" w:leftChars="771"/>
        <w:jc w:val="left"/>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工程质量验收，按照合同约定的标准执行；合同没有约定的，按照国家或行业的质量验收标准执行。</w:t>
      </w:r>
    </w:p>
    <w:p>
      <w:pPr>
        <w:shd w:val="clear" w:color="000000" w:fill="auto"/>
        <w:adjustRightInd w:val="0"/>
        <w:snapToGrid w:val="0"/>
        <w:spacing w:line="360" w:lineRule="auto"/>
        <w:jc w:val="left"/>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26176" behindDoc="0" locked="0" layoutInCell="1" allowOverlap="1">
                <wp:simplePos x="0" y="0"/>
                <wp:positionH relativeFrom="column">
                  <wp:posOffset>-114300</wp:posOffset>
                </wp:positionH>
                <wp:positionV relativeFrom="paragraph">
                  <wp:posOffset>256540</wp:posOffset>
                </wp:positionV>
                <wp:extent cx="977900" cy="471805"/>
                <wp:effectExtent l="0" t="0" r="0" b="0"/>
                <wp:wrapNone/>
                <wp:docPr id="164" name="文本框 166"/>
                <wp:cNvGraphicFramePr/>
                <a:graphic xmlns:a="http://schemas.openxmlformats.org/drawingml/2006/main">
                  <a:graphicData uri="http://schemas.microsoft.com/office/word/2010/wordprocessingShape">
                    <wps:wsp>
                      <wps:cNvSpPr txBox="1"/>
                      <wps:spPr>
                        <a:xfrm>
                          <a:off x="0" y="0"/>
                          <a:ext cx="977900" cy="471805"/>
                        </a:xfrm>
                        <a:prstGeom prst="rect">
                          <a:avLst/>
                        </a:prstGeom>
                        <a:noFill/>
                        <a:ln>
                          <a:noFill/>
                        </a:ln>
                      </wps:spPr>
                      <wps:txb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承包人保证工程质量的职责</w:t>
                            </w:r>
                          </w:p>
                        </w:txbxContent>
                      </wps:txbx>
                      <wps:bodyPr upright="1"/>
                    </wps:wsp>
                  </a:graphicData>
                </a:graphic>
              </wp:anchor>
            </w:drawing>
          </mc:Choice>
          <mc:Fallback>
            <w:pict>
              <v:shape id="文本框 166" o:spid="_x0000_s1026" o:spt="202" type="#_x0000_t202" style="position:absolute;left:0pt;margin-left:-9pt;margin-top:20.2pt;height:37.15pt;width:77pt;z-index:251826176;mso-width-relative:page;mso-height-relative:page;" filled="f" stroked="f" coordsize="21600,21600" o:gfxdata="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GfVgi/X&#10;AAAACgEAAA8AAAAAAAAAAQAgAAAAIgAAAGRycy9kb3ducmV2LnhtbFBLAQIUABQAAAAIAIdO4kCW&#10;JrY5rwEAAFEDAAAOAAAAAAAAAAEAIAAAACYBAABkcnMvZTJvRG9jLnhtbFBLBQYAAAAABgAGAFkB&#10;AABHBQAAAAA=&#10;">
                <v:fill on="f" focussize="0,0"/>
                <v:stroke on="f"/>
                <v:imagedata o:title=""/>
                <o:lock v:ext="edit" aspectratio="f"/>
                <v:textbo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承包人保证工程质量的职责</w:t>
                      </w:r>
                    </w:p>
                  </w:txbxContent>
                </v:textbox>
              </v:shape>
            </w:pict>
          </mc:Fallback>
        </mc:AlternateContent>
      </w:r>
      <w:r>
        <w:rPr>
          <w:rFonts w:ascii="仿宋" w:hAnsi="仿宋" w:eastAsia="仿宋" w:cs="仿宋"/>
          <w:b/>
          <w:bCs/>
          <w:color w:val="auto"/>
          <w:sz w:val="24"/>
          <w:szCs w:val="24"/>
          <w:highlight w:val="none"/>
        </w:rPr>
        <w:t>42.2</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shd w:val="clear" w:color="000000" w:fill="auto"/>
        <w:adjustRightInd w:val="0"/>
        <w:snapToGrid w:val="0"/>
        <w:spacing w:line="360" w:lineRule="auto"/>
        <w:ind w:left="1620"/>
        <w:jc w:val="left"/>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承包人对合同工程的质量向发包人负责，其职责包括但不限于下列内容：</w:t>
      </w:r>
    </w:p>
    <w:p>
      <w:pPr>
        <w:shd w:val="clear" w:color="000000" w:fill="auto"/>
        <w:adjustRightInd w:val="0"/>
        <w:snapToGrid w:val="0"/>
        <w:spacing w:line="360" w:lineRule="auto"/>
        <w:ind w:left="1620"/>
        <w:jc w:val="left"/>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(1) </w:t>
      </w:r>
      <w:r>
        <w:rPr>
          <w:rFonts w:hint="eastAsia" w:ascii="仿宋" w:hAnsi="仿宋" w:eastAsia="仿宋" w:cs="仿宋"/>
          <w:color w:val="auto"/>
          <w:sz w:val="24"/>
          <w:szCs w:val="24"/>
          <w:highlight w:val="none"/>
        </w:rPr>
        <w:t>编制施工技术方案，确定施工技术措施；</w:t>
      </w:r>
    </w:p>
    <w:p>
      <w:pPr>
        <w:shd w:val="clear" w:color="000000" w:fill="auto"/>
        <w:adjustRightInd w:val="0"/>
        <w:snapToGrid w:val="0"/>
        <w:spacing w:line="360" w:lineRule="auto"/>
        <w:ind w:left="1620"/>
        <w:jc w:val="left"/>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(2) </w:t>
      </w:r>
      <w:r>
        <w:rPr>
          <w:rFonts w:hint="eastAsia" w:ascii="仿宋" w:hAnsi="仿宋" w:eastAsia="仿宋" w:cs="仿宋"/>
          <w:color w:val="auto"/>
          <w:sz w:val="24"/>
          <w:szCs w:val="24"/>
          <w:highlight w:val="none"/>
        </w:rPr>
        <w:t>提供和组织足够的工程技术人员，检查和控制工程施工质量；</w:t>
      </w:r>
    </w:p>
    <w:p>
      <w:pPr>
        <w:shd w:val="clear" w:color="000000" w:fill="auto"/>
        <w:adjustRightInd w:val="0"/>
        <w:snapToGrid w:val="0"/>
        <w:spacing w:line="360" w:lineRule="auto"/>
        <w:ind w:left="1621"/>
        <w:jc w:val="left"/>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(3) </w:t>
      </w:r>
      <w:r>
        <w:rPr>
          <w:rFonts w:hint="eastAsia" w:ascii="仿宋" w:hAnsi="仿宋" w:eastAsia="仿宋" w:cs="仿宋"/>
          <w:color w:val="auto"/>
          <w:sz w:val="24"/>
          <w:szCs w:val="24"/>
          <w:highlight w:val="none"/>
        </w:rPr>
        <w:t>控制施工所用的材料和工程设备，使其符合标准与规范、设计要求及合同约定的标准；</w:t>
      </w:r>
    </w:p>
    <w:p>
      <w:pPr>
        <w:shd w:val="clear" w:color="000000" w:fill="auto"/>
        <w:tabs>
          <w:tab w:val="right" w:pos="9864"/>
        </w:tabs>
        <w:adjustRightInd w:val="0"/>
        <w:snapToGrid w:val="0"/>
        <w:spacing w:line="360" w:lineRule="auto"/>
        <w:ind w:firstLine="1620" w:firstLineChars="675"/>
        <w:jc w:val="left"/>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(4) </w:t>
      </w:r>
      <w:r>
        <w:rPr>
          <w:rFonts w:hint="eastAsia" w:ascii="仿宋" w:hAnsi="仿宋" w:eastAsia="仿宋" w:cs="仿宋"/>
          <w:color w:val="auto"/>
          <w:sz w:val="24"/>
          <w:szCs w:val="24"/>
          <w:highlight w:val="none"/>
        </w:rPr>
        <w:t>负责合同工程施工中出现质量问题或竣工验收不合格的返修工作；</w:t>
      </w:r>
    </w:p>
    <w:p>
      <w:pPr>
        <w:shd w:val="clear" w:color="000000" w:fill="auto"/>
        <w:adjustRightInd w:val="0"/>
        <w:snapToGrid w:val="0"/>
        <w:spacing w:line="360" w:lineRule="auto"/>
        <w:ind w:left="1617"/>
        <w:jc w:val="left"/>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(5) </w:t>
      </w:r>
      <w:r>
        <w:rPr>
          <w:rFonts w:hint="eastAsia" w:ascii="仿宋" w:hAnsi="仿宋" w:eastAsia="仿宋" w:cs="仿宋"/>
          <w:color w:val="auto"/>
          <w:sz w:val="24"/>
          <w:szCs w:val="24"/>
          <w:highlight w:val="none"/>
        </w:rPr>
        <w:t>参加合同工程的所有验收工作，包括隐蔽验收、中间验收；参加竣工验收，组织分包人参加工程验收工作；</w:t>
      </w:r>
    </w:p>
    <w:p>
      <w:pPr>
        <w:shd w:val="clear" w:color="000000" w:fill="auto"/>
        <w:adjustRightInd w:val="0"/>
        <w:snapToGrid w:val="0"/>
        <w:spacing w:line="360" w:lineRule="auto"/>
        <w:ind w:left="1620"/>
        <w:jc w:val="left"/>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(6) </w:t>
      </w:r>
      <w:r>
        <w:rPr>
          <w:rFonts w:hint="eastAsia" w:ascii="仿宋" w:hAnsi="仿宋" w:eastAsia="仿宋" w:cs="仿宋"/>
          <w:color w:val="auto"/>
          <w:sz w:val="24"/>
          <w:szCs w:val="24"/>
          <w:highlight w:val="none"/>
        </w:rPr>
        <w:t>承担质量保修期的工程保修责任；</w:t>
      </w:r>
    </w:p>
    <w:p>
      <w:pPr>
        <w:shd w:val="clear" w:color="000000" w:fill="auto"/>
        <w:adjustRightInd w:val="0"/>
        <w:snapToGrid w:val="0"/>
        <w:spacing w:line="360" w:lineRule="auto"/>
        <w:ind w:left="1620"/>
        <w:jc w:val="left"/>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(7) </w:t>
      </w:r>
      <w:r>
        <w:rPr>
          <w:rFonts w:hint="eastAsia" w:ascii="仿宋" w:hAnsi="仿宋" w:eastAsia="仿宋" w:cs="仿宋"/>
          <w:color w:val="auto"/>
          <w:sz w:val="24"/>
          <w:szCs w:val="24"/>
          <w:highlight w:val="none"/>
        </w:rPr>
        <w:t>承担其他工程质量责任。</w:t>
      </w:r>
    </w:p>
    <w:p>
      <w:pPr>
        <w:shd w:val="clear" w:color="000000" w:fill="auto"/>
        <w:adjustRightInd w:val="0"/>
        <w:snapToGrid w:val="0"/>
        <w:spacing w:line="360" w:lineRule="auto"/>
        <w:jc w:val="left"/>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827200" behindDoc="0" locked="0" layoutInCell="1" allowOverlap="1">
                <wp:simplePos x="0" y="0"/>
                <wp:positionH relativeFrom="column">
                  <wp:posOffset>-114300</wp:posOffset>
                </wp:positionH>
                <wp:positionV relativeFrom="paragraph">
                  <wp:posOffset>291465</wp:posOffset>
                </wp:positionV>
                <wp:extent cx="1028700" cy="245745"/>
                <wp:effectExtent l="0" t="0" r="0" b="0"/>
                <wp:wrapNone/>
                <wp:docPr id="165" name="文本框 167"/>
                <wp:cNvGraphicFramePr/>
                <a:graphic xmlns:a="http://schemas.openxmlformats.org/drawingml/2006/main">
                  <a:graphicData uri="http://schemas.microsoft.com/office/word/2010/wordprocessingShape">
                    <wps:wsp>
                      <wps:cNvSpPr txBox="1"/>
                      <wps:spPr>
                        <a:xfrm>
                          <a:off x="0" y="0"/>
                          <a:ext cx="1028700" cy="245745"/>
                        </a:xfrm>
                        <a:prstGeom prst="rect">
                          <a:avLst/>
                        </a:prstGeom>
                        <a:noFill/>
                        <a:ln>
                          <a:noFill/>
                        </a:ln>
                      </wps:spPr>
                      <wps:txb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质量保证体系</w:t>
                            </w:r>
                          </w:p>
                        </w:txbxContent>
                      </wps:txbx>
                      <wps:bodyPr upright="1"/>
                    </wps:wsp>
                  </a:graphicData>
                </a:graphic>
              </wp:anchor>
            </w:drawing>
          </mc:Choice>
          <mc:Fallback>
            <w:pict>
              <v:shape id="文本框 167" o:spid="_x0000_s1026" o:spt="202" type="#_x0000_t202" style="position:absolute;left:0pt;margin-left:-9pt;margin-top:22.95pt;height:19.35pt;width:81pt;z-index:251827200;mso-width-relative:page;mso-height-relative:page;" filled="f" stroked="f" coordsize="21600,21600" o:gfxdata="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gswKw9YA&#10;AAAJAQAADwAAAAAAAAABACAAAAAiAAAAZHJzL2Rvd25yZXYueG1sUEsBAhQAFAAAAAgAh07iQLuE&#10;SL6vAQAAUgMAAA4AAAAAAAAAAQAgAAAAJQEAAGRycy9lMm9Eb2MueG1sUEsFBgAAAAAGAAYAWQEA&#10;AEYFAAAAAA==&#10;">
                <v:fill on="f" focussize="0,0"/>
                <v:stroke on="f"/>
                <v:imagedata o:title=""/>
                <o:lock v:ext="edit" aspectratio="f"/>
                <v:textbo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质量保证体系</w:t>
                      </w:r>
                    </w:p>
                  </w:txbxContent>
                </v:textbox>
              </v:shape>
            </w:pict>
          </mc:Fallback>
        </mc:AlternateContent>
      </w:r>
      <w:r>
        <w:rPr>
          <w:rFonts w:ascii="仿宋" w:hAnsi="仿宋" w:eastAsia="仿宋" w:cs="仿宋"/>
          <w:b/>
          <w:bCs/>
          <w:color w:val="auto"/>
          <w:sz w:val="24"/>
          <w:szCs w:val="24"/>
          <w:highlight w:val="none"/>
        </w:rPr>
        <w:t xml:space="preserve">42.3 </w:t>
      </w:r>
      <w:r>
        <w:rPr>
          <w:rFonts w:ascii="仿宋" w:hAnsi="仿宋" w:eastAsia="仿宋" w:cs="仿宋"/>
          <w:b/>
          <w:bCs/>
          <w:color w:val="auto"/>
          <w:sz w:val="24"/>
          <w:szCs w:val="24"/>
          <w:highlight w:val="none"/>
          <w:u w:val="dotted"/>
        </w:rPr>
        <w:t xml:space="preserve">                                                                                                        </w:t>
      </w:r>
    </w:p>
    <w:p>
      <w:pPr>
        <w:pStyle w:val="33"/>
        <w:shd w:val="clear" w:color="000000" w:fill="auto"/>
        <w:adjustRightInd w:val="0"/>
        <w:snapToGrid w:val="0"/>
        <w:ind w:left="1619" w:leftChars="771"/>
        <w:rPr>
          <w:rFonts w:ascii="仿宋" w:hAnsi="仿宋" w:eastAsia="仿宋"/>
          <w:color w:val="auto"/>
          <w:highlight w:val="none"/>
        </w:rPr>
      </w:pPr>
      <w:r>
        <w:rPr>
          <w:rFonts w:hint="eastAsia" w:ascii="仿宋" w:hAnsi="仿宋" w:eastAsia="仿宋" w:cs="仿宋"/>
          <w:color w:val="auto"/>
          <w:highlight w:val="none"/>
        </w:rPr>
        <w:t>承包人应建立健全完善的质量保证体系。</w:t>
      </w:r>
    </w:p>
    <w:p>
      <w:pPr>
        <w:shd w:val="clear" w:color="000000" w:fill="auto"/>
        <w:autoSpaceDE w:val="0"/>
        <w:autoSpaceDN w:val="0"/>
        <w:adjustRightInd w:val="0"/>
        <w:spacing w:line="360" w:lineRule="auto"/>
        <w:ind w:left="1556" w:leftChars="741"/>
        <w:jc w:val="left"/>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rPr>
        <w:t>）承包人应向发包人和监理人提交工程质量保证体系及措施文件，建立完善的质量检查制度，并提交相应的工程质量文件。对于发包人和监理人违反法律规定和合同约定的错误指示，承包人有权拒绝实施。</w:t>
      </w:r>
    </w:p>
    <w:p>
      <w:pPr>
        <w:pStyle w:val="33"/>
        <w:shd w:val="clear" w:color="000000" w:fill="auto"/>
        <w:adjustRightInd w:val="0"/>
        <w:snapToGrid w:val="0"/>
        <w:ind w:left="1418" w:leftChars="675"/>
        <w:rPr>
          <w:rFonts w:ascii="仿宋" w:hAnsi="仿宋" w:eastAsia="仿宋"/>
          <w:color w:val="auto"/>
          <w:kern w:val="0"/>
          <w:highlight w:val="none"/>
        </w:rPr>
      </w:pPr>
      <w:r>
        <w:rPr>
          <w:rFonts w:hint="eastAsia" w:ascii="仿宋" w:hAnsi="仿宋" w:eastAsia="仿宋" w:cs="仿宋"/>
          <w:color w:val="auto"/>
          <w:kern w:val="0"/>
          <w:highlight w:val="none"/>
        </w:rPr>
        <w:t>（</w:t>
      </w:r>
      <w:r>
        <w:rPr>
          <w:rFonts w:ascii="仿宋" w:hAnsi="仿宋" w:eastAsia="仿宋" w:cs="仿宋"/>
          <w:color w:val="auto"/>
          <w:kern w:val="0"/>
          <w:highlight w:val="none"/>
        </w:rPr>
        <w:t>2</w:t>
      </w:r>
      <w:r>
        <w:rPr>
          <w:rFonts w:hint="eastAsia" w:ascii="仿宋" w:hAnsi="仿宋" w:eastAsia="仿宋" w:cs="仿宋"/>
          <w:color w:val="auto"/>
          <w:kern w:val="0"/>
          <w:highlight w:val="none"/>
        </w:rPr>
        <w:t>）承包人应建立健全完善的质量保证体系，对施工人员进行质量教育和技术培训，定期考核施工人员的劳动技能，严格执行施工规范和操作规程。在合同工程开工前，承包人应向发包人和监理人提交质量保证体系实施程序、施工质量检验制度和施工质量水平评定考核制度等文件、资料。建立完善的质量检查制度，并提交相应的工程质量文件。监理工程师有权要求承包人提交即使承包人遵守质量保证体系，也不能免除其按照合同约定应承担的任何责任和应履行的任何义务。</w:t>
      </w:r>
    </w:p>
    <w:p>
      <w:pPr>
        <w:shd w:val="clear" w:color="000000" w:fill="auto"/>
        <w:adjustRightInd w:val="0"/>
        <w:snapToGrid w:val="0"/>
        <w:spacing w:line="360" w:lineRule="auto"/>
        <w:jc w:val="left"/>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828224" behindDoc="0" locked="0" layoutInCell="1" allowOverlap="1">
                <wp:simplePos x="0" y="0"/>
                <wp:positionH relativeFrom="column">
                  <wp:posOffset>-114300</wp:posOffset>
                </wp:positionH>
                <wp:positionV relativeFrom="paragraph">
                  <wp:posOffset>276225</wp:posOffset>
                </wp:positionV>
                <wp:extent cx="967740" cy="449580"/>
                <wp:effectExtent l="0" t="0" r="0" b="0"/>
                <wp:wrapNone/>
                <wp:docPr id="166" name="文本框 168"/>
                <wp:cNvGraphicFramePr/>
                <a:graphic xmlns:a="http://schemas.openxmlformats.org/drawingml/2006/main">
                  <a:graphicData uri="http://schemas.microsoft.com/office/word/2010/wordprocessingShape">
                    <wps:wsp>
                      <wps:cNvSpPr txBox="1"/>
                      <wps:spPr>
                        <a:xfrm>
                          <a:off x="0" y="0"/>
                          <a:ext cx="967740" cy="449580"/>
                        </a:xfrm>
                        <a:prstGeom prst="rect">
                          <a:avLst/>
                        </a:prstGeom>
                        <a:noFill/>
                        <a:ln>
                          <a:noFill/>
                        </a:ln>
                      </wps:spPr>
                      <wps:txb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工程质量有争议的处理</w:t>
                            </w:r>
                          </w:p>
                        </w:txbxContent>
                      </wps:txbx>
                      <wps:bodyPr upright="1"/>
                    </wps:wsp>
                  </a:graphicData>
                </a:graphic>
              </wp:anchor>
            </w:drawing>
          </mc:Choice>
          <mc:Fallback>
            <w:pict>
              <v:shape id="文本框 168" o:spid="_x0000_s1026" o:spt="202" type="#_x0000_t202" style="position:absolute;left:0pt;margin-left:-9pt;margin-top:21.75pt;height:35.4pt;width:76.2pt;z-index:251828224;mso-width-relative:page;mso-height-relative:page;" filled="f" stroked="f" coordsize="21600,21600" o:gfxdata="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wYkq&#10;y9gAAAAKAQAADwAAAAAAAAABACAAAAAiAAAAZHJzL2Rvd25yZXYueG1sUEsBAhQAFAAAAAgAh07i&#10;QLR6h42wAQAAUQMAAA4AAAAAAAAAAQAgAAAAJwEAAGRycy9lMm9Eb2MueG1sUEsFBgAAAAAGAAYA&#10;WQEAAEkFAAAAAA==&#10;">
                <v:fill on="f" focussize="0,0"/>
                <v:stroke on="f"/>
                <v:imagedata o:title=""/>
                <o:lock v:ext="edit" aspectratio="f"/>
                <v:textbo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工程质量有争议的处理</w:t>
                      </w:r>
                    </w:p>
                  </w:txbxContent>
                </v:textbox>
              </v:shape>
            </w:pict>
          </mc:Fallback>
        </mc:AlternateContent>
      </w:r>
      <w:r>
        <w:rPr>
          <w:rFonts w:ascii="仿宋" w:hAnsi="仿宋" w:eastAsia="仿宋" w:cs="仿宋"/>
          <w:b/>
          <w:bCs/>
          <w:color w:val="auto"/>
          <w:sz w:val="24"/>
          <w:szCs w:val="24"/>
          <w:highlight w:val="none"/>
        </w:rPr>
        <w:t xml:space="preserve">42.4 </w:t>
      </w:r>
      <w:r>
        <w:rPr>
          <w:rFonts w:ascii="仿宋" w:hAnsi="仿宋" w:eastAsia="仿宋" w:cs="仿宋"/>
          <w:b/>
          <w:bCs/>
          <w:color w:val="auto"/>
          <w:sz w:val="24"/>
          <w:szCs w:val="24"/>
          <w:highlight w:val="none"/>
          <w:u w:val="dotted"/>
        </w:rPr>
        <w:t xml:space="preserve">                                                                                                        </w:t>
      </w:r>
    </w:p>
    <w:p>
      <w:pPr>
        <w:shd w:val="clear" w:color="000000" w:fill="auto"/>
        <w:adjustRightInd w:val="0"/>
        <w:snapToGrid w:val="0"/>
        <w:spacing w:line="360" w:lineRule="auto"/>
        <w:ind w:left="1619" w:leftChars="771"/>
        <w:jc w:val="left"/>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合同双方当事人对工程质量有争议的，按照第</w:t>
      </w:r>
      <w:r>
        <w:rPr>
          <w:rFonts w:ascii="仿宋" w:hAnsi="仿宋" w:eastAsia="仿宋" w:cs="仿宋"/>
          <w:color w:val="auto"/>
          <w:sz w:val="24"/>
          <w:szCs w:val="24"/>
          <w:highlight w:val="none"/>
        </w:rPr>
        <w:t>86.4</w:t>
      </w:r>
      <w:r>
        <w:rPr>
          <w:rFonts w:hint="eastAsia" w:ascii="仿宋" w:hAnsi="仿宋" w:eastAsia="仿宋" w:cs="仿宋"/>
          <w:color w:val="auto"/>
          <w:sz w:val="24"/>
          <w:szCs w:val="24"/>
          <w:highlight w:val="none"/>
        </w:rPr>
        <w:t>款规定调解或认定，所需的费用及由此造成的损失，由责任方承担。双方均有责任的，由双方根据其责任划分分别承担。</w:t>
      </w:r>
    </w:p>
    <w:p>
      <w:pPr>
        <w:shd w:val="clear" w:color="000000" w:fill="auto"/>
        <w:adjustRightInd w:val="0"/>
        <w:snapToGrid w:val="0"/>
        <w:spacing w:line="360" w:lineRule="auto"/>
        <w:ind w:left="1619" w:leftChars="771"/>
        <w:jc w:val="left"/>
        <w:rPr>
          <w:rFonts w:ascii="仿宋" w:hAnsi="仿宋" w:eastAsia="仿宋" w:cs="Times New Roman"/>
          <w:color w:val="auto"/>
          <w:sz w:val="24"/>
          <w:szCs w:val="24"/>
          <w:highlight w:val="none"/>
        </w:rPr>
      </w:pPr>
    </w:p>
    <w:p>
      <w:pPr>
        <w:shd w:val="clear" w:color="000000" w:fill="auto"/>
        <w:tabs>
          <w:tab w:val="left" w:pos="1620"/>
        </w:tabs>
        <w:adjustRightInd w:val="0"/>
        <w:snapToGrid w:val="0"/>
        <w:spacing w:line="360" w:lineRule="auto"/>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5"/>
        <w:numPr>
          <w:ilvl w:val="0"/>
          <w:numId w:val="0"/>
        </w:numPr>
        <w:shd w:val="clear" w:color="000000" w:fill="auto"/>
        <w:tabs>
          <w:tab w:val="left" w:pos="420"/>
        </w:tabs>
        <w:rPr>
          <w:rFonts w:ascii="仿宋" w:hAnsi="仿宋" w:eastAsia="仿宋"/>
          <w:color w:val="auto"/>
          <w:sz w:val="24"/>
          <w:szCs w:val="24"/>
          <w:highlight w:val="none"/>
        </w:rPr>
      </w:pPr>
      <w:bookmarkStart w:id="254" w:name="_Toc10728"/>
      <w:bookmarkStart w:id="255" w:name="_Toc10624866"/>
      <w:bookmarkStart w:id="256" w:name="_Toc469384026"/>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 xml:space="preserve">43  </w:t>
      </w:r>
      <w:r>
        <w:rPr>
          <w:rFonts w:hint="eastAsia" w:ascii="仿宋" w:hAnsi="仿宋" w:eastAsia="仿宋" w:cs="仿宋"/>
          <w:color w:val="auto"/>
          <w:sz w:val="24"/>
          <w:szCs w:val="24"/>
          <w:highlight w:val="none"/>
        </w:rPr>
        <w:t>工程质量创优</w:t>
      </w:r>
      <w:bookmarkEnd w:id="254"/>
      <w:bookmarkEnd w:id="255"/>
      <w:bookmarkEnd w:id="256"/>
    </w:p>
    <w:p>
      <w:pPr>
        <w:shd w:val="clear" w:color="000000" w:fill="auto"/>
        <w:spacing w:line="360" w:lineRule="auto"/>
        <w:rPr>
          <w:rFonts w:ascii="仿宋" w:hAnsi="仿宋" w:eastAsia="仿宋" w:cs="Times New Roman"/>
          <w:b/>
          <w:bCs/>
          <w:caps/>
          <w:color w:val="auto"/>
          <w:sz w:val="24"/>
          <w:szCs w:val="24"/>
          <w:highlight w:val="none"/>
        </w:rPr>
      </w:pPr>
      <w:r>
        <w:rPr>
          <w:rFonts w:ascii="仿宋" w:hAnsi="仿宋" w:eastAsia="仿宋" w:cs="仿宋"/>
          <w:b/>
          <w:bCs/>
          <w:caps/>
          <w:color w:val="auto"/>
          <w:sz w:val="24"/>
          <w:szCs w:val="24"/>
          <w:highlight w:val="none"/>
        </w:rPr>
        <w:t>43.1</w:t>
      </w:r>
    </w:p>
    <w:p>
      <w:pPr>
        <w:shd w:val="clear" w:color="000000" w:fill="auto"/>
        <w:spacing w:line="360" w:lineRule="auto"/>
        <w:ind w:left="1619" w:leftChars="771"/>
        <w:rPr>
          <w:rFonts w:ascii="仿宋" w:hAnsi="仿宋" w:eastAsia="仿宋" w:cs="Times New Roman"/>
          <w:caps/>
          <w:color w:val="auto"/>
          <w:sz w:val="24"/>
          <w:szCs w:val="24"/>
          <w:highlight w:val="none"/>
        </w:rPr>
      </w:pPr>
      <w:r>
        <w:rPr>
          <w:color w:val="auto"/>
          <w:highlight w:val="none"/>
        </w:rPr>
        <mc:AlternateContent>
          <mc:Choice Requires="wps">
            <w:drawing>
              <wp:anchor distT="0" distB="0" distL="114300" distR="114300" simplePos="0" relativeHeight="251829248" behindDoc="0" locked="0" layoutInCell="1" allowOverlap="1">
                <wp:simplePos x="0" y="0"/>
                <wp:positionH relativeFrom="column">
                  <wp:posOffset>-114300</wp:posOffset>
                </wp:positionH>
                <wp:positionV relativeFrom="paragraph">
                  <wp:posOffset>38100</wp:posOffset>
                </wp:positionV>
                <wp:extent cx="914400" cy="495300"/>
                <wp:effectExtent l="0" t="0" r="0" b="0"/>
                <wp:wrapNone/>
                <wp:docPr id="167" name="文本框 169"/>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发包人鼓励质量创优</w:t>
                            </w:r>
                          </w:p>
                        </w:txbxContent>
                      </wps:txbx>
                      <wps:bodyPr upright="1"/>
                    </wps:wsp>
                  </a:graphicData>
                </a:graphic>
              </wp:anchor>
            </w:drawing>
          </mc:Choice>
          <mc:Fallback>
            <w:pict>
              <v:shape id="文本框 169" o:spid="_x0000_s1026" o:spt="202" type="#_x0000_t202" style="position:absolute;left:0pt;margin-left:-9pt;margin-top:3pt;height:39pt;width:72pt;z-index:251829248;mso-width-relative:page;mso-height-relative:page;" filled="f" stroked="f" coordsize="21600,21600" o:gfxdata="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fhA++1QAA&#10;AAgBAAAPAAAAAAAAAAEAIAAAACIAAABkcnMvZG93bnJldi54bWxQSwECFAAUAAAACACHTuJAFPj/&#10;0K8BAABRAwAADgAAAAAAAAABACAAAAAkAQAAZHJzL2Uyb0RvYy54bWxQSwUGAAAAAAYABgBZAQAA&#10;RQUAAAAA&#10;">
                <v:fill on="f" focussize="0,0"/>
                <v:stroke on="f"/>
                <v:imagedata o:title=""/>
                <o:lock v:ext="edit" aspectratio="f"/>
                <v:textbo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发包人鼓励质量创优</w:t>
                      </w:r>
                    </w:p>
                  </w:txbxContent>
                </v:textbox>
              </v:shape>
            </w:pict>
          </mc:Fallback>
        </mc:AlternateContent>
      </w:r>
      <w:r>
        <w:rPr>
          <w:rFonts w:hint="eastAsia" w:ascii="仿宋" w:hAnsi="仿宋" w:eastAsia="仿宋" w:cs="仿宋"/>
          <w:caps/>
          <w:color w:val="auto"/>
          <w:sz w:val="24"/>
          <w:szCs w:val="24"/>
          <w:highlight w:val="none"/>
        </w:rPr>
        <w:t>发包人应配合承包人加强合同工程质量与施工安全管理，鼓励承包人实施合同工程质量创优。对于合同工程质量标准高于国家规定或合同约定的质量验收合格标准的，应按照第</w:t>
      </w:r>
      <w:r>
        <w:rPr>
          <w:rFonts w:ascii="仿宋" w:hAnsi="仿宋" w:eastAsia="仿宋" w:cs="仿宋"/>
          <w:caps/>
          <w:color w:val="auto"/>
          <w:sz w:val="24"/>
          <w:szCs w:val="24"/>
          <w:highlight w:val="none"/>
        </w:rPr>
        <w:t>67</w:t>
      </w:r>
      <w:r>
        <w:rPr>
          <w:rFonts w:hint="eastAsia" w:ascii="仿宋" w:hAnsi="仿宋" w:eastAsia="仿宋" w:cs="仿宋"/>
          <w:caps/>
          <w:color w:val="auto"/>
          <w:sz w:val="24"/>
          <w:szCs w:val="24"/>
          <w:highlight w:val="none"/>
        </w:rPr>
        <w:t>条规定向承包人支付工程优质费。</w:t>
      </w:r>
    </w:p>
    <w:p>
      <w:pPr>
        <w:shd w:val="clear" w:color="000000" w:fill="auto"/>
        <w:spacing w:line="360" w:lineRule="auto"/>
        <w:rPr>
          <w:rFonts w:ascii="仿宋" w:hAnsi="仿宋" w:eastAsia="仿宋" w:cs="Times New Roman"/>
          <w:b/>
          <w:bCs/>
          <w:caps/>
          <w:color w:val="auto"/>
          <w:sz w:val="24"/>
          <w:szCs w:val="24"/>
          <w:highlight w:val="none"/>
        </w:rPr>
      </w:pPr>
      <w:r>
        <w:rPr>
          <w:rFonts w:ascii="仿宋" w:hAnsi="仿宋" w:eastAsia="仿宋" w:cs="仿宋"/>
          <w:b/>
          <w:bCs/>
          <w:color w:val="auto"/>
          <w:sz w:val="24"/>
          <w:szCs w:val="24"/>
          <w:highlight w:val="none"/>
        </w:rPr>
        <w:t xml:space="preserve">43.2 </w:t>
      </w:r>
      <w:r>
        <w:rPr>
          <w:rFonts w:ascii="仿宋" w:hAnsi="仿宋" w:eastAsia="仿宋" w:cs="仿宋"/>
          <w:b/>
          <w:bCs/>
          <w:color w:val="auto"/>
          <w:sz w:val="24"/>
          <w:szCs w:val="24"/>
          <w:highlight w:val="none"/>
          <w:u w:val="dotted"/>
        </w:rPr>
        <w:t xml:space="preserve">                                                                              </w:t>
      </w:r>
    </w:p>
    <w:p>
      <w:pPr>
        <w:shd w:val="clear" w:color="000000" w:fill="auto"/>
        <w:spacing w:line="360" w:lineRule="auto"/>
        <w:ind w:left="1619" w:leftChars="771"/>
        <w:rPr>
          <w:rFonts w:ascii="仿宋" w:hAnsi="仿宋" w:eastAsia="仿宋" w:cs="Times New Roman"/>
          <w:caps/>
          <w:color w:val="auto"/>
          <w:sz w:val="24"/>
          <w:szCs w:val="24"/>
          <w:highlight w:val="none"/>
        </w:rPr>
      </w:pPr>
      <w:r>
        <w:rPr>
          <w:color w:val="auto"/>
          <w:highlight w:val="none"/>
        </w:rPr>
        <mc:AlternateContent>
          <mc:Choice Requires="wps">
            <w:drawing>
              <wp:anchor distT="0" distB="0" distL="114300" distR="114300" simplePos="0" relativeHeight="251830272" behindDoc="0" locked="0" layoutInCell="1" allowOverlap="1">
                <wp:simplePos x="0" y="0"/>
                <wp:positionH relativeFrom="column">
                  <wp:posOffset>-114300</wp:posOffset>
                </wp:positionH>
                <wp:positionV relativeFrom="paragraph">
                  <wp:posOffset>170815</wp:posOffset>
                </wp:positionV>
                <wp:extent cx="914400" cy="495300"/>
                <wp:effectExtent l="0" t="0" r="0" b="0"/>
                <wp:wrapNone/>
                <wp:docPr id="168" name="文本框 170"/>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承包人争取质量创优</w:t>
                            </w:r>
                          </w:p>
                        </w:txbxContent>
                      </wps:txbx>
                      <wps:bodyPr upright="1"/>
                    </wps:wsp>
                  </a:graphicData>
                </a:graphic>
              </wp:anchor>
            </w:drawing>
          </mc:Choice>
          <mc:Fallback>
            <w:pict>
              <v:shape id="文本框 170" o:spid="_x0000_s1026" o:spt="202" type="#_x0000_t202" style="position:absolute;left:0pt;margin-left:-9pt;margin-top:13.45pt;height:39pt;width:72pt;z-index:251830272;mso-width-relative:page;mso-height-relative:page;" filled="f" stroked="f" coordsize="21600,21600" o:gfxdata="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wHDXzdcA&#10;AAAKAQAADwAAAAAAAAABACAAAAAiAAAAZHJzL2Rvd25yZXYueG1sUEsBAhQAFAAAAAgAh07iQDmZ&#10;H2+uAQAAUQMAAA4AAAAAAAAAAQAgAAAAJgEAAGRycy9lMm9Eb2MueG1sUEsFBgAAAAAGAAYAWQEA&#10;AEYFAAAAAA==&#10;">
                <v:fill on="f" focussize="0,0"/>
                <v:stroke on="f"/>
                <v:imagedata o:title=""/>
                <o:lock v:ext="edit" aspectratio="f"/>
                <v:textbo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承包人争取质量创优</w:t>
                      </w:r>
                    </w:p>
                  </w:txbxContent>
                </v:textbox>
              </v:shape>
            </w:pict>
          </mc:Fallback>
        </mc:AlternateContent>
      </w:r>
      <w:r>
        <w:rPr>
          <w:rFonts w:hint="eastAsia" w:ascii="仿宋" w:hAnsi="仿宋" w:eastAsia="仿宋" w:cs="仿宋"/>
          <w:caps/>
          <w:color w:val="auto"/>
          <w:sz w:val="24"/>
          <w:szCs w:val="24"/>
          <w:highlight w:val="none"/>
        </w:rPr>
        <w:t>承包人应采取有效措施确保合同工程质量与施工安全，在保证工程质量、施工安全达到国家或行业的强制性标准的前提下，提高工程质量与施工安全管理水平，争取合同工程质量创优。</w:t>
      </w:r>
    </w:p>
    <w:p>
      <w:pPr>
        <w:shd w:val="clear" w:color="000000" w:fill="auto"/>
        <w:tabs>
          <w:tab w:val="left" w:pos="1620"/>
        </w:tabs>
        <w:spacing w:line="360" w:lineRule="auto"/>
        <w:rPr>
          <w:rFonts w:ascii="仿宋" w:hAnsi="仿宋" w:eastAsia="仿宋" w:cs="Times New Roman"/>
          <w:b/>
          <w:bCs/>
          <w:color w:val="auto"/>
          <w:sz w:val="24"/>
          <w:szCs w:val="24"/>
          <w:highlight w:val="none"/>
          <w:u w:val="single"/>
        </w:rPr>
      </w:pPr>
      <w:r>
        <w:rPr>
          <w:rFonts w:ascii="仿宋" w:hAnsi="仿宋" w:eastAsia="仿宋" w:cs="仿宋"/>
          <w:b/>
          <w:bCs/>
          <w:caps/>
          <w:color w:val="auto"/>
          <w:sz w:val="24"/>
          <w:szCs w:val="24"/>
          <w:highlight w:val="none"/>
          <w:u w:val="single"/>
        </w:rPr>
        <w:t xml:space="preserve">                                                                                             </w:t>
      </w:r>
    </w:p>
    <w:p>
      <w:pPr>
        <w:pStyle w:val="2"/>
        <w:shd w:val="clear" w:color="000000" w:fill="auto"/>
        <w:tabs>
          <w:tab w:val="left" w:pos="540"/>
        </w:tabs>
        <w:adjustRightInd w:val="0"/>
        <w:snapToGrid w:val="0"/>
        <w:spacing w:before="240" w:beforeLines="100" w:line="360" w:lineRule="auto"/>
        <w:outlineLvl w:val="2"/>
        <w:rPr>
          <w:rFonts w:ascii="仿宋" w:hAnsi="仿宋" w:eastAsia="仿宋" w:cs="Times New Roman"/>
          <w:b/>
          <w:bCs/>
          <w:color w:val="auto"/>
          <w:sz w:val="24"/>
          <w:szCs w:val="24"/>
          <w:highlight w:val="none"/>
        </w:rPr>
      </w:pPr>
      <w:bookmarkStart w:id="257" w:name="_Toc10624867"/>
      <w:bookmarkStart w:id="258" w:name="_Toc27545"/>
      <w:bookmarkStart w:id="259" w:name="_Toc469384027"/>
      <w:r>
        <w:rPr>
          <w:rFonts w:ascii="仿宋" w:hAnsi="仿宋" w:eastAsia="仿宋" w:cs="仿宋"/>
          <w:b/>
          <w:bCs/>
          <w:color w:val="auto"/>
          <w:sz w:val="24"/>
          <w:szCs w:val="24"/>
          <w:highlight w:val="none"/>
        </w:rPr>
        <w:t xml:space="preserve">44  </w:t>
      </w:r>
      <w:r>
        <w:rPr>
          <w:rFonts w:hint="eastAsia" w:ascii="仿宋" w:hAnsi="仿宋" w:eastAsia="仿宋" w:cs="仿宋"/>
          <w:b/>
          <w:bCs/>
          <w:color w:val="auto"/>
          <w:sz w:val="24"/>
          <w:szCs w:val="24"/>
          <w:highlight w:val="none"/>
        </w:rPr>
        <w:t>工程的照管</w:t>
      </w:r>
      <w:bookmarkEnd w:id="257"/>
      <w:bookmarkEnd w:id="258"/>
      <w:bookmarkEnd w:id="259"/>
    </w:p>
    <w:p>
      <w:pPr>
        <w:shd w:val="clear" w:color="000000" w:fill="auto"/>
        <w:adjustRightInd w:val="0"/>
        <w:snapToGrid w:val="0"/>
        <w:spacing w:line="360" w:lineRule="auto"/>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831296" behindDoc="0" locked="0" layoutInCell="1" allowOverlap="1">
                <wp:simplePos x="0" y="0"/>
                <wp:positionH relativeFrom="column">
                  <wp:posOffset>-114300</wp:posOffset>
                </wp:positionH>
                <wp:positionV relativeFrom="paragraph">
                  <wp:posOffset>264160</wp:posOffset>
                </wp:positionV>
                <wp:extent cx="800100" cy="256540"/>
                <wp:effectExtent l="0" t="0" r="0" b="0"/>
                <wp:wrapNone/>
                <wp:docPr id="169" name="文本框 171"/>
                <wp:cNvGraphicFramePr/>
                <a:graphic xmlns:a="http://schemas.openxmlformats.org/drawingml/2006/main">
                  <a:graphicData uri="http://schemas.microsoft.com/office/word/2010/wordprocessingShape">
                    <wps:wsp>
                      <wps:cNvSpPr txBox="1"/>
                      <wps:spPr>
                        <a:xfrm>
                          <a:off x="0" y="0"/>
                          <a:ext cx="800100" cy="256540"/>
                        </a:xfrm>
                        <a:prstGeom prst="rect">
                          <a:avLst/>
                        </a:prstGeom>
                        <a:noFill/>
                        <a:ln>
                          <a:noFill/>
                        </a:ln>
                      </wps:spPr>
                      <wps:txb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工程照管</w:t>
                            </w:r>
                          </w:p>
                        </w:txbxContent>
                      </wps:txbx>
                      <wps:bodyPr upright="1"/>
                    </wps:wsp>
                  </a:graphicData>
                </a:graphic>
              </wp:anchor>
            </w:drawing>
          </mc:Choice>
          <mc:Fallback>
            <w:pict>
              <v:shape id="文本框 171" o:spid="_x0000_s1026" o:spt="202" type="#_x0000_t202" style="position:absolute;left:0pt;margin-left:-9pt;margin-top:20.8pt;height:20.2pt;width:63pt;z-index:251831296;mso-width-relative:page;mso-height-relative:page;" filled="f" stroked="f" coordsize="21600,21600" o:gfxdata="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x4KDE1QAA&#10;AAkBAAAPAAAAAAAAAAEAIAAAACIAAABkcnMvZG93bnJldi54bWxQSwECFAAUAAAACACHTuJAPDx0&#10;q68BAABRAwAADgAAAAAAAAABACAAAAAkAQAAZHJzL2Uyb0RvYy54bWxQSwUGAAAAAAYABgBZAQAA&#10;RQUAAAAA&#10;">
                <v:fill on="f" focussize="0,0"/>
                <v:stroke on="f"/>
                <v:imagedata o:title=""/>
                <o:lock v:ext="edit" aspectratio="f"/>
                <v:textbo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工程照管</w:t>
                      </w:r>
                    </w:p>
                  </w:txbxContent>
                </v:textbox>
              </v:shape>
            </w:pict>
          </mc:Fallback>
        </mc:AlternateContent>
      </w:r>
      <w:r>
        <w:rPr>
          <w:rFonts w:ascii="仿宋" w:hAnsi="仿宋" w:eastAsia="仿宋" w:cs="仿宋"/>
          <w:b/>
          <w:bCs/>
          <w:color w:val="auto"/>
          <w:sz w:val="24"/>
          <w:szCs w:val="24"/>
          <w:highlight w:val="none"/>
        </w:rPr>
        <w:t xml:space="preserve">44.1  </w:t>
      </w:r>
    </w:p>
    <w:p>
      <w:pPr>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从开工之日起，承包人应全面负责照管合同工程及运至现场将用于和安装在合同工程中的材料和工程设备，直到合同双方当事人确认工程移交之日止。此后，工程的照管即转由发包人负责。</w:t>
      </w:r>
    </w:p>
    <w:p>
      <w:pPr>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如果在整个工程移交前，合同双方当事人已经确认移交或发包人提前使用其中任一单位工程，则从确认移交或提前使用之日起承包人无须对该单位工程负责照管，而转由发包人负责。但是，承包人应继续负责照管尚未完成的工程和将用于或安装在合同工程中的材料和工程设备，直至完成上述工作并经合同双方当事人确认整个工程移交之日止。</w:t>
      </w:r>
    </w:p>
    <w:p>
      <w:pPr>
        <w:shd w:val="clear" w:color="000000" w:fill="auto"/>
        <w:adjustRightInd w:val="0"/>
        <w:snapToGrid w:val="0"/>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32320" behindDoc="0" locked="0" layoutInCell="1" allowOverlap="1">
                <wp:simplePos x="0" y="0"/>
                <wp:positionH relativeFrom="column">
                  <wp:posOffset>-114300</wp:posOffset>
                </wp:positionH>
                <wp:positionV relativeFrom="paragraph">
                  <wp:posOffset>276860</wp:posOffset>
                </wp:positionV>
                <wp:extent cx="914400" cy="718185"/>
                <wp:effectExtent l="0" t="0" r="0" b="0"/>
                <wp:wrapNone/>
                <wp:docPr id="170" name="文本框 172"/>
                <wp:cNvGraphicFramePr/>
                <a:graphic xmlns:a="http://schemas.openxmlformats.org/drawingml/2006/main">
                  <a:graphicData uri="http://schemas.microsoft.com/office/word/2010/wordprocessingShape">
                    <wps:wsp>
                      <wps:cNvSpPr txBox="1"/>
                      <wps:spPr>
                        <a:xfrm>
                          <a:off x="0" y="0"/>
                          <a:ext cx="914400" cy="718185"/>
                        </a:xfrm>
                        <a:prstGeom prst="rect">
                          <a:avLst/>
                        </a:prstGeom>
                        <a:noFill/>
                        <a:ln>
                          <a:noFill/>
                        </a:ln>
                      </wps:spPr>
                      <wps:txb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照管期间承包人造成损失的责任</w:t>
                            </w:r>
                          </w:p>
                        </w:txbxContent>
                      </wps:txbx>
                      <wps:bodyPr upright="1"/>
                    </wps:wsp>
                  </a:graphicData>
                </a:graphic>
              </wp:anchor>
            </w:drawing>
          </mc:Choice>
          <mc:Fallback>
            <w:pict>
              <v:shape id="文本框 172" o:spid="_x0000_s1026" o:spt="202" type="#_x0000_t202" style="position:absolute;left:0pt;margin-left:-9pt;margin-top:21.8pt;height:56.55pt;width:72pt;z-index:251832320;mso-width-relative:page;mso-height-relative:page;" filled="f" stroked="f" coordsize="21600,21600" o:gfxdata="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EBsrFzY&#10;AAAACgEAAA8AAAAAAAAAAQAgAAAAIgAAAGRycy9kb3ducmV2LnhtbFBLAQIUABQAAAAIAIdO4kAy&#10;cLa5rgEAAFEDAAAOAAAAAAAAAAEAIAAAACcBAABkcnMvZTJvRG9jLnhtbFBLBQYAAAAABgAGAFkB&#10;AABHBQAAAAA=&#10;">
                <v:fill on="f" focussize="0,0"/>
                <v:stroke on="f"/>
                <v:imagedata o:title=""/>
                <o:lock v:ext="edit" aspectratio="f"/>
                <v:textbo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照管期间承包人造成损失的责任</w:t>
                      </w:r>
                    </w:p>
                  </w:txbxContent>
                </v:textbox>
              </v:shape>
            </w:pict>
          </mc:Fallback>
        </mc:AlternateContent>
      </w:r>
      <w:r>
        <w:rPr>
          <w:rFonts w:ascii="仿宋" w:hAnsi="仿宋" w:eastAsia="仿宋" w:cs="仿宋"/>
          <w:b/>
          <w:bCs/>
          <w:color w:val="auto"/>
          <w:sz w:val="24"/>
          <w:szCs w:val="24"/>
          <w:highlight w:val="none"/>
        </w:rPr>
        <w:t>44.2</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承包人在负责工程照管期间，如因自身原因造成合同工程或其任何部分，以及材料和工程设备或临时工程的损坏，承包人应自费修复上述损坏，保证合同工程质量达到合同约定的标准。</w:t>
      </w:r>
    </w:p>
    <w:p>
      <w:pPr>
        <w:shd w:val="clear" w:color="000000" w:fill="auto"/>
        <w:adjustRightInd w:val="0"/>
        <w:snapToGrid w:val="0"/>
        <w:spacing w:line="240" w:lineRule="exact"/>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
        <w:shd w:val="clear" w:color="000000" w:fill="auto"/>
        <w:tabs>
          <w:tab w:val="left" w:pos="540"/>
        </w:tabs>
        <w:adjustRightInd w:val="0"/>
        <w:snapToGrid w:val="0"/>
        <w:spacing w:before="240" w:beforeLines="100" w:line="360" w:lineRule="auto"/>
        <w:outlineLvl w:val="2"/>
        <w:rPr>
          <w:rFonts w:ascii="仿宋" w:hAnsi="仿宋" w:eastAsia="仿宋" w:cs="Times New Roman"/>
          <w:b/>
          <w:bCs/>
          <w:color w:val="auto"/>
          <w:sz w:val="24"/>
          <w:szCs w:val="24"/>
          <w:highlight w:val="none"/>
        </w:rPr>
      </w:pPr>
      <w:bookmarkStart w:id="260" w:name="_Toc469384028"/>
      <w:bookmarkStart w:id="261" w:name="_Toc10624868"/>
      <w:bookmarkStart w:id="262" w:name="_Toc5834"/>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45  </w:t>
      </w:r>
      <w:bookmarkEnd w:id="260"/>
      <w:r>
        <w:rPr>
          <w:rFonts w:hint="eastAsia" w:ascii="仿宋" w:hAnsi="仿宋" w:eastAsia="仿宋" w:cs="仿宋"/>
          <w:b/>
          <w:bCs/>
          <w:color w:val="auto"/>
          <w:sz w:val="24"/>
          <w:szCs w:val="24"/>
          <w:highlight w:val="none"/>
        </w:rPr>
        <w:t>绿色施工安全防护</w:t>
      </w:r>
      <w:bookmarkEnd w:id="261"/>
      <w:bookmarkEnd w:id="262"/>
    </w:p>
    <w:p>
      <w:pPr>
        <w:shd w:val="clear" w:color="000000" w:fill="auto"/>
        <w:adjustRightInd w:val="0"/>
        <w:snapToGrid w:val="0"/>
        <w:spacing w:line="360" w:lineRule="auto"/>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833344" behindDoc="0" locked="0" layoutInCell="1" allowOverlap="1">
                <wp:simplePos x="0" y="0"/>
                <wp:positionH relativeFrom="column">
                  <wp:posOffset>-114300</wp:posOffset>
                </wp:positionH>
                <wp:positionV relativeFrom="paragraph">
                  <wp:posOffset>223520</wp:posOffset>
                </wp:positionV>
                <wp:extent cx="977900" cy="688975"/>
                <wp:effectExtent l="0" t="0" r="0" b="0"/>
                <wp:wrapNone/>
                <wp:docPr id="171" name="文本框 173"/>
                <wp:cNvGraphicFramePr/>
                <a:graphic xmlns:a="http://schemas.openxmlformats.org/drawingml/2006/main">
                  <a:graphicData uri="http://schemas.microsoft.com/office/word/2010/wordprocessingShape">
                    <wps:wsp>
                      <wps:cNvSpPr txBox="1"/>
                      <wps:spPr>
                        <a:xfrm>
                          <a:off x="0" y="0"/>
                          <a:ext cx="977900" cy="688975"/>
                        </a:xfrm>
                        <a:prstGeom prst="rect">
                          <a:avLst/>
                        </a:prstGeom>
                        <a:noFill/>
                        <a:ln>
                          <a:noFill/>
                        </a:ln>
                      </wps:spPr>
                      <wps:txb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绿色施工安全防护的要求</w:t>
                            </w:r>
                          </w:p>
                        </w:txbxContent>
                      </wps:txbx>
                      <wps:bodyPr upright="1"/>
                    </wps:wsp>
                  </a:graphicData>
                </a:graphic>
              </wp:anchor>
            </w:drawing>
          </mc:Choice>
          <mc:Fallback>
            <w:pict>
              <v:shape id="文本框 173" o:spid="_x0000_s1026" o:spt="202" type="#_x0000_t202" style="position:absolute;left:0pt;margin-left:-9pt;margin-top:17.6pt;height:54.25pt;width:77pt;z-index:251833344;mso-width-relative:page;mso-height-relative:page;" filled="f" stroked="f" coordsize="21600,21600" o:gfxdata="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mvtET&#10;2AAAAAoBAAAPAAAAAAAAAAEAIAAAACIAAABkcnMvZG93bnJldi54bWxQSwECFAAUAAAACACHTuJA&#10;pv1nn68BAABRAwAADgAAAAAAAAABACAAAAAnAQAAZHJzL2Uyb0RvYy54bWxQSwUGAAAAAAYABgBZ&#10;AQAASAUAAAAA&#10;">
                <v:fill on="f" focussize="0,0"/>
                <v:stroke on="f"/>
                <v:imagedata o:title=""/>
                <o:lock v:ext="edit" aspectratio="f"/>
                <v:textbo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绿色施工安全防护的要求</w:t>
                      </w:r>
                    </w:p>
                  </w:txbxContent>
                </v:textbox>
              </v:shape>
            </w:pict>
          </mc:Fallback>
        </mc:AlternateContent>
      </w:r>
      <w:r>
        <w:rPr>
          <w:rFonts w:ascii="仿宋" w:hAnsi="仿宋" w:eastAsia="仿宋" w:cs="仿宋"/>
          <w:b/>
          <w:bCs/>
          <w:color w:val="auto"/>
          <w:sz w:val="24"/>
          <w:szCs w:val="24"/>
          <w:highlight w:val="none"/>
        </w:rPr>
        <w:t xml:space="preserve">45.1 </w:t>
      </w:r>
      <w:r>
        <w:rPr>
          <w:rFonts w:ascii="仿宋" w:hAnsi="仿宋" w:eastAsia="仿宋" w:cs="仿宋"/>
          <w:b/>
          <w:bCs/>
          <w:color w:val="auto"/>
          <w:sz w:val="24"/>
          <w:szCs w:val="24"/>
          <w:highlight w:val="none"/>
        </w:rPr>
        <w:tab/>
      </w:r>
    </w:p>
    <w:p>
      <w:pPr>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当事人均应当遵守国家、省、市有关绿色施工安全防护的要求，合同当事人有特别要求的，应在专用合同条款中明确施工项目绿色施工安全防护标准化达标目标及相应事项。承包人有权拒绝发包人及监理人强令承包人违章作业、冒险施工的任何指示。</w:t>
      </w:r>
    </w:p>
    <w:p>
      <w:pPr>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在施工过程中，如遇到突发的地质变动、事先未知的地下施工障碍等影响施工安全的紧急情况，承包人应及时报告监理人和发包人，发包人应当及时下令停工并报政府有关行政管理部门采取应急措施。</w:t>
      </w:r>
    </w:p>
    <w:p>
      <w:pPr>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发包人应组织承包人和有关单位进行安全检查，授权监理工程师按合同约定的绿色施工安全防护内容监督、检查承包人实施绿色施工安全防护，并按照第</w:t>
      </w:r>
      <w:r>
        <w:rPr>
          <w:rFonts w:ascii="仿宋" w:hAnsi="仿宋" w:eastAsia="仿宋" w:cs="仿宋"/>
          <w:color w:val="auto"/>
          <w:sz w:val="24"/>
          <w:szCs w:val="24"/>
          <w:highlight w:val="none"/>
        </w:rPr>
        <w:t xml:space="preserve"> 80 </w:t>
      </w:r>
      <w:r>
        <w:rPr>
          <w:rFonts w:hint="eastAsia" w:ascii="仿宋" w:hAnsi="仿宋" w:eastAsia="仿宋" w:cs="仿宋"/>
          <w:color w:val="auto"/>
          <w:sz w:val="24"/>
          <w:szCs w:val="24"/>
          <w:highlight w:val="none"/>
        </w:rPr>
        <w:t>条规定及时向承包人支付绿色施工安全防护费。</w:t>
      </w:r>
    </w:p>
    <w:p>
      <w:pPr>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应及时执行监理工程师发出的绿色施工安全防护的工作指令，并按合同约定的期限和绿色施工安全防护内容编制绿色施工安全防护措施计划，包括施工扬尘污染防治措施、用工实名管理等各类专项方案计划，以及淤泥运输方案并承诺使用专用运输工具运输，提交给监理工程师并由其报发包人批准后实施。</w:t>
      </w:r>
    </w:p>
    <w:p>
      <w:pPr>
        <w:shd w:val="clear" w:color="000000" w:fill="auto"/>
        <w:adjustRightInd w:val="0"/>
        <w:snapToGrid w:val="0"/>
        <w:ind w:left="1679" w:hanging="1679" w:hangingChars="697"/>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45.2  </w:t>
      </w:r>
      <w:r>
        <w:rPr>
          <w:rFonts w:ascii="仿宋" w:hAnsi="仿宋" w:eastAsia="仿宋" w:cs="仿宋"/>
          <w:b/>
          <w:bCs/>
          <w:color w:val="auto"/>
          <w:sz w:val="24"/>
          <w:szCs w:val="24"/>
          <w:highlight w:val="none"/>
          <w:u w:val="dotted"/>
        </w:rPr>
        <w:t xml:space="preserve">                                                                               </w:t>
      </w:r>
    </w:p>
    <w:p>
      <w:pPr>
        <w:shd w:val="clear" w:color="000000" w:fill="auto"/>
        <w:adjustRightInd w:val="0"/>
        <w:snapToGrid w:val="0"/>
        <w:ind w:left="1679" w:hanging="1679" w:hangingChars="697"/>
        <w:rPr>
          <w:rFonts w:ascii="仿宋" w:hAnsi="仿宋" w:eastAsia="仿宋" w:cs="Times New Roman"/>
          <w:b/>
          <w:bCs/>
          <w:color w:val="auto"/>
          <w:sz w:val="24"/>
          <w:szCs w:val="24"/>
          <w:highlight w:val="none"/>
        </w:rPr>
      </w:pPr>
    </w:p>
    <w:p>
      <w:pPr>
        <w:shd w:val="clear" w:color="000000" w:fill="auto"/>
        <w:adjustRightInd w:val="0"/>
        <w:snapToGrid w:val="0"/>
        <w:spacing w:line="360" w:lineRule="auto"/>
        <w:ind w:left="1739" w:leftChars="828"/>
        <w:jc w:val="left"/>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房屋建筑和市政基础设施工程应按国家、省、市住房城乡建设主管部门发布的有关用工实名制、工人工资支付分账管理办法、规定等文件要求实施用工实名制、工人工资支付分账。</w:t>
      </w:r>
      <w:r>
        <w:rPr>
          <w:rFonts w:ascii="楷体_GB2312" w:hAnsi="宋体" w:eastAsia="楷体_GB2312" w:cs="楷体_GB2312"/>
          <w:b/>
          <w:bCs/>
          <w:color w:val="auto"/>
          <w:sz w:val="18"/>
          <w:szCs w:val="18"/>
          <w:highlight w:val="none"/>
        </w:rPr>
        <w:t xml:space="preserve">                                                                            </w:t>
      </w:r>
      <w:r>
        <w:rPr>
          <w:color w:val="auto"/>
          <w:highlight w:val="none"/>
        </w:rPr>
        <mc:AlternateContent>
          <mc:Choice Requires="wps">
            <w:drawing>
              <wp:anchor distT="0" distB="0" distL="114300" distR="114300" simplePos="0" relativeHeight="252082176" behindDoc="0" locked="0" layoutInCell="1" allowOverlap="1">
                <wp:simplePos x="0" y="0"/>
                <wp:positionH relativeFrom="column">
                  <wp:posOffset>-114300</wp:posOffset>
                </wp:positionH>
                <wp:positionV relativeFrom="paragraph">
                  <wp:posOffset>1270</wp:posOffset>
                </wp:positionV>
                <wp:extent cx="977900" cy="607060"/>
                <wp:effectExtent l="0" t="0" r="0" b="0"/>
                <wp:wrapNone/>
                <wp:docPr id="414" name="文本框 174"/>
                <wp:cNvGraphicFramePr/>
                <a:graphic xmlns:a="http://schemas.openxmlformats.org/drawingml/2006/main">
                  <a:graphicData uri="http://schemas.microsoft.com/office/word/2010/wordprocessingShape">
                    <wps:wsp>
                      <wps:cNvSpPr txBox="1"/>
                      <wps:spPr>
                        <a:xfrm>
                          <a:off x="0" y="0"/>
                          <a:ext cx="977900" cy="60706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用工实名制、工人工资支付分账管理</w:t>
                            </w:r>
                          </w:p>
                        </w:txbxContent>
                      </wps:txbx>
                      <wps:bodyPr upright="1"/>
                    </wps:wsp>
                  </a:graphicData>
                </a:graphic>
              </wp:anchor>
            </w:drawing>
          </mc:Choice>
          <mc:Fallback>
            <w:pict>
              <v:shape id="文本框 174" o:spid="_x0000_s1026" o:spt="202" type="#_x0000_t202" style="position:absolute;left:0pt;margin-left:-9pt;margin-top:0.1pt;height:47.8pt;width:77pt;z-index:252082176;mso-width-relative:page;mso-height-relative:page;" filled="f" stroked="f" coordsize="21600,21600" o:gfxdata="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R9ogsNUA&#10;AAAHAQAADwAAAAAAAAABACAAAAAiAAAAZHJzL2Rvd25yZXYueG1sUEsBAhQAFAAAAAgAh07iQOwq&#10;7uGwAQAAUQMAAA4AAAAAAAAAAQAgAAAAJAEAAGRycy9lMm9Eb2MueG1sUEsFBgAAAAAGAAYAWQEA&#10;AEY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用工实名制、工人工资支付分账管理</w:t>
                      </w:r>
                    </w:p>
                  </w:txbxContent>
                </v:textbox>
              </v:shape>
            </w:pict>
          </mc:Fallback>
        </mc:AlternateContent>
      </w:r>
    </w:p>
    <w:p>
      <w:pPr>
        <w:shd w:val="clear" w:color="000000" w:fill="auto"/>
        <w:adjustRightInd w:val="0"/>
        <w:snapToGrid w:val="0"/>
        <w:spacing w:line="360" w:lineRule="auto"/>
        <w:ind w:left="1739" w:leftChars="828"/>
        <w:jc w:val="left"/>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建设单位负责协调、监督项目各参建单位按规定落实实名管理，在工程安全文明措施费中明确列支实名管理所需的费用；负责监督施工总承包单位的工人工资支付情况，协调建设项目的工人工资支付事宜。</w:t>
      </w:r>
    </w:p>
    <w:p>
      <w:pPr>
        <w:shd w:val="clear" w:color="000000" w:fill="auto"/>
        <w:adjustRightInd w:val="0"/>
        <w:snapToGrid w:val="0"/>
        <w:spacing w:line="360" w:lineRule="auto"/>
        <w:ind w:left="1739" w:leftChars="828"/>
        <w:jc w:val="left"/>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建筑施工实名制以建设项目为管理单位。施工总承包企业对实名制管理负总责；专业承包企业和劳务分包企业按照合同约定，对本企业施工范围的实名制管理负责。</w:t>
      </w:r>
    </w:p>
    <w:p>
      <w:pPr>
        <w:shd w:val="clear" w:color="000000" w:fill="auto"/>
        <w:adjustRightInd w:val="0"/>
        <w:snapToGrid w:val="0"/>
        <w:spacing w:line="360" w:lineRule="auto"/>
        <w:ind w:left="1677" w:leftChars="570" w:hanging="480" w:hangingChars="200"/>
        <w:rPr>
          <w:rFonts w:ascii="仿宋" w:hAnsi="仿宋" w:eastAsia="仿宋" w:cs="Times New Roman"/>
          <w:b/>
          <w:bCs/>
          <w:color w:val="auto"/>
          <w:sz w:val="24"/>
          <w:szCs w:val="24"/>
          <w:highlight w:val="none"/>
          <w:u w:val="dotted"/>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建设单位、施工总承包企业、专业承包企业和劳务分包企业存在违反有关文件规定情形的，需承担相应的责任。</w:t>
      </w:r>
    </w:p>
    <w:p>
      <w:pPr>
        <w:shd w:val="clear" w:color="000000" w:fill="auto"/>
        <w:adjustRightInd w:val="0"/>
        <w:snapToGrid w:val="0"/>
        <w:spacing w:line="360" w:lineRule="auto"/>
        <w:rPr>
          <w:rFonts w:ascii="仿宋" w:hAnsi="仿宋" w:eastAsia="仿宋" w:cs="Times New Roman"/>
          <w:color w:val="auto"/>
          <w:sz w:val="24"/>
          <w:szCs w:val="24"/>
          <w:highlight w:val="none"/>
        </w:rPr>
      </w:pPr>
    </w:p>
    <w:p>
      <w:pPr>
        <w:shd w:val="clear" w:color="000000" w:fill="auto"/>
        <w:adjustRightInd w:val="0"/>
        <w:snapToGrid w:val="0"/>
        <w:ind w:left="1679" w:hanging="1679" w:hangingChars="697"/>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45.3  </w:t>
      </w:r>
      <w:r>
        <w:rPr>
          <w:rFonts w:ascii="仿宋" w:hAnsi="仿宋" w:eastAsia="仿宋" w:cs="仿宋"/>
          <w:b/>
          <w:bCs/>
          <w:color w:val="auto"/>
          <w:sz w:val="24"/>
          <w:szCs w:val="24"/>
          <w:highlight w:val="none"/>
          <w:u w:val="dotted"/>
        </w:rPr>
        <w:t xml:space="preserve">                                                                               </w:t>
      </w:r>
    </w:p>
    <w:p>
      <w:pPr>
        <w:shd w:val="clear" w:color="000000" w:fill="auto"/>
        <w:adjustRightInd w:val="0"/>
        <w:snapToGrid w:val="0"/>
        <w:ind w:left="1679" w:hanging="1679" w:hangingChars="697"/>
        <w:rPr>
          <w:rFonts w:ascii="仿宋" w:hAnsi="仿宋" w:eastAsia="仿宋" w:cs="Times New Roman"/>
          <w:b/>
          <w:bCs/>
          <w:color w:val="auto"/>
          <w:sz w:val="24"/>
          <w:szCs w:val="24"/>
          <w:highlight w:val="none"/>
        </w:rPr>
      </w:pPr>
    </w:p>
    <w:p>
      <w:pPr>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34368" behindDoc="0" locked="0" layoutInCell="1" allowOverlap="1">
                <wp:simplePos x="0" y="0"/>
                <wp:positionH relativeFrom="column">
                  <wp:posOffset>-114300</wp:posOffset>
                </wp:positionH>
                <wp:positionV relativeFrom="paragraph">
                  <wp:posOffset>1270</wp:posOffset>
                </wp:positionV>
                <wp:extent cx="977900" cy="396240"/>
                <wp:effectExtent l="0" t="0" r="0" b="0"/>
                <wp:wrapNone/>
                <wp:docPr id="172" name="文本框 175"/>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发包人责任</w:t>
                            </w:r>
                          </w:p>
                        </w:txbxContent>
                      </wps:txbx>
                      <wps:bodyPr upright="1"/>
                    </wps:wsp>
                  </a:graphicData>
                </a:graphic>
              </wp:anchor>
            </w:drawing>
          </mc:Choice>
          <mc:Fallback>
            <w:pict>
              <v:shape id="文本框 175" o:spid="_x0000_s1026" o:spt="202" type="#_x0000_t202" style="position:absolute;left:0pt;margin-left:-9pt;margin-top:0.1pt;height:31.2pt;width:77pt;z-index:251834368;mso-width-relative:page;mso-height-relative:page;" filled="f" stroked="f" coordsize="21600,21600" o:gfxdata="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s5QyJ1AAA&#10;AAcBAAAPAAAAAAAAAAEAIAAAACIAAABkcnMvZG93bnJldi54bWxQSwECFAAUAAAACACHTuJApChp&#10;J7ABAABRAwAADgAAAAAAAAABACAAAAAjAQAAZHJzL2Uyb0RvYy54bWxQSwUGAAAAAAYABgBZAQAA&#10;RQ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发包人责任</w:t>
                      </w:r>
                    </w:p>
                  </w:txbxContent>
                </v:textbox>
              </v:shape>
            </w:pict>
          </mc:Fallback>
        </mc:AlternateContent>
      </w:r>
      <w:r>
        <w:rPr>
          <w:rFonts w:hint="eastAsia" w:ascii="仿宋" w:hAnsi="仿宋" w:eastAsia="仿宋" w:cs="仿宋"/>
          <w:color w:val="auto"/>
          <w:sz w:val="24"/>
          <w:szCs w:val="24"/>
          <w:highlight w:val="none"/>
        </w:rPr>
        <w:t>在合同工程实施、完成及保修期间，发包人承担下列责任：</w:t>
      </w:r>
    </w:p>
    <w:p>
      <w:pPr>
        <w:shd w:val="clear" w:color="000000" w:fill="auto"/>
        <w:adjustRightInd w:val="0"/>
        <w:snapToGrid w:val="0"/>
        <w:spacing w:line="360" w:lineRule="auto"/>
        <w:ind w:left="1619" w:leftChars="771" w:firstLine="60" w:firstLineChars="25"/>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）发包人应配合承包人做好绿色施工安全防护工作，定期对其现场机构雇佣的全部人员进行绿色施工安全防护教育和培训。</w:t>
      </w:r>
    </w:p>
    <w:p>
      <w:pPr>
        <w:shd w:val="clear" w:color="000000" w:fill="auto"/>
        <w:adjustRightInd w:val="0"/>
        <w:snapToGrid w:val="0"/>
        <w:spacing w:line="360" w:lineRule="auto"/>
        <w:ind w:left="1575" w:leftChars="75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）发包人应对其现场机构雇佣的全部人员的安全事故承担责任，但由于承包人原因造成发包人人员安全事故的，应由承包人承担责任。</w:t>
      </w:r>
    </w:p>
    <w:p>
      <w:pPr>
        <w:shd w:val="clear" w:color="000000" w:fill="auto"/>
        <w:adjustRightInd w:val="0"/>
        <w:snapToGrid w:val="0"/>
        <w:spacing w:line="360" w:lineRule="auto"/>
        <w:ind w:left="1574" w:leftChars="743" w:hanging="14" w:hangingChars="6"/>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）发包人有下列行为之一或由于发包人原因造成安全事故的，由发包人承担责任，由此增加的费用和延误的工期由发包人承担。</w:t>
      </w:r>
    </w:p>
    <w:p>
      <w:pPr>
        <w:shd w:val="clear" w:color="000000" w:fill="auto"/>
        <w:tabs>
          <w:tab w:val="left" w:pos="1980"/>
        </w:tabs>
        <w:adjustRightInd w:val="0"/>
        <w:snapToGrid w:val="0"/>
        <w:spacing w:line="360" w:lineRule="auto"/>
        <w:ind w:firstLine="1680" w:firstLineChars="7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）要求承包人违反绿色施工安全防护操作规程施工的；</w:t>
      </w:r>
    </w:p>
    <w:p>
      <w:pPr>
        <w:shd w:val="clear" w:color="000000" w:fill="auto"/>
        <w:tabs>
          <w:tab w:val="left" w:pos="1980"/>
        </w:tabs>
        <w:adjustRightInd w:val="0"/>
        <w:snapToGrid w:val="0"/>
        <w:spacing w:line="360" w:lineRule="auto"/>
        <w:ind w:left="1619" w:leftChars="771" w:firstLine="60" w:firstLineChars="25"/>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）对承包人提出不符合国家、省有关安绿色施工安全防护全文明施工法律和强制性标准规定要求的；</w:t>
      </w:r>
    </w:p>
    <w:p>
      <w:pPr>
        <w:shd w:val="clear" w:color="000000" w:fill="auto"/>
        <w:tabs>
          <w:tab w:val="left" w:pos="1980"/>
        </w:tabs>
        <w:adjustRightInd w:val="0"/>
        <w:snapToGrid w:val="0"/>
        <w:spacing w:line="360" w:lineRule="auto"/>
        <w:ind w:left="1676" w:leftChars="798"/>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）明示承包人购买、租赁、使用不符合安全施工要求的安全防护用具、机械设备、施工机具及配件、消防设施和器材的。</w:t>
      </w:r>
    </w:p>
    <w:p>
      <w:pPr>
        <w:shd w:val="clear" w:color="000000" w:fill="auto"/>
        <w:adjustRightInd w:val="0"/>
        <w:snapToGrid w:val="0"/>
        <w:spacing w:line="360" w:lineRule="auto"/>
        <w:ind w:firstLine="1560" w:firstLineChars="65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4</w:t>
      </w:r>
      <w:r>
        <w:rPr>
          <w:rFonts w:hint="eastAsia" w:ascii="仿宋" w:hAnsi="仿宋" w:eastAsia="仿宋" w:cs="仿宋"/>
          <w:color w:val="auto"/>
          <w:sz w:val="24"/>
          <w:szCs w:val="24"/>
          <w:highlight w:val="none"/>
        </w:rPr>
        <w:t>）发包人应负责赔偿下列情形造成的第三者人身伤亡和财产损失。</w:t>
      </w:r>
    </w:p>
    <w:p>
      <w:pPr>
        <w:shd w:val="clear" w:color="000000" w:fill="auto"/>
        <w:adjustRightInd w:val="0"/>
        <w:snapToGrid w:val="0"/>
        <w:spacing w:line="360" w:lineRule="auto"/>
        <w:ind w:firstLine="1680" w:firstLineChars="7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）工程或工程的任何部分对土地的占用所造成的第三者财产损失；</w:t>
      </w:r>
    </w:p>
    <w:p>
      <w:pPr>
        <w:shd w:val="clear" w:color="000000" w:fill="auto"/>
        <w:adjustRightInd w:val="0"/>
        <w:snapToGrid w:val="0"/>
        <w:spacing w:line="360" w:lineRule="auto"/>
        <w:ind w:left="1796" w:leftChars="798" w:hanging="120" w:hangingChars="5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）由于发包人原因在施工场地及其毗邻造成的第三者人身伤亡和财产损失。</w:t>
      </w:r>
    </w:p>
    <w:p>
      <w:pPr>
        <w:shd w:val="clear" w:color="000000" w:fill="auto"/>
        <w:adjustRightInd w:val="0"/>
        <w:snapToGrid w:val="0"/>
        <w:rPr>
          <w:rFonts w:ascii="仿宋" w:hAnsi="仿宋" w:eastAsia="仿宋" w:cs="仿宋"/>
          <w:color w:val="auto"/>
          <w:sz w:val="24"/>
          <w:szCs w:val="24"/>
          <w:highlight w:val="none"/>
          <w:u w:val="dotted"/>
        </w:rPr>
      </w:pPr>
      <w:r>
        <w:rPr>
          <w:rFonts w:ascii="仿宋" w:hAnsi="仿宋" w:eastAsia="仿宋" w:cs="仿宋"/>
          <w:b/>
          <w:bCs/>
          <w:color w:val="auto"/>
          <w:sz w:val="24"/>
          <w:szCs w:val="24"/>
          <w:highlight w:val="none"/>
        </w:rPr>
        <w:t xml:space="preserve">45.4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shd w:val="clear" w:color="000000" w:fill="auto"/>
        <w:adjustRightInd w:val="0"/>
        <w:snapToGrid w:val="0"/>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35392" behindDoc="0" locked="0" layoutInCell="1" allowOverlap="1">
                <wp:simplePos x="0" y="0"/>
                <wp:positionH relativeFrom="column">
                  <wp:posOffset>-114300</wp:posOffset>
                </wp:positionH>
                <wp:positionV relativeFrom="paragraph">
                  <wp:posOffset>198120</wp:posOffset>
                </wp:positionV>
                <wp:extent cx="1028700" cy="567055"/>
                <wp:effectExtent l="0" t="0" r="0" b="0"/>
                <wp:wrapNone/>
                <wp:docPr id="173" name="文本框 176"/>
                <wp:cNvGraphicFramePr/>
                <a:graphic xmlns:a="http://schemas.openxmlformats.org/drawingml/2006/main">
                  <a:graphicData uri="http://schemas.microsoft.com/office/word/2010/wordprocessingShape">
                    <wps:wsp>
                      <wps:cNvSpPr txBox="1"/>
                      <wps:spPr>
                        <a:xfrm>
                          <a:off x="0" y="0"/>
                          <a:ext cx="1028700" cy="56705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承包人责任</w:t>
                            </w:r>
                          </w:p>
                        </w:txbxContent>
                      </wps:txbx>
                      <wps:bodyPr upright="1"/>
                    </wps:wsp>
                  </a:graphicData>
                </a:graphic>
              </wp:anchor>
            </w:drawing>
          </mc:Choice>
          <mc:Fallback>
            <w:pict>
              <v:shape id="文本框 176" o:spid="_x0000_s1026" o:spt="202" type="#_x0000_t202" style="position:absolute;left:0pt;margin-left:-9pt;margin-top:15.6pt;height:44.65pt;width:81pt;z-index:251835392;mso-width-relative:page;mso-height-relative:page;" filled="f" stroked="f" coordsize="21600,21600" o:gfxdata="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GAWbBbY&#10;AAAACgEAAA8AAAAAAAAAAQAgAAAAIgAAAGRycy9kb3ducmV2LnhtbFBLAQIUABQAAAAIAIdO4kBJ&#10;fBjKrgEAAFIDAAAOAAAAAAAAAAEAIAAAACcBAABkcnMvZTJvRG9jLnhtbFBLBQYAAAAABgAGAFkB&#10;AABH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承包人责任</w:t>
                      </w:r>
                    </w:p>
                  </w:txbxContent>
                </v:textbox>
              </v:shape>
            </w:pict>
          </mc:Fallback>
        </mc:AlternateContent>
      </w:r>
    </w:p>
    <w:p>
      <w:pPr>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在合同工程实施、完成及保修期间，承包人承担下列责任：</w:t>
      </w:r>
    </w:p>
    <w:p>
      <w:pPr>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）承包人应严格按照国家、省、市有关绿色施工安全防护的标准、内容与规范制定绿色施工安全防护操作规程，配备必要的安全生产和劳动保护设施，加强对承包人人员的施工安全教育和培训。</w:t>
      </w:r>
    </w:p>
    <w:p>
      <w:pPr>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）承包人应对合同工程的绿色施工安全防护负责，采取有效的安全措施消除安全事故隐患，并接受和配合依法实施的监督检查。</w:t>
      </w:r>
    </w:p>
    <w:p>
      <w:pPr>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承包人应加强施工作业安全管理，特别应加强经监理工程师同意并由其报发包人批准的输送电线路工程，使用易燃、易爆材料、火工器材、有毒与腐蚀性材料等危险品工程，以及爆破作业和地下工程施工等危险作业的安全管理，尽量避免人员伤亡和财产损失。</w:t>
      </w:r>
    </w:p>
    <w:p>
      <w:pPr>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4</w:t>
      </w:r>
      <w:r>
        <w:rPr>
          <w:rFonts w:hint="eastAsia" w:ascii="仿宋" w:hAnsi="仿宋" w:eastAsia="仿宋" w:cs="仿宋"/>
          <w:color w:val="auto"/>
          <w:sz w:val="24"/>
          <w:szCs w:val="24"/>
          <w:highlight w:val="none"/>
        </w:rPr>
        <w:t>）承包人应按监理工程师的指令制定应对灾害的紧急预案，并按预案做好安全检查，配置必要的救助物资和器材，切实保护好有关人员的人身和财产安全。</w:t>
      </w:r>
    </w:p>
    <w:p>
      <w:pPr>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5</w:t>
      </w:r>
      <w:r>
        <w:rPr>
          <w:rFonts w:hint="eastAsia" w:ascii="仿宋" w:hAnsi="仿宋" w:eastAsia="仿宋" w:cs="仿宋"/>
          <w:color w:val="auto"/>
          <w:sz w:val="24"/>
          <w:szCs w:val="24"/>
          <w:highlight w:val="none"/>
        </w:rPr>
        <w:t>）承包人违反本条规定或由于承包人原因造成安全事故的，由承包人承担责任，由此增加的费用和延误的工期由承包人承担。</w:t>
      </w:r>
    </w:p>
    <w:p>
      <w:pPr>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6</w:t>
      </w:r>
      <w:r>
        <w:rPr>
          <w:rFonts w:hint="eastAsia" w:ascii="仿宋" w:hAnsi="仿宋" w:eastAsia="仿宋" w:cs="仿宋"/>
          <w:color w:val="auto"/>
          <w:sz w:val="24"/>
          <w:szCs w:val="24"/>
          <w:highlight w:val="none"/>
        </w:rPr>
        <w:t>）承包人应对其履行合同所雇佣的全部人员，包括分包人人员的安全事故承担责任，但由于发包人原因造成承包人人员安全事故的，应由发包人承担责任。</w:t>
      </w:r>
    </w:p>
    <w:p>
      <w:pPr>
        <w:shd w:val="clear" w:color="000000" w:fill="auto"/>
        <w:adjustRightInd w:val="0"/>
        <w:snapToGrid w:val="0"/>
        <w:spacing w:line="360" w:lineRule="auto"/>
        <w:ind w:left="1619" w:leftChars="771" w:firstLine="60" w:firstLineChars="25"/>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）由于承包人原因在施工场地内及其毗邻造成的第三者人身伤亡和财产损失，由承包人负责赔偿。</w:t>
      </w:r>
    </w:p>
    <w:p>
      <w:pPr>
        <w:shd w:val="clear" w:color="000000" w:fill="auto"/>
        <w:adjustRightInd w:val="0"/>
        <w:snapToGrid w:val="0"/>
        <w:rPr>
          <w:rFonts w:ascii="仿宋" w:hAnsi="仿宋" w:eastAsia="仿宋" w:cs="仿宋"/>
          <w:color w:val="auto"/>
          <w:sz w:val="24"/>
          <w:szCs w:val="24"/>
          <w:highlight w:val="none"/>
          <w:u w:val="dotted"/>
        </w:rPr>
      </w:pPr>
      <w:r>
        <w:rPr>
          <w:rFonts w:ascii="仿宋" w:hAnsi="仿宋" w:eastAsia="仿宋" w:cs="仿宋"/>
          <w:b/>
          <w:bCs/>
          <w:color w:val="auto"/>
          <w:sz w:val="24"/>
          <w:szCs w:val="24"/>
          <w:highlight w:val="none"/>
        </w:rPr>
        <w:t xml:space="preserve">45.5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shd w:val="clear" w:color="000000" w:fill="auto"/>
        <w:adjustRightInd w:val="0"/>
        <w:snapToGrid w:val="0"/>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36416" behindDoc="0" locked="0" layoutInCell="1" allowOverlap="1">
                <wp:simplePos x="0" y="0"/>
                <wp:positionH relativeFrom="column">
                  <wp:posOffset>-114300</wp:posOffset>
                </wp:positionH>
                <wp:positionV relativeFrom="paragraph">
                  <wp:posOffset>219710</wp:posOffset>
                </wp:positionV>
                <wp:extent cx="954405" cy="479425"/>
                <wp:effectExtent l="0" t="0" r="0" b="0"/>
                <wp:wrapNone/>
                <wp:docPr id="174" name="文本框 177"/>
                <wp:cNvGraphicFramePr/>
                <a:graphic xmlns:a="http://schemas.openxmlformats.org/drawingml/2006/main">
                  <a:graphicData uri="http://schemas.microsoft.com/office/word/2010/wordprocessingShape">
                    <wps:wsp>
                      <wps:cNvSpPr txBox="1"/>
                      <wps:spPr>
                        <a:xfrm>
                          <a:off x="0" y="0"/>
                          <a:ext cx="954405" cy="47942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施工措施的审查与整改</w:t>
                            </w:r>
                          </w:p>
                        </w:txbxContent>
                      </wps:txbx>
                      <wps:bodyPr upright="1"/>
                    </wps:wsp>
                  </a:graphicData>
                </a:graphic>
              </wp:anchor>
            </w:drawing>
          </mc:Choice>
          <mc:Fallback>
            <w:pict>
              <v:shape id="文本框 177" o:spid="_x0000_s1026" o:spt="202" type="#_x0000_t202" style="position:absolute;left:0pt;margin-left:-9pt;margin-top:17.3pt;height:37.75pt;width:75.15pt;z-index:251836416;mso-width-relative:page;mso-height-relative:page;" filled="f" stroked="f" coordsize="21600,21600" o:gfxdata="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PGx7BrX&#10;AAAACgEAAA8AAAAAAAAAAQAgAAAAIgAAAGRycy9kb3ducmV2LnhtbFBLAQIUABQAAAAIAIdO4kD1&#10;+l+6rwEAAFEDAAAOAAAAAAAAAAEAIAAAACYBAABkcnMvZTJvRG9jLnhtbFBLBQYAAAAABgAGAFkB&#10;AABH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施工措施的审查与整改</w:t>
                      </w:r>
                    </w:p>
                  </w:txbxContent>
                </v:textbox>
              </v:shape>
            </w:pict>
          </mc:Fallback>
        </mc:AlternateContent>
      </w:r>
    </w:p>
    <w:p>
      <w:pPr>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监理工程师应当审查施工组织设计中的安全技术措施或者专项施工方案是否符合建设行政主管部门的有关规定。监理工程师发现承包人未遵守安全生产和文明施工规定或施工现场存在安全事故隐患的，应以书面形式通知承包人整改；情况严重的，应要求承包人暂停施工，并及时报告发包人。承包人在收到监理工程师发出书面通知后的</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小时内仍未整改的，监理工程师可在报经发包人批准后委托第三方采取措施。该款项经造价工程师核实后，由发包人从应付或将付给承包人的款项中扣除。</w:t>
      </w:r>
    </w:p>
    <w:p>
      <w:pPr>
        <w:shd w:val="clear" w:color="000000" w:fill="auto"/>
        <w:adjustRightInd w:val="0"/>
        <w:snapToGrid w:val="0"/>
        <w:spacing w:line="360" w:lineRule="auto"/>
        <w:rPr>
          <w:rFonts w:ascii="仿宋" w:hAnsi="仿宋" w:eastAsia="仿宋" w:cs="仿宋"/>
          <w:color w:val="auto"/>
          <w:sz w:val="24"/>
          <w:szCs w:val="24"/>
          <w:highlight w:val="none"/>
        </w:rPr>
      </w:pPr>
      <w:r>
        <w:rPr>
          <w:rFonts w:ascii="仿宋" w:hAnsi="仿宋" w:eastAsia="仿宋" w:cs="仿宋"/>
          <w:b/>
          <w:bCs/>
          <w:color w:val="auto"/>
          <w:sz w:val="24"/>
          <w:szCs w:val="24"/>
          <w:highlight w:val="none"/>
        </w:rPr>
        <w:t>45.6</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r>
        <w:rPr>
          <w:rFonts w:ascii="仿宋" w:hAnsi="仿宋" w:eastAsia="仿宋" w:cs="仿宋"/>
          <w:color w:val="auto"/>
          <w:sz w:val="24"/>
          <w:szCs w:val="24"/>
          <w:highlight w:val="none"/>
        </w:rPr>
        <w:t xml:space="preserve"> </w:t>
      </w:r>
    </w:p>
    <w:p>
      <w:pPr>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37440" behindDoc="0" locked="0" layoutInCell="1" allowOverlap="1">
                <wp:simplePos x="0" y="0"/>
                <wp:positionH relativeFrom="column">
                  <wp:posOffset>-83820</wp:posOffset>
                </wp:positionH>
                <wp:positionV relativeFrom="paragraph">
                  <wp:posOffset>11430</wp:posOffset>
                </wp:positionV>
                <wp:extent cx="800100" cy="720090"/>
                <wp:effectExtent l="0" t="0" r="0" b="0"/>
                <wp:wrapNone/>
                <wp:docPr id="175" name="文本框 178"/>
                <wp:cNvGraphicFramePr/>
                <a:graphic xmlns:a="http://schemas.openxmlformats.org/drawingml/2006/main">
                  <a:graphicData uri="http://schemas.microsoft.com/office/word/2010/wordprocessingShape">
                    <wps:wsp>
                      <wps:cNvSpPr txBox="1"/>
                      <wps:spPr>
                        <a:xfrm>
                          <a:off x="0" y="0"/>
                          <a:ext cx="800100" cy="72009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治安管理</w:t>
                            </w:r>
                          </w:p>
                        </w:txbxContent>
                      </wps:txbx>
                      <wps:bodyPr upright="1"/>
                    </wps:wsp>
                  </a:graphicData>
                </a:graphic>
              </wp:anchor>
            </w:drawing>
          </mc:Choice>
          <mc:Fallback>
            <w:pict>
              <v:shape id="文本框 178" o:spid="_x0000_s1026" o:spt="202" type="#_x0000_t202" style="position:absolute;left:0pt;margin-left:-6.6pt;margin-top:0.9pt;height:56.7pt;width:63pt;z-index:251837440;mso-width-relative:page;mso-height-relative:page;" filled="f" stroked="f" coordsize="21600,21600" o:gfxdata="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zYEY0dQAAAAJ&#10;AQAADwAAAAAAAAABACAAAAAiAAAAZHJzL2Rvd25yZXYueG1sUEsBAhQAFAAAAAgAh07iQGH/iFuu&#10;AQAAUQMAAA4AAAAAAAAAAQAgAAAAIwEAAGRycy9lMm9Eb2MueG1sUEsFBgAAAAAGAAYAWQEAAEMF&#10;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治安管理</w:t>
                      </w:r>
                    </w:p>
                  </w:txbxContent>
                </v:textbox>
              </v:shape>
            </w:pict>
          </mc:Fallback>
        </mc:AlternateContent>
      </w:r>
      <w:r>
        <w:rPr>
          <w:rFonts w:hint="eastAsia" w:ascii="仿宋" w:hAnsi="仿宋" w:eastAsia="仿宋" w:cs="仿宋"/>
          <w:color w:val="auto"/>
          <w:sz w:val="24"/>
          <w:szCs w:val="24"/>
          <w:highlight w:val="none"/>
        </w:rPr>
        <w:t>合同双方当事人不仅应协助现场治安管理机构或联防组织维护施工场地的社会治安，而且应做好包括有关人员现场生活、居住场所在内的施工场地内的治安保卫工作。</w:t>
      </w:r>
    </w:p>
    <w:p>
      <w:pPr>
        <w:shd w:val="clear" w:color="000000" w:fill="auto"/>
        <w:adjustRightInd w:val="0"/>
        <w:snapToGrid w:val="0"/>
        <w:spacing w:line="360" w:lineRule="auto"/>
        <w:ind w:left="1575" w:leftChars="75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除专用条款另有约定外，合同双方当事人应在工程开工后，共同编制施工场地治安管理计划，并制定应对突发治安事件的紧急预案。在施工过程中，发生暴乱、爆炸等恐怖事件，以及群殴、械斗等群体性突发治安事件的，应立即向当地政府有关部门报告，积极协助当地政府有关部门采取措施平息事件，防止事态扩大，尽量减少财产损失和避免人员伤亡。</w:t>
      </w:r>
    </w:p>
    <w:p>
      <w:pPr>
        <w:shd w:val="clear" w:color="000000" w:fill="auto"/>
        <w:adjustRightInd w:val="0"/>
        <w:snapToGrid w:val="0"/>
        <w:spacing w:line="360" w:lineRule="auto"/>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45.7  </w:t>
      </w:r>
      <w:r>
        <w:rPr>
          <w:rFonts w:ascii="仿宋" w:hAnsi="仿宋" w:eastAsia="仿宋" w:cs="仿宋"/>
          <w:b/>
          <w:bCs/>
          <w:color w:val="auto"/>
          <w:sz w:val="24"/>
          <w:szCs w:val="24"/>
          <w:highlight w:val="none"/>
          <w:u w:val="dotted"/>
        </w:rPr>
        <w:t xml:space="preserve">                                                                                                        </w:t>
      </w:r>
      <w:r>
        <w:rPr>
          <w:rFonts w:ascii="仿宋" w:hAnsi="仿宋" w:eastAsia="仿宋" w:cs="仿宋"/>
          <w:b/>
          <w:bCs/>
          <w:color w:val="auto"/>
          <w:sz w:val="24"/>
          <w:szCs w:val="24"/>
          <w:highlight w:val="none"/>
        </w:rPr>
        <w:t xml:space="preserve"> </w:t>
      </w:r>
    </w:p>
    <w:p>
      <w:pPr>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38464" behindDoc="0" locked="0" layoutInCell="1" allowOverlap="1">
                <wp:simplePos x="0" y="0"/>
                <wp:positionH relativeFrom="column">
                  <wp:posOffset>-73660</wp:posOffset>
                </wp:positionH>
                <wp:positionV relativeFrom="paragraph">
                  <wp:posOffset>15875</wp:posOffset>
                </wp:positionV>
                <wp:extent cx="873760" cy="650875"/>
                <wp:effectExtent l="0" t="0" r="0" b="0"/>
                <wp:wrapNone/>
                <wp:docPr id="176" name="文本框 179"/>
                <wp:cNvGraphicFramePr/>
                <a:graphic xmlns:a="http://schemas.openxmlformats.org/drawingml/2006/main">
                  <a:graphicData uri="http://schemas.microsoft.com/office/word/2010/wordprocessingShape">
                    <wps:wsp>
                      <wps:cNvSpPr txBox="1"/>
                      <wps:spPr>
                        <a:xfrm>
                          <a:off x="0" y="0"/>
                          <a:ext cx="873760" cy="65087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施工场地的环保、卫生要求</w:t>
                            </w:r>
                          </w:p>
                        </w:txbxContent>
                      </wps:txbx>
                      <wps:bodyPr upright="1"/>
                    </wps:wsp>
                  </a:graphicData>
                </a:graphic>
              </wp:anchor>
            </w:drawing>
          </mc:Choice>
          <mc:Fallback>
            <w:pict>
              <v:shape id="文本框 179" o:spid="_x0000_s1026" o:spt="202" type="#_x0000_t202" style="position:absolute;left:0pt;margin-left:-5.8pt;margin-top:1.25pt;height:51.25pt;width:68.8pt;z-index:251838464;mso-width-relative:page;mso-height-relative:page;" filled="f" stroked="f" coordsize="21600,21600" o:gfxdata="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a/AGb9YA&#10;AAAJAQAADwAAAAAAAAABACAAAAAiAAAAZHJzL2Rvd25yZXYueG1sUEsBAhQAFAAAAAgAh07iQPHu&#10;oUSvAQAAUQMAAA4AAAAAAAAAAQAgAAAAJQEAAGRycy9lMm9Eb2MueG1sUEsFBgAAAAAGAAYAWQEA&#10;AEY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施工场地的环保、卫生要求</w:t>
                      </w:r>
                    </w:p>
                  </w:txbxContent>
                </v:textbox>
              </v:shape>
            </w:pict>
          </mc:Fallback>
        </mc:AlternateContent>
      </w:r>
      <w:r>
        <w:rPr>
          <w:rFonts w:hint="eastAsia" w:ascii="仿宋" w:hAnsi="仿宋" w:eastAsia="仿宋" w:cs="仿宋"/>
          <w:color w:val="auto"/>
          <w:sz w:val="24"/>
          <w:szCs w:val="24"/>
          <w:highlight w:val="none"/>
        </w:rPr>
        <w:t>承包人应遵守国家有关环境保护、卫生监督的法律，按照合同约定采取有效措施，保证施工场地达到环境保护、卫生部门的管理要求，为现场所有人员提供并维护干净卫生的生活设施，并在颁发合同工程接收证书后的</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清理现场，运走全部施工设备、剩余材料和垃圾，保持施工场地和合同工程的清洁整齐。否则，发包人可自行处理或委托第三方处理留下的物品，在扣除由此发生的费用之后，将余额退还给承包人，不足部分由承包人承担。</w:t>
      </w:r>
    </w:p>
    <w:p>
      <w:pPr>
        <w:shd w:val="clear" w:color="000000" w:fill="auto"/>
        <w:adjustRightInd w:val="0"/>
        <w:snapToGrid w:val="0"/>
        <w:spacing w:line="360" w:lineRule="auto"/>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45.8  </w:t>
      </w:r>
      <w:r>
        <w:rPr>
          <w:rFonts w:ascii="仿宋" w:hAnsi="仿宋" w:eastAsia="仿宋" w:cs="仿宋"/>
          <w:b/>
          <w:bCs/>
          <w:color w:val="auto"/>
          <w:sz w:val="24"/>
          <w:szCs w:val="24"/>
          <w:highlight w:val="none"/>
          <w:u w:val="dotted"/>
        </w:rPr>
        <w:t xml:space="preserve">                                                                                 </w:t>
      </w:r>
    </w:p>
    <w:p>
      <w:pPr>
        <w:shd w:val="clear" w:color="000000" w:fill="auto"/>
        <w:adjustRightInd w:val="0"/>
        <w:snapToGrid w:val="0"/>
        <w:spacing w:line="360" w:lineRule="auto"/>
        <w:ind w:left="1619" w:leftChars="771"/>
        <w:rPr>
          <w:rFonts w:ascii="仿宋" w:hAnsi="仿宋" w:eastAsia="仿宋" w:cs="Times New Roman"/>
          <w:caps/>
          <w:color w:val="auto"/>
          <w:sz w:val="24"/>
          <w:szCs w:val="24"/>
          <w:highlight w:val="none"/>
        </w:rPr>
      </w:pPr>
      <w:r>
        <w:rPr>
          <w:color w:val="auto"/>
          <w:highlight w:val="none"/>
        </w:rPr>
        <mc:AlternateContent>
          <mc:Choice Requires="wps">
            <w:drawing>
              <wp:anchor distT="0" distB="0" distL="114300" distR="114300" simplePos="0" relativeHeight="251839488" behindDoc="0" locked="0" layoutInCell="1" allowOverlap="1">
                <wp:simplePos x="0" y="0"/>
                <wp:positionH relativeFrom="column">
                  <wp:posOffset>0</wp:posOffset>
                </wp:positionH>
                <wp:positionV relativeFrom="paragraph">
                  <wp:posOffset>17145</wp:posOffset>
                </wp:positionV>
                <wp:extent cx="873760" cy="594360"/>
                <wp:effectExtent l="0" t="0" r="0" b="0"/>
                <wp:wrapNone/>
                <wp:docPr id="177" name="文本框 180"/>
                <wp:cNvGraphicFramePr/>
                <a:graphic xmlns:a="http://schemas.openxmlformats.org/drawingml/2006/main">
                  <a:graphicData uri="http://schemas.microsoft.com/office/word/2010/wordprocessingShape">
                    <wps:wsp>
                      <wps:cNvSpPr txBox="1"/>
                      <wps:spPr>
                        <a:xfrm>
                          <a:off x="0" y="0"/>
                          <a:ext cx="873760" cy="594360"/>
                        </a:xfrm>
                        <a:prstGeom prst="rect">
                          <a:avLst/>
                        </a:prstGeom>
                        <a:noFill/>
                        <a:ln>
                          <a:noFill/>
                        </a:ln>
                      </wps:spPr>
                      <wps:txb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发包人鼓励创建文明工地</w:t>
                            </w:r>
                          </w:p>
                        </w:txbxContent>
                      </wps:txbx>
                      <wps:bodyPr upright="1"/>
                    </wps:wsp>
                  </a:graphicData>
                </a:graphic>
              </wp:anchor>
            </w:drawing>
          </mc:Choice>
          <mc:Fallback>
            <w:pict>
              <v:shape id="文本框 180" o:spid="_x0000_s1026" o:spt="202" type="#_x0000_t202" style="position:absolute;left:0pt;margin-left:0pt;margin-top:1.35pt;height:46.8pt;width:68.8pt;z-index:251839488;mso-width-relative:page;mso-height-relative:page;" filled="f" stroked="f" coordsize="21600,21600" o:gfxdata="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Lt6dMNQAAAAF&#10;AQAADwAAAAAAAAABACAAAAAiAAAAZHJzL2Rvd25yZXYueG1sUEsBAhQAFAAAAAgAh07iQNLfzvGu&#10;AQAAUQMAAA4AAAAAAAAAAQAgAAAAIwEAAGRycy9lMm9Eb2MueG1sUEsFBgAAAAAGAAYAWQEAAEMF&#10;AAAAAA==&#10;">
                <v:fill on="f" focussize="0,0"/>
                <v:stroke on="f"/>
                <v:imagedata o:title=""/>
                <o:lock v:ext="edit" aspectratio="f"/>
                <v:textbo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发包人鼓励创建文明工地</w:t>
                      </w:r>
                    </w:p>
                  </w:txbxContent>
                </v:textbox>
              </v:shape>
            </w:pict>
          </mc:Fallback>
        </mc:AlternateContent>
      </w:r>
      <w:r>
        <w:rPr>
          <w:rFonts w:hint="eastAsia" w:ascii="仿宋" w:hAnsi="仿宋" w:eastAsia="仿宋" w:cs="仿宋"/>
          <w:caps/>
          <w:color w:val="auto"/>
          <w:sz w:val="24"/>
          <w:szCs w:val="24"/>
          <w:highlight w:val="none"/>
        </w:rPr>
        <w:t>发包人应配合承包人加强</w:t>
      </w:r>
      <w:r>
        <w:rPr>
          <w:rFonts w:hint="eastAsia" w:ascii="仿宋" w:hAnsi="仿宋" w:eastAsia="仿宋" w:cs="仿宋"/>
          <w:color w:val="auto"/>
          <w:sz w:val="24"/>
          <w:szCs w:val="24"/>
          <w:highlight w:val="none"/>
        </w:rPr>
        <w:t>绿色施工安全防护</w:t>
      </w:r>
      <w:r>
        <w:rPr>
          <w:rFonts w:hint="eastAsia" w:ascii="仿宋" w:hAnsi="仿宋" w:eastAsia="仿宋" w:cs="仿宋"/>
          <w:caps/>
          <w:color w:val="auto"/>
          <w:sz w:val="24"/>
          <w:szCs w:val="24"/>
          <w:highlight w:val="none"/>
        </w:rPr>
        <w:t>管理，鼓励承包人实施省、市级或其它级别文明工地。对于工程获得省、市级或其它级别文明工地的，应按照第</w:t>
      </w:r>
      <w:r>
        <w:rPr>
          <w:rFonts w:ascii="仿宋" w:hAnsi="仿宋" w:eastAsia="仿宋" w:cs="仿宋"/>
          <w:caps/>
          <w:color w:val="auto"/>
          <w:sz w:val="24"/>
          <w:szCs w:val="24"/>
          <w:highlight w:val="none"/>
        </w:rPr>
        <w:t>80</w:t>
      </w:r>
      <w:r>
        <w:rPr>
          <w:rFonts w:hint="eastAsia" w:ascii="仿宋" w:hAnsi="仿宋" w:eastAsia="仿宋" w:cs="仿宋"/>
          <w:caps/>
          <w:color w:val="auto"/>
          <w:sz w:val="24"/>
          <w:szCs w:val="24"/>
          <w:highlight w:val="none"/>
        </w:rPr>
        <w:t>条规定向承包人支付文明工地增加费。</w:t>
      </w:r>
    </w:p>
    <w:p>
      <w:pPr>
        <w:shd w:val="clear" w:color="000000" w:fill="auto"/>
        <w:adjustRightInd w:val="0"/>
        <w:snapToGrid w:val="0"/>
        <w:spacing w:line="360" w:lineRule="auto"/>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45.9 </w:t>
      </w:r>
      <w:r>
        <w:rPr>
          <w:rFonts w:ascii="仿宋" w:hAnsi="仿宋" w:eastAsia="仿宋" w:cs="仿宋"/>
          <w:b/>
          <w:bCs/>
          <w:color w:val="auto"/>
          <w:sz w:val="24"/>
          <w:szCs w:val="24"/>
          <w:highlight w:val="none"/>
          <w:u w:val="dotted"/>
        </w:rPr>
        <w:t xml:space="preserve">                                                                                 </w:t>
      </w:r>
    </w:p>
    <w:p>
      <w:pPr>
        <w:shd w:val="clear" w:color="000000" w:fill="auto"/>
        <w:spacing w:line="360" w:lineRule="auto"/>
        <w:ind w:firstLine="420" w:firstLineChars="200"/>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76032" behindDoc="0" locked="0" layoutInCell="1" allowOverlap="1">
                <wp:simplePos x="0" y="0"/>
                <wp:positionH relativeFrom="column">
                  <wp:posOffset>0</wp:posOffset>
                </wp:positionH>
                <wp:positionV relativeFrom="paragraph">
                  <wp:posOffset>17145</wp:posOffset>
                </wp:positionV>
                <wp:extent cx="873760" cy="594360"/>
                <wp:effectExtent l="0" t="0" r="0" b="0"/>
                <wp:wrapNone/>
                <wp:docPr id="408" name="文本框 181"/>
                <wp:cNvGraphicFramePr/>
                <a:graphic xmlns:a="http://schemas.openxmlformats.org/drawingml/2006/main">
                  <a:graphicData uri="http://schemas.microsoft.com/office/word/2010/wordprocessingShape">
                    <wps:wsp>
                      <wps:cNvSpPr txBox="1"/>
                      <wps:spPr>
                        <a:xfrm>
                          <a:off x="0" y="0"/>
                          <a:ext cx="873760" cy="594360"/>
                        </a:xfrm>
                        <a:prstGeom prst="rect">
                          <a:avLst/>
                        </a:prstGeom>
                        <a:noFill/>
                        <a:ln>
                          <a:noFill/>
                        </a:ln>
                      </wps:spPr>
                      <wps:txb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特别安全生产事项</w:t>
                            </w:r>
                          </w:p>
                        </w:txbxContent>
                      </wps:txbx>
                      <wps:bodyPr upright="1"/>
                    </wps:wsp>
                  </a:graphicData>
                </a:graphic>
              </wp:anchor>
            </w:drawing>
          </mc:Choice>
          <mc:Fallback>
            <w:pict>
              <v:shape id="文本框 181" o:spid="_x0000_s1026" o:spt="202" type="#_x0000_t202" style="position:absolute;left:0pt;margin-left:0pt;margin-top:1.35pt;height:46.8pt;width:68.8pt;z-index:252076032;mso-width-relative:page;mso-height-relative:page;" filled="f" stroked="f" coordsize="21600,21600" o:gfxdata="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C7enTDUAAAA&#10;BQEAAA8AAAAAAAAAAQAgAAAAIgAAAGRycy9kb3ducmV2LnhtbFBLAQIUABQAAAAIAIdO4kC+8rN+&#10;rwEAAFEDAAAOAAAAAAAAAAEAIAAAACMBAABkcnMvZTJvRG9jLnhtbFBLBQYAAAAABgAGAFkBAABE&#10;BQAAAAA=&#10;">
                <v:fill on="f" focussize="0,0"/>
                <v:stroke on="f"/>
                <v:imagedata o:title=""/>
                <o:lock v:ext="edit" aspectratio="f"/>
                <v:textbo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特别安全生产事项</w:t>
                      </w:r>
                    </w:p>
                  </w:txbxContent>
                </v:textbox>
              </v:shape>
            </w:pict>
          </mc:Fallback>
        </mc:AlternateConten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承包人应按照法律规定进行施工，开工前做好安全技术交底工作，施工过程中做好</w:t>
      </w:r>
    </w:p>
    <w:p>
      <w:pPr>
        <w:shd w:val="clear" w:color="000000" w:fill="auto"/>
        <w:spacing w:line="360" w:lineRule="auto"/>
        <w:ind w:left="1556" w:leftChars="74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各项安全防护措施。承包人为实施合同而雇用的特殊工种的人员应受过专门的培训并已取得政府有关管理机构颁发的上岗证书。</w:t>
      </w:r>
    </w:p>
    <w:p>
      <w:pPr>
        <w:shd w:val="clear" w:color="000000" w:fill="auto"/>
        <w:spacing w:line="360" w:lineRule="auto"/>
        <w:ind w:left="1556" w:leftChars="741"/>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承包人在动力设备、输电线路、地下管道、密封防震车间、易燃易爆地段以及临街交通要道附近施工时，施工开始前应向发包人和监理人提出安全防护措施，经发包人认可后实施。</w:t>
      </w:r>
      <w:r>
        <w:rPr>
          <w:rFonts w:ascii="仿宋" w:hAnsi="仿宋" w:eastAsia="仿宋" w:cs="仿宋"/>
          <w:color w:val="auto"/>
          <w:sz w:val="24"/>
          <w:szCs w:val="24"/>
          <w:highlight w:val="none"/>
        </w:rPr>
        <w:t xml:space="preserve"> </w:t>
      </w:r>
    </w:p>
    <w:p>
      <w:pPr>
        <w:shd w:val="clear" w:color="000000" w:fill="auto"/>
        <w:spacing w:line="360" w:lineRule="auto"/>
        <w:ind w:left="1556" w:leftChars="74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实施爆破作业，在放射、毒害性环境中施工（含储存、运输、使用）及使用毒害性、腐蚀性物品施工时，承包人应在施工前</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天以书面通知发包人和监理人，并报送相应的安全防护措施，经发包人认可后实施。</w:t>
      </w:r>
    </w:p>
    <w:p>
      <w:pPr>
        <w:shd w:val="clear" w:color="000000" w:fill="auto"/>
        <w:adjustRightInd w:val="0"/>
        <w:snapToGrid w:val="0"/>
        <w:spacing w:line="360" w:lineRule="auto"/>
        <w:ind w:left="1556" w:leftChars="74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需单独编制危险性较大分部分项专项工程施工方案的，及要求进行专家论证的超过一定规模的危险性较大的分部分项工程，承包人应及时编制和组织论证。</w:t>
      </w:r>
    </w:p>
    <w:p>
      <w:pPr>
        <w:shd w:val="clear" w:color="000000" w:fill="auto"/>
        <w:adjustRightInd w:val="0"/>
        <w:snapToGrid w:val="0"/>
        <w:spacing w:line="240" w:lineRule="exact"/>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
        <w:shd w:val="clear" w:color="000000" w:fill="auto"/>
        <w:tabs>
          <w:tab w:val="left" w:pos="540"/>
        </w:tabs>
        <w:adjustRightInd w:val="0"/>
        <w:snapToGrid w:val="0"/>
        <w:spacing w:before="240" w:beforeLines="100" w:line="360" w:lineRule="auto"/>
        <w:outlineLvl w:val="2"/>
        <w:rPr>
          <w:rFonts w:ascii="仿宋" w:hAnsi="仿宋" w:eastAsia="仿宋" w:cs="Times New Roman"/>
          <w:b/>
          <w:bCs/>
          <w:color w:val="auto"/>
          <w:sz w:val="24"/>
          <w:szCs w:val="24"/>
          <w:highlight w:val="none"/>
        </w:rPr>
      </w:pPr>
      <w:bookmarkStart w:id="263" w:name="_Toc10624869"/>
      <w:bookmarkStart w:id="264" w:name="_Toc469384029"/>
      <w:bookmarkStart w:id="265" w:name="_Toc21653"/>
      <w:r>
        <w:rPr>
          <w:rFonts w:ascii="仿宋" w:hAnsi="仿宋" w:eastAsia="仿宋" w:cs="仿宋"/>
          <w:b/>
          <w:bCs/>
          <w:color w:val="auto"/>
          <w:sz w:val="24"/>
          <w:szCs w:val="24"/>
          <w:highlight w:val="none"/>
        </w:rPr>
        <w:t xml:space="preserve">46  </w:t>
      </w:r>
      <w:r>
        <w:rPr>
          <w:rFonts w:hint="eastAsia" w:ascii="仿宋" w:hAnsi="仿宋" w:eastAsia="仿宋" w:cs="仿宋"/>
          <w:b/>
          <w:bCs/>
          <w:color w:val="auto"/>
          <w:sz w:val="24"/>
          <w:szCs w:val="24"/>
          <w:highlight w:val="none"/>
        </w:rPr>
        <w:t>测量放线</w:t>
      </w:r>
      <w:bookmarkEnd w:id="263"/>
      <w:bookmarkEnd w:id="264"/>
      <w:bookmarkEnd w:id="265"/>
    </w:p>
    <w:p>
      <w:pPr>
        <w:pStyle w:val="13"/>
        <w:shd w:val="clear" w:color="000000" w:fill="auto"/>
        <w:tabs>
          <w:tab w:val="left" w:pos="1202"/>
        </w:tabs>
        <w:adjustRightInd w:val="0"/>
        <w:snapToGrid w:val="0"/>
        <w:spacing w:line="360" w:lineRule="auto"/>
        <w:ind w:firstLine="0"/>
        <w:rPr>
          <w:rFonts w:ascii="仿宋" w:hAnsi="仿宋" w:eastAsia="仿宋" w:cs="仿宋"/>
          <w:b/>
          <w:bCs/>
          <w:color w:val="auto"/>
          <w:sz w:val="24"/>
          <w:szCs w:val="24"/>
          <w:highlight w:val="none"/>
        </w:rPr>
      </w:pPr>
      <w:r>
        <w:rPr>
          <w:color w:val="auto"/>
          <w:highlight w:val="none"/>
        </w:rPr>
        <mc:AlternateContent>
          <mc:Choice Requires="wps">
            <w:drawing>
              <wp:anchor distT="0" distB="0" distL="114300" distR="114300" simplePos="0" relativeHeight="251840512" behindDoc="0" locked="0" layoutInCell="1" allowOverlap="1">
                <wp:simplePos x="0" y="0"/>
                <wp:positionH relativeFrom="column">
                  <wp:posOffset>-114300</wp:posOffset>
                </wp:positionH>
                <wp:positionV relativeFrom="paragraph">
                  <wp:posOffset>286385</wp:posOffset>
                </wp:positionV>
                <wp:extent cx="914400" cy="546100"/>
                <wp:effectExtent l="0" t="0" r="0" b="0"/>
                <wp:wrapNone/>
                <wp:docPr id="178" name="文本框 182"/>
                <wp:cNvGraphicFramePr/>
                <a:graphic xmlns:a="http://schemas.openxmlformats.org/drawingml/2006/main">
                  <a:graphicData uri="http://schemas.microsoft.com/office/word/2010/wordprocessingShape">
                    <wps:wsp>
                      <wps:cNvSpPr txBox="1"/>
                      <wps:spPr>
                        <a:xfrm>
                          <a:off x="0" y="0"/>
                          <a:ext cx="914400" cy="546100"/>
                        </a:xfrm>
                        <a:prstGeom prst="rect">
                          <a:avLst/>
                        </a:prstGeom>
                        <a:noFill/>
                        <a:ln>
                          <a:noFill/>
                        </a:ln>
                      </wps:spPr>
                      <wps:txbx>
                        <w:txbxContent>
                          <w:p>
                            <w:pPr>
                              <w:rPr>
                                <w:rFonts w:ascii="宋体" w:cs="Times New Roman"/>
                                <w:sz w:val="18"/>
                                <w:szCs w:val="18"/>
                              </w:rPr>
                            </w:pPr>
                            <w:r>
                              <w:rPr>
                                <w:rFonts w:hint="eastAsia" w:ascii="楷体_GB2312" w:hAnsi="宋体" w:eastAsia="楷体_GB2312" w:cs="楷体_GB2312"/>
                                <w:b/>
                                <w:bCs/>
                                <w:color w:val="000000"/>
                                <w:sz w:val="18"/>
                                <w:szCs w:val="18"/>
                              </w:rPr>
                              <w:t>测设施工控制网</w:t>
                            </w:r>
                          </w:p>
                        </w:txbxContent>
                      </wps:txbx>
                      <wps:bodyPr upright="1"/>
                    </wps:wsp>
                  </a:graphicData>
                </a:graphic>
              </wp:anchor>
            </w:drawing>
          </mc:Choice>
          <mc:Fallback>
            <w:pict>
              <v:shape id="文本框 182" o:spid="_x0000_s1026" o:spt="202" type="#_x0000_t202" style="position:absolute;left:0pt;margin-left:-9pt;margin-top:22.55pt;height:43pt;width:72pt;z-index:251840512;mso-width-relative:page;mso-height-relative:page;" filled="f" stroked="f" coordsize="21600,21600" o:gfxdata="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F63redcA&#10;AAAKAQAADwAAAAAAAAABACAAAAAiAAAAZHJzL2Rvd25yZXYueG1sUEsBAhQAFAAAAAgAh07iQKgx&#10;q2WuAQAAUQMAAA4AAAAAAAAAAQAgAAAAJgEAAGRycy9lMm9Eb2MueG1sUEsFBgAAAAAGAAYAWQEA&#10;AEYFAAAAAA==&#10;">
                <v:fill on="f" focussize="0,0"/>
                <v:stroke on="f"/>
                <v:imagedata o:title=""/>
                <o:lock v:ext="edit" aspectratio="f"/>
                <v:textbox>
                  <w:txbxContent>
                    <w:p>
                      <w:pPr>
                        <w:rPr>
                          <w:rFonts w:ascii="宋体" w:cs="Times New Roman"/>
                          <w:sz w:val="18"/>
                          <w:szCs w:val="18"/>
                        </w:rPr>
                      </w:pPr>
                      <w:r>
                        <w:rPr>
                          <w:rFonts w:hint="eastAsia" w:ascii="楷体_GB2312" w:hAnsi="宋体" w:eastAsia="楷体_GB2312" w:cs="楷体_GB2312"/>
                          <w:b/>
                          <w:bCs/>
                          <w:color w:val="000000"/>
                          <w:sz w:val="18"/>
                          <w:szCs w:val="18"/>
                        </w:rPr>
                        <w:t>测设施工控制网</w:t>
                      </w:r>
                    </w:p>
                  </w:txbxContent>
                </v:textbox>
              </v:shape>
            </w:pict>
          </mc:Fallback>
        </mc:AlternateContent>
      </w:r>
      <w:r>
        <w:rPr>
          <w:rFonts w:ascii="仿宋" w:hAnsi="仿宋" w:eastAsia="仿宋" w:cs="仿宋"/>
          <w:b/>
          <w:bCs/>
          <w:color w:val="auto"/>
          <w:sz w:val="24"/>
          <w:szCs w:val="24"/>
          <w:highlight w:val="none"/>
        </w:rPr>
        <w:t>46.1</w:t>
      </w:r>
    </w:p>
    <w:p>
      <w:pPr>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监理工程师应在发出开工令后的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向承包人提供原始基准点、基准线、基准高程等书面资料。承包人应根据国家测绘基准、测绘系统和工程测量技术规范，按照上述资料以及合同工程精度要求，测绘施工控制网，并在专用条款约定的期限内，将施工控制网资料提交监理工程师确认。</w:t>
      </w:r>
    </w:p>
    <w:p>
      <w:pPr>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p>
    <w:p>
      <w:pPr>
        <w:shd w:val="clear" w:color="000000" w:fill="auto"/>
        <w:adjustRightInd w:val="0"/>
        <w:snapToGrid w:val="0"/>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46.2  </w:t>
      </w:r>
      <w:r>
        <w:rPr>
          <w:rFonts w:ascii="仿宋" w:hAnsi="仿宋" w:eastAsia="仿宋" w:cs="仿宋"/>
          <w:b/>
          <w:bCs/>
          <w:color w:val="auto"/>
          <w:sz w:val="24"/>
          <w:szCs w:val="24"/>
          <w:highlight w:val="none"/>
          <w:u w:val="dotted"/>
        </w:rPr>
        <w:t xml:space="preserve">                                                                              </w:t>
      </w:r>
    </w:p>
    <w:p>
      <w:pPr>
        <w:shd w:val="clear" w:color="000000" w:fill="auto"/>
        <w:adjustRightInd w:val="0"/>
        <w:snapToGrid w:val="0"/>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41536" behindDoc="0" locked="0" layoutInCell="1" allowOverlap="1">
                <wp:simplePos x="0" y="0"/>
                <wp:positionH relativeFrom="column">
                  <wp:posOffset>-114300</wp:posOffset>
                </wp:positionH>
                <wp:positionV relativeFrom="paragraph">
                  <wp:posOffset>214630</wp:posOffset>
                </wp:positionV>
                <wp:extent cx="914400" cy="677545"/>
                <wp:effectExtent l="0" t="0" r="0" b="0"/>
                <wp:wrapNone/>
                <wp:docPr id="179" name="文本框 183"/>
                <wp:cNvGraphicFramePr/>
                <a:graphic xmlns:a="http://schemas.openxmlformats.org/drawingml/2006/main">
                  <a:graphicData uri="http://schemas.microsoft.com/office/word/2010/wordprocessingShape">
                    <wps:wsp>
                      <wps:cNvSpPr txBox="1"/>
                      <wps:spPr>
                        <a:xfrm>
                          <a:off x="0" y="0"/>
                          <a:ext cx="914400" cy="677545"/>
                        </a:xfrm>
                        <a:prstGeom prst="rect">
                          <a:avLst/>
                        </a:prstGeom>
                        <a:noFill/>
                        <a:ln>
                          <a:noFill/>
                        </a:ln>
                      </wps:spPr>
                      <wps:txbx>
                        <w:txbxContent>
                          <w:p>
                            <w:pPr>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施工控制网（点）管理与使用</w:t>
                            </w:r>
                          </w:p>
                        </w:txbxContent>
                      </wps:txbx>
                      <wps:bodyPr upright="1"/>
                    </wps:wsp>
                  </a:graphicData>
                </a:graphic>
              </wp:anchor>
            </w:drawing>
          </mc:Choice>
          <mc:Fallback>
            <w:pict>
              <v:shape id="文本框 183" o:spid="_x0000_s1026" o:spt="202" type="#_x0000_t202" style="position:absolute;left:0pt;margin-left:-9pt;margin-top:16.9pt;height:53.35pt;width:72pt;z-index:251841536;mso-width-relative:page;mso-height-relative:page;" filled="f" stroked="f" coordsize="21600,21600" o:gfxdata="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ak0tp&#10;1wAAAAoBAAAPAAAAAAAAAAEAIAAAACIAAABkcnMvZG93bnJldi54bWxQSwECFAAUAAAACACHTuJA&#10;01R54LABAABRAwAADgAAAAAAAAABACAAAAAmAQAAZHJzL2Uyb0RvYy54bWxQSwUGAAAAAAYABgBZ&#10;AQAASAUAAAAA&#10;">
                <v:fill on="f" focussize="0,0"/>
                <v:stroke on="f"/>
                <v:imagedata o:title=""/>
                <o:lock v:ext="edit" aspectratio="f"/>
                <v:textbox>
                  <w:txbxContent>
                    <w:p>
                      <w:pPr>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施工控制网（点）管理与使用</w:t>
                      </w:r>
                    </w:p>
                  </w:txbxContent>
                </v:textbox>
              </v:shape>
            </w:pict>
          </mc:Fallback>
        </mc:AlternateContent>
      </w:r>
    </w:p>
    <w:p>
      <w:pPr>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承包人应负责施工控制网点的管理。施工控制网点丢失或损坏的，承包人应及时修复。承包人应承担施工控制网点的管理与修复费用，并在工程竣工后将施工控制网点移交发包人。</w:t>
      </w:r>
    </w:p>
    <w:p>
      <w:pPr>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监理工程师需要使用施工控制网的，承包人应提供必要的协助，发包人无需为此支付任何费用。</w:t>
      </w:r>
    </w:p>
    <w:p>
      <w:pPr>
        <w:shd w:val="clear" w:color="000000" w:fill="auto"/>
        <w:adjustRightInd w:val="0"/>
        <w:snapToGrid w:val="0"/>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46.3  </w:t>
      </w:r>
      <w:r>
        <w:rPr>
          <w:rFonts w:ascii="仿宋" w:hAnsi="仿宋" w:eastAsia="仿宋" w:cs="仿宋"/>
          <w:b/>
          <w:bCs/>
          <w:color w:val="auto"/>
          <w:sz w:val="24"/>
          <w:szCs w:val="24"/>
          <w:highlight w:val="none"/>
          <w:u w:val="dotted"/>
        </w:rPr>
        <w:t xml:space="preserve">                                                                              </w:t>
      </w:r>
    </w:p>
    <w:p>
      <w:pPr>
        <w:shd w:val="clear" w:color="000000" w:fill="auto"/>
        <w:adjustRightInd w:val="0"/>
        <w:snapToGrid w:val="0"/>
        <w:rPr>
          <w:rFonts w:ascii="仿宋" w:hAnsi="仿宋" w:eastAsia="仿宋" w:cs="Times New Roman"/>
          <w:color w:val="auto"/>
          <w:sz w:val="24"/>
          <w:szCs w:val="24"/>
          <w:highlight w:val="none"/>
        </w:rPr>
      </w:pPr>
    </w:p>
    <w:p>
      <w:pPr>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42560" behindDoc="0" locked="0" layoutInCell="1" allowOverlap="1">
                <wp:simplePos x="0" y="0"/>
                <wp:positionH relativeFrom="column">
                  <wp:posOffset>-114300</wp:posOffset>
                </wp:positionH>
                <wp:positionV relativeFrom="paragraph">
                  <wp:posOffset>-6350</wp:posOffset>
                </wp:positionV>
                <wp:extent cx="914400" cy="541020"/>
                <wp:effectExtent l="0" t="0" r="0" b="0"/>
                <wp:wrapNone/>
                <wp:docPr id="180" name="文本框 184"/>
                <wp:cNvGraphicFramePr/>
                <a:graphic xmlns:a="http://schemas.openxmlformats.org/drawingml/2006/main">
                  <a:graphicData uri="http://schemas.microsoft.com/office/word/2010/wordprocessingShape">
                    <wps:wsp>
                      <wps:cNvSpPr txBox="1"/>
                      <wps:spPr>
                        <a:xfrm>
                          <a:off x="0" y="0"/>
                          <a:ext cx="914400" cy="541020"/>
                        </a:xfrm>
                        <a:prstGeom prst="rect">
                          <a:avLst/>
                        </a:prstGeom>
                        <a:noFill/>
                        <a:ln>
                          <a:noFill/>
                        </a:ln>
                      </wps:spPr>
                      <wps:txbx>
                        <w:txbxContent>
                          <w:p>
                            <w:pPr>
                              <w:spacing w:line="200" w:lineRule="exact"/>
                              <w:rPr>
                                <w:rFonts w:cs="Times New Roman"/>
                                <w:sz w:val="18"/>
                                <w:szCs w:val="18"/>
                              </w:rPr>
                            </w:pPr>
                            <w:r>
                              <w:rPr>
                                <w:rFonts w:hint="eastAsia" w:ascii="楷体_GB2312" w:hAnsi="宋体" w:eastAsia="楷体_GB2312" w:cs="楷体_GB2312"/>
                                <w:b/>
                                <w:bCs/>
                                <w:color w:val="000000"/>
                                <w:sz w:val="18"/>
                                <w:szCs w:val="18"/>
                              </w:rPr>
                              <w:t>承包人测量放线的责任</w:t>
                            </w:r>
                          </w:p>
                        </w:txbxContent>
                      </wps:txbx>
                      <wps:bodyPr upright="1"/>
                    </wps:wsp>
                  </a:graphicData>
                </a:graphic>
              </wp:anchor>
            </w:drawing>
          </mc:Choice>
          <mc:Fallback>
            <w:pict>
              <v:shape id="文本框 184" o:spid="_x0000_s1026" o:spt="202" type="#_x0000_t202" style="position:absolute;left:0pt;margin-left:-9pt;margin-top:-0.5pt;height:42.6pt;width:72pt;z-index:251842560;mso-width-relative:page;mso-height-relative:page;" filled="f" stroked="f" coordsize="21600,21600" o:gfxdata="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N4ssLzVAAAA&#10;CQEAAA8AAAAAAAAAAQAgAAAAIgAAAGRycy9kb3ducmV2LnhtbFBLAQIUABQAAAAIAIdO4kDsiIpo&#10;rgEAAFEDAAAOAAAAAAAAAAEAIAAAACQBAABkcnMvZTJvRG9jLnhtbFBLBQYAAAAABgAGAFkBAABE&#10;BQAAAAA=&#10;">
                <v:fill on="f" focussize="0,0"/>
                <v:stroke on="f"/>
                <v:imagedata o:title=""/>
                <o:lock v:ext="edit" aspectratio="f"/>
                <v:textbox>
                  <w:txbxContent>
                    <w:p>
                      <w:pPr>
                        <w:spacing w:line="200" w:lineRule="exact"/>
                        <w:rPr>
                          <w:rFonts w:cs="Times New Roman"/>
                          <w:sz w:val="18"/>
                          <w:szCs w:val="18"/>
                        </w:rPr>
                      </w:pPr>
                      <w:r>
                        <w:rPr>
                          <w:rFonts w:hint="eastAsia" w:ascii="楷体_GB2312" w:hAnsi="宋体" w:eastAsia="楷体_GB2312" w:cs="楷体_GB2312"/>
                          <w:b/>
                          <w:bCs/>
                          <w:color w:val="000000"/>
                          <w:sz w:val="18"/>
                          <w:szCs w:val="18"/>
                        </w:rPr>
                        <w:t>承包人测量放线的责任</w:t>
                      </w:r>
                    </w:p>
                  </w:txbxContent>
                </v:textbox>
              </v:shape>
            </w:pict>
          </mc:Fallback>
        </mc:AlternateContent>
      </w:r>
      <w:r>
        <w:rPr>
          <w:rFonts w:hint="eastAsia" w:ascii="仿宋" w:hAnsi="仿宋" w:eastAsia="仿宋" w:cs="仿宋"/>
          <w:color w:val="auto"/>
          <w:sz w:val="24"/>
          <w:szCs w:val="24"/>
          <w:highlight w:val="none"/>
        </w:rPr>
        <w:t>承包人应配置合格的人员、仪器、设备和其他物品，根据监理工程师书面确定的原始基准点、基准线、基准高程等资料，准确完成对合同工程的全部施工测量放线工作，并对工程各部分的位置、标高、尺寸或定线的正确性负责。</w:t>
      </w:r>
    </w:p>
    <w:p>
      <w:pPr>
        <w:pStyle w:val="13"/>
        <w:shd w:val="clear" w:color="000000" w:fill="auto"/>
        <w:tabs>
          <w:tab w:val="left" w:pos="720"/>
          <w:tab w:val="left" w:pos="1080"/>
        </w:tabs>
        <w:adjustRightInd w:val="0"/>
        <w:snapToGrid w:val="0"/>
        <w:ind w:firstLine="0"/>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46.4 </w:t>
      </w:r>
      <w:r>
        <w:rPr>
          <w:rFonts w:ascii="仿宋" w:hAnsi="仿宋" w:eastAsia="仿宋" w:cs="仿宋"/>
          <w:b/>
          <w:bCs/>
          <w:color w:val="auto"/>
          <w:sz w:val="24"/>
          <w:szCs w:val="24"/>
          <w:highlight w:val="none"/>
          <w:u w:val="dotted"/>
        </w:rPr>
        <w:t xml:space="preserve">                                                                               </w:t>
      </w:r>
    </w:p>
    <w:p>
      <w:pPr>
        <w:shd w:val="clear" w:color="000000" w:fill="auto"/>
        <w:rPr>
          <w:color w:val="auto"/>
          <w:highlight w:val="none"/>
        </w:rPr>
      </w:pPr>
    </w:p>
    <w:p>
      <w:pPr>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43584" behindDoc="0" locked="0" layoutInCell="1" allowOverlap="1">
                <wp:simplePos x="0" y="0"/>
                <wp:positionH relativeFrom="column">
                  <wp:posOffset>-66675</wp:posOffset>
                </wp:positionH>
                <wp:positionV relativeFrom="paragraph">
                  <wp:posOffset>8255</wp:posOffset>
                </wp:positionV>
                <wp:extent cx="914400" cy="375920"/>
                <wp:effectExtent l="0" t="0" r="0" b="0"/>
                <wp:wrapNone/>
                <wp:docPr id="181" name="文本框 185"/>
                <wp:cNvGraphicFramePr/>
                <a:graphic xmlns:a="http://schemas.openxmlformats.org/drawingml/2006/main">
                  <a:graphicData uri="http://schemas.microsoft.com/office/word/2010/wordprocessingShape">
                    <wps:wsp>
                      <wps:cNvSpPr txBox="1"/>
                      <wps:spPr>
                        <a:xfrm>
                          <a:off x="0" y="0"/>
                          <a:ext cx="914400" cy="375920"/>
                        </a:xfrm>
                        <a:prstGeom prst="rect">
                          <a:avLst/>
                        </a:prstGeom>
                        <a:noFill/>
                        <a:ln>
                          <a:noFill/>
                        </a:ln>
                      </wps:spPr>
                      <wps:txbx>
                        <w:txbxContent>
                          <w:p>
                            <w:pPr>
                              <w:spacing w:line="20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测量放线误差的处理</w:t>
                            </w:r>
                          </w:p>
                        </w:txbxContent>
                      </wps:txbx>
                      <wps:bodyPr upright="1"/>
                    </wps:wsp>
                  </a:graphicData>
                </a:graphic>
              </wp:anchor>
            </w:drawing>
          </mc:Choice>
          <mc:Fallback>
            <w:pict>
              <v:shape id="文本框 185" o:spid="_x0000_s1026" o:spt="202" type="#_x0000_t202" style="position:absolute;left:0pt;margin-left:-5.25pt;margin-top:0.65pt;height:29.6pt;width:72pt;z-index:251843584;mso-width-relative:page;mso-height-relative:page;" filled="f" stroked="f" coordsize="21600,21600" o:gfxdata="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47LALNMAAAAI&#10;AQAADwAAAAAAAAABACAAAAAiAAAAZHJzL2Rvd25yZXYueG1sUEsBAhQAFAAAAAgAh07iQNTC4Mav&#10;AQAAUQMAAA4AAAAAAAAAAQAgAAAAIgEAAGRycy9lMm9Eb2MueG1sUEsFBgAAAAAGAAYAWQEAAEMF&#10;AAAAAA==&#10;">
                <v:fill on="f" focussize="0,0"/>
                <v:stroke on="f"/>
                <v:imagedata o:title=""/>
                <o:lock v:ext="edit" aspectratio="f"/>
                <v:textbox>
                  <w:txbxContent>
                    <w:p>
                      <w:pPr>
                        <w:spacing w:line="20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测量放线误差的处理</w:t>
                      </w:r>
                    </w:p>
                  </w:txbxContent>
                </v:textbox>
              </v:shape>
            </w:pict>
          </mc:Fallback>
        </mc:AlternateContent>
      </w:r>
      <w:r>
        <w:rPr>
          <w:rFonts w:hint="eastAsia" w:ascii="仿宋" w:hAnsi="仿宋" w:eastAsia="仿宋" w:cs="仿宋"/>
          <w:color w:val="auto"/>
          <w:sz w:val="24"/>
          <w:szCs w:val="24"/>
          <w:highlight w:val="none"/>
        </w:rPr>
        <w:t>监理工程师有权对承包人施工测量放线工作进行检查验收。如果发现永久工程任何部分的位置、标高、尺寸或定线超过合同约定误差的，承包人应自费纠正，直到监理工程师认为符合合同约定为止。如果这些误差是由于监理工程师书面提供的数据错误导致的，发包人应当承担由此增加的费用和（或）工期延误，并向承包人支付合理利润。</w:t>
      </w:r>
    </w:p>
    <w:p>
      <w:pPr>
        <w:pStyle w:val="13"/>
        <w:shd w:val="clear" w:color="000000" w:fill="auto"/>
        <w:tabs>
          <w:tab w:val="left" w:pos="720"/>
          <w:tab w:val="left" w:pos="1080"/>
        </w:tabs>
        <w:adjustRightInd w:val="0"/>
        <w:snapToGrid w:val="0"/>
        <w:ind w:firstLine="0"/>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46.5 </w:t>
      </w:r>
      <w:r>
        <w:rPr>
          <w:rFonts w:ascii="仿宋" w:hAnsi="仿宋" w:eastAsia="仿宋" w:cs="仿宋"/>
          <w:b/>
          <w:bCs/>
          <w:color w:val="auto"/>
          <w:sz w:val="24"/>
          <w:szCs w:val="24"/>
          <w:highlight w:val="none"/>
          <w:u w:val="dotted"/>
        </w:rPr>
        <w:t xml:space="preserve">                                                                         </w:t>
      </w:r>
      <w:r>
        <w:rPr>
          <w:color w:val="auto"/>
          <w:highlight w:val="none"/>
        </w:rPr>
        <mc:AlternateContent>
          <mc:Choice Requires="wps">
            <w:drawing>
              <wp:anchor distT="0" distB="0" distL="114300" distR="114300" simplePos="0" relativeHeight="251844608" behindDoc="0" locked="0" layoutInCell="1" allowOverlap="1">
                <wp:simplePos x="0" y="0"/>
                <wp:positionH relativeFrom="column">
                  <wp:posOffset>-114300</wp:posOffset>
                </wp:positionH>
                <wp:positionV relativeFrom="paragraph">
                  <wp:posOffset>278130</wp:posOffset>
                </wp:positionV>
                <wp:extent cx="914400" cy="448310"/>
                <wp:effectExtent l="0" t="0" r="0" b="0"/>
                <wp:wrapNone/>
                <wp:docPr id="182" name="文本框 186"/>
                <wp:cNvGraphicFramePr/>
                <a:graphic xmlns:a="http://schemas.openxmlformats.org/drawingml/2006/main">
                  <a:graphicData uri="http://schemas.microsoft.com/office/word/2010/wordprocessingShape">
                    <wps:wsp>
                      <wps:cNvSpPr txBox="1"/>
                      <wps:spPr>
                        <a:xfrm>
                          <a:off x="0" y="0"/>
                          <a:ext cx="914400" cy="448310"/>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保护基准点或线等标志</w:t>
                            </w:r>
                          </w:p>
                        </w:txbxContent>
                      </wps:txbx>
                      <wps:bodyPr upright="1"/>
                    </wps:wsp>
                  </a:graphicData>
                </a:graphic>
              </wp:anchor>
            </w:drawing>
          </mc:Choice>
          <mc:Fallback>
            <w:pict>
              <v:shape id="文本框 186" o:spid="_x0000_s1026" o:spt="202" type="#_x0000_t202" style="position:absolute;left:0pt;margin-left:-9pt;margin-top:21.9pt;height:35.3pt;width:72pt;z-index:251844608;mso-width-relative:page;mso-height-relative:page;" filled="f" stroked="f" coordsize="21600,21600" o:gfxdata="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GBLqU/X&#10;AAAACgEAAA8AAAAAAAAAAQAgAAAAIgAAAGRycy9kb3ducmV2LnhtbFBLAQIUABQAAAAIAIdO4kD2&#10;QxdCrwEAAFEDAAAOAAAAAAAAAAEAIAAAACYBAABkcnMvZTJvRG9jLnhtbFBLBQYAAAAABgAGAFkB&#10;AABHBQ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保护基准点或线等标志</w:t>
                      </w:r>
                    </w:p>
                  </w:txbxContent>
                </v:textbox>
              </v:shape>
            </w:pict>
          </mc:Fallback>
        </mc:AlternateContent>
      </w:r>
      <w:r>
        <w:rPr>
          <w:rFonts w:ascii="仿宋" w:hAnsi="仿宋" w:eastAsia="仿宋" w:cs="仿宋"/>
          <w:b/>
          <w:bCs/>
          <w:color w:val="auto"/>
          <w:sz w:val="24"/>
          <w:szCs w:val="24"/>
          <w:highlight w:val="none"/>
          <w:u w:val="dotted"/>
        </w:rPr>
        <w:t xml:space="preserve">      </w:t>
      </w:r>
    </w:p>
    <w:p>
      <w:pPr>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监理工程师对工程位置、标高、尺寸、定线的检查，不能免除承包人测量放线工作准确性应承担的任何责任和应履行的任何义务。承包人应有效地保护一切基准点、基准线和其他有关的标志，直到永久工程竣工验收合格为止。</w:t>
      </w:r>
    </w:p>
    <w:p>
      <w:pPr>
        <w:pStyle w:val="13"/>
        <w:shd w:val="clear" w:color="000000" w:fill="auto"/>
        <w:tabs>
          <w:tab w:val="left" w:pos="2070"/>
        </w:tabs>
        <w:adjustRightInd w:val="0"/>
        <w:snapToGrid w:val="0"/>
        <w:spacing w:line="240" w:lineRule="exact"/>
        <w:ind w:firstLine="0"/>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
        <w:shd w:val="clear" w:color="000000" w:fill="auto"/>
        <w:tabs>
          <w:tab w:val="left" w:pos="540"/>
        </w:tabs>
        <w:adjustRightInd w:val="0"/>
        <w:snapToGrid w:val="0"/>
        <w:spacing w:before="240" w:beforeLines="100" w:line="360" w:lineRule="auto"/>
        <w:outlineLvl w:val="2"/>
        <w:rPr>
          <w:rFonts w:ascii="仿宋" w:hAnsi="仿宋" w:eastAsia="仿宋" w:cs="Times New Roman"/>
          <w:b/>
          <w:bCs/>
          <w:color w:val="auto"/>
          <w:sz w:val="24"/>
          <w:szCs w:val="24"/>
          <w:highlight w:val="none"/>
        </w:rPr>
      </w:pPr>
      <w:bookmarkStart w:id="266" w:name="_Toc469384030"/>
      <w:bookmarkStart w:id="267" w:name="_Toc10624870"/>
      <w:bookmarkStart w:id="268" w:name="_Toc27788"/>
      <w:r>
        <w:rPr>
          <w:rFonts w:ascii="仿宋" w:hAnsi="仿宋" w:eastAsia="仿宋" w:cs="仿宋"/>
          <w:b/>
          <w:bCs/>
          <w:color w:val="auto"/>
          <w:sz w:val="24"/>
          <w:szCs w:val="24"/>
          <w:highlight w:val="none"/>
        </w:rPr>
        <w:t xml:space="preserve">47  </w:t>
      </w:r>
      <w:r>
        <w:rPr>
          <w:rFonts w:hint="eastAsia" w:ascii="仿宋" w:hAnsi="仿宋" w:eastAsia="仿宋" w:cs="仿宋"/>
          <w:b/>
          <w:bCs/>
          <w:color w:val="auto"/>
          <w:sz w:val="24"/>
          <w:szCs w:val="24"/>
          <w:highlight w:val="none"/>
        </w:rPr>
        <w:t>钻孔与勘探性开挖</w:t>
      </w:r>
      <w:bookmarkEnd w:id="266"/>
      <w:bookmarkEnd w:id="267"/>
      <w:bookmarkEnd w:id="268"/>
    </w:p>
    <w:p>
      <w:pPr>
        <w:pStyle w:val="13"/>
        <w:shd w:val="clear" w:color="000000" w:fill="auto"/>
        <w:adjustRightInd w:val="0"/>
        <w:snapToGrid w:val="0"/>
        <w:spacing w:line="360" w:lineRule="auto"/>
        <w:ind w:firstLine="0"/>
        <w:rPr>
          <w:rFonts w:ascii="仿宋" w:hAnsi="仿宋" w:eastAsia="仿宋" w:cs="仿宋"/>
          <w:b/>
          <w:bCs/>
          <w:color w:val="auto"/>
          <w:sz w:val="24"/>
          <w:szCs w:val="24"/>
          <w:highlight w:val="none"/>
        </w:rPr>
      </w:pPr>
      <w:r>
        <w:rPr>
          <w:color w:val="auto"/>
          <w:highlight w:val="none"/>
        </w:rPr>
        <mc:AlternateContent>
          <mc:Choice Requires="wps">
            <w:drawing>
              <wp:anchor distT="0" distB="0" distL="114300" distR="114300" simplePos="0" relativeHeight="251845632" behindDoc="0" locked="0" layoutInCell="1" allowOverlap="1">
                <wp:simplePos x="0" y="0"/>
                <wp:positionH relativeFrom="column">
                  <wp:posOffset>-133350</wp:posOffset>
                </wp:positionH>
                <wp:positionV relativeFrom="paragraph">
                  <wp:posOffset>285115</wp:posOffset>
                </wp:positionV>
                <wp:extent cx="914400" cy="648335"/>
                <wp:effectExtent l="0" t="0" r="0" b="0"/>
                <wp:wrapNone/>
                <wp:docPr id="183" name="文本框 187"/>
                <wp:cNvGraphicFramePr/>
                <a:graphic xmlns:a="http://schemas.openxmlformats.org/drawingml/2006/main">
                  <a:graphicData uri="http://schemas.microsoft.com/office/word/2010/wordprocessingShape">
                    <wps:wsp>
                      <wps:cNvSpPr txBox="1"/>
                      <wps:spPr>
                        <a:xfrm>
                          <a:off x="0" y="0"/>
                          <a:ext cx="914400" cy="648335"/>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发出钻孔和勘探性开挖工作指令</w:t>
                            </w:r>
                          </w:p>
                        </w:txbxContent>
                      </wps:txbx>
                      <wps:bodyPr upright="1"/>
                    </wps:wsp>
                  </a:graphicData>
                </a:graphic>
              </wp:anchor>
            </w:drawing>
          </mc:Choice>
          <mc:Fallback>
            <w:pict>
              <v:shape id="文本框 187" o:spid="_x0000_s1026" o:spt="202" type="#_x0000_t202" style="position:absolute;left:0pt;margin-left:-10.5pt;margin-top:22.45pt;height:51.05pt;width:72pt;z-index:251845632;mso-width-relative:page;mso-height-relative:page;" filled="f" stroked="f" coordsize="21600,21600" o:gfxdata="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I2LZqrX&#10;AAAACgEAAA8AAAAAAAAAAQAgAAAAIgAAAGRycy9kb3ducmV2LnhtbFBLAQIUABQAAAAIAIdO4kAU&#10;G+jcrwEAAFEDAAAOAAAAAAAAAAEAIAAAACYBAABkcnMvZTJvRG9jLnhtbFBLBQYAAAAABgAGAFkB&#10;AABHBQ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发出钻孔和勘探性开挖工作指令</w:t>
                      </w:r>
                    </w:p>
                  </w:txbxContent>
                </v:textbox>
              </v:shape>
            </w:pict>
          </mc:Fallback>
        </mc:AlternateContent>
      </w:r>
      <w:r>
        <w:rPr>
          <w:rFonts w:ascii="仿宋" w:hAnsi="仿宋" w:eastAsia="仿宋" w:cs="仿宋"/>
          <w:b/>
          <w:bCs/>
          <w:color w:val="auto"/>
          <w:sz w:val="24"/>
          <w:szCs w:val="24"/>
          <w:highlight w:val="none"/>
        </w:rPr>
        <w:t>47.1</w:t>
      </w:r>
    </w:p>
    <w:p>
      <w:pPr>
        <w:pStyle w:val="13"/>
        <w:shd w:val="clear" w:color="000000" w:fill="auto"/>
        <w:adjustRightInd w:val="0"/>
        <w:snapToGrid w:val="0"/>
        <w:spacing w:line="360" w:lineRule="auto"/>
        <w:ind w:left="1619" w:leftChars="771" w:firstLine="0"/>
        <w:rPr>
          <w:rFonts w:ascii="仿宋" w:hAnsi="仿宋" w:eastAsia="仿宋"/>
          <w:color w:val="auto"/>
          <w:sz w:val="24"/>
          <w:szCs w:val="24"/>
          <w:highlight w:val="none"/>
        </w:rPr>
      </w:pPr>
      <w:r>
        <w:rPr>
          <w:rFonts w:hint="eastAsia" w:ascii="仿宋" w:hAnsi="仿宋" w:eastAsia="仿宋" w:cs="仿宋"/>
          <w:color w:val="auto"/>
          <w:sz w:val="24"/>
          <w:szCs w:val="24"/>
          <w:highlight w:val="none"/>
        </w:rPr>
        <w:t>在施工过程中，如果需要承包人进行钻孔或勘探性开挖（含疏浚工作在内）工作的，监理工程师应就此项工作按照第</w:t>
      </w:r>
      <w:r>
        <w:rPr>
          <w:rFonts w:ascii="仿宋" w:hAnsi="仿宋" w:eastAsia="仿宋" w:cs="仿宋"/>
          <w:color w:val="auto"/>
          <w:sz w:val="24"/>
          <w:szCs w:val="24"/>
          <w:highlight w:val="none"/>
        </w:rPr>
        <w:t>56</w:t>
      </w:r>
      <w:r>
        <w:rPr>
          <w:rFonts w:hint="eastAsia" w:ascii="仿宋" w:hAnsi="仿宋" w:eastAsia="仿宋" w:cs="仿宋"/>
          <w:color w:val="auto"/>
          <w:sz w:val="24"/>
          <w:szCs w:val="24"/>
          <w:highlight w:val="none"/>
        </w:rPr>
        <w:t>条规定书面发出专项指令。承包人在接到监理工程师指令后，应及时实施相关工作。</w:t>
      </w:r>
    </w:p>
    <w:p>
      <w:pPr>
        <w:pStyle w:val="13"/>
        <w:shd w:val="clear" w:color="000000" w:fill="auto"/>
        <w:tabs>
          <w:tab w:val="left" w:pos="720"/>
          <w:tab w:val="left" w:pos="1080"/>
        </w:tabs>
        <w:adjustRightInd w:val="0"/>
        <w:snapToGrid w:val="0"/>
        <w:spacing w:line="360" w:lineRule="auto"/>
        <w:ind w:firstLine="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46656" behindDoc="0" locked="0" layoutInCell="1" allowOverlap="1">
                <wp:simplePos x="0" y="0"/>
                <wp:positionH relativeFrom="column">
                  <wp:posOffset>-133350</wp:posOffset>
                </wp:positionH>
                <wp:positionV relativeFrom="paragraph">
                  <wp:posOffset>199390</wp:posOffset>
                </wp:positionV>
                <wp:extent cx="914400" cy="699135"/>
                <wp:effectExtent l="0" t="0" r="0" b="0"/>
                <wp:wrapNone/>
                <wp:docPr id="184" name="文本框 188"/>
                <wp:cNvGraphicFramePr/>
                <a:graphic xmlns:a="http://schemas.openxmlformats.org/drawingml/2006/main">
                  <a:graphicData uri="http://schemas.microsoft.com/office/word/2010/wordprocessingShape">
                    <wps:wsp>
                      <wps:cNvSpPr txBox="1"/>
                      <wps:spPr>
                        <a:xfrm>
                          <a:off x="0" y="0"/>
                          <a:ext cx="914400" cy="699135"/>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钻孔和勘探性开挖工作的费用</w:t>
                            </w:r>
                          </w:p>
                          <w:p>
                            <w:pPr>
                              <w:spacing w:line="200" w:lineRule="exact"/>
                              <w:rPr>
                                <w:rFonts w:cs="Times New Roman"/>
                                <w:sz w:val="18"/>
                                <w:szCs w:val="18"/>
                              </w:rPr>
                            </w:pPr>
                          </w:p>
                        </w:txbxContent>
                      </wps:txbx>
                      <wps:bodyPr upright="1"/>
                    </wps:wsp>
                  </a:graphicData>
                </a:graphic>
              </wp:anchor>
            </w:drawing>
          </mc:Choice>
          <mc:Fallback>
            <w:pict>
              <v:shape id="文本框 188" o:spid="_x0000_s1026" o:spt="202" type="#_x0000_t202" style="position:absolute;left:0pt;margin-left:-10.5pt;margin-top:15.7pt;height:55.05pt;width:72pt;z-index:251846656;mso-width-relative:page;mso-height-relative:page;" filled="f" stroked="f" coordsize="21600,21600" o:gfxdata="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ItDPMbX&#10;AAAACgEAAA8AAAAAAAAAAQAgAAAAIgAAAGRycy9kb3ducmV2LnhtbFBLAQIUABQAAAAIAIdO4kA6&#10;pqElrwEAAFEDAAAOAAAAAAAAAAEAIAAAACYBAABkcnMvZTJvRG9jLnhtbFBLBQYAAAAABgAGAFkB&#10;AABHBQ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钻孔和勘探性开挖工作的费用</w:t>
                      </w:r>
                    </w:p>
                    <w:p>
                      <w:pPr>
                        <w:spacing w:line="200" w:lineRule="exact"/>
                        <w:rPr>
                          <w:rFonts w:cs="Times New Roman"/>
                          <w:sz w:val="18"/>
                          <w:szCs w:val="18"/>
                        </w:rPr>
                      </w:pPr>
                    </w:p>
                  </w:txbxContent>
                </v:textbox>
              </v:shape>
            </w:pict>
          </mc:Fallback>
        </mc:AlternateContent>
      </w:r>
      <w:r>
        <w:rPr>
          <w:rFonts w:ascii="仿宋" w:hAnsi="仿宋" w:eastAsia="仿宋" w:cs="仿宋"/>
          <w:b/>
          <w:bCs/>
          <w:color w:val="auto"/>
          <w:sz w:val="24"/>
          <w:szCs w:val="24"/>
          <w:highlight w:val="none"/>
        </w:rPr>
        <w:t xml:space="preserve">47.2 </w:t>
      </w:r>
      <w:r>
        <w:rPr>
          <w:rFonts w:ascii="仿宋" w:hAnsi="仿宋" w:eastAsia="仿宋" w:cs="仿宋"/>
          <w:b/>
          <w:bCs/>
          <w:color w:val="auto"/>
          <w:sz w:val="24"/>
          <w:szCs w:val="24"/>
          <w:highlight w:val="none"/>
          <w:u w:val="dotted"/>
        </w:rPr>
        <w:t xml:space="preserve">                                                                               </w:t>
      </w:r>
    </w:p>
    <w:p>
      <w:pPr>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除工程量清单中已列有此类工作的支付项目和额度外，此项工作所发生的一切费用，经造价工程师核实后，由合同双方当事人按照第</w:t>
      </w:r>
      <w:r>
        <w:rPr>
          <w:rFonts w:ascii="仿宋" w:hAnsi="仿宋" w:eastAsia="仿宋" w:cs="仿宋"/>
          <w:color w:val="auto"/>
          <w:sz w:val="24"/>
          <w:szCs w:val="24"/>
          <w:highlight w:val="none"/>
        </w:rPr>
        <w:t>72</w:t>
      </w:r>
      <w:r>
        <w:rPr>
          <w:rFonts w:hint="eastAsia" w:ascii="仿宋" w:hAnsi="仿宋" w:eastAsia="仿宋" w:cs="仿宋"/>
          <w:color w:val="auto"/>
          <w:sz w:val="24"/>
          <w:szCs w:val="24"/>
          <w:highlight w:val="none"/>
        </w:rPr>
        <w:t>条规定办理。</w:t>
      </w:r>
    </w:p>
    <w:p>
      <w:pPr>
        <w:pStyle w:val="2"/>
        <w:shd w:val="clear" w:color="000000" w:fill="auto"/>
        <w:tabs>
          <w:tab w:val="left" w:pos="540"/>
        </w:tabs>
        <w:adjustRightInd w:val="0"/>
        <w:snapToGrid w:val="0"/>
        <w:spacing w:before="240" w:beforeLines="100" w:line="240" w:lineRule="exact"/>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u w:val="single"/>
        </w:rPr>
        <w:t xml:space="preserve">                                                                                                              </w:t>
      </w:r>
    </w:p>
    <w:p>
      <w:pPr>
        <w:pStyle w:val="13"/>
        <w:shd w:val="clear" w:color="000000" w:fill="auto"/>
        <w:adjustRightInd w:val="0"/>
        <w:snapToGrid w:val="0"/>
        <w:spacing w:line="360" w:lineRule="auto"/>
        <w:ind w:firstLine="0"/>
        <w:outlineLvl w:val="2"/>
        <w:rPr>
          <w:rFonts w:ascii="仿宋" w:hAnsi="仿宋" w:eastAsia="仿宋"/>
          <w:b/>
          <w:bCs/>
          <w:color w:val="auto"/>
          <w:sz w:val="24"/>
          <w:szCs w:val="24"/>
          <w:highlight w:val="none"/>
        </w:rPr>
      </w:pPr>
      <w:bookmarkStart w:id="269" w:name="_Toc16974"/>
      <w:bookmarkStart w:id="270" w:name="_Toc469384031"/>
      <w:bookmarkStart w:id="271" w:name="_Toc10624871"/>
      <w:r>
        <w:rPr>
          <w:rFonts w:ascii="仿宋" w:hAnsi="仿宋" w:eastAsia="仿宋" w:cs="仿宋"/>
          <w:b/>
          <w:bCs/>
          <w:color w:val="auto"/>
          <w:sz w:val="24"/>
          <w:szCs w:val="24"/>
          <w:highlight w:val="none"/>
        </w:rPr>
        <w:t xml:space="preserve">48  </w:t>
      </w:r>
      <w:r>
        <w:rPr>
          <w:rFonts w:hint="eastAsia" w:ascii="仿宋" w:hAnsi="仿宋" w:eastAsia="仿宋" w:cs="仿宋"/>
          <w:b/>
          <w:bCs/>
          <w:color w:val="auto"/>
          <w:sz w:val="24"/>
          <w:szCs w:val="24"/>
          <w:highlight w:val="none"/>
        </w:rPr>
        <w:t>发包人供应材料和工程设备</w:t>
      </w:r>
      <w:bookmarkEnd w:id="269"/>
      <w:bookmarkEnd w:id="270"/>
      <w:bookmarkEnd w:id="271"/>
    </w:p>
    <w:p>
      <w:pPr>
        <w:pStyle w:val="13"/>
        <w:shd w:val="clear" w:color="000000" w:fill="auto"/>
        <w:adjustRightInd w:val="0"/>
        <w:snapToGrid w:val="0"/>
        <w:spacing w:line="360" w:lineRule="auto"/>
        <w:ind w:firstLine="0"/>
        <w:rPr>
          <w:rFonts w:ascii="仿宋" w:hAnsi="仿宋" w:eastAsia="仿宋" w:cs="仿宋"/>
          <w:b/>
          <w:bCs/>
          <w:color w:val="auto"/>
          <w:sz w:val="24"/>
          <w:szCs w:val="24"/>
          <w:highlight w:val="none"/>
        </w:rPr>
      </w:pPr>
      <w:r>
        <w:rPr>
          <w:color w:val="auto"/>
          <w:highlight w:val="none"/>
        </w:rPr>
        <mc:AlternateContent>
          <mc:Choice Requires="wps">
            <w:drawing>
              <wp:anchor distT="0" distB="0" distL="114300" distR="114300" simplePos="0" relativeHeight="251847680" behindDoc="0" locked="0" layoutInCell="1" allowOverlap="1">
                <wp:simplePos x="0" y="0"/>
                <wp:positionH relativeFrom="column">
                  <wp:posOffset>-114300</wp:posOffset>
                </wp:positionH>
                <wp:positionV relativeFrom="paragraph">
                  <wp:posOffset>278765</wp:posOffset>
                </wp:positionV>
                <wp:extent cx="914400" cy="514985"/>
                <wp:effectExtent l="0" t="0" r="0" b="0"/>
                <wp:wrapNone/>
                <wp:docPr id="185" name="文本框 189"/>
                <wp:cNvGraphicFramePr/>
                <a:graphic xmlns:a="http://schemas.openxmlformats.org/drawingml/2006/main">
                  <a:graphicData uri="http://schemas.microsoft.com/office/word/2010/wordprocessingShape">
                    <wps:wsp>
                      <wps:cNvSpPr txBox="1"/>
                      <wps:spPr>
                        <a:xfrm>
                          <a:off x="0" y="0"/>
                          <a:ext cx="914400" cy="514985"/>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约定供应的材料和工程设备</w:t>
                            </w:r>
                          </w:p>
                        </w:txbxContent>
                      </wps:txbx>
                      <wps:bodyPr upright="1"/>
                    </wps:wsp>
                  </a:graphicData>
                </a:graphic>
              </wp:anchor>
            </w:drawing>
          </mc:Choice>
          <mc:Fallback>
            <w:pict>
              <v:shape id="文本框 189" o:spid="_x0000_s1026" o:spt="202" type="#_x0000_t202" style="position:absolute;left:0pt;margin-left:-9pt;margin-top:21.95pt;height:40.55pt;width:72pt;z-index:251847680;mso-width-relative:page;mso-height-relative:page;" filled="f" stroked="f" coordsize="21600,21600" o:gfxdata="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OOhIONcA&#10;AAAKAQAADwAAAAAAAAABACAAAAAiAAAAZHJzL2Rvd25yZXYueG1sUEsBAhQAFAAAAAgAh07iQCwn&#10;WdKuAQAAUQMAAA4AAAAAAAAAAQAgAAAAJgEAAGRycy9lMm9Eb2MueG1sUEsFBgAAAAAGAAYAWQEA&#10;AEYFA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约定供应的材料和工程设备</w:t>
                      </w:r>
                    </w:p>
                  </w:txbxContent>
                </v:textbox>
              </v:shape>
            </w:pict>
          </mc:Fallback>
        </mc:AlternateContent>
      </w:r>
      <w:r>
        <w:rPr>
          <w:rFonts w:ascii="仿宋" w:hAnsi="仿宋" w:eastAsia="仿宋" w:cs="仿宋"/>
          <w:b/>
          <w:bCs/>
          <w:color w:val="auto"/>
          <w:sz w:val="24"/>
          <w:szCs w:val="24"/>
          <w:highlight w:val="none"/>
        </w:rPr>
        <w:t>48.1</w:t>
      </w:r>
    </w:p>
    <w:p>
      <w:pPr>
        <w:pStyle w:val="13"/>
        <w:shd w:val="clear" w:color="000000" w:fill="auto"/>
        <w:adjustRightInd w:val="0"/>
        <w:snapToGrid w:val="0"/>
        <w:spacing w:line="360" w:lineRule="auto"/>
        <w:ind w:left="1619" w:leftChars="771" w:firstLine="0"/>
        <w:rPr>
          <w:rFonts w:ascii="仿宋" w:hAnsi="仿宋" w:eastAsia="仿宋"/>
          <w:color w:val="auto"/>
          <w:sz w:val="24"/>
          <w:szCs w:val="24"/>
          <w:highlight w:val="none"/>
        </w:rPr>
      </w:pPr>
      <w:r>
        <w:rPr>
          <w:rFonts w:hint="eastAsia" w:ascii="仿宋" w:hAnsi="仿宋" w:eastAsia="仿宋" w:cs="仿宋"/>
          <w:color w:val="auto"/>
          <w:sz w:val="24"/>
          <w:szCs w:val="24"/>
          <w:highlight w:val="none"/>
        </w:rPr>
        <w:t>发包人供应材料和工程设备的，应在供应材料和工程设备前，与承包人确认“发包人供应材料和工程设备一览表”，并作为本合同的附件。一览表应包括发包人供应材料和工程设备的品种、规格、型号、数量、单价、质量标准、交货计划和地点等内容。</w:t>
      </w:r>
    </w:p>
    <w:p>
      <w:pPr>
        <w:pStyle w:val="13"/>
        <w:shd w:val="clear" w:color="000000" w:fill="auto"/>
        <w:adjustRightInd w:val="0"/>
        <w:snapToGrid w:val="0"/>
        <w:spacing w:line="360" w:lineRule="auto"/>
        <w:ind w:firstLine="0"/>
        <w:rPr>
          <w:rFonts w:ascii="仿宋" w:hAnsi="仿宋" w:eastAsia="仿宋"/>
          <w:color w:val="auto"/>
          <w:sz w:val="24"/>
          <w:szCs w:val="24"/>
          <w:highlight w:val="none"/>
        </w:rPr>
      </w:pPr>
      <w:r>
        <w:rPr>
          <w:rFonts w:ascii="仿宋" w:hAnsi="仿宋" w:eastAsia="仿宋" w:cs="仿宋"/>
          <w:b/>
          <w:bCs/>
          <w:color w:val="auto"/>
          <w:sz w:val="24"/>
          <w:szCs w:val="24"/>
          <w:highlight w:val="none"/>
        </w:rPr>
        <w:t xml:space="preserve">48.2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pStyle w:val="13"/>
        <w:shd w:val="clear" w:color="000000" w:fill="auto"/>
        <w:adjustRightInd w:val="0"/>
        <w:snapToGrid w:val="0"/>
        <w:spacing w:line="360" w:lineRule="auto"/>
        <w:ind w:left="1575" w:leftChars="750" w:firstLine="0"/>
        <w:rPr>
          <w:rFonts w:ascii="仿宋" w:hAnsi="仿宋" w:eastAsia="仿宋"/>
          <w:b/>
          <w:bCs/>
          <w:color w:val="auto"/>
          <w:sz w:val="24"/>
          <w:szCs w:val="24"/>
          <w:highlight w:val="none"/>
        </w:rPr>
      </w:pPr>
      <w:r>
        <w:rPr>
          <w:color w:val="auto"/>
          <w:highlight w:val="none"/>
        </w:rPr>
        <mc:AlternateContent>
          <mc:Choice Requires="wps">
            <w:drawing>
              <wp:anchor distT="0" distB="0" distL="114300" distR="114300" simplePos="0" relativeHeight="251848704" behindDoc="0" locked="0" layoutInCell="1" allowOverlap="1">
                <wp:simplePos x="0" y="0"/>
                <wp:positionH relativeFrom="column">
                  <wp:posOffset>-66675</wp:posOffset>
                </wp:positionH>
                <wp:positionV relativeFrom="paragraph">
                  <wp:posOffset>47625</wp:posOffset>
                </wp:positionV>
                <wp:extent cx="914400" cy="514985"/>
                <wp:effectExtent l="0" t="0" r="0" b="0"/>
                <wp:wrapNone/>
                <wp:docPr id="186" name="文本框 190"/>
                <wp:cNvGraphicFramePr/>
                <a:graphic xmlns:a="http://schemas.openxmlformats.org/drawingml/2006/main">
                  <a:graphicData uri="http://schemas.microsoft.com/office/word/2010/wordprocessingShape">
                    <wps:wsp>
                      <wps:cNvSpPr txBox="1"/>
                      <wps:spPr>
                        <a:xfrm>
                          <a:off x="0" y="0"/>
                          <a:ext cx="914400" cy="514985"/>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发包人交货日期的要求</w:t>
                            </w:r>
                          </w:p>
                        </w:txbxContent>
                      </wps:txbx>
                      <wps:bodyPr upright="1"/>
                    </wps:wsp>
                  </a:graphicData>
                </a:graphic>
              </wp:anchor>
            </w:drawing>
          </mc:Choice>
          <mc:Fallback>
            <w:pict>
              <v:shape id="文本框 190" o:spid="_x0000_s1026" o:spt="202" type="#_x0000_t202" style="position:absolute;left:0pt;margin-left:-5.25pt;margin-top:3.75pt;height:40.55pt;width:72pt;z-index:251848704;mso-width-relative:page;mso-height-relative:page;" filled="f" stroked="f" coordsize="21600,21600" o:gfxdata="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HRngLzVAAAA&#10;CAEAAA8AAAAAAAAAAQAgAAAAIgAAAGRycy9kb3ducmV2LnhtbFBLAQIUABQAAAAIAIdO4kBbzHrR&#10;rgEAAFEDAAAOAAAAAAAAAAEAIAAAACQBAABkcnMvZTJvRG9jLnhtbFBLBQYAAAAABgAGAFkBAABE&#10;BQ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发包人交货日期的要求</w:t>
                      </w:r>
                    </w:p>
                  </w:txbxContent>
                </v:textbox>
              </v:shape>
            </w:pict>
          </mc:Fallback>
        </mc:AlternateContent>
      </w:r>
      <w:r>
        <w:rPr>
          <w:rFonts w:hint="eastAsia" w:ascii="仿宋" w:hAnsi="仿宋" w:eastAsia="仿宋" w:cs="仿宋"/>
          <w:color w:val="auto"/>
          <w:sz w:val="24"/>
          <w:szCs w:val="24"/>
          <w:highlight w:val="none"/>
        </w:rPr>
        <w:t>发包人供应材料和工程设备的，承包人应根据合同工程进度计划向监理工程师提交发包人交货的日期计划。经合同双方当事人商定交货日期后，发包人应准时向承包人供应材料和工程设备；否则，发包人应承担由此增加的费用和（或）延误的工期，并向承包人支付合理利润。</w:t>
      </w:r>
    </w:p>
    <w:p>
      <w:pPr>
        <w:pStyle w:val="13"/>
        <w:shd w:val="clear" w:color="000000" w:fill="auto"/>
        <w:adjustRightInd w:val="0"/>
        <w:snapToGrid w:val="0"/>
        <w:spacing w:line="360" w:lineRule="auto"/>
        <w:ind w:firstLine="0"/>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48.3  </w:t>
      </w:r>
      <w:r>
        <w:rPr>
          <w:rFonts w:ascii="仿宋" w:hAnsi="仿宋" w:eastAsia="仿宋" w:cs="仿宋"/>
          <w:b/>
          <w:bCs/>
          <w:color w:val="auto"/>
          <w:sz w:val="24"/>
          <w:szCs w:val="24"/>
          <w:highlight w:val="none"/>
          <w:u w:val="dotted"/>
        </w:rPr>
        <w:t xml:space="preserve">                                                                                                        </w:t>
      </w:r>
    </w:p>
    <w:p>
      <w:pPr>
        <w:pStyle w:val="13"/>
        <w:shd w:val="clear" w:color="000000" w:fill="auto"/>
        <w:adjustRightInd w:val="0"/>
        <w:snapToGrid w:val="0"/>
        <w:spacing w:line="360" w:lineRule="auto"/>
        <w:ind w:left="1619" w:leftChars="771" w:firstLine="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49728" behindDoc="0" locked="0" layoutInCell="1" allowOverlap="1">
                <wp:simplePos x="0" y="0"/>
                <wp:positionH relativeFrom="column">
                  <wp:posOffset>-114300</wp:posOffset>
                </wp:positionH>
                <wp:positionV relativeFrom="paragraph">
                  <wp:posOffset>2540</wp:posOffset>
                </wp:positionV>
                <wp:extent cx="967740" cy="452755"/>
                <wp:effectExtent l="0" t="0" r="0" b="0"/>
                <wp:wrapNone/>
                <wp:docPr id="187" name="文本框 191"/>
                <wp:cNvGraphicFramePr/>
                <a:graphic xmlns:a="http://schemas.openxmlformats.org/drawingml/2006/main">
                  <a:graphicData uri="http://schemas.microsoft.com/office/word/2010/wordprocessingShape">
                    <wps:wsp>
                      <wps:cNvSpPr txBox="1"/>
                      <wps:spPr>
                        <a:xfrm>
                          <a:off x="0" y="0"/>
                          <a:ext cx="967740" cy="452755"/>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发包人供应材料和工程设备</w:t>
                            </w:r>
                          </w:p>
                        </w:txbxContent>
                      </wps:txbx>
                      <wps:bodyPr upright="1"/>
                    </wps:wsp>
                  </a:graphicData>
                </a:graphic>
              </wp:anchor>
            </w:drawing>
          </mc:Choice>
          <mc:Fallback>
            <w:pict>
              <v:shape id="文本框 191" o:spid="_x0000_s1026" o:spt="202" type="#_x0000_t202" style="position:absolute;left:0pt;margin-left:-9pt;margin-top:0.2pt;height:35.65pt;width:76.2pt;z-index:251849728;mso-width-relative:page;mso-height-relative:page;" filled="f" stroked="f" coordsize="21600,21600" o:gfxdata="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jzXfF1QAA&#10;AAcBAAAPAAAAAAAAAAEAIAAAACIAAABkcnMvZG93bnJldi54bWxQSwECFAAUAAAACACHTuJA84ct&#10;068BAABRAwAADgAAAAAAAAABACAAAAAkAQAAZHJzL2Uyb0RvYy54bWxQSwUGAAAAAAYABgBZAQAA&#10;RQU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发包人供应材料和工程设备</w:t>
                      </w:r>
                    </w:p>
                  </w:txbxContent>
                </v:textbox>
              </v:shape>
            </w:pict>
          </mc:Fallback>
        </mc:AlternateContent>
      </w:r>
      <w:r>
        <w:rPr>
          <w:rFonts w:hint="eastAsia" w:ascii="仿宋" w:hAnsi="仿宋" w:eastAsia="仿宋" w:cs="仿宋"/>
          <w:color w:val="auto"/>
          <w:sz w:val="24"/>
          <w:szCs w:val="24"/>
          <w:highlight w:val="none"/>
        </w:rPr>
        <w:t>发包人应按照一览表内容和第</w:t>
      </w:r>
      <w:r>
        <w:rPr>
          <w:rFonts w:ascii="仿宋" w:hAnsi="仿宋" w:eastAsia="仿宋" w:cs="仿宋"/>
          <w:color w:val="auto"/>
          <w:sz w:val="24"/>
          <w:szCs w:val="24"/>
          <w:highlight w:val="none"/>
        </w:rPr>
        <w:t>48.2</w:t>
      </w:r>
      <w:r>
        <w:rPr>
          <w:rFonts w:hint="eastAsia" w:ascii="仿宋" w:hAnsi="仿宋" w:eastAsia="仿宋" w:cs="仿宋"/>
          <w:color w:val="auto"/>
          <w:sz w:val="24"/>
          <w:szCs w:val="24"/>
          <w:highlight w:val="none"/>
        </w:rPr>
        <w:t>款交货日期向承包人供应材料和工程设备，并提供产品质量合格证明文件，对材料和工程设备质量负责。发包人应在材料和工程设备到货前至少提前</w:t>
      </w:r>
      <w:r>
        <w:rPr>
          <w:rFonts w:ascii="仿宋" w:hAnsi="仿宋" w:eastAsia="仿宋" w:cs="仿宋"/>
          <w:color w:val="auto"/>
          <w:sz w:val="24"/>
          <w:szCs w:val="24"/>
          <w:highlight w:val="none"/>
        </w:rPr>
        <w:t>24</w:t>
      </w:r>
      <w:r>
        <w:rPr>
          <w:rFonts w:hint="eastAsia" w:ascii="仿宋" w:hAnsi="仿宋" w:eastAsia="仿宋" w:cs="仿宋"/>
          <w:color w:val="auto"/>
          <w:sz w:val="24"/>
          <w:szCs w:val="24"/>
          <w:highlight w:val="none"/>
        </w:rPr>
        <w:t>小时，以书面形式通知承包人和监理工程师，并在监理工程师的见证下与承包人共同清点，同时在施工现场内合理堆放。</w:t>
      </w:r>
    </w:p>
    <w:p>
      <w:pPr>
        <w:pStyle w:val="13"/>
        <w:shd w:val="clear" w:color="000000" w:fill="auto"/>
        <w:adjustRightInd w:val="0"/>
        <w:snapToGrid w:val="0"/>
        <w:spacing w:line="360" w:lineRule="auto"/>
        <w:ind w:firstLine="0"/>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48.4  </w:t>
      </w:r>
      <w:r>
        <w:rPr>
          <w:rFonts w:ascii="仿宋" w:hAnsi="仿宋" w:eastAsia="仿宋" w:cs="仿宋"/>
          <w:b/>
          <w:bCs/>
          <w:color w:val="auto"/>
          <w:sz w:val="24"/>
          <w:szCs w:val="24"/>
          <w:highlight w:val="none"/>
          <w:u w:val="dotted"/>
        </w:rPr>
        <w:t xml:space="preserve">                                                                                                        </w:t>
      </w:r>
    </w:p>
    <w:p>
      <w:pPr>
        <w:pStyle w:val="13"/>
        <w:shd w:val="clear" w:color="000000" w:fill="auto"/>
        <w:adjustRightInd w:val="0"/>
        <w:snapToGrid w:val="0"/>
        <w:spacing w:line="360" w:lineRule="auto"/>
        <w:ind w:left="1619" w:leftChars="771" w:firstLine="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50752" behindDoc="0" locked="0" layoutInCell="1" allowOverlap="1">
                <wp:simplePos x="0" y="0"/>
                <wp:positionH relativeFrom="column">
                  <wp:posOffset>-114300</wp:posOffset>
                </wp:positionH>
                <wp:positionV relativeFrom="paragraph">
                  <wp:posOffset>8890</wp:posOffset>
                </wp:positionV>
                <wp:extent cx="914400" cy="1019175"/>
                <wp:effectExtent l="0" t="0" r="0" b="0"/>
                <wp:wrapNone/>
                <wp:docPr id="188" name="文本框 192"/>
                <wp:cNvGraphicFramePr/>
                <a:graphic xmlns:a="http://schemas.openxmlformats.org/drawingml/2006/main">
                  <a:graphicData uri="http://schemas.microsoft.com/office/word/2010/wordprocessingShape">
                    <wps:wsp>
                      <wps:cNvSpPr txBox="1"/>
                      <wps:spPr>
                        <a:xfrm>
                          <a:off x="0" y="0"/>
                          <a:ext cx="914400" cy="1019175"/>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发包人供应材料和工程设备的责任</w:t>
                            </w:r>
                          </w:p>
                        </w:txbxContent>
                      </wps:txbx>
                      <wps:bodyPr upright="1"/>
                    </wps:wsp>
                  </a:graphicData>
                </a:graphic>
              </wp:anchor>
            </w:drawing>
          </mc:Choice>
          <mc:Fallback>
            <w:pict>
              <v:shape id="文本框 192" o:spid="_x0000_s1026" o:spt="202" type="#_x0000_t202" style="position:absolute;left:0pt;margin-left:-9pt;margin-top:0.7pt;height:80.25pt;width:72pt;z-index:251850752;mso-width-relative:page;mso-height-relative:page;" filled="f" stroked="f" coordsize="21600,21600" o:gfxdata="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2fA2H1QAA&#10;AAkBAAAPAAAAAAAAAAEAIAAAACIAAABkcnMvZG93bnJldi54bWxQSwECFAAUAAAACACHTuJA7SgP&#10;0q8BAABSAwAADgAAAAAAAAABACAAAAAkAQAAZHJzL2Uyb0RvYy54bWxQSwUGAAAAAAYABgBZAQAA&#10;RQU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发包人供应材料和工程设备的责任</w:t>
                      </w:r>
                    </w:p>
                  </w:txbxContent>
                </v:textbox>
              </v:shape>
            </w:pict>
          </mc:Fallback>
        </mc:AlternateContent>
      </w:r>
      <w:r>
        <w:rPr>
          <w:rFonts w:hint="eastAsia" w:ascii="仿宋" w:hAnsi="仿宋" w:eastAsia="仿宋" w:cs="仿宋"/>
          <w:color w:val="auto"/>
          <w:sz w:val="24"/>
          <w:szCs w:val="24"/>
          <w:highlight w:val="none"/>
        </w:rPr>
        <w:t>发包人应保证供应的材料和工程设备符合标准与规范、设计要求和合同约定的要求。如不符合要求，承包人有权拒绝，并要求发包人将其运出施工现场，重新供应符合要求的产品，发包人应承担由此增加的费用和（或）延误的工期，并向承包人支付合理费用。</w:t>
      </w:r>
    </w:p>
    <w:p>
      <w:pPr>
        <w:pStyle w:val="13"/>
        <w:shd w:val="clear" w:color="000000" w:fill="auto"/>
        <w:adjustRightInd w:val="0"/>
        <w:snapToGrid w:val="0"/>
        <w:spacing w:line="360" w:lineRule="auto"/>
        <w:ind w:firstLine="0"/>
        <w:rPr>
          <w:rFonts w:ascii="仿宋" w:hAnsi="仿宋" w:eastAsia="仿宋"/>
          <w:color w:val="auto"/>
          <w:sz w:val="24"/>
          <w:szCs w:val="24"/>
          <w:highlight w:val="none"/>
        </w:rPr>
      </w:pPr>
      <w:r>
        <w:rPr>
          <w:rFonts w:ascii="仿宋" w:hAnsi="仿宋" w:eastAsia="仿宋" w:cs="仿宋"/>
          <w:b/>
          <w:bCs/>
          <w:color w:val="auto"/>
          <w:sz w:val="24"/>
          <w:szCs w:val="24"/>
          <w:highlight w:val="none"/>
        </w:rPr>
        <w:t xml:space="preserve">48.5  </w:t>
      </w:r>
      <w:r>
        <w:rPr>
          <w:rFonts w:ascii="仿宋" w:hAnsi="仿宋" w:eastAsia="仿宋" w:cs="仿宋"/>
          <w:color w:val="auto"/>
          <w:sz w:val="24"/>
          <w:szCs w:val="24"/>
          <w:highlight w:val="none"/>
          <w:u w:val="dotted"/>
        </w:rPr>
        <w:t xml:space="preserve">                                                                                                        </w:t>
      </w:r>
    </w:p>
    <w:p>
      <w:pPr>
        <w:pStyle w:val="13"/>
        <w:shd w:val="clear" w:color="000000" w:fill="auto"/>
        <w:adjustRightInd w:val="0"/>
        <w:snapToGrid w:val="0"/>
        <w:spacing w:line="360" w:lineRule="auto"/>
        <w:ind w:left="1619" w:leftChars="771" w:firstLine="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51776" behindDoc="0" locked="0" layoutInCell="1" allowOverlap="1">
                <wp:simplePos x="0" y="0"/>
                <wp:positionH relativeFrom="column">
                  <wp:posOffset>-114300</wp:posOffset>
                </wp:positionH>
                <wp:positionV relativeFrom="paragraph">
                  <wp:posOffset>8890</wp:posOffset>
                </wp:positionV>
                <wp:extent cx="914400" cy="594360"/>
                <wp:effectExtent l="0" t="0" r="0" b="0"/>
                <wp:wrapNone/>
                <wp:docPr id="189" name="文本框 193"/>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承包人保管发包人供应的材料和工程设备</w:t>
                            </w:r>
                          </w:p>
                        </w:txbxContent>
                      </wps:txbx>
                      <wps:bodyPr upright="1"/>
                    </wps:wsp>
                  </a:graphicData>
                </a:graphic>
              </wp:anchor>
            </w:drawing>
          </mc:Choice>
          <mc:Fallback>
            <w:pict>
              <v:shape id="文本框 193" o:spid="_x0000_s1026" o:spt="202" type="#_x0000_t202" style="position:absolute;left:0pt;margin-left:-9pt;margin-top:0.7pt;height:46.8pt;width:72pt;z-index:251851776;mso-width-relative:page;mso-height-relative:page;" filled="f" stroked="f" coordsize="21600,21600" o:gfxdata="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PDdBI1AAA&#10;AAgBAAAPAAAAAAAAAAEAIAAAACIAAABkcnMvZG93bnJldi54bWxQSwECFAAUAAAACACHTuJAY2h/&#10;LrABAABRAwAADgAAAAAAAAABACAAAAAjAQAAZHJzL2Uyb0RvYy54bWxQSwUGAAAAAAYABgBZAQAA&#10;RQU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承包人保管发包人供应的材料和工程设备</w:t>
                      </w:r>
                    </w:p>
                  </w:txbxContent>
                </v:textbox>
              </v:shape>
            </w:pict>
          </mc:Fallback>
        </mc:AlternateContent>
      </w:r>
      <w:r>
        <w:rPr>
          <w:rFonts w:hint="eastAsia" w:ascii="仿宋" w:hAnsi="仿宋" w:eastAsia="仿宋" w:cs="仿宋"/>
          <w:color w:val="auto"/>
          <w:sz w:val="24"/>
          <w:szCs w:val="24"/>
          <w:highlight w:val="none"/>
        </w:rPr>
        <w:t>发包人供应材料和工程设备的，经合同双方当事人共同清点后由承包人妥善保管，保管费由发包人承担；因承包人保管不善或承包人其它原因导致丢失或损害的，承包人应予赔偿。除工程量清单中已列有此类工作的支付项目和额度外，造价工程师应与合同双方当事人协商确定保管费，并增加到合同价款中；协商不能达成一致的，由造价工程师暂定，通知承包人并抄报发包人。</w:t>
      </w:r>
    </w:p>
    <w:p>
      <w:pPr>
        <w:pStyle w:val="13"/>
        <w:shd w:val="clear" w:color="000000" w:fill="auto"/>
        <w:adjustRightInd w:val="0"/>
        <w:snapToGrid w:val="0"/>
        <w:spacing w:line="360" w:lineRule="auto"/>
        <w:ind w:firstLine="0"/>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48.6  </w:t>
      </w:r>
      <w:r>
        <w:rPr>
          <w:rFonts w:ascii="仿宋" w:hAnsi="仿宋" w:eastAsia="仿宋" w:cs="仿宋"/>
          <w:b/>
          <w:bCs/>
          <w:color w:val="auto"/>
          <w:sz w:val="24"/>
          <w:szCs w:val="24"/>
          <w:highlight w:val="none"/>
          <w:u w:val="dotted"/>
        </w:rPr>
        <w:t xml:space="preserve">                                                                                                        </w:t>
      </w:r>
    </w:p>
    <w:p>
      <w:pPr>
        <w:pStyle w:val="13"/>
        <w:shd w:val="clear" w:color="000000" w:fill="auto"/>
        <w:adjustRightInd w:val="0"/>
        <w:snapToGrid w:val="0"/>
        <w:spacing w:line="360" w:lineRule="auto"/>
        <w:ind w:left="1619" w:leftChars="771" w:firstLine="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52800" behindDoc="0" locked="0" layoutInCell="1" allowOverlap="1">
                <wp:simplePos x="0" y="0"/>
                <wp:positionH relativeFrom="column">
                  <wp:posOffset>-114300</wp:posOffset>
                </wp:positionH>
                <wp:positionV relativeFrom="paragraph">
                  <wp:posOffset>18415</wp:posOffset>
                </wp:positionV>
                <wp:extent cx="914400" cy="908685"/>
                <wp:effectExtent l="0" t="0" r="0" b="0"/>
                <wp:wrapNone/>
                <wp:docPr id="190" name="文本框 194"/>
                <wp:cNvGraphicFramePr/>
                <a:graphic xmlns:a="http://schemas.openxmlformats.org/drawingml/2006/main">
                  <a:graphicData uri="http://schemas.microsoft.com/office/word/2010/wordprocessingShape">
                    <wps:wsp>
                      <wps:cNvSpPr txBox="1"/>
                      <wps:spPr>
                        <a:xfrm>
                          <a:off x="0" y="0"/>
                          <a:ext cx="914400" cy="908685"/>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供应材料和工程设备与约定不符时发包人的责任</w:t>
                            </w:r>
                          </w:p>
                        </w:txbxContent>
                      </wps:txbx>
                      <wps:bodyPr upright="1"/>
                    </wps:wsp>
                  </a:graphicData>
                </a:graphic>
              </wp:anchor>
            </w:drawing>
          </mc:Choice>
          <mc:Fallback>
            <w:pict>
              <v:shape id="文本框 194" o:spid="_x0000_s1026" o:spt="202" type="#_x0000_t202" style="position:absolute;left:0pt;margin-left:-9pt;margin-top:1.45pt;height:71.55pt;width:72pt;z-index:251852800;mso-width-relative:page;mso-height-relative:page;" filled="f" stroked="f" coordsize="21600,21600" o:gfxdata="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HyqIyPVAAAA&#10;CQEAAA8AAAAAAAAAAQAgAAAAIgAAAGRycy9kb3ducmV2LnhtbFBLAQIUABQAAAAIAIdO4kBCPDSA&#10;rgEAAFEDAAAOAAAAAAAAAAEAIAAAACQBAABkcnMvZTJvRG9jLnhtbFBLBQYAAAAABgAGAFkBAABE&#10;BQ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供应材料和工程设备与约定不符时发包人的责任</w:t>
                      </w:r>
                    </w:p>
                  </w:txbxContent>
                </v:textbox>
              </v:shape>
            </w:pict>
          </mc:Fallback>
        </mc:AlternateContent>
      </w:r>
      <w:r>
        <w:rPr>
          <w:rFonts w:hint="eastAsia" w:ascii="仿宋" w:hAnsi="仿宋" w:eastAsia="仿宋" w:cs="仿宋"/>
          <w:color w:val="auto"/>
          <w:sz w:val="24"/>
          <w:szCs w:val="24"/>
          <w:highlight w:val="none"/>
        </w:rPr>
        <w:t>发包人供应的材料和工程设备与一览表不符时，发包人应按照下列规定承担相应责任：</w:t>
      </w:r>
    </w:p>
    <w:p>
      <w:pPr>
        <w:pStyle w:val="13"/>
        <w:numPr>
          <w:ilvl w:val="0"/>
          <w:numId w:val="17"/>
        </w:numPr>
        <w:shd w:val="clear" w:color="000000" w:fill="auto"/>
        <w:tabs>
          <w:tab w:val="left" w:pos="1080"/>
          <w:tab w:val="left" w:pos="2160"/>
        </w:tabs>
        <w:adjustRightInd w:val="0"/>
        <w:snapToGrid w:val="0"/>
        <w:spacing w:line="360" w:lineRule="auto"/>
        <w:ind w:left="1619" w:leftChars="771" w:firstLine="0"/>
        <w:rPr>
          <w:rFonts w:ascii="仿宋" w:hAnsi="仿宋" w:eastAsia="仿宋"/>
          <w:color w:val="auto"/>
          <w:sz w:val="24"/>
          <w:szCs w:val="24"/>
          <w:highlight w:val="none"/>
        </w:rPr>
      </w:pPr>
      <w:r>
        <w:rPr>
          <w:rFonts w:hint="eastAsia" w:ascii="仿宋" w:hAnsi="仿宋" w:eastAsia="仿宋" w:cs="仿宋"/>
          <w:color w:val="auto"/>
          <w:sz w:val="24"/>
          <w:szCs w:val="24"/>
          <w:highlight w:val="none"/>
        </w:rPr>
        <w:t>材料和工程设备的单价与一览表不符，由发包人承担所有价差；</w:t>
      </w:r>
    </w:p>
    <w:p>
      <w:pPr>
        <w:pStyle w:val="13"/>
        <w:numPr>
          <w:ilvl w:val="0"/>
          <w:numId w:val="17"/>
        </w:numPr>
        <w:shd w:val="clear" w:color="000000" w:fill="auto"/>
        <w:tabs>
          <w:tab w:val="left" w:pos="1080"/>
          <w:tab w:val="left" w:pos="1620"/>
        </w:tabs>
        <w:adjustRightInd w:val="0"/>
        <w:snapToGrid w:val="0"/>
        <w:spacing w:line="360" w:lineRule="auto"/>
        <w:ind w:left="1617" w:leftChars="769" w:hanging="2" w:hangingChars="1"/>
        <w:rPr>
          <w:rFonts w:ascii="仿宋" w:hAnsi="仿宋" w:eastAsia="仿宋"/>
          <w:color w:val="auto"/>
          <w:sz w:val="24"/>
          <w:szCs w:val="24"/>
          <w:highlight w:val="none"/>
        </w:rPr>
      </w:pPr>
      <w:r>
        <w:rPr>
          <w:rFonts w:hint="eastAsia" w:ascii="仿宋" w:hAnsi="仿宋" w:eastAsia="仿宋" w:cs="仿宋"/>
          <w:color w:val="auto"/>
          <w:sz w:val="24"/>
          <w:szCs w:val="24"/>
          <w:highlight w:val="none"/>
        </w:rPr>
        <w:t>材料和工程设备的品种、规格、型号、质量标准与一览表不符，承包人可以拒绝接受保管，由发包人运出施工场地并重新采购；</w:t>
      </w:r>
    </w:p>
    <w:p>
      <w:pPr>
        <w:pStyle w:val="13"/>
        <w:numPr>
          <w:ilvl w:val="0"/>
          <w:numId w:val="17"/>
        </w:numPr>
        <w:shd w:val="clear" w:color="000000" w:fill="auto"/>
        <w:tabs>
          <w:tab w:val="left" w:pos="1080"/>
          <w:tab w:val="left" w:pos="1620"/>
        </w:tabs>
        <w:adjustRightInd w:val="0"/>
        <w:snapToGrid w:val="0"/>
        <w:spacing w:line="360" w:lineRule="auto"/>
        <w:ind w:left="1617" w:leftChars="769" w:hanging="2" w:hangingChars="1"/>
        <w:rPr>
          <w:rFonts w:ascii="仿宋" w:hAnsi="仿宋" w:eastAsia="仿宋"/>
          <w:color w:val="auto"/>
          <w:sz w:val="24"/>
          <w:szCs w:val="24"/>
          <w:highlight w:val="none"/>
        </w:rPr>
      </w:pPr>
      <w:r>
        <w:rPr>
          <w:rFonts w:hint="eastAsia" w:ascii="仿宋" w:hAnsi="仿宋" w:eastAsia="仿宋" w:cs="仿宋"/>
          <w:color w:val="auto"/>
          <w:sz w:val="24"/>
          <w:szCs w:val="24"/>
          <w:highlight w:val="none"/>
        </w:rPr>
        <w:t>材料和工程设备的品种、规格、型号、质量标准与一览表不符，经发包人同意，承包人可代为调剂替换，由发包人承担相应费用；</w:t>
      </w:r>
    </w:p>
    <w:p>
      <w:pPr>
        <w:pStyle w:val="13"/>
        <w:numPr>
          <w:ilvl w:val="0"/>
          <w:numId w:val="17"/>
        </w:numPr>
        <w:shd w:val="clear" w:color="000000" w:fill="auto"/>
        <w:tabs>
          <w:tab w:val="left" w:pos="1620"/>
          <w:tab w:val="clear" w:pos="1560"/>
        </w:tabs>
        <w:adjustRightInd w:val="0"/>
        <w:snapToGrid w:val="0"/>
        <w:spacing w:line="360" w:lineRule="auto"/>
        <w:ind w:left="1618" w:leftChars="770" w:hanging="1"/>
        <w:rPr>
          <w:rFonts w:ascii="仿宋" w:hAnsi="仿宋" w:eastAsia="仿宋"/>
          <w:color w:val="auto"/>
          <w:sz w:val="24"/>
          <w:szCs w:val="24"/>
          <w:highlight w:val="none"/>
        </w:rPr>
      </w:pPr>
      <w:r>
        <w:rPr>
          <w:rFonts w:hint="eastAsia" w:ascii="仿宋" w:hAnsi="仿宋" w:eastAsia="仿宋" w:cs="仿宋"/>
          <w:color w:val="auto"/>
          <w:sz w:val="24"/>
          <w:szCs w:val="24"/>
          <w:highlight w:val="none"/>
        </w:rPr>
        <w:t>交货地点与一览表不符，除合同双方当事人协商确定外，由发包人重新运至一览表指定地点，并承担由此增加的费用和（或）延误的工期；</w:t>
      </w:r>
    </w:p>
    <w:p>
      <w:pPr>
        <w:pStyle w:val="13"/>
        <w:shd w:val="clear" w:color="000000" w:fill="auto"/>
        <w:tabs>
          <w:tab w:val="left" w:pos="2160"/>
        </w:tabs>
        <w:adjustRightInd w:val="0"/>
        <w:snapToGrid w:val="0"/>
        <w:spacing w:line="360" w:lineRule="auto"/>
        <w:ind w:left="1678" w:leftChars="750" w:hanging="103" w:hangingChars="43"/>
        <w:rPr>
          <w:rFonts w:ascii="仿宋" w:hAnsi="仿宋" w:eastAsia="仿宋"/>
          <w:color w:val="auto"/>
          <w:sz w:val="24"/>
          <w:szCs w:val="24"/>
          <w:highlight w:val="none"/>
        </w:rPr>
      </w:pPr>
      <w:r>
        <w:rPr>
          <w:rFonts w:ascii="仿宋" w:hAnsi="仿宋" w:eastAsia="仿宋" w:cs="仿宋"/>
          <w:color w:val="auto"/>
          <w:sz w:val="24"/>
          <w:szCs w:val="24"/>
          <w:highlight w:val="none"/>
        </w:rPr>
        <w:t>(5)</w:t>
      </w:r>
      <w:r>
        <w:rPr>
          <w:rFonts w:hint="eastAsia" w:ascii="仿宋" w:hAnsi="仿宋" w:eastAsia="仿宋" w:cs="仿宋"/>
          <w:color w:val="auto"/>
          <w:sz w:val="24"/>
          <w:szCs w:val="24"/>
          <w:highlight w:val="none"/>
        </w:rPr>
        <w:t>供应数量少于一览表约定的数量时，由发包人补齐；多于一览表约定的数量时，发包人应将多出的部分运出施工场地；</w:t>
      </w:r>
    </w:p>
    <w:p>
      <w:pPr>
        <w:pStyle w:val="13"/>
        <w:shd w:val="clear" w:color="000000" w:fill="auto"/>
        <w:tabs>
          <w:tab w:val="left" w:pos="1980"/>
        </w:tabs>
        <w:adjustRightInd w:val="0"/>
        <w:snapToGrid w:val="0"/>
        <w:spacing w:line="360" w:lineRule="auto"/>
        <w:ind w:left="1680" w:leftChars="800" w:firstLine="0"/>
        <w:rPr>
          <w:rFonts w:ascii="仿宋" w:hAnsi="仿宋" w:eastAsia="仿宋"/>
          <w:color w:val="auto"/>
          <w:sz w:val="24"/>
          <w:szCs w:val="24"/>
          <w:highlight w:val="none"/>
        </w:rPr>
      </w:pPr>
      <w:r>
        <w:rPr>
          <w:rFonts w:ascii="仿宋" w:hAnsi="仿宋" w:eastAsia="仿宋" w:cs="仿宋"/>
          <w:color w:val="auto"/>
          <w:sz w:val="24"/>
          <w:szCs w:val="24"/>
          <w:highlight w:val="none"/>
        </w:rPr>
        <w:t>(6)</w:t>
      </w:r>
      <w:r>
        <w:rPr>
          <w:rFonts w:hint="eastAsia" w:ascii="仿宋" w:hAnsi="仿宋" w:eastAsia="仿宋" w:cs="仿宋"/>
          <w:color w:val="auto"/>
          <w:sz w:val="24"/>
          <w:szCs w:val="24"/>
          <w:highlight w:val="none"/>
        </w:rPr>
        <w:t>交货时间早于一览表约定计划和第</w:t>
      </w:r>
      <w:r>
        <w:rPr>
          <w:rFonts w:ascii="仿宋" w:hAnsi="仿宋" w:eastAsia="仿宋" w:cs="仿宋"/>
          <w:color w:val="auto"/>
          <w:sz w:val="24"/>
          <w:szCs w:val="24"/>
          <w:highlight w:val="none"/>
        </w:rPr>
        <w:t>48.2</w:t>
      </w:r>
      <w:r>
        <w:rPr>
          <w:rFonts w:hint="eastAsia" w:ascii="仿宋" w:hAnsi="仿宋" w:eastAsia="仿宋" w:cs="仿宋"/>
          <w:color w:val="auto"/>
          <w:sz w:val="24"/>
          <w:szCs w:val="24"/>
          <w:highlight w:val="none"/>
        </w:rPr>
        <w:t>款交货日期，由发包人承担由此发生的保管费；交货时间迟于一览表约定计划和第</w:t>
      </w:r>
      <w:r>
        <w:rPr>
          <w:rFonts w:ascii="仿宋" w:hAnsi="仿宋" w:eastAsia="仿宋" w:cs="仿宋"/>
          <w:color w:val="auto"/>
          <w:sz w:val="24"/>
          <w:szCs w:val="24"/>
          <w:highlight w:val="none"/>
        </w:rPr>
        <w:t>48.2</w:t>
      </w:r>
      <w:r>
        <w:rPr>
          <w:rFonts w:hint="eastAsia" w:ascii="仿宋" w:hAnsi="仿宋" w:eastAsia="仿宋" w:cs="仿宋"/>
          <w:color w:val="auto"/>
          <w:sz w:val="24"/>
          <w:szCs w:val="24"/>
          <w:highlight w:val="none"/>
        </w:rPr>
        <w:t>款交货日期，由发包人承担由此增加的费用和（或）延误的工期。</w:t>
      </w:r>
    </w:p>
    <w:p>
      <w:pPr>
        <w:pStyle w:val="13"/>
        <w:shd w:val="clear" w:color="000000" w:fill="auto"/>
        <w:tabs>
          <w:tab w:val="left" w:pos="2160"/>
        </w:tabs>
        <w:adjustRightInd w:val="0"/>
        <w:snapToGrid w:val="0"/>
        <w:spacing w:line="360" w:lineRule="auto"/>
        <w:ind w:firstLine="0"/>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48.7 </w:t>
      </w:r>
      <w:r>
        <w:rPr>
          <w:rFonts w:ascii="仿宋" w:hAnsi="仿宋" w:eastAsia="仿宋" w:cs="仿宋"/>
          <w:b/>
          <w:bCs/>
          <w:color w:val="auto"/>
          <w:sz w:val="24"/>
          <w:szCs w:val="24"/>
          <w:highlight w:val="none"/>
          <w:u w:val="dotted"/>
        </w:rPr>
        <w:t xml:space="preserve">                                                                                 </w:t>
      </w:r>
    </w:p>
    <w:p>
      <w:pPr>
        <w:pStyle w:val="13"/>
        <w:shd w:val="clear" w:color="000000" w:fill="auto"/>
        <w:adjustRightInd w:val="0"/>
        <w:snapToGrid w:val="0"/>
        <w:spacing w:line="360" w:lineRule="auto"/>
        <w:ind w:left="1619" w:leftChars="771" w:firstLine="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53824" behindDoc="0" locked="0" layoutInCell="1" allowOverlap="1">
                <wp:simplePos x="0" y="0"/>
                <wp:positionH relativeFrom="column">
                  <wp:posOffset>-114300</wp:posOffset>
                </wp:positionH>
                <wp:positionV relativeFrom="paragraph">
                  <wp:posOffset>17145</wp:posOffset>
                </wp:positionV>
                <wp:extent cx="914400" cy="611505"/>
                <wp:effectExtent l="0" t="0" r="0" b="0"/>
                <wp:wrapNone/>
                <wp:docPr id="191" name="文本框 195"/>
                <wp:cNvGraphicFramePr/>
                <a:graphic xmlns:a="http://schemas.openxmlformats.org/drawingml/2006/main">
                  <a:graphicData uri="http://schemas.microsoft.com/office/word/2010/wordprocessingShape">
                    <wps:wsp>
                      <wps:cNvSpPr txBox="1"/>
                      <wps:spPr>
                        <a:xfrm>
                          <a:off x="0" y="0"/>
                          <a:ext cx="914400" cy="611505"/>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供应材料和工程设备使用前的检验</w:t>
                            </w:r>
                          </w:p>
                        </w:txbxContent>
                      </wps:txbx>
                      <wps:bodyPr upright="1"/>
                    </wps:wsp>
                  </a:graphicData>
                </a:graphic>
              </wp:anchor>
            </w:drawing>
          </mc:Choice>
          <mc:Fallback>
            <w:pict>
              <v:shape id="文本框 195" o:spid="_x0000_s1026" o:spt="202" type="#_x0000_t202" style="position:absolute;left:0pt;margin-left:-9pt;margin-top:1.35pt;height:48.15pt;width:72pt;z-index:251853824;mso-width-relative:page;mso-height-relative:page;" filled="f" stroked="f" coordsize="21600,21600" o:gfxdata="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6dGel1QAA&#10;AAgBAAAPAAAAAAAAAAEAIAAAACIAAABkcnMvZG93bnJldi54bWxQSwECFAAUAAAACACHTuJAt96Q&#10;f68BAABRAwAADgAAAAAAAAABACAAAAAkAQAAZHJzL2Uyb0RvYy54bWxQSwUGAAAAAAYABgBZAQAA&#10;RQU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供应材料和工程设备使用前的检验</w:t>
                      </w:r>
                    </w:p>
                  </w:txbxContent>
                </v:textbox>
              </v:shape>
            </w:pict>
          </mc:Fallback>
        </mc:AlternateContent>
      </w:r>
      <w:r>
        <w:rPr>
          <w:rFonts w:hint="eastAsia" w:ascii="仿宋" w:hAnsi="仿宋" w:eastAsia="仿宋" w:cs="仿宋"/>
          <w:color w:val="auto"/>
          <w:sz w:val="24"/>
          <w:szCs w:val="24"/>
          <w:highlight w:val="none"/>
        </w:rPr>
        <w:t>发包人供应的材料和工程设备使用前，由监理工程师会同承包人进行检验试验，查验材料合格证明和产品合格证书。合同双方当事人应做好检验书面记录，并要求指定人选及时办理签认手续。不合格的，禁止在合同工程中使用。</w:t>
      </w:r>
    </w:p>
    <w:p>
      <w:pPr>
        <w:pStyle w:val="13"/>
        <w:shd w:val="clear" w:color="000000" w:fill="auto"/>
        <w:adjustRightInd w:val="0"/>
        <w:snapToGrid w:val="0"/>
        <w:spacing w:before="120" w:beforeLines="50"/>
        <w:ind w:firstLine="0"/>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48.8  </w:t>
      </w:r>
      <w:r>
        <w:rPr>
          <w:rFonts w:ascii="仿宋" w:hAnsi="仿宋" w:eastAsia="仿宋" w:cs="仿宋"/>
          <w:b/>
          <w:bCs/>
          <w:color w:val="auto"/>
          <w:sz w:val="24"/>
          <w:szCs w:val="24"/>
          <w:highlight w:val="none"/>
          <w:u w:val="dotted"/>
        </w:rPr>
        <w:t xml:space="preserve">                                                                                                        </w:t>
      </w:r>
    </w:p>
    <w:p>
      <w:pPr>
        <w:pStyle w:val="13"/>
        <w:shd w:val="clear" w:color="000000" w:fill="auto"/>
        <w:adjustRightInd w:val="0"/>
        <w:snapToGrid w:val="0"/>
        <w:spacing w:line="360" w:lineRule="auto"/>
        <w:ind w:left="1619" w:leftChars="771" w:firstLine="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54848" behindDoc="0" locked="0" layoutInCell="1" allowOverlap="1">
                <wp:simplePos x="0" y="0"/>
                <wp:positionH relativeFrom="column">
                  <wp:posOffset>-114300</wp:posOffset>
                </wp:positionH>
                <wp:positionV relativeFrom="paragraph">
                  <wp:posOffset>7620</wp:posOffset>
                </wp:positionV>
                <wp:extent cx="1028700" cy="297180"/>
                <wp:effectExtent l="0" t="0" r="0" b="0"/>
                <wp:wrapNone/>
                <wp:docPr id="192" name="文本框 196"/>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约定结算方式</w:t>
                            </w:r>
                          </w:p>
                        </w:txbxContent>
                      </wps:txbx>
                      <wps:bodyPr upright="1"/>
                    </wps:wsp>
                  </a:graphicData>
                </a:graphic>
              </wp:anchor>
            </w:drawing>
          </mc:Choice>
          <mc:Fallback>
            <w:pict>
              <v:shape id="文本框 196" o:spid="_x0000_s1026" o:spt="202" type="#_x0000_t202" style="position:absolute;left:0pt;margin-left:-9pt;margin-top:0.6pt;height:23.4pt;width:81pt;z-index:251854848;mso-width-relative:page;mso-height-relative:page;" filled="f" stroked="f" coordsize="21600,21600" o:gfxdata="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O5Ymg3UAAAA&#10;CAEAAA8AAAAAAAAAAQAgAAAAIgAAAGRycy9kb3ducmV2LnhtbFBLAQIUABQAAAAIAIdO4kA8aB+I&#10;rwEAAFIDAAAOAAAAAAAAAAEAIAAAACMBAABkcnMvZTJvRG9jLnhtbFBLBQYAAAAABgAGAFkBAABE&#10;BQ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约定结算方式</w:t>
                      </w:r>
                    </w:p>
                  </w:txbxContent>
                </v:textbox>
              </v:shape>
            </w:pict>
          </mc:Fallback>
        </mc:AlternateContent>
      </w:r>
      <w:r>
        <w:rPr>
          <w:rFonts w:hint="eastAsia" w:ascii="仿宋" w:hAnsi="仿宋" w:eastAsia="仿宋" w:cs="仿宋"/>
          <w:color w:val="auto"/>
          <w:sz w:val="24"/>
          <w:szCs w:val="24"/>
          <w:highlight w:val="none"/>
        </w:rPr>
        <w:t>发包人供应材料和工程设备的结算方式，由合同双方当事人在专用条款中约定。除工程量清单中已列有规费、税金项目的计算方法和额度，可由承包人代收代缴外，该结算方式发包人应按照政府有关部门和税务部门规定缴纳合同工程的规费、税金。</w:t>
      </w:r>
    </w:p>
    <w:p>
      <w:pPr>
        <w:pStyle w:val="13"/>
        <w:shd w:val="clear" w:color="000000" w:fill="auto"/>
        <w:adjustRightInd w:val="0"/>
        <w:snapToGrid w:val="0"/>
        <w:ind w:firstLine="0"/>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13"/>
        <w:shd w:val="clear" w:color="000000" w:fill="auto"/>
        <w:adjustRightInd w:val="0"/>
        <w:snapToGrid w:val="0"/>
        <w:spacing w:line="360" w:lineRule="auto"/>
        <w:ind w:firstLine="0"/>
        <w:outlineLvl w:val="2"/>
        <w:rPr>
          <w:rFonts w:ascii="仿宋" w:hAnsi="仿宋" w:eastAsia="仿宋"/>
          <w:b/>
          <w:bCs/>
          <w:color w:val="auto"/>
          <w:sz w:val="24"/>
          <w:szCs w:val="24"/>
          <w:highlight w:val="none"/>
        </w:rPr>
      </w:pPr>
      <w:bookmarkStart w:id="272" w:name="_Toc10624872"/>
      <w:bookmarkStart w:id="273" w:name="_Toc29447"/>
      <w:bookmarkStart w:id="274" w:name="_Toc469384032"/>
      <w:r>
        <w:rPr>
          <w:rFonts w:ascii="仿宋" w:hAnsi="仿宋" w:eastAsia="仿宋" w:cs="仿宋"/>
          <w:b/>
          <w:bCs/>
          <w:color w:val="auto"/>
          <w:sz w:val="24"/>
          <w:szCs w:val="24"/>
          <w:highlight w:val="none"/>
        </w:rPr>
        <w:t xml:space="preserve">49  </w:t>
      </w:r>
      <w:r>
        <w:rPr>
          <w:rFonts w:hint="eastAsia" w:ascii="仿宋" w:hAnsi="仿宋" w:eastAsia="仿宋" w:cs="仿宋"/>
          <w:b/>
          <w:bCs/>
          <w:color w:val="auto"/>
          <w:sz w:val="24"/>
          <w:szCs w:val="24"/>
          <w:highlight w:val="none"/>
        </w:rPr>
        <w:t>承包人采购材料和工程设备</w:t>
      </w:r>
      <w:bookmarkEnd w:id="272"/>
      <w:bookmarkEnd w:id="273"/>
      <w:bookmarkEnd w:id="274"/>
    </w:p>
    <w:p>
      <w:pPr>
        <w:pStyle w:val="13"/>
        <w:shd w:val="clear" w:color="000000" w:fill="auto"/>
        <w:adjustRightInd w:val="0"/>
        <w:snapToGrid w:val="0"/>
        <w:spacing w:line="360" w:lineRule="auto"/>
        <w:ind w:firstLine="0"/>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49.1 </w:t>
      </w:r>
    </w:p>
    <w:p>
      <w:pPr>
        <w:pStyle w:val="13"/>
        <w:shd w:val="clear" w:color="000000" w:fill="auto"/>
        <w:adjustRightInd w:val="0"/>
        <w:snapToGrid w:val="0"/>
        <w:spacing w:line="360" w:lineRule="auto"/>
        <w:ind w:left="1619" w:leftChars="771" w:firstLine="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55872" behindDoc="0" locked="0" layoutInCell="1" allowOverlap="1">
                <wp:simplePos x="0" y="0"/>
                <wp:positionH relativeFrom="column">
                  <wp:posOffset>-114300</wp:posOffset>
                </wp:positionH>
                <wp:positionV relativeFrom="paragraph">
                  <wp:posOffset>17145</wp:posOffset>
                </wp:positionV>
                <wp:extent cx="914400" cy="486410"/>
                <wp:effectExtent l="0" t="0" r="0" b="0"/>
                <wp:wrapNone/>
                <wp:docPr id="193" name="文本框 197"/>
                <wp:cNvGraphicFramePr/>
                <a:graphic xmlns:a="http://schemas.openxmlformats.org/drawingml/2006/main">
                  <a:graphicData uri="http://schemas.microsoft.com/office/word/2010/wordprocessingShape">
                    <wps:wsp>
                      <wps:cNvSpPr txBox="1"/>
                      <wps:spPr>
                        <a:xfrm>
                          <a:off x="0" y="0"/>
                          <a:ext cx="914400" cy="486410"/>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承包人采购材料和工程设备</w:t>
                            </w:r>
                          </w:p>
                        </w:txbxContent>
                      </wps:txbx>
                      <wps:bodyPr upright="1"/>
                    </wps:wsp>
                  </a:graphicData>
                </a:graphic>
              </wp:anchor>
            </w:drawing>
          </mc:Choice>
          <mc:Fallback>
            <w:pict>
              <v:shape id="文本框 197" o:spid="_x0000_s1026" o:spt="202" type="#_x0000_t202" style="position:absolute;left:0pt;margin-left:-9pt;margin-top:1.35pt;height:38.3pt;width:72pt;z-index:251855872;mso-width-relative:page;mso-height-relative:page;" filled="f" stroked="f" coordsize="21600,21600" o:gfxdata="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I/7+1dYA&#10;AAAIAQAADwAAAAAAAAABACAAAAAiAAAAZHJzL2Rvd25yZXYueG1sUEsBAhQAFAAAAAgAh07iQHRB&#10;WiuvAQAAUQMAAA4AAAAAAAAAAQAgAAAAJQEAAGRycy9lMm9Eb2MueG1sUEsFBgAAAAAGAAYAWQEA&#10;AEYFA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承包人采购材料和工程设备</w:t>
                      </w:r>
                    </w:p>
                  </w:txbxContent>
                </v:textbox>
              </v:shape>
            </w:pict>
          </mc:Fallback>
        </mc:AlternateContent>
      </w:r>
      <w:r>
        <w:rPr>
          <w:rFonts w:hint="eastAsia" w:ascii="仿宋" w:hAnsi="仿宋" w:eastAsia="仿宋" w:cs="仿宋"/>
          <w:color w:val="auto"/>
          <w:sz w:val="24"/>
          <w:szCs w:val="24"/>
          <w:highlight w:val="none"/>
        </w:rPr>
        <w:t>承包人负责采购材料和工程设备的，应按照标准与规范、设计要求和合同约定的要求采购，并提供产品质量合格证明文件，对材料和工程设备质量负责。承包人采购招标工程的材料和工程设备，应与其提交的投标文件相应内容一致。除专用条款另有约定外，上述材料和工程设备均由承包人负责运输和保管。</w:t>
      </w:r>
    </w:p>
    <w:p>
      <w:pPr>
        <w:pStyle w:val="13"/>
        <w:shd w:val="clear" w:color="000000" w:fill="auto"/>
        <w:adjustRightInd w:val="0"/>
        <w:snapToGrid w:val="0"/>
        <w:spacing w:line="360" w:lineRule="auto"/>
        <w:ind w:firstLine="0"/>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49.2 </w:t>
      </w:r>
      <w:r>
        <w:rPr>
          <w:rFonts w:ascii="仿宋" w:hAnsi="仿宋" w:eastAsia="仿宋" w:cs="仿宋"/>
          <w:b/>
          <w:bCs/>
          <w:color w:val="auto"/>
          <w:sz w:val="24"/>
          <w:szCs w:val="24"/>
          <w:highlight w:val="none"/>
          <w:u w:val="dotted"/>
        </w:rPr>
        <w:t xml:space="preserve">                                                                               </w:t>
      </w:r>
    </w:p>
    <w:p>
      <w:pPr>
        <w:pStyle w:val="13"/>
        <w:shd w:val="clear" w:color="000000" w:fill="auto"/>
        <w:adjustRightInd w:val="0"/>
        <w:snapToGrid w:val="0"/>
        <w:spacing w:line="360" w:lineRule="auto"/>
        <w:ind w:left="1619" w:leftChars="771" w:firstLine="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56896" behindDoc="0" locked="0" layoutInCell="1" allowOverlap="1">
                <wp:simplePos x="0" y="0"/>
                <wp:positionH relativeFrom="column">
                  <wp:posOffset>-114300</wp:posOffset>
                </wp:positionH>
                <wp:positionV relativeFrom="paragraph">
                  <wp:posOffset>17145</wp:posOffset>
                </wp:positionV>
                <wp:extent cx="914400" cy="486410"/>
                <wp:effectExtent l="0" t="0" r="0" b="0"/>
                <wp:wrapNone/>
                <wp:docPr id="194" name="文本框 198"/>
                <wp:cNvGraphicFramePr/>
                <a:graphic xmlns:a="http://schemas.openxmlformats.org/drawingml/2006/main">
                  <a:graphicData uri="http://schemas.microsoft.com/office/word/2010/wordprocessingShape">
                    <wps:wsp>
                      <wps:cNvSpPr txBox="1"/>
                      <wps:spPr>
                        <a:xfrm>
                          <a:off x="0" y="0"/>
                          <a:ext cx="914400" cy="486410"/>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承包人供货与清点要求</w:t>
                            </w:r>
                          </w:p>
                        </w:txbxContent>
                      </wps:txbx>
                      <wps:bodyPr upright="1"/>
                    </wps:wsp>
                  </a:graphicData>
                </a:graphic>
              </wp:anchor>
            </w:drawing>
          </mc:Choice>
          <mc:Fallback>
            <w:pict>
              <v:shape id="文本框 198" o:spid="_x0000_s1026" o:spt="202" type="#_x0000_t202" style="position:absolute;left:0pt;margin-left:-9pt;margin-top:1.35pt;height:38.3pt;width:72pt;z-index:251856896;mso-width-relative:page;mso-height-relative:page;" filled="f" stroked="f" coordsize="21600,21600" o:gfxdata="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I/7+1dYA&#10;AAAIAQAADwAAAAAAAAABACAAAAAiAAAAZHJzL2Rvd25yZXYueG1sUEsBAhQAFAAAAAgAh07iQKx0&#10;HVCvAQAAUQMAAA4AAAAAAAAAAQAgAAAAJQEAAGRycy9lMm9Eb2MueG1sUEsFBgAAAAAGAAYAWQEA&#10;AEYFA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承包人供货与清点要求</w:t>
                      </w:r>
                    </w:p>
                  </w:txbxContent>
                </v:textbox>
              </v:shape>
            </w:pict>
          </mc:Fallback>
        </mc:AlternateContent>
      </w:r>
      <w:r>
        <w:rPr>
          <w:rFonts w:hint="eastAsia" w:ascii="仿宋" w:hAnsi="仿宋" w:eastAsia="仿宋" w:cs="仿宋"/>
          <w:color w:val="auto"/>
          <w:sz w:val="24"/>
          <w:szCs w:val="24"/>
          <w:highlight w:val="none"/>
        </w:rPr>
        <w:t>承包人应按照专用条款的约定，将各项材料和工程设备的供货人及品种、规格、数量和供货时间等情况以书面形式提交监理工程师确认，并由其报发包人批准后实施供货。承包人应在材料和工程设备到货前至少提前</w:t>
      </w:r>
      <w:r>
        <w:rPr>
          <w:rFonts w:ascii="仿宋" w:hAnsi="仿宋" w:eastAsia="仿宋" w:cs="仿宋"/>
          <w:color w:val="auto"/>
          <w:sz w:val="24"/>
          <w:szCs w:val="24"/>
          <w:highlight w:val="none"/>
        </w:rPr>
        <w:t>24</w:t>
      </w:r>
      <w:r>
        <w:rPr>
          <w:rFonts w:hint="eastAsia" w:ascii="仿宋" w:hAnsi="仿宋" w:eastAsia="仿宋" w:cs="仿宋"/>
          <w:color w:val="auto"/>
          <w:sz w:val="24"/>
          <w:szCs w:val="24"/>
          <w:highlight w:val="none"/>
        </w:rPr>
        <w:t>小时，以书面形式通知发包人和监理工程师，并在监理工程师的见证下与发包人共同清点。</w:t>
      </w:r>
    </w:p>
    <w:p>
      <w:pPr>
        <w:pStyle w:val="13"/>
        <w:shd w:val="clear" w:color="000000" w:fill="auto"/>
        <w:adjustRightInd w:val="0"/>
        <w:snapToGrid w:val="0"/>
        <w:spacing w:line="360" w:lineRule="auto"/>
        <w:ind w:firstLine="0"/>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49.3  </w:t>
      </w:r>
      <w:r>
        <w:rPr>
          <w:rFonts w:ascii="仿宋" w:hAnsi="仿宋" w:eastAsia="仿宋" w:cs="仿宋"/>
          <w:b/>
          <w:bCs/>
          <w:color w:val="auto"/>
          <w:sz w:val="24"/>
          <w:szCs w:val="24"/>
          <w:highlight w:val="none"/>
          <w:u w:val="dotted"/>
        </w:rPr>
        <w:t xml:space="preserve">                                                                                                        </w:t>
      </w:r>
    </w:p>
    <w:p>
      <w:pPr>
        <w:pStyle w:val="13"/>
        <w:shd w:val="clear" w:color="000000" w:fill="auto"/>
        <w:adjustRightInd w:val="0"/>
        <w:snapToGrid w:val="0"/>
        <w:spacing w:line="360" w:lineRule="auto"/>
        <w:ind w:left="1619" w:leftChars="771" w:firstLine="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57920" behindDoc="0" locked="0" layoutInCell="1" allowOverlap="1">
                <wp:simplePos x="0" y="0"/>
                <wp:positionH relativeFrom="column">
                  <wp:posOffset>-114300</wp:posOffset>
                </wp:positionH>
                <wp:positionV relativeFrom="paragraph">
                  <wp:posOffset>1270</wp:posOffset>
                </wp:positionV>
                <wp:extent cx="914400" cy="792480"/>
                <wp:effectExtent l="0" t="0" r="0" b="0"/>
                <wp:wrapNone/>
                <wp:docPr id="195" name="文本框 199"/>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承包人采购材料和工程设备的责任</w:t>
                            </w:r>
                          </w:p>
                        </w:txbxContent>
                      </wps:txbx>
                      <wps:bodyPr upright="1"/>
                    </wps:wsp>
                  </a:graphicData>
                </a:graphic>
              </wp:anchor>
            </w:drawing>
          </mc:Choice>
          <mc:Fallback>
            <w:pict>
              <v:shape id="文本框 199" o:spid="_x0000_s1026" o:spt="202" type="#_x0000_t202" style="position:absolute;left:0pt;margin-left:-9pt;margin-top:0.1pt;height:62.4pt;width:72pt;z-index:251857920;mso-width-relative:page;mso-height-relative:page;" filled="f" stroked="f" coordsize="21600,21600" o:gfxdata="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JZDwqrUAAAA&#10;CAEAAA8AAAAAAAAAAQAgAAAAIgAAAGRycy9kb3ducmV2LnhtbFBLAQIUABQAAAAIAIdO4kBzjmFh&#10;rwEAAFEDAAAOAAAAAAAAAAEAIAAAACMBAABkcnMvZTJvRG9jLnhtbFBLBQYAAAAABgAGAFkBAABE&#10;BQ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承包人采购材料和工程设备的责任</w:t>
                      </w:r>
                    </w:p>
                  </w:txbxContent>
                </v:textbox>
              </v:shape>
            </w:pict>
          </mc:Fallback>
        </mc:AlternateContent>
      </w:r>
      <w:r>
        <w:rPr>
          <w:rFonts w:hint="eastAsia" w:ascii="仿宋" w:hAnsi="仿宋" w:eastAsia="仿宋" w:cs="仿宋"/>
          <w:color w:val="auto"/>
          <w:sz w:val="24"/>
          <w:szCs w:val="24"/>
          <w:highlight w:val="none"/>
        </w:rPr>
        <w:t>承包人采购的材料和工程设备不符合标准与规范、设计要求和合同约定的要求时，应按照监理工程师的指令将其运出施工场地，重新采购符合要求的产品，由此增加的费用和（或）延误的工期由承包人承担。</w:t>
      </w:r>
    </w:p>
    <w:p>
      <w:pPr>
        <w:pStyle w:val="13"/>
        <w:shd w:val="clear" w:color="000000" w:fill="auto"/>
        <w:adjustRightInd w:val="0"/>
        <w:snapToGrid w:val="0"/>
        <w:spacing w:line="360" w:lineRule="auto"/>
        <w:ind w:firstLine="0"/>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49.4  </w:t>
      </w:r>
      <w:r>
        <w:rPr>
          <w:rFonts w:ascii="仿宋" w:hAnsi="仿宋" w:eastAsia="仿宋" w:cs="仿宋"/>
          <w:b/>
          <w:bCs/>
          <w:color w:val="auto"/>
          <w:sz w:val="24"/>
          <w:szCs w:val="24"/>
          <w:highlight w:val="none"/>
          <w:u w:val="dotted"/>
        </w:rPr>
        <w:t xml:space="preserve">                                                                                                        </w:t>
      </w:r>
    </w:p>
    <w:p>
      <w:pPr>
        <w:pStyle w:val="13"/>
        <w:shd w:val="clear" w:color="000000" w:fill="auto"/>
        <w:adjustRightInd w:val="0"/>
        <w:snapToGrid w:val="0"/>
        <w:spacing w:line="360" w:lineRule="auto"/>
        <w:ind w:left="1619" w:leftChars="771" w:firstLine="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58944" behindDoc="0" locked="0" layoutInCell="1" allowOverlap="1">
                <wp:simplePos x="0" y="0"/>
                <wp:positionH relativeFrom="column">
                  <wp:posOffset>-114300</wp:posOffset>
                </wp:positionH>
                <wp:positionV relativeFrom="paragraph">
                  <wp:posOffset>-5080</wp:posOffset>
                </wp:positionV>
                <wp:extent cx="914400" cy="792480"/>
                <wp:effectExtent l="0" t="0" r="0" b="0"/>
                <wp:wrapNone/>
                <wp:docPr id="196" name="文本框 200"/>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承包人使用采购的材料和工程设备的责任</w:t>
                            </w:r>
                          </w:p>
                        </w:txbxContent>
                      </wps:txbx>
                      <wps:bodyPr upright="1"/>
                    </wps:wsp>
                  </a:graphicData>
                </a:graphic>
              </wp:anchor>
            </w:drawing>
          </mc:Choice>
          <mc:Fallback>
            <w:pict>
              <v:shape id="文本框 200" o:spid="_x0000_s1026" o:spt="202" type="#_x0000_t202" style="position:absolute;left:0pt;margin-left:-9pt;margin-top:-0.4pt;height:62.4pt;width:72pt;z-index:251858944;mso-width-relative:page;mso-height-relative:page;" filled="f" stroked="f" coordsize="21600,21600" o:gfxdata="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jqri9QAAAAJ&#10;AQAADwAAAAAAAAABACAAAAAiAAAAZHJzL2Rvd25yZXYueG1sUEsBAhQAFAAAAAgAh07iQHV+zTeu&#10;AQAAUQMAAA4AAAAAAAAAAQAgAAAAIwEAAGRycy9lMm9Eb2MueG1sUEsFBgAAAAAGAAYAWQEAAEMF&#10;A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承包人使用采购的材料和工程设备的责任</w:t>
                      </w:r>
                    </w:p>
                  </w:txbxContent>
                </v:textbox>
              </v:shape>
            </w:pict>
          </mc:Fallback>
        </mc:AlternateContent>
      </w:r>
      <w:r>
        <w:rPr>
          <w:rFonts w:hint="eastAsia" w:ascii="仿宋" w:hAnsi="仿宋" w:eastAsia="仿宋" w:cs="仿宋"/>
          <w:color w:val="auto"/>
          <w:sz w:val="24"/>
          <w:szCs w:val="24"/>
          <w:highlight w:val="none"/>
        </w:rPr>
        <w:t>监理工程师发现承包人使用不符合标准与规范、设计要求和合同约定要求的材料和工程设备时，应迅速发出指令要求承包人立即停止使用，并拆除、修复或重新采购，由此增加的费用和（或）延误的工期由承包人承担。</w:t>
      </w:r>
    </w:p>
    <w:p>
      <w:pPr>
        <w:pStyle w:val="13"/>
        <w:shd w:val="clear" w:color="000000" w:fill="auto"/>
        <w:adjustRightInd w:val="0"/>
        <w:snapToGrid w:val="0"/>
        <w:spacing w:line="360" w:lineRule="auto"/>
        <w:ind w:firstLine="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59968" behindDoc="0" locked="0" layoutInCell="1" allowOverlap="1">
                <wp:simplePos x="0" y="0"/>
                <wp:positionH relativeFrom="column">
                  <wp:posOffset>-114300</wp:posOffset>
                </wp:positionH>
                <wp:positionV relativeFrom="paragraph">
                  <wp:posOffset>242570</wp:posOffset>
                </wp:positionV>
                <wp:extent cx="914400" cy="441960"/>
                <wp:effectExtent l="0" t="0" r="0" b="0"/>
                <wp:wrapNone/>
                <wp:docPr id="197" name="文本框 201"/>
                <wp:cNvGraphicFramePr/>
                <a:graphic xmlns:a="http://schemas.openxmlformats.org/drawingml/2006/main">
                  <a:graphicData uri="http://schemas.microsoft.com/office/word/2010/wordprocessingShape">
                    <wps:wsp>
                      <wps:cNvSpPr txBox="1"/>
                      <wps:spPr>
                        <a:xfrm>
                          <a:off x="0" y="0"/>
                          <a:ext cx="914400" cy="441960"/>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承包人不执行指令的责任</w:t>
                            </w:r>
                          </w:p>
                        </w:txbxContent>
                      </wps:txbx>
                      <wps:bodyPr upright="1"/>
                    </wps:wsp>
                  </a:graphicData>
                </a:graphic>
              </wp:anchor>
            </w:drawing>
          </mc:Choice>
          <mc:Fallback>
            <w:pict>
              <v:shape id="文本框 201" o:spid="_x0000_s1026" o:spt="202" type="#_x0000_t202" style="position:absolute;left:0pt;margin-left:-9pt;margin-top:19.1pt;height:34.8pt;width:72pt;z-index:251859968;mso-width-relative:page;mso-height-relative:page;" filled="f" stroked="f" coordsize="21600,21600" o:gfxdata="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L3eY1HX&#10;AAAACgEAAA8AAAAAAAAAAQAgAAAAIgAAAGRycy9kb3ducmV2LnhtbFBLAQIUABQAAAAIAIdO4kBb&#10;WMnNrwEAAFEDAAAOAAAAAAAAAAEAIAAAACYBAABkcnMvZTJvRG9jLnhtbFBLBQYAAAAABgAGAFkB&#10;AABHBQ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承包人不执行指令的责任</w:t>
                      </w:r>
                    </w:p>
                  </w:txbxContent>
                </v:textbox>
              </v:shape>
            </w:pict>
          </mc:Fallback>
        </mc:AlternateContent>
      </w:r>
      <w:r>
        <w:rPr>
          <w:rFonts w:ascii="仿宋" w:hAnsi="仿宋" w:eastAsia="仿宋" w:cs="仿宋"/>
          <w:b/>
          <w:bCs/>
          <w:color w:val="auto"/>
          <w:sz w:val="24"/>
          <w:szCs w:val="24"/>
          <w:highlight w:val="none"/>
        </w:rPr>
        <w:t xml:space="preserve">49.5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如果承包人不执行监理工程师依据第</w:t>
      </w:r>
      <w:r>
        <w:rPr>
          <w:rFonts w:ascii="仿宋" w:hAnsi="仿宋" w:eastAsia="仿宋" w:cs="仿宋"/>
          <w:color w:val="auto"/>
          <w:sz w:val="24"/>
          <w:szCs w:val="24"/>
          <w:highlight w:val="none"/>
        </w:rPr>
        <w:t>49.3</w:t>
      </w:r>
      <w:r>
        <w:rPr>
          <w:rFonts w:hint="eastAsia" w:ascii="仿宋" w:hAnsi="仿宋" w:eastAsia="仿宋" w:cs="仿宋"/>
          <w:color w:val="auto"/>
          <w:sz w:val="24"/>
          <w:szCs w:val="24"/>
          <w:highlight w:val="none"/>
        </w:rPr>
        <w:t>款和第</w:t>
      </w:r>
      <w:r>
        <w:rPr>
          <w:rFonts w:ascii="仿宋" w:hAnsi="仿宋" w:eastAsia="仿宋" w:cs="仿宋"/>
          <w:color w:val="auto"/>
          <w:sz w:val="24"/>
          <w:szCs w:val="24"/>
          <w:highlight w:val="none"/>
        </w:rPr>
        <w:t>49.4</w:t>
      </w:r>
      <w:r>
        <w:rPr>
          <w:rFonts w:hint="eastAsia" w:ascii="仿宋" w:hAnsi="仿宋" w:eastAsia="仿宋" w:cs="仿宋"/>
          <w:color w:val="auto"/>
          <w:sz w:val="24"/>
          <w:szCs w:val="24"/>
          <w:highlight w:val="none"/>
        </w:rPr>
        <w:t>款规定发出的指令</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则发包人可自行或委托第三方执行该指令，由此发生的费用由承包人承担。该笔款项经造价工程师核实后，由发包人从应付或将付给或将付给承包人的工程款中扣除。</w:t>
      </w:r>
    </w:p>
    <w:p>
      <w:pPr>
        <w:pStyle w:val="13"/>
        <w:shd w:val="clear" w:color="000000" w:fill="auto"/>
        <w:adjustRightInd w:val="0"/>
        <w:snapToGrid w:val="0"/>
        <w:spacing w:line="360" w:lineRule="auto"/>
        <w:ind w:firstLine="0"/>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49.6  </w:t>
      </w:r>
      <w:r>
        <w:rPr>
          <w:rFonts w:ascii="仿宋" w:hAnsi="仿宋" w:eastAsia="仿宋" w:cs="仿宋"/>
          <w:b/>
          <w:bCs/>
          <w:color w:val="auto"/>
          <w:sz w:val="24"/>
          <w:szCs w:val="24"/>
          <w:highlight w:val="none"/>
          <w:u w:val="dotted"/>
        </w:rPr>
        <w:t xml:space="preserve">                                                                                                       </w:t>
      </w:r>
      <w:r>
        <w:rPr>
          <w:rFonts w:ascii="仿宋" w:hAnsi="仿宋" w:eastAsia="仿宋" w:cs="仿宋"/>
          <w:b/>
          <w:bCs/>
          <w:color w:val="auto"/>
          <w:sz w:val="24"/>
          <w:szCs w:val="24"/>
          <w:highlight w:val="none"/>
        </w:rPr>
        <w:t xml:space="preserve"> </w:t>
      </w:r>
    </w:p>
    <w:p>
      <w:pPr>
        <w:pStyle w:val="13"/>
        <w:shd w:val="clear" w:color="000000" w:fill="auto"/>
        <w:tabs>
          <w:tab w:val="left" w:pos="1260"/>
        </w:tabs>
        <w:adjustRightInd w:val="0"/>
        <w:snapToGrid w:val="0"/>
        <w:spacing w:line="360" w:lineRule="auto"/>
        <w:ind w:left="1619" w:leftChars="771" w:firstLine="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60992" behindDoc="0" locked="0" layoutInCell="1" allowOverlap="1">
                <wp:simplePos x="0" y="0"/>
                <wp:positionH relativeFrom="column">
                  <wp:posOffset>-114300</wp:posOffset>
                </wp:positionH>
                <wp:positionV relativeFrom="paragraph">
                  <wp:posOffset>45720</wp:posOffset>
                </wp:positionV>
                <wp:extent cx="914400" cy="410845"/>
                <wp:effectExtent l="0" t="0" r="0" b="0"/>
                <wp:wrapNone/>
                <wp:docPr id="198" name="文本框 202"/>
                <wp:cNvGraphicFramePr/>
                <a:graphic xmlns:a="http://schemas.openxmlformats.org/drawingml/2006/main">
                  <a:graphicData uri="http://schemas.microsoft.com/office/word/2010/wordprocessingShape">
                    <wps:wsp>
                      <wps:cNvSpPr txBox="1"/>
                      <wps:spPr>
                        <a:xfrm>
                          <a:off x="0" y="0"/>
                          <a:ext cx="914400" cy="410845"/>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使用替换材料的申请与批准</w:t>
                            </w:r>
                          </w:p>
                        </w:txbxContent>
                      </wps:txbx>
                      <wps:bodyPr upright="1"/>
                    </wps:wsp>
                  </a:graphicData>
                </a:graphic>
              </wp:anchor>
            </w:drawing>
          </mc:Choice>
          <mc:Fallback>
            <w:pict>
              <v:shape id="文本框 202" o:spid="_x0000_s1026" o:spt="202" type="#_x0000_t202" style="position:absolute;left:0pt;margin-left:-9pt;margin-top:3.6pt;height:32.35pt;width:72pt;z-index:251860992;mso-width-relative:page;mso-height-relative:page;" filled="f" stroked="f" coordsize="21600,21600" o:gfxdata="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R/6zdtQAAAAI&#10;AQAADwAAAAAAAAABACAAAAAiAAAAZHJzL2Rvd25yZXYueG1sUEsBAhQAFAAAAAgAh07iQIygbAyu&#10;AQAAUQMAAA4AAAAAAAAAAQAgAAAAIwEAAGRycy9lMm9Eb2MueG1sUEsFBgAAAAAGAAYAWQEAAEMF&#10;A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使用替换材料的申请与批准</w:t>
                      </w:r>
                    </w:p>
                  </w:txbxContent>
                </v:textbox>
              </v:shape>
            </w:pict>
          </mc:Fallback>
        </mc:AlternateContent>
      </w:r>
      <w:r>
        <w:rPr>
          <w:rFonts w:hint="eastAsia" w:ascii="仿宋" w:hAnsi="仿宋" w:eastAsia="仿宋" w:cs="仿宋"/>
          <w:color w:val="auto"/>
          <w:sz w:val="24"/>
          <w:szCs w:val="24"/>
          <w:highlight w:val="none"/>
        </w:rPr>
        <w:t>承包人需要使用替换材料的，应经监理工程师同意并由其报发包人批准后方可实施，由此引起合同价款的增减由造价工程师与合同双方当事人协商确定；协商不能达成一致的，由造价工程师暂定，通知承包人并抄报发包人。</w:t>
      </w:r>
    </w:p>
    <w:p>
      <w:pPr>
        <w:pStyle w:val="13"/>
        <w:shd w:val="clear" w:color="000000" w:fill="auto"/>
        <w:adjustRightInd w:val="0"/>
        <w:snapToGrid w:val="0"/>
        <w:spacing w:line="360" w:lineRule="auto"/>
        <w:ind w:firstLine="0"/>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49.7  </w:t>
      </w:r>
      <w:r>
        <w:rPr>
          <w:rFonts w:ascii="仿宋" w:hAnsi="仿宋" w:eastAsia="仿宋" w:cs="仿宋"/>
          <w:b/>
          <w:bCs/>
          <w:color w:val="auto"/>
          <w:sz w:val="24"/>
          <w:szCs w:val="24"/>
          <w:highlight w:val="none"/>
          <w:u w:val="dotted"/>
        </w:rPr>
        <w:t xml:space="preserve">                                                                                                       </w:t>
      </w:r>
    </w:p>
    <w:p>
      <w:pPr>
        <w:pStyle w:val="13"/>
        <w:shd w:val="clear" w:color="000000" w:fill="auto"/>
        <w:tabs>
          <w:tab w:val="left" w:pos="1800"/>
        </w:tabs>
        <w:adjustRightInd w:val="0"/>
        <w:snapToGrid w:val="0"/>
        <w:spacing w:before="120" w:beforeLines="50" w:line="360" w:lineRule="auto"/>
        <w:ind w:left="1619" w:leftChars="771" w:firstLine="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62016" behindDoc="0" locked="0" layoutInCell="1" allowOverlap="1">
                <wp:simplePos x="0" y="0"/>
                <wp:positionH relativeFrom="column">
                  <wp:posOffset>-114300</wp:posOffset>
                </wp:positionH>
                <wp:positionV relativeFrom="paragraph">
                  <wp:posOffset>30480</wp:posOffset>
                </wp:positionV>
                <wp:extent cx="914400" cy="819150"/>
                <wp:effectExtent l="0" t="0" r="0" b="0"/>
                <wp:wrapNone/>
                <wp:docPr id="199" name="文本框 203"/>
                <wp:cNvGraphicFramePr/>
                <a:graphic xmlns:a="http://schemas.openxmlformats.org/drawingml/2006/main">
                  <a:graphicData uri="http://schemas.microsoft.com/office/word/2010/wordprocessingShape">
                    <wps:wsp>
                      <wps:cNvSpPr txBox="1"/>
                      <wps:spPr>
                        <a:xfrm>
                          <a:off x="0" y="0"/>
                          <a:ext cx="914400" cy="819150"/>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采购材料和工程设备使用前的检验</w:t>
                            </w:r>
                          </w:p>
                        </w:txbxContent>
                      </wps:txbx>
                      <wps:bodyPr upright="1"/>
                    </wps:wsp>
                  </a:graphicData>
                </a:graphic>
              </wp:anchor>
            </w:drawing>
          </mc:Choice>
          <mc:Fallback>
            <w:pict>
              <v:shape id="文本框 203" o:spid="_x0000_s1026" o:spt="202" type="#_x0000_t202" style="position:absolute;left:0pt;margin-left:-9pt;margin-top:2.4pt;height:64.5pt;width:72pt;z-index:251862016;mso-width-relative:page;mso-height-relative:page;" filled="f" stroked="f" coordsize="21600,21600" o:gfxdata="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b/bPc9YA&#10;AAAJAQAADwAAAAAAAAABACAAAAAiAAAAZHJzL2Rvd25yZXYueG1sUEsBAhQAFAAAAAgAh07iQI3u&#10;z9+vAQAAUQMAAA4AAAAAAAAAAQAgAAAAJQEAAGRycy9lMm9Eb2MueG1sUEsFBgAAAAAGAAYAWQEA&#10;AEYFA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采购材料和工程设备使用前的检验</w:t>
                      </w:r>
                    </w:p>
                  </w:txbxContent>
                </v:textbox>
              </v:shape>
            </w:pict>
          </mc:Fallback>
        </mc:AlternateContent>
      </w:r>
      <w:r>
        <w:rPr>
          <w:rFonts w:hint="eastAsia" w:ascii="仿宋" w:hAnsi="仿宋" w:eastAsia="仿宋" w:cs="仿宋"/>
          <w:color w:val="auto"/>
          <w:sz w:val="24"/>
          <w:szCs w:val="24"/>
          <w:highlight w:val="none"/>
        </w:rPr>
        <w:t>承包人采购的材料和工程设备在使用前，应会同监理工程师进行检验试验，查验材料合格证明和产品合格证书。合同双方当事人应做好检验书面记录，并要求指定人选及时办理签认手续。不合格的，禁止在合同工程中使用。</w:t>
      </w:r>
    </w:p>
    <w:p>
      <w:pPr>
        <w:pStyle w:val="13"/>
        <w:shd w:val="clear" w:color="000000" w:fill="auto"/>
        <w:adjustRightInd w:val="0"/>
        <w:snapToGrid w:val="0"/>
        <w:spacing w:line="360" w:lineRule="auto"/>
        <w:ind w:firstLine="0"/>
        <w:rPr>
          <w:rFonts w:ascii="仿宋" w:hAnsi="仿宋" w:eastAsia="仿宋"/>
          <w:b/>
          <w:bCs/>
          <w:color w:val="auto"/>
          <w:sz w:val="24"/>
          <w:szCs w:val="24"/>
          <w:highlight w:val="none"/>
        </w:rPr>
      </w:pPr>
      <w:r>
        <w:rPr>
          <w:color w:val="auto"/>
          <w:highlight w:val="none"/>
        </w:rPr>
        <mc:AlternateContent>
          <mc:Choice Requires="wps">
            <w:drawing>
              <wp:anchor distT="0" distB="0" distL="114300" distR="114300" simplePos="0" relativeHeight="251863040" behindDoc="0" locked="0" layoutInCell="1" allowOverlap="1">
                <wp:simplePos x="0" y="0"/>
                <wp:positionH relativeFrom="column">
                  <wp:posOffset>-114300</wp:posOffset>
                </wp:positionH>
                <wp:positionV relativeFrom="paragraph">
                  <wp:posOffset>207010</wp:posOffset>
                </wp:positionV>
                <wp:extent cx="914400" cy="711835"/>
                <wp:effectExtent l="0" t="0" r="0" b="0"/>
                <wp:wrapNone/>
                <wp:docPr id="200" name="文本框 204"/>
                <wp:cNvGraphicFramePr/>
                <a:graphic xmlns:a="http://schemas.openxmlformats.org/drawingml/2006/main">
                  <a:graphicData uri="http://schemas.microsoft.com/office/word/2010/wordprocessingShape">
                    <wps:wsp>
                      <wps:cNvSpPr txBox="1"/>
                      <wps:spPr>
                        <a:xfrm>
                          <a:off x="0" y="0"/>
                          <a:ext cx="914400" cy="711835"/>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禁止指定采购材料和工程设备</w:t>
                            </w:r>
                          </w:p>
                        </w:txbxContent>
                      </wps:txbx>
                      <wps:bodyPr upright="1"/>
                    </wps:wsp>
                  </a:graphicData>
                </a:graphic>
              </wp:anchor>
            </w:drawing>
          </mc:Choice>
          <mc:Fallback>
            <w:pict>
              <v:shape id="文本框 204" o:spid="_x0000_s1026" o:spt="202" type="#_x0000_t202" style="position:absolute;left:0pt;margin-left:-9pt;margin-top:16.3pt;height:56.05pt;width:72pt;z-index:251863040;mso-width-relative:page;mso-height-relative:page;" filled="f" stroked="f" coordsize="21600,21600" o:gfxdata="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rlD+ttcA&#10;AAAKAQAADwAAAAAAAAABACAAAAAiAAAAZHJzL2Rvd25yZXYueG1sUEsBAhQAFAAAAAgAh07iQBuB&#10;4oCuAQAAUQMAAA4AAAAAAAAAAQAgAAAAJgEAAGRycy9lMm9Eb2MueG1sUEsFBgAAAAAGAAYAWQEA&#10;AEYFA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禁止指定采购材料和工程设备</w:t>
                      </w:r>
                    </w:p>
                  </w:txbxContent>
                </v:textbox>
              </v:shape>
            </w:pict>
          </mc:Fallback>
        </mc:AlternateContent>
      </w:r>
      <w:r>
        <w:rPr>
          <w:rFonts w:ascii="仿宋" w:hAnsi="仿宋" w:eastAsia="仿宋" w:cs="仿宋"/>
          <w:b/>
          <w:bCs/>
          <w:color w:val="auto"/>
          <w:sz w:val="24"/>
          <w:szCs w:val="24"/>
          <w:highlight w:val="none"/>
        </w:rPr>
        <w:t xml:space="preserve">49.8  </w:t>
      </w:r>
      <w:r>
        <w:rPr>
          <w:rFonts w:ascii="仿宋" w:hAnsi="仿宋" w:eastAsia="仿宋" w:cs="仿宋"/>
          <w:b/>
          <w:bCs/>
          <w:color w:val="auto"/>
          <w:sz w:val="24"/>
          <w:szCs w:val="24"/>
          <w:highlight w:val="none"/>
          <w:u w:val="dotted"/>
        </w:rPr>
        <w:t xml:space="preserve">                                                                                                        </w:t>
      </w:r>
    </w:p>
    <w:p>
      <w:pPr>
        <w:pStyle w:val="13"/>
        <w:shd w:val="clear" w:color="000000" w:fill="auto"/>
        <w:adjustRightInd w:val="0"/>
        <w:snapToGrid w:val="0"/>
        <w:spacing w:line="360" w:lineRule="auto"/>
        <w:ind w:left="1619" w:leftChars="771" w:firstLine="0"/>
        <w:rPr>
          <w:rFonts w:ascii="仿宋" w:hAnsi="仿宋" w:eastAsia="仿宋"/>
          <w:color w:val="auto"/>
          <w:sz w:val="24"/>
          <w:szCs w:val="24"/>
          <w:highlight w:val="none"/>
        </w:rPr>
      </w:pPr>
      <w:r>
        <w:rPr>
          <w:rFonts w:hint="eastAsia" w:ascii="仿宋" w:hAnsi="仿宋" w:eastAsia="仿宋" w:cs="仿宋"/>
          <w:color w:val="auto"/>
          <w:sz w:val="24"/>
          <w:szCs w:val="24"/>
          <w:highlight w:val="none"/>
        </w:rPr>
        <w:t>承包人采购材料和工程设备的，除专用条款另有约定外，发包人不得指定生产厂家或供应商。</w:t>
      </w:r>
    </w:p>
    <w:p>
      <w:pPr>
        <w:pStyle w:val="13"/>
        <w:shd w:val="clear" w:color="000000" w:fill="auto"/>
        <w:adjustRightInd w:val="0"/>
        <w:snapToGrid w:val="0"/>
        <w:ind w:firstLine="0"/>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
        <w:shd w:val="clear" w:color="000000" w:fill="auto"/>
        <w:tabs>
          <w:tab w:val="left" w:pos="540"/>
        </w:tabs>
        <w:adjustRightInd w:val="0"/>
        <w:snapToGrid w:val="0"/>
        <w:spacing w:before="240" w:beforeLines="100"/>
        <w:outlineLvl w:val="2"/>
        <w:rPr>
          <w:rFonts w:ascii="仿宋" w:hAnsi="仿宋" w:eastAsia="仿宋" w:cs="Times New Roman"/>
          <w:b/>
          <w:bCs/>
          <w:color w:val="auto"/>
          <w:sz w:val="24"/>
          <w:szCs w:val="24"/>
          <w:highlight w:val="none"/>
        </w:rPr>
      </w:pPr>
      <w:bookmarkStart w:id="275" w:name="_Toc27152"/>
      <w:bookmarkStart w:id="276" w:name="_Toc10624873"/>
      <w:bookmarkStart w:id="277" w:name="_Toc469384033"/>
      <w:r>
        <w:rPr>
          <w:rFonts w:ascii="仿宋" w:hAnsi="仿宋" w:eastAsia="仿宋" w:cs="仿宋"/>
          <w:b/>
          <w:bCs/>
          <w:color w:val="auto"/>
          <w:sz w:val="24"/>
          <w:szCs w:val="24"/>
          <w:highlight w:val="none"/>
        </w:rPr>
        <w:t xml:space="preserve">50  </w:t>
      </w:r>
      <w:r>
        <w:rPr>
          <w:rFonts w:hint="eastAsia" w:ascii="仿宋" w:hAnsi="仿宋" w:eastAsia="仿宋" w:cs="仿宋"/>
          <w:b/>
          <w:bCs/>
          <w:color w:val="auto"/>
          <w:sz w:val="24"/>
          <w:szCs w:val="24"/>
          <w:highlight w:val="none"/>
        </w:rPr>
        <w:t>材料和工程设备的检验试验</w:t>
      </w:r>
      <w:bookmarkEnd w:id="275"/>
      <w:bookmarkEnd w:id="276"/>
      <w:bookmarkEnd w:id="277"/>
    </w:p>
    <w:p>
      <w:pPr>
        <w:pStyle w:val="13"/>
        <w:shd w:val="clear" w:color="000000" w:fill="auto"/>
        <w:adjustRightInd w:val="0"/>
        <w:snapToGrid w:val="0"/>
        <w:spacing w:line="360" w:lineRule="auto"/>
        <w:ind w:firstLine="0"/>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50.1</w:t>
      </w:r>
    </w:p>
    <w:p>
      <w:pPr>
        <w:pStyle w:val="13"/>
        <w:shd w:val="clear" w:color="000000" w:fill="auto"/>
        <w:adjustRightInd w:val="0"/>
        <w:snapToGrid w:val="0"/>
        <w:spacing w:line="360" w:lineRule="auto"/>
        <w:ind w:left="1619" w:leftChars="771" w:firstLine="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64064" behindDoc="0" locked="0" layoutInCell="1" allowOverlap="1">
                <wp:simplePos x="0" y="0"/>
                <wp:positionH relativeFrom="column">
                  <wp:posOffset>-114300</wp:posOffset>
                </wp:positionH>
                <wp:positionV relativeFrom="paragraph">
                  <wp:posOffset>635</wp:posOffset>
                </wp:positionV>
                <wp:extent cx="914400" cy="506095"/>
                <wp:effectExtent l="0" t="0" r="0" b="0"/>
                <wp:wrapNone/>
                <wp:docPr id="201" name="文本框 205"/>
                <wp:cNvGraphicFramePr/>
                <a:graphic xmlns:a="http://schemas.openxmlformats.org/drawingml/2006/main">
                  <a:graphicData uri="http://schemas.microsoft.com/office/word/2010/wordprocessingShape">
                    <wps:wsp>
                      <wps:cNvSpPr txBox="1"/>
                      <wps:spPr>
                        <a:xfrm>
                          <a:off x="0" y="0"/>
                          <a:ext cx="914400" cy="506095"/>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进入现场检验试验</w:t>
                            </w:r>
                          </w:p>
                        </w:txbxContent>
                      </wps:txbx>
                      <wps:bodyPr upright="1"/>
                    </wps:wsp>
                  </a:graphicData>
                </a:graphic>
              </wp:anchor>
            </w:drawing>
          </mc:Choice>
          <mc:Fallback>
            <w:pict>
              <v:shape id="文本框 205" o:spid="_x0000_s1026" o:spt="202" type="#_x0000_t202" style="position:absolute;left:0pt;margin-left:-9pt;margin-top:0.05pt;height:39.85pt;width:72pt;z-index:251864064;mso-width-relative:page;mso-height-relative:page;" filled="f" stroked="f" coordsize="21600,21600" o:gfxdata="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MZJPrfUAAAA&#10;BwEAAA8AAAAAAAAAAQAgAAAAIgAAAGRycy9kb3ducmV2LnhtbFBLAQIUABQAAAAIAIdO4kCzkcSk&#10;rwEAAFEDAAAOAAAAAAAAAAEAIAAAACMBAABkcnMvZTJvRG9jLnhtbFBLBQYAAAAABgAGAFkBAABE&#10;BQ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进入现场检验试验</w:t>
                      </w:r>
                    </w:p>
                  </w:txbxContent>
                </v:textbox>
              </v:shape>
            </w:pict>
          </mc:Fallback>
        </mc:AlternateContent>
      </w:r>
      <w:r>
        <w:rPr>
          <w:rFonts w:hint="eastAsia" w:ascii="仿宋" w:hAnsi="仿宋" w:eastAsia="仿宋" w:cs="仿宋"/>
          <w:color w:val="auto"/>
          <w:sz w:val="24"/>
          <w:szCs w:val="24"/>
          <w:highlight w:val="none"/>
        </w:rPr>
        <w:t>监理工程师及其委派的代表可进入施工场地、材料和工程设备的制造、加工或制配车间等场所参加材料和工程设备等产品的检验试验。承包人应为他们进入上述场所及开展相关工作提供便利和协助。</w:t>
      </w:r>
    </w:p>
    <w:p>
      <w:pPr>
        <w:pStyle w:val="13"/>
        <w:shd w:val="clear" w:color="000000" w:fill="auto"/>
        <w:tabs>
          <w:tab w:val="left" w:pos="360"/>
          <w:tab w:val="left" w:pos="720"/>
        </w:tabs>
        <w:adjustRightInd w:val="0"/>
        <w:snapToGrid w:val="0"/>
        <w:spacing w:line="360" w:lineRule="auto"/>
        <w:ind w:firstLine="0"/>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50.2  </w:t>
      </w:r>
      <w:r>
        <w:rPr>
          <w:rFonts w:ascii="仿宋" w:hAnsi="仿宋" w:eastAsia="仿宋" w:cs="仿宋"/>
          <w:b/>
          <w:bCs/>
          <w:color w:val="auto"/>
          <w:sz w:val="24"/>
          <w:szCs w:val="24"/>
          <w:highlight w:val="none"/>
          <w:u w:val="dotted"/>
        </w:rPr>
        <w:t xml:space="preserve">                                                                              </w:t>
      </w:r>
    </w:p>
    <w:p>
      <w:pPr>
        <w:shd w:val="clear" w:color="000000" w:fill="auto"/>
        <w:rPr>
          <w:color w:val="auto"/>
          <w:highlight w:val="none"/>
        </w:rPr>
      </w:pPr>
      <w:r>
        <w:rPr>
          <w:color w:val="auto"/>
          <w:highlight w:val="none"/>
        </w:rPr>
        <mc:AlternateContent>
          <mc:Choice Requires="wps">
            <w:drawing>
              <wp:anchor distT="0" distB="0" distL="114300" distR="114300" simplePos="0" relativeHeight="251865088" behindDoc="0" locked="0" layoutInCell="1" allowOverlap="1">
                <wp:simplePos x="0" y="0"/>
                <wp:positionH relativeFrom="column">
                  <wp:posOffset>-114300</wp:posOffset>
                </wp:positionH>
                <wp:positionV relativeFrom="paragraph">
                  <wp:posOffset>154305</wp:posOffset>
                </wp:positionV>
                <wp:extent cx="914400" cy="572770"/>
                <wp:effectExtent l="0" t="0" r="0" b="0"/>
                <wp:wrapNone/>
                <wp:docPr id="202" name="文本框 206"/>
                <wp:cNvGraphicFramePr/>
                <a:graphic xmlns:a="http://schemas.openxmlformats.org/drawingml/2006/main">
                  <a:graphicData uri="http://schemas.microsoft.com/office/word/2010/wordprocessingShape">
                    <wps:wsp>
                      <wps:cNvSpPr txBox="1"/>
                      <wps:spPr>
                        <a:xfrm>
                          <a:off x="0" y="0"/>
                          <a:ext cx="914400" cy="572770"/>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材料和工程设备的见证取样与不见证取样检验试验</w:t>
                            </w:r>
                          </w:p>
                        </w:txbxContent>
                      </wps:txbx>
                      <wps:bodyPr upright="1"/>
                    </wps:wsp>
                  </a:graphicData>
                </a:graphic>
              </wp:anchor>
            </w:drawing>
          </mc:Choice>
          <mc:Fallback>
            <w:pict>
              <v:shape id="文本框 206" o:spid="_x0000_s1026" o:spt="202" type="#_x0000_t202" style="position:absolute;left:0pt;margin-left:-9pt;margin-top:12.15pt;height:45.1pt;width:72pt;z-index:251865088;mso-width-relative:page;mso-height-relative:page;" filled="f" stroked="f" coordsize="21600,21600" o:gfxdata="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vZuT&#10;dNgAAAAKAQAADwAAAAAAAAABACAAAAAiAAAAZHJzL2Rvd25yZXYueG1sUEsBAhQAFAAAAAgAh07i&#10;QGD5LCKwAQAAUQMAAA4AAAAAAAAAAQAgAAAAJwEAAGRycy9lMm9Eb2MueG1sUEsFBgAAAAAGAAYA&#10;WQEAAEkFA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材料和工程设备的见证取样与不见证取样检验试验</w:t>
                      </w:r>
                    </w:p>
                  </w:txbxContent>
                </v:textbox>
              </v:shape>
            </w:pict>
          </mc:Fallback>
        </mc:AlternateContent>
      </w:r>
    </w:p>
    <w:p>
      <w:pPr>
        <w:pStyle w:val="13"/>
        <w:shd w:val="clear" w:color="000000" w:fill="auto"/>
        <w:adjustRightInd w:val="0"/>
        <w:snapToGrid w:val="0"/>
        <w:spacing w:line="360" w:lineRule="auto"/>
        <w:ind w:left="1619" w:leftChars="771" w:firstLine="0"/>
        <w:rPr>
          <w:rFonts w:ascii="仿宋" w:hAnsi="仿宋" w:eastAsia="仿宋"/>
          <w:color w:val="auto"/>
          <w:sz w:val="24"/>
          <w:szCs w:val="24"/>
          <w:highlight w:val="none"/>
        </w:rPr>
      </w:pPr>
      <w:r>
        <w:rPr>
          <w:rFonts w:hint="eastAsia" w:ascii="仿宋" w:hAnsi="仿宋" w:eastAsia="仿宋" w:cs="仿宋"/>
          <w:color w:val="auto"/>
          <w:sz w:val="24"/>
          <w:szCs w:val="24"/>
          <w:highlight w:val="none"/>
        </w:rPr>
        <w:t>材料和工程设备等产品的检验试验，包括见证取样和不见证取样两种情形：</w:t>
      </w:r>
    </w:p>
    <w:p>
      <w:pPr>
        <w:pStyle w:val="13"/>
        <w:shd w:val="clear" w:color="000000" w:fill="auto"/>
        <w:adjustRightInd w:val="0"/>
        <w:snapToGrid w:val="0"/>
        <w:spacing w:line="360" w:lineRule="auto"/>
        <w:ind w:left="1619" w:leftChars="771" w:firstLine="0"/>
        <w:rPr>
          <w:rFonts w:ascii="仿宋" w:hAnsi="仿宋" w:eastAsia="仿宋"/>
          <w:color w:val="auto"/>
          <w:sz w:val="24"/>
          <w:szCs w:val="24"/>
          <w:highlight w:val="none"/>
        </w:rPr>
      </w:pP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标准与规范、涉及结构安全有要求或合同有约定进行见证取样检验试验的材料和工程设备等产品，承包人应在取样前至少提前</w:t>
      </w:r>
      <w:r>
        <w:rPr>
          <w:rFonts w:ascii="仿宋" w:hAnsi="仿宋" w:eastAsia="仿宋" w:cs="仿宋"/>
          <w:color w:val="auto"/>
          <w:sz w:val="24"/>
          <w:szCs w:val="24"/>
          <w:highlight w:val="none"/>
        </w:rPr>
        <w:t>24</w:t>
      </w:r>
      <w:r>
        <w:rPr>
          <w:rFonts w:hint="eastAsia" w:ascii="仿宋" w:hAnsi="仿宋" w:eastAsia="仿宋" w:cs="仿宋"/>
          <w:color w:val="auto"/>
          <w:sz w:val="24"/>
          <w:szCs w:val="24"/>
          <w:highlight w:val="none"/>
        </w:rPr>
        <w:t>小时通知监理工程师参加，并在监理工程师的见证下现场取样，同时送至具有相应资质等级的质量检测机构进行检验试验。</w:t>
      </w:r>
    </w:p>
    <w:p>
      <w:pPr>
        <w:pStyle w:val="13"/>
        <w:shd w:val="clear" w:color="000000" w:fill="auto"/>
        <w:adjustRightInd w:val="0"/>
        <w:snapToGrid w:val="0"/>
        <w:spacing w:line="360" w:lineRule="auto"/>
        <w:ind w:left="1619" w:leftChars="771" w:firstLine="0"/>
        <w:rPr>
          <w:rFonts w:ascii="仿宋" w:hAnsi="仿宋" w:eastAsia="仿宋"/>
          <w:color w:val="auto"/>
          <w:sz w:val="24"/>
          <w:szCs w:val="24"/>
          <w:highlight w:val="none"/>
        </w:rPr>
      </w:pP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标准与规范没要求或合同没约定进行见证取样检验试验的材料和工程设备等产品，承包人和监理工程师应按照合同约定进行材料和工程设备等产品的检验试验。承包人和监理工程师应事先协商确定检验试验的时间和地点，并按时到场参加检验试验。如果监理工程师或其委派的代表不能按时到场参加的，监理工程师应至少提前</w:t>
      </w:r>
      <w:r>
        <w:rPr>
          <w:rFonts w:ascii="仿宋" w:hAnsi="仿宋" w:eastAsia="仿宋" w:cs="仿宋"/>
          <w:color w:val="auto"/>
          <w:sz w:val="24"/>
          <w:szCs w:val="24"/>
          <w:highlight w:val="none"/>
        </w:rPr>
        <w:t>24</w:t>
      </w:r>
      <w:r>
        <w:rPr>
          <w:rFonts w:hint="eastAsia" w:ascii="仿宋" w:hAnsi="仿宋" w:eastAsia="仿宋" w:cs="仿宋"/>
          <w:color w:val="auto"/>
          <w:sz w:val="24"/>
          <w:szCs w:val="24"/>
          <w:highlight w:val="none"/>
        </w:rPr>
        <w:t>小时发出延期检验试验指令并书面说明理由，延期不得超过</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小时。如果监理工程师或其委派的代表未发出延期指令也未能按时到场检验试验，承包人可自行检验试验，并认为该检验试验是经监理工程师同意下完成的；检验试验完成后，承包人应立即向监理工程师提交检验试验结果的有效证据，监理工程师应予认可。</w:t>
      </w:r>
    </w:p>
    <w:p>
      <w:pPr>
        <w:pStyle w:val="13"/>
        <w:shd w:val="clear" w:color="000000" w:fill="auto"/>
        <w:adjustRightInd w:val="0"/>
        <w:snapToGrid w:val="0"/>
        <w:spacing w:line="360" w:lineRule="auto"/>
        <w:ind w:left="1619" w:leftChars="1" w:hanging="1617" w:hangingChars="671"/>
        <w:rPr>
          <w:rFonts w:ascii="仿宋" w:hAnsi="仿宋" w:eastAsia="仿宋"/>
          <w:color w:val="auto"/>
          <w:sz w:val="24"/>
          <w:szCs w:val="24"/>
          <w:highlight w:val="none"/>
        </w:rPr>
      </w:pPr>
      <w:r>
        <w:rPr>
          <w:rFonts w:ascii="仿宋" w:hAnsi="仿宋" w:eastAsia="仿宋" w:cs="仿宋"/>
          <w:b/>
          <w:bCs/>
          <w:color w:val="auto"/>
          <w:sz w:val="24"/>
          <w:szCs w:val="24"/>
          <w:highlight w:val="none"/>
        </w:rPr>
        <w:t xml:space="preserve">50.3 </w:t>
      </w:r>
      <w:r>
        <w:rPr>
          <w:rFonts w:ascii="仿宋" w:hAnsi="仿宋" w:eastAsia="仿宋" w:cs="仿宋"/>
          <w:b/>
          <w:bCs/>
          <w:color w:val="auto"/>
          <w:sz w:val="24"/>
          <w:szCs w:val="24"/>
          <w:highlight w:val="none"/>
          <w:u w:val="dotted"/>
        </w:rPr>
        <w:t xml:space="preserve">                                                                               </w:t>
      </w:r>
    </w:p>
    <w:p>
      <w:pPr>
        <w:pStyle w:val="13"/>
        <w:shd w:val="clear" w:color="000000" w:fill="auto"/>
        <w:adjustRightInd w:val="0"/>
        <w:snapToGrid w:val="0"/>
        <w:spacing w:line="360" w:lineRule="auto"/>
        <w:ind w:left="1575" w:leftChars="750" w:firstLine="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66112" behindDoc="0" locked="0" layoutInCell="1" allowOverlap="1">
                <wp:simplePos x="0" y="0"/>
                <wp:positionH relativeFrom="column">
                  <wp:posOffset>-66675</wp:posOffset>
                </wp:positionH>
                <wp:positionV relativeFrom="paragraph">
                  <wp:posOffset>11430</wp:posOffset>
                </wp:positionV>
                <wp:extent cx="914400" cy="557530"/>
                <wp:effectExtent l="0" t="0" r="0" b="0"/>
                <wp:wrapNone/>
                <wp:docPr id="203" name="文本框 207"/>
                <wp:cNvGraphicFramePr/>
                <a:graphic xmlns:a="http://schemas.openxmlformats.org/drawingml/2006/main">
                  <a:graphicData uri="http://schemas.microsoft.com/office/word/2010/wordprocessingShape">
                    <wps:wsp>
                      <wps:cNvSpPr txBox="1"/>
                      <wps:spPr>
                        <a:xfrm>
                          <a:off x="0" y="0"/>
                          <a:ext cx="914400" cy="557530"/>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材料和工程设备的使用</w:t>
                            </w:r>
                          </w:p>
                        </w:txbxContent>
                      </wps:txbx>
                      <wps:bodyPr upright="1"/>
                    </wps:wsp>
                  </a:graphicData>
                </a:graphic>
              </wp:anchor>
            </w:drawing>
          </mc:Choice>
          <mc:Fallback>
            <w:pict>
              <v:shape id="文本框 207" o:spid="_x0000_s1026" o:spt="202" type="#_x0000_t202" style="position:absolute;left:0pt;margin-left:-5.25pt;margin-top:0.9pt;height:43.9pt;width:72pt;z-index:251866112;mso-width-relative:page;mso-height-relative:page;" filled="f" stroked="f" coordsize="21600,21600" o:gfxdata="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3h+lsNQA&#10;AAAIAQAADwAAAAAAAAABACAAAAAiAAAAZHJzL2Rvd25yZXYueG1sUEsBAhQAFAAAAAgAh07iQJgx&#10;FXGxAQAAUQMAAA4AAAAAAAAAAQAgAAAAIwEAAGRycy9lMm9Eb2MueG1sUEsFBgAAAAAGAAYAWQEA&#10;AEYFA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材料和工程设备的使用</w:t>
                      </w:r>
                    </w:p>
                  </w:txbxContent>
                </v:textbox>
              </v:shape>
            </w:pict>
          </mc:Fallback>
        </mc:AlternateContent>
      </w:r>
      <w:r>
        <w:rPr>
          <w:rFonts w:hint="eastAsia" w:ascii="仿宋" w:hAnsi="仿宋" w:eastAsia="仿宋" w:cs="仿宋"/>
          <w:color w:val="auto"/>
          <w:sz w:val="24"/>
          <w:szCs w:val="24"/>
          <w:highlight w:val="none"/>
        </w:rPr>
        <w:t>材料和工程设备等产品检验试验合格的，可在合同工程中使用。材料和工程设备等产品检验试验不合格的，禁止在合同工程中使用，并及时清出施工场地。</w:t>
      </w:r>
    </w:p>
    <w:p>
      <w:pPr>
        <w:pStyle w:val="13"/>
        <w:shd w:val="clear" w:color="000000" w:fill="auto"/>
        <w:tabs>
          <w:tab w:val="left" w:pos="540"/>
        </w:tabs>
        <w:adjustRightInd w:val="0"/>
        <w:snapToGrid w:val="0"/>
        <w:spacing w:line="360" w:lineRule="auto"/>
        <w:ind w:firstLine="0"/>
        <w:rPr>
          <w:rFonts w:ascii="仿宋" w:hAnsi="仿宋" w:eastAsia="仿宋"/>
          <w:color w:val="auto"/>
          <w:sz w:val="24"/>
          <w:szCs w:val="24"/>
          <w:highlight w:val="none"/>
          <w:u w:val="dotted"/>
        </w:rPr>
      </w:pPr>
      <w:r>
        <w:rPr>
          <w:rFonts w:ascii="仿宋" w:hAnsi="仿宋" w:eastAsia="仿宋" w:cs="仿宋"/>
          <w:b/>
          <w:bCs/>
          <w:color w:val="auto"/>
          <w:sz w:val="24"/>
          <w:szCs w:val="24"/>
          <w:highlight w:val="none"/>
        </w:rPr>
        <w:t xml:space="preserve">50.4  </w:t>
      </w:r>
      <w:r>
        <w:rPr>
          <w:rFonts w:ascii="仿宋" w:hAnsi="仿宋" w:eastAsia="仿宋" w:cs="仿宋"/>
          <w:b/>
          <w:bCs/>
          <w:color w:val="auto"/>
          <w:sz w:val="24"/>
          <w:szCs w:val="24"/>
          <w:highlight w:val="none"/>
          <w:u w:val="dotted"/>
        </w:rPr>
        <w:t xml:space="preserve">                                                                              </w:t>
      </w:r>
    </w:p>
    <w:p>
      <w:pPr>
        <w:pStyle w:val="13"/>
        <w:shd w:val="clear" w:color="000000" w:fill="auto"/>
        <w:adjustRightInd w:val="0"/>
        <w:snapToGrid w:val="0"/>
        <w:spacing w:line="360" w:lineRule="auto"/>
        <w:ind w:left="1619" w:leftChars="771" w:firstLine="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67136" behindDoc="0" locked="0" layoutInCell="1" allowOverlap="1">
                <wp:simplePos x="0" y="0"/>
                <wp:positionH relativeFrom="column">
                  <wp:posOffset>-114300</wp:posOffset>
                </wp:positionH>
                <wp:positionV relativeFrom="paragraph">
                  <wp:posOffset>15240</wp:posOffset>
                </wp:positionV>
                <wp:extent cx="914400" cy="555625"/>
                <wp:effectExtent l="0" t="0" r="0" b="0"/>
                <wp:wrapNone/>
                <wp:docPr id="204" name="文本框 208"/>
                <wp:cNvGraphicFramePr/>
                <a:graphic xmlns:a="http://schemas.openxmlformats.org/drawingml/2006/main">
                  <a:graphicData uri="http://schemas.microsoft.com/office/word/2010/wordprocessingShape">
                    <wps:wsp>
                      <wps:cNvSpPr txBox="1"/>
                      <wps:spPr>
                        <a:xfrm>
                          <a:off x="0" y="0"/>
                          <a:ext cx="914400" cy="555625"/>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材料和工程设备的检验试验费用</w:t>
                            </w:r>
                          </w:p>
                        </w:txbxContent>
                      </wps:txbx>
                      <wps:bodyPr upright="1"/>
                    </wps:wsp>
                  </a:graphicData>
                </a:graphic>
              </wp:anchor>
            </w:drawing>
          </mc:Choice>
          <mc:Fallback>
            <w:pict>
              <v:shape id="文本框 208" o:spid="_x0000_s1026" o:spt="202" type="#_x0000_t202" style="position:absolute;left:0pt;margin-left:-9pt;margin-top:1.2pt;height:43.75pt;width:72pt;z-index:251867136;mso-width-relative:page;mso-height-relative:page;" filled="f" stroked="f" coordsize="21600,21600" o:gfxdata="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HER6A1QAA&#10;AAgBAAAPAAAAAAAAAAEAIAAAACIAAABkcnMvZG93bnJldi54bWxQSwECFAAUAAAACACHTuJA0nkN&#10;O68BAABRAwAADgAAAAAAAAABACAAAAAkAQAAZHJzL2Uyb0RvYy54bWxQSwUGAAAAAAYABgBZAQAA&#10;RQU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材料和工程设备的检验试验费用</w:t>
                      </w:r>
                    </w:p>
                  </w:txbxContent>
                </v:textbox>
              </v:shape>
            </w:pict>
          </mc:Fallback>
        </mc:AlternateContent>
      </w:r>
      <w:r>
        <w:rPr>
          <w:rFonts w:hint="eastAsia" w:ascii="仿宋" w:hAnsi="仿宋" w:eastAsia="仿宋" w:cs="仿宋"/>
          <w:color w:val="auto"/>
          <w:sz w:val="24"/>
          <w:szCs w:val="24"/>
          <w:highlight w:val="none"/>
        </w:rPr>
        <w:t>除合同价款已包括外，材料和工程设备等产品的检验试验费，按照实际发生的费用计算。</w:t>
      </w:r>
    </w:p>
    <w:p>
      <w:pPr>
        <w:pStyle w:val="13"/>
        <w:shd w:val="clear" w:color="000000" w:fill="auto"/>
        <w:tabs>
          <w:tab w:val="left" w:pos="1620"/>
          <w:tab w:val="left" w:pos="1980"/>
          <w:tab w:val="left" w:pos="2160"/>
        </w:tabs>
        <w:adjustRightInd w:val="0"/>
        <w:snapToGrid w:val="0"/>
        <w:spacing w:line="360" w:lineRule="auto"/>
        <w:ind w:left="1617" w:firstLine="0"/>
        <w:rPr>
          <w:rFonts w:ascii="仿宋" w:hAnsi="仿宋" w:eastAsia="仿宋"/>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）现场使用前材料和工程设备等产品的检验试验，发包人供应的，检验试验费由发包人承担；承包人采购的，检验试验费由承包人承担。</w:t>
      </w:r>
    </w:p>
    <w:p>
      <w:pPr>
        <w:pStyle w:val="13"/>
        <w:shd w:val="clear" w:color="000000" w:fill="auto"/>
        <w:tabs>
          <w:tab w:val="left" w:pos="1620"/>
          <w:tab w:val="left" w:pos="2160"/>
          <w:tab w:val="left" w:pos="2520"/>
        </w:tabs>
        <w:adjustRightInd w:val="0"/>
        <w:snapToGrid w:val="0"/>
        <w:spacing w:line="360" w:lineRule="auto"/>
        <w:ind w:left="1619" w:firstLine="0"/>
        <w:rPr>
          <w:rFonts w:ascii="仿宋" w:hAnsi="仿宋" w:eastAsia="仿宋"/>
          <w:b/>
          <w:bCs/>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）施工过程中材料和工程设备等产品的检验试验，合格的，检验试验费由发包人承担。不合格的，发包人供应的，检验试验费由发包人承担；承包人采购的，检验试验费由承包人承担。</w:t>
      </w:r>
    </w:p>
    <w:p>
      <w:pPr>
        <w:pStyle w:val="13"/>
        <w:shd w:val="clear" w:color="000000" w:fill="auto"/>
        <w:tabs>
          <w:tab w:val="left" w:pos="1620"/>
          <w:tab w:val="left" w:pos="1980"/>
          <w:tab w:val="left" w:pos="2520"/>
          <w:tab w:val="left" w:pos="2700"/>
        </w:tabs>
        <w:adjustRightInd w:val="0"/>
        <w:snapToGrid w:val="0"/>
        <w:spacing w:line="360" w:lineRule="auto"/>
        <w:ind w:firstLine="0"/>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50.5 </w:t>
      </w:r>
      <w:r>
        <w:rPr>
          <w:rFonts w:ascii="仿宋" w:hAnsi="仿宋" w:eastAsia="仿宋" w:cs="仿宋"/>
          <w:b/>
          <w:bCs/>
          <w:color w:val="auto"/>
          <w:sz w:val="24"/>
          <w:szCs w:val="24"/>
          <w:highlight w:val="none"/>
          <w:u w:val="dotted"/>
        </w:rPr>
        <w:t xml:space="preserve">                                                                                                        </w:t>
      </w:r>
    </w:p>
    <w:p>
      <w:pPr>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68160" behindDoc="0" locked="0" layoutInCell="1" allowOverlap="1">
                <wp:simplePos x="0" y="0"/>
                <wp:positionH relativeFrom="column">
                  <wp:posOffset>-114300</wp:posOffset>
                </wp:positionH>
                <wp:positionV relativeFrom="paragraph">
                  <wp:posOffset>8255</wp:posOffset>
                </wp:positionV>
                <wp:extent cx="914400" cy="396240"/>
                <wp:effectExtent l="0" t="0" r="0" b="0"/>
                <wp:wrapNone/>
                <wp:docPr id="205" name="文本框 209"/>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再次检验试验及其费用承担</w:t>
                            </w:r>
                          </w:p>
                        </w:txbxContent>
                      </wps:txbx>
                      <wps:bodyPr upright="1"/>
                    </wps:wsp>
                  </a:graphicData>
                </a:graphic>
              </wp:anchor>
            </w:drawing>
          </mc:Choice>
          <mc:Fallback>
            <w:pict>
              <v:shape id="文本框 209" o:spid="_x0000_s1026" o:spt="202" type="#_x0000_t202" style="position:absolute;left:0pt;margin-left:-9pt;margin-top:0.65pt;height:31.2pt;width:72pt;z-index:251868160;mso-width-relative:page;mso-height-relative:page;" filled="f" stroked="f" coordsize="21600,21600" o:gfxdata="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lrdoltUA&#10;AAAIAQAADwAAAAAAAAABACAAAAAiAAAAZHJzL2Rvd25yZXYueG1sUEsBAhQAFAAAAAgAh07iQPZv&#10;1BOwAQAAUQMAAA4AAAAAAAAAAQAgAAAAJAEAAGRycy9lMm9Eb2MueG1sUEsFBgAAAAAGAAYAWQEA&#10;AEYFA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再次检验试验及其费用承担</w:t>
                      </w:r>
                    </w:p>
                  </w:txbxContent>
                </v:textbox>
              </v:shape>
            </w:pict>
          </mc:Fallback>
        </mc:AlternateContent>
      </w:r>
      <w:r>
        <w:rPr>
          <w:rFonts w:hint="eastAsia" w:ascii="仿宋" w:hAnsi="仿宋" w:eastAsia="仿宋" w:cs="仿宋"/>
          <w:color w:val="auto"/>
          <w:sz w:val="24"/>
          <w:szCs w:val="24"/>
          <w:highlight w:val="none"/>
        </w:rPr>
        <w:t>监理工程师对承包人自行检验试验结果有疑问的，或重新查验检验试验结果的，可要求承包人共同对材料和工程设备等产品再次检验试验。</w:t>
      </w:r>
    </w:p>
    <w:p>
      <w:pPr>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）合格的，再次检验试验费和（或）延误的工期由发包人承担，并向承包人支付合理利润。</w:t>
      </w:r>
    </w:p>
    <w:p>
      <w:pPr>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）不合格的，发包人供应的，再次检验试验费和（或）延误的工期由发包人承担，并向承包人支付合理利润；承包人采购的，再次检验试验费和（或）延误的工期由承包人承担。</w:t>
      </w:r>
    </w:p>
    <w:p>
      <w:pPr>
        <w:pStyle w:val="13"/>
        <w:shd w:val="clear" w:color="000000" w:fill="auto"/>
        <w:tabs>
          <w:tab w:val="left" w:pos="540"/>
        </w:tabs>
        <w:adjustRightInd w:val="0"/>
        <w:snapToGrid w:val="0"/>
        <w:spacing w:line="360" w:lineRule="auto"/>
        <w:ind w:firstLine="0"/>
        <w:rPr>
          <w:rFonts w:ascii="仿宋" w:hAnsi="仿宋" w:eastAsia="仿宋"/>
          <w:color w:val="auto"/>
          <w:sz w:val="24"/>
          <w:szCs w:val="24"/>
          <w:highlight w:val="none"/>
        </w:rPr>
      </w:pPr>
      <w:r>
        <w:rPr>
          <w:rFonts w:ascii="仿宋" w:hAnsi="仿宋" w:eastAsia="仿宋" w:cs="仿宋"/>
          <w:b/>
          <w:bCs/>
          <w:color w:val="auto"/>
          <w:sz w:val="24"/>
          <w:szCs w:val="24"/>
          <w:highlight w:val="none"/>
        </w:rPr>
        <w:t xml:space="preserve">50.6 </w:t>
      </w:r>
      <w:r>
        <w:rPr>
          <w:rFonts w:ascii="仿宋" w:hAnsi="仿宋" w:eastAsia="仿宋" w:cs="仿宋"/>
          <w:b/>
          <w:bCs/>
          <w:color w:val="auto"/>
          <w:sz w:val="24"/>
          <w:szCs w:val="24"/>
          <w:highlight w:val="none"/>
          <w:u w:val="dotted"/>
        </w:rPr>
        <w:t xml:space="preserve">                                                                           </w:t>
      </w:r>
      <w:r>
        <w:rPr>
          <w:color w:val="auto"/>
          <w:highlight w:val="none"/>
        </w:rPr>
        <mc:AlternateContent>
          <mc:Choice Requires="wps">
            <w:drawing>
              <wp:anchor distT="0" distB="0" distL="114300" distR="114300" simplePos="0" relativeHeight="251869184" behindDoc="0" locked="0" layoutInCell="1" allowOverlap="1">
                <wp:simplePos x="0" y="0"/>
                <wp:positionH relativeFrom="column">
                  <wp:posOffset>-114300</wp:posOffset>
                </wp:positionH>
                <wp:positionV relativeFrom="paragraph">
                  <wp:posOffset>245110</wp:posOffset>
                </wp:positionV>
                <wp:extent cx="914400" cy="690245"/>
                <wp:effectExtent l="0" t="0" r="0" b="0"/>
                <wp:wrapNone/>
                <wp:docPr id="206" name="文本框 210"/>
                <wp:cNvGraphicFramePr/>
                <a:graphic xmlns:a="http://schemas.openxmlformats.org/drawingml/2006/main">
                  <a:graphicData uri="http://schemas.microsoft.com/office/word/2010/wordprocessingShape">
                    <wps:wsp>
                      <wps:cNvSpPr txBox="1"/>
                      <wps:spPr>
                        <a:xfrm>
                          <a:off x="0" y="0"/>
                          <a:ext cx="914400" cy="690245"/>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材料和工程设备质量有争议的处理</w:t>
                            </w:r>
                          </w:p>
                        </w:txbxContent>
                      </wps:txbx>
                      <wps:bodyPr upright="1"/>
                    </wps:wsp>
                  </a:graphicData>
                </a:graphic>
              </wp:anchor>
            </w:drawing>
          </mc:Choice>
          <mc:Fallback>
            <w:pict>
              <v:shape id="文本框 210" o:spid="_x0000_s1026" o:spt="202" type="#_x0000_t202" style="position:absolute;left:0pt;margin-left:-9pt;margin-top:19.3pt;height:54.35pt;width:72pt;z-index:251869184;mso-width-relative:page;mso-height-relative:page;" filled="f" stroked="f" coordsize="21600,21600" o:gfxdata="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JUXPofY&#10;AAAACgEAAA8AAAAAAAAAAQAgAAAAIgAAAGRycy9kb3ducmV2LnhtbFBLAQIUABQAAAAIAIdO4kBx&#10;YVHOrgEAAFEDAAAOAAAAAAAAAAEAIAAAACcBAABkcnMvZTJvRG9jLnhtbFBLBQYAAAAABgAGAFkB&#10;AABHBQ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材料和工程设备质量有争议的处理</w:t>
                      </w:r>
                    </w:p>
                  </w:txbxContent>
                </v:textbox>
              </v:shape>
            </w:pict>
          </mc:Fallback>
        </mc:AlternateContent>
      </w:r>
      <w:r>
        <w:rPr>
          <w:rFonts w:ascii="仿宋" w:hAnsi="仿宋" w:eastAsia="仿宋" w:cs="仿宋"/>
          <w:b/>
          <w:bCs/>
          <w:color w:val="auto"/>
          <w:sz w:val="24"/>
          <w:szCs w:val="24"/>
          <w:highlight w:val="none"/>
          <w:u w:val="dotted"/>
        </w:rPr>
        <w:t xml:space="preserve">    </w:t>
      </w:r>
    </w:p>
    <w:p>
      <w:pPr>
        <w:pStyle w:val="13"/>
        <w:shd w:val="clear" w:color="000000" w:fill="auto"/>
        <w:adjustRightInd w:val="0"/>
        <w:snapToGrid w:val="0"/>
        <w:spacing w:line="360" w:lineRule="auto"/>
        <w:ind w:left="1619" w:leftChars="771" w:firstLine="0"/>
        <w:rPr>
          <w:rFonts w:ascii="仿宋" w:hAnsi="仿宋" w:eastAsia="仿宋"/>
          <w:color w:val="auto"/>
          <w:sz w:val="24"/>
          <w:szCs w:val="24"/>
          <w:highlight w:val="none"/>
        </w:rPr>
      </w:pPr>
      <w:r>
        <w:rPr>
          <w:rFonts w:hint="eastAsia" w:ascii="仿宋" w:hAnsi="仿宋" w:eastAsia="仿宋" w:cs="仿宋"/>
          <w:color w:val="auto"/>
          <w:sz w:val="24"/>
          <w:szCs w:val="24"/>
          <w:highlight w:val="none"/>
        </w:rPr>
        <w:t>合同双方当事人对材料和工程设备等产品质量有争议的，所需的检验试验费由责任方承担。双方均有责任的，由双方根据其责任划分分别承担。</w:t>
      </w:r>
    </w:p>
    <w:p>
      <w:pPr>
        <w:pStyle w:val="13"/>
        <w:shd w:val="clear" w:color="000000" w:fill="auto"/>
        <w:adjustRightInd w:val="0"/>
        <w:snapToGrid w:val="0"/>
        <w:spacing w:line="360" w:lineRule="auto"/>
        <w:ind w:firstLine="0"/>
        <w:rPr>
          <w:rFonts w:ascii="仿宋" w:hAnsi="仿宋" w:eastAsia="仿宋" w:cs="仿宋"/>
          <w:color w:val="auto"/>
          <w:sz w:val="24"/>
          <w:szCs w:val="24"/>
          <w:highlight w:val="none"/>
          <w:u w:val="single"/>
        </w:rPr>
      </w:pPr>
      <w:r>
        <w:rPr>
          <w:rFonts w:ascii="仿宋" w:hAnsi="仿宋" w:eastAsia="仿宋" w:cs="仿宋"/>
          <w:b/>
          <w:bCs/>
          <w:color w:val="auto"/>
          <w:sz w:val="24"/>
          <w:szCs w:val="24"/>
          <w:highlight w:val="none"/>
          <w:u w:val="single"/>
        </w:rPr>
        <w:t xml:space="preserve">                                                                                  </w:t>
      </w:r>
      <w:r>
        <w:rPr>
          <w:rFonts w:ascii="仿宋" w:hAnsi="仿宋" w:eastAsia="仿宋" w:cs="仿宋"/>
          <w:color w:val="auto"/>
          <w:sz w:val="24"/>
          <w:szCs w:val="24"/>
          <w:highlight w:val="none"/>
          <w:u w:val="single"/>
        </w:rPr>
        <w:t xml:space="preserve">                            </w:t>
      </w:r>
    </w:p>
    <w:p>
      <w:pPr>
        <w:pStyle w:val="13"/>
        <w:shd w:val="clear" w:color="000000" w:fill="auto"/>
        <w:adjustRightInd w:val="0"/>
        <w:snapToGrid w:val="0"/>
        <w:spacing w:line="360" w:lineRule="auto"/>
        <w:ind w:firstLine="0"/>
        <w:outlineLvl w:val="2"/>
        <w:rPr>
          <w:rFonts w:ascii="仿宋" w:hAnsi="仿宋" w:eastAsia="仿宋"/>
          <w:b/>
          <w:bCs/>
          <w:color w:val="auto"/>
          <w:sz w:val="24"/>
          <w:szCs w:val="24"/>
          <w:highlight w:val="none"/>
        </w:rPr>
      </w:pPr>
      <w:bookmarkStart w:id="278" w:name="_Toc469384034"/>
      <w:bookmarkStart w:id="279" w:name="_Toc10624874"/>
      <w:bookmarkStart w:id="280" w:name="_Toc19396"/>
      <w:r>
        <w:rPr>
          <w:rFonts w:ascii="仿宋" w:hAnsi="仿宋" w:eastAsia="仿宋" w:cs="仿宋"/>
          <w:b/>
          <w:bCs/>
          <w:color w:val="auto"/>
          <w:sz w:val="24"/>
          <w:szCs w:val="24"/>
          <w:highlight w:val="none"/>
        </w:rPr>
        <w:t xml:space="preserve">51  </w:t>
      </w:r>
      <w:r>
        <w:rPr>
          <w:rFonts w:hint="eastAsia" w:ascii="仿宋" w:hAnsi="仿宋" w:eastAsia="仿宋" w:cs="仿宋"/>
          <w:b/>
          <w:bCs/>
          <w:color w:val="auto"/>
          <w:sz w:val="24"/>
          <w:szCs w:val="24"/>
          <w:highlight w:val="none"/>
        </w:rPr>
        <w:t>施工设备和临时设施</w:t>
      </w:r>
      <w:bookmarkEnd w:id="278"/>
      <w:bookmarkEnd w:id="279"/>
      <w:bookmarkEnd w:id="280"/>
    </w:p>
    <w:p>
      <w:pPr>
        <w:pStyle w:val="13"/>
        <w:shd w:val="clear" w:color="000000" w:fill="auto"/>
        <w:adjustRightInd w:val="0"/>
        <w:snapToGrid w:val="0"/>
        <w:spacing w:line="360" w:lineRule="auto"/>
        <w:ind w:firstLine="0"/>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51.1 </w:t>
      </w:r>
    </w:p>
    <w:p>
      <w:pPr>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70208" behindDoc="0" locked="0" layoutInCell="1" allowOverlap="1">
                <wp:simplePos x="0" y="0"/>
                <wp:positionH relativeFrom="column">
                  <wp:posOffset>-73660</wp:posOffset>
                </wp:positionH>
                <wp:positionV relativeFrom="paragraph">
                  <wp:posOffset>5715</wp:posOffset>
                </wp:positionV>
                <wp:extent cx="988060" cy="753110"/>
                <wp:effectExtent l="0" t="0" r="0" b="0"/>
                <wp:wrapNone/>
                <wp:docPr id="207" name="文本框 211"/>
                <wp:cNvGraphicFramePr/>
                <a:graphic xmlns:a="http://schemas.openxmlformats.org/drawingml/2006/main">
                  <a:graphicData uri="http://schemas.microsoft.com/office/word/2010/wordprocessingShape">
                    <wps:wsp>
                      <wps:cNvSpPr txBox="1"/>
                      <wps:spPr>
                        <a:xfrm>
                          <a:off x="0" y="0"/>
                          <a:ext cx="988060" cy="753110"/>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承包人配置的施工设备和临时设施</w:t>
                            </w:r>
                          </w:p>
                        </w:txbxContent>
                      </wps:txbx>
                      <wps:bodyPr upright="1"/>
                    </wps:wsp>
                  </a:graphicData>
                </a:graphic>
              </wp:anchor>
            </w:drawing>
          </mc:Choice>
          <mc:Fallback>
            <w:pict>
              <v:shape id="文本框 211" o:spid="_x0000_s1026" o:spt="202" type="#_x0000_t202" style="position:absolute;left:0pt;margin-left:-5.8pt;margin-top:0.45pt;height:59.3pt;width:77.8pt;z-index:251870208;mso-width-relative:page;mso-height-relative:page;" filled="f" stroked="f" coordsize="21600,21600" o:gfxdata="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KtbrHNUA&#10;AAAIAQAADwAAAAAAAAABACAAAAAiAAAAZHJzL2Rvd25yZXYueG1sUEsBAhQAFAAAAAgAh07iQJIB&#10;4oKwAQAAUQMAAA4AAAAAAAAAAQAgAAAAJAEAAGRycy9lMm9Eb2MueG1sUEsFBgAAAAAGAAYAWQEA&#10;AEYFA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承包人配置的施工设备和临时设施</w:t>
                      </w:r>
                    </w:p>
                  </w:txbxContent>
                </v:textbox>
              </v:shape>
            </w:pict>
          </mc:Fallback>
        </mc:AlternateContent>
      </w:r>
      <w:r>
        <w:rPr>
          <w:rFonts w:hint="eastAsia" w:ascii="仿宋" w:hAnsi="仿宋" w:eastAsia="仿宋" w:cs="仿宋"/>
          <w:color w:val="auto"/>
          <w:sz w:val="24"/>
          <w:szCs w:val="24"/>
          <w:highlight w:val="none"/>
        </w:rPr>
        <w:t>承包人应按合同工程进度计划的要求，及时配置施工设备和修建临时设施。除专用条款另有约定外，承包人应自行承担修建临时设施的费用。需要临时占地的，发包人应办理其申请手续并承担相应费用。</w:t>
      </w:r>
    </w:p>
    <w:p>
      <w:pPr>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进入施工场地的承包人施工设备，需经监理工程师核查后才能投入使用。承包人更换合同约定自身施工设备的，应经监理工程师同意并由其报发包人批准后方可实施。</w:t>
      </w:r>
    </w:p>
    <w:p>
      <w:pPr>
        <w:pStyle w:val="13"/>
        <w:shd w:val="clear" w:color="000000" w:fill="auto"/>
        <w:tabs>
          <w:tab w:val="left" w:pos="540"/>
        </w:tabs>
        <w:adjustRightInd w:val="0"/>
        <w:snapToGrid w:val="0"/>
        <w:spacing w:line="360" w:lineRule="auto"/>
        <w:ind w:firstLine="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71232" behindDoc="0" locked="0" layoutInCell="1" allowOverlap="1">
                <wp:simplePos x="0" y="0"/>
                <wp:positionH relativeFrom="column">
                  <wp:posOffset>-66675</wp:posOffset>
                </wp:positionH>
                <wp:positionV relativeFrom="paragraph">
                  <wp:posOffset>215900</wp:posOffset>
                </wp:positionV>
                <wp:extent cx="873760" cy="685800"/>
                <wp:effectExtent l="0" t="0" r="0" b="0"/>
                <wp:wrapNone/>
                <wp:docPr id="208" name="文本框 212"/>
                <wp:cNvGraphicFramePr/>
                <a:graphic xmlns:a="http://schemas.openxmlformats.org/drawingml/2006/main">
                  <a:graphicData uri="http://schemas.microsoft.com/office/word/2010/wordprocessingShape">
                    <wps:wsp>
                      <wps:cNvSpPr txBox="1"/>
                      <wps:spPr>
                        <a:xfrm>
                          <a:off x="0" y="0"/>
                          <a:ext cx="873760" cy="685800"/>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发包人提供的施工设备和临时设施</w:t>
                            </w:r>
                          </w:p>
                          <w:p>
                            <w:pPr>
                              <w:spacing w:line="240" w:lineRule="exact"/>
                              <w:rPr>
                                <w:rFonts w:cs="Times New Roman"/>
                                <w:sz w:val="18"/>
                                <w:szCs w:val="18"/>
                              </w:rPr>
                            </w:pPr>
                          </w:p>
                        </w:txbxContent>
                      </wps:txbx>
                      <wps:bodyPr upright="1"/>
                    </wps:wsp>
                  </a:graphicData>
                </a:graphic>
              </wp:anchor>
            </w:drawing>
          </mc:Choice>
          <mc:Fallback>
            <w:pict>
              <v:shape id="文本框 212" o:spid="_x0000_s1026" o:spt="202" type="#_x0000_t202" style="position:absolute;left:0pt;margin-left:-5.25pt;margin-top:17pt;height:54pt;width:68.8pt;z-index:251871232;mso-width-relative:page;mso-height-relative:page;" filled="f" stroked="f" coordsize="21600,21600" o:gfxdata="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KJPsD3X&#10;AAAACgEAAA8AAAAAAAAAAQAgAAAAIgAAAGRycy9kb3ducmV2LnhtbFBLAQIUABQAAAAIAIdO4kBl&#10;RXH0rwEAAFEDAAAOAAAAAAAAAAEAIAAAACYBAABkcnMvZTJvRG9jLnhtbFBLBQYAAAAABgAGAFkB&#10;AABHBQ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发包人提供的施工设备和临时设施</w:t>
                      </w:r>
                    </w:p>
                    <w:p>
                      <w:pPr>
                        <w:spacing w:line="240" w:lineRule="exact"/>
                        <w:rPr>
                          <w:rFonts w:cs="Times New Roman"/>
                          <w:sz w:val="18"/>
                          <w:szCs w:val="18"/>
                        </w:rPr>
                      </w:pPr>
                    </w:p>
                  </w:txbxContent>
                </v:textbox>
              </v:shape>
            </w:pict>
          </mc:Fallback>
        </mc:AlternateContent>
      </w:r>
      <w:r>
        <w:rPr>
          <w:rFonts w:ascii="仿宋" w:hAnsi="仿宋" w:eastAsia="仿宋" w:cs="仿宋"/>
          <w:b/>
          <w:bCs/>
          <w:color w:val="auto"/>
          <w:sz w:val="24"/>
          <w:szCs w:val="24"/>
          <w:highlight w:val="none"/>
        </w:rPr>
        <w:t xml:space="preserve">51.2 </w:t>
      </w:r>
      <w:r>
        <w:rPr>
          <w:rFonts w:ascii="仿宋" w:hAnsi="仿宋" w:eastAsia="仿宋" w:cs="仿宋"/>
          <w:color w:val="auto"/>
          <w:sz w:val="24"/>
          <w:szCs w:val="24"/>
          <w:highlight w:val="none"/>
          <w:u w:val="dotted"/>
        </w:rPr>
        <w:t xml:space="preserve">                                                                                                        </w:t>
      </w:r>
    </w:p>
    <w:p>
      <w:pPr>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如果发包人提供施工设备或临时设施的，合同双方当事人应在专用条款中约定施工设备或临时设施的品种、规格、型号和提供的时间、地点等内容。</w:t>
      </w:r>
    </w:p>
    <w:p>
      <w:pPr>
        <w:pStyle w:val="13"/>
        <w:shd w:val="clear" w:color="000000" w:fill="auto"/>
        <w:tabs>
          <w:tab w:val="left" w:pos="540"/>
        </w:tabs>
        <w:adjustRightInd w:val="0"/>
        <w:snapToGrid w:val="0"/>
        <w:spacing w:line="360" w:lineRule="auto"/>
        <w:ind w:firstLine="0"/>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51.3 </w:t>
      </w:r>
      <w:r>
        <w:rPr>
          <w:rFonts w:ascii="仿宋" w:hAnsi="仿宋" w:eastAsia="仿宋" w:cs="仿宋"/>
          <w:b/>
          <w:bCs/>
          <w:color w:val="auto"/>
          <w:sz w:val="24"/>
          <w:szCs w:val="24"/>
          <w:highlight w:val="none"/>
          <w:u w:val="dotted"/>
        </w:rPr>
        <w:t xml:space="preserve">                                                                                                        </w:t>
      </w:r>
    </w:p>
    <w:p>
      <w:pPr>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72256" behindDoc="0" locked="0" layoutInCell="1" allowOverlap="1">
                <wp:simplePos x="0" y="0"/>
                <wp:positionH relativeFrom="column">
                  <wp:posOffset>-73660</wp:posOffset>
                </wp:positionH>
                <wp:positionV relativeFrom="paragraph">
                  <wp:posOffset>8890</wp:posOffset>
                </wp:positionV>
                <wp:extent cx="873760" cy="659765"/>
                <wp:effectExtent l="0" t="0" r="0" b="0"/>
                <wp:wrapNone/>
                <wp:docPr id="209" name="文本框 213"/>
                <wp:cNvGraphicFramePr/>
                <a:graphic xmlns:a="http://schemas.openxmlformats.org/drawingml/2006/main">
                  <a:graphicData uri="http://schemas.microsoft.com/office/word/2010/wordprocessingShape">
                    <wps:wsp>
                      <wps:cNvSpPr txBox="1"/>
                      <wps:spPr>
                        <a:xfrm>
                          <a:off x="0" y="0"/>
                          <a:ext cx="873760" cy="659765"/>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承包人增加或更换施工设备</w:t>
                            </w:r>
                          </w:p>
                        </w:txbxContent>
                      </wps:txbx>
                      <wps:bodyPr upright="1"/>
                    </wps:wsp>
                  </a:graphicData>
                </a:graphic>
              </wp:anchor>
            </w:drawing>
          </mc:Choice>
          <mc:Fallback>
            <w:pict>
              <v:shape id="文本框 213" o:spid="_x0000_s1026" o:spt="202" type="#_x0000_t202" style="position:absolute;left:0pt;margin-left:-5.8pt;margin-top:0.7pt;height:51.95pt;width:68.8pt;z-index:251872256;mso-width-relative:page;mso-height-relative:page;" filled="f" stroked="f" coordsize="21600,21600" o:gfxdata="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umFIAdUA&#10;AAAJAQAADwAAAAAAAAABACAAAAAiAAAAZHJzL2Rvd25yZXYueG1sUEsBAhQAFAAAAAgAh07iQBCP&#10;v1ywAQAAUQMAAA4AAAAAAAAAAQAgAAAAJAEAAGRycy9lMm9Eb2MueG1sUEsFBgAAAAAGAAYAWQEA&#10;AEYFA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承包人增加或更换施工设备</w:t>
                      </w:r>
                    </w:p>
                  </w:txbxContent>
                </v:textbox>
              </v:shape>
            </w:pict>
          </mc:Fallback>
        </mc:AlternateContent>
      </w:r>
      <w:r>
        <w:rPr>
          <w:rFonts w:hint="eastAsia" w:ascii="仿宋" w:hAnsi="仿宋" w:eastAsia="仿宋" w:cs="仿宋"/>
          <w:color w:val="auto"/>
          <w:sz w:val="24"/>
          <w:szCs w:val="24"/>
          <w:highlight w:val="none"/>
        </w:rPr>
        <w:t>如果承包人使用的施工设备不能满足合同工程进度计划和（或）质量要求的，监理工程师有权要求承包人增加或更换施工设备，承包人应及时增加或更换，由此增加的费用和（或）延误的工期由承包人承担。</w:t>
      </w:r>
    </w:p>
    <w:p>
      <w:pPr>
        <w:pStyle w:val="13"/>
        <w:shd w:val="clear" w:color="000000" w:fill="auto"/>
        <w:tabs>
          <w:tab w:val="left" w:pos="540"/>
        </w:tabs>
        <w:adjustRightInd w:val="0"/>
        <w:snapToGrid w:val="0"/>
        <w:spacing w:line="360" w:lineRule="auto"/>
        <w:ind w:firstLine="0"/>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51.4  </w:t>
      </w:r>
      <w:r>
        <w:rPr>
          <w:rFonts w:ascii="仿宋" w:hAnsi="仿宋" w:eastAsia="仿宋" w:cs="仿宋"/>
          <w:b/>
          <w:bCs/>
          <w:color w:val="auto"/>
          <w:sz w:val="24"/>
          <w:szCs w:val="24"/>
          <w:highlight w:val="none"/>
          <w:u w:val="dotted"/>
        </w:rPr>
        <w:t xml:space="preserve">                                                                                                        </w:t>
      </w:r>
    </w:p>
    <w:p>
      <w:pPr>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运至施工现场的施工设备和在施工现场修建的临时设施，均应视为专门用于实施合同工程。除经监理工程师同意并由其报发包人批准，承包人可根据合同工程进度计划撤走闲置的施工设备</w:t>
      </w:r>
      <w:r>
        <w:rPr>
          <w:color w:val="auto"/>
          <w:highlight w:val="none"/>
        </w:rPr>
        <mc:AlternateContent>
          <mc:Choice Requires="wps">
            <w:drawing>
              <wp:anchor distT="0" distB="0" distL="114300" distR="114300" simplePos="0" relativeHeight="251873280" behindDoc="0" locked="0" layoutInCell="1" allowOverlap="1">
                <wp:simplePos x="0" y="0"/>
                <wp:positionH relativeFrom="column">
                  <wp:posOffset>-114300</wp:posOffset>
                </wp:positionH>
                <wp:positionV relativeFrom="paragraph">
                  <wp:posOffset>46355</wp:posOffset>
                </wp:positionV>
                <wp:extent cx="914400" cy="659130"/>
                <wp:effectExtent l="0" t="0" r="0" b="0"/>
                <wp:wrapNone/>
                <wp:docPr id="210" name="文本框 214"/>
                <wp:cNvGraphicFramePr/>
                <a:graphic xmlns:a="http://schemas.openxmlformats.org/drawingml/2006/main">
                  <a:graphicData uri="http://schemas.microsoft.com/office/word/2010/wordprocessingShape">
                    <wps:wsp>
                      <wps:cNvSpPr txBox="1"/>
                      <wps:spPr>
                        <a:xfrm>
                          <a:off x="0" y="0"/>
                          <a:ext cx="914400" cy="659130"/>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施工设备和临时设施的使用要求</w:t>
                            </w:r>
                          </w:p>
                        </w:txbxContent>
                      </wps:txbx>
                      <wps:bodyPr upright="1"/>
                    </wps:wsp>
                  </a:graphicData>
                </a:graphic>
              </wp:anchor>
            </w:drawing>
          </mc:Choice>
          <mc:Fallback>
            <w:pict>
              <v:shape id="文本框 214" o:spid="_x0000_s1026" o:spt="202" type="#_x0000_t202" style="position:absolute;left:0pt;margin-left:-9pt;margin-top:3.65pt;height:51.9pt;width:72pt;z-index:251873280;mso-width-relative:page;mso-height-relative:page;" filled="f" stroked="f" coordsize="21600,21600" o:gfxdata="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6jqlI1QAA&#10;AAkBAAAPAAAAAAAAAAEAIAAAACIAAABkcnMvZG93bnJldi54bWxQSwECFAAUAAAACACHTuJAvwv7&#10;BK8BAABRAwAADgAAAAAAAAABACAAAAAkAQAAZHJzL2Uyb0RvYy54bWxQSwUGAAAAAAYABgBZAQAA&#10;RQU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施工设备和临时设施的使用要求</w:t>
                      </w:r>
                    </w:p>
                  </w:txbxContent>
                </v:textbox>
              </v:shape>
            </w:pict>
          </mc:Fallback>
        </mc:AlternateContent>
      </w:r>
      <w:r>
        <w:rPr>
          <w:rFonts w:hint="eastAsia" w:ascii="仿宋" w:hAnsi="仿宋" w:eastAsia="仿宋" w:cs="仿宋"/>
          <w:color w:val="auto"/>
          <w:sz w:val="24"/>
          <w:szCs w:val="24"/>
          <w:highlight w:val="none"/>
        </w:rPr>
        <w:t>外，承包人不得将上述施工设备和临时设施中的任何部分运出施工场地或挪作他用。</w:t>
      </w:r>
    </w:p>
    <w:p>
      <w:pPr>
        <w:pStyle w:val="2"/>
        <w:shd w:val="clear" w:color="000000" w:fill="auto"/>
        <w:tabs>
          <w:tab w:val="left" w:pos="540"/>
        </w:tabs>
        <w:adjustRightInd w:val="0"/>
        <w:snapToGrid w:val="0"/>
        <w:spacing w:before="240" w:beforeLines="100" w:line="240" w:lineRule="exact"/>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
        <w:shd w:val="clear" w:color="000000" w:fill="auto"/>
        <w:tabs>
          <w:tab w:val="left" w:pos="540"/>
        </w:tabs>
        <w:adjustRightInd w:val="0"/>
        <w:snapToGrid w:val="0"/>
        <w:spacing w:before="240" w:beforeLines="100" w:line="360" w:lineRule="auto"/>
        <w:outlineLvl w:val="2"/>
        <w:rPr>
          <w:rFonts w:ascii="仿宋" w:hAnsi="仿宋" w:eastAsia="仿宋" w:cs="Times New Roman"/>
          <w:b/>
          <w:bCs/>
          <w:color w:val="auto"/>
          <w:sz w:val="24"/>
          <w:szCs w:val="24"/>
          <w:highlight w:val="none"/>
        </w:rPr>
      </w:pPr>
      <w:bookmarkStart w:id="281" w:name="_Toc469384035"/>
      <w:bookmarkStart w:id="282" w:name="_Toc27372"/>
      <w:bookmarkStart w:id="283" w:name="_Toc10624875"/>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52  </w:t>
      </w:r>
      <w:r>
        <w:rPr>
          <w:rFonts w:hint="eastAsia" w:ascii="仿宋" w:hAnsi="仿宋" w:eastAsia="仿宋" w:cs="仿宋"/>
          <w:b/>
          <w:bCs/>
          <w:color w:val="auto"/>
          <w:sz w:val="24"/>
          <w:szCs w:val="24"/>
          <w:highlight w:val="none"/>
        </w:rPr>
        <w:t>工程质量检查</w:t>
      </w:r>
      <w:bookmarkEnd w:id="281"/>
      <w:bookmarkEnd w:id="282"/>
      <w:bookmarkEnd w:id="283"/>
    </w:p>
    <w:p>
      <w:pPr>
        <w:pStyle w:val="13"/>
        <w:shd w:val="clear" w:color="000000" w:fill="auto"/>
        <w:adjustRightInd w:val="0"/>
        <w:snapToGrid w:val="0"/>
        <w:spacing w:line="360" w:lineRule="auto"/>
        <w:ind w:firstLine="0"/>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52.1 </w:t>
      </w:r>
    </w:p>
    <w:p>
      <w:pPr>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74304" behindDoc="0" locked="0" layoutInCell="1" allowOverlap="1">
                <wp:simplePos x="0" y="0"/>
                <wp:positionH relativeFrom="column">
                  <wp:posOffset>-73660</wp:posOffset>
                </wp:positionH>
                <wp:positionV relativeFrom="paragraph">
                  <wp:posOffset>5715</wp:posOffset>
                </wp:positionV>
                <wp:extent cx="988060" cy="522605"/>
                <wp:effectExtent l="0" t="0" r="0" b="0"/>
                <wp:wrapNone/>
                <wp:docPr id="211" name="文本框 215"/>
                <wp:cNvGraphicFramePr/>
                <a:graphic xmlns:a="http://schemas.openxmlformats.org/drawingml/2006/main">
                  <a:graphicData uri="http://schemas.microsoft.com/office/word/2010/wordprocessingShape">
                    <wps:wsp>
                      <wps:cNvSpPr txBox="1"/>
                      <wps:spPr>
                        <a:xfrm>
                          <a:off x="0" y="0"/>
                          <a:ext cx="988060" cy="522605"/>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承包人对工程</w:t>
                            </w:r>
                          </w:p>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质量检查的义</w:t>
                            </w:r>
                          </w:p>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务</w:t>
                            </w:r>
                          </w:p>
                        </w:txbxContent>
                      </wps:txbx>
                      <wps:bodyPr upright="1"/>
                    </wps:wsp>
                  </a:graphicData>
                </a:graphic>
              </wp:anchor>
            </w:drawing>
          </mc:Choice>
          <mc:Fallback>
            <w:pict>
              <v:shape id="文本框 215" o:spid="_x0000_s1026" o:spt="202" type="#_x0000_t202" style="position:absolute;left:0pt;margin-left:-5.8pt;margin-top:0.45pt;height:41.15pt;width:77.8pt;z-index:251874304;mso-width-relative:page;mso-height-relative:page;" filled="f" stroked="f" coordsize="21600,21600" o:gfxdata="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pu+lR1QAA&#10;AAcBAAAPAAAAAAAAAAEAIAAAACIAAABkcnMvZG93bnJldi54bWxQSwECFAAUAAAACACHTuJA3IN3&#10;sK8BAABRAwAADgAAAAAAAAABACAAAAAkAQAAZHJzL2Uyb0RvYy54bWxQSwUGAAAAAAYABgBZAQAA&#10;RQU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承包人对工程</w:t>
                      </w:r>
                    </w:p>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质量检查的义</w:t>
                      </w:r>
                    </w:p>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务</w:t>
                      </w:r>
                    </w:p>
                  </w:txbxContent>
                </v:textbox>
              </v:shape>
            </w:pict>
          </mc:Fallback>
        </mc:AlternateContent>
      </w:r>
      <w:r>
        <w:rPr>
          <w:rFonts w:hint="eastAsia" w:ascii="仿宋" w:hAnsi="仿宋" w:eastAsia="仿宋" w:cs="仿宋"/>
          <w:color w:val="auto"/>
          <w:sz w:val="24"/>
          <w:szCs w:val="24"/>
          <w:highlight w:val="none"/>
        </w:rPr>
        <w:t>承包人应按照标准与规范、设计要求以及监理工程师依据合同约定发出的指令施工，确保工程质量，随时接受监理工程师的检查，并为监理工程师的检查（包括监理工程师到施工场地，或合同约定的其他地方察看和查阅施工原始记录等）提供便利和协助。</w:t>
      </w:r>
    </w:p>
    <w:p>
      <w:pPr>
        <w:pStyle w:val="13"/>
        <w:shd w:val="clear" w:color="000000" w:fill="auto"/>
        <w:tabs>
          <w:tab w:val="left" w:pos="540"/>
        </w:tabs>
        <w:adjustRightInd w:val="0"/>
        <w:snapToGrid w:val="0"/>
        <w:spacing w:line="360" w:lineRule="auto"/>
        <w:ind w:firstLine="0"/>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52.2 </w:t>
      </w:r>
      <w:r>
        <w:rPr>
          <w:rFonts w:ascii="仿宋" w:hAnsi="仿宋" w:eastAsia="仿宋" w:cs="仿宋"/>
          <w:b/>
          <w:bCs/>
          <w:color w:val="auto"/>
          <w:sz w:val="24"/>
          <w:szCs w:val="24"/>
          <w:highlight w:val="none"/>
          <w:u w:val="dotted"/>
        </w:rPr>
        <w:t xml:space="preserve">                                                                                                        </w:t>
      </w:r>
    </w:p>
    <w:p>
      <w:pPr>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75328" behindDoc="0" locked="0" layoutInCell="1" allowOverlap="1">
                <wp:simplePos x="0" y="0"/>
                <wp:positionH relativeFrom="column">
                  <wp:posOffset>-73660</wp:posOffset>
                </wp:positionH>
                <wp:positionV relativeFrom="paragraph">
                  <wp:posOffset>8890</wp:posOffset>
                </wp:positionV>
                <wp:extent cx="873760" cy="448310"/>
                <wp:effectExtent l="0" t="0" r="0" b="0"/>
                <wp:wrapNone/>
                <wp:docPr id="212" name="文本框 216"/>
                <wp:cNvGraphicFramePr/>
                <a:graphic xmlns:a="http://schemas.openxmlformats.org/drawingml/2006/main">
                  <a:graphicData uri="http://schemas.microsoft.com/office/word/2010/wordprocessingShape">
                    <wps:wsp>
                      <wps:cNvSpPr txBox="1"/>
                      <wps:spPr>
                        <a:xfrm>
                          <a:off x="0" y="0"/>
                          <a:ext cx="873760" cy="448310"/>
                        </a:xfrm>
                        <a:prstGeom prst="rect">
                          <a:avLst/>
                        </a:prstGeom>
                        <a:noFill/>
                        <a:ln>
                          <a:noFill/>
                        </a:ln>
                      </wps:spPr>
                      <wps:txbx>
                        <w:txbxContent>
                          <w:p>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工程质量检查的要求</w:t>
                            </w:r>
                          </w:p>
                        </w:txbxContent>
                      </wps:txbx>
                      <wps:bodyPr upright="1"/>
                    </wps:wsp>
                  </a:graphicData>
                </a:graphic>
              </wp:anchor>
            </w:drawing>
          </mc:Choice>
          <mc:Fallback>
            <w:pict>
              <v:shape id="文本框 216" o:spid="_x0000_s1026" o:spt="202" type="#_x0000_t202" style="position:absolute;left:0pt;margin-left:-5.8pt;margin-top:0.7pt;height:35.3pt;width:68.8pt;z-index:251875328;mso-width-relative:page;mso-height-relative:page;" filled="f" stroked="f" coordsize="21600,21600" o:gfxdata="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BGpak9UA&#10;AAAIAQAADwAAAAAAAAABACAAAAAiAAAAZHJzL2Rvd25yZXYueG1sUEsBAhQAFAAAAAgAh07iQC3t&#10;5G2wAQAAUQMAAA4AAAAAAAAAAQAgAAAAJAEAAGRycy9lMm9Eb2MueG1sUEsFBgAAAAAGAAYAWQEA&#10;AEYFAAAAAA==&#10;">
                <v:fill on="f" focussize="0,0"/>
                <v:stroke on="f"/>
                <v:imagedata o:title=""/>
                <o:lock v:ext="edit" aspectratio="f"/>
                <v:textbox>
                  <w:txbxContent>
                    <w:p>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工程质量检查的要求</w:t>
                      </w:r>
                    </w:p>
                  </w:txbxContent>
                </v:textbox>
              </v:shape>
            </w:pict>
          </mc:Fallback>
        </mc:AlternateContent>
      </w:r>
      <w:r>
        <w:rPr>
          <w:rFonts w:hint="eastAsia" w:ascii="仿宋" w:hAnsi="仿宋" w:eastAsia="仿宋" w:cs="仿宋"/>
          <w:color w:val="auto"/>
          <w:sz w:val="24"/>
          <w:szCs w:val="24"/>
          <w:highlight w:val="none"/>
        </w:rPr>
        <w:t>承包人应按照合同约定对合同工程的所有部位及其施工工艺进行全过程的质量检查，并做好详细记录，编制工程质量报表，提交监理工程师核实并由其报发包人审批。发包人应通知监理工程师及时对合同工程的所有部位及其施工工艺进行检查；发现质量不合格的，监理工程师应迅速向承包人发出书面指令，通知承包人立即拆除和重新施工。即使经监理工程师检查，也不能免除承包人按照合同约定应承担的任何责任和应履行的任何义务。</w:t>
      </w:r>
    </w:p>
    <w:p>
      <w:pPr>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p>
    <w:p>
      <w:pPr>
        <w:pStyle w:val="13"/>
        <w:shd w:val="clear" w:color="000000" w:fill="auto"/>
        <w:tabs>
          <w:tab w:val="left" w:pos="540"/>
        </w:tabs>
        <w:adjustRightInd w:val="0"/>
        <w:snapToGrid w:val="0"/>
        <w:spacing w:line="360" w:lineRule="auto"/>
        <w:ind w:firstLine="0"/>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52.3 </w:t>
      </w:r>
      <w:r>
        <w:rPr>
          <w:rFonts w:ascii="仿宋" w:hAnsi="仿宋" w:eastAsia="仿宋" w:cs="仿宋"/>
          <w:b/>
          <w:bCs/>
          <w:color w:val="auto"/>
          <w:sz w:val="24"/>
          <w:szCs w:val="24"/>
          <w:highlight w:val="none"/>
          <w:u w:val="dotted"/>
        </w:rPr>
        <w:t xml:space="preserve">                                                                                                        </w:t>
      </w:r>
    </w:p>
    <w:p>
      <w:pPr>
        <w:pStyle w:val="13"/>
        <w:shd w:val="clear" w:color="000000" w:fill="auto"/>
        <w:adjustRightInd w:val="0"/>
        <w:snapToGrid w:val="0"/>
        <w:spacing w:line="360" w:lineRule="auto"/>
        <w:ind w:left="1619" w:leftChars="771" w:firstLine="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76352" behindDoc="0" locked="0" layoutInCell="1" allowOverlap="1">
                <wp:simplePos x="0" y="0"/>
                <wp:positionH relativeFrom="column">
                  <wp:posOffset>-73660</wp:posOffset>
                </wp:positionH>
                <wp:positionV relativeFrom="paragraph">
                  <wp:posOffset>8890</wp:posOffset>
                </wp:positionV>
                <wp:extent cx="873760" cy="659765"/>
                <wp:effectExtent l="0" t="0" r="0" b="0"/>
                <wp:wrapNone/>
                <wp:docPr id="213" name="文本框 217"/>
                <wp:cNvGraphicFramePr/>
                <a:graphic xmlns:a="http://schemas.openxmlformats.org/drawingml/2006/main">
                  <a:graphicData uri="http://schemas.microsoft.com/office/word/2010/wordprocessingShape">
                    <wps:wsp>
                      <wps:cNvSpPr txBox="1"/>
                      <wps:spPr>
                        <a:xfrm>
                          <a:off x="0" y="0"/>
                          <a:ext cx="873760" cy="65976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工程质量不达标准的处理和责任</w:t>
                            </w:r>
                          </w:p>
                        </w:txbxContent>
                      </wps:txbx>
                      <wps:bodyPr upright="1"/>
                    </wps:wsp>
                  </a:graphicData>
                </a:graphic>
              </wp:anchor>
            </w:drawing>
          </mc:Choice>
          <mc:Fallback>
            <w:pict>
              <v:shape id="文本框 217" o:spid="_x0000_s1026" o:spt="202" type="#_x0000_t202" style="position:absolute;left:0pt;margin-left:-5.8pt;margin-top:0.7pt;height:51.95pt;width:68.8pt;z-index:251876352;mso-width-relative:page;mso-height-relative:page;" filled="f" stroked="f" coordsize="21600,21600" o:gfxdata="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umFIAdUA&#10;AAAJAQAADwAAAAAAAAABACAAAAAiAAAAZHJzL2Rvd25yZXYueG1sUEsBAhQAFAAAAAgAh07iQGkg&#10;W7GwAQAAUQMAAA4AAAAAAAAAAQAgAAAAJAEAAGRycy9lMm9Eb2MueG1sUEsFBgAAAAAGAAYAWQEA&#10;AEY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工程质量不达标准的处理和责任</w:t>
                      </w:r>
                    </w:p>
                  </w:txbxContent>
                </v:textbox>
              </v:shape>
            </w:pict>
          </mc:Fallback>
        </mc:AlternateContent>
      </w:r>
      <w:r>
        <w:rPr>
          <w:rFonts w:hint="eastAsia" w:ascii="仿宋" w:hAnsi="仿宋" w:eastAsia="仿宋" w:cs="仿宋"/>
          <w:color w:val="auto"/>
          <w:sz w:val="24"/>
          <w:szCs w:val="24"/>
          <w:highlight w:val="none"/>
        </w:rPr>
        <w:t>发现工程质量达不到合同约定验收标准，承包人应拆除和重新施工，直到符合合同约定验收标准为止。因承包人的原因达不到合同约定验收标准的，由此增加的费用和（或）延误的工期由承包人承担；因发包人的原因达不到合同约定验收标准的，包括承包人拆除和重新施工费用在内的由此增加的费用和（或）延误的工期由发包人承担，并向承包人支付合理利润。</w:t>
      </w:r>
    </w:p>
    <w:p>
      <w:pPr>
        <w:pStyle w:val="13"/>
        <w:shd w:val="clear" w:color="000000" w:fill="auto"/>
        <w:tabs>
          <w:tab w:val="left" w:pos="540"/>
        </w:tabs>
        <w:adjustRightInd w:val="0"/>
        <w:snapToGrid w:val="0"/>
        <w:spacing w:line="360" w:lineRule="auto"/>
        <w:ind w:firstLine="0"/>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52.4  </w:t>
      </w:r>
      <w:r>
        <w:rPr>
          <w:rFonts w:ascii="仿宋" w:hAnsi="仿宋" w:eastAsia="仿宋" w:cs="仿宋"/>
          <w:b/>
          <w:bCs/>
          <w:color w:val="auto"/>
          <w:sz w:val="24"/>
          <w:szCs w:val="24"/>
          <w:highlight w:val="none"/>
          <w:u w:val="dotted"/>
        </w:rPr>
        <w:t xml:space="preserve">                                                                                                        </w:t>
      </w:r>
    </w:p>
    <w:p>
      <w:pPr>
        <w:pStyle w:val="13"/>
        <w:shd w:val="clear" w:color="000000" w:fill="auto"/>
        <w:adjustRightInd w:val="0"/>
        <w:snapToGrid w:val="0"/>
        <w:spacing w:line="360" w:lineRule="auto"/>
        <w:ind w:left="1619" w:leftChars="771" w:firstLine="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77376" behindDoc="0" locked="0" layoutInCell="1" allowOverlap="1">
                <wp:simplePos x="0" y="0"/>
                <wp:positionH relativeFrom="column">
                  <wp:posOffset>-114300</wp:posOffset>
                </wp:positionH>
                <wp:positionV relativeFrom="paragraph">
                  <wp:posOffset>46355</wp:posOffset>
                </wp:positionV>
                <wp:extent cx="914400" cy="440055"/>
                <wp:effectExtent l="0" t="0" r="0" b="0"/>
                <wp:wrapNone/>
                <wp:docPr id="214" name="文本框 218"/>
                <wp:cNvGraphicFramePr/>
                <a:graphic xmlns:a="http://schemas.openxmlformats.org/drawingml/2006/main">
                  <a:graphicData uri="http://schemas.microsoft.com/office/word/2010/wordprocessingShape">
                    <wps:wsp>
                      <wps:cNvSpPr txBox="1"/>
                      <wps:spPr>
                        <a:xfrm>
                          <a:off x="0" y="0"/>
                          <a:ext cx="914400" cy="44005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质量检查不得影响施工</w:t>
                            </w:r>
                          </w:p>
                        </w:txbxContent>
                      </wps:txbx>
                      <wps:bodyPr upright="1"/>
                    </wps:wsp>
                  </a:graphicData>
                </a:graphic>
              </wp:anchor>
            </w:drawing>
          </mc:Choice>
          <mc:Fallback>
            <w:pict>
              <v:shape id="文本框 218" o:spid="_x0000_s1026" o:spt="202" type="#_x0000_t202" style="position:absolute;left:0pt;margin-left:-9pt;margin-top:3.65pt;height:34.65pt;width:72pt;z-index:251877376;mso-width-relative:page;mso-height-relative:page;" filled="f" stroked="f" coordsize="21600,21600" o:gfxdata="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PGhhB1AAAAAgB&#10;AAAPAAAAAAAAAAEAIAAAACIAAABkcnMvZG93bnJldi54bWxQSwECFAAUAAAACACHTuJALlf31K0B&#10;AABRAwAADgAAAAAAAAABACAAAAAjAQAAZHJzL2Uyb0RvYy54bWxQSwUGAAAAAAYABgBZAQAAQgUA&#10;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质量检查不得影响施工</w:t>
                      </w:r>
                    </w:p>
                  </w:txbxContent>
                </v:textbox>
              </v:shape>
            </w:pict>
          </mc:Fallback>
        </mc:AlternateContent>
      </w:r>
      <w:r>
        <w:rPr>
          <w:rFonts w:hint="eastAsia" w:ascii="仿宋" w:hAnsi="仿宋" w:eastAsia="仿宋" w:cs="仿宋"/>
          <w:color w:val="auto"/>
          <w:sz w:val="24"/>
          <w:szCs w:val="24"/>
          <w:highlight w:val="none"/>
        </w:rPr>
        <w:t>监理工程师对合同工程质量的检查，不得影响承包人的正常施工。如影响施工正常进行，承包人应向发包人、监理工程师发出书面改正通知；监理工程师应及时予以改正，否则承包人有权提出并得到补偿。</w:t>
      </w:r>
    </w:p>
    <w:p>
      <w:pPr>
        <w:pStyle w:val="13"/>
        <w:shd w:val="clear" w:color="000000" w:fill="auto"/>
        <w:tabs>
          <w:tab w:val="left" w:pos="540"/>
        </w:tabs>
        <w:adjustRightInd w:val="0"/>
        <w:snapToGrid w:val="0"/>
        <w:spacing w:line="360" w:lineRule="auto"/>
        <w:ind w:firstLine="0"/>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52.5  </w:t>
      </w:r>
      <w:r>
        <w:rPr>
          <w:rFonts w:ascii="仿宋" w:hAnsi="仿宋" w:eastAsia="仿宋" w:cs="仿宋"/>
          <w:b/>
          <w:bCs/>
          <w:color w:val="auto"/>
          <w:sz w:val="24"/>
          <w:szCs w:val="24"/>
          <w:highlight w:val="none"/>
          <w:u w:val="dotted"/>
        </w:rPr>
        <w:t xml:space="preserve">                                                                                                        </w:t>
      </w:r>
    </w:p>
    <w:p>
      <w:pPr>
        <w:pStyle w:val="13"/>
        <w:shd w:val="clear" w:color="000000" w:fill="auto"/>
        <w:adjustRightInd w:val="0"/>
        <w:snapToGrid w:val="0"/>
        <w:spacing w:line="360" w:lineRule="auto"/>
        <w:ind w:left="1619" w:leftChars="771" w:firstLine="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78400" behindDoc="0" locked="0" layoutInCell="1" allowOverlap="1">
                <wp:simplePos x="0" y="0"/>
                <wp:positionH relativeFrom="column">
                  <wp:posOffset>-114300</wp:posOffset>
                </wp:positionH>
                <wp:positionV relativeFrom="paragraph">
                  <wp:posOffset>46355</wp:posOffset>
                </wp:positionV>
                <wp:extent cx="914400" cy="440055"/>
                <wp:effectExtent l="0" t="0" r="0" b="0"/>
                <wp:wrapNone/>
                <wp:docPr id="215" name="文本框 219"/>
                <wp:cNvGraphicFramePr/>
                <a:graphic xmlns:a="http://schemas.openxmlformats.org/drawingml/2006/main">
                  <a:graphicData uri="http://schemas.microsoft.com/office/word/2010/wordprocessingShape">
                    <wps:wsp>
                      <wps:cNvSpPr txBox="1"/>
                      <wps:spPr>
                        <a:xfrm>
                          <a:off x="0" y="0"/>
                          <a:ext cx="914400" cy="44005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现场工艺试验</w:t>
                            </w:r>
                          </w:p>
                        </w:txbxContent>
                      </wps:txbx>
                      <wps:bodyPr upright="1"/>
                    </wps:wsp>
                  </a:graphicData>
                </a:graphic>
              </wp:anchor>
            </w:drawing>
          </mc:Choice>
          <mc:Fallback>
            <w:pict>
              <v:shape id="文本框 219" o:spid="_x0000_s1026" o:spt="202" type="#_x0000_t202" style="position:absolute;left:0pt;margin-left:-9pt;margin-top:3.65pt;height:34.65pt;width:72pt;z-index:251878400;mso-width-relative:page;mso-height-relative:page;" filled="f" stroked="f" coordsize="21600,21600" o:gfxdata="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PGhhB1AAAAAgB&#10;AAAPAAAAAAAAAAEAIAAAACIAAABkcnMvZG93bnJldi54bWxQSwECFAAUAAAACACHTuJADa6JfK0B&#10;AABRAwAADgAAAAAAAAABACAAAAAjAQAAZHJzL2Uyb0RvYy54bWxQSwUGAAAAAAYABgBZAQAAQgUA&#10;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现场工艺试验</w:t>
                      </w:r>
                    </w:p>
                  </w:txbxContent>
                </v:textbox>
              </v:shape>
            </w:pict>
          </mc:Fallback>
        </mc:AlternateContent>
      </w:r>
      <w:r>
        <w:rPr>
          <w:rFonts w:hint="eastAsia" w:ascii="仿宋" w:hAnsi="仿宋" w:eastAsia="仿宋" w:cs="仿宋"/>
          <w:color w:val="auto"/>
          <w:sz w:val="24"/>
          <w:szCs w:val="24"/>
          <w:highlight w:val="none"/>
        </w:rPr>
        <w:t>如合同有约定或监理工程师发出书面指令，承包人应进行现场工艺试验。监理工程师报发包人批准后，认为有必要进行大型现场工艺试验的，承包人应根据监理工程师提出的书面要求，编制工艺试验措施计划，提交监理工程师确认并由其报发包人审批。除工程量清单中已经列有此类工作的支付项目和额度外，由此增加的费用和（或）延误的工期由发包人承担。</w:t>
      </w:r>
    </w:p>
    <w:p>
      <w:pPr>
        <w:pStyle w:val="13"/>
        <w:shd w:val="clear" w:color="000000" w:fill="auto"/>
        <w:adjustRightInd w:val="0"/>
        <w:snapToGrid w:val="0"/>
        <w:ind w:firstLine="0"/>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
        <w:shd w:val="clear" w:color="000000" w:fill="auto"/>
        <w:tabs>
          <w:tab w:val="left" w:pos="540"/>
        </w:tabs>
        <w:adjustRightInd w:val="0"/>
        <w:snapToGrid w:val="0"/>
        <w:spacing w:before="240" w:beforeLines="100" w:line="360" w:lineRule="auto"/>
        <w:outlineLvl w:val="2"/>
        <w:rPr>
          <w:rFonts w:ascii="仿宋" w:hAnsi="仿宋" w:eastAsia="仿宋" w:cs="Times New Roman"/>
          <w:b/>
          <w:bCs/>
          <w:color w:val="auto"/>
          <w:sz w:val="24"/>
          <w:szCs w:val="24"/>
          <w:highlight w:val="none"/>
        </w:rPr>
      </w:pPr>
      <w:bookmarkStart w:id="284" w:name="_Toc13975"/>
      <w:bookmarkStart w:id="285" w:name="_Toc469384036"/>
      <w:bookmarkStart w:id="286" w:name="_Toc10624876"/>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53  </w:t>
      </w:r>
      <w:r>
        <w:rPr>
          <w:rFonts w:hint="eastAsia" w:ascii="仿宋" w:hAnsi="仿宋" w:eastAsia="仿宋" w:cs="仿宋"/>
          <w:b/>
          <w:bCs/>
          <w:color w:val="auto"/>
          <w:sz w:val="24"/>
          <w:szCs w:val="24"/>
          <w:highlight w:val="none"/>
        </w:rPr>
        <w:t>隐蔽工程和中间验收</w:t>
      </w:r>
      <w:bookmarkEnd w:id="284"/>
      <w:bookmarkEnd w:id="285"/>
      <w:bookmarkEnd w:id="286"/>
    </w:p>
    <w:p>
      <w:pPr>
        <w:pStyle w:val="13"/>
        <w:shd w:val="clear" w:color="000000" w:fill="auto"/>
        <w:tabs>
          <w:tab w:val="left" w:pos="1320"/>
        </w:tabs>
        <w:adjustRightInd w:val="0"/>
        <w:snapToGrid w:val="0"/>
        <w:spacing w:line="360" w:lineRule="auto"/>
        <w:ind w:firstLine="0"/>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53.1</w:t>
      </w:r>
    </w:p>
    <w:p>
      <w:pPr>
        <w:pStyle w:val="13"/>
        <w:shd w:val="clear" w:color="000000" w:fill="auto"/>
        <w:adjustRightInd w:val="0"/>
        <w:snapToGrid w:val="0"/>
        <w:spacing w:line="360" w:lineRule="auto"/>
        <w:ind w:left="1619" w:leftChars="771" w:firstLine="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79424" behindDoc="0" locked="0" layoutInCell="1" allowOverlap="1">
                <wp:simplePos x="0" y="0"/>
                <wp:positionH relativeFrom="column">
                  <wp:posOffset>-73660</wp:posOffset>
                </wp:positionH>
                <wp:positionV relativeFrom="paragraph">
                  <wp:posOffset>17780</wp:posOffset>
                </wp:positionV>
                <wp:extent cx="873760" cy="454660"/>
                <wp:effectExtent l="0" t="0" r="0" b="0"/>
                <wp:wrapNone/>
                <wp:docPr id="216" name="文本框 220"/>
                <wp:cNvGraphicFramePr/>
                <a:graphic xmlns:a="http://schemas.openxmlformats.org/drawingml/2006/main">
                  <a:graphicData uri="http://schemas.microsoft.com/office/word/2010/wordprocessingShape">
                    <wps:wsp>
                      <wps:cNvSpPr txBox="1"/>
                      <wps:spPr>
                        <a:xfrm>
                          <a:off x="0" y="0"/>
                          <a:ext cx="873760" cy="45466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隐蔽工程和中间验收的通知</w:t>
                            </w:r>
                          </w:p>
                        </w:txbxContent>
                      </wps:txbx>
                      <wps:bodyPr upright="1"/>
                    </wps:wsp>
                  </a:graphicData>
                </a:graphic>
              </wp:anchor>
            </w:drawing>
          </mc:Choice>
          <mc:Fallback>
            <w:pict>
              <v:shape id="文本框 220" o:spid="_x0000_s1026" o:spt="202" type="#_x0000_t202" style="position:absolute;left:0pt;margin-left:-5.8pt;margin-top:1.4pt;height:35.8pt;width:68.8pt;z-index:251879424;mso-width-relative:page;mso-height-relative:page;" filled="f" stroked="f" coordsize="21600,21600" o:gfxdata="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6iyA7NQAAAAI&#10;AQAADwAAAAAAAAABACAAAAAiAAAAZHJzL2Rvd25yZXYueG1sUEsBAhQAFAAAAAgAh07iQIqeA0Wu&#10;AQAAUQMAAA4AAAAAAAAAAQAgAAAAIwEAAGRycy9lMm9Eb2MueG1sUEsFBgAAAAAGAAYAWQEAAEMF&#10;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隐蔽工程和中间验收的通知</w:t>
                      </w:r>
                    </w:p>
                  </w:txbxContent>
                </v:textbox>
              </v:shape>
            </w:pict>
          </mc:Fallback>
        </mc:AlternateContent>
      </w:r>
      <w:r>
        <w:rPr>
          <w:rFonts w:hint="eastAsia" w:ascii="仿宋" w:hAnsi="仿宋" w:eastAsia="仿宋" w:cs="仿宋"/>
          <w:color w:val="auto"/>
          <w:sz w:val="24"/>
          <w:szCs w:val="24"/>
          <w:highlight w:val="none"/>
        </w:rPr>
        <w:t>没有经监理工程师验收同意，任何工程均不得覆盖或隐蔽。隐蔽工程覆盖前或中间验收部位具备专用条款约定的验收条件时，承包人应进行自检，并在隐蔽或中间验收前</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小时向监理工程师提出隐蔽工程或中间验收申请，通知监理工程师验收。通知的内容包括工程隐蔽或中间验收的内容、时间、地点，以及自检记录和必要的验收资料。承包人应准备验收记录，并提供必要的资料和协助。</w:t>
      </w:r>
    </w:p>
    <w:p>
      <w:pPr>
        <w:pStyle w:val="13"/>
        <w:shd w:val="clear" w:color="000000" w:fill="auto"/>
        <w:tabs>
          <w:tab w:val="left" w:pos="720"/>
        </w:tabs>
        <w:adjustRightInd w:val="0"/>
        <w:snapToGrid w:val="0"/>
        <w:spacing w:line="360" w:lineRule="auto"/>
        <w:ind w:firstLine="0"/>
        <w:rPr>
          <w:rFonts w:ascii="仿宋" w:hAnsi="仿宋" w:eastAsia="仿宋"/>
          <w:color w:val="auto"/>
          <w:sz w:val="24"/>
          <w:szCs w:val="24"/>
          <w:highlight w:val="none"/>
        </w:rPr>
      </w:pPr>
      <w:r>
        <w:rPr>
          <w:rFonts w:ascii="仿宋" w:hAnsi="仿宋" w:eastAsia="仿宋" w:cs="仿宋"/>
          <w:b/>
          <w:bCs/>
          <w:color w:val="auto"/>
          <w:sz w:val="24"/>
          <w:szCs w:val="24"/>
          <w:highlight w:val="none"/>
        </w:rPr>
        <w:t xml:space="preserve">53.2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pStyle w:val="13"/>
        <w:shd w:val="clear" w:color="000000" w:fill="auto"/>
        <w:adjustRightInd w:val="0"/>
        <w:snapToGrid w:val="0"/>
        <w:spacing w:line="360" w:lineRule="auto"/>
        <w:ind w:left="1619" w:leftChars="771" w:firstLine="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80448" behindDoc="0" locked="0" layoutInCell="1" allowOverlap="1">
                <wp:simplePos x="0" y="0"/>
                <wp:positionH relativeFrom="column">
                  <wp:posOffset>-114300</wp:posOffset>
                </wp:positionH>
                <wp:positionV relativeFrom="paragraph">
                  <wp:posOffset>52070</wp:posOffset>
                </wp:positionV>
                <wp:extent cx="914400" cy="466725"/>
                <wp:effectExtent l="0" t="0" r="0" b="0"/>
                <wp:wrapNone/>
                <wp:docPr id="217" name="文本框 221"/>
                <wp:cNvGraphicFramePr/>
                <a:graphic xmlns:a="http://schemas.openxmlformats.org/drawingml/2006/main">
                  <a:graphicData uri="http://schemas.microsoft.com/office/word/2010/wordprocessingShape">
                    <wps:wsp>
                      <wps:cNvSpPr txBox="1"/>
                      <wps:spPr>
                        <a:xfrm>
                          <a:off x="0" y="0"/>
                          <a:ext cx="914400" cy="46672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参加验收的限制</w:t>
                            </w:r>
                          </w:p>
                        </w:txbxContent>
                      </wps:txbx>
                      <wps:bodyPr upright="1"/>
                    </wps:wsp>
                  </a:graphicData>
                </a:graphic>
              </wp:anchor>
            </w:drawing>
          </mc:Choice>
          <mc:Fallback>
            <w:pict>
              <v:shape id="文本框 221" o:spid="_x0000_s1026" o:spt="202" type="#_x0000_t202" style="position:absolute;left:0pt;margin-left:-9pt;margin-top:4.1pt;height:36.75pt;width:72pt;z-index:251880448;mso-width-relative:page;mso-height-relative:page;" filled="f" stroked="f" coordsize="21600,21600" o:gfxdata="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eo09G1QAA&#10;AAgBAAAPAAAAAAAAAAEAIAAAACIAAABkcnMvZG93bnJldi54bWxQSwECFAAUAAAACACHTuJA5azb&#10;6a8BAABRAwAADgAAAAAAAAABACAAAAAkAQAAZHJzL2Uyb0RvYy54bWxQSwUGAAAAAAYABgBZAQAA&#10;R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参加验收的限制</w:t>
                      </w:r>
                    </w:p>
                  </w:txbxContent>
                </v:textbox>
              </v:shape>
            </w:pict>
          </mc:Fallback>
        </mc:AlternateContent>
      </w:r>
      <w:r>
        <w:rPr>
          <w:rFonts w:hint="eastAsia" w:ascii="仿宋" w:hAnsi="仿宋" w:eastAsia="仿宋" w:cs="仿宋"/>
          <w:color w:val="auto"/>
          <w:sz w:val="24"/>
          <w:szCs w:val="24"/>
          <w:highlight w:val="none"/>
        </w:rPr>
        <w:t>如果监理工程师不能按时参加验收，应至少提前</w:t>
      </w:r>
      <w:r>
        <w:rPr>
          <w:rFonts w:ascii="仿宋" w:hAnsi="仿宋" w:eastAsia="仿宋" w:cs="仿宋"/>
          <w:color w:val="auto"/>
          <w:sz w:val="24"/>
          <w:szCs w:val="24"/>
          <w:highlight w:val="none"/>
        </w:rPr>
        <w:t>24</w:t>
      </w:r>
      <w:r>
        <w:rPr>
          <w:rFonts w:hint="eastAsia" w:ascii="仿宋" w:hAnsi="仿宋" w:eastAsia="仿宋" w:cs="仿宋"/>
          <w:color w:val="auto"/>
          <w:sz w:val="24"/>
          <w:szCs w:val="24"/>
          <w:highlight w:val="none"/>
        </w:rPr>
        <w:t>小时发出延期验收指令并书面说明理由，延期不得超过</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小时。如果监理工程师或其委派的代表未发出延期验收指令也未到场验收，承包人可自行验收，并认为该验收是经监理工程师同意下完成的；由此增加的费用和（或）延误的工期由发包人承担，并向承包人支付合理利润。验收完成后，承包人应立即向监理工程师提交验收记录，监理工程师应予认可。监理工程师事后对验收记录有疑问的，可按照第</w:t>
      </w:r>
      <w:r>
        <w:rPr>
          <w:rFonts w:ascii="仿宋" w:hAnsi="仿宋" w:eastAsia="仿宋" w:cs="仿宋"/>
          <w:color w:val="auto"/>
          <w:sz w:val="24"/>
          <w:szCs w:val="24"/>
          <w:highlight w:val="none"/>
        </w:rPr>
        <w:t>54.1</w:t>
      </w:r>
      <w:r>
        <w:rPr>
          <w:rFonts w:hint="eastAsia" w:ascii="仿宋" w:hAnsi="仿宋" w:eastAsia="仿宋" w:cs="仿宋"/>
          <w:color w:val="auto"/>
          <w:sz w:val="24"/>
          <w:szCs w:val="24"/>
          <w:highlight w:val="none"/>
        </w:rPr>
        <w:t>款规定重新验收。</w:t>
      </w:r>
    </w:p>
    <w:p>
      <w:pPr>
        <w:pStyle w:val="13"/>
        <w:shd w:val="clear" w:color="000000" w:fill="auto"/>
        <w:tabs>
          <w:tab w:val="left" w:pos="720"/>
        </w:tabs>
        <w:adjustRightInd w:val="0"/>
        <w:snapToGrid w:val="0"/>
        <w:spacing w:line="360" w:lineRule="auto"/>
        <w:ind w:firstLine="0"/>
        <w:rPr>
          <w:rFonts w:ascii="仿宋" w:hAnsi="仿宋" w:eastAsia="仿宋"/>
          <w:color w:val="auto"/>
          <w:sz w:val="24"/>
          <w:szCs w:val="24"/>
          <w:highlight w:val="none"/>
        </w:rPr>
      </w:pPr>
      <w:r>
        <w:rPr>
          <w:rFonts w:ascii="仿宋" w:hAnsi="仿宋" w:eastAsia="仿宋" w:cs="仿宋"/>
          <w:b/>
          <w:bCs/>
          <w:color w:val="auto"/>
          <w:sz w:val="24"/>
          <w:szCs w:val="24"/>
          <w:highlight w:val="none"/>
        </w:rPr>
        <w:t xml:space="preserve">53.3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pStyle w:val="13"/>
        <w:shd w:val="clear" w:color="000000" w:fill="auto"/>
        <w:tabs>
          <w:tab w:val="left" w:pos="2160"/>
        </w:tabs>
        <w:adjustRightInd w:val="0"/>
        <w:snapToGrid w:val="0"/>
        <w:spacing w:line="360" w:lineRule="auto"/>
        <w:ind w:left="1619" w:leftChars="771" w:firstLine="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81472" behindDoc="0" locked="0" layoutInCell="1" allowOverlap="1">
                <wp:simplePos x="0" y="0"/>
                <wp:positionH relativeFrom="column">
                  <wp:posOffset>-114300</wp:posOffset>
                </wp:positionH>
                <wp:positionV relativeFrom="paragraph">
                  <wp:posOffset>3810</wp:posOffset>
                </wp:positionV>
                <wp:extent cx="914400" cy="476250"/>
                <wp:effectExtent l="0" t="0" r="0" b="0"/>
                <wp:wrapNone/>
                <wp:docPr id="218" name="文本框 222"/>
                <wp:cNvGraphicFramePr/>
                <a:graphic xmlns:a="http://schemas.openxmlformats.org/drawingml/2006/main">
                  <a:graphicData uri="http://schemas.microsoft.com/office/word/2010/wordprocessingShape">
                    <wps:wsp>
                      <wps:cNvSpPr txBox="1"/>
                      <wps:spPr>
                        <a:xfrm>
                          <a:off x="0" y="0"/>
                          <a:ext cx="914400" cy="47625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验收结果的确认</w:t>
                            </w:r>
                          </w:p>
                        </w:txbxContent>
                      </wps:txbx>
                      <wps:bodyPr upright="1"/>
                    </wps:wsp>
                  </a:graphicData>
                </a:graphic>
              </wp:anchor>
            </w:drawing>
          </mc:Choice>
          <mc:Fallback>
            <w:pict>
              <v:shape id="文本框 222" o:spid="_x0000_s1026" o:spt="202" type="#_x0000_t202" style="position:absolute;left:0pt;margin-left:-9pt;margin-top:0.3pt;height:37.5pt;width:72pt;z-index:251881472;mso-width-relative:page;mso-height-relative:page;" filled="f" stroked="f" coordsize="21600,21600" o:gfxdata="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NJBxazUAAAA&#10;BwEAAA8AAAAAAAAAAQAgAAAAIgAAAGRycy9kb3ducmV2LnhtbFBLAQIUABQAAAAIAIdO4kBhC+dN&#10;rwEAAFEDAAAOAAAAAAAAAAEAIAAAACMBAABkcnMvZTJvRG9jLnhtbFBLBQYAAAAABgAGAFkBAABE&#10;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验收结果的确认</w:t>
                      </w:r>
                    </w:p>
                  </w:txbxContent>
                </v:textbox>
              </v:shape>
            </w:pict>
          </mc:Fallback>
        </mc:AlternateContent>
      </w:r>
      <w:r>
        <w:rPr>
          <w:rFonts w:hint="eastAsia" w:ascii="仿宋" w:hAnsi="仿宋" w:eastAsia="仿宋" w:cs="仿宋"/>
          <w:color w:val="auto"/>
          <w:sz w:val="24"/>
          <w:szCs w:val="24"/>
          <w:highlight w:val="none"/>
        </w:rPr>
        <w:t>验收合格的，监理工程师应在验收记录上签字，并形成验收文件，承包人可进行隐蔽或继续施工。验收合格</w:t>
      </w:r>
      <w:r>
        <w:rPr>
          <w:rFonts w:ascii="仿宋" w:hAnsi="仿宋" w:eastAsia="仿宋" w:cs="仿宋"/>
          <w:color w:val="auto"/>
          <w:sz w:val="24"/>
          <w:szCs w:val="24"/>
          <w:highlight w:val="none"/>
        </w:rPr>
        <w:t>24</w:t>
      </w:r>
      <w:r>
        <w:rPr>
          <w:rFonts w:hint="eastAsia" w:ascii="仿宋" w:hAnsi="仿宋" w:eastAsia="仿宋" w:cs="仿宋"/>
          <w:color w:val="auto"/>
          <w:sz w:val="24"/>
          <w:szCs w:val="24"/>
          <w:highlight w:val="none"/>
        </w:rPr>
        <w:t>小时后，监理工程师仍不在验收记录上签字，视为监理工程师已认可验收记录。</w:t>
      </w:r>
    </w:p>
    <w:p>
      <w:pPr>
        <w:pStyle w:val="13"/>
        <w:shd w:val="clear" w:color="000000" w:fill="auto"/>
        <w:tabs>
          <w:tab w:val="left" w:pos="2160"/>
        </w:tabs>
        <w:adjustRightInd w:val="0"/>
        <w:snapToGrid w:val="0"/>
        <w:spacing w:line="360" w:lineRule="auto"/>
        <w:ind w:left="1619" w:leftChars="771" w:firstLine="0"/>
        <w:rPr>
          <w:rFonts w:ascii="仿宋" w:hAnsi="仿宋" w:eastAsia="仿宋"/>
          <w:color w:val="auto"/>
          <w:sz w:val="24"/>
          <w:szCs w:val="24"/>
          <w:highlight w:val="none"/>
        </w:rPr>
      </w:pPr>
      <w:r>
        <w:rPr>
          <w:rFonts w:hint="eastAsia" w:ascii="仿宋" w:hAnsi="仿宋" w:eastAsia="仿宋" w:cs="仿宋"/>
          <w:color w:val="auto"/>
          <w:sz w:val="24"/>
          <w:szCs w:val="24"/>
          <w:highlight w:val="none"/>
        </w:rPr>
        <w:t>验收不合格的，承包人应按照监理工程师的指令修改后重新验收，由此增加的费用和（或）延误的工期由承包人承担。</w:t>
      </w:r>
    </w:p>
    <w:p>
      <w:pPr>
        <w:pStyle w:val="13"/>
        <w:shd w:val="clear" w:color="000000" w:fill="auto"/>
        <w:tabs>
          <w:tab w:val="left" w:pos="540"/>
        </w:tabs>
        <w:adjustRightInd w:val="0"/>
        <w:snapToGrid w:val="0"/>
        <w:spacing w:line="360" w:lineRule="auto"/>
        <w:ind w:firstLine="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82496" behindDoc="0" locked="0" layoutInCell="1" allowOverlap="1">
                <wp:simplePos x="0" y="0"/>
                <wp:positionH relativeFrom="column">
                  <wp:posOffset>-114300</wp:posOffset>
                </wp:positionH>
                <wp:positionV relativeFrom="paragraph">
                  <wp:posOffset>245110</wp:posOffset>
                </wp:positionV>
                <wp:extent cx="914400" cy="396240"/>
                <wp:effectExtent l="0" t="0" r="0" b="0"/>
                <wp:wrapNone/>
                <wp:docPr id="219" name="文本框 223"/>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隐蔽工程的拍摄或照相</w:t>
                            </w:r>
                          </w:p>
                        </w:txbxContent>
                      </wps:txbx>
                      <wps:bodyPr upright="1"/>
                    </wps:wsp>
                  </a:graphicData>
                </a:graphic>
              </wp:anchor>
            </w:drawing>
          </mc:Choice>
          <mc:Fallback>
            <w:pict>
              <v:shape id="文本框 223" o:spid="_x0000_s1026" o:spt="202" type="#_x0000_t202" style="position:absolute;left:0pt;margin-left:-9pt;margin-top:19.3pt;height:31.2pt;width:72pt;z-index:251882496;mso-width-relative:page;mso-height-relative:page;" filled="f" stroked="f" coordsize="21600,21600" o:gfxdata="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SCLKy&#10;1wAAAAoBAAAPAAAAAAAAAAEAIAAAACIAAABkcnMvZG93bnJldi54bWxQSwECFAAUAAAACACHTuJA&#10;jAO2ObABAABRAwAADgAAAAAAAAABACAAAAAmAQAAZHJzL2Uyb0RvYy54bWxQSwUGAAAAAAYABgBZ&#10;AQAASA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隐蔽工程的拍摄或照相</w:t>
                      </w:r>
                    </w:p>
                  </w:txbxContent>
                </v:textbox>
              </v:shape>
            </w:pict>
          </mc:Fallback>
        </mc:AlternateContent>
      </w:r>
      <w:r>
        <w:rPr>
          <w:rFonts w:ascii="仿宋" w:hAnsi="仿宋" w:eastAsia="仿宋" w:cs="仿宋"/>
          <w:b/>
          <w:bCs/>
          <w:color w:val="auto"/>
          <w:sz w:val="24"/>
          <w:szCs w:val="24"/>
          <w:highlight w:val="none"/>
        </w:rPr>
        <w:t xml:space="preserve">53.4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pStyle w:val="13"/>
        <w:shd w:val="clear" w:color="000000" w:fill="auto"/>
        <w:adjustRightInd w:val="0"/>
        <w:snapToGrid w:val="0"/>
        <w:spacing w:line="360" w:lineRule="auto"/>
        <w:ind w:left="1619" w:leftChars="771" w:firstLine="0"/>
        <w:rPr>
          <w:rFonts w:ascii="仿宋" w:hAnsi="仿宋" w:eastAsia="仿宋"/>
          <w:color w:val="auto"/>
          <w:sz w:val="24"/>
          <w:szCs w:val="24"/>
          <w:highlight w:val="none"/>
        </w:rPr>
      </w:pPr>
      <w:r>
        <w:rPr>
          <w:rFonts w:hint="eastAsia" w:ascii="仿宋" w:hAnsi="仿宋" w:eastAsia="仿宋" w:cs="仿宋"/>
          <w:color w:val="auto"/>
          <w:sz w:val="24"/>
          <w:szCs w:val="24"/>
          <w:highlight w:val="none"/>
        </w:rPr>
        <w:t>如监理工程师有指令，承包人应对隐蔽工程进行拍摄或照相，保证监理工程师能充分检查和测量隐蔽的工程。</w:t>
      </w:r>
    </w:p>
    <w:p>
      <w:pPr>
        <w:pStyle w:val="13"/>
        <w:shd w:val="clear" w:color="000000" w:fill="auto"/>
        <w:tabs>
          <w:tab w:val="left" w:pos="540"/>
        </w:tabs>
        <w:adjustRightInd w:val="0"/>
        <w:snapToGrid w:val="0"/>
        <w:spacing w:line="360" w:lineRule="auto"/>
        <w:ind w:firstLine="0"/>
        <w:rPr>
          <w:rFonts w:ascii="仿宋" w:hAnsi="仿宋" w:eastAsia="仿宋"/>
          <w:b/>
          <w:bCs/>
          <w:color w:val="auto"/>
          <w:sz w:val="24"/>
          <w:szCs w:val="24"/>
          <w:highlight w:val="none"/>
        </w:rPr>
      </w:pPr>
      <w:r>
        <w:rPr>
          <w:color w:val="auto"/>
          <w:highlight w:val="none"/>
        </w:rPr>
        <mc:AlternateContent>
          <mc:Choice Requires="wps">
            <w:drawing>
              <wp:anchor distT="0" distB="0" distL="114300" distR="114300" simplePos="0" relativeHeight="251883520" behindDoc="0" locked="0" layoutInCell="1" allowOverlap="1">
                <wp:simplePos x="0" y="0"/>
                <wp:positionH relativeFrom="column">
                  <wp:posOffset>-114300</wp:posOffset>
                </wp:positionH>
                <wp:positionV relativeFrom="paragraph">
                  <wp:posOffset>245110</wp:posOffset>
                </wp:positionV>
                <wp:extent cx="914400" cy="396240"/>
                <wp:effectExtent l="0" t="0" r="0" b="0"/>
                <wp:wrapNone/>
                <wp:docPr id="220" name="文本框 22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承包人私自隐蔽</w:t>
                            </w:r>
                          </w:p>
                        </w:txbxContent>
                      </wps:txbx>
                      <wps:bodyPr upright="1"/>
                    </wps:wsp>
                  </a:graphicData>
                </a:graphic>
              </wp:anchor>
            </w:drawing>
          </mc:Choice>
          <mc:Fallback>
            <w:pict>
              <v:shape id="文本框 224" o:spid="_x0000_s1026" o:spt="202" type="#_x0000_t202" style="position:absolute;left:0pt;margin-left:-9pt;margin-top:19.3pt;height:31.2pt;width:72pt;z-index:251883520;mso-width-relative:page;mso-height-relative:page;" filled="f" stroked="f" coordsize="21600,21600" o:gfxdata="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FIIsrLX&#10;AAAACgEAAA8AAAAAAAAAAQAgAAAAIgAAAGRycy9kb3ducmV2LnhtbFBLAQIUABQAAAAIAIdO4kB+&#10;t/B9rwEAAFEDAAAOAAAAAAAAAAEAIAAAACYBAABkcnMvZTJvRG9jLnhtbFBLBQYAAAAABgAGAFkB&#10;AABHBQAAAAA=&#10;">
                <v:fill on="f" focussize="0,0"/>
                <v:stroke on="f"/>
                <v:imagedata o:title=""/>
                <o:lock v:ext="edit" aspectratio="f"/>
                <v:textbo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承包人私自隐蔽</w:t>
                      </w:r>
                    </w:p>
                  </w:txbxContent>
                </v:textbox>
              </v:shape>
            </w:pict>
          </mc:Fallback>
        </mc:AlternateContent>
      </w:r>
      <w:r>
        <w:rPr>
          <w:rFonts w:ascii="仿宋" w:hAnsi="仿宋" w:eastAsia="仿宋" w:cs="仿宋"/>
          <w:b/>
          <w:bCs/>
          <w:color w:val="auto"/>
          <w:sz w:val="24"/>
          <w:szCs w:val="24"/>
          <w:highlight w:val="none"/>
        </w:rPr>
        <w:t xml:space="preserve">53.5  </w:t>
      </w:r>
      <w:r>
        <w:rPr>
          <w:rFonts w:ascii="仿宋" w:hAnsi="仿宋" w:eastAsia="仿宋" w:cs="仿宋"/>
          <w:b/>
          <w:bCs/>
          <w:color w:val="auto"/>
          <w:sz w:val="24"/>
          <w:szCs w:val="24"/>
          <w:highlight w:val="none"/>
          <w:u w:val="dotted"/>
        </w:rPr>
        <w:t xml:space="preserve">                                                                                                       </w:t>
      </w:r>
    </w:p>
    <w:p>
      <w:pPr>
        <w:pStyle w:val="13"/>
        <w:shd w:val="clear" w:color="000000" w:fill="auto"/>
        <w:adjustRightInd w:val="0"/>
        <w:snapToGrid w:val="0"/>
        <w:spacing w:line="360" w:lineRule="auto"/>
        <w:ind w:left="1619" w:leftChars="771" w:firstLine="0"/>
        <w:rPr>
          <w:rFonts w:ascii="仿宋" w:hAnsi="仿宋" w:eastAsia="仿宋"/>
          <w:color w:val="auto"/>
          <w:sz w:val="24"/>
          <w:szCs w:val="24"/>
          <w:highlight w:val="none"/>
          <w:u w:val="single"/>
        </w:rPr>
      </w:pPr>
      <w:r>
        <w:rPr>
          <w:rFonts w:hint="eastAsia" w:ascii="仿宋" w:hAnsi="仿宋" w:eastAsia="仿宋" w:cs="仿宋"/>
          <w:color w:val="auto"/>
          <w:sz w:val="24"/>
          <w:szCs w:val="24"/>
          <w:highlight w:val="none"/>
        </w:rPr>
        <w:t>承包人未通知监理工程师到场验收，私自将隐蔽工程覆盖的，监理工程师有权指令承包人进行钻孔探测或剥露验收，由此增加的费用和（或）延误的工期由承包人承担。</w:t>
      </w:r>
    </w:p>
    <w:p>
      <w:pPr>
        <w:pStyle w:val="13"/>
        <w:shd w:val="clear" w:color="000000" w:fill="auto"/>
        <w:adjustRightInd w:val="0"/>
        <w:snapToGrid w:val="0"/>
        <w:ind w:firstLine="0"/>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
        <w:shd w:val="clear" w:color="000000" w:fill="auto"/>
        <w:tabs>
          <w:tab w:val="left" w:pos="540"/>
        </w:tabs>
        <w:adjustRightInd w:val="0"/>
        <w:snapToGrid w:val="0"/>
        <w:spacing w:before="240" w:beforeLines="100" w:line="360" w:lineRule="auto"/>
        <w:outlineLvl w:val="2"/>
        <w:rPr>
          <w:rFonts w:ascii="仿宋" w:hAnsi="仿宋" w:eastAsia="仿宋" w:cs="Times New Roman"/>
          <w:b/>
          <w:bCs/>
          <w:color w:val="auto"/>
          <w:sz w:val="24"/>
          <w:szCs w:val="24"/>
          <w:highlight w:val="none"/>
        </w:rPr>
      </w:pPr>
      <w:bookmarkStart w:id="287" w:name="_Toc469384037"/>
      <w:bookmarkStart w:id="288" w:name="_Toc10624877"/>
      <w:bookmarkStart w:id="289" w:name="_Toc13919"/>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54  </w:t>
      </w:r>
      <w:r>
        <w:rPr>
          <w:rFonts w:hint="eastAsia" w:ascii="仿宋" w:hAnsi="仿宋" w:eastAsia="仿宋" w:cs="仿宋"/>
          <w:b/>
          <w:bCs/>
          <w:color w:val="auto"/>
          <w:sz w:val="24"/>
          <w:szCs w:val="24"/>
          <w:highlight w:val="none"/>
        </w:rPr>
        <w:t>重新验收和额外检查检验</w:t>
      </w:r>
      <w:bookmarkEnd w:id="287"/>
      <w:bookmarkEnd w:id="288"/>
      <w:bookmarkEnd w:id="289"/>
    </w:p>
    <w:p>
      <w:pPr>
        <w:pStyle w:val="13"/>
        <w:shd w:val="clear" w:color="000000" w:fill="auto"/>
        <w:adjustRightInd w:val="0"/>
        <w:snapToGrid w:val="0"/>
        <w:spacing w:line="360" w:lineRule="auto"/>
        <w:ind w:firstLine="0"/>
        <w:rPr>
          <w:rFonts w:ascii="仿宋" w:hAnsi="仿宋" w:eastAsia="仿宋" w:cs="仿宋"/>
          <w:b/>
          <w:bCs/>
          <w:color w:val="auto"/>
          <w:sz w:val="24"/>
          <w:szCs w:val="24"/>
          <w:highlight w:val="none"/>
        </w:rPr>
      </w:pPr>
      <w:r>
        <w:rPr>
          <w:color w:val="auto"/>
          <w:highlight w:val="none"/>
        </w:rPr>
        <mc:AlternateContent>
          <mc:Choice Requires="wps">
            <w:drawing>
              <wp:anchor distT="0" distB="0" distL="114300" distR="114300" simplePos="0" relativeHeight="251884544" behindDoc="0" locked="0" layoutInCell="1" allowOverlap="1">
                <wp:simplePos x="0" y="0"/>
                <wp:positionH relativeFrom="column">
                  <wp:posOffset>-114300</wp:posOffset>
                </wp:positionH>
                <wp:positionV relativeFrom="paragraph">
                  <wp:posOffset>246380</wp:posOffset>
                </wp:positionV>
                <wp:extent cx="800100" cy="285750"/>
                <wp:effectExtent l="0" t="0" r="0" b="0"/>
                <wp:wrapNone/>
                <wp:docPr id="221" name="文本框 225"/>
                <wp:cNvGraphicFramePr/>
                <a:graphic xmlns:a="http://schemas.openxmlformats.org/drawingml/2006/main">
                  <a:graphicData uri="http://schemas.microsoft.com/office/word/2010/wordprocessingShape">
                    <wps:wsp>
                      <wps:cNvSpPr txBox="1"/>
                      <wps:spPr>
                        <a:xfrm>
                          <a:off x="0" y="0"/>
                          <a:ext cx="800100" cy="28575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重新验收</w:t>
                            </w:r>
                          </w:p>
                        </w:txbxContent>
                      </wps:txbx>
                      <wps:bodyPr upright="1"/>
                    </wps:wsp>
                  </a:graphicData>
                </a:graphic>
              </wp:anchor>
            </w:drawing>
          </mc:Choice>
          <mc:Fallback>
            <w:pict>
              <v:shape id="文本框 225" o:spid="_x0000_s1026" o:spt="202" type="#_x0000_t202" style="position:absolute;left:0pt;margin-left:-9pt;margin-top:19.4pt;height:22.5pt;width:63pt;z-index:251884544;mso-width-relative:page;mso-height-relative:page;" filled="f" stroked="f" coordsize="21600,21600" o:gfxdata="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K3HCFvVAAAA&#10;CQEAAA8AAAAAAAAAAQAgAAAAIgAAAGRycy9kb3ducmV2LnhtbFBLAQIUABQAAAAIAIdO4kCmkvGa&#10;rgEAAFEDAAAOAAAAAAAAAAEAIAAAACQBAABkcnMvZTJvRG9jLnhtbFBLBQYAAAAABgAGAFkBAABE&#10;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重新验收</w:t>
                      </w:r>
                    </w:p>
                  </w:txbxContent>
                </v:textbox>
              </v:shape>
            </w:pict>
          </mc:Fallback>
        </mc:AlternateContent>
      </w:r>
      <w:r>
        <w:rPr>
          <w:rFonts w:ascii="仿宋" w:hAnsi="仿宋" w:eastAsia="仿宋" w:cs="仿宋"/>
          <w:b/>
          <w:bCs/>
          <w:color w:val="auto"/>
          <w:sz w:val="24"/>
          <w:szCs w:val="24"/>
          <w:highlight w:val="none"/>
        </w:rPr>
        <w:t>54.1</w:t>
      </w:r>
    </w:p>
    <w:p>
      <w:pPr>
        <w:pStyle w:val="13"/>
        <w:shd w:val="clear" w:color="000000" w:fill="auto"/>
        <w:adjustRightInd w:val="0"/>
        <w:snapToGrid w:val="0"/>
        <w:spacing w:line="360" w:lineRule="auto"/>
        <w:ind w:left="1619" w:leftChars="771" w:firstLine="0"/>
        <w:rPr>
          <w:rFonts w:ascii="仿宋" w:hAnsi="仿宋" w:eastAsia="仿宋"/>
          <w:color w:val="auto"/>
          <w:sz w:val="24"/>
          <w:szCs w:val="24"/>
          <w:highlight w:val="none"/>
        </w:rPr>
      </w:pPr>
      <w:r>
        <w:rPr>
          <w:rFonts w:hint="eastAsia" w:ascii="仿宋" w:hAnsi="仿宋" w:eastAsia="仿宋" w:cs="仿宋"/>
          <w:color w:val="auto"/>
          <w:sz w:val="24"/>
          <w:szCs w:val="24"/>
          <w:highlight w:val="none"/>
        </w:rPr>
        <w:t>当监理工程师对已经覆盖的隐蔽工程有疑问，要求重新验收时，承包人应按照要求对已覆盖的部位进行钻孔探测或剥露，并在验收后重新覆盖恢复原状。验收合格的，由此增加的费用和（或）延误的工期由发包人承担，并向承包人支付合理利润；验收不合格的，承包人应按照监理工程师的指令重新返工，直到验收合格为止，由此增加的费用和（或）延误的工期由承包人承担。</w:t>
      </w:r>
    </w:p>
    <w:p>
      <w:pPr>
        <w:pStyle w:val="13"/>
        <w:shd w:val="clear" w:color="000000" w:fill="auto"/>
        <w:tabs>
          <w:tab w:val="left" w:pos="540"/>
          <w:tab w:val="left" w:pos="720"/>
        </w:tabs>
        <w:adjustRightInd w:val="0"/>
        <w:snapToGrid w:val="0"/>
        <w:spacing w:line="360" w:lineRule="auto"/>
        <w:ind w:firstLine="0"/>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54.2 </w:t>
      </w:r>
      <w:r>
        <w:rPr>
          <w:rFonts w:ascii="仿宋" w:hAnsi="仿宋" w:eastAsia="仿宋" w:cs="仿宋"/>
          <w:b/>
          <w:bCs/>
          <w:color w:val="auto"/>
          <w:sz w:val="24"/>
          <w:szCs w:val="24"/>
          <w:highlight w:val="none"/>
          <w:u w:val="dotted"/>
        </w:rPr>
        <w:t xml:space="preserve">                                                                                                       </w:t>
      </w:r>
    </w:p>
    <w:p>
      <w:pPr>
        <w:pStyle w:val="13"/>
        <w:shd w:val="clear" w:color="000000" w:fill="auto"/>
        <w:adjustRightInd w:val="0"/>
        <w:snapToGrid w:val="0"/>
        <w:spacing w:line="360" w:lineRule="auto"/>
        <w:ind w:left="1619" w:leftChars="771" w:firstLine="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85568" behindDoc="0" locked="0" layoutInCell="1" allowOverlap="1">
                <wp:simplePos x="0" y="0"/>
                <wp:positionH relativeFrom="column">
                  <wp:posOffset>-114300</wp:posOffset>
                </wp:positionH>
                <wp:positionV relativeFrom="paragraph">
                  <wp:posOffset>7620</wp:posOffset>
                </wp:positionV>
                <wp:extent cx="970280" cy="627380"/>
                <wp:effectExtent l="0" t="0" r="0" b="0"/>
                <wp:wrapNone/>
                <wp:docPr id="222" name="文本框 226"/>
                <wp:cNvGraphicFramePr/>
                <a:graphic xmlns:a="http://schemas.openxmlformats.org/drawingml/2006/main">
                  <a:graphicData uri="http://schemas.microsoft.com/office/word/2010/wordprocessingShape">
                    <wps:wsp>
                      <wps:cNvSpPr txBox="1"/>
                      <wps:spPr>
                        <a:xfrm>
                          <a:off x="0" y="0"/>
                          <a:ext cx="970280" cy="62738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额外检查检验</w:t>
                            </w:r>
                          </w:p>
                        </w:txbxContent>
                      </wps:txbx>
                      <wps:bodyPr upright="1"/>
                    </wps:wsp>
                  </a:graphicData>
                </a:graphic>
              </wp:anchor>
            </w:drawing>
          </mc:Choice>
          <mc:Fallback>
            <w:pict>
              <v:shape id="文本框 226" o:spid="_x0000_s1026" o:spt="202" type="#_x0000_t202" style="position:absolute;left:0pt;margin-left:-9pt;margin-top:0.6pt;height:49.4pt;width:76.4pt;z-index:251885568;mso-width-relative:page;mso-height-relative:page;" filled="f" stroked="f" coordsize="21600,21600" o:gfxdata="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MMYFonVAAAA&#10;CQEAAA8AAAAAAAAAAQAgAAAAIgAAAGRycy9kb3ducmV2LnhtbFBLAQIUABQAAAAIAIdO4kDBuTFQ&#10;rgEAAFEDAAAOAAAAAAAAAAEAIAAAACQBAABkcnMvZTJvRG9jLnhtbFBLBQYAAAAABgAGAFkBAABE&#10;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额外检查检验</w:t>
                      </w:r>
                    </w:p>
                  </w:txbxContent>
                </v:textbox>
              </v:shape>
            </w:pict>
          </mc:Fallback>
        </mc:AlternateContent>
      </w:r>
      <w:r>
        <w:rPr>
          <w:rFonts w:hint="eastAsia" w:ascii="仿宋" w:hAnsi="仿宋" w:eastAsia="仿宋" w:cs="仿宋"/>
          <w:color w:val="auto"/>
          <w:sz w:val="24"/>
          <w:szCs w:val="24"/>
          <w:highlight w:val="none"/>
        </w:rPr>
        <w:t>当监理工程师指令承包人进行合同中没有约定的检查检验，以核实合同工程某一部位或某种材料和工程设备等产品是否有缺陷时，承包人应按照要求进行检查检验。存在缺陷的，分别按照第</w:t>
      </w:r>
      <w:r>
        <w:rPr>
          <w:rFonts w:ascii="仿宋" w:hAnsi="仿宋" w:eastAsia="仿宋" w:cs="仿宋"/>
          <w:color w:val="auto"/>
          <w:sz w:val="24"/>
          <w:szCs w:val="24"/>
          <w:highlight w:val="none"/>
        </w:rPr>
        <w:t>50.5</w:t>
      </w:r>
      <w:r>
        <w:rPr>
          <w:rFonts w:hint="eastAsia" w:ascii="仿宋" w:hAnsi="仿宋" w:eastAsia="仿宋" w:cs="仿宋"/>
          <w:color w:val="auto"/>
          <w:sz w:val="24"/>
          <w:szCs w:val="24"/>
          <w:highlight w:val="none"/>
        </w:rPr>
        <w:t>款、第</w:t>
      </w:r>
      <w:r>
        <w:rPr>
          <w:rFonts w:ascii="仿宋" w:hAnsi="仿宋" w:eastAsia="仿宋" w:cs="仿宋"/>
          <w:color w:val="auto"/>
          <w:sz w:val="24"/>
          <w:szCs w:val="24"/>
          <w:highlight w:val="none"/>
        </w:rPr>
        <w:t>52.3</w:t>
      </w:r>
      <w:r>
        <w:rPr>
          <w:rFonts w:hint="eastAsia" w:ascii="仿宋" w:hAnsi="仿宋" w:eastAsia="仿宋" w:cs="仿宋"/>
          <w:color w:val="auto"/>
          <w:sz w:val="24"/>
          <w:szCs w:val="24"/>
          <w:highlight w:val="none"/>
        </w:rPr>
        <w:t>款规定处理；没有缺陷的，检查检验的费用和（或）延误的工期由发包人承担，并向承包人支付合理利润。</w:t>
      </w:r>
    </w:p>
    <w:p>
      <w:pPr>
        <w:shd w:val="clear" w:color="000000" w:fill="auto"/>
        <w:adjustRightInd w:val="0"/>
        <w:snapToGrid w:val="0"/>
        <w:spacing w:line="360" w:lineRule="auto"/>
        <w:rPr>
          <w:rFonts w:ascii="仿宋" w:hAnsi="仿宋" w:eastAsia="仿宋" w:cs="Times New Roman"/>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
        <w:shd w:val="clear" w:color="000000" w:fill="auto"/>
        <w:tabs>
          <w:tab w:val="left" w:pos="540"/>
        </w:tabs>
        <w:adjustRightInd w:val="0"/>
        <w:snapToGrid w:val="0"/>
        <w:spacing w:before="240" w:beforeLines="100" w:line="360" w:lineRule="auto"/>
        <w:outlineLvl w:val="2"/>
        <w:rPr>
          <w:rFonts w:ascii="仿宋" w:hAnsi="仿宋" w:eastAsia="仿宋" w:cs="Times New Roman"/>
          <w:b/>
          <w:bCs/>
          <w:color w:val="auto"/>
          <w:sz w:val="24"/>
          <w:szCs w:val="24"/>
          <w:highlight w:val="none"/>
        </w:rPr>
      </w:pPr>
      <w:bookmarkStart w:id="290" w:name="_Toc10624878"/>
      <w:bookmarkStart w:id="291" w:name="_Toc469384038"/>
      <w:bookmarkStart w:id="292" w:name="_Toc13336"/>
      <w:r>
        <w:rPr>
          <w:rFonts w:ascii="仿宋" w:hAnsi="仿宋" w:eastAsia="仿宋" w:cs="仿宋"/>
          <w:b/>
          <w:bCs/>
          <w:color w:val="auto"/>
          <w:sz w:val="24"/>
          <w:szCs w:val="24"/>
          <w:highlight w:val="none"/>
        </w:rPr>
        <w:t xml:space="preserve">55  </w:t>
      </w:r>
      <w:r>
        <w:rPr>
          <w:rFonts w:hint="eastAsia" w:ascii="仿宋" w:hAnsi="仿宋" w:eastAsia="仿宋" w:cs="仿宋"/>
          <w:b/>
          <w:bCs/>
          <w:color w:val="auto"/>
          <w:sz w:val="24"/>
          <w:szCs w:val="24"/>
          <w:highlight w:val="none"/>
        </w:rPr>
        <w:t>工程试车</w:t>
      </w:r>
      <w:bookmarkEnd w:id="290"/>
      <w:bookmarkEnd w:id="291"/>
      <w:bookmarkEnd w:id="292"/>
    </w:p>
    <w:p>
      <w:pPr>
        <w:shd w:val="clear" w:color="000000" w:fill="auto"/>
        <w:adjustRightInd w:val="0"/>
        <w:snapToGrid w:val="0"/>
        <w:spacing w:line="360" w:lineRule="auto"/>
        <w:ind w:left="-2" w:leftChars="-1" w:firstLine="1"/>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55.1 </w:t>
      </w:r>
    </w:p>
    <w:p>
      <w:pPr>
        <w:shd w:val="clear" w:color="000000" w:fill="auto"/>
        <w:adjustRightInd w:val="0"/>
        <w:snapToGrid w:val="0"/>
        <w:spacing w:line="360" w:lineRule="auto"/>
        <w:ind w:left="1620"/>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86592" behindDoc="0" locked="0" layoutInCell="1" allowOverlap="1">
                <wp:simplePos x="0" y="0"/>
                <wp:positionH relativeFrom="column">
                  <wp:posOffset>-114300</wp:posOffset>
                </wp:positionH>
                <wp:positionV relativeFrom="paragraph">
                  <wp:posOffset>16510</wp:posOffset>
                </wp:positionV>
                <wp:extent cx="800100" cy="297180"/>
                <wp:effectExtent l="0" t="0" r="0" b="0"/>
                <wp:wrapNone/>
                <wp:docPr id="223" name="文本框 227"/>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试车内容</w:t>
                            </w:r>
                          </w:p>
                        </w:txbxContent>
                      </wps:txbx>
                      <wps:bodyPr upright="1"/>
                    </wps:wsp>
                  </a:graphicData>
                </a:graphic>
              </wp:anchor>
            </w:drawing>
          </mc:Choice>
          <mc:Fallback>
            <w:pict>
              <v:shape id="文本框 227" o:spid="_x0000_s1026" o:spt="202" type="#_x0000_t202" style="position:absolute;left:0pt;margin-left:-9pt;margin-top:1.3pt;height:23.4pt;width:63pt;z-index:251886592;mso-width-relative:page;mso-height-relative:page;" filled="f" stroked="f" coordsize="21600,21600" o:gfxdata="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PB3sr/UAAAA&#10;CAEAAA8AAAAAAAAAAQAgAAAAIgAAAGRycy9kb3ducmV2LnhtbFBLAQIUABQAAAAIAIdO4kBhKGk6&#10;rwEAAFEDAAAOAAAAAAAAAAEAIAAAACMBAABkcnMvZTJvRG9jLnhtbFBLBQYAAAAABgAGAFkBAABE&#10;BQAAAAA=&#10;">
                <v:fill on="f" focussize="0,0"/>
                <v:stroke on="f"/>
                <v:imagedata o:title=""/>
                <o:lock v:ext="edit" aspectratio="f"/>
                <v:textbo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试车内容</w:t>
                      </w:r>
                    </w:p>
                  </w:txbxContent>
                </v:textbox>
              </v:shape>
            </w:pict>
          </mc:Fallback>
        </mc:AlternateContent>
      </w:r>
      <w:r>
        <w:rPr>
          <w:rFonts w:hint="eastAsia" w:ascii="仿宋" w:hAnsi="仿宋" w:eastAsia="仿宋" w:cs="仿宋"/>
          <w:color w:val="auto"/>
          <w:sz w:val="24"/>
          <w:szCs w:val="24"/>
          <w:highlight w:val="none"/>
        </w:rPr>
        <w:t>按照合同约定需要试车的，试车的内容应与承包人承包的安装范围相一致。</w:t>
      </w:r>
    </w:p>
    <w:p>
      <w:pPr>
        <w:shd w:val="clear" w:color="000000" w:fill="auto"/>
        <w:tabs>
          <w:tab w:val="left" w:pos="540"/>
        </w:tabs>
        <w:adjustRightInd w:val="0"/>
        <w:snapToGrid w:val="0"/>
        <w:spacing w:line="360" w:lineRule="auto"/>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55.2  </w:t>
      </w:r>
      <w:r>
        <w:rPr>
          <w:rFonts w:ascii="仿宋" w:hAnsi="仿宋" w:eastAsia="仿宋" w:cs="仿宋"/>
          <w:b/>
          <w:bCs/>
          <w:color w:val="auto"/>
          <w:sz w:val="24"/>
          <w:szCs w:val="24"/>
          <w:highlight w:val="none"/>
          <w:u w:val="dotted"/>
        </w:rPr>
        <w:t xml:space="preserve">                                                                                                        </w:t>
      </w:r>
    </w:p>
    <w:p>
      <w:pPr>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87616" behindDoc="0" locked="0" layoutInCell="1" allowOverlap="1">
                <wp:simplePos x="0" y="0"/>
                <wp:positionH relativeFrom="column">
                  <wp:posOffset>-114300</wp:posOffset>
                </wp:positionH>
                <wp:positionV relativeFrom="paragraph">
                  <wp:posOffset>3175</wp:posOffset>
                </wp:positionV>
                <wp:extent cx="914400" cy="469265"/>
                <wp:effectExtent l="0" t="0" r="0" b="0"/>
                <wp:wrapNone/>
                <wp:docPr id="224" name="文本框 228"/>
                <wp:cNvGraphicFramePr/>
                <a:graphic xmlns:a="http://schemas.openxmlformats.org/drawingml/2006/main">
                  <a:graphicData uri="http://schemas.microsoft.com/office/word/2010/wordprocessingShape">
                    <wps:wsp>
                      <wps:cNvSpPr txBox="1"/>
                      <wps:spPr>
                        <a:xfrm>
                          <a:off x="0" y="0"/>
                          <a:ext cx="914400" cy="469265"/>
                        </a:xfrm>
                        <a:prstGeom prst="rect">
                          <a:avLst/>
                        </a:prstGeom>
                        <a:noFill/>
                        <a:ln>
                          <a:noFill/>
                        </a:ln>
                      </wps:spPr>
                      <wps:txbx>
                        <w:txbxContent>
                          <w:p>
                            <w:pPr>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单机试车的通知和限制</w:t>
                            </w:r>
                          </w:p>
                        </w:txbxContent>
                      </wps:txbx>
                      <wps:bodyPr upright="1"/>
                    </wps:wsp>
                  </a:graphicData>
                </a:graphic>
              </wp:anchor>
            </w:drawing>
          </mc:Choice>
          <mc:Fallback>
            <w:pict>
              <v:shape id="文本框 228" o:spid="_x0000_s1026" o:spt="202" type="#_x0000_t202" style="position:absolute;left:0pt;margin-left:-9pt;margin-top:0.25pt;height:36.95pt;width:72pt;z-index:251887616;mso-width-relative:page;mso-height-relative:page;" filled="f" stroked="f" coordsize="21600,21600" o:gfxdata="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JsH9tnUAAAA&#10;BwEAAA8AAAAAAAAAAQAgAAAAIgAAAGRycy9kb3ducmV2LnhtbFBLAQIUABQAAAAIAIdO4kDXSbIB&#10;rwEAAFEDAAAOAAAAAAAAAAEAIAAAACMBAABkcnMvZTJvRG9jLnhtbFBLBQYAAAAABgAGAFkBAABE&#10;BQAAAAA=&#10;">
                <v:fill on="f" focussize="0,0"/>
                <v:stroke on="f"/>
                <v:imagedata o:title=""/>
                <o:lock v:ext="edit" aspectratio="f"/>
                <v:textbox>
                  <w:txbxContent>
                    <w:p>
                      <w:pPr>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单机试车的通知和限制</w:t>
                      </w:r>
                    </w:p>
                  </w:txbxContent>
                </v:textbox>
              </v:shape>
            </w:pict>
          </mc:Fallback>
        </mc:AlternateContent>
      </w:r>
      <w:r>
        <w:rPr>
          <w:rFonts w:hint="eastAsia" w:ascii="仿宋" w:hAnsi="仿宋" w:eastAsia="仿宋" w:cs="仿宋"/>
          <w:color w:val="auto"/>
          <w:sz w:val="24"/>
          <w:szCs w:val="24"/>
          <w:highlight w:val="none"/>
        </w:rPr>
        <w:t>设备安装工程具备单机无负荷试车条件时，承包人应组织试车，并在试车前</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小时以书面形式通知监理工程师。通知包括试车内容、时间和地点。承包人应自行准备试车记录，发包人应为承包人试车提供便利和协助。</w:t>
      </w:r>
    </w:p>
    <w:p>
      <w:pPr>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监理工程师不能按时参加试车的，应在开始试车前至少提前</w:t>
      </w:r>
      <w:r>
        <w:rPr>
          <w:rFonts w:ascii="仿宋" w:hAnsi="仿宋" w:eastAsia="仿宋" w:cs="仿宋"/>
          <w:color w:val="auto"/>
          <w:sz w:val="24"/>
          <w:szCs w:val="24"/>
          <w:highlight w:val="none"/>
        </w:rPr>
        <w:t>24</w:t>
      </w:r>
      <w:r>
        <w:rPr>
          <w:rFonts w:hint="eastAsia" w:ascii="仿宋" w:hAnsi="仿宋" w:eastAsia="仿宋" w:cs="仿宋"/>
          <w:color w:val="auto"/>
          <w:sz w:val="24"/>
          <w:szCs w:val="24"/>
          <w:highlight w:val="none"/>
        </w:rPr>
        <w:t>小时发出延期试车指令并书面说明理由，延期不能超过</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小时。监理工程师未发出延期试车指令也未能按时参加试车的，承包人可自行试车，并认为试车是经监理工程师同意下完成的。试车完成后，承包人应立即向监理工程师提交试车记录，监理工程师应予认可。</w:t>
      </w:r>
    </w:p>
    <w:p>
      <w:pPr>
        <w:shd w:val="clear" w:color="000000" w:fill="auto"/>
        <w:adjustRightInd w:val="0"/>
        <w:snapToGrid w:val="0"/>
        <w:spacing w:line="360" w:lineRule="auto"/>
        <w:rPr>
          <w:rFonts w:ascii="仿宋" w:hAnsi="仿宋" w:eastAsia="仿宋" w:cs="仿宋"/>
          <w:color w:val="auto"/>
          <w:sz w:val="24"/>
          <w:szCs w:val="24"/>
          <w:highlight w:val="none"/>
          <w:u w:val="dotted"/>
        </w:rPr>
      </w:pPr>
      <w:r>
        <w:rPr>
          <w:rFonts w:ascii="仿宋" w:hAnsi="仿宋" w:eastAsia="仿宋" w:cs="仿宋"/>
          <w:b/>
          <w:bCs/>
          <w:color w:val="auto"/>
          <w:sz w:val="24"/>
          <w:szCs w:val="24"/>
          <w:highlight w:val="none"/>
        </w:rPr>
        <w:t xml:space="preserve">55.3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88640" behindDoc="0" locked="0" layoutInCell="1" allowOverlap="1">
                <wp:simplePos x="0" y="0"/>
                <wp:positionH relativeFrom="column">
                  <wp:posOffset>-73660</wp:posOffset>
                </wp:positionH>
                <wp:positionV relativeFrom="paragraph">
                  <wp:posOffset>635</wp:posOffset>
                </wp:positionV>
                <wp:extent cx="873760" cy="471805"/>
                <wp:effectExtent l="0" t="0" r="0" b="0"/>
                <wp:wrapNone/>
                <wp:docPr id="225" name="文本框 229"/>
                <wp:cNvGraphicFramePr/>
                <a:graphic xmlns:a="http://schemas.openxmlformats.org/drawingml/2006/main">
                  <a:graphicData uri="http://schemas.microsoft.com/office/word/2010/wordprocessingShape">
                    <wps:wsp>
                      <wps:cNvSpPr txBox="1"/>
                      <wps:spPr>
                        <a:xfrm>
                          <a:off x="0" y="0"/>
                          <a:ext cx="873760" cy="471805"/>
                        </a:xfrm>
                        <a:prstGeom prst="rect">
                          <a:avLst/>
                        </a:prstGeom>
                        <a:noFill/>
                        <a:ln>
                          <a:noFill/>
                        </a:ln>
                      </wps:spPr>
                      <wps:txbx>
                        <w:txbxContent>
                          <w:p>
                            <w:pPr>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单机试车结果的确认</w:t>
                            </w:r>
                          </w:p>
                        </w:txbxContent>
                      </wps:txbx>
                      <wps:bodyPr upright="1"/>
                    </wps:wsp>
                  </a:graphicData>
                </a:graphic>
              </wp:anchor>
            </w:drawing>
          </mc:Choice>
          <mc:Fallback>
            <w:pict>
              <v:shape id="文本框 229" o:spid="_x0000_s1026" o:spt="202" type="#_x0000_t202" style="position:absolute;left:0pt;margin-left:-5.8pt;margin-top:0.05pt;height:37.15pt;width:68.8pt;z-index:251888640;mso-width-relative:page;mso-height-relative:page;" filled="f" stroked="f" coordsize="21600,21600" o:gfxdata="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KAs6D1AAA&#10;AAcBAAAPAAAAAAAAAAEAIAAAACIAAABkcnMvZG93bnJldi54bWxQSwECFAAUAAAACACHTuJAga56&#10;mrABAABRAwAADgAAAAAAAAABACAAAAAjAQAAZHJzL2Uyb0RvYy54bWxQSwUGAAAAAAYABgBZAQAA&#10;RQUAAAAA&#10;">
                <v:fill on="f" focussize="0,0"/>
                <v:stroke on="f"/>
                <v:imagedata o:title=""/>
                <o:lock v:ext="edit" aspectratio="f"/>
                <v:textbox>
                  <w:txbxContent>
                    <w:p>
                      <w:pPr>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单机试车结果的确认</w:t>
                      </w:r>
                    </w:p>
                  </w:txbxContent>
                </v:textbox>
              </v:shape>
            </w:pict>
          </mc:Fallback>
        </mc:AlternateContent>
      </w:r>
      <w:r>
        <w:rPr>
          <w:rFonts w:hint="eastAsia" w:ascii="仿宋" w:hAnsi="仿宋" w:eastAsia="仿宋" w:cs="仿宋"/>
          <w:color w:val="auto"/>
          <w:sz w:val="24"/>
          <w:szCs w:val="24"/>
          <w:highlight w:val="none"/>
        </w:rPr>
        <w:t>单机试车合格，监理工程师应在试车记录上签字，承包人可继续施工或申请办理竣工验收手续。单机试车合格</w:t>
      </w:r>
      <w:r>
        <w:rPr>
          <w:rFonts w:ascii="仿宋" w:hAnsi="仿宋" w:eastAsia="仿宋" w:cs="仿宋"/>
          <w:color w:val="auto"/>
          <w:sz w:val="24"/>
          <w:szCs w:val="24"/>
          <w:highlight w:val="none"/>
        </w:rPr>
        <w:t>24</w:t>
      </w:r>
      <w:r>
        <w:rPr>
          <w:rFonts w:hint="eastAsia" w:ascii="仿宋" w:hAnsi="仿宋" w:eastAsia="仿宋" w:cs="仿宋"/>
          <w:color w:val="auto"/>
          <w:sz w:val="24"/>
          <w:szCs w:val="24"/>
          <w:highlight w:val="none"/>
        </w:rPr>
        <w:t>小时后，监理工程师仍不在试车记录上签字的，视为监理工程师已认可试车记录。</w:t>
      </w:r>
    </w:p>
    <w:p>
      <w:pPr>
        <w:shd w:val="clear" w:color="000000" w:fill="auto"/>
        <w:adjustRightInd w:val="0"/>
        <w:snapToGrid w:val="0"/>
        <w:spacing w:line="360" w:lineRule="auto"/>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55.4  </w:t>
      </w:r>
      <w:r>
        <w:rPr>
          <w:rFonts w:ascii="仿宋" w:hAnsi="仿宋" w:eastAsia="仿宋" w:cs="仿宋"/>
          <w:b/>
          <w:bCs/>
          <w:color w:val="auto"/>
          <w:sz w:val="24"/>
          <w:szCs w:val="24"/>
          <w:highlight w:val="none"/>
          <w:u w:val="dotted"/>
        </w:rPr>
        <w:t xml:space="preserve">                                                                                                        </w:t>
      </w:r>
    </w:p>
    <w:p>
      <w:pPr>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89664" behindDoc="0" locked="0" layoutInCell="1" allowOverlap="1">
                <wp:simplePos x="0" y="0"/>
                <wp:positionH relativeFrom="column">
                  <wp:posOffset>-73660</wp:posOffset>
                </wp:positionH>
                <wp:positionV relativeFrom="paragraph">
                  <wp:posOffset>11430</wp:posOffset>
                </wp:positionV>
                <wp:extent cx="873760" cy="492760"/>
                <wp:effectExtent l="0" t="0" r="0" b="0"/>
                <wp:wrapNone/>
                <wp:docPr id="226" name="文本框 230"/>
                <wp:cNvGraphicFramePr/>
                <a:graphic xmlns:a="http://schemas.openxmlformats.org/drawingml/2006/main">
                  <a:graphicData uri="http://schemas.microsoft.com/office/word/2010/wordprocessingShape">
                    <wps:wsp>
                      <wps:cNvSpPr txBox="1"/>
                      <wps:spPr>
                        <a:xfrm>
                          <a:off x="0" y="0"/>
                          <a:ext cx="873760" cy="492760"/>
                        </a:xfrm>
                        <a:prstGeom prst="rect">
                          <a:avLst/>
                        </a:prstGeom>
                        <a:noFill/>
                        <a:ln>
                          <a:noFill/>
                        </a:ln>
                      </wps:spPr>
                      <wps:txbx>
                        <w:txbxContent>
                          <w:p>
                            <w:pPr>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联动试车通知和结果的确认</w:t>
                            </w:r>
                          </w:p>
                        </w:txbxContent>
                      </wps:txbx>
                      <wps:bodyPr upright="1"/>
                    </wps:wsp>
                  </a:graphicData>
                </a:graphic>
              </wp:anchor>
            </w:drawing>
          </mc:Choice>
          <mc:Fallback>
            <w:pict>
              <v:shape id="文本框 230" o:spid="_x0000_s1026" o:spt="202" type="#_x0000_t202" style="position:absolute;left:0pt;margin-left:-5.8pt;margin-top:0.9pt;height:38.8pt;width:68.8pt;z-index:251889664;mso-width-relative:page;mso-height-relative:page;" filled="f" stroked="f" coordsize="21600,21600" o:gfxdata="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CcVsADVAAAA&#10;CAEAAA8AAAAAAAAAAQAgAAAAIgAAAGRycy9kb3ducmV2LnhtbFBLAQIUABQAAAAIAIdO4kAe1Z2F&#10;rgEAAFEDAAAOAAAAAAAAAAEAIAAAACQBAABkcnMvZTJvRG9jLnhtbFBLBQYAAAAABgAGAFkBAABE&#10;BQAAAAA=&#10;">
                <v:fill on="f" focussize="0,0"/>
                <v:stroke on="f"/>
                <v:imagedata o:title=""/>
                <o:lock v:ext="edit" aspectratio="f"/>
                <v:textbox>
                  <w:txbxContent>
                    <w:p>
                      <w:pPr>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联动试车通知和结果的确认</w:t>
                      </w:r>
                    </w:p>
                  </w:txbxContent>
                </v:textbox>
              </v:shape>
            </w:pict>
          </mc:Fallback>
        </mc:AlternateContent>
      </w:r>
      <w:r>
        <w:rPr>
          <w:rFonts w:hint="eastAsia" w:ascii="仿宋" w:hAnsi="仿宋" w:eastAsia="仿宋" w:cs="仿宋"/>
          <w:color w:val="auto"/>
          <w:sz w:val="24"/>
          <w:szCs w:val="24"/>
          <w:highlight w:val="none"/>
        </w:rPr>
        <w:t>设备安装工程具备联动无负荷试车条件时，发包人应组织试车，并在试车前</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小时以书面形式通知承包人。通知包括试车内容、时间、地点和对承包人的要求，承包人应按照要求做好准备工作。试车合格，合同双方当事人均应在试车记录上签字。</w:t>
      </w:r>
    </w:p>
    <w:p>
      <w:pPr>
        <w:shd w:val="clear" w:color="000000" w:fill="auto"/>
        <w:adjustRightInd w:val="0"/>
        <w:snapToGrid w:val="0"/>
        <w:spacing w:line="360" w:lineRule="auto"/>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55.5  </w:t>
      </w:r>
      <w:r>
        <w:rPr>
          <w:rFonts w:ascii="仿宋" w:hAnsi="仿宋" w:eastAsia="仿宋" w:cs="仿宋"/>
          <w:b/>
          <w:bCs/>
          <w:color w:val="auto"/>
          <w:sz w:val="24"/>
          <w:szCs w:val="24"/>
          <w:highlight w:val="none"/>
          <w:u w:val="dotted"/>
        </w:rPr>
        <w:t xml:space="preserve">                                                                                                        </w:t>
      </w:r>
    </w:p>
    <w:p>
      <w:pPr>
        <w:shd w:val="clear" w:color="000000" w:fill="auto"/>
        <w:adjustRightInd w:val="0"/>
        <w:snapToGrid w:val="0"/>
        <w:spacing w:line="360" w:lineRule="auto"/>
        <w:ind w:left="1620"/>
        <w:rPr>
          <w:rFonts w:ascii="仿宋" w:hAnsi="仿宋" w:eastAsia="仿宋" w:cs="仿宋"/>
          <w:color w:val="auto"/>
          <w:sz w:val="24"/>
          <w:szCs w:val="24"/>
          <w:highlight w:val="none"/>
        </w:rPr>
      </w:pPr>
      <w:r>
        <w:rPr>
          <w:color w:val="auto"/>
          <w:highlight w:val="none"/>
        </w:rPr>
        <mc:AlternateContent>
          <mc:Choice Requires="wps">
            <w:drawing>
              <wp:anchor distT="0" distB="0" distL="114300" distR="114300" simplePos="0" relativeHeight="251890688" behindDoc="0" locked="0" layoutInCell="1" allowOverlap="1">
                <wp:simplePos x="0" y="0"/>
                <wp:positionH relativeFrom="column">
                  <wp:posOffset>-114300</wp:posOffset>
                </wp:positionH>
                <wp:positionV relativeFrom="paragraph">
                  <wp:posOffset>-6350</wp:posOffset>
                </wp:positionV>
                <wp:extent cx="883920" cy="427990"/>
                <wp:effectExtent l="0" t="0" r="0" b="0"/>
                <wp:wrapNone/>
                <wp:docPr id="227" name="文本框 231"/>
                <wp:cNvGraphicFramePr/>
                <a:graphic xmlns:a="http://schemas.openxmlformats.org/drawingml/2006/main">
                  <a:graphicData uri="http://schemas.microsoft.com/office/word/2010/wordprocessingShape">
                    <wps:wsp>
                      <wps:cNvSpPr txBox="1"/>
                      <wps:spPr>
                        <a:xfrm>
                          <a:off x="0" y="0"/>
                          <a:ext cx="883920" cy="427990"/>
                        </a:xfrm>
                        <a:prstGeom prst="rect">
                          <a:avLst/>
                        </a:prstGeom>
                        <a:noFill/>
                        <a:ln>
                          <a:noFill/>
                        </a:ln>
                      </wps:spPr>
                      <wps:txbx>
                        <w:txbxContent>
                          <w:p>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试车费用和不达要求处理</w:t>
                            </w:r>
                          </w:p>
                        </w:txbxContent>
                      </wps:txbx>
                      <wps:bodyPr upright="1"/>
                    </wps:wsp>
                  </a:graphicData>
                </a:graphic>
              </wp:anchor>
            </w:drawing>
          </mc:Choice>
          <mc:Fallback>
            <w:pict>
              <v:shape id="文本框 231" o:spid="_x0000_s1026" o:spt="202" type="#_x0000_t202" style="position:absolute;left:0pt;margin-left:-9pt;margin-top:-0.5pt;height:33.7pt;width:69.6pt;z-index:251890688;mso-width-relative:page;mso-height-relative:page;" filled="f" stroked="f" coordsize="21600,21600" o:gfxdata="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CCYfOHW&#10;AAAACQEAAA8AAAAAAAAAAQAgAAAAIgAAAGRycy9kb3ducmV2LnhtbFBLAQIUABQAAAAIAIdO4kCo&#10;Vl35sAEAAFEDAAAOAAAAAAAAAAEAIAAAACUBAABkcnMvZTJvRG9jLnhtbFBLBQYAAAAABgAGAFkB&#10;AABHBQAAAAA=&#10;">
                <v:fill on="f" focussize="0,0"/>
                <v:stroke on="f"/>
                <v:imagedata o:title=""/>
                <o:lock v:ext="edit" aspectratio="f"/>
                <v:textbox>
                  <w:txbxContent>
                    <w:p>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试车费用和不达要求处理</w:t>
                      </w:r>
                    </w:p>
                  </w:txbxContent>
                </v:textbox>
              </v:shape>
            </w:pict>
          </mc:Fallback>
        </mc:AlternateContent>
      </w:r>
      <w:r>
        <w:rPr>
          <w:rFonts w:hint="eastAsia" w:ascii="仿宋" w:hAnsi="仿宋" w:eastAsia="仿宋" w:cs="仿宋"/>
          <w:color w:val="auto"/>
          <w:sz w:val="24"/>
          <w:szCs w:val="24"/>
          <w:highlight w:val="none"/>
        </w:rPr>
        <w:t>试车费用，除已含在合同价款外，由发包人承担。试车达不到验收要求的，按照下列规定处理：</w:t>
      </w:r>
      <w:r>
        <w:rPr>
          <w:rFonts w:ascii="仿宋" w:hAnsi="仿宋" w:eastAsia="仿宋" w:cs="仿宋"/>
          <w:color w:val="auto"/>
          <w:sz w:val="24"/>
          <w:szCs w:val="24"/>
          <w:highlight w:val="none"/>
        </w:rPr>
        <w:t xml:space="preserve"> </w:t>
      </w:r>
    </w:p>
    <w:p>
      <w:pPr>
        <w:numPr>
          <w:ilvl w:val="0"/>
          <w:numId w:val="18"/>
        </w:numPr>
        <w:shd w:val="clear" w:color="000000" w:fill="auto"/>
        <w:tabs>
          <w:tab w:val="left" w:pos="1080"/>
          <w:tab w:val="left" w:pos="1620"/>
        </w:tabs>
        <w:adjustRightInd w:val="0"/>
        <w:snapToGrid w:val="0"/>
        <w:spacing w:line="360" w:lineRule="auto"/>
        <w:ind w:left="1619" w:leftChars="771"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由于设计原因试车达不到验收要求，发包人应要求设计人修改设计，承包人按照修改后的设计重新安装。发包人承担修改设计、拆除及重新安装的全部费用和延误的工期。</w:t>
      </w:r>
    </w:p>
    <w:p>
      <w:pPr>
        <w:numPr>
          <w:ilvl w:val="0"/>
          <w:numId w:val="18"/>
        </w:numPr>
        <w:shd w:val="clear" w:color="000000" w:fill="auto"/>
        <w:tabs>
          <w:tab w:val="left" w:pos="1080"/>
          <w:tab w:val="left" w:pos="1620"/>
        </w:tabs>
        <w:adjustRightInd w:val="0"/>
        <w:snapToGrid w:val="0"/>
        <w:spacing w:line="360" w:lineRule="auto"/>
        <w:ind w:left="1619" w:leftChars="771"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由于设备制造质量原因试车达不到验收要求，由该责任方重新购置或修理，承包人负责拆除和重新安装。设备由承包人采购的，由承包人承担修理或重新采购、拆除及重新安装的费用和延误的工期；设备由发包人供应的，发包人承担上述各项费用和延误的工期。</w:t>
      </w:r>
    </w:p>
    <w:p>
      <w:pPr>
        <w:numPr>
          <w:ilvl w:val="0"/>
          <w:numId w:val="18"/>
        </w:numPr>
        <w:shd w:val="clear" w:color="000000" w:fill="auto"/>
        <w:tabs>
          <w:tab w:val="left" w:pos="1080"/>
          <w:tab w:val="left" w:pos="1980"/>
        </w:tabs>
        <w:adjustRightInd w:val="0"/>
        <w:snapToGrid w:val="0"/>
        <w:spacing w:line="360" w:lineRule="auto"/>
        <w:ind w:left="1617" w:leftChars="770"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由于承包人施工原因试车达不到验收要求，承包人应按照监理工程师要求重新安装和试车，并承担拆除、重新安装和重新试车的费用和延误的工期。</w:t>
      </w:r>
    </w:p>
    <w:p>
      <w:pPr>
        <w:shd w:val="clear" w:color="000000" w:fill="auto"/>
        <w:adjustRightInd w:val="0"/>
        <w:snapToGrid w:val="0"/>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55.6  </w:t>
      </w:r>
      <w:r>
        <w:rPr>
          <w:rFonts w:ascii="仿宋" w:hAnsi="仿宋" w:eastAsia="仿宋" w:cs="仿宋"/>
          <w:b/>
          <w:bCs/>
          <w:color w:val="auto"/>
          <w:sz w:val="24"/>
          <w:szCs w:val="24"/>
          <w:highlight w:val="none"/>
          <w:u w:val="dotted"/>
        </w:rPr>
        <w:t xml:space="preserve">                                                                               </w:t>
      </w:r>
    </w:p>
    <w:p>
      <w:pPr>
        <w:shd w:val="clear" w:color="000000" w:fill="auto"/>
        <w:adjustRightInd w:val="0"/>
        <w:snapToGrid w:val="0"/>
        <w:rPr>
          <w:rFonts w:ascii="仿宋" w:hAnsi="仿宋" w:eastAsia="仿宋" w:cs="仿宋"/>
          <w:b/>
          <w:bCs/>
          <w:color w:val="auto"/>
          <w:sz w:val="24"/>
          <w:szCs w:val="24"/>
          <w:highlight w:val="none"/>
          <w:u w:val="dotted"/>
        </w:rPr>
      </w:pPr>
    </w:p>
    <w:p>
      <w:pPr>
        <w:pStyle w:val="33"/>
        <w:shd w:val="clear" w:color="000000" w:fill="auto"/>
        <w:adjustRightInd w:val="0"/>
        <w:snapToGrid w:val="0"/>
        <w:ind w:left="1619" w:leftChars="771"/>
        <w:rPr>
          <w:rFonts w:ascii="仿宋" w:hAnsi="仿宋" w:eastAsia="仿宋"/>
          <w:color w:val="auto"/>
          <w:highlight w:val="none"/>
        </w:rPr>
      </w:pPr>
      <w:r>
        <w:rPr>
          <w:color w:val="auto"/>
          <w:highlight w:val="none"/>
        </w:rPr>
        <mc:AlternateContent>
          <mc:Choice Requires="wps">
            <w:drawing>
              <wp:anchor distT="0" distB="0" distL="114300" distR="114300" simplePos="0" relativeHeight="251891712" behindDoc="0" locked="0" layoutInCell="1" allowOverlap="1">
                <wp:simplePos x="0" y="0"/>
                <wp:positionH relativeFrom="column">
                  <wp:posOffset>-114300</wp:posOffset>
                </wp:positionH>
                <wp:positionV relativeFrom="paragraph">
                  <wp:posOffset>10160</wp:posOffset>
                </wp:positionV>
                <wp:extent cx="800100" cy="297180"/>
                <wp:effectExtent l="0" t="0" r="0" b="0"/>
                <wp:wrapNone/>
                <wp:docPr id="228" name="文本框 232"/>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投料试车</w:t>
                            </w:r>
                          </w:p>
                        </w:txbxContent>
                      </wps:txbx>
                      <wps:bodyPr upright="1"/>
                    </wps:wsp>
                  </a:graphicData>
                </a:graphic>
              </wp:anchor>
            </w:drawing>
          </mc:Choice>
          <mc:Fallback>
            <w:pict>
              <v:shape id="文本框 232" o:spid="_x0000_s1026" o:spt="202" type="#_x0000_t202" style="position:absolute;left:0pt;margin-left:-9pt;margin-top:0.8pt;height:23.4pt;width:63pt;z-index:251891712;mso-width-relative:page;mso-height-relative:page;" filled="f" stroked="f" coordsize="21600,21600" o:gfxdata="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1nO0gNQAAAAI&#10;AQAADwAAAAAAAAABACAAAAAiAAAAZHJzL2Rvd25yZXYueG1sUEsBAhQAFAAAAAgAh07iQLBxPN2u&#10;AQAAUQMAAA4AAAAAAAAAAQAgAAAAIwEAAGRycy9lMm9Eb2MueG1sUEsFBgAAAAAGAAYAWQEAAEMF&#10;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投料试车</w:t>
                      </w:r>
                    </w:p>
                  </w:txbxContent>
                </v:textbox>
              </v:shape>
            </w:pict>
          </mc:Fallback>
        </mc:AlternateContent>
      </w:r>
      <w:r>
        <w:rPr>
          <w:rFonts w:hint="eastAsia" w:ascii="仿宋" w:hAnsi="仿宋" w:eastAsia="仿宋" w:cs="仿宋"/>
          <w:color w:val="auto"/>
          <w:highlight w:val="none"/>
        </w:rPr>
        <w:t>投料试车应在永久工程竣工验收后，由发包人负责。如果发包人要求在永久工程竣工验收前进行试车或需要承包人配合时，应事先取得承包人同意，并另行签订补充协议。</w:t>
      </w:r>
    </w:p>
    <w:p>
      <w:pPr>
        <w:pStyle w:val="13"/>
        <w:shd w:val="clear" w:color="000000" w:fill="auto"/>
        <w:adjustRightInd w:val="0"/>
        <w:snapToGrid w:val="0"/>
        <w:spacing w:line="240" w:lineRule="exact"/>
        <w:ind w:firstLine="0"/>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
        <w:shd w:val="clear" w:color="000000" w:fill="auto"/>
        <w:tabs>
          <w:tab w:val="left" w:pos="540"/>
        </w:tabs>
        <w:adjustRightInd w:val="0"/>
        <w:snapToGrid w:val="0"/>
        <w:spacing w:before="240" w:beforeLines="100" w:line="360" w:lineRule="auto"/>
        <w:outlineLvl w:val="2"/>
        <w:rPr>
          <w:rFonts w:ascii="仿宋" w:hAnsi="仿宋" w:eastAsia="仿宋" w:cs="Times New Roman"/>
          <w:b/>
          <w:bCs/>
          <w:color w:val="auto"/>
          <w:sz w:val="24"/>
          <w:szCs w:val="24"/>
          <w:highlight w:val="none"/>
        </w:rPr>
      </w:pPr>
      <w:bookmarkStart w:id="293" w:name="_Toc10624879"/>
      <w:bookmarkStart w:id="294" w:name="_Toc4973"/>
      <w:bookmarkStart w:id="295" w:name="_Toc469384039"/>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56  </w:t>
      </w:r>
      <w:r>
        <w:rPr>
          <w:rFonts w:hint="eastAsia" w:ascii="仿宋" w:hAnsi="仿宋" w:eastAsia="仿宋" w:cs="仿宋"/>
          <w:b/>
          <w:bCs/>
          <w:color w:val="auto"/>
          <w:sz w:val="24"/>
          <w:szCs w:val="24"/>
          <w:highlight w:val="none"/>
        </w:rPr>
        <w:t>工程变更</w:t>
      </w:r>
      <w:bookmarkEnd w:id="293"/>
      <w:bookmarkEnd w:id="294"/>
      <w:bookmarkEnd w:id="295"/>
    </w:p>
    <w:p>
      <w:pPr>
        <w:pStyle w:val="2"/>
        <w:shd w:val="clear" w:color="000000" w:fill="auto"/>
        <w:adjustRightInd w:val="0"/>
        <w:snapToGrid w:val="0"/>
        <w:spacing w:line="360" w:lineRule="auto"/>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56.1</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92736" behindDoc="0" locked="0" layoutInCell="1" allowOverlap="1">
                <wp:simplePos x="0" y="0"/>
                <wp:positionH relativeFrom="column">
                  <wp:posOffset>-114300</wp:posOffset>
                </wp:positionH>
                <wp:positionV relativeFrom="paragraph">
                  <wp:posOffset>1270</wp:posOffset>
                </wp:positionV>
                <wp:extent cx="1028700" cy="297180"/>
                <wp:effectExtent l="0" t="0" r="0" b="0"/>
                <wp:wrapNone/>
                <wp:docPr id="229" name="文本框 233"/>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工程变更权限</w:t>
                            </w:r>
                          </w:p>
                        </w:txbxContent>
                      </wps:txbx>
                      <wps:bodyPr upright="1"/>
                    </wps:wsp>
                  </a:graphicData>
                </a:graphic>
              </wp:anchor>
            </w:drawing>
          </mc:Choice>
          <mc:Fallback>
            <w:pict>
              <v:shape id="文本框 233" o:spid="_x0000_s1026" o:spt="202" type="#_x0000_t202" style="position:absolute;left:0pt;margin-left:-9pt;margin-top:0.1pt;height:23.4pt;width:81pt;z-index:251892736;mso-width-relative:page;mso-height-relative:page;" filled="f" stroked="f" coordsize="21600,21600" o:gfxdata="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JrMkyrTAAAA&#10;BwEAAA8AAAAAAAAAAQAgAAAAIgAAAGRycy9kb3ducmV2LnhtbFBLAQIUABQAAAAIAIdO4kAWw4pP&#10;sAEAAFIDAAAOAAAAAAAAAAEAIAAAACIBAABkcnMvZTJvRG9jLnhtbFBLBQYAAAAABgAGAFkBAABE&#10;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工程变更权限</w:t>
                      </w:r>
                    </w:p>
                  </w:txbxContent>
                </v:textbox>
              </v:shape>
            </w:pict>
          </mc:Fallback>
        </mc:AlternateContent>
      </w:r>
      <w:r>
        <w:rPr>
          <w:rFonts w:hint="eastAsia" w:ascii="仿宋" w:hAnsi="仿宋" w:eastAsia="仿宋" w:cs="仿宋"/>
          <w:color w:val="auto"/>
          <w:sz w:val="24"/>
          <w:szCs w:val="24"/>
          <w:highlight w:val="none"/>
        </w:rPr>
        <w:t>合同履行期间，经发包人批准，监理工程师可按照第</w:t>
      </w:r>
      <w:r>
        <w:rPr>
          <w:rFonts w:ascii="仿宋" w:hAnsi="仿宋" w:eastAsia="仿宋" w:cs="仿宋"/>
          <w:color w:val="auto"/>
          <w:sz w:val="24"/>
          <w:szCs w:val="24"/>
          <w:highlight w:val="none"/>
        </w:rPr>
        <w:t>56.3</w:t>
      </w:r>
      <w:r>
        <w:rPr>
          <w:rFonts w:hint="eastAsia" w:ascii="仿宋" w:hAnsi="仿宋" w:eastAsia="仿宋" w:cs="仿宋"/>
          <w:color w:val="auto"/>
          <w:sz w:val="24"/>
          <w:szCs w:val="24"/>
          <w:highlight w:val="none"/>
        </w:rPr>
        <w:t>款约定的变更程序向承包人发出变更指令，承包人应按照合同约定实施变更工作。</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没有经发包人批准也没有监理工程师的工程变更指令，承包人应按照合同约定施工，无权对合同工程作出任何变更。</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工程量偏差不属于工程变更，该项工程量增减不需要任何指令。</w:t>
      </w:r>
    </w:p>
    <w:p>
      <w:pPr>
        <w:pStyle w:val="2"/>
        <w:shd w:val="clear" w:color="000000" w:fill="auto"/>
        <w:adjustRightInd w:val="0"/>
        <w:snapToGrid w:val="0"/>
        <w:rPr>
          <w:rFonts w:ascii="仿宋" w:hAnsi="仿宋" w:eastAsia="仿宋" w:cs="仿宋"/>
          <w:color w:val="auto"/>
          <w:sz w:val="24"/>
          <w:szCs w:val="24"/>
          <w:highlight w:val="none"/>
          <w:u w:val="dotted"/>
        </w:rPr>
      </w:pPr>
      <w:r>
        <w:rPr>
          <w:rFonts w:ascii="仿宋" w:hAnsi="仿宋" w:eastAsia="仿宋" w:cs="仿宋"/>
          <w:b/>
          <w:bCs/>
          <w:color w:val="auto"/>
          <w:sz w:val="24"/>
          <w:szCs w:val="24"/>
          <w:highlight w:val="none"/>
        </w:rPr>
        <w:t xml:space="preserve">56.2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pStyle w:val="2"/>
        <w:shd w:val="clear" w:color="000000" w:fill="auto"/>
        <w:adjustRightInd w:val="0"/>
        <w:snapToGrid w:val="0"/>
        <w:rPr>
          <w:rFonts w:ascii="仿宋" w:hAnsi="仿宋" w:eastAsia="仿宋" w:cs="Times New Roman"/>
          <w:color w:val="auto"/>
          <w:sz w:val="24"/>
          <w:szCs w:val="24"/>
          <w:highlight w:val="none"/>
        </w:rPr>
      </w:pP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93760" behindDoc="0" locked="0" layoutInCell="1" allowOverlap="1">
                <wp:simplePos x="0" y="0"/>
                <wp:positionH relativeFrom="column">
                  <wp:posOffset>-114300</wp:posOffset>
                </wp:positionH>
                <wp:positionV relativeFrom="paragraph">
                  <wp:posOffset>69850</wp:posOffset>
                </wp:positionV>
                <wp:extent cx="914400" cy="396240"/>
                <wp:effectExtent l="0" t="0" r="0" b="0"/>
                <wp:wrapNone/>
                <wp:docPr id="230" name="文本框 23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工程变更内容</w:t>
                            </w:r>
                          </w:p>
                        </w:txbxContent>
                      </wps:txbx>
                      <wps:bodyPr upright="1"/>
                    </wps:wsp>
                  </a:graphicData>
                </a:graphic>
              </wp:anchor>
            </w:drawing>
          </mc:Choice>
          <mc:Fallback>
            <w:pict>
              <v:shape id="文本框 234" o:spid="_x0000_s1026" o:spt="202" type="#_x0000_t202" style="position:absolute;left:0pt;margin-left:-9pt;margin-top:5.5pt;height:31.2pt;width:72pt;z-index:251893760;mso-width-relative:page;mso-height-relative:page;" filled="f" stroked="f" coordsize="21600,21600" o:gfxdata="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wPpe1dYA&#10;AAAJAQAADwAAAAAAAAABACAAAAAiAAAAZHJzL2Rvd25yZXYueG1sUEsBAhQAFAAAAAgAh07iQPW4&#10;P9+vAQAAUQMAAA4AAAAAAAAAAQAgAAAAJQEAAGRycy9lMm9Eb2MueG1sUEsFBgAAAAAGAAYAWQEA&#10;AEY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工程变更内容</w:t>
                      </w:r>
                    </w:p>
                  </w:txbxContent>
                </v:textbox>
              </v:shape>
            </w:pict>
          </mc:Fallback>
        </mc:AlternateContent>
      </w:r>
      <w:r>
        <w:rPr>
          <w:rFonts w:hint="eastAsia" w:ascii="仿宋" w:hAnsi="仿宋" w:eastAsia="仿宋" w:cs="仿宋"/>
          <w:color w:val="auto"/>
          <w:sz w:val="24"/>
          <w:szCs w:val="24"/>
          <w:highlight w:val="none"/>
        </w:rPr>
        <w:t>合同履行期间，发包人可对合同工程或其任何部分的形式、质量或数量作出变更。发生下列情形之一，应按照本条规定进行变更。</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(1) </w:t>
      </w:r>
      <w:r>
        <w:rPr>
          <w:rFonts w:hint="eastAsia" w:ascii="仿宋" w:hAnsi="仿宋" w:eastAsia="仿宋" w:cs="仿宋"/>
          <w:color w:val="auto"/>
          <w:sz w:val="24"/>
          <w:szCs w:val="24"/>
          <w:highlight w:val="none"/>
        </w:rPr>
        <w:t>改变合同工程中任何工程数量（不含工程量的偏差）；</w:t>
      </w:r>
    </w:p>
    <w:p>
      <w:pPr>
        <w:pStyle w:val="2"/>
        <w:shd w:val="clear" w:color="000000" w:fill="auto"/>
        <w:adjustRightInd w:val="0"/>
        <w:snapToGrid w:val="0"/>
        <w:spacing w:line="360" w:lineRule="auto"/>
        <w:ind w:left="1619" w:leftChars="771"/>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(2) </w:t>
      </w:r>
      <w:r>
        <w:rPr>
          <w:rFonts w:hint="eastAsia" w:ascii="仿宋" w:hAnsi="仿宋" w:eastAsia="仿宋" w:cs="仿宋"/>
          <w:color w:val="auto"/>
          <w:sz w:val="24"/>
          <w:szCs w:val="24"/>
          <w:highlight w:val="none"/>
        </w:rPr>
        <w:t>删减任何工作，但删减的工作不能转由发包人或其他人实施；</w:t>
      </w:r>
      <w:r>
        <w:rPr>
          <w:rFonts w:ascii="仿宋" w:hAnsi="仿宋" w:eastAsia="仿宋" w:cs="仿宋"/>
          <w:color w:val="auto"/>
          <w:sz w:val="24"/>
          <w:szCs w:val="24"/>
          <w:highlight w:val="none"/>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(3) </w:t>
      </w:r>
      <w:r>
        <w:rPr>
          <w:rFonts w:hint="eastAsia" w:ascii="仿宋" w:hAnsi="仿宋" w:eastAsia="仿宋" w:cs="仿宋"/>
          <w:color w:val="auto"/>
          <w:sz w:val="24"/>
          <w:szCs w:val="24"/>
          <w:highlight w:val="none"/>
        </w:rPr>
        <w:t>改变任何工作内容的性质、质量或其他特征；</w:t>
      </w:r>
    </w:p>
    <w:p>
      <w:pPr>
        <w:pStyle w:val="2"/>
        <w:shd w:val="clear" w:color="000000" w:fill="auto"/>
        <w:adjustRightInd w:val="0"/>
        <w:snapToGrid w:val="0"/>
        <w:spacing w:line="360" w:lineRule="auto"/>
        <w:ind w:left="1619" w:leftChars="771" w:firstLine="1"/>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(4) </w:t>
      </w:r>
      <w:r>
        <w:rPr>
          <w:rFonts w:hint="eastAsia" w:ascii="仿宋" w:hAnsi="仿宋" w:eastAsia="仿宋" w:cs="仿宋"/>
          <w:color w:val="auto"/>
          <w:sz w:val="24"/>
          <w:szCs w:val="24"/>
          <w:highlight w:val="none"/>
        </w:rPr>
        <w:t>改变工程任何部分的标高、基线、位置和</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或</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尺寸；</w:t>
      </w:r>
    </w:p>
    <w:p>
      <w:pPr>
        <w:pStyle w:val="2"/>
        <w:shd w:val="clear" w:color="000000" w:fill="auto"/>
        <w:adjustRightInd w:val="0"/>
        <w:snapToGrid w:val="0"/>
        <w:spacing w:line="360" w:lineRule="auto"/>
        <w:ind w:left="1619" w:leftChars="771" w:firstLine="1"/>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(5) </w:t>
      </w:r>
      <w:r>
        <w:rPr>
          <w:rFonts w:hint="eastAsia" w:ascii="仿宋" w:hAnsi="仿宋" w:eastAsia="仿宋" w:cs="仿宋"/>
          <w:color w:val="auto"/>
          <w:sz w:val="24"/>
          <w:szCs w:val="24"/>
          <w:highlight w:val="none"/>
        </w:rPr>
        <w:t>为完成永久工程所必须的任何额外工作；</w:t>
      </w:r>
    </w:p>
    <w:p>
      <w:pPr>
        <w:pStyle w:val="2"/>
        <w:shd w:val="clear" w:color="000000" w:fill="auto"/>
        <w:adjustRightInd w:val="0"/>
        <w:snapToGrid w:val="0"/>
        <w:spacing w:line="360" w:lineRule="auto"/>
        <w:ind w:left="1619" w:leftChars="771" w:firstLine="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但对合同工程工期、质量标准等实质性变更的，应在作出变更前，与承包人签订补充协议书，作为本合同的补充文件。</w:t>
      </w:r>
    </w:p>
    <w:p>
      <w:pPr>
        <w:pStyle w:val="2"/>
        <w:shd w:val="clear" w:color="000000" w:fill="auto"/>
        <w:adjustRightInd w:val="0"/>
        <w:snapToGrid w:val="0"/>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56.3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rPr>
          <w:rFonts w:ascii="仿宋" w:hAnsi="仿宋" w:eastAsia="仿宋" w:cs="Times New Roman"/>
          <w:b/>
          <w:bCs/>
          <w:color w:val="auto"/>
          <w:sz w:val="24"/>
          <w:szCs w:val="24"/>
          <w:highlight w:val="none"/>
        </w:rPr>
      </w:pP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94784" behindDoc="0" locked="0" layoutInCell="1" allowOverlap="1">
                <wp:simplePos x="0" y="0"/>
                <wp:positionH relativeFrom="column">
                  <wp:posOffset>-114300</wp:posOffset>
                </wp:positionH>
                <wp:positionV relativeFrom="paragraph">
                  <wp:posOffset>15875</wp:posOffset>
                </wp:positionV>
                <wp:extent cx="914400" cy="556895"/>
                <wp:effectExtent l="0" t="0" r="0" b="0"/>
                <wp:wrapNone/>
                <wp:docPr id="231" name="文本框 235"/>
                <wp:cNvGraphicFramePr/>
                <a:graphic xmlns:a="http://schemas.openxmlformats.org/drawingml/2006/main">
                  <a:graphicData uri="http://schemas.microsoft.com/office/word/2010/wordprocessingShape">
                    <wps:wsp>
                      <wps:cNvSpPr txBox="1"/>
                      <wps:spPr>
                        <a:xfrm>
                          <a:off x="0" y="0"/>
                          <a:ext cx="914400" cy="55689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工程变更程序</w:t>
                            </w:r>
                          </w:p>
                        </w:txbxContent>
                      </wps:txbx>
                      <wps:bodyPr upright="1"/>
                    </wps:wsp>
                  </a:graphicData>
                </a:graphic>
              </wp:anchor>
            </w:drawing>
          </mc:Choice>
          <mc:Fallback>
            <w:pict>
              <v:shape id="文本框 235" o:spid="_x0000_s1026" o:spt="202" type="#_x0000_t202" style="position:absolute;left:0pt;margin-left:-9pt;margin-top:1.25pt;height:43.85pt;width:72pt;z-index:251894784;mso-width-relative:page;mso-height-relative:page;" filled="f" stroked="f" coordsize="21600,21600" o:gfxdata="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FQw/9jV&#10;AAAACAEAAA8AAAAAAAAAAQAgAAAAIgAAAGRycy9kb3ducmV2LnhtbFBLAQIUABQAAAAIAIdO4kC1&#10;QmN3sQEAAFEDAAAOAAAAAAAAAAEAIAAAACQBAABkcnMvZTJvRG9jLnhtbFBLBQYAAAAABgAGAFkB&#10;AABH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工程变更程序</w:t>
                      </w:r>
                    </w:p>
                  </w:txbxContent>
                </v:textbox>
              </v:shape>
            </w:pict>
          </mc:Fallback>
        </mc:AlternateContent>
      </w:r>
      <w:r>
        <w:rPr>
          <w:rFonts w:hint="eastAsia" w:ascii="仿宋" w:hAnsi="仿宋" w:eastAsia="仿宋" w:cs="仿宋"/>
          <w:color w:val="auto"/>
          <w:sz w:val="24"/>
          <w:szCs w:val="24"/>
          <w:highlight w:val="none"/>
        </w:rPr>
        <w:t>合同工程发生变更，合同双方当事人以及监理工程师、造价工程师应遵循下列程序实施工程变更的相关工作。</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合同工程可能发生或发生工程变更时，监理工程师或承包人可依据下列情况及时提出。</w:t>
      </w:r>
    </w:p>
    <w:p>
      <w:pPr>
        <w:pStyle w:val="2"/>
        <w:shd w:val="clear" w:color="000000" w:fill="auto"/>
        <w:adjustRightInd w:val="0"/>
        <w:snapToGrid w:val="0"/>
        <w:spacing w:line="360" w:lineRule="auto"/>
        <w:ind w:left="162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）合同工程可能发生第</w:t>
      </w:r>
      <w:r>
        <w:rPr>
          <w:rFonts w:ascii="仿宋" w:hAnsi="仿宋" w:eastAsia="仿宋" w:cs="仿宋"/>
          <w:color w:val="auto"/>
          <w:sz w:val="24"/>
          <w:szCs w:val="24"/>
          <w:highlight w:val="none"/>
        </w:rPr>
        <w:t>56.2</w:t>
      </w:r>
      <w:r>
        <w:rPr>
          <w:rFonts w:hint="eastAsia" w:ascii="仿宋" w:hAnsi="仿宋" w:eastAsia="仿宋" w:cs="仿宋"/>
          <w:color w:val="auto"/>
          <w:sz w:val="24"/>
          <w:szCs w:val="24"/>
          <w:highlight w:val="none"/>
        </w:rPr>
        <w:t>款所列情形的，监理工程师可向承包人发出变更意向书，并附必要的施工设计图纸及其说明等资料。承包人应在收到变更意向书后的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天内，向监理工程师书面提交包括拟实施变更工作的计划、措施、竣工时间、修改内容和所需金额等在内的实施方案。发包人应在收到实施方案后的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天内予以答复；同意承包人提交的实施方案的，监理工程师应在收到实施方案后的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天内发出变更指令。</w:t>
      </w:r>
    </w:p>
    <w:p>
      <w:pPr>
        <w:pStyle w:val="2"/>
        <w:shd w:val="clear" w:color="000000" w:fill="auto"/>
        <w:adjustRightInd w:val="0"/>
        <w:snapToGrid w:val="0"/>
        <w:spacing w:line="360" w:lineRule="auto"/>
        <w:ind w:left="162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）合同工程发生第</w:t>
      </w:r>
      <w:r>
        <w:rPr>
          <w:rFonts w:ascii="仿宋" w:hAnsi="仿宋" w:eastAsia="仿宋" w:cs="仿宋"/>
          <w:color w:val="auto"/>
          <w:sz w:val="24"/>
          <w:szCs w:val="24"/>
          <w:highlight w:val="none"/>
        </w:rPr>
        <w:t>56.2</w:t>
      </w:r>
      <w:r>
        <w:rPr>
          <w:rFonts w:hint="eastAsia" w:ascii="仿宋" w:hAnsi="仿宋" w:eastAsia="仿宋" w:cs="仿宋"/>
          <w:color w:val="auto"/>
          <w:sz w:val="24"/>
          <w:szCs w:val="24"/>
          <w:highlight w:val="none"/>
        </w:rPr>
        <w:t>款所列情形的，监理工程师应至少提前</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天以书面形式向承包人发出变更指令，并提供变更的施工设计图纸及其说明等资料。</w:t>
      </w:r>
    </w:p>
    <w:p>
      <w:pPr>
        <w:pStyle w:val="2"/>
        <w:shd w:val="clear" w:color="000000" w:fill="auto"/>
        <w:adjustRightInd w:val="0"/>
        <w:snapToGrid w:val="0"/>
        <w:spacing w:line="360" w:lineRule="auto"/>
        <w:ind w:left="162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）承包人收到发包人为实施合同工程所提供的施工设计图纸和文件，经检查认为存在第</w:t>
      </w:r>
      <w:r>
        <w:rPr>
          <w:rFonts w:ascii="仿宋" w:hAnsi="仿宋" w:eastAsia="仿宋" w:cs="仿宋"/>
          <w:color w:val="auto"/>
          <w:sz w:val="24"/>
          <w:szCs w:val="24"/>
          <w:highlight w:val="none"/>
        </w:rPr>
        <w:t>56.2</w:t>
      </w:r>
      <w:r>
        <w:rPr>
          <w:rFonts w:hint="eastAsia" w:ascii="仿宋" w:hAnsi="仿宋" w:eastAsia="仿宋" w:cs="仿宋"/>
          <w:color w:val="auto"/>
          <w:sz w:val="24"/>
          <w:szCs w:val="24"/>
          <w:highlight w:val="none"/>
        </w:rPr>
        <w:t>款所列情形的，可向监理工程师提出书面建议。监理工程师收到承包人书面建议后，应提出确认意见并报发包人审批；确认存在变更的，监理工程师应在收到承包人书面建议后的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天内发出变更指令。不同意作为变更的，应由监理工程师书面答复承包人。</w:t>
      </w:r>
    </w:p>
    <w:p>
      <w:pPr>
        <w:pStyle w:val="2"/>
        <w:shd w:val="clear" w:color="000000" w:fill="auto"/>
        <w:adjustRightInd w:val="0"/>
        <w:snapToGrid w:val="0"/>
        <w:spacing w:line="360" w:lineRule="auto"/>
        <w:ind w:left="162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4</w:t>
      </w:r>
      <w:r>
        <w:rPr>
          <w:rFonts w:hint="eastAsia" w:ascii="仿宋" w:hAnsi="仿宋" w:eastAsia="仿宋" w:cs="仿宋"/>
          <w:color w:val="auto"/>
          <w:sz w:val="24"/>
          <w:szCs w:val="24"/>
          <w:highlight w:val="none"/>
        </w:rPr>
        <w:t>）若承包人收到监理工程师的变更意向书后认为难以实施此项变更的，应立即通知监理工程师，说明原因并附详细依据。监理工程师与合同双方当事人协商后确定撤销、改变或不改变原变更意向书。</w:t>
      </w:r>
    </w:p>
    <w:p>
      <w:pPr>
        <w:pStyle w:val="2"/>
        <w:shd w:val="clear" w:color="000000" w:fill="auto"/>
        <w:adjustRightInd w:val="0"/>
        <w:snapToGrid w:val="0"/>
        <w:spacing w:line="360" w:lineRule="auto"/>
        <w:ind w:left="162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）承包人应在收到监理工程师发出变更指令或变更意向书后的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天内，向发包人提交工程变更报告，并抄送监理工程师、造价工程师。报告内容应包括变更原因、根据第</w:t>
      </w:r>
      <w:r>
        <w:rPr>
          <w:rFonts w:ascii="仿宋" w:hAnsi="仿宋" w:eastAsia="仿宋" w:cs="仿宋"/>
          <w:color w:val="auto"/>
          <w:sz w:val="24"/>
          <w:szCs w:val="24"/>
          <w:highlight w:val="none"/>
        </w:rPr>
        <w:t>72</w:t>
      </w:r>
      <w:r>
        <w:rPr>
          <w:rFonts w:hint="eastAsia" w:ascii="仿宋" w:hAnsi="仿宋" w:eastAsia="仿宋" w:cs="仿宋"/>
          <w:color w:val="auto"/>
          <w:sz w:val="24"/>
          <w:szCs w:val="24"/>
          <w:highlight w:val="none"/>
        </w:rPr>
        <w:t>条约定详细开列变更工作的价格组成和依据，并附变更的施工设计图纸及其相关说明。</w:t>
      </w:r>
    </w:p>
    <w:p>
      <w:pPr>
        <w:pStyle w:val="2"/>
        <w:shd w:val="clear" w:color="000000" w:fill="auto"/>
        <w:adjustRightInd w:val="0"/>
        <w:snapToGrid w:val="0"/>
        <w:spacing w:line="360" w:lineRule="auto"/>
        <w:ind w:left="162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变更工作影响工期的，承包人应提出调整工期的要求。发包人认为有必要时，可要求承包人提交提前或者延长工期的施工进度计划或相应施工措施等资料。</w:t>
      </w:r>
    </w:p>
    <w:p>
      <w:pPr>
        <w:pStyle w:val="2"/>
        <w:shd w:val="clear" w:color="000000" w:fill="auto"/>
        <w:adjustRightInd w:val="0"/>
        <w:snapToGrid w:val="0"/>
        <w:spacing w:line="360" w:lineRule="auto"/>
        <w:ind w:left="162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发包人在收到承包人工程变更报告后，应通知监理工程师、造价工程师及时对报告内容予以核实，并在收到报告后的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天内予以确定或提出修改意见。发包人在收到承包人工程变更报告后的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天内未确定也未提出修改意见的，视为承包人提交的工程变更报告已被认可。</w:t>
      </w:r>
    </w:p>
    <w:p>
      <w:pPr>
        <w:pStyle w:val="2"/>
        <w:shd w:val="clear" w:color="000000" w:fill="auto"/>
        <w:adjustRightInd w:val="0"/>
        <w:snapToGrid w:val="0"/>
        <w:spacing w:line="360" w:lineRule="auto"/>
        <w:ind w:left="1575" w:leftChars="750"/>
        <w:rPr>
          <w:rFonts w:ascii="仿宋" w:hAnsi="仿宋" w:eastAsia="仿宋" w:cs="Times New Roman"/>
          <w:b/>
          <w:bCs/>
          <w:color w:val="auto"/>
          <w:sz w:val="24"/>
          <w:szCs w:val="24"/>
          <w:highlight w:val="none"/>
        </w:rPr>
      </w:pPr>
      <w:r>
        <w:rPr>
          <w:rFonts w:ascii="仿宋" w:hAnsi="仿宋" w:eastAsia="仿宋" w:cs="仿宋"/>
          <w:color w:val="auto"/>
          <w:sz w:val="24"/>
          <w:szCs w:val="24"/>
          <w:highlight w:val="none"/>
        </w:rPr>
        <w:t>(4)</w:t>
      </w:r>
      <w:r>
        <w:rPr>
          <w:rFonts w:hint="eastAsia" w:ascii="仿宋" w:hAnsi="仿宋" w:eastAsia="仿宋" w:cs="仿宋"/>
          <w:color w:val="auto"/>
          <w:sz w:val="24"/>
          <w:szCs w:val="24"/>
          <w:highlight w:val="none"/>
        </w:rPr>
        <w:t>承包人应在发包人确定工程变更报告后的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天内，按照监理工程师发出的变更指令及时组织实施变更工作。否则，由此引起的损失和（或）延误的工期由承包人承担。</w:t>
      </w:r>
    </w:p>
    <w:p>
      <w:pPr>
        <w:pStyle w:val="2"/>
        <w:shd w:val="clear" w:color="000000" w:fill="auto"/>
        <w:adjustRightInd w:val="0"/>
        <w:snapToGrid w:val="0"/>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56.4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rPr>
          <w:rFonts w:ascii="仿宋" w:hAnsi="仿宋" w:eastAsia="仿宋" w:cs="Times New Roman"/>
          <w:b/>
          <w:bCs/>
          <w:color w:val="auto"/>
          <w:sz w:val="24"/>
          <w:szCs w:val="24"/>
          <w:highlight w:val="none"/>
        </w:rPr>
      </w:pP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95808" behindDoc="0" locked="0" layoutInCell="1" allowOverlap="1">
                <wp:simplePos x="0" y="0"/>
                <wp:positionH relativeFrom="column">
                  <wp:posOffset>-114300</wp:posOffset>
                </wp:positionH>
                <wp:positionV relativeFrom="paragraph">
                  <wp:posOffset>7620</wp:posOffset>
                </wp:positionV>
                <wp:extent cx="914400" cy="412115"/>
                <wp:effectExtent l="0" t="0" r="0" b="0"/>
                <wp:wrapNone/>
                <wp:docPr id="232" name="文本框 236"/>
                <wp:cNvGraphicFramePr/>
                <a:graphic xmlns:a="http://schemas.openxmlformats.org/drawingml/2006/main">
                  <a:graphicData uri="http://schemas.microsoft.com/office/word/2010/wordprocessingShape">
                    <wps:wsp>
                      <wps:cNvSpPr txBox="1"/>
                      <wps:spPr>
                        <a:xfrm>
                          <a:off x="0" y="0"/>
                          <a:ext cx="914400" cy="41211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承包人提出工程变更建议</w:t>
                            </w:r>
                          </w:p>
                        </w:txbxContent>
                      </wps:txbx>
                      <wps:bodyPr upright="1"/>
                    </wps:wsp>
                  </a:graphicData>
                </a:graphic>
              </wp:anchor>
            </w:drawing>
          </mc:Choice>
          <mc:Fallback>
            <w:pict>
              <v:shape id="文本框 236" o:spid="_x0000_s1026" o:spt="202" type="#_x0000_t202" style="position:absolute;left:0pt;margin-left:-9pt;margin-top:0.6pt;height:32.45pt;width:72pt;z-index:251895808;mso-width-relative:page;mso-height-relative:page;" filled="f" stroked="f" coordsize="21600,21600" o:gfxdata="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A+4TrXUAAAA&#10;CAEAAA8AAAAAAAAAAQAgAAAAIgAAAGRycy9kb3ducmV2LnhtbFBLAQIUABQAAAAIAIdO4kCG5yiE&#10;rwEAAFEDAAAOAAAAAAAAAAEAIAAAACMBAABkcnMvZTJvRG9jLnhtbFBLBQYAAAAABgAGAFkBAABE&#10;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承包人提出工程变更建议</w:t>
                      </w:r>
                    </w:p>
                  </w:txbxContent>
                </v:textbox>
              </v:shape>
            </w:pict>
          </mc:Fallback>
        </mc:AlternateContent>
      </w:r>
      <w:r>
        <w:rPr>
          <w:rFonts w:hint="eastAsia" w:ascii="仿宋" w:hAnsi="仿宋" w:eastAsia="仿宋" w:cs="仿宋"/>
          <w:color w:val="auto"/>
          <w:sz w:val="24"/>
          <w:szCs w:val="24"/>
          <w:highlight w:val="none"/>
        </w:rPr>
        <w:t>合同履行期间，承包人可提出工程变更建议。变更建议应以书面形式向监理工程师提出，同时抄送发包人，详细说明变更的原因、变更方案及合同价格的增减情况，并附必要的施工设计图纸及其说明等资料。变更建议被采纳的，监理工程师应按照第</w:t>
      </w:r>
      <w:r>
        <w:rPr>
          <w:rFonts w:ascii="仿宋" w:hAnsi="仿宋" w:eastAsia="仿宋" w:cs="仿宋"/>
          <w:color w:val="auto"/>
          <w:sz w:val="24"/>
          <w:szCs w:val="24"/>
          <w:highlight w:val="none"/>
        </w:rPr>
        <w:t>56.3</w:t>
      </w:r>
      <w:r>
        <w:rPr>
          <w:rFonts w:hint="eastAsia" w:ascii="仿宋" w:hAnsi="仿宋" w:eastAsia="仿宋" w:cs="仿宋"/>
          <w:color w:val="auto"/>
          <w:sz w:val="24"/>
          <w:szCs w:val="24"/>
          <w:highlight w:val="none"/>
        </w:rPr>
        <w:t>款规定向承包人发出变更指令。</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发包人采纳承包人的建议，给发包人带来降低合同价款、缩短工期或提交工程经济效益等利益的，发包人应按照国家有关规定并在专用条款中约定的计算方法予以奖励。</w:t>
      </w:r>
    </w:p>
    <w:p>
      <w:pPr>
        <w:pStyle w:val="2"/>
        <w:shd w:val="clear" w:color="000000" w:fill="auto"/>
        <w:adjustRightInd w:val="0"/>
        <w:snapToGrid w:val="0"/>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56.5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rPr>
          <w:rFonts w:ascii="仿宋" w:hAnsi="仿宋" w:eastAsia="仿宋" w:cs="Times New Roman"/>
          <w:b/>
          <w:bCs/>
          <w:color w:val="auto"/>
          <w:sz w:val="24"/>
          <w:szCs w:val="24"/>
          <w:highlight w:val="none"/>
        </w:rPr>
      </w:pP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96832" behindDoc="0" locked="0" layoutInCell="1" allowOverlap="1">
                <wp:simplePos x="0" y="0"/>
                <wp:positionH relativeFrom="column">
                  <wp:posOffset>-114300</wp:posOffset>
                </wp:positionH>
                <wp:positionV relativeFrom="paragraph">
                  <wp:posOffset>15240</wp:posOffset>
                </wp:positionV>
                <wp:extent cx="914400" cy="588010"/>
                <wp:effectExtent l="0" t="0" r="0" b="0"/>
                <wp:wrapNone/>
                <wp:docPr id="233" name="文本框 237"/>
                <wp:cNvGraphicFramePr/>
                <a:graphic xmlns:a="http://schemas.openxmlformats.org/drawingml/2006/main">
                  <a:graphicData uri="http://schemas.microsoft.com/office/word/2010/wordprocessingShape">
                    <wps:wsp>
                      <wps:cNvSpPr txBox="1"/>
                      <wps:spPr>
                        <a:xfrm>
                          <a:off x="0" y="0"/>
                          <a:ext cx="914400" cy="58801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工程变更导致合同价款和工期的调整</w:t>
                            </w:r>
                          </w:p>
                        </w:txbxContent>
                      </wps:txbx>
                      <wps:bodyPr upright="1"/>
                    </wps:wsp>
                  </a:graphicData>
                </a:graphic>
              </wp:anchor>
            </w:drawing>
          </mc:Choice>
          <mc:Fallback>
            <w:pict>
              <v:shape id="文本框 237" o:spid="_x0000_s1026" o:spt="202" type="#_x0000_t202" style="position:absolute;left:0pt;margin-left:-9pt;margin-top:1.2pt;height:46.3pt;width:72pt;z-index:251896832;mso-width-relative:page;mso-height-relative:page;" filled="f" stroked="f" coordsize="21600,21600" o:gfxdata="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vMrES1QAA&#10;AAgBAAAPAAAAAAAAAAEAIAAAACIAAABkcnMvZG93bnJldi54bWxQSwECFAAUAAAACACHTuJAB2ja&#10;oK8BAABRAwAADgAAAAAAAAABACAAAAAkAQAAZHJzL2Uyb0RvYy54bWxQSwUGAAAAAAYABgBZAQAA&#10;R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工程变更导致合同价款和工期的调整</w:t>
                      </w:r>
                    </w:p>
                  </w:txbxContent>
                </v:textbox>
              </v:shape>
            </w:pict>
          </mc:Fallback>
        </mc:AlternateContent>
      </w:r>
      <w:r>
        <w:rPr>
          <w:rFonts w:hint="eastAsia" w:ascii="仿宋" w:hAnsi="仿宋" w:eastAsia="仿宋" w:cs="仿宋"/>
          <w:color w:val="auto"/>
          <w:sz w:val="24"/>
          <w:szCs w:val="24"/>
          <w:highlight w:val="none"/>
        </w:rPr>
        <w:t>工程变更不应使合同作废或无效。工程变更应按照第</w:t>
      </w:r>
      <w:r>
        <w:rPr>
          <w:rFonts w:ascii="仿宋" w:hAnsi="仿宋" w:eastAsia="仿宋" w:cs="仿宋"/>
          <w:color w:val="auto"/>
          <w:sz w:val="24"/>
          <w:szCs w:val="24"/>
          <w:highlight w:val="none"/>
        </w:rPr>
        <w:t>72</w:t>
      </w:r>
      <w:r>
        <w:rPr>
          <w:rFonts w:hint="eastAsia" w:ascii="仿宋" w:hAnsi="仿宋" w:eastAsia="仿宋" w:cs="仿宋"/>
          <w:color w:val="auto"/>
          <w:sz w:val="24"/>
          <w:szCs w:val="24"/>
          <w:highlight w:val="none"/>
        </w:rPr>
        <w:t>条规定确定变更的工程款；影响工期的，工期应相应调整。但由于下列原因引起的变更，承包人无权要求任何额外或附加的费用，工期不予顺延：</w:t>
      </w:r>
    </w:p>
    <w:p>
      <w:pPr>
        <w:pStyle w:val="2"/>
        <w:numPr>
          <w:ilvl w:val="0"/>
          <w:numId w:val="19"/>
        </w:numPr>
        <w:shd w:val="clear" w:color="000000" w:fill="auto"/>
        <w:adjustRightInd w:val="0"/>
        <w:snapToGrid w:val="0"/>
        <w:spacing w:line="360" w:lineRule="auto"/>
        <w:ind w:left="1620"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为了便于组织施工而采取的技术措施变更或临时工程变更；</w:t>
      </w:r>
    </w:p>
    <w:p>
      <w:pPr>
        <w:pStyle w:val="2"/>
        <w:shd w:val="clear" w:color="000000" w:fill="auto"/>
        <w:adjustRightInd w:val="0"/>
        <w:snapToGrid w:val="0"/>
        <w:spacing w:line="360" w:lineRule="auto"/>
        <w:ind w:firstLine="1560" w:firstLineChars="65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）为了施工安全、避免干扰等原因而采取的技术措施变更或临时工程变</w:t>
      </w:r>
    </w:p>
    <w:p>
      <w:pPr>
        <w:pStyle w:val="2"/>
        <w:shd w:val="clear" w:color="000000" w:fill="auto"/>
        <w:adjustRightInd w:val="0"/>
        <w:snapToGrid w:val="0"/>
        <w:spacing w:line="360" w:lineRule="auto"/>
        <w:ind w:left="1619" w:firstLine="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更；</w:t>
      </w:r>
    </w:p>
    <w:p>
      <w:pPr>
        <w:pStyle w:val="2"/>
        <w:numPr>
          <w:ilvl w:val="0"/>
          <w:numId w:val="19"/>
        </w:numPr>
        <w:shd w:val="clear" w:color="000000" w:fill="auto"/>
        <w:adjustRightInd w:val="0"/>
        <w:snapToGrid w:val="0"/>
        <w:spacing w:line="360" w:lineRule="auto"/>
        <w:ind w:left="1620"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因承包人违约、过错或承包人引起的其他变更。</w:t>
      </w:r>
    </w:p>
    <w:p>
      <w:pPr>
        <w:pStyle w:val="2"/>
        <w:shd w:val="clear" w:color="000000" w:fill="auto"/>
        <w:adjustRightInd w:val="0"/>
        <w:snapToGrid w:val="0"/>
        <w:spacing w:line="360" w:lineRule="auto"/>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
        <w:shd w:val="clear" w:color="000000" w:fill="auto"/>
        <w:tabs>
          <w:tab w:val="left" w:pos="540"/>
        </w:tabs>
        <w:adjustRightInd w:val="0"/>
        <w:snapToGrid w:val="0"/>
        <w:spacing w:before="240" w:beforeLines="100" w:line="360" w:lineRule="auto"/>
        <w:outlineLvl w:val="2"/>
        <w:rPr>
          <w:rFonts w:ascii="仿宋" w:hAnsi="仿宋" w:eastAsia="仿宋" w:cs="Times New Roman"/>
          <w:b/>
          <w:bCs/>
          <w:color w:val="auto"/>
          <w:sz w:val="24"/>
          <w:szCs w:val="24"/>
          <w:highlight w:val="none"/>
        </w:rPr>
      </w:pPr>
      <w:bookmarkStart w:id="296" w:name="_Toc469384040"/>
      <w:bookmarkStart w:id="297" w:name="_Toc15583"/>
      <w:bookmarkStart w:id="298" w:name="_Toc10624880"/>
      <w:r>
        <w:rPr>
          <w:rFonts w:ascii="仿宋" w:hAnsi="仿宋" w:eastAsia="仿宋" w:cs="仿宋"/>
          <w:b/>
          <w:bCs/>
          <w:color w:val="auto"/>
          <w:sz w:val="24"/>
          <w:szCs w:val="24"/>
          <w:highlight w:val="none"/>
        </w:rPr>
        <w:t xml:space="preserve">57  </w:t>
      </w:r>
      <w:r>
        <w:rPr>
          <w:rFonts w:hint="eastAsia" w:ascii="仿宋" w:hAnsi="仿宋" w:eastAsia="仿宋" w:cs="仿宋"/>
          <w:b/>
          <w:bCs/>
          <w:color w:val="auto"/>
          <w:sz w:val="24"/>
          <w:szCs w:val="24"/>
          <w:highlight w:val="none"/>
        </w:rPr>
        <w:t>竣工验收条件</w:t>
      </w:r>
      <w:bookmarkEnd w:id="296"/>
      <w:bookmarkEnd w:id="297"/>
      <w:bookmarkEnd w:id="298"/>
    </w:p>
    <w:p>
      <w:pPr>
        <w:pStyle w:val="13"/>
        <w:shd w:val="clear" w:color="000000" w:fill="auto"/>
        <w:adjustRightInd w:val="0"/>
        <w:snapToGrid w:val="0"/>
        <w:spacing w:line="360" w:lineRule="auto"/>
        <w:ind w:firstLine="0"/>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57.1</w:t>
      </w:r>
    </w:p>
    <w:p>
      <w:pPr>
        <w:shd w:val="clear" w:color="000000" w:fill="auto"/>
        <w:spacing w:line="360" w:lineRule="auto"/>
        <w:ind w:left="1618" w:hanging="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897856" behindDoc="0" locked="0" layoutInCell="1" allowOverlap="1">
                <wp:simplePos x="0" y="0"/>
                <wp:positionH relativeFrom="column">
                  <wp:posOffset>-114300</wp:posOffset>
                </wp:positionH>
                <wp:positionV relativeFrom="paragraph">
                  <wp:posOffset>12700</wp:posOffset>
                </wp:positionV>
                <wp:extent cx="914400" cy="422910"/>
                <wp:effectExtent l="0" t="0" r="0" b="0"/>
                <wp:wrapNone/>
                <wp:docPr id="234" name="文本框 238"/>
                <wp:cNvGraphicFramePr/>
                <a:graphic xmlns:a="http://schemas.openxmlformats.org/drawingml/2006/main">
                  <a:graphicData uri="http://schemas.microsoft.com/office/word/2010/wordprocessingShape">
                    <wps:wsp>
                      <wps:cNvSpPr txBox="1"/>
                      <wps:spPr>
                        <a:xfrm>
                          <a:off x="0" y="0"/>
                          <a:ext cx="914400" cy="42291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竣工验收条件</w:t>
                            </w:r>
                          </w:p>
                        </w:txbxContent>
                      </wps:txbx>
                      <wps:bodyPr upright="1"/>
                    </wps:wsp>
                  </a:graphicData>
                </a:graphic>
              </wp:anchor>
            </w:drawing>
          </mc:Choice>
          <mc:Fallback>
            <w:pict>
              <v:shape id="文本框 238" o:spid="_x0000_s1026" o:spt="202" type="#_x0000_t202" style="position:absolute;left:0pt;margin-left:-9pt;margin-top:1pt;height:33.3pt;width:72pt;z-index:251897856;mso-width-relative:page;mso-height-relative:page;" filled="f" stroked="f" coordsize="21600,21600" o:gfxdata="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KOh5TdUA&#10;AAAIAQAADwAAAAAAAAABACAAAAAiAAAAZHJzL2Rvd25yZXYueG1sUEsBAhQAFAAAAAgAh07iQMkw&#10;c7WwAQAAUQMAAA4AAAAAAAAAAQAgAAAAJAEAAGRycy9lMm9Eb2MueG1sUEsFBgAAAAAGAAYAWQEA&#10;AEY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竣工验收条件</w:t>
                      </w:r>
                    </w:p>
                  </w:txbxContent>
                </v:textbox>
              </v:shape>
            </w:pict>
          </mc:Fallback>
        </mc:AlternateContent>
      </w:r>
      <w:r>
        <w:rPr>
          <w:rFonts w:hint="eastAsia" w:ascii="仿宋" w:hAnsi="仿宋" w:eastAsia="仿宋" w:cs="仿宋"/>
          <w:color w:val="auto"/>
          <w:sz w:val="24"/>
          <w:szCs w:val="24"/>
          <w:highlight w:val="none"/>
        </w:rPr>
        <w:t>承包人实施、完成合同工程的全部工作内容，经自检评定并符合下列条件的，则认为合同工程已具备竣工验收条件。</w:t>
      </w:r>
    </w:p>
    <w:p>
      <w:pPr>
        <w:shd w:val="clear" w:color="000000" w:fill="auto"/>
        <w:spacing w:line="360" w:lineRule="auto"/>
        <w:ind w:left="1618" w:hanging="1"/>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）除监理工程师同意列入缺陷责任期内完成的尾工（甩项）工程和缺陷修补工作外，包括合同约定的试验、检验和验收等工作在内的合同范围内全部工作均已完成，并符合施工设计图纸和合同约定的要求；</w:t>
      </w:r>
    </w:p>
    <w:p>
      <w:pPr>
        <w:shd w:val="clear" w:color="000000" w:fill="auto"/>
        <w:spacing w:line="360" w:lineRule="auto"/>
        <w:ind w:left="1680" w:leftChars="8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）已按照合同约定的内容和份数备齐了符合国家或行业、省要求的竣工资料（质量控制资料、竣工结算文件等）；</w:t>
      </w:r>
    </w:p>
    <w:p>
      <w:pPr>
        <w:shd w:val="clear" w:color="000000" w:fill="auto"/>
        <w:spacing w:line="360" w:lineRule="auto"/>
        <w:ind w:left="1618" w:hanging="1"/>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）已按照监理工程师的指令编制了在缺陷责任期内完成的尾工（甩项）工程和缺陷修补工作清单，以及相应的实施计划；</w:t>
      </w:r>
    </w:p>
    <w:p>
      <w:pPr>
        <w:shd w:val="clear" w:color="000000" w:fill="auto"/>
        <w:spacing w:line="360" w:lineRule="auto"/>
        <w:ind w:firstLine="1620" w:firstLineChars="675"/>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(4</w:t>
      </w:r>
      <w:r>
        <w:rPr>
          <w:rFonts w:hint="eastAsia" w:ascii="仿宋" w:hAnsi="仿宋" w:eastAsia="仿宋" w:cs="仿宋"/>
          <w:color w:val="auto"/>
          <w:sz w:val="24"/>
          <w:szCs w:val="24"/>
          <w:highlight w:val="none"/>
        </w:rPr>
        <w:t>）监理工程师要求在竣工验收前应完成的其他工作：</w:t>
      </w:r>
    </w:p>
    <w:p>
      <w:pPr>
        <w:shd w:val="clear" w:color="000000" w:fill="auto"/>
        <w:spacing w:line="360" w:lineRule="auto"/>
        <w:ind w:firstLine="1620" w:firstLineChars="675"/>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(5</w:t>
      </w:r>
      <w:r>
        <w:rPr>
          <w:rFonts w:hint="eastAsia" w:ascii="仿宋" w:hAnsi="仿宋" w:eastAsia="仿宋" w:cs="仿宋"/>
          <w:color w:val="auto"/>
          <w:sz w:val="24"/>
          <w:szCs w:val="24"/>
          <w:highlight w:val="none"/>
        </w:rPr>
        <w:t>）监理工程师要求提交的竣工验收资料清单。</w:t>
      </w:r>
    </w:p>
    <w:p>
      <w:pPr>
        <w:pStyle w:val="13"/>
        <w:shd w:val="clear" w:color="000000" w:fill="auto"/>
        <w:adjustRightInd w:val="0"/>
        <w:snapToGrid w:val="0"/>
        <w:spacing w:line="360" w:lineRule="auto"/>
        <w:ind w:firstLine="0"/>
        <w:rPr>
          <w:rFonts w:ascii="仿宋" w:hAnsi="仿宋" w:eastAsia="仿宋"/>
          <w:color w:val="auto"/>
          <w:sz w:val="24"/>
          <w:szCs w:val="24"/>
          <w:highlight w:val="none"/>
        </w:rPr>
      </w:pPr>
      <w:r>
        <w:rPr>
          <w:rFonts w:ascii="仿宋" w:hAnsi="仿宋" w:eastAsia="仿宋" w:cs="仿宋"/>
          <w:b/>
          <w:bCs/>
          <w:color w:val="auto"/>
          <w:sz w:val="24"/>
          <w:szCs w:val="24"/>
          <w:highlight w:val="none"/>
        </w:rPr>
        <w:t xml:space="preserve">57.2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pStyle w:val="13"/>
        <w:shd w:val="clear" w:color="000000" w:fill="auto"/>
        <w:adjustRightInd w:val="0"/>
        <w:snapToGrid w:val="0"/>
        <w:spacing w:line="360" w:lineRule="auto"/>
        <w:ind w:left="1619" w:leftChars="771" w:firstLine="0"/>
        <w:rPr>
          <w:rFonts w:ascii="仿宋" w:hAnsi="仿宋" w:eastAsia="仿宋"/>
          <w:color w:val="auto"/>
          <w:sz w:val="24"/>
          <w:szCs w:val="24"/>
          <w:highlight w:val="none"/>
        </w:rPr>
      </w:pPr>
      <w:r>
        <w:rPr>
          <w:rFonts w:hint="eastAsia" w:ascii="仿宋" w:hAnsi="仿宋" w:eastAsia="仿宋" w:cs="仿宋"/>
          <w:color w:val="auto"/>
          <w:sz w:val="24"/>
          <w:szCs w:val="24"/>
          <w:highlight w:val="none"/>
        </w:rPr>
        <w:t>承包人</w:t>
      </w:r>
      <w:r>
        <w:rPr>
          <w:color w:val="auto"/>
          <w:highlight w:val="none"/>
        </w:rPr>
        <mc:AlternateContent>
          <mc:Choice Requires="wps">
            <w:drawing>
              <wp:anchor distT="0" distB="0" distL="114300" distR="114300" simplePos="0" relativeHeight="251898880" behindDoc="0" locked="0" layoutInCell="1" allowOverlap="1">
                <wp:simplePos x="0" y="0"/>
                <wp:positionH relativeFrom="column">
                  <wp:posOffset>-114300</wp:posOffset>
                </wp:positionH>
                <wp:positionV relativeFrom="paragraph">
                  <wp:posOffset>12700</wp:posOffset>
                </wp:positionV>
                <wp:extent cx="914400" cy="422910"/>
                <wp:effectExtent l="0" t="0" r="0" b="0"/>
                <wp:wrapNone/>
                <wp:docPr id="235" name="文本框 239"/>
                <wp:cNvGraphicFramePr/>
                <a:graphic xmlns:a="http://schemas.openxmlformats.org/drawingml/2006/main">
                  <a:graphicData uri="http://schemas.microsoft.com/office/word/2010/wordprocessingShape">
                    <wps:wsp>
                      <wps:cNvSpPr txBox="1"/>
                      <wps:spPr>
                        <a:xfrm>
                          <a:off x="0" y="0"/>
                          <a:ext cx="914400" cy="422910"/>
                        </a:xfrm>
                        <a:prstGeom prst="rect">
                          <a:avLst/>
                        </a:prstGeom>
                        <a:noFill/>
                        <a:ln>
                          <a:noFill/>
                        </a:ln>
                      </wps:spPr>
                      <wps:txb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提交竣工验收申请报告</w:t>
                            </w:r>
                          </w:p>
                        </w:txbxContent>
                      </wps:txbx>
                      <wps:bodyPr upright="1"/>
                    </wps:wsp>
                  </a:graphicData>
                </a:graphic>
              </wp:anchor>
            </w:drawing>
          </mc:Choice>
          <mc:Fallback>
            <w:pict>
              <v:shape id="文本框 239" o:spid="_x0000_s1026" o:spt="202" type="#_x0000_t202" style="position:absolute;left:0pt;margin-left:-9pt;margin-top:1pt;height:33.3pt;width:72pt;z-index:251898880;mso-width-relative:page;mso-height-relative:page;" filled="f" stroked="f" coordsize="21600,21600" o:gfxdata="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KOh5TdUA&#10;AAAIAQAADwAAAAAAAAABACAAAAAiAAAAZHJzL2Rvd25yZXYueG1sUEsBAhQAFAAAAAgAh07iQOrJ&#10;DR2wAQAAUQMAAA4AAAAAAAAAAQAgAAAAJAEAAGRycy9lMm9Eb2MueG1sUEsFBgAAAAAGAAYAWQEA&#10;AEYFAAAAAA==&#10;">
                <v:fill on="f" focussize="0,0"/>
                <v:stroke on="f"/>
                <v:imagedata o:title=""/>
                <o:lock v:ext="edit" aspectratio="f"/>
                <v:textbo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提交竣工验收申请报告</w:t>
                      </w:r>
                    </w:p>
                  </w:txbxContent>
                </v:textbox>
              </v:shape>
            </w:pict>
          </mc:Fallback>
        </mc:AlternateContent>
      </w:r>
      <w:r>
        <w:rPr>
          <w:rFonts w:hint="eastAsia" w:ascii="仿宋" w:hAnsi="仿宋" w:eastAsia="仿宋" w:cs="仿宋"/>
          <w:color w:val="auto"/>
          <w:sz w:val="24"/>
          <w:szCs w:val="24"/>
          <w:highlight w:val="none"/>
        </w:rPr>
        <w:t>认为合同工程具备竣工验收条件的，应按照国家或行业、省规定的工程竣工验收技术资料格式和要求，及时向发包人提交竣工验收申请报告和符合要求的完整竣工资料，合同双方当事人应按照第</w:t>
      </w:r>
      <w:r>
        <w:rPr>
          <w:rFonts w:ascii="仿宋" w:hAnsi="仿宋" w:eastAsia="仿宋" w:cs="仿宋"/>
          <w:color w:val="auto"/>
          <w:sz w:val="24"/>
          <w:szCs w:val="24"/>
          <w:highlight w:val="none"/>
        </w:rPr>
        <w:t>58</w:t>
      </w:r>
      <w:r>
        <w:rPr>
          <w:rFonts w:hint="eastAsia" w:ascii="仿宋" w:hAnsi="仿宋" w:eastAsia="仿宋" w:cs="仿宋"/>
          <w:color w:val="auto"/>
          <w:sz w:val="24"/>
          <w:szCs w:val="24"/>
          <w:highlight w:val="none"/>
        </w:rPr>
        <w:t>条规定进行验收。</w:t>
      </w:r>
    </w:p>
    <w:p>
      <w:pPr>
        <w:pStyle w:val="13"/>
        <w:shd w:val="clear" w:color="000000" w:fill="auto"/>
        <w:adjustRightInd w:val="0"/>
        <w:snapToGrid w:val="0"/>
        <w:spacing w:line="360" w:lineRule="auto"/>
        <w:ind w:firstLine="0"/>
        <w:rPr>
          <w:rFonts w:ascii="仿宋" w:hAnsi="仿宋" w:eastAsia="仿宋"/>
          <w:b/>
          <w:bCs/>
          <w:color w:val="auto"/>
          <w:sz w:val="24"/>
          <w:szCs w:val="24"/>
          <w:highlight w:val="none"/>
        </w:rPr>
      </w:pPr>
      <w:r>
        <w:rPr>
          <w:rFonts w:ascii="仿宋" w:hAnsi="仿宋" w:eastAsia="仿宋" w:cs="仿宋"/>
          <w:b/>
          <w:bCs/>
          <w:color w:val="auto"/>
          <w:sz w:val="24"/>
          <w:szCs w:val="24"/>
          <w:highlight w:val="none"/>
        </w:rPr>
        <w:t xml:space="preserve">57.3  </w:t>
      </w:r>
      <w:r>
        <w:rPr>
          <w:rFonts w:ascii="仿宋" w:hAnsi="仿宋" w:eastAsia="仿宋" w:cs="仿宋"/>
          <w:b/>
          <w:bCs/>
          <w:color w:val="auto"/>
          <w:sz w:val="24"/>
          <w:szCs w:val="24"/>
          <w:highlight w:val="none"/>
          <w:u w:val="dotted"/>
        </w:rPr>
        <w:t xml:space="preserve">                                                                                                        </w:t>
      </w:r>
    </w:p>
    <w:p>
      <w:pPr>
        <w:pStyle w:val="13"/>
        <w:shd w:val="clear" w:color="000000" w:fill="auto"/>
        <w:adjustRightInd w:val="0"/>
        <w:snapToGrid w:val="0"/>
        <w:spacing w:line="360" w:lineRule="auto"/>
        <w:ind w:left="1619" w:leftChars="771" w:firstLine="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1899904" behindDoc="0" locked="0" layoutInCell="1" allowOverlap="1">
                <wp:simplePos x="0" y="0"/>
                <wp:positionH relativeFrom="column">
                  <wp:posOffset>-114300</wp:posOffset>
                </wp:positionH>
                <wp:positionV relativeFrom="paragraph">
                  <wp:posOffset>38735</wp:posOffset>
                </wp:positionV>
                <wp:extent cx="873760" cy="407035"/>
                <wp:effectExtent l="0" t="0" r="0" b="0"/>
                <wp:wrapNone/>
                <wp:docPr id="236" name="文本框 240"/>
                <wp:cNvGraphicFramePr/>
                <a:graphic xmlns:a="http://schemas.openxmlformats.org/drawingml/2006/main">
                  <a:graphicData uri="http://schemas.microsoft.com/office/word/2010/wordprocessingShape">
                    <wps:wsp>
                      <wps:cNvSpPr txBox="1"/>
                      <wps:spPr>
                        <a:xfrm>
                          <a:off x="0" y="0"/>
                          <a:ext cx="873760" cy="40703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竣工验收条件的限制</w:t>
                            </w:r>
                          </w:p>
                        </w:txbxContent>
                      </wps:txbx>
                      <wps:bodyPr upright="1"/>
                    </wps:wsp>
                  </a:graphicData>
                </a:graphic>
              </wp:anchor>
            </w:drawing>
          </mc:Choice>
          <mc:Fallback>
            <w:pict>
              <v:shape id="文本框 240" o:spid="_x0000_s1026" o:spt="202" type="#_x0000_t202" style="position:absolute;left:0pt;margin-left:-9pt;margin-top:3.05pt;height:32.05pt;width:68.8pt;z-index:251899904;mso-width-relative:page;mso-height-relative:page;" filled="f" stroked="f" coordsize="21600,21600" o:gfxdata="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NwfxE3VAAAA&#10;CAEAAA8AAAAAAAAAAQAgAAAAIgAAAGRycy9kb3ducmV2LnhtbFBLAQIUABQAAAAIAIdO4kAjMSoe&#10;rgEAAFEDAAAOAAAAAAAAAAEAIAAAACQBAABkcnMvZTJvRG9jLnhtbFBLBQYAAAAABgAGAFkBAABE&#10;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竣工验收条件的限制</w:t>
                      </w:r>
                    </w:p>
                  </w:txbxContent>
                </v:textbox>
              </v:shape>
            </w:pict>
          </mc:Fallback>
        </mc:AlternateContent>
      </w:r>
      <w:r>
        <w:rPr>
          <w:rFonts w:hint="eastAsia" w:ascii="仿宋" w:hAnsi="仿宋" w:eastAsia="仿宋" w:cs="仿宋"/>
          <w:color w:val="auto"/>
          <w:sz w:val="24"/>
          <w:szCs w:val="24"/>
          <w:highlight w:val="none"/>
        </w:rPr>
        <w:t>如果承包人不按照规定提交竣工资料或提交的资料不符合要求，则认为合同工程尚未具备竣工验收条件。</w:t>
      </w:r>
    </w:p>
    <w:p>
      <w:pPr>
        <w:shd w:val="clear" w:color="000000" w:fill="auto"/>
        <w:adjustRightInd w:val="0"/>
        <w:snapToGrid w:val="0"/>
        <w:rPr>
          <w:rFonts w:ascii="仿宋" w:hAnsi="仿宋" w:eastAsia="仿宋" w:cs="Times New Roman"/>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
        <w:shd w:val="clear" w:color="000000" w:fill="auto"/>
        <w:tabs>
          <w:tab w:val="left" w:pos="540"/>
        </w:tabs>
        <w:adjustRightInd w:val="0"/>
        <w:snapToGrid w:val="0"/>
        <w:spacing w:before="240" w:beforeLines="100"/>
        <w:outlineLvl w:val="2"/>
        <w:rPr>
          <w:rFonts w:ascii="仿宋" w:hAnsi="仿宋" w:eastAsia="仿宋" w:cs="Times New Roman"/>
          <w:b/>
          <w:bCs/>
          <w:color w:val="auto"/>
          <w:sz w:val="24"/>
          <w:szCs w:val="24"/>
          <w:highlight w:val="none"/>
        </w:rPr>
      </w:pPr>
      <w:bookmarkStart w:id="299" w:name="_Toc10624881"/>
      <w:bookmarkStart w:id="300" w:name="_Toc14181"/>
      <w:bookmarkStart w:id="301" w:name="_Toc469384041"/>
      <w:r>
        <w:rPr>
          <w:rFonts w:ascii="仿宋" w:hAnsi="仿宋" w:eastAsia="仿宋" w:cs="仿宋"/>
          <w:b/>
          <w:bCs/>
          <w:color w:val="auto"/>
          <w:sz w:val="24"/>
          <w:szCs w:val="24"/>
          <w:highlight w:val="none"/>
        </w:rPr>
        <w:t xml:space="preserve">58  </w:t>
      </w:r>
      <w:r>
        <w:rPr>
          <w:rFonts w:hint="eastAsia" w:ascii="仿宋" w:hAnsi="仿宋" w:eastAsia="仿宋" w:cs="仿宋"/>
          <w:b/>
          <w:bCs/>
          <w:color w:val="auto"/>
          <w:sz w:val="24"/>
          <w:szCs w:val="24"/>
          <w:highlight w:val="none"/>
        </w:rPr>
        <w:t>竣工验收</w:t>
      </w:r>
      <w:bookmarkEnd w:id="299"/>
      <w:bookmarkEnd w:id="300"/>
      <w:bookmarkEnd w:id="301"/>
    </w:p>
    <w:p>
      <w:pPr>
        <w:shd w:val="clear" w:color="000000" w:fill="auto"/>
        <w:tabs>
          <w:tab w:val="left" w:pos="1620"/>
        </w:tabs>
        <w:adjustRightInd w:val="0"/>
        <w:snapToGrid w:val="0"/>
        <w:spacing w:line="360" w:lineRule="auto"/>
        <w:rPr>
          <w:rFonts w:ascii="仿宋" w:hAnsi="仿宋" w:eastAsia="仿宋" w:cs="Times New Roman"/>
          <w:b/>
          <w:bCs/>
          <w:color w:val="auto"/>
          <w:sz w:val="24"/>
          <w:szCs w:val="24"/>
          <w:highlight w:val="none"/>
        </w:rPr>
      </w:pPr>
      <w:r>
        <w:rPr>
          <w:rFonts w:hint="eastAsia" w:ascii="仿宋" w:hAnsi="仿宋" w:eastAsia="仿宋" w:cs="仿宋"/>
          <w:b/>
          <w:bCs/>
          <w:color w:val="auto"/>
          <w:sz w:val="24"/>
          <w:szCs w:val="24"/>
          <w:highlight w:val="none"/>
        </w:rPr>
        <w:t>★</w:t>
      </w:r>
      <w:r>
        <w:rPr>
          <w:color w:val="auto"/>
          <w:highlight w:val="none"/>
        </w:rPr>
        <mc:AlternateContent>
          <mc:Choice Requires="wps">
            <w:drawing>
              <wp:anchor distT="0" distB="0" distL="114300" distR="114300" simplePos="0" relativeHeight="251900928" behindDoc="0" locked="0" layoutInCell="1" allowOverlap="1">
                <wp:simplePos x="0" y="0"/>
                <wp:positionH relativeFrom="column">
                  <wp:posOffset>-114300</wp:posOffset>
                </wp:positionH>
                <wp:positionV relativeFrom="paragraph">
                  <wp:posOffset>257810</wp:posOffset>
                </wp:positionV>
                <wp:extent cx="873760" cy="407670"/>
                <wp:effectExtent l="0" t="0" r="0" b="0"/>
                <wp:wrapNone/>
                <wp:docPr id="237" name="文本框 241"/>
                <wp:cNvGraphicFramePr/>
                <a:graphic xmlns:a="http://schemas.openxmlformats.org/drawingml/2006/main">
                  <a:graphicData uri="http://schemas.microsoft.com/office/word/2010/wordprocessingShape">
                    <wps:wsp>
                      <wps:cNvSpPr txBox="1"/>
                      <wps:spPr>
                        <a:xfrm>
                          <a:off x="0" y="0"/>
                          <a:ext cx="873760" cy="40767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竣工验收标准</w:t>
                            </w:r>
                          </w:p>
                        </w:txbxContent>
                      </wps:txbx>
                      <wps:bodyPr upright="1"/>
                    </wps:wsp>
                  </a:graphicData>
                </a:graphic>
              </wp:anchor>
            </w:drawing>
          </mc:Choice>
          <mc:Fallback>
            <w:pict>
              <v:shape id="文本框 241" o:spid="_x0000_s1026" o:spt="202" type="#_x0000_t202" style="position:absolute;left:0pt;margin-left:-9pt;margin-top:20.3pt;height:32.1pt;width:68.8pt;z-index:251900928;mso-width-relative:page;mso-height-relative:page;" filled="f" stroked="f" coordsize="21600,21600" o:gfxdata="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AnskQjW&#10;AAAACgEAAA8AAAAAAAAAAQAgAAAAIgAAAGRycy9kb3ducmV2LnhtbFBLAQIUABQAAAAIAIdO4kCi&#10;CrtTsAEAAFEDAAAOAAAAAAAAAAEAIAAAACUBAABkcnMvZTJvRG9jLnhtbFBLBQYAAAAABgAGAFkB&#10;AABH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竣工验收标准</w:t>
                      </w:r>
                    </w:p>
                  </w:txbxContent>
                </v:textbox>
              </v:shape>
            </w:pict>
          </mc:Fallback>
        </mc:AlternateContent>
      </w:r>
      <w:r>
        <w:rPr>
          <w:rFonts w:ascii="仿宋" w:hAnsi="仿宋" w:eastAsia="仿宋" w:cs="仿宋"/>
          <w:b/>
          <w:bCs/>
          <w:color w:val="auto"/>
          <w:sz w:val="24"/>
          <w:szCs w:val="24"/>
          <w:highlight w:val="none"/>
        </w:rPr>
        <w:t>58.1</w:t>
      </w:r>
    </w:p>
    <w:p>
      <w:pPr>
        <w:shd w:val="clear" w:color="000000" w:fill="auto"/>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合同双方当事人应在专用条款中约定合同工程竣工验收标准，但约定的竣工验收标准应符合国家或行业、省的有关规定。</w:t>
      </w:r>
    </w:p>
    <w:p>
      <w:pPr>
        <w:shd w:val="clear" w:color="000000" w:fill="auto"/>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合同工程需要进行国家验收的，竣工验收是国家验收的一部分。</w:t>
      </w:r>
    </w:p>
    <w:p>
      <w:pPr>
        <w:shd w:val="clear" w:color="000000" w:fill="auto"/>
        <w:tabs>
          <w:tab w:val="left" w:pos="1620"/>
        </w:tabs>
        <w:adjustRightInd w:val="0"/>
        <w:snapToGrid w:val="0"/>
        <w:spacing w:line="480" w:lineRule="auto"/>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01952" behindDoc="0" locked="0" layoutInCell="1" allowOverlap="1">
                <wp:simplePos x="0" y="0"/>
                <wp:positionH relativeFrom="column">
                  <wp:posOffset>-114300</wp:posOffset>
                </wp:positionH>
                <wp:positionV relativeFrom="paragraph">
                  <wp:posOffset>257810</wp:posOffset>
                </wp:positionV>
                <wp:extent cx="873760" cy="407670"/>
                <wp:effectExtent l="0" t="0" r="0" b="0"/>
                <wp:wrapNone/>
                <wp:docPr id="238" name="文本框 242"/>
                <wp:cNvGraphicFramePr/>
                <a:graphic xmlns:a="http://schemas.openxmlformats.org/drawingml/2006/main">
                  <a:graphicData uri="http://schemas.microsoft.com/office/word/2010/wordprocessingShape">
                    <wps:wsp>
                      <wps:cNvSpPr txBox="1"/>
                      <wps:spPr>
                        <a:xfrm>
                          <a:off x="0" y="0"/>
                          <a:ext cx="873760" cy="40767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核查竣工验收条件</w:t>
                            </w:r>
                          </w:p>
                        </w:txbxContent>
                      </wps:txbx>
                      <wps:bodyPr upright="1"/>
                    </wps:wsp>
                  </a:graphicData>
                </a:graphic>
              </wp:anchor>
            </w:drawing>
          </mc:Choice>
          <mc:Fallback>
            <w:pict>
              <v:shape id="文本框 242" o:spid="_x0000_s1026" o:spt="202" type="#_x0000_t202" style="position:absolute;left:0pt;margin-left:-9pt;margin-top:20.3pt;height:32.1pt;width:68.8pt;z-index:251901952;mso-width-relative:page;mso-height-relative:page;" filled="f" stroked="f" coordsize="21600,21600" o:gfxdata="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AnskQjW&#10;AAAACgEAAA8AAAAAAAAAAQAgAAAAIgAAAGRycy9kb3ducmV2LnhtbFBLAQIUABQAAAAIAIdO4kDc&#10;jYrMsAEAAFEDAAAOAAAAAAAAAAEAIAAAACUBAABkcnMvZTJvRG9jLnhtbFBLBQYAAAAABgAGAFkB&#10;AABH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核查竣工验收条件</w:t>
                      </w:r>
                    </w:p>
                  </w:txbxContent>
                </v:textbox>
              </v:shape>
            </w:pict>
          </mc:Fallback>
        </mc:AlternateContent>
      </w:r>
      <w:r>
        <w:rPr>
          <w:rFonts w:ascii="仿宋" w:hAnsi="仿宋" w:eastAsia="仿宋" w:cs="仿宋"/>
          <w:b/>
          <w:bCs/>
          <w:color w:val="auto"/>
          <w:sz w:val="24"/>
          <w:szCs w:val="24"/>
          <w:highlight w:val="none"/>
        </w:rPr>
        <w:t>58.2</w:t>
      </w:r>
      <w:r>
        <w:rPr>
          <w:rFonts w:ascii="仿宋" w:hAnsi="仿宋" w:eastAsia="仿宋" w:cs="仿宋"/>
          <w:color w:val="auto"/>
          <w:sz w:val="24"/>
          <w:szCs w:val="24"/>
          <w:highlight w:val="none"/>
          <w:u w:val="dotted"/>
        </w:rPr>
        <w:t xml:space="preserve">                                                                             </w:t>
      </w:r>
    </w:p>
    <w:p>
      <w:pPr>
        <w:shd w:val="clear" w:color="000000" w:fill="auto"/>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发包人收到承包人按照第</w:t>
      </w:r>
      <w:r>
        <w:rPr>
          <w:rFonts w:ascii="仿宋" w:hAnsi="仿宋" w:eastAsia="仿宋" w:cs="仿宋"/>
          <w:color w:val="auto"/>
          <w:sz w:val="24"/>
          <w:szCs w:val="24"/>
          <w:highlight w:val="none"/>
        </w:rPr>
        <w:t xml:space="preserve">57.2 </w:t>
      </w:r>
      <w:r>
        <w:rPr>
          <w:rFonts w:hint="eastAsia" w:ascii="仿宋" w:hAnsi="仿宋" w:eastAsia="仿宋" w:cs="仿宋"/>
          <w:color w:val="auto"/>
          <w:sz w:val="24"/>
          <w:szCs w:val="24"/>
          <w:highlight w:val="none"/>
        </w:rPr>
        <w:t>款规定提交的竣工验收申请报告后，应及时通知监理工程师核查合同工程是否具备竣工验收条件。</w:t>
      </w:r>
    </w:p>
    <w:p>
      <w:pPr>
        <w:shd w:val="clear" w:color="000000" w:fill="auto"/>
        <w:spacing w:line="360" w:lineRule="auto"/>
        <w:ind w:left="1619" w:leftChars="771"/>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）经核查未具备竣工验收条件的，监理工程师应在收到竣工验收申请报告后的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天内通知承包人，指出在颁发接收证书前承包人应进一步完成的工作内容。承包人完成监理工程师通知的全部工作内容后，应再次提交竣工验收申请报告，直至监理工程师同意为止。</w:t>
      </w:r>
    </w:p>
    <w:p>
      <w:pPr>
        <w:shd w:val="clear" w:color="000000" w:fill="auto"/>
        <w:spacing w:line="360" w:lineRule="auto"/>
        <w:ind w:left="1619" w:leftChars="771"/>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）经核查已具备竣工验收条件的，监理工程师应在收到竣工验收申请报告后的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天内书面提请发包人组织合同工程验收。</w:t>
      </w:r>
    </w:p>
    <w:p>
      <w:pPr>
        <w:shd w:val="clear" w:color="000000" w:fill="auto"/>
        <w:tabs>
          <w:tab w:val="left" w:pos="1620"/>
        </w:tabs>
        <w:adjustRightInd w:val="0"/>
        <w:snapToGrid w:val="0"/>
        <w:spacing w:line="480" w:lineRule="auto"/>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902976" behindDoc="0" locked="0" layoutInCell="1" allowOverlap="1">
                <wp:simplePos x="0" y="0"/>
                <wp:positionH relativeFrom="column">
                  <wp:posOffset>-114300</wp:posOffset>
                </wp:positionH>
                <wp:positionV relativeFrom="paragraph">
                  <wp:posOffset>257810</wp:posOffset>
                </wp:positionV>
                <wp:extent cx="873760" cy="407670"/>
                <wp:effectExtent l="0" t="0" r="0" b="0"/>
                <wp:wrapNone/>
                <wp:docPr id="239" name="文本框 243"/>
                <wp:cNvGraphicFramePr/>
                <a:graphic xmlns:a="http://schemas.openxmlformats.org/drawingml/2006/main">
                  <a:graphicData uri="http://schemas.microsoft.com/office/word/2010/wordprocessingShape">
                    <wps:wsp>
                      <wps:cNvSpPr txBox="1"/>
                      <wps:spPr>
                        <a:xfrm>
                          <a:off x="0" y="0"/>
                          <a:ext cx="873760" cy="40767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完成验收和确认</w:t>
                            </w:r>
                          </w:p>
                        </w:txbxContent>
                      </wps:txbx>
                      <wps:bodyPr upright="1"/>
                    </wps:wsp>
                  </a:graphicData>
                </a:graphic>
              </wp:anchor>
            </w:drawing>
          </mc:Choice>
          <mc:Fallback>
            <w:pict>
              <v:shape id="文本框 243" o:spid="_x0000_s1026" o:spt="202" type="#_x0000_t202" style="position:absolute;left:0pt;margin-left:-9pt;margin-top:20.3pt;height:32.1pt;width:68.8pt;z-index:251902976;mso-width-relative:page;mso-height-relative:page;" filled="f" stroked="f" coordsize="21600,21600" o:gfxdata="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J7JEI&#10;1gAAAAoBAAAPAAAAAAAAAAEAIAAAACIAAABkcnMvZG93bnJldi54bWxQSwECFAAUAAAACACHTuJA&#10;/3T0ZLEBAABRAwAADgAAAAAAAAABACAAAAAlAQAAZHJzL2Uyb0RvYy54bWxQSwUGAAAAAAYABgBZ&#10;AQAASA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完成验收和确认</w:t>
                      </w:r>
                    </w:p>
                  </w:txbxContent>
                </v:textbox>
              </v:shape>
            </w:pict>
          </mc:Fallback>
        </mc:AlternateContent>
      </w:r>
      <w:r>
        <w:rPr>
          <w:rFonts w:ascii="仿宋" w:hAnsi="仿宋" w:eastAsia="仿宋" w:cs="仿宋"/>
          <w:b/>
          <w:bCs/>
          <w:color w:val="auto"/>
          <w:sz w:val="24"/>
          <w:szCs w:val="24"/>
          <w:highlight w:val="none"/>
        </w:rPr>
        <w:t xml:space="preserve">58.3 </w:t>
      </w:r>
      <w:r>
        <w:rPr>
          <w:rFonts w:ascii="仿宋" w:hAnsi="仿宋" w:eastAsia="仿宋" w:cs="仿宋"/>
          <w:b/>
          <w:bCs/>
          <w:color w:val="auto"/>
          <w:sz w:val="24"/>
          <w:szCs w:val="24"/>
          <w:highlight w:val="none"/>
          <w:u w:val="dotted"/>
        </w:rPr>
        <w:t xml:space="preserve">                                                                             </w:t>
      </w:r>
    </w:p>
    <w:p>
      <w:pPr>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经监理工程师按照第</w:t>
      </w:r>
      <w:r>
        <w:rPr>
          <w:rFonts w:ascii="仿宋" w:hAnsi="仿宋" w:eastAsia="仿宋" w:cs="仿宋"/>
          <w:color w:val="auto"/>
          <w:sz w:val="24"/>
          <w:szCs w:val="24"/>
          <w:highlight w:val="none"/>
        </w:rPr>
        <w:t xml:space="preserve">58.2 </w:t>
      </w:r>
      <w:r>
        <w:rPr>
          <w:rFonts w:hint="eastAsia" w:ascii="仿宋" w:hAnsi="仿宋" w:eastAsia="仿宋" w:cs="仿宋"/>
          <w:color w:val="auto"/>
          <w:sz w:val="24"/>
          <w:szCs w:val="24"/>
          <w:highlight w:val="none"/>
        </w:rPr>
        <w:t>款规定核查合同工程已具备竣工验收条件的，发包人应在收到监理工程师书面提请后的</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天内，根据合同约定的竣工验收标准和施工设计图纸等文件，按照第</w:t>
      </w:r>
      <w:r>
        <w:rPr>
          <w:rFonts w:ascii="仿宋" w:hAnsi="仿宋" w:eastAsia="仿宋" w:cs="仿宋"/>
          <w:color w:val="auto"/>
          <w:sz w:val="24"/>
          <w:szCs w:val="24"/>
          <w:highlight w:val="none"/>
        </w:rPr>
        <w:t>19.5</w:t>
      </w:r>
      <w:r>
        <w:rPr>
          <w:rFonts w:hint="eastAsia" w:ascii="仿宋" w:hAnsi="仿宋" w:eastAsia="仿宋" w:cs="仿宋"/>
          <w:color w:val="auto"/>
          <w:sz w:val="24"/>
          <w:szCs w:val="24"/>
          <w:highlight w:val="none"/>
        </w:rPr>
        <w:t>款规定组织参加验收各方完成合同工程验收，并在竣工验收后</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天内予以确认或提出修改意见。</w:t>
      </w:r>
    </w:p>
    <w:p>
      <w:pPr>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竣工验收完成后，承包人应及时向发包人提交竣工验收记录。竣工验收合格的，发包人及参加验收各方应及时在竣工验收记录上签字，并由监理工程师会同参加验收各方形成合同工程竣工验收报告。</w:t>
      </w:r>
    </w:p>
    <w:p>
      <w:pPr>
        <w:shd w:val="clear" w:color="000000" w:fill="auto"/>
        <w:adjustRightInd w:val="0"/>
        <w:snapToGrid w:val="0"/>
        <w:spacing w:line="480" w:lineRule="auto"/>
        <w:ind w:left="1626" w:leftChars="1" w:hanging="1624" w:hangingChars="674"/>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58.4</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04000" behindDoc="0" locked="0" layoutInCell="1" allowOverlap="1">
                <wp:simplePos x="0" y="0"/>
                <wp:positionH relativeFrom="column">
                  <wp:posOffset>-114300</wp:posOffset>
                </wp:positionH>
                <wp:positionV relativeFrom="paragraph">
                  <wp:posOffset>19685</wp:posOffset>
                </wp:positionV>
                <wp:extent cx="873760" cy="451485"/>
                <wp:effectExtent l="0" t="0" r="0" b="0"/>
                <wp:wrapNone/>
                <wp:docPr id="240" name="文本框 244"/>
                <wp:cNvGraphicFramePr/>
                <a:graphic xmlns:a="http://schemas.openxmlformats.org/drawingml/2006/main">
                  <a:graphicData uri="http://schemas.microsoft.com/office/word/2010/wordprocessingShape">
                    <wps:wsp>
                      <wps:cNvSpPr txBox="1"/>
                      <wps:spPr>
                        <a:xfrm>
                          <a:off x="0" y="0"/>
                          <a:ext cx="873760" cy="45148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组织验收的限制</w:t>
                            </w:r>
                          </w:p>
                        </w:txbxContent>
                      </wps:txbx>
                      <wps:bodyPr upright="1"/>
                    </wps:wsp>
                  </a:graphicData>
                </a:graphic>
              </wp:anchor>
            </w:drawing>
          </mc:Choice>
          <mc:Fallback>
            <w:pict>
              <v:shape id="文本框 244" o:spid="_x0000_s1026" o:spt="202" type="#_x0000_t202" style="position:absolute;left:0pt;margin-left:-9pt;margin-top:1.55pt;height:35.55pt;width:68.8pt;z-index:251904000;mso-width-relative:page;mso-height-relative:page;" filled="f" stroked="f" coordsize="21600,21600" o:gfxdata="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JbWK7dYA&#10;AAAIAQAADwAAAAAAAAABACAAAAAiAAAAZHJzL2Rvd25yZXYueG1sUEsBAhQAFAAAAAgAh07iQAQe&#10;dhevAQAAUQMAAA4AAAAAAAAAAQAgAAAAJQEAAGRycy9lMm9Eb2MueG1sUEsFBgAAAAAGAAYAWQEA&#10;AEY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组织验收的限制</w:t>
                      </w:r>
                    </w:p>
                  </w:txbxContent>
                </v:textbox>
              </v:shape>
            </w:pict>
          </mc:Fallback>
        </mc:AlternateContent>
      </w:r>
      <w:r>
        <w:rPr>
          <w:rFonts w:hint="eastAsia" w:ascii="仿宋" w:hAnsi="仿宋" w:eastAsia="仿宋" w:cs="仿宋"/>
          <w:color w:val="auto"/>
          <w:sz w:val="24"/>
          <w:szCs w:val="24"/>
          <w:highlight w:val="none"/>
        </w:rPr>
        <w:t>发包人未按照第</w:t>
      </w:r>
      <w:r>
        <w:rPr>
          <w:rFonts w:ascii="仿宋" w:hAnsi="仿宋" w:eastAsia="仿宋" w:cs="仿宋"/>
          <w:color w:val="auto"/>
          <w:sz w:val="24"/>
          <w:szCs w:val="24"/>
          <w:highlight w:val="none"/>
        </w:rPr>
        <w:t>58.3</w:t>
      </w:r>
      <w:r>
        <w:rPr>
          <w:rFonts w:hint="eastAsia" w:ascii="仿宋" w:hAnsi="仿宋" w:eastAsia="仿宋" w:cs="仿宋"/>
          <w:color w:val="auto"/>
          <w:sz w:val="24"/>
          <w:szCs w:val="24"/>
          <w:highlight w:val="none"/>
        </w:rPr>
        <w:t>款规定完成合同工程验收，或验收后</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天内未予确认也未提出修改意见，视为承包人提交的竣工验收申请报告已被认可。</w:t>
      </w:r>
    </w:p>
    <w:p>
      <w:pPr>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竣工验收申请报告被认可，则表明已完成合同工程，视为竣工验收合格，但由于不可抗力事件致使发包人不能完成验收的除外。</w:t>
      </w:r>
    </w:p>
    <w:p>
      <w:pPr>
        <w:shd w:val="clear" w:color="000000" w:fill="auto"/>
        <w:tabs>
          <w:tab w:val="left" w:pos="1620"/>
        </w:tabs>
        <w:adjustRightInd w:val="0"/>
        <w:snapToGrid w:val="0"/>
        <w:spacing w:line="48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58.5 </w:t>
      </w:r>
      <w:r>
        <w:rPr>
          <w:rFonts w:ascii="仿宋" w:hAnsi="仿宋" w:eastAsia="仿宋" w:cs="仿宋"/>
          <w:b/>
          <w:bCs/>
          <w:color w:val="auto"/>
          <w:sz w:val="24"/>
          <w:szCs w:val="24"/>
          <w:highlight w:val="none"/>
          <w:u w:val="dotted"/>
        </w:rPr>
        <w:t xml:space="preserve">                                                                                                        </w:t>
      </w:r>
    </w:p>
    <w:p>
      <w:pPr>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05024" behindDoc="0" locked="0" layoutInCell="1" allowOverlap="1">
                <wp:simplePos x="0" y="0"/>
                <wp:positionH relativeFrom="column">
                  <wp:posOffset>-114300</wp:posOffset>
                </wp:positionH>
                <wp:positionV relativeFrom="paragraph">
                  <wp:posOffset>19685</wp:posOffset>
                </wp:positionV>
                <wp:extent cx="914400" cy="396240"/>
                <wp:effectExtent l="0" t="0" r="0" b="0"/>
                <wp:wrapNone/>
                <wp:docPr id="241" name="文本框 245"/>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不组织验收的责任</w:t>
                            </w:r>
                          </w:p>
                        </w:txbxContent>
                      </wps:txbx>
                      <wps:bodyPr upright="1"/>
                    </wps:wsp>
                  </a:graphicData>
                </a:graphic>
              </wp:anchor>
            </w:drawing>
          </mc:Choice>
          <mc:Fallback>
            <w:pict>
              <v:shape id="文本框 245" o:spid="_x0000_s1026" o:spt="202" type="#_x0000_t202" style="position:absolute;left:0pt;margin-left:-9pt;margin-top:1.55pt;height:31.2pt;width:72pt;z-index:251905024;mso-width-relative:page;mso-height-relative:page;" filled="f" stroked="f" coordsize="21600,21600" o:gfxdata="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pqv+TdUA&#10;AAAIAQAADwAAAAAAAAABACAAAAAiAAAAZHJzL2Rvd25yZXYueG1sUEsBAhQAFAAAAAgAh07iQOVj&#10;zq2wAQAAUQMAAA4AAAAAAAAAAQAgAAAAJAEAAGRycy9lMm9Eb2MueG1sUEsFBgAAAAAGAAYAWQEA&#10;AEY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不组织验收的责任</w:t>
                      </w:r>
                    </w:p>
                  </w:txbxContent>
                </v:textbox>
              </v:shape>
            </w:pict>
          </mc:Fallback>
        </mc:AlternateContent>
      </w:r>
      <w:r>
        <w:rPr>
          <w:rFonts w:hint="eastAsia" w:ascii="仿宋" w:hAnsi="仿宋" w:eastAsia="仿宋" w:cs="仿宋"/>
          <w:color w:val="auto"/>
          <w:sz w:val="24"/>
          <w:szCs w:val="24"/>
          <w:highlight w:val="none"/>
        </w:rPr>
        <w:t>发包人未按照第</w:t>
      </w:r>
      <w:r>
        <w:rPr>
          <w:rFonts w:ascii="仿宋" w:hAnsi="仿宋" w:eastAsia="仿宋" w:cs="仿宋"/>
          <w:color w:val="auto"/>
          <w:sz w:val="24"/>
          <w:szCs w:val="24"/>
          <w:highlight w:val="none"/>
        </w:rPr>
        <w:t>58.3</w:t>
      </w:r>
      <w:r>
        <w:rPr>
          <w:rFonts w:hint="eastAsia" w:ascii="仿宋" w:hAnsi="仿宋" w:eastAsia="仿宋" w:cs="仿宋"/>
          <w:color w:val="auto"/>
          <w:sz w:val="24"/>
          <w:szCs w:val="24"/>
          <w:highlight w:val="none"/>
        </w:rPr>
        <w:t>款规定完成合同工程验收，从收到监理工程师书面提请后的第</w:t>
      </w:r>
      <w:r>
        <w:rPr>
          <w:rFonts w:ascii="仿宋" w:hAnsi="仿宋" w:eastAsia="仿宋" w:cs="仿宋"/>
          <w:color w:val="auto"/>
          <w:sz w:val="24"/>
          <w:szCs w:val="24"/>
          <w:highlight w:val="none"/>
        </w:rPr>
        <w:t>29</w:t>
      </w:r>
      <w:r>
        <w:rPr>
          <w:rFonts w:hint="eastAsia" w:ascii="仿宋" w:hAnsi="仿宋" w:eastAsia="仿宋" w:cs="仿宋"/>
          <w:color w:val="auto"/>
          <w:sz w:val="24"/>
          <w:szCs w:val="24"/>
          <w:highlight w:val="none"/>
        </w:rPr>
        <w:t>天起承担合同工程照管责任和其他一切意外责任。</w:t>
      </w:r>
    </w:p>
    <w:p>
      <w:pPr>
        <w:shd w:val="clear" w:color="000000" w:fill="auto"/>
        <w:tabs>
          <w:tab w:val="left" w:pos="1620"/>
        </w:tabs>
        <w:adjustRightInd w:val="0"/>
        <w:snapToGrid w:val="0"/>
        <w:spacing w:line="360" w:lineRule="auto"/>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58.6</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shd w:val="clear" w:color="000000" w:fill="auto"/>
        <w:spacing w:line="360" w:lineRule="auto"/>
        <w:ind w:left="1620" w:leftChars="771" w:hanging="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竣工</w:t>
      </w:r>
      <w:r>
        <w:rPr>
          <w:color w:val="auto"/>
          <w:highlight w:val="none"/>
        </w:rPr>
        <mc:AlternateContent>
          <mc:Choice Requires="wps">
            <w:drawing>
              <wp:anchor distT="0" distB="0" distL="114300" distR="114300" simplePos="0" relativeHeight="251906048" behindDoc="0" locked="0" layoutInCell="1" allowOverlap="1">
                <wp:simplePos x="0" y="0"/>
                <wp:positionH relativeFrom="column">
                  <wp:posOffset>-114300</wp:posOffset>
                </wp:positionH>
                <wp:positionV relativeFrom="paragraph">
                  <wp:posOffset>4445</wp:posOffset>
                </wp:positionV>
                <wp:extent cx="914400" cy="395605"/>
                <wp:effectExtent l="0" t="0" r="0" b="0"/>
                <wp:wrapNone/>
                <wp:docPr id="242" name="文本框 246"/>
                <wp:cNvGraphicFramePr/>
                <a:graphic xmlns:a="http://schemas.openxmlformats.org/drawingml/2006/main">
                  <a:graphicData uri="http://schemas.microsoft.com/office/word/2010/wordprocessingShape">
                    <wps:wsp>
                      <wps:cNvSpPr txBox="1"/>
                      <wps:spPr>
                        <a:xfrm>
                          <a:off x="0" y="0"/>
                          <a:ext cx="914400" cy="39560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接收工程</w:t>
                            </w:r>
                          </w:p>
                        </w:txbxContent>
                      </wps:txbx>
                      <wps:bodyPr upright="1"/>
                    </wps:wsp>
                  </a:graphicData>
                </a:graphic>
              </wp:anchor>
            </w:drawing>
          </mc:Choice>
          <mc:Fallback>
            <w:pict>
              <v:shape id="文本框 246" o:spid="_x0000_s1026" o:spt="202" type="#_x0000_t202" style="position:absolute;left:0pt;margin-left:-9pt;margin-top:0.35pt;height:31.15pt;width:72pt;z-index:251906048;mso-width-relative:page;mso-height-relative:page;" filled="f" stroked="f" coordsize="21600,21600" o:gfxdata="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fgJC/1AAA&#10;AAcBAAAPAAAAAAAAAAEAIAAAACIAAABkcnMvZG93bnJldi54bWxQSwECFAAUAAAACACHTuJAN9jZ&#10;i7ABAABRAwAADgAAAAAAAAABACAAAAAjAQAAZHJzL2Uyb0RvYy54bWxQSwUGAAAAAAYABgBZAQAA&#10;R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接收工程</w:t>
                      </w:r>
                    </w:p>
                  </w:txbxContent>
                </v:textbox>
              </v:shape>
            </w:pict>
          </mc:Fallback>
        </mc:AlternateContent>
      </w:r>
      <w:r>
        <w:rPr>
          <w:rFonts w:hint="eastAsia" w:ascii="仿宋" w:hAnsi="仿宋" w:eastAsia="仿宋" w:cs="仿宋"/>
          <w:color w:val="auto"/>
          <w:sz w:val="24"/>
          <w:szCs w:val="24"/>
          <w:highlight w:val="none"/>
        </w:rPr>
        <w:t>验收合格的，发包人应接收工程，并在收到承包人提交的竣工验收申请报告后的</w:t>
      </w:r>
      <w:r>
        <w:rPr>
          <w:rFonts w:ascii="仿宋" w:hAnsi="仿宋" w:eastAsia="仿宋" w:cs="仿宋"/>
          <w:color w:val="auto"/>
          <w:sz w:val="24"/>
          <w:szCs w:val="24"/>
          <w:highlight w:val="none"/>
        </w:rPr>
        <w:t>56</w:t>
      </w:r>
      <w:r>
        <w:rPr>
          <w:rFonts w:hint="eastAsia" w:ascii="仿宋" w:hAnsi="仿宋" w:eastAsia="仿宋" w:cs="仿宋"/>
          <w:color w:val="auto"/>
          <w:sz w:val="24"/>
          <w:szCs w:val="24"/>
          <w:highlight w:val="none"/>
        </w:rPr>
        <w:t>天内向承包人颁发工程接收证书。</w:t>
      </w:r>
    </w:p>
    <w:p>
      <w:pPr>
        <w:shd w:val="clear" w:color="000000" w:fill="auto"/>
        <w:spacing w:line="360" w:lineRule="auto"/>
        <w:ind w:left="1620" w:leftChars="771" w:hanging="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竣工验收后，发包人同意接收工程但提出限期整修和完善要求的，发包人应缓发工程接收证书。承包人整修和完善工作完成后，监理工程师核查达到要求的，发包人应向承包人颁发工程接收证书。</w:t>
      </w:r>
    </w:p>
    <w:p>
      <w:pPr>
        <w:shd w:val="clear" w:color="000000" w:fill="auto"/>
        <w:spacing w:line="360" w:lineRule="auto"/>
        <w:ind w:left="1619" w:leftChars="771" w:firstLine="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竣工验收后，发包人不同意接收工程的，监理工程师应按照竣工验收提出的修改意见发出指令，要求承包人对合同工程不合格部分返工重做或补救处理，并承担由此产生的费用。承包人在完成合同工程不合格部分的返工重做或补救处理后，应再次提交竣工验收申请报告。</w:t>
      </w:r>
    </w:p>
    <w:p>
      <w:pPr>
        <w:shd w:val="clear" w:color="000000" w:fill="auto"/>
        <w:tabs>
          <w:tab w:val="left" w:pos="1620"/>
        </w:tabs>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58.7 </w:t>
      </w:r>
      <w:r>
        <w:rPr>
          <w:rFonts w:ascii="仿宋" w:hAnsi="仿宋" w:eastAsia="仿宋" w:cs="仿宋"/>
          <w:b/>
          <w:bCs/>
          <w:color w:val="auto"/>
          <w:sz w:val="24"/>
          <w:szCs w:val="24"/>
          <w:highlight w:val="none"/>
          <w:u w:val="dotted"/>
        </w:rPr>
        <w:t xml:space="preserve">                                                                                                        </w:t>
      </w:r>
    </w:p>
    <w:p>
      <w:pPr>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07072" behindDoc="0" locked="0" layoutInCell="1" allowOverlap="1">
                <wp:simplePos x="0" y="0"/>
                <wp:positionH relativeFrom="column">
                  <wp:posOffset>-114300</wp:posOffset>
                </wp:positionH>
                <wp:positionV relativeFrom="paragraph">
                  <wp:posOffset>4445</wp:posOffset>
                </wp:positionV>
                <wp:extent cx="914400" cy="395605"/>
                <wp:effectExtent l="0" t="0" r="0" b="0"/>
                <wp:wrapNone/>
                <wp:docPr id="243" name="文本框 247"/>
                <wp:cNvGraphicFramePr/>
                <a:graphic xmlns:a="http://schemas.openxmlformats.org/drawingml/2006/main">
                  <a:graphicData uri="http://schemas.microsoft.com/office/word/2010/wordprocessingShape">
                    <wps:wsp>
                      <wps:cNvSpPr txBox="1"/>
                      <wps:spPr>
                        <a:xfrm>
                          <a:off x="0" y="0"/>
                          <a:ext cx="914400" cy="395605"/>
                        </a:xfrm>
                        <a:prstGeom prst="rect">
                          <a:avLst/>
                        </a:prstGeom>
                        <a:noFill/>
                        <a:ln>
                          <a:noFill/>
                        </a:ln>
                      </wps:spPr>
                      <wps:txb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竣工日期的写明</w:t>
                            </w:r>
                          </w:p>
                        </w:txbxContent>
                      </wps:txbx>
                      <wps:bodyPr upright="1"/>
                    </wps:wsp>
                  </a:graphicData>
                </a:graphic>
              </wp:anchor>
            </w:drawing>
          </mc:Choice>
          <mc:Fallback>
            <w:pict>
              <v:shape id="文本框 247" o:spid="_x0000_s1026" o:spt="202" type="#_x0000_t202" style="position:absolute;left:0pt;margin-left:-9pt;margin-top:0.35pt;height:31.15pt;width:72pt;z-index:251907072;mso-width-relative:page;mso-height-relative:page;" filled="f" stroked="f" coordsize="21600,21600" o:gfxdata="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fgJC/1AAA&#10;AAcBAAAPAAAAAAAAAAEAIAAAACIAAABkcnMvZG93bnJldi54bWxQSwECFAAUAAAACACHTuJAFCGn&#10;I7ABAABRAwAADgAAAAAAAAABACAAAAAjAQAAZHJzL2Uyb0RvYy54bWxQSwUGAAAAAAYABgBZAQAA&#10;RQUAAAAA&#10;">
                <v:fill on="f" focussize="0,0"/>
                <v:stroke on="f"/>
                <v:imagedata o:title=""/>
                <o:lock v:ext="edit" aspectratio="f"/>
                <v:textbo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竣工日期的写明</w:t>
                      </w:r>
                    </w:p>
                  </w:txbxContent>
                </v:textbox>
              </v:shape>
            </w:pict>
          </mc:Fallback>
        </mc:AlternateContent>
      </w:r>
      <w:r>
        <w:rPr>
          <w:rFonts w:hint="eastAsia" w:ascii="仿宋" w:hAnsi="仿宋" w:eastAsia="仿宋" w:cs="仿宋"/>
          <w:color w:val="auto"/>
          <w:sz w:val="24"/>
          <w:szCs w:val="24"/>
          <w:highlight w:val="none"/>
        </w:rPr>
        <w:t>竣工验收合格的合同工程，发包人应按照第</w:t>
      </w:r>
      <w:r>
        <w:rPr>
          <w:rFonts w:ascii="仿宋" w:hAnsi="仿宋" w:eastAsia="仿宋" w:cs="仿宋"/>
          <w:color w:val="auto"/>
          <w:sz w:val="24"/>
          <w:szCs w:val="24"/>
          <w:highlight w:val="none"/>
        </w:rPr>
        <w:t>38.2</w:t>
      </w:r>
      <w:r>
        <w:rPr>
          <w:rFonts w:hint="eastAsia" w:ascii="仿宋" w:hAnsi="仿宋" w:eastAsia="仿宋" w:cs="仿宋"/>
          <w:color w:val="auto"/>
          <w:sz w:val="24"/>
          <w:szCs w:val="24"/>
          <w:highlight w:val="none"/>
        </w:rPr>
        <w:t>款规定在工程接收证书上写明合同工程的实际竣工日期。</w:t>
      </w:r>
    </w:p>
    <w:p>
      <w:pPr>
        <w:shd w:val="clear" w:color="000000" w:fill="auto"/>
        <w:tabs>
          <w:tab w:val="left" w:pos="1620"/>
        </w:tabs>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58.8  </w:t>
      </w:r>
      <w:r>
        <w:rPr>
          <w:rFonts w:ascii="仿宋" w:hAnsi="仿宋" w:eastAsia="仿宋" w:cs="仿宋"/>
          <w:b/>
          <w:bCs/>
          <w:color w:val="auto"/>
          <w:sz w:val="24"/>
          <w:szCs w:val="24"/>
          <w:highlight w:val="none"/>
          <w:u w:val="dotted"/>
        </w:rPr>
        <w:t xml:space="preserve">                                                                                                        </w:t>
      </w:r>
    </w:p>
    <w:p>
      <w:pPr>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08096" behindDoc="0" locked="0" layoutInCell="1" allowOverlap="1">
                <wp:simplePos x="0" y="0"/>
                <wp:positionH relativeFrom="column">
                  <wp:posOffset>-114300</wp:posOffset>
                </wp:positionH>
                <wp:positionV relativeFrom="paragraph">
                  <wp:posOffset>4445</wp:posOffset>
                </wp:positionV>
                <wp:extent cx="914400" cy="1252855"/>
                <wp:effectExtent l="0" t="0" r="0" b="0"/>
                <wp:wrapNone/>
                <wp:docPr id="244" name="文本框 248"/>
                <wp:cNvGraphicFramePr/>
                <a:graphic xmlns:a="http://schemas.openxmlformats.org/drawingml/2006/main">
                  <a:graphicData uri="http://schemas.microsoft.com/office/word/2010/wordprocessingShape">
                    <wps:wsp>
                      <wps:cNvSpPr txBox="1"/>
                      <wps:spPr>
                        <a:xfrm>
                          <a:off x="0" y="0"/>
                          <a:ext cx="914400" cy="125285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单位工程或工程部位验收</w:t>
                            </w:r>
                          </w:p>
                        </w:txbxContent>
                      </wps:txbx>
                      <wps:bodyPr upright="1"/>
                    </wps:wsp>
                  </a:graphicData>
                </a:graphic>
              </wp:anchor>
            </w:drawing>
          </mc:Choice>
          <mc:Fallback>
            <w:pict>
              <v:shape id="文本框 248" o:spid="_x0000_s1026" o:spt="202" type="#_x0000_t202" style="position:absolute;left:0pt;margin-left:-9pt;margin-top:0.35pt;height:98.65pt;width:72pt;z-index:251908096;mso-width-relative:page;mso-height-relative:page;" filled="f" stroked="f" coordsize="21600,21600" o:gfxdata="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o/crNUA&#10;AAAIAQAADwAAAAAAAAABACAAAAAiAAAAZHJzL2Rvd25yZXYueG1sUEsBAhQAFAAAAAgAh07iQAwN&#10;qEewAQAAUgMAAA4AAAAAAAAAAQAgAAAAJAEAAGRycy9lMm9Eb2MueG1sUEsFBgAAAAAGAAYAWQEA&#10;AEY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单位工程或工程部位验收</w:t>
                      </w:r>
                    </w:p>
                  </w:txbxContent>
                </v:textbox>
              </v:shape>
            </w:pict>
          </mc:Fallback>
        </mc:AlternateContent>
      </w:r>
      <w:r>
        <w:rPr>
          <w:rFonts w:hint="eastAsia" w:ascii="仿宋" w:hAnsi="仿宋" w:eastAsia="仿宋" w:cs="仿宋"/>
          <w:color w:val="auto"/>
          <w:sz w:val="24"/>
          <w:szCs w:val="24"/>
          <w:highlight w:val="none"/>
        </w:rPr>
        <w:t>发包人要求某一单位工程或任一工程部位提前办理竣工验收的，应与承包人签订单位工程或工程部位竣工验收协议，作为本合同的附件。</w:t>
      </w:r>
    </w:p>
    <w:p>
      <w:pPr>
        <w:shd w:val="clear" w:color="000000" w:fill="auto"/>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）发包人根据合同进度计划安排，在全部工程竣工前需要使用已经竣工的单位工程或工程部位时，或承包人提出经发包人同意时，可进行单位工程或工程部位验收。验收的程序可参照第</w:t>
      </w:r>
      <w:r>
        <w:rPr>
          <w:rFonts w:ascii="仿宋" w:hAnsi="仿宋" w:eastAsia="仿宋" w:cs="仿宋"/>
          <w:color w:val="auto"/>
          <w:sz w:val="24"/>
          <w:szCs w:val="24"/>
          <w:highlight w:val="none"/>
        </w:rPr>
        <w:t>57</w:t>
      </w:r>
      <w:r>
        <w:rPr>
          <w:rFonts w:hint="eastAsia" w:ascii="仿宋" w:hAnsi="仿宋" w:eastAsia="仿宋" w:cs="仿宋"/>
          <w:color w:val="auto"/>
          <w:sz w:val="24"/>
          <w:szCs w:val="24"/>
          <w:highlight w:val="none"/>
        </w:rPr>
        <w:t>条和本条上述相关条款规定进行。验收合格后，发包人应向承包人颁发单位工程或工程部位接收证书，并负责照管。单位工程或工程部位的验收成果和结论，作为全部工程竣工验收申请报告的附件。</w:t>
      </w:r>
    </w:p>
    <w:p>
      <w:pPr>
        <w:shd w:val="clear" w:color="000000" w:fill="auto"/>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）发包人在全部工程竣工前，使用已接收的单位工程或工程部位导致承包人费用增加的，发包人应承担由此增加的费用和（或）延误的工期，并向承包人支付合理利润。</w:t>
      </w:r>
    </w:p>
    <w:p>
      <w:pPr>
        <w:shd w:val="clear" w:color="000000" w:fill="auto"/>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58.9  </w:t>
      </w:r>
      <w:r>
        <w:rPr>
          <w:rFonts w:ascii="仿宋" w:hAnsi="仿宋" w:eastAsia="仿宋" w:cs="仿宋"/>
          <w:b/>
          <w:bCs/>
          <w:color w:val="auto"/>
          <w:sz w:val="24"/>
          <w:szCs w:val="24"/>
          <w:highlight w:val="none"/>
          <w:u w:val="dotted"/>
        </w:rPr>
        <w:t xml:space="preserve">                                                                                                        </w:t>
      </w:r>
    </w:p>
    <w:p>
      <w:pPr>
        <w:shd w:val="clear" w:color="000000" w:fill="auto"/>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09120" behindDoc="0" locked="0" layoutInCell="1" allowOverlap="1">
                <wp:simplePos x="0" y="0"/>
                <wp:positionH relativeFrom="column">
                  <wp:posOffset>-114300</wp:posOffset>
                </wp:positionH>
                <wp:positionV relativeFrom="paragraph">
                  <wp:posOffset>3810</wp:posOffset>
                </wp:positionV>
                <wp:extent cx="914400" cy="590550"/>
                <wp:effectExtent l="0" t="0" r="0" b="0"/>
                <wp:wrapNone/>
                <wp:docPr id="245" name="文本框 249"/>
                <wp:cNvGraphicFramePr/>
                <a:graphic xmlns:a="http://schemas.openxmlformats.org/drawingml/2006/main">
                  <a:graphicData uri="http://schemas.microsoft.com/office/word/2010/wordprocessingShape">
                    <wps:wsp>
                      <wps:cNvSpPr txBox="1"/>
                      <wps:spPr>
                        <a:xfrm>
                          <a:off x="0" y="0"/>
                          <a:ext cx="914400" cy="590550"/>
                        </a:xfrm>
                        <a:prstGeom prst="rect">
                          <a:avLst/>
                        </a:prstGeom>
                        <a:noFill/>
                        <a:ln>
                          <a:noFill/>
                        </a:ln>
                      </wps:spPr>
                      <wps:txbx>
                        <w:txbxContent>
                          <w:p>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施工期运行</w:t>
                            </w:r>
                          </w:p>
                        </w:txbxContent>
                      </wps:txbx>
                      <wps:bodyPr upright="1"/>
                    </wps:wsp>
                  </a:graphicData>
                </a:graphic>
              </wp:anchor>
            </w:drawing>
          </mc:Choice>
          <mc:Fallback>
            <w:pict>
              <v:shape id="文本框 249" o:spid="_x0000_s1026" o:spt="202" type="#_x0000_t202" style="position:absolute;left:0pt;margin-left:-9pt;margin-top:0.3pt;height:46.5pt;width:72pt;z-index:251909120;mso-width-relative:page;mso-height-relative:page;" filled="f" stroked="f" coordsize="21600,21600" o:gfxdata="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30Cn71AAA&#10;AAcBAAAPAAAAAAAAAAEAIAAAACIAAABkcnMvZG93bnJldi54bWxQSwECFAAUAAAACACHTuJADinE&#10;ELABAABRAwAADgAAAAAAAAABACAAAAAjAQAAZHJzL2Uyb0RvYy54bWxQSwUGAAAAAAYABgBZAQAA&#10;RQUAAAAA&#10;">
                <v:fill on="f" focussize="0,0"/>
                <v:stroke on="f"/>
                <v:imagedata o:title=""/>
                <o:lock v:ext="edit" aspectratio="f"/>
                <v:textbox>
                  <w:txbxContent>
                    <w:p>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施工期运行</w:t>
                      </w:r>
                    </w:p>
                  </w:txbxContent>
                </v:textbox>
              </v:shape>
            </w:pict>
          </mc:Fallback>
        </mc:AlternateContent>
      </w:r>
      <w:r>
        <w:rPr>
          <w:rFonts w:hint="eastAsia" w:ascii="仿宋" w:hAnsi="仿宋" w:eastAsia="仿宋" w:cs="仿宋"/>
          <w:color w:val="auto"/>
          <w:sz w:val="24"/>
          <w:szCs w:val="24"/>
          <w:highlight w:val="none"/>
        </w:rPr>
        <w:t>合同工程尚未全部竣工（其中某项或某几项单位工程或工程部位已竣工），根据合同约定需要在施工期运行的，应由发包人按照第</w:t>
      </w:r>
      <w:r>
        <w:rPr>
          <w:rFonts w:ascii="仿宋" w:hAnsi="仿宋" w:eastAsia="仿宋" w:cs="仿宋"/>
          <w:color w:val="auto"/>
          <w:sz w:val="24"/>
          <w:szCs w:val="24"/>
          <w:highlight w:val="none"/>
        </w:rPr>
        <w:t>58.8</w:t>
      </w:r>
      <w:r>
        <w:rPr>
          <w:rFonts w:hint="eastAsia" w:ascii="仿宋" w:hAnsi="仿宋" w:eastAsia="仿宋" w:cs="仿宋"/>
          <w:color w:val="auto"/>
          <w:sz w:val="24"/>
          <w:szCs w:val="24"/>
          <w:highlight w:val="none"/>
        </w:rPr>
        <w:t>款规定验收合格，并确保安全后，才能投入施工期运行。</w:t>
      </w:r>
    </w:p>
    <w:p>
      <w:pPr>
        <w:shd w:val="clear" w:color="000000" w:fill="auto"/>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在施工期运行中，发现单位工程或工程部位存在缺陷或损坏的，由承包人按照第</w:t>
      </w:r>
      <w:r>
        <w:rPr>
          <w:rFonts w:ascii="仿宋" w:hAnsi="仿宋" w:eastAsia="仿宋" w:cs="仿宋"/>
          <w:color w:val="auto"/>
          <w:sz w:val="24"/>
          <w:szCs w:val="24"/>
          <w:highlight w:val="none"/>
        </w:rPr>
        <w:t>59.3</w:t>
      </w:r>
      <w:r>
        <w:rPr>
          <w:rFonts w:hint="eastAsia" w:ascii="仿宋" w:hAnsi="仿宋" w:eastAsia="仿宋" w:cs="仿宋"/>
          <w:color w:val="auto"/>
          <w:sz w:val="24"/>
          <w:szCs w:val="24"/>
          <w:highlight w:val="none"/>
        </w:rPr>
        <w:t>款规定进行修复。</w:t>
      </w:r>
    </w:p>
    <w:p>
      <w:pPr>
        <w:shd w:val="clear" w:color="000000" w:fill="auto"/>
        <w:adjustRightInd w:val="0"/>
        <w:snapToGrid w:val="0"/>
        <w:spacing w:line="48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58.10  </w:t>
      </w:r>
      <w:r>
        <w:rPr>
          <w:rFonts w:ascii="仿宋" w:hAnsi="仿宋" w:eastAsia="仿宋" w:cs="仿宋"/>
          <w:b/>
          <w:bCs/>
          <w:color w:val="auto"/>
          <w:sz w:val="24"/>
          <w:szCs w:val="24"/>
          <w:highlight w:val="none"/>
          <w:u w:val="dotted"/>
        </w:rPr>
        <w:t xml:space="preserve">                                                                                                        </w:t>
      </w:r>
    </w:p>
    <w:p>
      <w:pPr>
        <w:shd w:val="clear" w:color="000000" w:fill="auto"/>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10144" behindDoc="0" locked="0" layoutInCell="1" allowOverlap="1">
                <wp:simplePos x="0" y="0"/>
                <wp:positionH relativeFrom="column">
                  <wp:posOffset>-114300</wp:posOffset>
                </wp:positionH>
                <wp:positionV relativeFrom="paragraph">
                  <wp:posOffset>3810</wp:posOffset>
                </wp:positionV>
                <wp:extent cx="914400" cy="590550"/>
                <wp:effectExtent l="0" t="0" r="0" b="0"/>
                <wp:wrapNone/>
                <wp:docPr id="246" name="文本框 250"/>
                <wp:cNvGraphicFramePr/>
                <a:graphic xmlns:a="http://schemas.openxmlformats.org/drawingml/2006/main">
                  <a:graphicData uri="http://schemas.microsoft.com/office/word/2010/wordprocessingShape">
                    <wps:wsp>
                      <wps:cNvSpPr txBox="1"/>
                      <wps:spPr>
                        <a:xfrm>
                          <a:off x="0" y="0"/>
                          <a:ext cx="914400" cy="59055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竣工清场</w:t>
                            </w:r>
                          </w:p>
                        </w:txbxContent>
                      </wps:txbx>
                      <wps:bodyPr upright="1"/>
                    </wps:wsp>
                  </a:graphicData>
                </a:graphic>
              </wp:anchor>
            </w:drawing>
          </mc:Choice>
          <mc:Fallback>
            <w:pict>
              <v:shape id="文本框 250" o:spid="_x0000_s1026" o:spt="202" type="#_x0000_t202" style="position:absolute;left:0pt;margin-left:-9pt;margin-top:0.3pt;height:46.5pt;width:72pt;z-index:251910144;mso-width-relative:page;mso-height-relative:page;" filled="f" stroked="f" coordsize="21600,21600" o:gfxdata="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t9Ap+9QAAAAH&#10;AQAADwAAAAAAAAABACAAAAAiAAAAZHJzL2Rvd25yZXYueG1sUEsBAhQAFAAAAAgAh07iQHnC5xOu&#10;AQAAUQMAAA4AAAAAAAAAAQAgAAAAIwEAAGRycy9lMm9Eb2MueG1sUEsFBgAAAAAGAAYAWQEAAEMF&#10;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竣工清场</w:t>
                      </w:r>
                    </w:p>
                  </w:txbxContent>
                </v:textbox>
              </v:shape>
            </w:pict>
          </mc:Fallback>
        </mc:AlternateContent>
      </w:r>
      <w:r>
        <w:rPr>
          <w:rFonts w:hint="eastAsia" w:ascii="仿宋" w:hAnsi="仿宋" w:eastAsia="仿宋" w:cs="仿宋"/>
          <w:color w:val="auto"/>
          <w:sz w:val="24"/>
          <w:szCs w:val="24"/>
          <w:highlight w:val="none"/>
        </w:rPr>
        <w:t>专用条款没有约定的，工程接收证书颁发后，承包人应按照下列要求对施工场地进行清理，直至监理工程师检验合格为止。竣工清场费用由承包人承担。</w:t>
      </w:r>
    </w:p>
    <w:p>
      <w:pPr>
        <w:shd w:val="clear" w:color="000000" w:fill="auto"/>
        <w:spacing w:line="360" w:lineRule="auto"/>
        <w:ind w:firstLine="1620" w:firstLineChars="675"/>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）施工场地内残留的垃圾已全部清除出场；</w:t>
      </w:r>
    </w:p>
    <w:p>
      <w:pPr>
        <w:shd w:val="clear" w:color="000000" w:fill="auto"/>
        <w:spacing w:line="360" w:lineRule="auto"/>
        <w:ind w:firstLine="1620" w:firstLineChars="675"/>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）临时设施已拆除，场地已按照合同要求进行清理、平整或复原；</w:t>
      </w:r>
    </w:p>
    <w:p>
      <w:pPr>
        <w:shd w:val="clear" w:color="000000" w:fill="auto"/>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）按照合同约定应撤离的承包人设备和剩余的材料，包括废弃的施工设备和材料，已按照计划撤离施工场地；</w:t>
      </w:r>
    </w:p>
    <w:p>
      <w:pPr>
        <w:shd w:val="clear" w:color="000000" w:fill="auto"/>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4</w:t>
      </w:r>
      <w:r>
        <w:rPr>
          <w:rFonts w:hint="eastAsia" w:ascii="仿宋" w:hAnsi="仿宋" w:eastAsia="仿宋" w:cs="仿宋"/>
          <w:color w:val="auto"/>
          <w:sz w:val="24"/>
          <w:szCs w:val="24"/>
          <w:highlight w:val="none"/>
        </w:rPr>
        <w:t>）建筑物周边及其附近道路、河道的施工堆积物，已按照监理工程师指令全部清理；</w:t>
      </w:r>
    </w:p>
    <w:p>
      <w:pPr>
        <w:shd w:val="clear" w:color="000000" w:fill="auto"/>
        <w:spacing w:line="360" w:lineRule="auto"/>
        <w:ind w:firstLine="1620" w:firstLineChars="675"/>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5</w:t>
      </w:r>
      <w:r>
        <w:rPr>
          <w:rFonts w:hint="eastAsia" w:ascii="仿宋" w:hAnsi="仿宋" w:eastAsia="仿宋" w:cs="仿宋"/>
          <w:color w:val="auto"/>
          <w:sz w:val="24"/>
          <w:szCs w:val="24"/>
          <w:highlight w:val="none"/>
        </w:rPr>
        <w:t>）监理工程师指令的其他场地清理工作已全部完成。</w:t>
      </w:r>
    </w:p>
    <w:p>
      <w:pPr>
        <w:shd w:val="clear" w:color="000000" w:fill="auto"/>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如承包人未按照监理工程师的要求恢复临时占地，或者场地清理未达到合同约定的，发包人可自行或委托第三方恢复或清理，所发生的费用从应支付或将支付给承包人的款项中扣除。</w:t>
      </w:r>
    </w:p>
    <w:p>
      <w:pPr>
        <w:shd w:val="clear" w:color="000000" w:fill="auto"/>
        <w:adjustRightInd w:val="0"/>
        <w:snapToGrid w:val="0"/>
        <w:spacing w:line="48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58.11 </w:t>
      </w:r>
      <w:r>
        <w:rPr>
          <w:rFonts w:ascii="仿宋" w:hAnsi="仿宋" w:eastAsia="仿宋" w:cs="仿宋"/>
          <w:b/>
          <w:bCs/>
          <w:color w:val="auto"/>
          <w:sz w:val="24"/>
          <w:szCs w:val="24"/>
          <w:highlight w:val="none"/>
          <w:u w:val="dotted"/>
        </w:rPr>
        <w:t xml:space="preserve">                                                                                                        </w:t>
      </w:r>
    </w:p>
    <w:p>
      <w:pPr>
        <w:shd w:val="clear" w:color="000000" w:fill="auto"/>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11168" behindDoc="0" locked="0" layoutInCell="1" allowOverlap="1">
                <wp:simplePos x="0" y="0"/>
                <wp:positionH relativeFrom="column">
                  <wp:posOffset>-114300</wp:posOffset>
                </wp:positionH>
                <wp:positionV relativeFrom="paragraph">
                  <wp:posOffset>3810</wp:posOffset>
                </wp:positionV>
                <wp:extent cx="914400" cy="590550"/>
                <wp:effectExtent l="0" t="0" r="0" b="0"/>
                <wp:wrapNone/>
                <wp:docPr id="247" name="文本框 251"/>
                <wp:cNvGraphicFramePr/>
                <a:graphic xmlns:a="http://schemas.openxmlformats.org/drawingml/2006/main">
                  <a:graphicData uri="http://schemas.microsoft.com/office/word/2010/wordprocessingShape">
                    <wps:wsp>
                      <wps:cNvSpPr txBox="1"/>
                      <wps:spPr>
                        <a:xfrm>
                          <a:off x="0" y="0"/>
                          <a:ext cx="914400" cy="59055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施工队伍的撤离</w:t>
                            </w:r>
                          </w:p>
                        </w:txbxContent>
                      </wps:txbx>
                      <wps:bodyPr upright="1"/>
                    </wps:wsp>
                  </a:graphicData>
                </a:graphic>
              </wp:anchor>
            </w:drawing>
          </mc:Choice>
          <mc:Fallback>
            <w:pict>
              <v:shape id="文本框 251" o:spid="_x0000_s1026" o:spt="202" type="#_x0000_t202" style="position:absolute;left:0pt;margin-left:-9pt;margin-top:0.3pt;height:46.5pt;width:72pt;z-index:251911168;mso-width-relative:page;mso-height-relative:page;" filled="f" stroked="f" coordsize="21600,21600" o:gfxdata="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30Cn71AAA&#10;AAcBAAAPAAAAAAAAAAEAIAAAACIAAABkcnMvZG93bnJldi54bWxQSwECFAAUAAAACACHTuJAWjuZ&#10;u7ABAABRAwAADgAAAAAAAAABACAAAAAjAQAAZHJzL2Uyb0RvYy54bWxQSwUGAAAAAAYABgBZAQAA&#10;R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施工队伍的撤离</w:t>
                      </w:r>
                    </w:p>
                  </w:txbxContent>
                </v:textbox>
              </v:shape>
            </w:pict>
          </mc:Fallback>
        </mc:AlternateContent>
      </w:r>
      <w:r>
        <w:rPr>
          <w:rFonts w:hint="eastAsia" w:ascii="仿宋" w:hAnsi="仿宋" w:eastAsia="仿宋" w:cs="仿宋"/>
          <w:color w:val="auto"/>
          <w:sz w:val="24"/>
          <w:szCs w:val="24"/>
          <w:highlight w:val="none"/>
        </w:rPr>
        <w:t>工程接收证书颁发后的</w:t>
      </w:r>
      <w:r>
        <w:rPr>
          <w:rFonts w:ascii="仿宋" w:hAnsi="仿宋" w:eastAsia="仿宋" w:cs="仿宋"/>
          <w:color w:val="auto"/>
          <w:sz w:val="24"/>
          <w:szCs w:val="24"/>
          <w:highlight w:val="none"/>
        </w:rPr>
        <w:t>56</w:t>
      </w:r>
      <w:r>
        <w:rPr>
          <w:rFonts w:hint="eastAsia" w:ascii="仿宋" w:hAnsi="仿宋" w:eastAsia="仿宋" w:cs="仿宋"/>
          <w:color w:val="auto"/>
          <w:sz w:val="24"/>
          <w:szCs w:val="24"/>
          <w:highlight w:val="none"/>
        </w:rPr>
        <w:t>天内，除经监理工程师同意需在缺陷责任期内继续工作的人员、使用的施工设备和临时设施外，其余的人员、施工设备和临时设备均应撤离施工场地或拆除。除专用条款另有约定外，缺陷责任期满时，承包人的人员和施工设备应全部撤离施工场地。</w:t>
      </w:r>
    </w:p>
    <w:p>
      <w:pPr>
        <w:shd w:val="clear" w:color="000000" w:fill="auto"/>
        <w:tabs>
          <w:tab w:val="left" w:pos="1620"/>
        </w:tabs>
        <w:adjustRightInd w:val="0"/>
        <w:snapToGrid w:val="0"/>
        <w:spacing w:line="480" w:lineRule="auto"/>
        <w:rPr>
          <w:rFonts w:ascii="仿宋" w:hAnsi="仿宋" w:eastAsia="仿宋" w:cs="仿宋"/>
          <w:color w:val="auto"/>
          <w:sz w:val="24"/>
          <w:szCs w:val="24"/>
          <w:highlight w:val="none"/>
        </w:rPr>
      </w:pPr>
      <w:r>
        <w:rPr>
          <w:color w:val="auto"/>
          <w:highlight w:val="none"/>
        </w:rPr>
        <mc:AlternateContent>
          <mc:Choice Requires="wps">
            <w:drawing>
              <wp:anchor distT="0" distB="0" distL="114300" distR="114300" simplePos="0" relativeHeight="251912192" behindDoc="0" locked="0" layoutInCell="1" allowOverlap="1">
                <wp:simplePos x="0" y="0"/>
                <wp:positionH relativeFrom="column">
                  <wp:posOffset>-66675</wp:posOffset>
                </wp:positionH>
                <wp:positionV relativeFrom="paragraph">
                  <wp:posOffset>299085</wp:posOffset>
                </wp:positionV>
                <wp:extent cx="914400" cy="591185"/>
                <wp:effectExtent l="0" t="0" r="0" b="0"/>
                <wp:wrapNone/>
                <wp:docPr id="248" name="文本框 252"/>
                <wp:cNvGraphicFramePr/>
                <a:graphic xmlns:a="http://schemas.openxmlformats.org/drawingml/2006/main">
                  <a:graphicData uri="http://schemas.microsoft.com/office/word/2010/wordprocessingShape">
                    <wps:wsp>
                      <wps:cNvSpPr txBox="1"/>
                      <wps:spPr>
                        <a:xfrm>
                          <a:off x="0" y="0"/>
                          <a:ext cx="914400" cy="59118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使用未验收或验收未通过工程的责任</w:t>
                            </w:r>
                          </w:p>
                        </w:txbxContent>
                      </wps:txbx>
                      <wps:bodyPr upright="1"/>
                    </wps:wsp>
                  </a:graphicData>
                </a:graphic>
              </wp:anchor>
            </w:drawing>
          </mc:Choice>
          <mc:Fallback>
            <w:pict>
              <v:shape id="文本框 252" o:spid="_x0000_s1026" o:spt="202" type="#_x0000_t202" style="position:absolute;left:0pt;margin-left:-5.25pt;margin-top:23.55pt;height:46.55pt;width:72pt;z-index:251912192;mso-width-relative:page;mso-height-relative:page;" filled="f" stroked="f" coordsize="21600,21600" o:gfxdata="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FGnFEdcA&#10;AAAKAQAADwAAAAAAAAABACAAAAAiAAAAZHJzL2Rvd25yZXYueG1sUEsBAhQAFAAAAAgAh07iQGPq&#10;mgiuAQAAUQMAAA4AAAAAAAAAAQAgAAAAJgEAAGRycy9lMm9Eb2MueG1sUEsFBgAAAAAGAAYAWQEA&#10;AEY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使用未验收或验收未通过工程的责任</w:t>
                      </w:r>
                    </w:p>
                  </w:txbxContent>
                </v:textbox>
              </v:shape>
            </w:pict>
          </mc:Fallback>
        </mc:AlternateContent>
      </w:r>
      <w:r>
        <w:rPr>
          <w:rFonts w:ascii="仿宋" w:hAnsi="仿宋" w:eastAsia="仿宋" w:cs="仿宋"/>
          <w:b/>
          <w:bCs/>
          <w:color w:val="auto"/>
          <w:sz w:val="24"/>
          <w:szCs w:val="24"/>
          <w:highlight w:val="none"/>
        </w:rPr>
        <w:t>58.12</w:t>
      </w:r>
      <w:r>
        <w:rPr>
          <w:rFonts w:ascii="仿宋" w:hAnsi="仿宋" w:eastAsia="仿宋" w:cs="仿宋"/>
          <w:color w:val="auto"/>
          <w:sz w:val="24"/>
          <w:szCs w:val="24"/>
          <w:highlight w:val="none"/>
          <w:u w:val="dotted"/>
        </w:rPr>
        <w:t xml:space="preserve">                                                                                                       </w:t>
      </w:r>
      <w:r>
        <w:rPr>
          <w:rFonts w:ascii="仿宋" w:hAnsi="仿宋" w:eastAsia="仿宋" w:cs="仿宋"/>
          <w:color w:val="auto"/>
          <w:sz w:val="24"/>
          <w:szCs w:val="24"/>
          <w:highlight w:val="none"/>
        </w:rPr>
        <w:t xml:space="preserve"> </w:t>
      </w:r>
    </w:p>
    <w:p>
      <w:pPr>
        <w:pStyle w:val="33"/>
        <w:shd w:val="clear" w:color="000000" w:fill="auto"/>
        <w:adjustRightInd w:val="0"/>
        <w:snapToGrid w:val="0"/>
        <w:ind w:left="1619" w:leftChars="771"/>
        <w:rPr>
          <w:rFonts w:ascii="仿宋" w:hAnsi="仿宋" w:eastAsia="仿宋"/>
          <w:color w:val="auto"/>
          <w:highlight w:val="none"/>
        </w:rPr>
      </w:pPr>
      <w:r>
        <w:rPr>
          <w:rFonts w:hint="eastAsia" w:ascii="仿宋" w:hAnsi="仿宋" w:eastAsia="仿宋" w:cs="仿宋"/>
          <w:color w:val="auto"/>
          <w:highlight w:val="none"/>
        </w:rPr>
        <w:t>合同工程未经竣工验收或竣工验收不合格的，发包人不得使用。发包人强行使用的，由此发生的质量问题及其他问题，由发包人承担责任。</w:t>
      </w:r>
    </w:p>
    <w:p>
      <w:pPr>
        <w:shd w:val="clear" w:color="000000" w:fill="auto"/>
        <w:tabs>
          <w:tab w:val="left" w:pos="1620"/>
        </w:tabs>
        <w:adjustRightInd w:val="0"/>
        <w:snapToGrid w:val="0"/>
        <w:spacing w:line="48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58.13</w:t>
      </w:r>
      <w:r>
        <w:rPr>
          <w:rFonts w:ascii="仿宋" w:hAnsi="仿宋" w:eastAsia="仿宋" w:cs="仿宋"/>
          <w:b/>
          <w:bCs/>
          <w:color w:val="auto"/>
          <w:sz w:val="24"/>
          <w:szCs w:val="24"/>
          <w:highlight w:val="none"/>
          <w:u w:val="dotted"/>
        </w:rPr>
        <w:t xml:space="preserve">                                                                                                       </w:t>
      </w:r>
    </w:p>
    <w:p>
      <w:pPr>
        <w:pStyle w:val="33"/>
        <w:shd w:val="clear" w:color="000000" w:fill="auto"/>
        <w:adjustRightInd w:val="0"/>
        <w:snapToGrid w:val="0"/>
        <w:ind w:left="1619" w:leftChars="771"/>
        <w:rPr>
          <w:rFonts w:ascii="仿宋" w:hAnsi="仿宋" w:eastAsia="仿宋"/>
          <w:color w:val="auto"/>
          <w:highlight w:val="none"/>
        </w:rPr>
      </w:pPr>
      <w:r>
        <w:rPr>
          <w:color w:val="auto"/>
          <w:highlight w:val="none"/>
        </w:rPr>
        <mc:AlternateContent>
          <mc:Choice Requires="wps">
            <w:drawing>
              <wp:anchor distT="0" distB="0" distL="114300" distR="114300" simplePos="0" relativeHeight="251913216" behindDoc="0" locked="0" layoutInCell="1" allowOverlap="1">
                <wp:simplePos x="0" y="0"/>
                <wp:positionH relativeFrom="column">
                  <wp:posOffset>-114300</wp:posOffset>
                </wp:positionH>
                <wp:positionV relativeFrom="paragraph">
                  <wp:posOffset>13335</wp:posOffset>
                </wp:positionV>
                <wp:extent cx="914400" cy="406400"/>
                <wp:effectExtent l="0" t="0" r="0" b="0"/>
                <wp:wrapNone/>
                <wp:docPr id="249" name="文本框 253"/>
                <wp:cNvGraphicFramePr/>
                <a:graphic xmlns:a="http://schemas.openxmlformats.org/drawingml/2006/main">
                  <a:graphicData uri="http://schemas.microsoft.com/office/word/2010/wordprocessingShape">
                    <wps:wsp>
                      <wps:cNvSpPr txBox="1"/>
                      <wps:spPr>
                        <a:xfrm>
                          <a:off x="0" y="0"/>
                          <a:ext cx="914400" cy="40640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工程竣工质量争议的责任</w:t>
                            </w:r>
                          </w:p>
                        </w:txbxContent>
                      </wps:txbx>
                      <wps:bodyPr upright="1"/>
                    </wps:wsp>
                  </a:graphicData>
                </a:graphic>
              </wp:anchor>
            </w:drawing>
          </mc:Choice>
          <mc:Fallback>
            <w:pict>
              <v:shape id="文本框 253" o:spid="_x0000_s1026" o:spt="202" type="#_x0000_t202" style="position:absolute;left:0pt;margin-left:-9pt;margin-top:1.05pt;height:32pt;width:72pt;z-index:251913216;mso-width-relative:page;mso-height-relative:page;" filled="f" stroked="f" coordsize="21600,21600" o:gfxdata="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JH8z4vVAAAA&#10;CAEAAA8AAAAAAAAAAQAgAAAAIgAAAGRycy9kb3ducmV2LnhtbFBLAQIUABQAAAAIAIdO4kBAcjNc&#10;rgEAAFEDAAAOAAAAAAAAAAEAIAAAACQBAABkcnMvZTJvRG9jLnhtbFBLBQYAAAAABgAGAFkBAABE&#10;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工程竣工质量争议的责任</w:t>
                      </w:r>
                    </w:p>
                  </w:txbxContent>
                </v:textbox>
              </v:shape>
            </w:pict>
          </mc:Fallback>
        </mc:AlternateContent>
      </w:r>
      <w:r>
        <w:rPr>
          <w:rFonts w:hint="eastAsia" w:ascii="仿宋" w:hAnsi="仿宋" w:eastAsia="仿宋" w:cs="仿宋"/>
          <w:color w:val="auto"/>
          <w:highlight w:val="none"/>
        </w:rPr>
        <w:t>合同工程竣工验收时发生工程质量争议，经第</w:t>
      </w:r>
      <w:r>
        <w:rPr>
          <w:rFonts w:ascii="仿宋" w:hAnsi="仿宋" w:eastAsia="仿宋" w:cs="仿宋"/>
          <w:color w:val="auto"/>
          <w:highlight w:val="none"/>
        </w:rPr>
        <w:t>86.4</w:t>
      </w:r>
      <w:r>
        <w:rPr>
          <w:rFonts w:hint="eastAsia" w:ascii="仿宋" w:hAnsi="仿宋" w:eastAsia="仿宋" w:cs="仿宋"/>
          <w:color w:val="auto"/>
          <w:highlight w:val="none"/>
        </w:rPr>
        <w:t>款规定调解或认定工程质量符合合同要求的，由发包人承担由此增加的费用和（或）延误的工期。</w:t>
      </w:r>
    </w:p>
    <w:p>
      <w:pPr>
        <w:shd w:val="clear" w:color="000000" w:fill="auto"/>
        <w:adjustRightInd w:val="0"/>
        <w:snapToGrid w:val="0"/>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
        <w:shd w:val="clear" w:color="000000" w:fill="auto"/>
        <w:tabs>
          <w:tab w:val="left" w:pos="540"/>
        </w:tabs>
        <w:adjustRightInd w:val="0"/>
        <w:snapToGrid w:val="0"/>
        <w:spacing w:before="360" w:beforeLines="150" w:line="360" w:lineRule="auto"/>
        <w:outlineLvl w:val="2"/>
        <w:rPr>
          <w:rFonts w:ascii="仿宋" w:hAnsi="仿宋" w:eastAsia="仿宋" w:cs="Times New Roman"/>
          <w:b/>
          <w:bCs/>
          <w:color w:val="auto"/>
          <w:sz w:val="24"/>
          <w:szCs w:val="24"/>
          <w:highlight w:val="none"/>
        </w:rPr>
      </w:pPr>
      <w:bookmarkStart w:id="302" w:name="_Toc15282"/>
      <w:bookmarkStart w:id="303" w:name="_Toc469384042"/>
      <w:bookmarkStart w:id="304" w:name="_Toc10624882"/>
      <w:r>
        <w:rPr>
          <w:rFonts w:ascii="仿宋" w:hAnsi="仿宋" w:eastAsia="仿宋" w:cs="仿宋"/>
          <w:b/>
          <w:bCs/>
          <w:color w:val="auto"/>
          <w:sz w:val="24"/>
          <w:szCs w:val="24"/>
          <w:highlight w:val="none"/>
        </w:rPr>
        <w:t xml:space="preserve">59  </w:t>
      </w:r>
      <w:r>
        <w:rPr>
          <w:rFonts w:hint="eastAsia" w:ascii="仿宋" w:hAnsi="仿宋" w:eastAsia="仿宋" w:cs="仿宋"/>
          <w:b/>
          <w:bCs/>
          <w:color w:val="auto"/>
          <w:sz w:val="24"/>
          <w:szCs w:val="24"/>
          <w:highlight w:val="none"/>
        </w:rPr>
        <w:t>缺陷责任与质量保修</w:t>
      </w:r>
      <w:bookmarkEnd w:id="302"/>
      <w:bookmarkEnd w:id="303"/>
      <w:bookmarkEnd w:id="304"/>
    </w:p>
    <w:p>
      <w:pPr>
        <w:shd w:val="clear" w:color="000000" w:fill="auto"/>
        <w:adjustRightInd w:val="0"/>
        <w:snapToGrid w:val="0"/>
        <w:spacing w:line="360" w:lineRule="auto"/>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914240"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0" name="文本框 254"/>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缺陷责任期</w:t>
                            </w:r>
                          </w:p>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计算</w:t>
                            </w:r>
                          </w:p>
                        </w:txbxContent>
                      </wps:txbx>
                      <wps:bodyPr upright="1"/>
                    </wps:wsp>
                  </a:graphicData>
                </a:graphic>
              </wp:anchor>
            </w:drawing>
          </mc:Choice>
          <mc:Fallback>
            <w:pict>
              <v:shape id="文本框 254" o:spid="_x0000_s1026" o:spt="202" type="#_x0000_t202" style="position:absolute;left:0pt;margin-left:-9pt;margin-top:22.6pt;height:33.85pt;width:76.2pt;z-index:251914240;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xZv6d&#10;2AAAAAoBAAAPAAAAAAAAAAEAIAAAACIAAABkcnMvZG93bnJldi54bWxQSwECFAAUAAAACACHTuJA&#10;e0tOwa8BAABRAwAADgAAAAAAAAABACAAAAAnAQAAZHJzL2Uyb0RvYy54bWxQSwUGAAAAAAYABgBZ&#10;AQAASA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缺陷责任期</w:t>
                      </w:r>
                    </w:p>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计算</w:t>
                      </w:r>
                    </w:p>
                  </w:txbxContent>
                </v:textbox>
              </v:shape>
            </w:pict>
          </mc:Fallback>
        </mc:AlternateContent>
      </w:r>
      <w:r>
        <w:rPr>
          <w:rFonts w:ascii="仿宋" w:hAnsi="仿宋" w:eastAsia="仿宋" w:cs="仿宋"/>
          <w:b/>
          <w:bCs/>
          <w:color w:val="auto"/>
          <w:sz w:val="24"/>
          <w:szCs w:val="24"/>
          <w:highlight w:val="none"/>
        </w:rPr>
        <w:t xml:space="preserve">59.1  </w:t>
      </w:r>
    </w:p>
    <w:p>
      <w:pPr>
        <w:shd w:val="clear" w:color="000000" w:fill="auto"/>
        <w:spacing w:line="360" w:lineRule="auto"/>
        <w:ind w:firstLine="1574" w:firstLineChars="656"/>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合同双方当事人应在专用条款中约定缺陷责任期。</w:t>
      </w:r>
    </w:p>
    <w:p>
      <w:pPr>
        <w:shd w:val="clear" w:color="000000" w:fill="auto"/>
        <w:adjustRightInd w:val="0"/>
        <w:snapToGrid w:val="0"/>
        <w:spacing w:line="360" w:lineRule="auto"/>
        <w:ind w:left="1575" w:leftChars="750"/>
        <w:rPr>
          <w:rFonts w:ascii="仿宋" w:hAnsi="仿宋" w:eastAsia="仿宋" w:cs="Times New Roman"/>
          <w:b/>
          <w:bCs/>
          <w:color w:val="auto"/>
          <w:sz w:val="24"/>
          <w:szCs w:val="24"/>
          <w:highlight w:val="none"/>
        </w:rPr>
      </w:pPr>
      <w:r>
        <w:rPr>
          <w:rFonts w:hint="eastAsia" w:ascii="仿宋" w:hAnsi="仿宋" w:eastAsia="仿宋" w:cs="仿宋"/>
          <w:color w:val="auto"/>
          <w:sz w:val="24"/>
          <w:szCs w:val="24"/>
          <w:highlight w:val="none"/>
        </w:rPr>
        <w:t>缺陷责任期自实际竣工之日起计算。在全部工程竣工验收前，已经发包人提前验收的单位工程，其缺陷责任期的起算日期相应提前。</w:t>
      </w:r>
    </w:p>
    <w:p>
      <w:pPr>
        <w:shd w:val="clear" w:color="000000" w:fill="auto"/>
        <w:adjustRightInd w:val="0"/>
        <w:snapToGrid w:val="0"/>
        <w:spacing w:line="360" w:lineRule="auto"/>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915264"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1" name="文本框 255"/>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缺陷责任期</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延长</w:t>
                            </w:r>
                          </w:p>
                        </w:txbxContent>
                      </wps:txbx>
                      <wps:bodyPr upright="1"/>
                    </wps:wsp>
                  </a:graphicData>
                </a:graphic>
              </wp:anchor>
            </w:drawing>
          </mc:Choice>
          <mc:Fallback>
            <w:pict>
              <v:shape id="文本框 255" o:spid="_x0000_s1026" o:spt="202" type="#_x0000_t202" style="position:absolute;left:0pt;margin-left:-9pt;margin-top:22.6pt;height:33.85pt;width:76.2pt;z-index:251915264;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cWb+&#10;ndgAAAAKAQAADwAAAAAAAAABACAAAAAiAAAAZHJzL2Rvd25yZXYueG1sUEsBAhQAFAAAAAgAh07i&#10;QFiyMGmwAQAAUQMAAA4AAAAAAAAAAQAgAAAAJwEAAGRycy9lMm9Eb2MueG1sUEsFBgAAAAAGAAYA&#10;WQEAAEk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缺陷责任期</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延长</w:t>
                      </w:r>
                    </w:p>
                  </w:txbxContent>
                </v:textbox>
              </v:shape>
            </w:pict>
          </mc:Fallback>
        </mc:AlternateContent>
      </w:r>
      <w:r>
        <w:rPr>
          <w:rFonts w:ascii="仿宋" w:hAnsi="仿宋" w:eastAsia="仿宋" w:cs="仿宋"/>
          <w:b/>
          <w:bCs/>
          <w:color w:val="auto"/>
          <w:sz w:val="24"/>
          <w:szCs w:val="24"/>
          <w:highlight w:val="none"/>
        </w:rPr>
        <w:t xml:space="preserve">59.2  </w:t>
      </w:r>
      <w:r>
        <w:rPr>
          <w:rFonts w:ascii="仿宋" w:hAnsi="仿宋" w:eastAsia="仿宋" w:cs="仿宋"/>
          <w:b/>
          <w:bCs/>
          <w:color w:val="auto"/>
          <w:sz w:val="24"/>
          <w:szCs w:val="24"/>
          <w:highlight w:val="none"/>
          <w:u w:val="dotted"/>
        </w:rPr>
        <w:t xml:space="preserve">                                                                              </w:t>
      </w:r>
    </w:p>
    <w:p>
      <w:pPr>
        <w:shd w:val="clear" w:color="000000" w:fill="auto"/>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由于承包人原因造成某项缺陷或损坏使某项工程或工程设备不能按照原定目标使用而需要再次检查、检验和修复的，发包人有权要求承包人相应延长缺陷责任期，但缺陷责任期最长不超过</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年。</w:t>
      </w:r>
    </w:p>
    <w:p>
      <w:pPr>
        <w:shd w:val="clear" w:color="000000" w:fill="auto"/>
        <w:adjustRightInd w:val="0"/>
        <w:snapToGrid w:val="0"/>
        <w:spacing w:line="360" w:lineRule="auto"/>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916288"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2" name="文本框 256"/>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缺陷责任</w:t>
                            </w:r>
                          </w:p>
                        </w:txbxContent>
                      </wps:txbx>
                      <wps:bodyPr upright="1"/>
                    </wps:wsp>
                  </a:graphicData>
                </a:graphic>
              </wp:anchor>
            </w:drawing>
          </mc:Choice>
          <mc:Fallback>
            <w:pict>
              <v:shape id="文本框 256" o:spid="_x0000_s1026" o:spt="202" type="#_x0000_t202" style="position:absolute;left:0pt;margin-left:-9pt;margin-top:22.6pt;height:33.85pt;width:76.2pt;z-index:251916288;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cWb+&#10;ndgAAAAKAQAADwAAAAAAAAABACAAAAAiAAAAZHJzL2Rvd25yZXYueG1sUEsBAhQAFAAAAAgAh07i&#10;QHy/wkqwAQAAUQMAAA4AAAAAAAAAAQAgAAAAJwEAAGRycy9lMm9Eb2MueG1sUEsFBgAAAAAGAAYA&#10;WQEAAEk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缺陷责任</w:t>
                      </w:r>
                    </w:p>
                  </w:txbxContent>
                </v:textbox>
              </v:shape>
            </w:pict>
          </mc:Fallback>
        </mc:AlternateContent>
      </w:r>
      <w:r>
        <w:rPr>
          <w:rFonts w:ascii="仿宋" w:hAnsi="仿宋" w:eastAsia="仿宋" w:cs="仿宋"/>
          <w:b/>
          <w:bCs/>
          <w:color w:val="auto"/>
          <w:sz w:val="24"/>
          <w:szCs w:val="24"/>
          <w:highlight w:val="none"/>
        </w:rPr>
        <w:t xml:space="preserve">59.3  </w:t>
      </w:r>
      <w:r>
        <w:rPr>
          <w:rFonts w:ascii="仿宋" w:hAnsi="仿宋" w:eastAsia="仿宋" w:cs="仿宋"/>
          <w:b/>
          <w:bCs/>
          <w:color w:val="auto"/>
          <w:sz w:val="24"/>
          <w:szCs w:val="24"/>
          <w:highlight w:val="none"/>
          <w:u w:val="dotted"/>
        </w:rPr>
        <w:t xml:space="preserve">                                                                              </w:t>
      </w:r>
    </w:p>
    <w:p>
      <w:pPr>
        <w:shd w:val="clear" w:color="000000" w:fill="auto"/>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合同工程存在某项缺陷或损坏的，合同双方当事人应按照下列规定承担缺陷责任以及由此产生的费用。</w:t>
      </w:r>
    </w:p>
    <w:p>
      <w:pPr>
        <w:pStyle w:val="33"/>
        <w:shd w:val="clear" w:color="000000" w:fill="auto"/>
        <w:adjustRightInd w:val="0"/>
        <w:snapToGrid w:val="0"/>
        <w:ind w:left="0" w:leftChars="0" w:firstLine="1574" w:firstLineChars="656"/>
        <w:rPr>
          <w:rFonts w:ascii="仿宋" w:hAnsi="仿宋" w:eastAsia="仿宋"/>
          <w:color w:val="auto"/>
          <w:highlight w:val="none"/>
        </w:rPr>
      </w:pPr>
      <w:r>
        <w:rPr>
          <w:rFonts w:hint="eastAsia" w:ascii="仿宋" w:hAnsi="仿宋" w:eastAsia="仿宋" w:cs="仿宋"/>
          <w:color w:val="auto"/>
          <w:highlight w:val="none"/>
        </w:rPr>
        <w:t>（</w:t>
      </w:r>
      <w:r>
        <w:rPr>
          <w:rFonts w:ascii="仿宋" w:hAnsi="仿宋" w:eastAsia="仿宋" w:cs="仿宋"/>
          <w:color w:val="auto"/>
          <w:highlight w:val="none"/>
        </w:rPr>
        <w:t>1</w:t>
      </w:r>
      <w:r>
        <w:rPr>
          <w:rFonts w:hint="eastAsia" w:ascii="仿宋" w:hAnsi="仿宋" w:eastAsia="仿宋" w:cs="仿宋"/>
          <w:color w:val="auto"/>
          <w:highlight w:val="none"/>
        </w:rPr>
        <w:t>）承包人应在缺陷责任期内对已交付使用的工程承担缺陷责任。</w:t>
      </w:r>
    </w:p>
    <w:p>
      <w:pPr>
        <w:shd w:val="clear" w:color="000000" w:fill="auto"/>
        <w:spacing w:line="360" w:lineRule="auto"/>
        <w:ind w:left="1575" w:leftChars="75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）缺陷责任期内，发包人对已接收使用的工程负责日常维护工作。发包人在使用过程中，发现已接收的工程存在新的缺陷或已修复的缺陷部位或部件又遭损坏的，应及时通知承包人修复，承包人应在收到通知后的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天内派人修复，直至检验合格为止。承包人未能在规定时间内修复的，发包人可自行或委托第三方修复，所需费用和利润按照本款第（</w:t>
      </w: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）点规定办理。</w:t>
      </w:r>
    </w:p>
    <w:p>
      <w:pPr>
        <w:shd w:val="clear" w:color="000000" w:fill="auto"/>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监理工程师应会同承包人共同查清缺陷和（或）损坏的原因，并由造价工程师提出或核实由此发生的费用。经查明，因承包人原因造成的，由承包人承担修复和查验的费用；因发包人的原因造成的，发包人承担修复和查验的费用，并向承包人支付合理利润。</w:t>
      </w:r>
    </w:p>
    <w:p>
      <w:pPr>
        <w:shd w:val="clear" w:color="000000" w:fill="auto"/>
        <w:adjustRightInd w:val="0"/>
        <w:snapToGrid w:val="0"/>
        <w:spacing w:line="360" w:lineRule="auto"/>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917312"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3" name="文本框 257"/>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重新检（试）验</w:t>
                            </w:r>
                          </w:p>
                        </w:txbxContent>
                      </wps:txbx>
                      <wps:bodyPr upright="1"/>
                    </wps:wsp>
                  </a:graphicData>
                </a:graphic>
              </wp:anchor>
            </w:drawing>
          </mc:Choice>
          <mc:Fallback>
            <w:pict>
              <v:shape id="文本框 257" o:spid="_x0000_s1026" o:spt="202" type="#_x0000_t202" style="position:absolute;left:0pt;margin-left:-9pt;margin-top:22.6pt;height:33.85pt;width:76.2pt;z-index:251917312;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cWb+&#10;ndgAAAAKAQAADwAAAAAAAAABACAAAAAiAAAAZHJzL2Rvd25yZXYueG1sUEsBAhQAFAAAAAgAh07i&#10;QF9GvOKwAQAAUQMAAA4AAAAAAAAAAQAgAAAAJwEAAGRycy9lMm9Eb2MueG1sUEsFBgAAAAAGAAYA&#10;WQEAAEk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重新检（试）验</w:t>
                      </w:r>
                    </w:p>
                  </w:txbxContent>
                </v:textbox>
              </v:shape>
            </w:pict>
          </mc:Fallback>
        </mc:AlternateContent>
      </w:r>
      <w:r>
        <w:rPr>
          <w:rFonts w:ascii="仿宋" w:hAnsi="仿宋" w:eastAsia="仿宋" w:cs="仿宋"/>
          <w:b/>
          <w:bCs/>
          <w:color w:val="auto"/>
          <w:sz w:val="24"/>
          <w:szCs w:val="24"/>
          <w:highlight w:val="none"/>
        </w:rPr>
        <w:t xml:space="preserve">59.4  </w:t>
      </w:r>
      <w:r>
        <w:rPr>
          <w:rFonts w:ascii="仿宋" w:hAnsi="仿宋" w:eastAsia="仿宋" w:cs="仿宋"/>
          <w:b/>
          <w:bCs/>
          <w:color w:val="auto"/>
          <w:sz w:val="24"/>
          <w:szCs w:val="24"/>
          <w:highlight w:val="none"/>
          <w:u w:val="dotted"/>
        </w:rPr>
        <w:t xml:space="preserve">                                                                            </w:t>
      </w:r>
    </w:p>
    <w:p>
      <w:pPr>
        <w:shd w:val="clear" w:color="000000" w:fill="auto"/>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任何一项缺陷或损坏修复后，经检查证明其影响了工程或工程设备的使用性能，承包人应按照第</w:t>
      </w:r>
      <w:r>
        <w:rPr>
          <w:rFonts w:ascii="仿宋" w:hAnsi="仿宋" w:eastAsia="仿宋" w:cs="仿宋"/>
          <w:color w:val="auto"/>
          <w:sz w:val="24"/>
          <w:szCs w:val="24"/>
          <w:highlight w:val="none"/>
        </w:rPr>
        <w:t>54</w:t>
      </w:r>
      <w:r>
        <w:rPr>
          <w:rFonts w:hint="eastAsia" w:ascii="仿宋" w:hAnsi="仿宋" w:eastAsia="仿宋" w:cs="仿宋"/>
          <w:color w:val="auto"/>
          <w:sz w:val="24"/>
          <w:szCs w:val="24"/>
          <w:highlight w:val="none"/>
        </w:rPr>
        <w:t>条规定重新检（试）验，重新检（试）验的费用由责任方承担。</w:t>
      </w:r>
    </w:p>
    <w:p>
      <w:pPr>
        <w:shd w:val="clear" w:color="000000" w:fill="auto"/>
        <w:adjustRightInd w:val="0"/>
        <w:snapToGrid w:val="0"/>
        <w:spacing w:line="480" w:lineRule="auto"/>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918336"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4" name="文本框 258"/>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承包人的进入权</w:t>
                            </w:r>
                          </w:p>
                        </w:txbxContent>
                      </wps:txbx>
                      <wps:bodyPr upright="1"/>
                    </wps:wsp>
                  </a:graphicData>
                </a:graphic>
              </wp:anchor>
            </w:drawing>
          </mc:Choice>
          <mc:Fallback>
            <w:pict>
              <v:shape id="文本框 258" o:spid="_x0000_s1026" o:spt="202" type="#_x0000_t202" style="position:absolute;left:0pt;margin-left:-9pt;margin-top:22.6pt;height:33.85pt;width:76.2pt;z-index:251918336;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cWb+&#10;ndgAAAAKAQAADwAAAAAAAAABACAAAAAiAAAAZHJzL2Rvd25yZXYueG1sUEsBAhQAFAAAAAgAh07i&#10;QIdz+5mwAQAAUQMAAA4AAAAAAAAAAQAgAAAAJwEAAGRycy9lMm9Eb2MueG1sUEsFBgAAAAAGAAYA&#10;WQEAAEk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承包人的进入权</w:t>
                      </w:r>
                    </w:p>
                  </w:txbxContent>
                </v:textbox>
              </v:shape>
            </w:pict>
          </mc:Fallback>
        </mc:AlternateContent>
      </w:r>
      <w:r>
        <w:rPr>
          <w:rFonts w:ascii="仿宋" w:hAnsi="仿宋" w:eastAsia="仿宋" w:cs="仿宋"/>
          <w:b/>
          <w:bCs/>
          <w:color w:val="auto"/>
          <w:sz w:val="24"/>
          <w:szCs w:val="24"/>
          <w:highlight w:val="none"/>
        </w:rPr>
        <w:t xml:space="preserve">59.5  </w:t>
      </w:r>
      <w:r>
        <w:rPr>
          <w:rFonts w:ascii="仿宋" w:hAnsi="仿宋" w:eastAsia="仿宋" w:cs="仿宋"/>
          <w:b/>
          <w:bCs/>
          <w:color w:val="auto"/>
          <w:sz w:val="24"/>
          <w:szCs w:val="24"/>
          <w:highlight w:val="none"/>
          <w:u w:val="dotted"/>
        </w:rPr>
        <w:t xml:space="preserve">                                                                            </w:t>
      </w:r>
    </w:p>
    <w:p>
      <w:pPr>
        <w:shd w:val="clear" w:color="000000" w:fill="auto"/>
        <w:spacing w:line="360" w:lineRule="auto"/>
        <w:ind w:left="1619" w:leftChars="771"/>
        <w:rPr>
          <w:rFonts w:ascii="仿宋" w:hAnsi="仿宋" w:eastAsia="仿宋" w:cs="Times New Roman"/>
          <w:b/>
          <w:bCs/>
          <w:color w:val="auto"/>
          <w:sz w:val="24"/>
          <w:szCs w:val="24"/>
          <w:highlight w:val="none"/>
        </w:rPr>
      </w:pPr>
      <w:r>
        <w:rPr>
          <w:rFonts w:hint="eastAsia" w:ascii="仿宋" w:hAnsi="仿宋" w:eastAsia="仿宋" w:cs="仿宋"/>
          <w:color w:val="auto"/>
          <w:sz w:val="24"/>
          <w:szCs w:val="24"/>
          <w:highlight w:val="none"/>
        </w:rPr>
        <w:t>缺陷责任期内承包人为缺陷修复工作需要，有权进入工程现场，但应遵守发包人的保安和保密等规定。</w:t>
      </w:r>
    </w:p>
    <w:p>
      <w:pPr>
        <w:shd w:val="clear" w:color="000000" w:fill="auto"/>
        <w:adjustRightInd w:val="0"/>
        <w:snapToGrid w:val="0"/>
        <w:spacing w:line="360" w:lineRule="auto"/>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919360"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5" name="文本框 259"/>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颁发缺陷责任期终止证书</w:t>
                            </w:r>
                          </w:p>
                        </w:txbxContent>
                      </wps:txbx>
                      <wps:bodyPr upright="1"/>
                    </wps:wsp>
                  </a:graphicData>
                </a:graphic>
              </wp:anchor>
            </w:drawing>
          </mc:Choice>
          <mc:Fallback>
            <w:pict>
              <v:shape id="文本框 259" o:spid="_x0000_s1026" o:spt="202" type="#_x0000_t202" style="position:absolute;left:0pt;margin-left:-9pt;margin-top:22.6pt;height:33.85pt;width:76.2pt;z-index:251919360;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cWb+&#10;ndgAAAAKAQAADwAAAAAAAAABACAAAAAiAAAAZHJzL2Rvd25yZXYueG1sUEsBAhQAFAAAAAgAh07i&#10;QKSKhTGwAQAAUQMAAA4AAAAAAAAAAQAgAAAAJwEAAGRycy9lMm9Eb2MueG1sUEsFBgAAAAAGAAYA&#10;WQEAAEk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颁发缺陷责任期终止证书</w:t>
                      </w:r>
                    </w:p>
                  </w:txbxContent>
                </v:textbox>
              </v:shape>
            </w:pict>
          </mc:Fallback>
        </mc:AlternateContent>
      </w:r>
      <w:r>
        <w:rPr>
          <w:rFonts w:ascii="仿宋" w:hAnsi="仿宋" w:eastAsia="仿宋" w:cs="仿宋"/>
          <w:b/>
          <w:bCs/>
          <w:color w:val="auto"/>
          <w:sz w:val="24"/>
          <w:szCs w:val="24"/>
          <w:highlight w:val="none"/>
        </w:rPr>
        <w:t xml:space="preserve">59.6  </w:t>
      </w:r>
      <w:r>
        <w:rPr>
          <w:rFonts w:ascii="仿宋" w:hAnsi="仿宋" w:eastAsia="仿宋" w:cs="仿宋"/>
          <w:b/>
          <w:bCs/>
          <w:color w:val="auto"/>
          <w:sz w:val="24"/>
          <w:szCs w:val="24"/>
          <w:highlight w:val="none"/>
          <w:u w:val="dotted"/>
        </w:rPr>
        <w:t xml:space="preserve">                                                                            </w:t>
      </w:r>
    </w:p>
    <w:p>
      <w:pPr>
        <w:shd w:val="clear" w:color="000000" w:fill="auto"/>
        <w:spacing w:line="360" w:lineRule="auto"/>
        <w:ind w:left="1619" w:leftChars="771"/>
        <w:rPr>
          <w:rFonts w:ascii="仿宋" w:hAnsi="仿宋" w:eastAsia="仿宋" w:cs="Times New Roman"/>
          <w:b/>
          <w:bCs/>
          <w:color w:val="auto"/>
          <w:sz w:val="24"/>
          <w:szCs w:val="24"/>
          <w:highlight w:val="none"/>
        </w:rPr>
      </w:pPr>
      <w:r>
        <w:rPr>
          <w:rFonts w:hint="eastAsia" w:ascii="仿宋" w:hAnsi="仿宋" w:eastAsia="仿宋" w:cs="仿宋"/>
          <w:color w:val="auto"/>
          <w:sz w:val="24"/>
          <w:szCs w:val="24"/>
          <w:highlight w:val="none"/>
        </w:rPr>
        <w:t>在专用条款约定的缺陷责任期（包括第</w:t>
      </w:r>
      <w:r>
        <w:rPr>
          <w:rFonts w:ascii="仿宋" w:hAnsi="仿宋" w:eastAsia="仿宋" w:cs="仿宋"/>
          <w:color w:val="auto"/>
          <w:sz w:val="24"/>
          <w:szCs w:val="24"/>
          <w:highlight w:val="none"/>
        </w:rPr>
        <w:t>59.2</w:t>
      </w:r>
      <w:r>
        <w:rPr>
          <w:rFonts w:hint="eastAsia" w:ascii="仿宋" w:hAnsi="仿宋" w:eastAsia="仿宋" w:cs="仿宋"/>
          <w:color w:val="auto"/>
          <w:sz w:val="24"/>
          <w:szCs w:val="24"/>
          <w:highlight w:val="none"/>
        </w:rPr>
        <w:t>款延长的期限）终止后的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天内，发包人应向承包人颁发缺陷责任期终止证书。</w:t>
      </w:r>
    </w:p>
    <w:p>
      <w:pPr>
        <w:shd w:val="clear" w:color="000000" w:fill="auto"/>
        <w:adjustRightInd w:val="0"/>
        <w:snapToGrid w:val="0"/>
        <w:spacing w:line="360" w:lineRule="auto"/>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920384"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6" name="文本框 260"/>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签订工程质量保修书</w:t>
                            </w:r>
                          </w:p>
                        </w:txbxContent>
                      </wps:txbx>
                      <wps:bodyPr upright="1"/>
                    </wps:wsp>
                  </a:graphicData>
                </a:graphic>
              </wp:anchor>
            </w:drawing>
          </mc:Choice>
          <mc:Fallback>
            <w:pict>
              <v:shape id="文本框 260" o:spid="_x0000_s1026" o:spt="202" type="#_x0000_t202" style="position:absolute;left:0pt;margin-left:-9pt;margin-top:22.6pt;height:33.85pt;width:76.2pt;z-index:251920384;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xZv6d&#10;2AAAAAoBAAAPAAAAAAAAAAEAIAAAACIAAABkcnMvZG93bnJldi54bWxQSwECFAAUAAAACACHTuJA&#10;K24ZJq8BAABRAwAADgAAAAAAAAABACAAAAAnAQAAZHJzL2Uyb0RvYy54bWxQSwUGAAAAAAYABgBZ&#10;AQAASA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签订工程质量保修书</w:t>
                      </w:r>
                    </w:p>
                  </w:txbxContent>
                </v:textbox>
              </v:shape>
            </w:pict>
          </mc:Fallback>
        </mc:AlternateContent>
      </w:r>
      <w:r>
        <w:rPr>
          <w:rFonts w:ascii="仿宋" w:hAnsi="仿宋" w:eastAsia="仿宋" w:cs="仿宋"/>
          <w:b/>
          <w:bCs/>
          <w:color w:val="auto"/>
          <w:sz w:val="24"/>
          <w:szCs w:val="24"/>
          <w:highlight w:val="none"/>
        </w:rPr>
        <w:t xml:space="preserve">59.7  </w:t>
      </w:r>
      <w:r>
        <w:rPr>
          <w:rFonts w:ascii="仿宋" w:hAnsi="仿宋" w:eastAsia="仿宋" w:cs="仿宋"/>
          <w:b/>
          <w:bCs/>
          <w:color w:val="auto"/>
          <w:sz w:val="24"/>
          <w:szCs w:val="24"/>
          <w:highlight w:val="none"/>
          <w:u w:val="dotted"/>
        </w:rPr>
        <w:t xml:space="preserve">                                                                            </w:t>
      </w:r>
    </w:p>
    <w:p>
      <w:pPr>
        <w:pStyle w:val="33"/>
        <w:shd w:val="clear" w:color="000000" w:fill="auto"/>
        <w:adjustRightInd w:val="0"/>
        <w:snapToGrid w:val="0"/>
        <w:ind w:left="1619" w:leftChars="771"/>
        <w:rPr>
          <w:rFonts w:ascii="仿宋" w:hAnsi="仿宋" w:eastAsia="仿宋"/>
          <w:color w:val="auto"/>
          <w:highlight w:val="none"/>
        </w:rPr>
      </w:pPr>
      <w:r>
        <w:rPr>
          <w:rFonts w:hint="eastAsia" w:ascii="仿宋" w:hAnsi="仿宋" w:eastAsia="仿宋" w:cs="仿宋"/>
          <w:color w:val="auto"/>
          <w:highlight w:val="none"/>
        </w:rPr>
        <w:t>合同双方当事人应根据法律的有关规定，在承包人向发包人提交竣工验收申请报告前，共同签署合同工程质量保修书，作为本合同的附件。工程质量保修书应具体明确质量保修范围、期限、责任和费用等事项。</w:t>
      </w:r>
    </w:p>
    <w:p>
      <w:pPr>
        <w:shd w:val="clear" w:color="000000" w:fill="auto"/>
        <w:adjustRightInd w:val="0"/>
        <w:snapToGrid w:val="0"/>
        <w:spacing w:line="480" w:lineRule="auto"/>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21408"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7" name="文本框 261"/>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质量保修期计算</w:t>
                            </w:r>
                          </w:p>
                        </w:txbxContent>
                      </wps:txbx>
                      <wps:bodyPr upright="1"/>
                    </wps:wsp>
                  </a:graphicData>
                </a:graphic>
              </wp:anchor>
            </w:drawing>
          </mc:Choice>
          <mc:Fallback>
            <w:pict>
              <v:shape id="文本框 261" o:spid="_x0000_s1026" o:spt="202" type="#_x0000_t202" style="position:absolute;left:0pt;margin-left:-9pt;margin-top:22.6pt;height:33.85pt;width:76.2pt;z-index:251921408;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cWb+&#10;ndgAAAAKAQAADwAAAAAAAAABACAAAAAiAAAAZHJzL2Rvd25yZXYueG1sUEsBAhQAFAAAAAgAh07i&#10;QAiXZ46wAQAAUQMAAA4AAAAAAAAAAQAgAAAAJwEAAGRycy9lMm9Eb2MueG1sUEsFBgAAAAAGAAYA&#10;WQEAAEk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质量保修期计算</w:t>
                      </w:r>
                    </w:p>
                  </w:txbxContent>
                </v:textbox>
              </v:shape>
            </w:pict>
          </mc:Fallback>
        </mc:AlternateContent>
      </w:r>
      <w:r>
        <w:rPr>
          <w:rFonts w:ascii="仿宋" w:hAnsi="仿宋" w:eastAsia="仿宋" w:cs="仿宋"/>
          <w:b/>
          <w:bCs/>
          <w:color w:val="auto"/>
          <w:sz w:val="24"/>
          <w:szCs w:val="24"/>
          <w:highlight w:val="none"/>
        </w:rPr>
        <w:t xml:space="preserve">59.8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shd w:val="clear" w:color="000000" w:fill="auto"/>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合同双方当事人应在专用条款和合同工程质量保修书中约定质量保修期。</w:t>
      </w:r>
    </w:p>
    <w:p>
      <w:pPr>
        <w:shd w:val="clear" w:color="000000" w:fill="auto"/>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质量保修期自实际竣工之日起计算。在全部工程竣工验收前，已经发包人提前验收的单位工程，其质量保修期的起算日期相应提前。</w:t>
      </w:r>
    </w:p>
    <w:p>
      <w:pPr>
        <w:shd w:val="clear" w:color="000000" w:fill="auto"/>
        <w:tabs>
          <w:tab w:val="left" w:pos="360"/>
          <w:tab w:val="left" w:pos="900"/>
        </w:tabs>
        <w:adjustRightInd w:val="0"/>
        <w:snapToGrid w:val="0"/>
        <w:spacing w:line="480" w:lineRule="auto"/>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59.9  </w:t>
      </w:r>
      <w:r>
        <w:rPr>
          <w:rFonts w:ascii="仿宋" w:hAnsi="仿宋" w:eastAsia="仿宋" w:cs="仿宋"/>
          <w:b/>
          <w:bCs/>
          <w:color w:val="auto"/>
          <w:sz w:val="24"/>
          <w:szCs w:val="24"/>
          <w:highlight w:val="none"/>
          <w:u w:val="dotted"/>
        </w:rPr>
        <w:t xml:space="preserve">                                                                                                        </w:t>
      </w:r>
    </w:p>
    <w:p>
      <w:pPr>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22432" behindDoc="0" locked="0" layoutInCell="1" allowOverlap="1">
                <wp:simplePos x="0" y="0"/>
                <wp:positionH relativeFrom="column">
                  <wp:posOffset>-73660</wp:posOffset>
                </wp:positionH>
                <wp:positionV relativeFrom="paragraph">
                  <wp:posOffset>15240</wp:posOffset>
                </wp:positionV>
                <wp:extent cx="988060" cy="365760"/>
                <wp:effectExtent l="0" t="0" r="0" b="0"/>
                <wp:wrapNone/>
                <wp:docPr id="258" name="文本框 262"/>
                <wp:cNvGraphicFramePr/>
                <a:graphic xmlns:a="http://schemas.openxmlformats.org/drawingml/2006/main">
                  <a:graphicData uri="http://schemas.microsoft.com/office/word/2010/wordprocessingShape">
                    <wps:wsp>
                      <wps:cNvSpPr txBox="1"/>
                      <wps:spPr>
                        <a:xfrm>
                          <a:off x="0" y="0"/>
                          <a:ext cx="988060" cy="365760"/>
                        </a:xfrm>
                        <a:prstGeom prst="rect">
                          <a:avLst/>
                        </a:prstGeom>
                        <a:noFill/>
                        <a:ln>
                          <a:noFill/>
                        </a:ln>
                      </wps:spPr>
                      <wps:txb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工程质量保修</w:t>
                            </w:r>
                          </w:p>
                        </w:txbxContent>
                      </wps:txbx>
                      <wps:bodyPr upright="1"/>
                    </wps:wsp>
                  </a:graphicData>
                </a:graphic>
              </wp:anchor>
            </w:drawing>
          </mc:Choice>
          <mc:Fallback>
            <w:pict>
              <v:shape id="文本框 262" o:spid="_x0000_s1026" o:spt="202" type="#_x0000_t202" style="position:absolute;left:0pt;margin-left:-5.8pt;margin-top:1.2pt;height:28.8pt;width:77.8pt;z-index:251922432;mso-width-relative:page;mso-height-relative:page;" filled="f" stroked="f" coordsize="21600,21600" o:gfxdata="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ViiUO1QAA&#10;AAgBAAAPAAAAAAAAAAEAIAAAACIAAABkcnMvZG93bnJldi54bWxQSwECFAAUAAAACACHTuJAOQGg&#10;Sa8BAABRAwAADgAAAAAAAAABACAAAAAkAQAAZHJzL2Uyb0RvYy54bWxQSwUGAAAAAAYABgBZAQAA&#10;RQUAAAAA&#10;">
                <v:fill on="f" focussize="0,0"/>
                <v:stroke on="f"/>
                <v:imagedata o:title=""/>
                <o:lock v:ext="edit" aspectratio="f"/>
                <v:textbo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工程质量保修</w:t>
                      </w:r>
                    </w:p>
                  </w:txbxContent>
                </v:textbox>
              </v:shape>
            </w:pict>
          </mc:Fallback>
        </mc:AlternateContent>
      </w:r>
      <w:r>
        <w:rPr>
          <w:rFonts w:hint="eastAsia" w:ascii="仿宋" w:hAnsi="仿宋" w:eastAsia="仿宋" w:cs="仿宋"/>
          <w:color w:val="auto"/>
          <w:sz w:val="24"/>
          <w:szCs w:val="24"/>
          <w:highlight w:val="none"/>
        </w:rPr>
        <w:t>承包人应在质量保修期内对交付发包人使用的合同工程承担质量保修责任。合同工程出现质量问题的，承包人应立即实施保修；承包人保修工作完成后，发包人应及时组织验收。发生紧急抢修事故的，承包人应在接到通知后立即到达事故现场抢修。</w:t>
      </w:r>
    </w:p>
    <w:p>
      <w:pPr>
        <w:shd w:val="clear" w:color="000000" w:fill="auto"/>
        <w:adjustRightInd w:val="0"/>
        <w:snapToGrid w:val="0"/>
        <w:spacing w:line="480" w:lineRule="auto"/>
        <w:rPr>
          <w:rFonts w:ascii="仿宋" w:hAnsi="仿宋" w:eastAsia="仿宋" w:cs="仿宋"/>
          <w:color w:val="auto"/>
          <w:sz w:val="24"/>
          <w:szCs w:val="24"/>
          <w:highlight w:val="none"/>
          <w:u w:val="dotted"/>
        </w:rPr>
      </w:pPr>
      <w:r>
        <w:rPr>
          <w:color w:val="auto"/>
          <w:highlight w:val="none"/>
        </w:rPr>
        <mc:AlternateContent>
          <mc:Choice Requires="wps">
            <w:drawing>
              <wp:anchor distT="0" distB="0" distL="114300" distR="114300" simplePos="0" relativeHeight="251923456" behindDoc="0" locked="0" layoutInCell="1" allowOverlap="1">
                <wp:simplePos x="0" y="0"/>
                <wp:positionH relativeFrom="column">
                  <wp:posOffset>-66675</wp:posOffset>
                </wp:positionH>
                <wp:positionV relativeFrom="paragraph">
                  <wp:posOffset>259080</wp:posOffset>
                </wp:positionV>
                <wp:extent cx="959485" cy="452120"/>
                <wp:effectExtent l="0" t="0" r="0" b="0"/>
                <wp:wrapNone/>
                <wp:docPr id="259" name="文本框 263"/>
                <wp:cNvGraphicFramePr/>
                <a:graphic xmlns:a="http://schemas.openxmlformats.org/drawingml/2006/main">
                  <a:graphicData uri="http://schemas.microsoft.com/office/word/2010/wordprocessingShape">
                    <wps:wsp>
                      <wps:cNvSpPr txBox="1"/>
                      <wps:spPr>
                        <a:xfrm>
                          <a:off x="0" y="0"/>
                          <a:ext cx="959485" cy="45212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修复质量缺陷以外的费用</w:t>
                            </w:r>
                          </w:p>
                        </w:txbxContent>
                      </wps:txbx>
                      <wps:bodyPr upright="1"/>
                    </wps:wsp>
                  </a:graphicData>
                </a:graphic>
              </wp:anchor>
            </w:drawing>
          </mc:Choice>
          <mc:Fallback>
            <w:pict>
              <v:shape id="文本框 263" o:spid="_x0000_s1026" o:spt="202" type="#_x0000_t202" style="position:absolute;left:0pt;margin-left:-5.25pt;margin-top:20.4pt;height:35.6pt;width:75.55pt;z-index:251923456;mso-width-relative:page;mso-height-relative:page;" filled="f" stroked="f" coordsize="21600,21600" o:gfxdata="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yHGZ6&#10;1gAAAAoBAAAPAAAAAAAAAAEAIAAAACIAAABkcnMvZG93bnJldi54bWxQSwECFAAUAAAACACHTuJA&#10;elqRS7EBAABRAwAADgAAAAAAAAABACAAAAAlAQAAZHJzL2Uyb0RvYy54bWxQSwUGAAAAAAYABgBZ&#10;AQAASA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修复质量缺陷以外的费用</w:t>
                      </w:r>
                    </w:p>
                  </w:txbxContent>
                </v:textbox>
              </v:shape>
            </w:pict>
          </mc:Fallback>
        </mc:AlternateContent>
      </w:r>
      <w:r>
        <w:rPr>
          <w:rFonts w:ascii="仿宋" w:hAnsi="仿宋" w:eastAsia="仿宋" w:cs="仿宋"/>
          <w:b/>
          <w:bCs/>
          <w:color w:val="auto"/>
          <w:sz w:val="24"/>
          <w:szCs w:val="24"/>
          <w:highlight w:val="none"/>
        </w:rPr>
        <w:t xml:space="preserve">59.10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shd w:val="clear" w:color="000000" w:fill="auto"/>
        <w:adjustRightInd w:val="0"/>
        <w:snapToGrid w:val="0"/>
        <w:spacing w:line="360" w:lineRule="auto"/>
        <w:ind w:firstLine="1574" w:firstLineChars="656"/>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承包人修复属于质量缺陷以外的费用，由责任方承担。</w:t>
      </w:r>
    </w:p>
    <w:p>
      <w:pPr>
        <w:shd w:val="clear" w:color="000000" w:fill="auto"/>
        <w:adjustRightInd w:val="0"/>
        <w:snapToGrid w:val="0"/>
        <w:spacing w:line="360" w:lineRule="auto"/>
        <w:rPr>
          <w:rFonts w:ascii="仿宋" w:hAnsi="仿宋" w:eastAsia="仿宋" w:cs="仿宋"/>
          <w:color w:val="auto"/>
          <w:sz w:val="24"/>
          <w:szCs w:val="24"/>
          <w:highlight w:val="none"/>
          <w:u w:val="single"/>
        </w:rPr>
      </w:pPr>
      <w:r>
        <w:rPr>
          <w:rFonts w:ascii="仿宋" w:hAnsi="仿宋" w:eastAsia="仿宋" w:cs="仿宋"/>
          <w:b/>
          <w:bCs/>
          <w:color w:val="auto"/>
          <w:sz w:val="24"/>
          <w:szCs w:val="24"/>
          <w:highlight w:val="none"/>
          <w:u w:val="single"/>
        </w:rPr>
        <w:t xml:space="preserve">                                                                                 </w:t>
      </w:r>
      <w:r>
        <w:rPr>
          <w:rFonts w:ascii="仿宋" w:hAnsi="仿宋" w:eastAsia="仿宋" w:cs="仿宋"/>
          <w:color w:val="auto"/>
          <w:sz w:val="24"/>
          <w:szCs w:val="24"/>
          <w:highlight w:val="none"/>
          <w:u w:val="single"/>
        </w:rPr>
        <w:t xml:space="preserve">     </w:t>
      </w:r>
    </w:p>
    <w:p>
      <w:pPr>
        <w:shd w:val="clear" w:color="000000" w:fill="auto"/>
        <w:tabs>
          <w:tab w:val="left" w:pos="1620"/>
        </w:tabs>
        <w:adjustRightInd w:val="0"/>
        <w:snapToGrid w:val="0"/>
        <w:spacing w:line="360" w:lineRule="auto"/>
        <w:outlineLvl w:val="1"/>
        <w:rPr>
          <w:rFonts w:ascii="仿宋" w:hAnsi="仿宋" w:eastAsia="仿宋" w:cs="Times New Roman"/>
          <w:b/>
          <w:bCs/>
          <w:color w:val="auto"/>
          <w:sz w:val="24"/>
          <w:szCs w:val="24"/>
          <w:highlight w:val="none"/>
        </w:rPr>
      </w:pPr>
      <w:r>
        <w:rPr>
          <w:rFonts w:ascii="仿宋" w:hAnsi="仿宋" w:eastAsia="仿宋" w:cs="仿宋"/>
          <w:color w:val="auto"/>
          <w:sz w:val="24"/>
          <w:szCs w:val="24"/>
          <w:highlight w:val="none"/>
        </w:rPr>
        <w:t xml:space="preserve">                                 </w:t>
      </w:r>
      <w:bookmarkStart w:id="305" w:name="_Toc2529"/>
      <w:bookmarkStart w:id="306" w:name="_Toc18179"/>
      <w:bookmarkStart w:id="307" w:name="_Toc10624883"/>
      <w:bookmarkStart w:id="308" w:name="_Toc469384043"/>
      <w:r>
        <w:rPr>
          <w:rFonts w:hint="eastAsia" w:ascii="仿宋" w:hAnsi="仿宋" w:eastAsia="仿宋" w:cs="仿宋"/>
          <w:b/>
          <w:bCs/>
          <w:color w:val="auto"/>
          <w:sz w:val="24"/>
          <w:szCs w:val="24"/>
          <w:highlight w:val="none"/>
        </w:rPr>
        <w:t>六、造</w:t>
      </w:r>
      <w:r>
        <w:rPr>
          <w:rFonts w:ascii="仿宋" w:hAnsi="仿宋" w:eastAsia="仿宋" w:cs="仿宋"/>
          <w:b/>
          <w:bCs/>
          <w:color w:val="auto"/>
          <w:sz w:val="24"/>
          <w:szCs w:val="24"/>
          <w:highlight w:val="none"/>
        </w:rPr>
        <w:t xml:space="preserve">  </w:t>
      </w:r>
      <w:r>
        <w:rPr>
          <w:rFonts w:hint="eastAsia" w:ascii="仿宋" w:hAnsi="仿宋" w:eastAsia="仿宋" w:cs="仿宋"/>
          <w:b/>
          <w:bCs/>
          <w:color w:val="auto"/>
          <w:sz w:val="24"/>
          <w:szCs w:val="24"/>
          <w:highlight w:val="none"/>
        </w:rPr>
        <w:t>价</w:t>
      </w:r>
      <w:bookmarkEnd w:id="305"/>
      <w:bookmarkEnd w:id="306"/>
      <w:bookmarkEnd w:id="307"/>
      <w:bookmarkEnd w:id="308"/>
    </w:p>
    <w:p>
      <w:pPr>
        <w:pStyle w:val="5"/>
        <w:numPr>
          <w:ilvl w:val="0"/>
          <w:numId w:val="0"/>
        </w:numPr>
        <w:shd w:val="clear" w:color="000000" w:fill="auto"/>
        <w:tabs>
          <w:tab w:val="left" w:pos="420"/>
        </w:tabs>
        <w:rPr>
          <w:rFonts w:ascii="仿宋" w:hAnsi="仿宋" w:eastAsia="仿宋"/>
          <w:color w:val="auto"/>
          <w:sz w:val="24"/>
          <w:szCs w:val="24"/>
          <w:highlight w:val="none"/>
        </w:rPr>
      </w:pPr>
      <w:bookmarkStart w:id="309" w:name="_Toc10752"/>
      <w:bookmarkStart w:id="310" w:name="_Toc469384044"/>
      <w:bookmarkStart w:id="311" w:name="_Toc10624884"/>
      <w:r>
        <w:rPr>
          <w:rFonts w:ascii="仿宋" w:hAnsi="仿宋" w:eastAsia="仿宋" w:cs="仿宋"/>
          <w:color w:val="auto"/>
          <w:sz w:val="24"/>
          <w:szCs w:val="24"/>
          <w:highlight w:val="none"/>
        </w:rPr>
        <w:t xml:space="preserve">60  </w:t>
      </w:r>
      <w:r>
        <w:rPr>
          <w:rFonts w:hint="eastAsia" w:ascii="仿宋" w:hAnsi="仿宋" w:eastAsia="仿宋" w:cs="仿宋"/>
          <w:color w:val="auto"/>
          <w:sz w:val="24"/>
          <w:szCs w:val="24"/>
          <w:highlight w:val="none"/>
        </w:rPr>
        <w:t>资金计划和安排</w:t>
      </w:r>
      <w:bookmarkEnd w:id="309"/>
      <w:bookmarkEnd w:id="310"/>
      <w:bookmarkEnd w:id="311"/>
    </w:p>
    <w:p>
      <w:pPr>
        <w:pStyle w:val="2"/>
        <w:shd w:val="clear" w:color="000000" w:fill="auto"/>
        <w:adjustRightInd w:val="0"/>
        <w:snapToGrid w:val="0"/>
        <w:spacing w:line="360" w:lineRule="auto"/>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60.1</w:t>
      </w:r>
    </w:p>
    <w:p>
      <w:pPr>
        <w:pStyle w:val="2"/>
        <w:shd w:val="clear" w:color="000000" w:fill="auto"/>
        <w:adjustRightInd w:val="0"/>
        <w:snapToGrid w:val="0"/>
        <w:spacing w:line="360" w:lineRule="auto"/>
        <w:ind w:left="1579" w:leftChars="752"/>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924480" behindDoc="0" locked="0" layoutInCell="1" allowOverlap="1">
                <wp:simplePos x="0" y="0"/>
                <wp:positionH relativeFrom="column">
                  <wp:posOffset>-133350</wp:posOffset>
                </wp:positionH>
                <wp:positionV relativeFrom="paragraph">
                  <wp:posOffset>68580</wp:posOffset>
                </wp:positionV>
                <wp:extent cx="914400" cy="431800"/>
                <wp:effectExtent l="0" t="0" r="0" b="0"/>
                <wp:wrapNone/>
                <wp:docPr id="260" name="文本框 264"/>
                <wp:cNvGraphicFramePr/>
                <a:graphic xmlns:a="http://schemas.openxmlformats.org/drawingml/2006/main">
                  <a:graphicData uri="http://schemas.microsoft.com/office/word/2010/wordprocessingShape">
                    <wps:wsp>
                      <wps:cNvSpPr txBox="1"/>
                      <wps:spPr>
                        <a:xfrm>
                          <a:off x="0" y="0"/>
                          <a:ext cx="914400" cy="431800"/>
                        </a:xfrm>
                        <a:prstGeom prst="rect">
                          <a:avLst/>
                        </a:prstGeom>
                        <a:noFill/>
                        <a:ln>
                          <a:noFill/>
                        </a:ln>
                      </wps:spPr>
                      <wps:txbx>
                        <w:txbxContent>
                          <w:p>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承包人提交资金需求计划书</w:t>
                            </w:r>
                          </w:p>
                        </w:txbxContent>
                      </wps:txbx>
                      <wps:bodyPr upright="1"/>
                    </wps:wsp>
                  </a:graphicData>
                </a:graphic>
              </wp:anchor>
            </w:drawing>
          </mc:Choice>
          <mc:Fallback>
            <w:pict>
              <v:shape id="文本框 264" o:spid="_x0000_s1026" o:spt="202" type="#_x0000_t202" style="position:absolute;left:0pt;margin-left:-10.5pt;margin-top:5.4pt;height:34pt;width:72pt;z-index:251924480;mso-width-relative:page;mso-height-relative:page;" filled="f" stroked="f" coordsize="21600,21600" o:gfxdata="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ZC/3P1gAA&#10;AAkBAAAPAAAAAAAAAAEAIAAAACIAAABkcnMvZG93bnJldi54bWxQSwECFAAUAAAACACHTuJAsY2h&#10;WK4BAABRAwAADgAAAAAAAAABACAAAAAlAQAAZHJzL2Uyb0RvYy54bWxQSwUGAAAAAAYABgBZAQAA&#10;RQUAAAAA&#10;">
                <v:fill on="f" focussize="0,0"/>
                <v:stroke on="f"/>
                <v:imagedata o:title=""/>
                <o:lock v:ext="edit" aspectratio="f"/>
                <v:textbox>
                  <w:txbxContent>
                    <w:p>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承包人提交资金需求计划书</w:t>
                      </w:r>
                    </w:p>
                  </w:txbxContent>
                </v:textbox>
              </v:shape>
            </w:pict>
          </mc:Fallback>
        </mc:AlternateContent>
      </w:r>
      <w:r>
        <w:rPr>
          <w:rFonts w:hint="eastAsia" w:ascii="仿宋" w:hAnsi="仿宋" w:eastAsia="仿宋" w:cs="仿宋"/>
          <w:color w:val="auto"/>
          <w:sz w:val="24"/>
          <w:szCs w:val="24"/>
          <w:highlight w:val="none"/>
        </w:rPr>
        <w:t>工程进度计划被批准后，承包人应向发包人提交一份合同工程资金需求计划书；工程进度计划更新后，承包人应及时向发包人提交一份更新后的工程资金需求计划书。</w:t>
      </w:r>
    </w:p>
    <w:p>
      <w:pPr>
        <w:pStyle w:val="2"/>
        <w:shd w:val="clear" w:color="000000" w:fill="auto"/>
        <w:adjustRightInd w:val="0"/>
        <w:snapToGrid w:val="0"/>
        <w:ind w:left="1619" w:leftChars="1" w:hanging="1617" w:hangingChars="671"/>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60.2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25504" behindDoc="0" locked="0" layoutInCell="1" allowOverlap="1">
                <wp:simplePos x="0" y="0"/>
                <wp:positionH relativeFrom="column">
                  <wp:posOffset>-114300</wp:posOffset>
                </wp:positionH>
                <wp:positionV relativeFrom="paragraph">
                  <wp:posOffset>34290</wp:posOffset>
                </wp:positionV>
                <wp:extent cx="914400" cy="464820"/>
                <wp:effectExtent l="0" t="0" r="0" b="0"/>
                <wp:wrapNone/>
                <wp:docPr id="261" name="文本框 265"/>
                <wp:cNvGraphicFramePr/>
                <a:graphic xmlns:a="http://schemas.openxmlformats.org/drawingml/2006/main">
                  <a:graphicData uri="http://schemas.microsoft.com/office/word/2010/wordprocessingShape">
                    <wps:wsp>
                      <wps:cNvSpPr txBox="1"/>
                      <wps:spPr>
                        <a:xfrm>
                          <a:off x="0" y="0"/>
                          <a:ext cx="914400" cy="464820"/>
                        </a:xfrm>
                        <a:prstGeom prst="rect">
                          <a:avLst/>
                        </a:prstGeom>
                        <a:noFill/>
                        <a:ln>
                          <a:noFill/>
                        </a:ln>
                      </wps:spPr>
                      <wps:txbx>
                        <w:txbxContent>
                          <w:p>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发包人提供资金安排证据</w:t>
                            </w:r>
                          </w:p>
                        </w:txbxContent>
                      </wps:txbx>
                      <wps:bodyPr upright="1"/>
                    </wps:wsp>
                  </a:graphicData>
                </a:graphic>
              </wp:anchor>
            </w:drawing>
          </mc:Choice>
          <mc:Fallback>
            <w:pict>
              <v:shape id="文本框 265" o:spid="_x0000_s1026" o:spt="202" type="#_x0000_t202" style="position:absolute;left:0pt;margin-left:-9pt;margin-top:2.7pt;height:36.6pt;width:72pt;z-index:251925504;mso-width-relative:page;mso-height-relative:page;" filled="f" stroked="f" coordsize="21600,21600" o:gfxdata="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WsHe1QAA&#10;AAgBAAAPAAAAAAAAAAEAIAAAACIAAABkcnMvZG93bnJldi54bWxQSwECFAAUAAAACACHTuJA+sli&#10;w68BAABRAwAADgAAAAAAAAABACAAAAAkAQAAZHJzL2Uyb0RvYy54bWxQSwUGAAAAAAYABgBZAQAA&#10;RQUAAAAA&#10;">
                <v:fill on="f" focussize="0,0"/>
                <v:stroke on="f"/>
                <v:imagedata o:title=""/>
                <o:lock v:ext="edit" aspectratio="f"/>
                <v:textbox>
                  <w:txbxContent>
                    <w:p>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发包人提供资金安排证据</w:t>
                      </w:r>
                    </w:p>
                  </w:txbxContent>
                </v:textbox>
              </v:shape>
            </w:pict>
          </mc:Fallback>
        </mc:AlternateContent>
      </w:r>
      <w:r>
        <w:rPr>
          <w:rFonts w:hint="eastAsia" w:ascii="仿宋" w:hAnsi="仿宋" w:eastAsia="仿宋" w:cs="仿宋"/>
          <w:color w:val="auto"/>
          <w:sz w:val="24"/>
          <w:szCs w:val="24"/>
          <w:highlight w:val="none"/>
        </w:rPr>
        <w:t>发包人在收到承包人提交的工程资金需求计划书后</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天内，应根据合同约定提供已做出资金安排的合理证据，表明自己有能力按照第</w:t>
      </w:r>
      <w:r>
        <w:rPr>
          <w:rFonts w:ascii="仿宋" w:hAnsi="仿宋" w:eastAsia="仿宋" w:cs="仿宋"/>
          <w:color w:val="auto"/>
          <w:sz w:val="24"/>
          <w:szCs w:val="24"/>
          <w:highlight w:val="none"/>
        </w:rPr>
        <w:t>78</w:t>
      </w:r>
      <w:r>
        <w:rPr>
          <w:rFonts w:hint="eastAsia" w:ascii="仿宋" w:hAnsi="仿宋" w:eastAsia="仿宋" w:cs="仿宋"/>
          <w:color w:val="auto"/>
          <w:sz w:val="24"/>
          <w:szCs w:val="24"/>
          <w:highlight w:val="none"/>
        </w:rPr>
        <w:t>条规定支付合同价款。如果发包人对资金安排作出任何变更时，应及时将变更的详情通知承包人。</w:t>
      </w:r>
    </w:p>
    <w:p>
      <w:pPr>
        <w:pStyle w:val="2"/>
        <w:shd w:val="clear" w:color="000000" w:fill="auto"/>
        <w:tabs>
          <w:tab w:val="left" w:pos="1800"/>
        </w:tabs>
        <w:adjustRightInd w:val="0"/>
        <w:snapToGrid w:val="0"/>
        <w:spacing w:line="240" w:lineRule="exact"/>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
        <w:shd w:val="clear" w:color="000000" w:fill="auto"/>
        <w:tabs>
          <w:tab w:val="left" w:pos="540"/>
        </w:tabs>
        <w:adjustRightInd w:val="0"/>
        <w:snapToGrid w:val="0"/>
        <w:spacing w:before="240" w:beforeLines="100"/>
        <w:outlineLvl w:val="2"/>
        <w:rPr>
          <w:rFonts w:ascii="仿宋" w:hAnsi="仿宋" w:eastAsia="仿宋" w:cs="Times New Roman"/>
          <w:b/>
          <w:bCs/>
          <w:color w:val="auto"/>
          <w:sz w:val="24"/>
          <w:szCs w:val="24"/>
          <w:highlight w:val="none"/>
        </w:rPr>
      </w:pPr>
      <w:bookmarkStart w:id="312" w:name="_Toc10624885"/>
      <w:bookmarkStart w:id="313" w:name="_Toc469384045"/>
      <w:bookmarkStart w:id="314" w:name="_Toc5579"/>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61  </w:t>
      </w:r>
      <w:r>
        <w:rPr>
          <w:rFonts w:hint="eastAsia" w:ascii="仿宋" w:hAnsi="仿宋" w:eastAsia="仿宋" w:cs="仿宋"/>
          <w:b/>
          <w:bCs/>
          <w:color w:val="auto"/>
          <w:sz w:val="24"/>
          <w:szCs w:val="24"/>
          <w:highlight w:val="none"/>
        </w:rPr>
        <w:t>工程量</w:t>
      </w:r>
      <w:bookmarkEnd w:id="312"/>
      <w:bookmarkEnd w:id="313"/>
      <w:bookmarkEnd w:id="314"/>
    </w:p>
    <w:p>
      <w:pPr>
        <w:pStyle w:val="2"/>
        <w:shd w:val="clear" w:color="000000" w:fill="auto"/>
        <w:adjustRightInd w:val="0"/>
        <w:snapToGrid w:val="0"/>
        <w:spacing w:line="360" w:lineRule="auto"/>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61.1</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除专用条款另有约定外，</w:t>
      </w:r>
      <w:r>
        <w:rPr>
          <w:color w:val="auto"/>
          <w:highlight w:val="none"/>
        </w:rPr>
        <mc:AlternateContent>
          <mc:Choice Requires="wps">
            <w:drawing>
              <wp:anchor distT="0" distB="0" distL="114300" distR="114300" simplePos="0" relativeHeight="251926528" behindDoc="0" locked="0" layoutInCell="1" allowOverlap="1">
                <wp:simplePos x="0" y="0"/>
                <wp:positionH relativeFrom="column">
                  <wp:posOffset>-114300</wp:posOffset>
                </wp:positionH>
                <wp:positionV relativeFrom="paragraph">
                  <wp:posOffset>11430</wp:posOffset>
                </wp:positionV>
                <wp:extent cx="914400" cy="476250"/>
                <wp:effectExtent l="0" t="0" r="0" b="0"/>
                <wp:wrapNone/>
                <wp:docPr id="262" name="文本框 266"/>
                <wp:cNvGraphicFramePr/>
                <a:graphic xmlns:a="http://schemas.openxmlformats.org/drawingml/2006/main">
                  <a:graphicData uri="http://schemas.microsoft.com/office/word/2010/wordprocessingShape">
                    <wps:wsp>
                      <wps:cNvSpPr txBox="1"/>
                      <wps:spPr>
                        <a:xfrm>
                          <a:off x="0" y="0"/>
                          <a:ext cx="914400" cy="476250"/>
                        </a:xfrm>
                        <a:prstGeom prst="rect">
                          <a:avLst/>
                        </a:prstGeom>
                        <a:noFill/>
                        <a:ln>
                          <a:noFill/>
                        </a:ln>
                      </wps:spPr>
                      <wps:txbx>
                        <w:txbxContent>
                          <w:p>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清单工程量包括的工作内容</w:t>
                            </w:r>
                          </w:p>
                        </w:txbxContent>
                      </wps:txbx>
                      <wps:bodyPr upright="1"/>
                    </wps:wsp>
                  </a:graphicData>
                </a:graphic>
              </wp:anchor>
            </w:drawing>
          </mc:Choice>
          <mc:Fallback>
            <w:pict>
              <v:shape id="文本框 266" o:spid="_x0000_s1026" o:spt="202" type="#_x0000_t202" style="position:absolute;left:0pt;margin-left:-9pt;margin-top:0.9pt;height:37.5pt;width:72pt;z-index:251926528;mso-width-relative:page;mso-height-relative:page;" filled="f" stroked="f" coordsize="21600,21600" o:gfxdata="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JuOd11AAA&#10;AAgBAAAPAAAAAAAAAAEAIAAAACIAAABkcnMvZG93bnJldi54bWxQSwECFAAUAAAACACHTuJAWIb8&#10;zLABAABRAwAADgAAAAAAAAABACAAAAAjAQAAZHJzL2Uyb0RvYy54bWxQSwUGAAAAAAYABgBZAQAA&#10;RQUAAAAA&#10;">
                <v:fill on="f" focussize="0,0"/>
                <v:stroke on="f"/>
                <v:imagedata o:title=""/>
                <o:lock v:ext="edit" aspectratio="f"/>
                <v:textbox>
                  <w:txbxContent>
                    <w:p>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清单工程量包括的工作内容</w:t>
                      </w:r>
                    </w:p>
                  </w:txbxContent>
                </v:textbox>
              </v:shape>
            </w:pict>
          </mc:Fallback>
        </mc:AlternateContent>
      </w:r>
      <w:r>
        <w:rPr>
          <w:rFonts w:hint="eastAsia" w:ascii="仿宋" w:hAnsi="仿宋" w:eastAsia="仿宋" w:cs="仿宋"/>
          <w:color w:val="auto"/>
          <w:sz w:val="24"/>
          <w:szCs w:val="24"/>
          <w:highlight w:val="none"/>
        </w:rPr>
        <w:t>工程量清单中开列的工程量应包括由承包人完成合同工程的施工、安装等工作内容。其任何遗漏或错误，既不能使合同无效，也不能免除承包人按照施工设计图纸、标准与规范实施合同工程的任何责任。对于依据施工设计图纸、标准与规范应在工程量清单中计量但未计量的工作，应根据第</w:t>
      </w:r>
      <w:r>
        <w:rPr>
          <w:rFonts w:ascii="仿宋" w:hAnsi="仿宋" w:eastAsia="仿宋" w:cs="仿宋"/>
          <w:color w:val="auto"/>
          <w:sz w:val="24"/>
          <w:szCs w:val="24"/>
          <w:highlight w:val="none"/>
        </w:rPr>
        <w:t>72</w:t>
      </w:r>
      <w:r>
        <w:rPr>
          <w:rFonts w:hint="eastAsia" w:ascii="仿宋" w:hAnsi="仿宋" w:eastAsia="仿宋" w:cs="仿宋"/>
          <w:color w:val="auto"/>
          <w:sz w:val="24"/>
          <w:szCs w:val="24"/>
          <w:highlight w:val="none"/>
        </w:rPr>
        <w:t>条规定确定合同价款的增加额。</w:t>
      </w:r>
    </w:p>
    <w:p>
      <w:pPr>
        <w:pStyle w:val="2"/>
        <w:shd w:val="clear" w:color="000000" w:fill="auto"/>
        <w:adjustRightInd w:val="0"/>
        <w:snapToGrid w:val="0"/>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61.2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27552" behindDoc="0" locked="0" layoutInCell="1" allowOverlap="1">
                <wp:simplePos x="0" y="0"/>
                <wp:positionH relativeFrom="column">
                  <wp:posOffset>-114300</wp:posOffset>
                </wp:positionH>
                <wp:positionV relativeFrom="paragraph">
                  <wp:posOffset>11430</wp:posOffset>
                </wp:positionV>
                <wp:extent cx="1028700" cy="361950"/>
                <wp:effectExtent l="0" t="0" r="0" b="0"/>
                <wp:wrapNone/>
                <wp:docPr id="263" name="文本框 267"/>
                <wp:cNvGraphicFramePr/>
                <a:graphic xmlns:a="http://schemas.openxmlformats.org/drawingml/2006/main">
                  <a:graphicData uri="http://schemas.microsoft.com/office/word/2010/wordprocessingShape">
                    <wps:wsp>
                      <wps:cNvSpPr txBox="1"/>
                      <wps:spPr>
                        <a:xfrm>
                          <a:off x="0" y="0"/>
                          <a:ext cx="1028700" cy="361950"/>
                        </a:xfrm>
                        <a:prstGeom prst="rect">
                          <a:avLst/>
                        </a:prstGeom>
                        <a:noFill/>
                        <a:ln>
                          <a:noFill/>
                        </a:ln>
                      </wps:spPr>
                      <wps:txbx>
                        <w:txbxContent>
                          <w:p>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清单的工程量</w:t>
                            </w:r>
                          </w:p>
                        </w:txbxContent>
                      </wps:txbx>
                      <wps:bodyPr upright="1"/>
                    </wps:wsp>
                  </a:graphicData>
                </a:graphic>
              </wp:anchor>
            </w:drawing>
          </mc:Choice>
          <mc:Fallback>
            <w:pict>
              <v:shape id="文本框 267" o:spid="_x0000_s1026" o:spt="202" type="#_x0000_t202" style="position:absolute;left:0pt;margin-left:-9pt;margin-top:0.9pt;height:28.5pt;width:81pt;z-index:251927552;mso-width-relative:page;mso-height-relative:page;" filled="f" stroked="f" coordsize="21600,21600" o:gfxdata="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w2NEa1AAA&#10;AAgBAAAPAAAAAAAAAAEAIAAAACIAAABkcnMvZG93bnJldi54bWxQSwECFAAUAAAACACHTuJABRGA&#10;iLABAABSAwAADgAAAAAAAAABACAAAAAjAQAAZHJzL2Uyb0RvYy54bWxQSwUGAAAAAAYABgBZAQAA&#10;RQUAAAAA&#10;">
                <v:fill on="f" focussize="0,0"/>
                <v:stroke on="f"/>
                <v:imagedata o:title=""/>
                <o:lock v:ext="edit" aspectratio="f"/>
                <v:textbox>
                  <w:txbxContent>
                    <w:p>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清单的工程量</w:t>
                      </w:r>
                    </w:p>
                  </w:txbxContent>
                </v:textbox>
              </v:shape>
            </w:pict>
          </mc:Fallback>
        </mc:AlternateContent>
      </w:r>
      <w:r>
        <w:rPr>
          <w:rFonts w:hint="eastAsia" w:ascii="仿宋" w:hAnsi="仿宋" w:eastAsia="仿宋" w:cs="仿宋"/>
          <w:color w:val="auto"/>
          <w:sz w:val="24"/>
          <w:szCs w:val="24"/>
          <w:highlight w:val="none"/>
        </w:rPr>
        <w:t>工程量清单中开列的工程量是根据合同工程施工设计图纸提供的预计工程量，不能作为承包人履行合同义务中应予完成合同工程的实际和准确工程量。</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发包人应按照承包人实际完成的应予计量的工程量与其在工程量清单中填报的单价或合价的乘积向承包人支付工程款。</w:t>
      </w:r>
    </w:p>
    <w:p>
      <w:pPr>
        <w:pStyle w:val="2"/>
        <w:shd w:val="clear" w:color="000000" w:fill="auto"/>
        <w:adjustRightInd w:val="0"/>
        <w:snapToGrid w:val="0"/>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
        <w:shd w:val="clear" w:color="000000" w:fill="auto"/>
        <w:tabs>
          <w:tab w:val="left" w:pos="540"/>
        </w:tabs>
        <w:adjustRightInd w:val="0"/>
        <w:snapToGrid w:val="0"/>
        <w:spacing w:before="240" w:beforeLines="100" w:line="360" w:lineRule="auto"/>
        <w:outlineLvl w:val="2"/>
        <w:rPr>
          <w:rFonts w:ascii="仿宋" w:hAnsi="仿宋" w:eastAsia="仿宋" w:cs="Times New Roman"/>
          <w:b/>
          <w:bCs/>
          <w:color w:val="auto"/>
          <w:sz w:val="24"/>
          <w:szCs w:val="24"/>
          <w:highlight w:val="none"/>
        </w:rPr>
      </w:pPr>
      <w:bookmarkStart w:id="315" w:name="_Toc469384046"/>
      <w:bookmarkStart w:id="316" w:name="_Toc26980"/>
      <w:bookmarkStart w:id="317" w:name="_Toc10624886"/>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62  </w:t>
      </w:r>
      <w:r>
        <w:rPr>
          <w:rFonts w:hint="eastAsia" w:ascii="仿宋" w:hAnsi="仿宋" w:eastAsia="仿宋" w:cs="仿宋"/>
          <w:b/>
          <w:bCs/>
          <w:color w:val="auto"/>
          <w:sz w:val="24"/>
          <w:szCs w:val="24"/>
          <w:highlight w:val="none"/>
        </w:rPr>
        <w:t>工程计量和计价</w:t>
      </w:r>
      <w:bookmarkEnd w:id="315"/>
      <w:bookmarkEnd w:id="316"/>
      <w:bookmarkEnd w:id="317"/>
    </w:p>
    <w:p>
      <w:pPr>
        <w:pStyle w:val="2"/>
        <w:shd w:val="clear" w:color="000000" w:fill="auto"/>
        <w:adjustRightInd w:val="0"/>
        <w:snapToGrid w:val="0"/>
        <w:spacing w:line="360" w:lineRule="auto"/>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62.1</w:t>
      </w:r>
    </w:p>
    <w:p>
      <w:pPr>
        <w:pStyle w:val="2"/>
        <w:shd w:val="clear" w:color="000000" w:fill="auto"/>
        <w:adjustRightInd w:val="0"/>
        <w:snapToGrid w:val="0"/>
        <w:spacing w:line="360" w:lineRule="auto"/>
        <w:ind w:left="1619" w:leftChars="771"/>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928576" behindDoc="0" locked="0" layoutInCell="1" allowOverlap="1">
                <wp:simplePos x="0" y="0"/>
                <wp:positionH relativeFrom="column">
                  <wp:posOffset>-114300</wp:posOffset>
                </wp:positionH>
                <wp:positionV relativeFrom="paragraph">
                  <wp:posOffset>12700</wp:posOffset>
                </wp:positionV>
                <wp:extent cx="914400" cy="415925"/>
                <wp:effectExtent l="0" t="0" r="0" b="0"/>
                <wp:wrapNone/>
                <wp:docPr id="264" name="文本框 268"/>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wps:spPr>
                      <wps:txbx>
                        <w:txbxContent>
                          <w:p>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工程计量和计价的依据</w:t>
                            </w:r>
                          </w:p>
                        </w:txbxContent>
                      </wps:txbx>
                      <wps:bodyPr upright="1"/>
                    </wps:wsp>
                  </a:graphicData>
                </a:graphic>
              </wp:anchor>
            </w:drawing>
          </mc:Choice>
          <mc:Fallback>
            <w:pict>
              <v:shape id="文本框 268" o:spid="_x0000_s1026" o:spt="202" type="#_x0000_t202" style="position:absolute;left:0pt;margin-left:-9pt;margin-top:1pt;height:32.75pt;width:72pt;z-index:251928576;mso-width-relative:page;mso-height-relative:page;" filled="f" stroked="f" coordsize="21600,21600" o:gfxdata="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oB6wktYA&#10;AAAIAQAADwAAAAAAAAABACAAAAAiAAAAZHJzL2Rvd25yZXYueG1sUEsBAhQAFAAAAAgAh07iQCgn&#10;wm+vAQAAUQMAAA4AAAAAAAAAAQAgAAAAJQEAAGRycy9lMm9Eb2MueG1sUEsFBgAAAAAGAAYAWQEA&#10;AEYFAAAAAA==&#10;">
                <v:fill on="f" focussize="0,0"/>
                <v:stroke on="f"/>
                <v:imagedata o:title=""/>
                <o:lock v:ext="edit" aspectratio="f"/>
                <v:textbox>
                  <w:txbxContent>
                    <w:p>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工程计量和计价的依据</w:t>
                      </w:r>
                    </w:p>
                  </w:txbxContent>
                </v:textbox>
              </v:shape>
            </w:pict>
          </mc:Fallback>
        </mc:AlternateContent>
      </w:r>
      <w:r>
        <w:rPr>
          <w:rFonts w:hint="eastAsia" w:ascii="仿宋" w:hAnsi="仿宋" w:eastAsia="仿宋" w:cs="仿宋"/>
          <w:color w:val="auto"/>
          <w:sz w:val="24"/>
          <w:szCs w:val="24"/>
          <w:highlight w:val="none"/>
        </w:rPr>
        <w:t>工程的计量规则和计价办法，以国家标准《建设工程工程量清单计价规范》为准；《建设工程工程量清单计价规范》没有规定的，以广东省统一工程计价依据为准；广东省统一工程计价依据没有规定的，可参照专业部门颁发的工程计价依据。</w:t>
      </w:r>
    </w:p>
    <w:p>
      <w:pPr>
        <w:pStyle w:val="2"/>
        <w:shd w:val="clear" w:color="000000" w:fill="auto"/>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62.2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29600" behindDoc="0" locked="0" layoutInCell="1" allowOverlap="1">
                <wp:simplePos x="0" y="0"/>
                <wp:positionH relativeFrom="column">
                  <wp:posOffset>-114300</wp:posOffset>
                </wp:positionH>
                <wp:positionV relativeFrom="paragraph">
                  <wp:posOffset>50800</wp:posOffset>
                </wp:positionV>
                <wp:extent cx="914400" cy="415925"/>
                <wp:effectExtent l="0" t="0" r="0" b="0"/>
                <wp:wrapNone/>
                <wp:docPr id="265" name="文本框 269"/>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wps:spPr>
                      <wps:txbx>
                        <w:txbxContent>
                          <w:p>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工程计量和计价的要求</w:t>
                            </w:r>
                          </w:p>
                        </w:txbxContent>
                      </wps:txbx>
                      <wps:bodyPr upright="1"/>
                    </wps:wsp>
                  </a:graphicData>
                </a:graphic>
              </wp:anchor>
            </w:drawing>
          </mc:Choice>
          <mc:Fallback>
            <w:pict>
              <v:shape id="文本框 269" o:spid="_x0000_s1026" o:spt="202" type="#_x0000_t202" style="position:absolute;left:0pt;margin-left:-9pt;margin-top:4pt;height:32.75pt;width:72pt;z-index:251929600;mso-width-relative:page;mso-height-relative:page;" filled="f" stroked="f" coordsize="21600,21600" o:gfxdata="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vOwRdYA&#10;AAAIAQAADwAAAAAAAAABACAAAAAiAAAAZHJzL2Rvd25yZXYueG1sUEsBAhQAFAAAAAgAh07iQAve&#10;vMevAQAAUQMAAA4AAAAAAAAAAQAgAAAAJQEAAGRycy9lMm9Eb2MueG1sUEsFBgAAAAAGAAYAWQEA&#10;AEYFAAAAAA==&#10;">
                <v:fill on="f" focussize="0,0"/>
                <v:stroke on="f"/>
                <v:imagedata o:title=""/>
                <o:lock v:ext="edit" aspectratio="f"/>
                <v:textbox>
                  <w:txbxContent>
                    <w:p>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工程计量和计价的要求</w:t>
                      </w:r>
                    </w:p>
                  </w:txbxContent>
                </v:textbox>
              </v:shape>
            </w:pict>
          </mc:Fallback>
        </mc:AlternateContent>
      </w:r>
      <w:r>
        <w:rPr>
          <w:rFonts w:hint="eastAsia" w:ascii="仿宋" w:hAnsi="仿宋" w:eastAsia="仿宋" w:cs="仿宋"/>
          <w:color w:val="auto"/>
          <w:sz w:val="24"/>
          <w:szCs w:val="24"/>
          <w:highlight w:val="none"/>
        </w:rPr>
        <w:t>合同双方当事人应按照合同约定，依据国家标准《建设工程工程量清单计价规范》、广东省统一工程计价依据或专业部门的工程计价依据以及工程造价管理机构制订的有关计价规定进行工程计量和计价。</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造价工程师负责工程计量和计价的核实工作。</w:t>
      </w:r>
    </w:p>
    <w:p>
      <w:pPr>
        <w:pStyle w:val="2"/>
        <w:shd w:val="clear" w:color="000000" w:fill="auto"/>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62.3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30624" behindDoc="0" locked="0" layoutInCell="1" allowOverlap="1">
                <wp:simplePos x="0" y="0"/>
                <wp:positionH relativeFrom="column">
                  <wp:posOffset>-114300</wp:posOffset>
                </wp:positionH>
                <wp:positionV relativeFrom="paragraph">
                  <wp:posOffset>-1905</wp:posOffset>
                </wp:positionV>
                <wp:extent cx="914400" cy="548005"/>
                <wp:effectExtent l="0" t="0" r="0" b="0"/>
                <wp:wrapNone/>
                <wp:docPr id="266" name="文本框 270"/>
                <wp:cNvGraphicFramePr/>
                <a:graphic xmlns:a="http://schemas.openxmlformats.org/drawingml/2006/main">
                  <a:graphicData uri="http://schemas.microsoft.com/office/word/2010/wordprocessingShape">
                    <wps:wsp>
                      <wps:cNvSpPr txBox="1"/>
                      <wps:spPr>
                        <a:xfrm>
                          <a:off x="0" y="0"/>
                          <a:ext cx="914400" cy="54800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已完工程款额报告的提交和核实</w:t>
                            </w:r>
                          </w:p>
                        </w:txbxContent>
                      </wps:txbx>
                      <wps:bodyPr upright="1"/>
                    </wps:wsp>
                  </a:graphicData>
                </a:graphic>
              </wp:anchor>
            </w:drawing>
          </mc:Choice>
          <mc:Fallback>
            <w:pict>
              <v:shape id="文本框 270" o:spid="_x0000_s1026" o:spt="202" type="#_x0000_t202" style="position:absolute;left:0pt;margin-left:-9pt;margin-top:-0.15pt;height:43.15pt;width:72pt;z-index:251930624;mso-width-relative:page;mso-height-relative:page;" filled="f" stroked="f" coordsize="21600,21600" o:gfxdata="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Dkfa9NQAAAAI&#10;AQAADwAAAAAAAAABACAAAAAiAAAAZHJzL2Rvd25yZXYueG1sUEsBAhQAFAAAAAgAh07iQB2rARGu&#10;AQAAUQMAAA4AAAAAAAAAAQAgAAAAIwEAAGRycy9lMm9Eb2MueG1sUEsFBgAAAAAGAAYAWQEAAEMF&#10;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已完工程款额报告的提交和核实</w:t>
                      </w:r>
                    </w:p>
                  </w:txbxContent>
                </v:textbox>
              </v:shape>
            </w:pict>
          </mc:Fallback>
        </mc:AlternateContent>
      </w:r>
      <w:r>
        <w:rPr>
          <w:rFonts w:hint="eastAsia" w:ascii="仿宋" w:hAnsi="仿宋" w:eastAsia="仿宋" w:cs="仿宋"/>
          <w:color w:val="auto"/>
          <w:sz w:val="24"/>
          <w:szCs w:val="24"/>
          <w:highlight w:val="none"/>
        </w:rPr>
        <w:t>承包人应按照第</w:t>
      </w:r>
      <w:r>
        <w:rPr>
          <w:rFonts w:ascii="仿宋" w:hAnsi="仿宋" w:eastAsia="仿宋" w:cs="仿宋"/>
          <w:color w:val="auto"/>
          <w:sz w:val="24"/>
          <w:szCs w:val="24"/>
          <w:highlight w:val="none"/>
        </w:rPr>
        <w:t>81.1</w:t>
      </w:r>
      <w:r>
        <w:rPr>
          <w:rFonts w:hint="eastAsia" w:ascii="仿宋" w:hAnsi="仿宋" w:eastAsia="仿宋" w:cs="仿宋"/>
          <w:color w:val="auto"/>
          <w:sz w:val="24"/>
          <w:szCs w:val="24"/>
          <w:highlight w:val="none"/>
        </w:rPr>
        <w:t>款规定向造价工程师提交已完工程款额报告。造价工程师应在收到报告后的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天内核实工程量，并将核实结果通知承包人、抄报发包人，作为工程计价和工程款支付的依据。</w:t>
      </w:r>
    </w:p>
    <w:p>
      <w:pPr>
        <w:pStyle w:val="2"/>
        <w:shd w:val="clear" w:color="000000" w:fill="auto"/>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62.4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31648" behindDoc="0" locked="0" layoutInCell="1" allowOverlap="1">
                <wp:simplePos x="0" y="0"/>
                <wp:positionH relativeFrom="column">
                  <wp:posOffset>-114300</wp:posOffset>
                </wp:positionH>
                <wp:positionV relativeFrom="paragraph">
                  <wp:posOffset>50165</wp:posOffset>
                </wp:positionV>
                <wp:extent cx="800100" cy="354330"/>
                <wp:effectExtent l="0" t="0" r="0" b="0"/>
                <wp:wrapNone/>
                <wp:docPr id="267" name="文本框 271"/>
                <wp:cNvGraphicFramePr/>
                <a:graphic xmlns:a="http://schemas.openxmlformats.org/drawingml/2006/main">
                  <a:graphicData uri="http://schemas.microsoft.com/office/word/2010/wordprocessingShape">
                    <wps:wsp>
                      <wps:cNvSpPr txBox="1"/>
                      <wps:spPr>
                        <a:xfrm>
                          <a:off x="0" y="0"/>
                          <a:ext cx="800100" cy="354330"/>
                        </a:xfrm>
                        <a:prstGeom prst="rect">
                          <a:avLst/>
                        </a:prstGeom>
                        <a:noFill/>
                        <a:ln>
                          <a:noFill/>
                        </a:ln>
                      </wps:spPr>
                      <wps:txbx>
                        <w:txbxContent>
                          <w:p>
                            <w:pPr>
                              <w:rPr>
                                <w:rFonts w:ascii="宋体" w:cs="Times New Roman"/>
                                <w:sz w:val="18"/>
                                <w:szCs w:val="18"/>
                              </w:rPr>
                            </w:pPr>
                            <w:r>
                              <w:rPr>
                                <w:rFonts w:hint="eastAsia" w:hAnsi="宋体"/>
                                <w:b/>
                                <w:bCs/>
                                <w:color w:val="000000"/>
                                <w:sz w:val="18"/>
                                <w:szCs w:val="18"/>
                              </w:rPr>
                              <w:t>现场计量</w:t>
                            </w:r>
                          </w:p>
                        </w:txbxContent>
                      </wps:txbx>
                      <wps:bodyPr upright="1"/>
                    </wps:wsp>
                  </a:graphicData>
                </a:graphic>
              </wp:anchor>
            </w:drawing>
          </mc:Choice>
          <mc:Fallback>
            <w:pict>
              <v:shape id="文本框 271" o:spid="_x0000_s1026" o:spt="202" type="#_x0000_t202" style="position:absolute;left:0pt;margin-left:-9pt;margin-top:3.95pt;height:27.9pt;width:63pt;z-index:251931648;mso-width-relative:page;mso-height-relative:page;" filled="f" stroked="f" coordsize="21600,21600" o:gfxdata="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YOGbdUA&#10;AAAIAQAADwAAAAAAAAABACAAAAAiAAAAZHJzL2Rvd25yZXYueG1sUEsBAhQAFAAAAAgAh07iQEPS&#10;eZqwAQAAUQMAAA4AAAAAAAAAAQAgAAAAJAEAAGRycy9lMm9Eb2MueG1sUEsFBgAAAAAGAAYAWQEA&#10;AEYFAAAAAA==&#10;">
                <v:fill on="f" focussize="0,0"/>
                <v:stroke on="f"/>
                <v:imagedata o:title=""/>
                <o:lock v:ext="edit" aspectratio="f"/>
                <v:textbox>
                  <w:txbxContent>
                    <w:p>
                      <w:pPr>
                        <w:rPr>
                          <w:rFonts w:ascii="宋体" w:cs="Times New Roman"/>
                          <w:sz w:val="18"/>
                          <w:szCs w:val="18"/>
                        </w:rPr>
                      </w:pPr>
                      <w:r>
                        <w:rPr>
                          <w:rFonts w:hint="eastAsia" w:hAnsi="宋体"/>
                          <w:b/>
                          <w:bCs/>
                          <w:color w:val="000000"/>
                          <w:sz w:val="18"/>
                          <w:szCs w:val="18"/>
                        </w:rPr>
                        <w:t>现场计量</w:t>
                      </w:r>
                    </w:p>
                  </w:txbxContent>
                </v:textbox>
              </v:shape>
            </w:pict>
          </mc:Fallback>
        </mc:AlternateContent>
      </w:r>
      <w:r>
        <w:rPr>
          <w:rFonts w:hint="eastAsia" w:ascii="仿宋" w:hAnsi="仿宋" w:eastAsia="仿宋" w:cs="仿宋"/>
          <w:color w:val="auto"/>
          <w:sz w:val="24"/>
          <w:szCs w:val="24"/>
          <w:highlight w:val="none"/>
        </w:rPr>
        <w:t>当造价工程师进行现场计量时，应在计量前</w:t>
      </w:r>
      <w:r>
        <w:rPr>
          <w:rFonts w:ascii="仿宋" w:hAnsi="仿宋" w:eastAsia="仿宋" w:cs="仿宋"/>
          <w:color w:val="auto"/>
          <w:sz w:val="24"/>
          <w:szCs w:val="24"/>
          <w:highlight w:val="none"/>
        </w:rPr>
        <w:t>24</w:t>
      </w:r>
      <w:r>
        <w:rPr>
          <w:rFonts w:hint="eastAsia" w:ascii="仿宋" w:hAnsi="仿宋" w:eastAsia="仿宋" w:cs="仿宋"/>
          <w:color w:val="auto"/>
          <w:sz w:val="24"/>
          <w:szCs w:val="24"/>
          <w:highlight w:val="none"/>
        </w:rPr>
        <w:t>小时通知承包人，承包人应为计量提供便利条件并派人参加。承包人收到通知后不派人参加计量，视为认可计量结果。造价工程师不按照约定时间通知承包人，致使承包人未能派人参加计量，计量结果无效。</w:t>
      </w:r>
    </w:p>
    <w:p>
      <w:pPr>
        <w:pStyle w:val="2"/>
        <w:shd w:val="clear" w:color="000000" w:fill="auto"/>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62.5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32672" behindDoc="0" locked="0" layoutInCell="1" allowOverlap="1">
                <wp:simplePos x="0" y="0"/>
                <wp:positionH relativeFrom="column">
                  <wp:posOffset>-114300</wp:posOffset>
                </wp:positionH>
                <wp:positionV relativeFrom="paragraph">
                  <wp:posOffset>44450</wp:posOffset>
                </wp:positionV>
                <wp:extent cx="914400" cy="603250"/>
                <wp:effectExtent l="0" t="0" r="0" b="0"/>
                <wp:wrapNone/>
                <wp:docPr id="268" name="文本框 272"/>
                <wp:cNvGraphicFramePr/>
                <a:graphic xmlns:a="http://schemas.openxmlformats.org/drawingml/2006/main">
                  <a:graphicData uri="http://schemas.microsoft.com/office/word/2010/wordprocessingShape">
                    <wps:wsp>
                      <wps:cNvSpPr txBox="1"/>
                      <wps:spPr>
                        <a:xfrm>
                          <a:off x="0" y="0"/>
                          <a:ext cx="914400" cy="60325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收到已完工程款额报告的限制</w:t>
                            </w:r>
                          </w:p>
                        </w:txbxContent>
                      </wps:txbx>
                      <wps:bodyPr upright="1"/>
                    </wps:wsp>
                  </a:graphicData>
                </a:graphic>
              </wp:anchor>
            </w:drawing>
          </mc:Choice>
          <mc:Fallback>
            <w:pict>
              <v:shape id="文本框 272" o:spid="_x0000_s1026" o:spt="202" type="#_x0000_t202" style="position:absolute;left:0pt;margin-left:-9pt;margin-top:3.5pt;height:47.5pt;width:72pt;z-index:251932672;mso-width-relative:page;mso-height-relative:page;" filled="f" stroked="f" coordsize="21600,21600" o:gfxdata="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W/1n11QAA&#10;AAkBAAAPAAAAAAAAAAEAIAAAACIAAABkcnMvZG93bnJldi54bWxQSwECFAAUAAAACACHTuJAvBJf&#10;yq8BAABRAwAADgAAAAAAAAABACAAAAAkAQAAZHJzL2Uyb0RvYy54bWxQSwUGAAAAAAYABgBZAQAA&#10;RQ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收到已完工程款额报告的限制</w:t>
                      </w:r>
                    </w:p>
                  </w:txbxContent>
                </v:textbox>
              </v:shape>
            </w:pict>
          </mc:Fallback>
        </mc:AlternateContent>
      </w:r>
      <w:r>
        <w:rPr>
          <w:rFonts w:hint="eastAsia" w:ascii="仿宋" w:hAnsi="仿宋" w:eastAsia="仿宋" w:cs="仿宋"/>
          <w:color w:val="auto"/>
          <w:sz w:val="24"/>
          <w:szCs w:val="24"/>
          <w:highlight w:val="none"/>
        </w:rPr>
        <w:t>造价工程师收到承包人按照第</w:t>
      </w:r>
      <w:r>
        <w:rPr>
          <w:rFonts w:ascii="仿宋" w:hAnsi="仿宋" w:eastAsia="仿宋" w:cs="仿宋"/>
          <w:color w:val="auto"/>
          <w:sz w:val="24"/>
          <w:szCs w:val="24"/>
          <w:highlight w:val="none"/>
        </w:rPr>
        <w:t>81.1</w:t>
      </w:r>
      <w:r>
        <w:rPr>
          <w:rFonts w:hint="eastAsia" w:ascii="仿宋" w:hAnsi="仿宋" w:eastAsia="仿宋" w:cs="仿宋"/>
          <w:color w:val="auto"/>
          <w:sz w:val="24"/>
          <w:szCs w:val="24"/>
          <w:highlight w:val="none"/>
        </w:rPr>
        <w:t>款规定提交的已完工程款额报告后</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天内，未进行计量或未向承包人通知计量结果的，从第</w:t>
      </w:r>
      <w:r>
        <w:rPr>
          <w:rFonts w:ascii="仿宋" w:hAnsi="仿宋" w:eastAsia="仿宋" w:cs="仿宋"/>
          <w:color w:val="auto"/>
          <w:sz w:val="24"/>
          <w:szCs w:val="24"/>
          <w:highlight w:val="none"/>
        </w:rPr>
        <w:t>15</w:t>
      </w:r>
      <w:r>
        <w:rPr>
          <w:rFonts w:hint="eastAsia" w:ascii="仿宋" w:hAnsi="仿宋" w:eastAsia="仿宋" w:cs="仿宋"/>
          <w:color w:val="auto"/>
          <w:sz w:val="24"/>
          <w:szCs w:val="24"/>
          <w:highlight w:val="none"/>
        </w:rPr>
        <w:t>天起，承包人报告中开列的工程量即视为被确认，作为工程计价和工程款支付的依据。</w:t>
      </w:r>
    </w:p>
    <w:p>
      <w:pPr>
        <w:pStyle w:val="2"/>
        <w:shd w:val="clear" w:color="000000" w:fill="auto"/>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62.6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33696" behindDoc="0" locked="0" layoutInCell="1" allowOverlap="1">
                <wp:simplePos x="0" y="0"/>
                <wp:positionH relativeFrom="column">
                  <wp:posOffset>-114300</wp:posOffset>
                </wp:positionH>
                <wp:positionV relativeFrom="paragraph">
                  <wp:posOffset>45720</wp:posOffset>
                </wp:positionV>
                <wp:extent cx="914400" cy="297180"/>
                <wp:effectExtent l="0" t="0" r="0" b="0"/>
                <wp:wrapNone/>
                <wp:docPr id="269" name="文本框 273"/>
                <wp:cNvGraphicFramePr/>
                <a:graphic xmlns:a="http://schemas.openxmlformats.org/drawingml/2006/main">
                  <a:graphicData uri="http://schemas.microsoft.com/office/word/2010/wordprocessingShape">
                    <wps:wsp>
                      <wps:cNvSpPr txBox="1"/>
                      <wps:spPr>
                        <a:xfrm>
                          <a:off x="0" y="0"/>
                          <a:ext cx="914400" cy="29718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复核计量结果</w:t>
                            </w:r>
                          </w:p>
                        </w:txbxContent>
                      </wps:txbx>
                      <wps:bodyPr upright="1"/>
                    </wps:wsp>
                  </a:graphicData>
                </a:graphic>
              </wp:anchor>
            </w:drawing>
          </mc:Choice>
          <mc:Fallback>
            <w:pict>
              <v:shape id="文本框 273" o:spid="_x0000_s1026" o:spt="202" type="#_x0000_t202" style="position:absolute;left:0pt;margin-left:-9pt;margin-top:3.6pt;height:23.4pt;width:72pt;z-index:251933696;mso-width-relative:page;mso-height-relative:page;" filled="f" stroked="f" coordsize="21600,21600" o:gfxdata="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PiyvmfV&#10;AAAACAEAAA8AAAAAAAAAAQAgAAAAIgAAAGRycy9kb3ducmV2LnhtbFBLAQIUABQAAAAIAIdO4kA9&#10;NmeYsQEAAFEDAAAOAAAAAAAAAAEAIAAAACQBAABkcnMvZTJvRG9jLnhtbFBLBQYAAAAABgAGAFkB&#10;AABH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复核计量结果</w:t>
                      </w:r>
                    </w:p>
                  </w:txbxContent>
                </v:textbox>
              </v:shape>
            </w:pict>
          </mc:Fallback>
        </mc:AlternateContent>
      </w:r>
      <w:r>
        <w:rPr>
          <w:rFonts w:hint="eastAsia" w:ascii="仿宋" w:hAnsi="仿宋" w:eastAsia="仿宋" w:cs="仿宋"/>
          <w:color w:val="auto"/>
          <w:sz w:val="24"/>
          <w:szCs w:val="24"/>
          <w:highlight w:val="none"/>
        </w:rPr>
        <w:t>如果承包人认为造价工程师的计量结果有误，应在收到计量结果通知后的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向造价工程师提出书面意见，并附上其认为正确的计量结果和详细的计算过程等资料。造价工程师收到书面意见后，应立即会同承包人对计量结果进行复核，并在签发支付证书前确定计量结果，同时通知承包人、抄报发包人。承包人对复核计量结果仍有异议或发包人对计量结果有异议的，按照第</w:t>
      </w:r>
      <w:r>
        <w:rPr>
          <w:rFonts w:ascii="仿宋" w:hAnsi="仿宋" w:eastAsia="仿宋" w:cs="仿宋"/>
          <w:color w:val="auto"/>
          <w:sz w:val="24"/>
          <w:szCs w:val="24"/>
          <w:highlight w:val="none"/>
        </w:rPr>
        <w:t>86</w:t>
      </w:r>
      <w:r>
        <w:rPr>
          <w:rFonts w:hint="eastAsia" w:ascii="仿宋" w:hAnsi="仿宋" w:eastAsia="仿宋" w:cs="仿宋"/>
          <w:color w:val="auto"/>
          <w:sz w:val="24"/>
          <w:szCs w:val="24"/>
          <w:highlight w:val="none"/>
        </w:rPr>
        <w:t>条规定处理。</w:t>
      </w:r>
    </w:p>
    <w:p>
      <w:pPr>
        <w:pStyle w:val="2"/>
        <w:shd w:val="clear" w:color="000000" w:fill="auto"/>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62.7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34720" behindDoc="0" locked="0" layoutInCell="1" allowOverlap="1">
                <wp:simplePos x="0" y="0"/>
                <wp:positionH relativeFrom="column">
                  <wp:posOffset>-114300</wp:posOffset>
                </wp:positionH>
                <wp:positionV relativeFrom="paragraph">
                  <wp:posOffset>36195</wp:posOffset>
                </wp:positionV>
                <wp:extent cx="800100" cy="297180"/>
                <wp:effectExtent l="0" t="0" r="0" b="0"/>
                <wp:wrapNone/>
                <wp:docPr id="270" name="文本框 274"/>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不予计量</w:t>
                            </w:r>
                          </w:p>
                        </w:txbxContent>
                      </wps:txbx>
                      <wps:bodyPr upright="1"/>
                    </wps:wsp>
                  </a:graphicData>
                </a:graphic>
              </wp:anchor>
            </w:drawing>
          </mc:Choice>
          <mc:Fallback>
            <w:pict>
              <v:shape id="文本框 274" o:spid="_x0000_s1026" o:spt="202" type="#_x0000_t202" style="position:absolute;left:0pt;margin-left:-9pt;margin-top:2.85pt;height:23.4pt;width:63pt;z-index:251934720;mso-width-relative:page;mso-height-relative:page;" filled="f" stroked="f" coordsize="21600,21600" o:gfxdata="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BFK6ZNQAAAAI&#10;AQAADwAAAAAAAAABACAAAAAiAAAAZHJzL2Rvd25yZXYueG1sUEsBAhQAFAAAAAgAh07iQCEe+12u&#10;AQAAUQMAAA4AAAAAAAAAAQAgAAAAIwEAAGRycy9lMm9Eb2MueG1sUEsFBgAAAAAGAAYAWQEAAEMF&#10;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不予计量</w:t>
                      </w:r>
                    </w:p>
                  </w:txbxContent>
                </v:textbox>
              </v:shape>
            </w:pict>
          </mc:Fallback>
        </mc:AlternateContent>
      </w:r>
      <w:r>
        <w:rPr>
          <w:rFonts w:hint="eastAsia" w:ascii="仿宋" w:hAnsi="仿宋" w:eastAsia="仿宋" w:cs="仿宋"/>
          <w:color w:val="auto"/>
          <w:sz w:val="24"/>
          <w:szCs w:val="24"/>
          <w:highlight w:val="none"/>
        </w:rPr>
        <w:t>对承包人超出施工设计图纸范围或因承包人的原因造成返工的工程量，造价工程师均不予计量。</w:t>
      </w:r>
    </w:p>
    <w:p>
      <w:pPr>
        <w:pStyle w:val="2"/>
        <w:shd w:val="clear" w:color="000000" w:fill="auto"/>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62.8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35744" behindDoc="0" locked="0" layoutInCell="1" allowOverlap="1">
                <wp:simplePos x="0" y="0"/>
                <wp:positionH relativeFrom="column">
                  <wp:posOffset>-114300</wp:posOffset>
                </wp:positionH>
                <wp:positionV relativeFrom="paragraph">
                  <wp:posOffset>24130</wp:posOffset>
                </wp:positionV>
                <wp:extent cx="914400" cy="494030"/>
                <wp:effectExtent l="0" t="0" r="0" b="0"/>
                <wp:wrapNone/>
                <wp:docPr id="271" name="文本框 275"/>
                <wp:cNvGraphicFramePr/>
                <a:graphic xmlns:a="http://schemas.openxmlformats.org/drawingml/2006/main">
                  <a:graphicData uri="http://schemas.microsoft.com/office/word/2010/wordprocessingShape">
                    <wps:wsp>
                      <wps:cNvSpPr txBox="1"/>
                      <wps:spPr>
                        <a:xfrm>
                          <a:off x="0" y="0"/>
                          <a:ext cx="914400" cy="49403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各项工作价款的计算</w:t>
                            </w:r>
                          </w:p>
                        </w:txbxContent>
                      </wps:txbx>
                      <wps:bodyPr upright="1"/>
                    </wps:wsp>
                  </a:graphicData>
                </a:graphic>
              </wp:anchor>
            </w:drawing>
          </mc:Choice>
          <mc:Fallback>
            <w:pict>
              <v:shape id="文本框 275" o:spid="_x0000_s1026" o:spt="202" type="#_x0000_t202" style="position:absolute;left:0pt;margin-left:-9pt;margin-top:1.9pt;height:38.9pt;width:72pt;z-index:251935744;mso-width-relative:page;mso-height-relative:page;" filled="f" stroked="f" coordsize="21600,21600" o:gfxdata="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Xa9altQA&#10;AAAIAQAADwAAAAAAAAABACAAAAAiAAAAZHJzL2Rvd25yZXYueG1sUEsBAhQAFAAAAAgAh07iQDcC&#10;bqaxAQAAUQMAAA4AAAAAAAAAAQAgAAAAIwEAAGRycy9lMm9Eb2MueG1sUEsFBgAAAAAGAAYAWQEA&#10;AEY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各项工作价款的计算</w:t>
                      </w:r>
                    </w:p>
                  </w:txbxContent>
                </v:textbox>
              </v:shape>
            </w:pict>
          </mc:Fallback>
        </mc:AlternateContent>
      </w:r>
      <w:r>
        <w:rPr>
          <w:rFonts w:hint="eastAsia" w:ascii="仿宋" w:hAnsi="仿宋" w:eastAsia="仿宋" w:cs="仿宋"/>
          <w:color w:val="auto"/>
          <w:sz w:val="24"/>
          <w:szCs w:val="24"/>
          <w:highlight w:val="none"/>
        </w:rPr>
        <w:t>除按照第</w:t>
      </w:r>
      <w:r>
        <w:rPr>
          <w:rFonts w:ascii="仿宋" w:hAnsi="仿宋" w:eastAsia="仿宋" w:cs="仿宋"/>
          <w:color w:val="auto"/>
          <w:sz w:val="24"/>
          <w:szCs w:val="24"/>
          <w:highlight w:val="none"/>
        </w:rPr>
        <w:t>69</w:t>
      </w:r>
      <w:r>
        <w:rPr>
          <w:rFonts w:hint="eastAsia" w:ascii="仿宋" w:hAnsi="仿宋" w:eastAsia="仿宋" w:cs="仿宋"/>
          <w:color w:val="auto"/>
          <w:sz w:val="24"/>
          <w:szCs w:val="24"/>
          <w:highlight w:val="none"/>
        </w:rPr>
        <w:t>条至第</w:t>
      </w:r>
      <w:r>
        <w:rPr>
          <w:rFonts w:ascii="仿宋" w:hAnsi="仿宋" w:eastAsia="仿宋" w:cs="仿宋"/>
          <w:color w:val="auto"/>
          <w:sz w:val="24"/>
          <w:szCs w:val="24"/>
          <w:highlight w:val="none"/>
        </w:rPr>
        <w:t>73</w:t>
      </w:r>
      <w:r>
        <w:rPr>
          <w:rFonts w:hint="eastAsia" w:ascii="仿宋" w:hAnsi="仿宋" w:eastAsia="仿宋" w:cs="仿宋"/>
          <w:color w:val="auto"/>
          <w:sz w:val="24"/>
          <w:szCs w:val="24"/>
          <w:highlight w:val="none"/>
        </w:rPr>
        <w:t>条、第</w:t>
      </w:r>
      <w:r>
        <w:rPr>
          <w:rFonts w:ascii="仿宋" w:hAnsi="仿宋" w:eastAsia="仿宋" w:cs="仿宋"/>
          <w:color w:val="auto"/>
          <w:sz w:val="24"/>
          <w:szCs w:val="24"/>
          <w:highlight w:val="none"/>
        </w:rPr>
        <w:t>76</w:t>
      </w:r>
      <w:r>
        <w:rPr>
          <w:rFonts w:hint="eastAsia" w:ascii="仿宋" w:hAnsi="仿宋" w:eastAsia="仿宋" w:cs="仿宋"/>
          <w:color w:val="auto"/>
          <w:sz w:val="24"/>
          <w:szCs w:val="24"/>
          <w:highlight w:val="none"/>
        </w:rPr>
        <w:t>条规定所做的调整外，每项工作所适用的单价</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费率</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或合价应按照合同约定的该项工作的单价（费率）或合价，并按照本条规定计量得到的工程量与适用的单价（费率）或合价的乘积确定该项工作的价款。造价工程师根据各个支付期所有各项工作的价款计算该支付期工程款，并将各支付期的价款汇总计算合同价款。</w:t>
      </w:r>
    </w:p>
    <w:p>
      <w:pPr>
        <w:pStyle w:val="2"/>
        <w:shd w:val="clear" w:color="000000" w:fill="auto"/>
        <w:tabs>
          <w:tab w:val="left" w:pos="1620"/>
        </w:tabs>
        <w:adjustRightInd w:val="0"/>
        <w:snapToGrid w:val="0"/>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
        <w:shd w:val="clear" w:color="000000" w:fill="auto"/>
        <w:tabs>
          <w:tab w:val="left" w:pos="540"/>
        </w:tabs>
        <w:adjustRightInd w:val="0"/>
        <w:snapToGrid w:val="0"/>
        <w:spacing w:before="240" w:beforeLines="100" w:line="360" w:lineRule="auto"/>
        <w:outlineLvl w:val="2"/>
        <w:rPr>
          <w:rFonts w:ascii="仿宋" w:hAnsi="仿宋" w:eastAsia="仿宋" w:cs="Times New Roman"/>
          <w:b/>
          <w:bCs/>
          <w:dstrike/>
          <w:color w:val="auto"/>
          <w:sz w:val="24"/>
          <w:szCs w:val="24"/>
          <w:highlight w:val="none"/>
        </w:rPr>
      </w:pPr>
      <w:bookmarkStart w:id="318" w:name="_Toc30561"/>
      <w:bookmarkStart w:id="319" w:name="_Toc469384047"/>
      <w:bookmarkStart w:id="320" w:name="_Toc10624887"/>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63  </w:t>
      </w:r>
      <w:r>
        <w:rPr>
          <w:rFonts w:hint="eastAsia" w:ascii="仿宋" w:hAnsi="仿宋" w:eastAsia="仿宋" w:cs="仿宋"/>
          <w:b/>
          <w:bCs/>
          <w:color w:val="auto"/>
          <w:sz w:val="24"/>
          <w:szCs w:val="24"/>
          <w:highlight w:val="none"/>
        </w:rPr>
        <w:t>暂列金额</w:t>
      </w:r>
      <w:bookmarkEnd w:id="318"/>
      <w:bookmarkEnd w:id="319"/>
      <w:bookmarkEnd w:id="320"/>
    </w:p>
    <w:p>
      <w:pPr>
        <w:pStyle w:val="2"/>
        <w:shd w:val="clear" w:color="000000" w:fill="auto"/>
        <w:adjustRightInd w:val="0"/>
        <w:snapToGrid w:val="0"/>
        <w:spacing w:line="360" w:lineRule="auto"/>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63.1</w:t>
      </w:r>
    </w:p>
    <w:p>
      <w:pPr>
        <w:shd w:val="clear" w:color="000000" w:fill="auto"/>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36768" behindDoc="0" locked="0" layoutInCell="1" allowOverlap="1">
                <wp:simplePos x="0" y="0"/>
                <wp:positionH relativeFrom="column">
                  <wp:posOffset>-228600</wp:posOffset>
                </wp:positionH>
                <wp:positionV relativeFrom="paragraph">
                  <wp:posOffset>95250</wp:posOffset>
                </wp:positionV>
                <wp:extent cx="1143000" cy="688340"/>
                <wp:effectExtent l="0" t="0" r="0" b="0"/>
                <wp:wrapNone/>
                <wp:docPr id="272" name="文本框 276"/>
                <wp:cNvGraphicFramePr/>
                <a:graphic xmlns:a="http://schemas.openxmlformats.org/drawingml/2006/main">
                  <a:graphicData uri="http://schemas.microsoft.com/office/word/2010/wordprocessingShape">
                    <wps:wsp>
                      <wps:cNvSpPr txBox="1"/>
                      <wps:spPr>
                        <a:xfrm>
                          <a:off x="0" y="0"/>
                          <a:ext cx="1143000" cy="68834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暂列金额的用</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途</w:t>
                            </w:r>
                          </w:p>
                        </w:txbxContent>
                      </wps:txbx>
                      <wps:bodyPr upright="1"/>
                    </wps:wsp>
                  </a:graphicData>
                </a:graphic>
              </wp:anchor>
            </w:drawing>
          </mc:Choice>
          <mc:Fallback>
            <w:pict>
              <v:shape id="文本框 276" o:spid="_x0000_s1026" o:spt="202" type="#_x0000_t202" style="position:absolute;left:0pt;margin-left:-18pt;margin-top:7.5pt;height:54.2pt;width:90pt;z-index:251936768;mso-width-relative:page;mso-height-relative:page;" filled="f" stroked="f" coordsize="21600,21600" o:gfxdata="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G+AjDPV&#10;AAAACgEAAA8AAAAAAAAAAQAgAAAAIgAAAGRycy9kb3ducmV2LnhtbFBLAQIUABQAAAAIAIdO4kD3&#10;7/rVsQEAAFIDAAAOAAAAAAAAAAEAIAAAACQBAABkcnMvZTJvRG9jLnhtbFBLBQYAAAAABgAGAFkB&#10;AABH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暂列金额的用</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途</w:t>
                      </w:r>
                    </w:p>
                  </w:txbxContent>
                </v:textbox>
              </v:shape>
            </w:pict>
          </mc:Fallback>
        </mc:AlternateContent>
      </w:r>
      <w:r>
        <w:rPr>
          <w:rFonts w:hint="eastAsia" w:ascii="仿宋" w:hAnsi="仿宋" w:eastAsia="仿宋" w:cs="仿宋"/>
          <w:color w:val="auto"/>
          <w:sz w:val="24"/>
          <w:szCs w:val="24"/>
          <w:highlight w:val="none"/>
        </w:rPr>
        <w:t>合同双方当事人应在专用条款中明确工程量清单中开列的已标价的暂列金额。</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暂列金额是用于实施合同工程的任一增加部分，或用于提供不可预见的货物、材料和工程设备，或用于工程变更等因素发生的工程款调增，以及经确认的索赔、现场签证，或用于提供相关服务或意外事件的一笔款项。</w:t>
      </w:r>
    </w:p>
    <w:p>
      <w:pPr>
        <w:pStyle w:val="2"/>
        <w:shd w:val="clear" w:color="000000" w:fill="auto"/>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63.2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575" w:leftChars="750"/>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937792" behindDoc="0" locked="0" layoutInCell="1" allowOverlap="1">
                <wp:simplePos x="0" y="0"/>
                <wp:positionH relativeFrom="column">
                  <wp:posOffset>-133350</wp:posOffset>
                </wp:positionH>
                <wp:positionV relativeFrom="paragraph">
                  <wp:posOffset>99695</wp:posOffset>
                </wp:positionV>
                <wp:extent cx="1028700" cy="553085"/>
                <wp:effectExtent l="0" t="0" r="0" b="0"/>
                <wp:wrapNone/>
                <wp:docPr id="273" name="文本框 277"/>
                <wp:cNvGraphicFramePr/>
                <a:graphic xmlns:a="http://schemas.openxmlformats.org/drawingml/2006/main">
                  <a:graphicData uri="http://schemas.microsoft.com/office/word/2010/wordprocessingShape">
                    <wps:wsp>
                      <wps:cNvSpPr txBox="1"/>
                      <wps:spPr>
                        <a:xfrm>
                          <a:off x="0" y="0"/>
                          <a:ext cx="1028700" cy="55308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暂列金额的支</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付</w:t>
                            </w:r>
                          </w:p>
                        </w:txbxContent>
                      </wps:txbx>
                      <wps:bodyPr upright="1"/>
                    </wps:wsp>
                  </a:graphicData>
                </a:graphic>
              </wp:anchor>
            </w:drawing>
          </mc:Choice>
          <mc:Fallback>
            <w:pict>
              <v:shape id="文本框 277" o:spid="_x0000_s1026" o:spt="202" type="#_x0000_t202" style="position:absolute;left:0pt;margin-left:-10.5pt;margin-top:7.85pt;height:43.55pt;width:81pt;z-index:251937792;mso-width-relative:page;mso-height-relative:page;" filled="f" stroked="f" coordsize="21600,21600" o:gfxdata="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xLfJn9YA&#10;AAAKAQAADwAAAAAAAAABACAAAAAiAAAAZHJzL2Rvd25yZXYueG1sUEsBAhQAFAAAAAgAh07iQM1h&#10;DE2vAQAAUgMAAA4AAAAAAAAAAQAgAAAAJQEAAGRycy9lMm9Eb2MueG1sUEsFBgAAAAAGAAYAWQEA&#10;AEY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暂列金额的支</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付</w:t>
                      </w:r>
                    </w:p>
                  </w:txbxContent>
                </v:textbox>
              </v:shape>
            </w:pict>
          </mc:Fallback>
        </mc:AlternateContent>
      </w:r>
      <w:r>
        <w:rPr>
          <w:rFonts w:hint="eastAsia" w:ascii="仿宋" w:hAnsi="仿宋" w:eastAsia="仿宋" w:cs="仿宋"/>
          <w:color w:val="auto"/>
          <w:sz w:val="24"/>
          <w:szCs w:val="24"/>
          <w:highlight w:val="none"/>
        </w:rPr>
        <w:t>经发包人批准后，监理工程师应就承包人实施第</w:t>
      </w:r>
      <w:r>
        <w:rPr>
          <w:rFonts w:ascii="仿宋" w:hAnsi="仿宋" w:eastAsia="仿宋" w:cs="仿宋"/>
          <w:color w:val="auto"/>
          <w:sz w:val="24"/>
          <w:szCs w:val="24"/>
          <w:highlight w:val="none"/>
        </w:rPr>
        <w:t>63.1</w:t>
      </w:r>
      <w:r>
        <w:rPr>
          <w:rFonts w:hint="eastAsia" w:ascii="仿宋" w:hAnsi="仿宋" w:eastAsia="仿宋" w:cs="仿宋"/>
          <w:color w:val="auto"/>
          <w:sz w:val="24"/>
          <w:szCs w:val="24"/>
          <w:highlight w:val="none"/>
        </w:rPr>
        <w:t>款规定的工作发出书面指令。承包人应就此项指令提出所需价款，经造价工程师核实并由其报发包人确认后，向承包人支付相关款项。</w:t>
      </w:r>
    </w:p>
    <w:p>
      <w:pPr>
        <w:pStyle w:val="2"/>
        <w:shd w:val="clear" w:color="000000" w:fill="auto"/>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63.3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38816"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274" name="文本框 278"/>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提供暂列金额支付票据</w:t>
                            </w:r>
                          </w:p>
                        </w:txbxContent>
                      </wps:txbx>
                      <wps:bodyPr upright="1"/>
                    </wps:wsp>
                  </a:graphicData>
                </a:graphic>
              </wp:anchor>
            </w:drawing>
          </mc:Choice>
          <mc:Fallback>
            <w:pict>
              <v:shape id="文本框 278" o:spid="_x0000_s1026" o:spt="202" type="#_x0000_t202" style="position:absolute;left:0pt;margin-left:-9pt;margin-top:1.25pt;height:31.2pt;width:72pt;z-index:251938816;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8/wcNUA&#10;AAAIAQAADwAAAAAAAAABACAAAAAiAAAAZHJzL2Rvd25yZXYueG1sUEsBAhQAFAAAAAgAh07iQOa0&#10;JWGwAQAAUQMAAA4AAAAAAAAAAQAgAAAAJAEAAGRycy9lMm9Eb2MueG1sUEsFBgAAAAAGAAYAWQEA&#10;AEY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提供暂列金额支付票据</w:t>
                      </w:r>
                    </w:p>
                  </w:txbxContent>
                </v:textbox>
              </v:shape>
            </w:pict>
          </mc:Fallback>
        </mc:AlternateContent>
      </w:r>
      <w:r>
        <w:rPr>
          <w:rFonts w:hint="eastAsia" w:ascii="仿宋" w:hAnsi="仿宋" w:eastAsia="仿宋" w:cs="仿宋"/>
          <w:color w:val="auto"/>
          <w:sz w:val="24"/>
          <w:szCs w:val="24"/>
          <w:highlight w:val="none"/>
        </w:rPr>
        <w:t>造价工程师有要求时，承包人应提供使用暂列金额支付项目的所有报价单、发票、账单或收据。</w:t>
      </w:r>
    </w:p>
    <w:p>
      <w:pPr>
        <w:pStyle w:val="2"/>
        <w:shd w:val="clear" w:color="000000" w:fill="auto"/>
        <w:adjustRightInd w:val="0"/>
        <w:snapToGrid w:val="0"/>
        <w:spacing w:line="240" w:lineRule="exact"/>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
        <w:shd w:val="clear" w:color="000000" w:fill="auto"/>
        <w:tabs>
          <w:tab w:val="left" w:pos="540"/>
        </w:tabs>
        <w:adjustRightInd w:val="0"/>
        <w:snapToGrid w:val="0"/>
        <w:spacing w:before="240" w:beforeLines="100" w:line="360" w:lineRule="auto"/>
        <w:outlineLvl w:val="2"/>
        <w:rPr>
          <w:rFonts w:ascii="仿宋" w:hAnsi="仿宋" w:eastAsia="仿宋" w:cs="Times New Roman"/>
          <w:b/>
          <w:bCs/>
          <w:dstrike/>
          <w:color w:val="auto"/>
          <w:sz w:val="24"/>
          <w:szCs w:val="24"/>
          <w:highlight w:val="none"/>
        </w:rPr>
      </w:pPr>
      <w:bookmarkStart w:id="321" w:name="_Toc2559"/>
      <w:bookmarkStart w:id="322" w:name="_Toc10624888"/>
      <w:bookmarkStart w:id="323" w:name="_Toc469384048"/>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64  </w:t>
      </w:r>
      <w:r>
        <w:rPr>
          <w:rFonts w:hint="eastAsia" w:ascii="仿宋" w:hAnsi="仿宋" w:eastAsia="仿宋" w:cs="仿宋"/>
          <w:b/>
          <w:bCs/>
          <w:color w:val="auto"/>
          <w:sz w:val="24"/>
          <w:szCs w:val="24"/>
          <w:highlight w:val="none"/>
        </w:rPr>
        <w:t>计日工</w:t>
      </w:r>
      <w:bookmarkEnd w:id="321"/>
      <w:bookmarkEnd w:id="322"/>
      <w:bookmarkEnd w:id="323"/>
    </w:p>
    <w:p>
      <w:pPr>
        <w:pStyle w:val="2"/>
        <w:shd w:val="clear" w:color="000000" w:fill="auto"/>
        <w:adjustRightInd w:val="0"/>
        <w:snapToGrid w:val="0"/>
        <w:spacing w:line="360" w:lineRule="auto"/>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64.1</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39840" behindDoc="0" locked="0" layoutInCell="1" allowOverlap="1">
                <wp:simplePos x="0" y="0"/>
                <wp:positionH relativeFrom="column">
                  <wp:posOffset>-114300</wp:posOffset>
                </wp:positionH>
                <wp:positionV relativeFrom="paragraph">
                  <wp:posOffset>15875</wp:posOffset>
                </wp:positionV>
                <wp:extent cx="914400" cy="387985"/>
                <wp:effectExtent l="0" t="0" r="0" b="0"/>
                <wp:wrapNone/>
                <wp:docPr id="275" name="文本框 279"/>
                <wp:cNvGraphicFramePr/>
                <a:graphic xmlns:a="http://schemas.openxmlformats.org/drawingml/2006/main">
                  <a:graphicData uri="http://schemas.microsoft.com/office/word/2010/wordprocessingShape">
                    <wps:wsp>
                      <wps:cNvSpPr txBox="1"/>
                      <wps:spPr>
                        <a:xfrm>
                          <a:off x="0" y="0"/>
                          <a:ext cx="914400" cy="38798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计日工单价的用途</w:t>
                            </w:r>
                          </w:p>
                        </w:txbxContent>
                      </wps:txbx>
                      <wps:bodyPr upright="1"/>
                    </wps:wsp>
                  </a:graphicData>
                </a:graphic>
              </wp:anchor>
            </w:drawing>
          </mc:Choice>
          <mc:Fallback>
            <w:pict>
              <v:shape id="文本框 279" o:spid="_x0000_s1026" o:spt="202" type="#_x0000_t202" style="position:absolute;left:0pt;margin-left:-9pt;margin-top:1.25pt;height:30.55pt;width:72pt;z-index:251939840;mso-width-relative:page;mso-height-relative:page;" filled="f" stroked="f" coordsize="21600,21600" o:gfxdata="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Uv8r0tUA&#10;AAAIAQAADwAAAAAAAAABACAAAAAiAAAAZHJzL2Rvd25yZXYueG1sUEsBAhQAFAAAAAgAh07iQK5a&#10;rbWwAQAAUQMAAA4AAAAAAAAAAQAgAAAAJAEAAGRycy9lMm9Eb2MueG1sUEsFBgAAAAAGAAYAWQEA&#10;AEY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计日工单价的用途</w:t>
                      </w:r>
                    </w:p>
                  </w:txbxContent>
                </v:textbox>
              </v:shape>
            </w:pict>
          </mc:Fallback>
        </mc:AlternateContent>
      </w:r>
      <w:r>
        <w:rPr>
          <w:rFonts w:hint="eastAsia" w:ascii="仿宋" w:hAnsi="仿宋" w:eastAsia="仿宋" w:cs="仿宋"/>
          <w:color w:val="auto"/>
          <w:sz w:val="24"/>
          <w:szCs w:val="24"/>
          <w:highlight w:val="none"/>
        </w:rPr>
        <w:t>承包人投标文件中填报的计日工单价或价格是用于实施发包人要求的合同以外零星工作项目所需的人工单价、材料、工程设备价格和施工设备机械台班单价。</w:t>
      </w:r>
    </w:p>
    <w:p>
      <w:pPr>
        <w:pStyle w:val="2"/>
        <w:shd w:val="clear" w:color="000000" w:fill="auto"/>
        <w:adjustRightInd w:val="0"/>
        <w:snapToGrid w:val="0"/>
        <w:spacing w:line="480" w:lineRule="auto"/>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64.2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经发包人批准后，监理工程师应就使用计日工项目发出书面指令。</w:t>
      </w:r>
      <w:r>
        <w:rPr>
          <w:color w:val="auto"/>
          <w:highlight w:val="none"/>
        </w:rPr>
        <mc:AlternateContent>
          <mc:Choice Requires="wps">
            <w:drawing>
              <wp:anchor distT="0" distB="0" distL="114300" distR="114300" simplePos="0" relativeHeight="251940864" behindDoc="0" locked="0" layoutInCell="1" allowOverlap="1">
                <wp:simplePos x="0" y="0"/>
                <wp:positionH relativeFrom="column">
                  <wp:posOffset>-114300</wp:posOffset>
                </wp:positionH>
                <wp:positionV relativeFrom="paragraph">
                  <wp:posOffset>14605</wp:posOffset>
                </wp:positionV>
                <wp:extent cx="914400" cy="412750"/>
                <wp:effectExtent l="0" t="0" r="0" b="0"/>
                <wp:wrapNone/>
                <wp:docPr id="276" name="文本框 280"/>
                <wp:cNvGraphicFramePr/>
                <a:graphic xmlns:a="http://schemas.openxmlformats.org/drawingml/2006/main">
                  <a:graphicData uri="http://schemas.microsoft.com/office/word/2010/wordprocessingShape">
                    <wps:wsp>
                      <wps:cNvSpPr txBox="1"/>
                      <wps:spPr>
                        <a:xfrm>
                          <a:off x="0" y="0"/>
                          <a:ext cx="914400" cy="41275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计日工的确认</w:t>
                            </w:r>
                          </w:p>
                        </w:txbxContent>
                      </wps:txbx>
                      <wps:bodyPr upright="1"/>
                    </wps:wsp>
                  </a:graphicData>
                </a:graphic>
              </wp:anchor>
            </w:drawing>
          </mc:Choice>
          <mc:Fallback>
            <w:pict>
              <v:shape id="文本框 280" o:spid="_x0000_s1026" o:spt="202" type="#_x0000_t202" style="position:absolute;left:0pt;margin-left:-9pt;margin-top:1.15pt;height:32.5pt;width:72pt;z-index:251940864;mso-width-relative:page;mso-height-relative:page;" filled="f" stroked="f" coordsize="21600,21600" o:gfxdata="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TW6Ma9YA&#10;AAAIAQAADwAAAAAAAAABACAAAAAiAAAAZHJzL2Rvd25yZXYueG1sUEsBAhQAFAAAAAgAh07iQIzg&#10;MZCvAQAAUQMAAA4AAAAAAAAAAQAgAAAAJQEAAGRycy9lMm9Eb2MueG1sUEsFBgAAAAAGAAYAWQEA&#10;AEY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计日工的确认</w:t>
                      </w:r>
                    </w:p>
                  </w:txbxContent>
                </v:textbox>
              </v:shape>
            </w:pict>
          </mc:Fallback>
        </mc:AlternateContent>
      </w:r>
      <w:r>
        <w:rPr>
          <w:rFonts w:hint="eastAsia" w:ascii="仿宋" w:hAnsi="仿宋" w:eastAsia="仿宋" w:cs="仿宋"/>
          <w:color w:val="auto"/>
          <w:sz w:val="24"/>
          <w:szCs w:val="24"/>
          <w:highlight w:val="none"/>
        </w:rPr>
        <w:t>任一按照计日工方式计价的工作，承包人应在该项工作实施结束后的</w:t>
      </w:r>
      <w:r>
        <w:rPr>
          <w:rFonts w:ascii="仿宋" w:hAnsi="仿宋" w:eastAsia="仿宋" w:cs="仿宋"/>
          <w:color w:val="auto"/>
          <w:sz w:val="24"/>
          <w:szCs w:val="24"/>
          <w:highlight w:val="none"/>
        </w:rPr>
        <w:t>24</w:t>
      </w:r>
      <w:r>
        <w:rPr>
          <w:rFonts w:hint="eastAsia" w:ascii="仿宋" w:hAnsi="仿宋" w:eastAsia="仿宋" w:cs="仿宋"/>
          <w:color w:val="auto"/>
          <w:sz w:val="24"/>
          <w:szCs w:val="24"/>
          <w:highlight w:val="none"/>
        </w:rPr>
        <w:t>小时内，向监理工程师提交有计日工记录的现场签证报告一式两份。</w:t>
      </w:r>
    </w:p>
    <w:p>
      <w:pPr>
        <w:pStyle w:val="2"/>
        <w:shd w:val="clear" w:color="000000" w:fill="auto"/>
        <w:adjustRightInd w:val="0"/>
        <w:snapToGrid w:val="0"/>
        <w:spacing w:line="360" w:lineRule="auto"/>
        <w:ind w:left="1575" w:leftChars="75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当此工作持续进行时，承包人应每天向监理工程师提交当天计日工记录完毕的现场签证报告。监理工程师在收到承包人提交现场签证报告后的</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天内予以确认并由其报发包人批准后，将其中一份返还给承包人，作为计日工计价和支付的依据。监理工程师逾期未确认也未提出修改意见的，视为承包人提交的现场签证报告已被认可。</w:t>
      </w:r>
    </w:p>
    <w:p>
      <w:pPr>
        <w:pStyle w:val="2"/>
        <w:shd w:val="clear" w:color="000000" w:fill="auto"/>
        <w:adjustRightInd w:val="0"/>
        <w:snapToGrid w:val="0"/>
        <w:spacing w:line="48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64.3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41888" behindDoc="0" locked="0" layoutInCell="1" allowOverlap="1">
                <wp:simplePos x="0" y="0"/>
                <wp:positionH relativeFrom="column">
                  <wp:posOffset>-114300</wp:posOffset>
                </wp:positionH>
                <wp:positionV relativeFrom="paragraph">
                  <wp:posOffset>5080</wp:posOffset>
                </wp:positionV>
                <wp:extent cx="914400" cy="396240"/>
                <wp:effectExtent l="0" t="0" r="0" b="0"/>
                <wp:wrapNone/>
                <wp:docPr id="277" name="文本框 28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计日工的支付</w:t>
                            </w:r>
                          </w:p>
                        </w:txbxContent>
                      </wps:txbx>
                      <wps:bodyPr upright="1"/>
                    </wps:wsp>
                  </a:graphicData>
                </a:graphic>
              </wp:anchor>
            </w:drawing>
          </mc:Choice>
          <mc:Fallback>
            <w:pict>
              <v:shape id="文本框 281" o:spid="_x0000_s1026" o:spt="202" type="#_x0000_t202" style="position:absolute;left:0pt;margin-left:-9pt;margin-top:0.4pt;height:31.2pt;width:72pt;z-index:251941888;mso-width-relative:page;mso-height-relative:page;" filled="f" stroked="f" coordsize="21600,21600" o:gfxdata="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pFDTn1AAA&#10;AAcBAAAPAAAAAAAAAAEAIAAAACIAAABkcnMvZG93bnJldi54bWxQSwECFAAUAAAACACHTuJAeXA7&#10;DbABAABRAwAADgAAAAAAAAABACAAAAAjAQAAZHJzL2Uyb0RvYy54bWxQSwUGAAAAAAYABgBZAQAA&#10;RQ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计日工的支付</w:t>
                      </w:r>
                    </w:p>
                  </w:txbxContent>
                </v:textbox>
              </v:shape>
            </w:pict>
          </mc:Fallback>
        </mc:AlternateContent>
      </w:r>
      <w:r>
        <w:rPr>
          <w:rFonts w:hint="eastAsia" w:ascii="仿宋" w:hAnsi="仿宋" w:eastAsia="仿宋" w:cs="仿宋"/>
          <w:color w:val="auto"/>
          <w:sz w:val="24"/>
          <w:szCs w:val="24"/>
          <w:highlight w:val="none"/>
        </w:rPr>
        <w:t>计日工工作，应从暂列金额中支付。造价工程师应按照监理工程师确认的现场签证报告核实该类项目的工程数量，并根据核实的工程数量和承包人投标文件中填报的计日工子目单价或价格的乘积计算、提出应付价款，经合同双方当事人确认后，与工程进度款同期支付。</w:t>
      </w:r>
    </w:p>
    <w:p>
      <w:pPr>
        <w:pStyle w:val="2"/>
        <w:shd w:val="clear" w:color="000000" w:fill="auto"/>
        <w:adjustRightInd w:val="0"/>
        <w:snapToGrid w:val="0"/>
        <w:spacing w:line="360" w:lineRule="auto"/>
        <w:ind w:left="1619" w:leftChars="771"/>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每个支付期末，承包人应按照第</w:t>
      </w:r>
      <w:r>
        <w:rPr>
          <w:rFonts w:ascii="仿宋" w:hAnsi="仿宋" w:eastAsia="仿宋" w:cs="仿宋"/>
          <w:color w:val="auto"/>
          <w:sz w:val="24"/>
          <w:szCs w:val="24"/>
          <w:highlight w:val="none"/>
        </w:rPr>
        <w:t>81.1</w:t>
      </w:r>
      <w:r>
        <w:rPr>
          <w:rFonts w:hint="eastAsia" w:ascii="仿宋" w:hAnsi="仿宋" w:eastAsia="仿宋" w:cs="仿宋"/>
          <w:color w:val="auto"/>
          <w:sz w:val="24"/>
          <w:szCs w:val="24"/>
          <w:highlight w:val="none"/>
        </w:rPr>
        <w:t>款规定向发包人提交本期间所有计日工记录的签证汇总表，以说明本期间自己认为有权得到的计日工费用。</w:t>
      </w:r>
      <w:r>
        <w:rPr>
          <w:rFonts w:ascii="仿宋" w:hAnsi="仿宋" w:eastAsia="仿宋" w:cs="仿宋"/>
          <w:color w:val="auto"/>
          <w:sz w:val="24"/>
          <w:szCs w:val="24"/>
          <w:highlight w:val="none"/>
        </w:rPr>
        <w:t xml:space="preserve"> </w:t>
      </w:r>
    </w:p>
    <w:p>
      <w:pPr>
        <w:pStyle w:val="2"/>
        <w:shd w:val="clear" w:color="000000" w:fill="auto"/>
        <w:tabs>
          <w:tab w:val="left" w:pos="540"/>
        </w:tabs>
        <w:adjustRightInd w:val="0"/>
        <w:snapToGrid w:val="0"/>
        <w:spacing w:before="240" w:beforeLines="100"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u w:val="single"/>
        </w:rPr>
        <w:t xml:space="preserve">                                                                               </w:t>
      </w:r>
    </w:p>
    <w:p>
      <w:pPr>
        <w:pStyle w:val="2"/>
        <w:shd w:val="clear" w:color="000000" w:fill="auto"/>
        <w:tabs>
          <w:tab w:val="left" w:pos="540"/>
        </w:tabs>
        <w:adjustRightInd w:val="0"/>
        <w:snapToGrid w:val="0"/>
        <w:spacing w:before="240" w:beforeLines="100" w:line="360" w:lineRule="auto"/>
        <w:outlineLvl w:val="2"/>
        <w:rPr>
          <w:rFonts w:ascii="仿宋" w:hAnsi="仿宋" w:eastAsia="仿宋" w:cs="Times New Roman"/>
          <w:b/>
          <w:bCs/>
          <w:dstrike/>
          <w:color w:val="auto"/>
          <w:sz w:val="24"/>
          <w:szCs w:val="24"/>
          <w:highlight w:val="none"/>
        </w:rPr>
      </w:pPr>
      <w:bookmarkStart w:id="324" w:name="_Toc10624889"/>
      <w:bookmarkStart w:id="325" w:name="_Toc469384049"/>
      <w:bookmarkStart w:id="326" w:name="_Toc22423"/>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65  </w:t>
      </w:r>
      <w:r>
        <w:rPr>
          <w:rFonts w:hint="eastAsia" w:ascii="仿宋" w:hAnsi="仿宋" w:eastAsia="仿宋" w:cs="仿宋"/>
          <w:b/>
          <w:bCs/>
          <w:color w:val="auto"/>
          <w:sz w:val="24"/>
          <w:szCs w:val="24"/>
          <w:highlight w:val="none"/>
        </w:rPr>
        <w:t>暂估价</w:t>
      </w:r>
      <w:bookmarkEnd w:id="324"/>
      <w:bookmarkEnd w:id="325"/>
      <w:bookmarkEnd w:id="326"/>
    </w:p>
    <w:p>
      <w:pPr>
        <w:pStyle w:val="2"/>
        <w:shd w:val="clear" w:color="000000" w:fill="auto"/>
        <w:adjustRightInd w:val="0"/>
        <w:snapToGrid w:val="0"/>
        <w:spacing w:line="360" w:lineRule="auto"/>
        <w:ind w:left="1470" w:hanging="1470" w:hangingChars="700"/>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42912" behindDoc="0" locked="0" layoutInCell="1" allowOverlap="1">
                <wp:simplePos x="0" y="0"/>
                <wp:positionH relativeFrom="column">
                  <wp:posOffset>-133350</wp:posOffset>
                </wp:positionH>
                <wp:positionV relativeFrom="paragraph">
                  <wp:posOffset>320040</wp:posOffset>
                </wp:positionV>
                <wp:extent cx="1047750" cy="483870"/>
                <wp:effectExtent l="0" t="0" r="0" b="0"/>
                <wp:wrapNone/>
                <wp:docPr id="278" name="文本框 282"/>
                <wp:cNvGraphicFramePr/>
                <a:graphic xmlns:a="http://schemas.openxmlformats.org/drawingml/2006/main">
                  <a:graphicData uri="http://schemas.microsoft.com/office/word/2010/wordprocessingShape">
                    <wps:wsp>
                      <wps:cNvSpPr txBox="1"/>
                      <wps:spPr>
                        <a:xfrm>
                          <a:off x="0" y="0"/>
                          <a:ext cx="1047750" cy="48387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招标暂估价项</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目的要求</w:t>
                            </w:r>
                          </w:p>
                          <w:p>
                            <w:pPr>
                              <w:rPr>
                                <w:rFonts w:ascii="楷体_GB2312" w:hAnsi="宋体" w:eastAsia="楷体_GB2312" w:cs="Times New Roman"/>
                                <w:b/>
                                <w:bCs/>
                                <w:color w:val="000000"/>
                                <w:sz w:val="18"/>
                                <w:szCs w:val="18"/>
                              </w:rPr>
                            </w:pPr>
                          </w:p>
                          <w:p>
                            <w:pPr>
                              <w:rPr>
                                <w:rFonts w:cs="Times New Roman"/>
                                <w:sz w:val="18"/>
                                <w:szCs w:val="18"/>
                              </w:rPr>
                            </w:pPr>
                          </w:p>
                        </w:txbxContent>
                      </wps:txbx>
                      <wps:bodyPr upright="1"/>
                    </wps:wsp>
                  </a:graphicData>
                </a:graphic>
              </wp:anchor>
            </w:drawing>
          </mc:Choice>
          <mc:Fallback>
            <w:pict>
              <v:shape id="文本框 282" o:spid="_x0000_s1026" o:spt="202" type="#_x0000_t202" style="position:absolute;left:0pt;margin-left:-10.5pt;margin-top:25.2pt;height:38.1pt;width:82.5pt;z-index:251942912;mso-width-relative:page;mso-height-relative:page;" filled="f" stroked="f" coordsize="21600,21600" o:gfxdata="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v5/j4&#10;1wAAAAoBAAAPAAAAAAAAAAEAIAAAACIAAABkcnMvZG93bnJldi54bWxQSwECFAAUAAAACACHTuJA&#10;/xvSLrABAABSAwAADgAAAAAAAAABACAAAAAmAQAAZHJzL2Uyb0RvYy54bWxQSwUGAAAAAAYABgBZ&#10;AQAASA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招标暂估价项</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目的要求</w:t>
                      </w:r>
                    </w:p>
                    <w:p>
                      <w:pPr>
                        <w:rPr>
                          <w:rFonts w:ascii="楷体_GB2312" w:hAnsi="宋体" w:eastAsia="楷体_GB2312" w:cs="Times New Roman"/>
                          <w:b/>
                          <w:bCs/>
                          <w:color w:val="000000"/>
                          <w:sz w:val="18"/>
                          <w:szCs w:val="18"/>
                        </w:rPr>
                      </w:pPr>
                    </w:p>
                    <w:p>
                      <w:pPr>
                        <w:rPr>
                          <w:rFonts w:cs="Times New Roman"/>
                          <w:sz w:val="18"/>
                          <w:szCs w:val="18"/>
                        </w:rPr>
                      </w:pPr>
                    </w:p>
                  </w:txbxContent>
                </v:textbox>
              </v:shape>
            </w:pict>
          </mc:Fallback>
        </mc:AlternateContent>
      </w:r>
      <w:r>
        <w:rPr>
          <w:rFonts w:ascii="仿宋" w:hAnsi="仿宋" w:eastAsia="仿宋" w:cs="仿宋"/>
          <w:b/>
          <w:bCs/>
          <w:color w:val="auto"/>
          <w:sz w:val="24"/>
          <w:szCs w:val="24"/>
          <w:highlight w:val="none"/>
        </w:rPr>
        <w:t>65.1</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发包人在工程量清单中给定暂估价的材料、工程设备和专业工程，达到依法必须招标的规模、标准的，由承包人作为招标主体会同发包人共同选择供应商或分包人。合同双方当事人应在专用条款中约定各自的权利和义务。供应商或分包人的中标价格与工程量清单中所列的暂估价的差额以及相应的规费、税金等其他费用，应列入合同价款。</w:t>
      </w:r>
    </w:p>
    <w:p>
      <w:pPr>
        <w:pStyle w:val="2"/>
        <w:shd w:val="clear" w:color="000000" w:fill="auto"/>
        <w:adjustRightInd w:val="0"/>
        <w:snapToGrid w:val="0"/>
        <w:spacing w:line="480" w:lineRule="auto"/>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943936" behindDoc="0" locked="0" layoutInCell="1" allowOverlap="1">
                <wp:simplePos x="0" y="0"/>
                <wp:positionH relativeFrom="column">
                  <wp:posOffset>-114300</wp:posOffset>
                </wp:positionH>
                <wp:positionV relativeFrom="paragraph">
                  <wp:posOffset>248285</wp:posOffset>
                </wp:positionV>
                <wp:extent cx="1028700" cy="956310"/>
                <wp:effectExtent l="0" t="0" r="0" b="0"/>
                <wp:wrapNone/>
                <wp:docPr id="279" name="文本框 283"/>
                <wp:cNvGraphicFramePr/>
                <a:graphic xmlns:a="http://schemas.openxmlformats.org/drawingml/2006/main">
                  <a:graphicData uri="http://schemas.microsoft.com/office/word/2010/wordprocessingShape">
                    <wps:wsp>
                      <wps:cNvSpPr txBox="1"/>
                      <wps:spPr>
                        <a:xfrm>
                          <a:off x="0" y="0"/>
                          <a:ext cx="1028700" cy="95631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非招标材料和</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工程设备暂估</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价的要求</w:t>
                            </w:r>
                          </w:p>
                          <w:p>
                            <w:pPr>
                              <w:rPr>
                                <w:rFonts w:cs="Times New Roman"/>
                                <w:sz w:val="18"/>
                                <w:szCs w:val="18"/>
                              </w:rPr>
                            </w:pPr>
                          </w:p>
                        </w:txbxContent>
                      </wps:txbx>
                      <wps:bodyPr upright="1"/>
                    </wps:wsp>
                  </a:graphicData>
                </a:graphic>
              </wp:anchor>
            </w:drawing>
          </mc:Choice>
          <mc:Fallback>
            <w:pict>
              <v:shape id="文本框 283" o:spid="_x0000_s1026" o:spt="202" type="#_x0000_t202" style="position:absolute;left:0pt;margin-left:-9pt;margin-top:19.55pt;height:75.3pt;width:81pt;z-index:251943936;mso-width-relative:page;mso-height-relative:page;" filled="f" stroked="f" coordsize="21600,21600" o:gfxdata="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mDBS&#10;ttcAAAAKAQAADwAAAAAAAAABACAAAAAiAAAAZHJzL2Rvd25yZXYueG1sUEsBAhQAFAAAAAgAh07i&#10;QIEKdd2xAQAAUgMAAA4AAAAAAAAAAQAgAAAAJgEAAGRycy9lMm9Eb2MueG1sUEsFBgAAAAAGAAYA&#10;WQEAAEk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非招标材料和</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工程设备暂估</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价的要求</w:t>
                      </w:r>
                    </w:p>
                    <w:p>
                      <w:pPr>
                        <w:rPr>
                          <w:rFonts w:cs="Times New Roman"/>
                          <w:sz w:val="18"/>
                          <w:szCs w:val="18"/>
                        </w:rPr>
                      </w:pPr>
                    </w:p>
                  </w:txbxContent>
                </v:textbox>
              </v:shape>
            </w:pict>
          </mc:Fallback>
        </mc:AlternateContent>
      </w:r>
      <w:r>
        <w:rPr>
          <w:rFonts w:ascii="仿宋" w:hAnsi="仿宋" w:eastAsia="仿宋" w:cs="仿宋"/>
          <w:b/>
          <w:bCs/>
          <w:color w:val="auto"/>
          <w:sz w:val="24"/>
          <w:szCs w:val="24"/>
          <w:highlight w:val="none"/>
        </w:rPr>
        <w:t xml:space="preserve">65.2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发包人在工程量清单中给定暂估价的材料和工程设备，未达到依法必须招标的规模、标准的，由承包人按照第</w:t>
      </w:r>
      <w:r>
        <w:rPr>
          <w:rFonts w:ascii="仿宋" w:hAnsi="仿宋" w:eastAsia="仿宋" w:cs="仿宋"/>
          <w:color w:val="auto"/>
          <w:sz w:val="24"/>
          <w:szCs w:val="24"/>
          <w:highlight w:val="none"/>
        </w:rPr>
        <w:t>49</w:t>
      </w:r>
      <w:r>
        <w:rPr>
          <w:rFonts w:hint="eastAsia" w:ascii="仿宋" w:hAnsi="仿宋" w:eastAsia="仿宋" w:cs="仿宋"/>
          <w:color w:val="auto"/>
          <w:sz w:val="24"/>
          <w:szCs w:val="24"/>
          <w:highlight w:val="none"/>
        </w:rPr>
        <w:t>条规定采购。经造价工程师确认的材料和工程设备价格与工程量清单中所列的暂估价的差额以及相应的规费、税金等其他费用，应列入合同价款。</w:t>
      </w:r>
    </w:p>
    <w:p>
      <w:pPr>
        <w:pStyle w:val="2"/>
        <w:shd w:val="clear" w:color="000000" w:fill="auto"/>
        <w:adjustRightInd w:val="0"/>
        <w:snapToGrid w:val="0"/>
        <w:spacing w:line="48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65.3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仿宋"/>
          <w:color w:val="auto"/>
          <w:sz w:val="24"/>
          <w:szCs w:val="24"/>
          <w:highlight w:val="none"/>
        </w:rPr>
      </w:pPr>
      <w:r>
        <w:rPr>
          <w:color w:val="auto"/>
          <w:highlight w:val="none"/>
        </w:rPr>
        <mc:AlternateContent>
          <mc:Choice Requires="wps">
            <w:drawing>
              <wp:anchor distT="0" distB="0" distL="114300" distR="114300" simplePos="0" relativeHeight="251944960" behindDoc="0" locked="0" layoutInCell="1" allowOverlap="1">
                <wp:simplePos x="0" y="0"/>
                <wp:positionH relativeFrom="column">
                  <wp:posOffset>-228600</wp:posOffset>
                </wp:positionH>
                <wp:positionV relativeFrom="paragraph">
                  <wp:posOffset>71755</wp:posOffset>
                </wp:positionV>
                <wp:extent cx="1028700" cy="863600"/>
                <wp:effectExtent l="0" t="0" r="0" b="0"/>
                <wp:wrapNone/>
                <wp:docPr id="280" name="文本框 284"/>
                <wp:cNvGraphicFramePr/>
                <a:graphic xmlns:a="http://schemas.openxmlformats.org/drawingml/2006/main">
                  <a:graphicData uri="http://schemas.microsoft.com/office/word/2010/wordprocessingShape">
                    <wps:wsp>
                      <wps:cNvSpPr txBox="1"/>
                      <wps:spPr>
                        <a:xfrm>
                          <a:off x="0" y="0"/>
                          <a:ext cx="1028700" cy="86360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非招标专业工</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程暂估价的要</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求</w:t>
                            </w:r>
                          </w:p>
                        </w:txbxContent>
                      </wps:txbx>
                      <wps:bodyPr upright="1"/>
                    </wps:wsp>
                  </a:graphicData>
                </a:graphic>
              </wp:anchor>
            </w:drawing>
          </mc:Choice>
          <mc:Fallback>
            <w:pict>
              <v:shape id="文本框 284" o:spid="_x0000_s1026" o:spt="202" type="#_x0000_t202" style="position:absolute;left:0pt;margin-left:-18pt;margin-top:5.65pt;height:68pt;width:81pt;z-index:251944960;mso-width-relative:page;mso-height-relative:page;" filled="f" stroked="f" coordsize="21600,21600" o:gfxdata="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6N/+j9cA&#10;AAAKAQAADwAAAAAAAAABACAAAAAiAAAAZHJzL2Rvd25yZXYueG1sUEsBAhQAFAAAAAgAh07iQIr4&#10;rNiuAQAAUgMAAA4AAAAAAAAAAQAgAAAAJgEAAGRycy9lMm9Eb2MueG1sUEsFBgAAAAAGAAYAWQEA&#10;AEY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非招标专业工</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程暂估价的要</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求</w:t>
                      </w:r>
                    </w:p>
                  </w:txbxContent>
                </v:textbox>
              </v:shape>
            </w:pict>
          </mc:Fallback>
        </mc:AlternateContent>
      </w:r>
      <w:r>
        <w:rPr>
          <w:rFonts w:hint="eastAsia" w:ascii="仿宋" w:hAnsi="仿宋" w:eastAsia="仿宋" w:cs="仿宋"/>
          <w:color w:val="auto"/>
          <w:sz w:val="24"/>
          <w:szCs w:val="24"/>
          <w:highlight w:val="none"/>
        </w:rPr>
        <w:t>发包人在工程量清单中给定暂估价的专业工程，未达到依法必须招标的规模及标准的，除专用条款另有约定外，在合同双方当事人同意下，由造价工程师与分包人按照第</w:t>
      </w:r>
      <w:r>
        <w:rPr>
          <w:rFonts w:ascii="仿宋" w:hAnsi="仿宋" w:eastAsia="仿宋" w:cs="仿宋"/>
          <w:color w:val="auto"/>
          <w:sz w:val="24"/>
          <w:szCs w:val="24"/>
          <w:highlight w:val="none"/>
        </w:rPr>
        <w:t>72.2</w:t>
      </w:r>
      <w:r>
        <w:rPr>
          <w:rFonts w:hint="eastAsia" w:ascii="仿宋" w:hAnsi="仿宋" w:eastAsia="仿宋" w:cs="仿宋"/>
          <w:color w:val="auto"/>
          <w:sz w:val="24"/>
          <w:szCs w:val="24"/>
          <w:highlight w:val="none"/>
        </w:rPr>
        <w:t>款规定确定专业工程款。经确认的专业工程款与工程量清单中所列的暂估价的差额以及相应的规费、税金等其他费用，应列入合同价款。</w:t>
      </w:r>
      <w:r>
        <w:rPr>
          <w:rFonts w:ascii="仿宋" w:hAnsi="仿宋" w:eastAsia="仿宋" w:cs="仿宋"/>
          <w:color w:val="auto"/>
          <w:sz w:val="24"/>
          <w:szCs w:val="24"/>
          <w:highlight w:val="none"/>
        </w:rPr>
        <w:t xml:space="preserve"> </w:t>
      </w:r>
    </w:p>
    <w:p>
      <w:pPr>
        <w:pStyle w:val="2"/>
        <w:shd w:val="clear" w:color="000000" w:fill="auto"/>
        <w:tabs>
          <w:tab w:val="left" w:pos="3038"/>
        </w:tabs>
        <w:adjustRightInd w:val="0"/>
        <w:snapToGrid w:val="0"/>
        <w:spacing w:line="240" w:lineRule="exact"/>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
        <w:shd w:val="clear" w:color="000000" w:fill="auto"/>
        <w:tabs>
          <w:tab w:val="left" w:pos="540"/>
        </w:tabs>
        <w:adjustRightInd w:val="0"/>
        <w:snapToGrid w:val="0"/>
        <w:spacing w:before="240" w:beforeLines="100" w:line="360" w:lineRule="auto"/>
        <w:outlineLvl w:val="2"/>
        <w:rPr>
          <w:rFonts w:ascii="仿宋" w:hAnsi="仿宋" w:eastAsia="仿宋" w:cs="Times New Roman"/>
          <w:b/>
          <w:bCs/>
          <w:color w:val="auto"/>
          <w:sz w:val="24"/>
          <w:szCs w:val="24"/>
          <w:highlight w:val="none"/>
        </w:rPr>
      </w:pPr>
      <w:bookmarkStart w:id="327" w:name="_Toc10624890"/>
      <w:bookmarkStart w:id="328" w:name="_Toc469384050"/>
      <w:bookmarkStart w:id="329" w:name="_Toc27884"/>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66  </w:t>
      </w:r>
      <w:r>
        <w:rPr>
          <w:rFonts w:hint="eastAsia" w:ascii="仿宋" w:hAnsi="仿宋" w:eastAsia="仿宋" w:cs="仿宋"/>
          <w:b/>
          <w:bCs/>
          <w:color w:val="auto"/>
          <w:sz w:val="24"/>
          <w:szCs w:val="24"/>
          <w:highlight w:val="none"/>
        </w:rPr>
        <w:t>提前竣工奖与误期赔偿费</w:t>
      </w:r>
      <w:bookmarkEnd w:id="327"/>
      <w:bookmarkEnd w:id="328"/>
      <w:bookmarkEnd w:id="329"/>
    </w:p>
    <w:p>
      <w:pPr>
        <w:pStyle w:val="2"/>
        <w:shd w:val="clear" w:color="000000" w:fill="auto"/>
        <w:adjustRightInd w:val="0"/>
        <w:snapToGrid w:val="0"/>
        <w:spacing w:line="360" w:lineRule="auto"/>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66.1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45984" behindDoc="0" locked="0" layoutInCell="1" allowOverlap="1">
                <wp:simplePos x="0" y="0"/>
                <wp:positionH relativeFrom="column">
                  <wp:posOffset>-114300</wp:posOffset>
                </wp:positionH>
                <wp:positionV relativeFrom="paragraph">
                  <wp:posOffset>30480</wp:posOffset>
                </wp:positionV>
                <wp:extent cx="1028700" cy="405130"/>
                <wp:effectExtent l="0" t="0" r="0" b="0"/>
                <wp:wrapNone/>
                <wp:docPr id="281" name="文本框 285"/>
                <wp:cNvGraphicFramePr/>
                <a:graphic xmlns:a="http://schemas.openxmlformats.org/drawingml/2006/main">
                  <a:graphicData uri="http://schemas.microsoft.com/office/word/2010/wordprocessingShape">
                    <wps:wsp>
                      <wps:cNvSpPr txBox="1"/>
                      <wps:spPr>
                        <a:xfrm>
                          <a:off x="0" y="0"/>
                          <a:ext cx="1028700" cy="40513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提前竣工奖</w:t>
                            </w:r>
                          </w:p>
                        </w:txbxContent>
                      </wps:txbx>
                      <wps:bodyPr upright="1"/>
                    </wps:wsp>
                  </a:graphicData>
                </a:graphic>
              </wp:anchor>
            </w:drawing>
          </mc:Choice>
          <mc:Fallback>
            <w:pict>
              <v:shape id="文本框 285" o:spid="_x0000_s1026" o:spt="202" type="#_x0000_t202" style="position:absolute;left:0pt;margin-left:-9pt;margin-top:2.4pt;height:31.9pt;width:81pt;z-index:251945984;mso-width-relative:page;mso-height-relative:page;" filled="f" stroked="f" coordsize="21600,21600" o:gfxdata="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0RG9UA&#10;AAAIAQAADwAAAAAAAAABACAAAAAiAAAAZHJzL2Rvd25yZXYueG1sUEsBAhQAFAAAAAgAh07iQJCb&#10;4pywAQAAUgMAAA4AAAAAAAAAAQAgAAAAJAEAAGRycy9lMm9Eb2MueG1sUEsFBgAAAAAGAAYAWQEA&#10;AEY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提前竣工奖</w:t>
                      </w:r>
                    </w:p>
                  </w:txbxContent>
                </v:textbox>
              </v:shape>
            </w:pict>
          </mc:Fallback>
        </mc:AlternateContent>
      </w:r>
      <w:r>
        <w:rPr>
          <w:rFonts w:hint="eastAsia" w:ascii="仿宋" w:hAnsi="仿宋" w:eastAsia="仿宋" w:cs="仿宋"/>
          <w:color w:val="auto"/>
          <w:sz w:val="24"/>
          <w:szCs w:val="24"/>
          <w:highlight w:val="none"/>
        </w:rPr>
        <w:t>合同双方当事人可在专用条款中约定提前竣工奖，明确每日历天应奖额度。约定提前竣工奖的，如果承包人的实际竣工日期早于计划竣工日期，承包人有权向发包人提出并得到提前竣工天数和专用条款约定的每日历天应奖额度的乘积计算的提前竣工奖。除专用条款另有约定外，提前竣工奖的最高限额为合同价款的</w:t>
      </w:r>
      <w:r>
        <w:rPr>
          <w:rFonts w:ascii="仿宋" w:hAnsi="仿宋" w:eastAsia="仿宋" w:cs="仿宋"/>
          <w:color w:val="auto"/>
          <w:sz w:val="24"/>
          <w:szCs w:val="24"/>
          <w:highlight w:val="none"/>
        </w:rPr>
        <w:t>5%</w:t>
      </w:r>
      <w:r>
        <w:rPr>
          <w:rFonts w:hint="eastAsia" w:ascii="仿宋" w:hAnsi="仿宋" w:eastAsia="仿宋" w:cs="仿宋"/>
          <w:color w:val="auto"/>
          <w:sz w:val="24"/>
          <w:szCs w:val="24"/>
          <w:highlight w:val="none"/>
        </w:rPr>
        <w:t>。提前竣工奖列入竣工结算文件中，与结算款一并支付。</w:t>
      </w:r>
    </w:p>
    <w:p>
      <w:pPr>
        <w:pStyle w:val="2"/>
        <w:shd w:val="clear" w:color="000000" w:fill="auto"/>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66.2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460" w:lineRule="exact"/>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47008" behindDoc="0" locked="0" layoutInCell="1" allowOverlap="1">
                <wp:simplePos x="0" y="0"/>
                <wp:positionH relativeFrom="column">
                  <wp:posOffset>-114300</wp:posOffset>
                </wp:positionH>
                <wp:positionV relativeFrom="paragraph">
                  <wp:posOffset>16510</wp:posOffset>
                </wp:positionV>
                <wp:extent cx="914400" cy="377825"/>
                <wp:effectExtent l="0" t="0" r="0" b="0"/>
                <wp:wrapNone/>
                <wp:docPr id="282" name="文本框 286"/>
                <wp:cNvGraphicFramePr/>
                <a:graphic xmlns:a="http://schemas.openxmlformats.org/drawingml/2006/main">
                  <a:graphicData uri="http://schemas.microsoft.com/office/word/2010/wordprocessingShape">
                    <wps:wsp>
                      <wps:cNvSpPr txBox="1"/>
                      <wps:spPr>
                        <a:xfrm>
                          <a:off x="0" y="0"/>
                          <a:ext cx="914400" cy="37782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误期赔偿费</w:t>
                            </w:r>
                          </w:p>
                        </w:txbxContent>
                      </wps:txbx>
                      <wps:bodyPr upright="1"/>
                    </wps:wsp>
                  </a:graphicData>
                </a:graphic>
              </wp:anchor>
            </w:drawing>
          </mc:Choice>
          <mc:Fallback>
            <w:pict>
              <v:shape id="文本框 286" o:spid="_x0000_s1026" o:spt="202" type="#_x0000_t202" style="position:absolute;left:0pt;margin-left:-9pt;margin-top:1.3pt;height:29.75pt;width:72pt;z-index:251947008;mso-width-relative:page;mso-height-relative:page;" filled="f" stroked="f" coordsize="21600,21600" o:gfxdata="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hNJKZ1AAA&#10;AAgBAAAPAAAAAAAAAAEAIAAAACIAAABkcnMvZG93bnJldi54bWxQSwECFAAUAAAACACHTuJAhtmQ&#10;lbABAABRAwAADgAAAAAAAAABACAAAAAjAQAAZHJzL2Uyb0RvYy54bWxQSwUGAAAAAAYABgBZAQAA&#10;RQ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误期赔偿费</w:t>
                      </w:r>
                    </w:p>
                  </w:txbxContent>
                </v:textbox>
              </v:shape>
            </w:pict>
          </mc:Fallback>
        </mc:AlternateContent>
      </w:r>
      <w:r>
        <w:rPr>
          <w:rFonts w:hint="eastAsia" w:ascii="仿宋" w:hAnsi="仿宋" w:eastAsia="仿宋" w:cs="仿宋"/>
          <w:color w:val="auto"/>
          <w:sz w:val="24"/>
          <w:szCs w:val="24"/>
          <w:highlight w:val="none"/>
        </w:rPr>
        <w:t>合同双方当事人应在专用条款中约定误期赔偿费，明确每日历天应赔额度。如果承包人的实际进度迟于计划进度，发包人有权向承包人索取并得到实际延误天数和专用条款约定的每日历天应赔额度的乘积计算的误期赔偿费。除专用条款另有约定外，误期赔偿费的最高限额为合同价款的</w:t>
      </w:r>
      <w:r>
        <w:rPr>
          <w:rFonts w:ascii="仿宋" w:hAnsi="仿宋" w:eastAsia="仿宋" w:cs="仿宋"/>
          <w:color w:val="auto"/>
          <w:sz w:val="24"/>
          <w:szCs w:val="24"/>
          <w:highlight w:val="none"/>
        </w:rPr>
        <w:t>5%</w:t>
      </w:r>
      <w:r>
        <w:rPr>
          <w:rFonts w:hint="eastAsia" w:ascii="仿宋" w:hAnsi="仿宋" w:eastAsia="仿宋" w:cs="仿宋"/>
          <w:color w:val="auto"/>
          <w:sz w:val="24"/>
          <w:szCs w:val="24"/>
          <w:highlight w:val="none"/>
        </w:rPr>
        <w:t>。误期赔偿费列入进度支付文件或竣工结算文件中，在进度款或结算款中扣除。</w:t>
      </w:r>
      <w:r>
        <w:rPr>
          <w:rFonts w:ascii="仿宋" w:hAnsi="仿宋" w:eastAsia="仿宋" w:cs="Times New Roman"/>
          <w:color w:val="auto"/>
          <w:sz w:val="24"/>
          <w:szCs w:val="24"/>
          <w:highlight w:val="none"/>
        </w:rPr>
        <w:br w:type="textWrapping"/>
      </w:r>
      <w:r>
        <w:rPr>
          <w:rFonts w:hint="eastAsia" w:ascii="仿宋" w:hAnsi="仿宋" w:eastAsia="仿宋" w:cs="仿宋"/>
          <w:color w:val="auto"/>
          <w:sz w:val="24"/>
          <w:szCs w:val="24"/>
          <w:highlight w:val="none"/>
        </w:rPr>
        <w:t>如果在工程竣工之前，合同工程内的某单位工程已通过了竣工验收，且该单位工程接收证书中表明的竣工日期并未延误，而是合同工程的其他部分产生了工期延误，则误期赔偿费应按照已颁发工程接收证书的单位工程造价占合同价款的比例幅度予以扣减。</w:t>
      </w:r>
    </w:p>
    <w:p>
      <w:pPr>
        <w:pStyle w:val="2"/>
        <w:shd w:val="clear" w:color="000000" w:fill="auto"/>
        <w:adjustRightInd w:val="0"/>
        <w:snapToGrid w:val="0"/>
        <w:spacing w:line="360" w:lineRule="auto"/>
        <w:ind w:right="-238"/>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
        <w:shd w:val="clear" w:color="000000" w:fill="auto"/>
        <w:tabs>
          <w:tab w:val="left" w:pos="540"/>
        </w:tabs>
        <w:adjustRightInd w:val="0"/>
        <w:snapToGrid w:val="0"/>
        <w:spacing w:before="240" w:beforeLines="100"/>
        <w:outlineLvl w:val="2"/>
        <w:rPr>
          <w:rFonts w:ascii="仿宋" w:hAnsi="仿宋" w:eastAsia="仿宋" w:cs="Times New Roman"/>
          <w:b/>
          <w:bCs/>
          <w:color w:val="auto"/>
          <w:sz w:val="24"/>
          <w:szCs w:val="24"/>
          <w:highlight w:val="none"/>
        </w:rPr>
      </w:pPr>
      <w:bookmarkStart w:id="330" w:name="_Toc10624891"/>
      <w:bookmarkStart w:id="331" w:name="_Toc469384051"/>
      <w:bookmarkStart w:id="332" w:name="_Toc18245"/>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67  </w:t>
      </w:r>
      <w:r>
        <w:rPr>
          <w:rFonts w:hint="eastAsia" w:ascii="仿宋" w:hAnsi="仿宋" w:eastAsia="仿宋" w:cs="仿宋"/>
          <w:b/>
          <w:bCs/>
          <w:color w:val="auto"/>
          <w:sz w:val="24"/>
          <w:szCs w:val="24"/>
          <w:highlight w:val="none"/>
        </w:rPr>
        <w:t>工程优质费</w:t>
      </w:r>
      <w:bookmarkEnd w:id="330"/>
      <w:bookmarkEnd w:id="331"/>
      <w:bookmarkEnd w:id="332"/>
    </w:p>
    <w:p>
      <w:pPr>
        <w:pStyle w:val="2"/>
        <w:shd w:val="clear" w:color="000000" w:fill="auto"/>
        <w:adjustRightInd w:val="0"/>
        <w:snapToGrid w:val="0"/>
        <w:spacing w:line="360" w:lineRule="auto"/>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67.1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48032" behindDoc="0" locked="0" layoutInCell="1" allowOverlap="1">
                <wp:simplePos x="0" y="0"/>
                <wp:positionH relativeFrom="column">
                  <wp:posOffset>-114300</wp:posOffset>
                </wp:positionH>
                <wp:positionV relativeFrom="paragraph">
                  <wp:posOffset>30480</wp:posOffset>
                </wp:positionV>
                <wp:extent cx="1028700" cy="524510"/>
                <wp:effectExtent l="0" t="0" r="0" b="0"/>
                <wp:wrapNone/>
                <wp:docPr id="283" name="文本框 287"/>
                <wp:cNvGraphicFramePr/>
                <a:graphic xmlns:a="http://schemas.openxmlformats.org/drawingml/2006/main">
                  <a:graphicData uri="http://schemas.microsoft.com/office/word/2010/wordprocessingShape">
                    <wps:wsp>
                      <wps:cNvSpPr txBox="1"/>
                      <wps:spPr>
                        <a:xfrm>
                          <a:off x="0" y="0"/>
                          <a:ext cx="1028700" cy="52451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工程优质费的</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w:t>
                            </w:r>
                          </w:p>
                        </w:txbxContent>
                      </wps:txbx>
                      <wps:bodyPr upright="1"/>
                    </wps:wsp>
                  </a:graphicData>
                </a:graphic>
              </wp:anchor>
            </w:drawing>
          </mc:Choice>
          <mc:Fallback>
            <w:pict>
              <v:shape id="文本框 287" o:spid="_x0000_s1026" o:spt="202" type="#_x0000_t202" style="position:absolute;left:0pt;margin-left:-9pt;margin-top:2.4pt;height:41.3pt;width:81pt;z-index:251948032;mso-width-relative:page;mso-height-relative:page;" filled="f" stroked="f" coordsize="21600,21600" o:gfxdata="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AV39cDUAAAA&#10;CAEAAA8AAAAAAAAAAQAgAAAAIgAAAGRycy9kb3ducmV2LnhtbFBLAQIUABQAAAAIAIdO4kDj1Ac7&#10;rwEAAFIDAAAOAAAAAAAAAAEAIAAAACMBAABkcnMvZTJvRG9jLnhtbFBLBQYAAAAABgAGAFkBAABE&#10;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工程优质费的</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w:t>
                      </w:r>
                    </w:p>
                  </w:txbxContent>
                </v:textbox>
              </v:shape>
            </w:pict>
          </mc:Fallback>
        </mc:AlternateContent>
      </w:r>
      <w:r>
        <w:rPr>
          <w:rFonts w:hint="eastAsia" w:ascii="仿宋" w:hAnsi="仿宋" w:eastAsia="仿宋" w:cs="仿宋"/>
          <w:color w:val="auto"/>
          <w:sz w:val="24"/>
          <w:szCs w:val="24"/>
          <w:highlight w:val="none"/>
        </w:rPr>
        <w:t>合同双方当事人可在专用条款中约定工程优质费，明确合同工程优质费用的计算方法。约定工程优质费的，如果承包人实施、完成合同工程质量标准高于国家规定或合同约定的质量验收合格标准的，承包人有权向发包人提出并得到专用条款约定的工程优质费。</w:t>
      </w:r>
    </w:p>
    <w:p>
      <w:pPr>
        <w:pStyle w:val="2"/>
        <w:shd w:val="clear" w:color="000000" w:fill="auto"/>
        <w:adjustRightInd w:val="0"/>
        <w:snapToGrid w:val="0"/>
        <w:spacing w:line="480" w:lineRule="auto"/>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949056" behindDoc="0" locked="0" layoutInCell="1" allowOverlap="1">
                <wp:simplePos x="0" y="0"/>
                <wp:positionH relativeFrom="column">
                  <wp:posOffset>-114300</wp:posOffset>
                </wp:positionH>
                <wp:positionV relativeFrom="paragraph">
                  <wp:posOffset>234315</wp:posOffset>
                </wp:positionV>
                <wp:extent cx="914400" cy="621030"/>
                <wp:effectExtent l="0" t="0" r="0" b="0"/>
                <wp:wrapNone/>
                <wp:docPr id="284" name="文本框 288"/>
                <wp:cNvGraphicFramePr/>
                <a:graphic xmlns:a="http://schemas.openxmlformats.org/drawingml/2006/main">
                  <a:graphicData uri="http://schemas.microsoft.com/office/word/2010/wordprocessingShape">
                    <wps:wsp>
                      <wps:cNvSpPr txBox="1"/>
                      <wps:spPr>
                        <a:xfrm>
                          <a:off x="0" y="0"/>
                          <a:ext cx="914400" cy="62103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工程优质费计</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提与支付</w:t>
                            </w:r>
                          </w:p>
                        </w:txbxContent>
                      </wps:txbx>
                      <wps:bodyPr upright="1"/>
                    </wps:wsp>
                  </a:graphicData>
                </a:graphic>
              </wp:anchor>
            </w:drawing>
          </mc:Choice>
          <mc:Fallback>
            <w:pict>
              <v:shape id="文本框 288" o:spid="_x0000_s1026" o:spt="202" type="#_x0000_t202" style="position:absolute;left:0pt;margin-left:-9pt;margin-top:18.45pt;height:48.9pt;width:72pt;z-index:251949056;mso-width-relative:page;mso-height-relative:page;" filled="f" stroked="f" coordsize="21600,21600" o:gfxdata="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c7z1s&#10;2AAAAAoBAAAPAAAAAAAAAAEAIAAAACIAAABkcnMvZG93bnJldi54bWxQSwECFAAUAAAACACHTuJA&#10;IaF/EK8BAABRAwAADgAAAAAAAAABACAAAAAnAQAAZHJzL2Uyb0RvYy54bWxQSwUGAAAAAAYABgBZ&#10;AQAASA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工程优质费计</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提与支付</w:t>
                      </w:r>
                    </w:p>
                  </w:txbxContent>
                </v:textbox>
              </v:shape>
            </w:pict>
          </mc:Fallback>
        </mc:AlternateContent>
      </w:r>
      <w:r>
        <w:rPr>
          <w:rFonts w:ascii="仿宋" w:hAnsi="仿宋" w:eastAsia="仿宋" w:cs="仿宋"/>
          <w:b/>
          <w:bCs/>
          <w:color w:val="auto"/>
          <w:sz w:val="24"/>
          <w:szCs w:val="24"/>
          <w:highlight w:val="none"/>
        </w:rPr>
        <w:t xml:space="preserve">67.2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除专用条款另有约定外，国家级质量奖、省级质量奖、市级质量奖、其他质量奖项的工程优质费，按照招标工程中标通知书日期（非招标工程的根据合同签订日期）同时期执行的广东省建设工程计价依据工程优质费、广州市住房和城乡建设局发布的工程优质费、广州市建设工程造价管理站发布的工程优质费等各种标准计算。当合同工程同时获得上述多个奖项的，工程优质费只按最高奖项的额度计算。工程优质费列入竣工结算文件中，与竣工结算款一并支付。在竣工结算后获得优质奖项的，发包人应在获得奖项后的</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天内支付。</w:t>
      </w:r>
    </w:p>
    <w:p>
      <w:pPr>
        <w:pStyle w:val="2"/>
        <w:shd w:val="clear" w:color="000000" w:fill="auto"/>
        <w:adjustRightInd w:val="0"/>
        <w:snapToGrid w:val="0"/>
        <w:spacing w:line="240" w:lineRule="exact"/>
        <w:jc w:val="left"/>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u w:val="single"/>
        </w:rPr>
        <w:t xml:space="preserve">                                                                                                              </w:t>
      </w:r>
    </w:p>
    <w:p>
      <w:pPr>
        <w:pStyle w:val="2"/>
        <w:shd w:val="clear" w:color="000000" w:fill="auto"/>
        <w:tabs>
          <w:tab w:val="left" w:pos="540"/>
        </w:tabs>
        <w:adjustRightInd w:val="0"/>
        <w:snapToGrid w:val="0"/>
        <w:spacing w:before="240" w:beforeLines="100" w:line="360" w:lineRule="auto"/>
        <w:outlineLvl w:val="2"/>
        <w:rPr>
          <w:rFonts w:ascii="仿宋" w:hAnsi="仿宋" w:eastAsia="仿宋" w:cs="Times New Roman"/>
          <w:b/>
          <w:bCs/>
          <w:color w:val="auto"/>
          <w:sz w:val="24"/>
          <w:szCs w:val="24"/>
          <w:highlight w:val="none"/>
        </w:rPr>
      </w:pPr>
      <w:bookmarkStart w:id="333" w:name="_Toc469384052"/>
      <w:bookmarkStart w:id="334" w:name="_Toc10624892"/>
      <w:bookmarkStart w:id="335" w:name="_Toc27426"/>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68  </w:t>
      </w:r>
      <w:r>
        <w:rPr>
          <w:rFonts w:hint="eastAsia" w:ascii="仿宋" w:hAnsi="仿宋" w:eastAsia="仿宋" w:cs="仿宋"/>
          <w:b/>
          <w:bCs/>
          <w:color w:val="auto"/>
          <w:sz w:val="24"/>
          <w:szCs w:val="24"/>
          <w:highlight w:val="none"/>
        </w:rPr>
        <w:t>合同价款的约定与调整</w:t>
      </w:r>
      <w:bookmarkEnd w:id="333"/>
      <w:bookmarkEnd w:id="334"/>
      <w:bookmarkEnd w:id="335"/>
    </w:p>
    <w:p>
      <w:pPr>
        <w:pStyle w:val="2"/>
        <w:shd w:val="clear" w:color="000000" w:fill="auto"/>
        <w:adjustRightInd w:val="0"/>
        <w:snapToGrid w:val="0"/>
        <w:spacing w:line="360" w:lineRule="auto"/>
        <w:ind w:left="1446" w:hanging="1446" w:hangingChars="600"/>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68.1       </w:t>
      </w:r>
    </w:p>
    <w:p>
      <w:pPr>
        <w:pStyle w:val="2"/>
        <w:shd w:val="clear" w:color="000000" w:fill="auto"/>
        <w:adjustRightInd w:val="0"/>
        <w:snapToGrid w:val="0"/>
        <w:spacing w:line="480" w:lineRule="auto"/>
        <w:ind w:left="1438" w:leftChars="685" w:firstLine="25" w:firstLineChars="12"/>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50080" behindDoc="0" locked="0" layoutInCell="1" allowOverlap="1">
                <wp:simplePos x="0" y="0"/>
                <wp:positionH relativeFrom="column">
                  <wp:posOffset>-114300</wp:posOffset>
                </wp:positionH>
                <wp:positionV relativeFrom="paragraph">
                  <wp:posOffset>57150</wp:posOffset>
                </wp:positionV>
                <wp:extent cx="1009650" cy="313055"/>
                <wp:effectExtent l="0" t="0" r="0" b="0"/>
                <wp:wrapNone/>
                <wp:docPr id="285" name="文本框 289"/>
                <wp:cNvGraphicFramePr/>
                <a:graphic xmlns:a="http://schemas.openxmlformats.org/drawingml/2006/main">
                  <a:graphicData uri="http://schemas.microsoft.com/office/word/2010/wordprocessingShape">
                    <wps:wsp>
                      <wps:cNvSpPr txBox="1"/>
                      <wps:spPr>
                        <a:xfrm>
                          <a:off x="0" y="0"/>
                          <a:ext cx="1009650" cy="31305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约定合同价款</w:t>
                            </w:r>
                          </w:p>
                        </w:txbxContent>
                      </wps:txbx>
                      <wps:bodyPr upright="1"/>
                    </wps:wsp>
                  </a:graphicData>
                </a:graphic>
              </wp:anchor>
            </w:drawing>
          </mc:Choice>
          <mc:Fallback>
            <w:pict>
              <v:shape id="文本框 289" o:spid="_x0000_s1026" o:spt="202" type="#_x0000_t202" style="position:absolute;left:0pt;margin-left:-9pt;margin-top:4.5pt;height:24.65pt;width:79.5pt;z-index:251950080;mso-width-relative:page;mso-height-relative:page;" filled="f" stroked="f" coordsize="21600,21600" o:gfxdata="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pVZCG9UA&#10;AAAIAQAADwAAAAAAAAABACAAAAAiAAAAZHJzL2Rvd25yZXYueG1sUEsBAhQAFAAAAAgAh07iQFCX&#10;wbywAQAAUgMAAA4AAAAAAAAAAQAgAAAAJAEAAGRycy9lMm9Eb2MueG1sUEsFBgAAAAAGAAYAWQEA&#10;AEY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约定合同价款</w:t>
                      </w:r>
                    </w:p>
                  </w:txbxContent>
                </v:textbox>
              </v:shape>
            </w:pict>
          </mc:Fallback>
        </mc:AlternateContent>
      </w:r>
      <w:r>
        <w:rPr>
          <w:rFonts w:hint="eastAsia" w:ascii="仿宋" w:hAnsi="仿宋" w:eastAsia="仿宋" w:cs="仿宋"/>
          <w:color w:val="auto"/>
          <w:sz w:val="24"/>
          <w:szCs w:val="24"/>
          <w:highlight w:val="none"/>
        </w:rPr>
        <w:t>合同双方当事人应在本合同协议书中约定合同价款。招标工程的合同价款由合同双方当事人依据中标通知书的中标价款在本合同协议书中约定。非招标工程的合同价款由合同双方当事人依据双方确定施工图预算的总造价在本合同协议书中约定。</w:t>
      </w:r>
    </w:p>
    <w:p>
      <w:pPr>
        <w:pStyle w:val="2"/>
        <w:shd w:val="clear" w:color="000000" w:fill="auto"/>
        <w:adjustRightInd w:val="0"/>
        <w:snapToGrid w:val="0"/>
        <w:spacing w:line="480" w:lineRule="auto"/>
        <w:rPr>
          <w:rFonts w:ascii="仿宋" w:hAnsi="仿宋" w:eastAsia="仿宋" w:cs="仿宋"/>
          <w:color w:val="auto"/>
          <w:sz w:val="24"/>
          <w:szCs w:val="24"/>
          <w:highlight w:val="none"/>
          <w:u w:val="dotted"/>
        </w:rPr>
      </w:pPr>
      <w:r>
        <w:rPr>
          <w:color w:val="auto"/>
          <w:highlight w:val="none"/>
        </w:rPr>
        <mc:AlternateContent>
          <mc:Choice Requires="wps">
            <w:drawing>
              <wp:anchor distT="0" distB="0" distL="114300" distR="114300" simplePos="0" relativeHeight="251951104" behindDoc="0" locked="0" layoutInCell="1" allowOverlap="1">
                <wp:simplePos x="0" y="0"/>
                <wp:positionH relativeFrom="column">
                  <wp:posOffset>-178435</wp:posOffset>
                </wp:positionH>
                <wp:positionV relativeFrom="paragraph">
                  <wp:posOffset>219710</wp:posOffset>
                </wp:positionV>
                <wp:extent cx="726440" cy="483235"/>
                <wp:effectExtent l="0" t="0" r="0" b="0"/>
                <wp:wrapNone/>
                <wp:docPr id="286" name="文本框 290"/>
                <wp:cNvGraphicFramePr/>
                <a:graphic xmlns:a="http://schemas.openxmlformats.org/drawingml/2006/main">
                  <a:graphicData uri="http://schemas.microsoft.com/office/word/2010/wordprocessingShape">
                    <wps:wsp>
                      <wps:cNvSpPr txBox="1"/>
                      <wps:spPr>
                        <a:xfrm>
                          <a:off x="0" y="0"/>
                          <a:ext cx="726440" cy="483235"/>
                        </a:xfrm>
                        <a:prstGeom prst="rect">
                          <a:avLst/>
                        </a:prstGeom>
                        <a:noFill/>
                        <a:ln>
                          <a:noFill/>
                        </a:ln>
                      </wps:spPr>
                      <wps:txbx>
                        <w:txbxContent>
                          <w:p>
                            <w:pPr>
                              <w:pStyle w:val="17"/>
                              <w:spacing w:line="200" w:lineRule="exact"/>
                              <w:rPr>
                                <w:rFonts w:ascii="楷体_GB2312" w:hAnsi="宋体" w:eastAsia="楷体_GB2312"/>
                                <w:b/>
                                <w:bCs/>
                                <w:sz w:val="18"/>
                                <w:szCs w:val="18"/>
                              </w:rPr>
                            </w:pPr>
                            <w:r>
                              <w:rPr>
                                <w:rFonts w:hint="eastAsia" w:ascii="楷体_GB2312" w:hAnsi="宋体" w:eastAsia="楷体_GB2312" w:cs="楷体_GB2312"/>
                                <w:b/>
                                <w:bCs/>
                                <w:sz w:val="18"/>
                                <w:szCs w:val="18"/>
                              </w:rPr>
                              <w:t>合同价款的方式</w:t>
                            </w:r>
                          </w:p>
                        </w:txbxContent>
                      </wps:txbx>
                      <wps:bodyPr upright="1"/>
                    </wps:wsp>
                  </a:graphicData>
                </a:graphic>
              </wp:anchor>
            </w:drawing>
          </mc:Choice>
          <mc:Fallback>
            <w:pict>
              <v:shape id="文本框 290" o:spid="_x0000_s1026" o:spt="202" type="#_x0000_t202" style="position:absolute;left:0pt;margin-left:-14.05pt;margin-top:17.3pt;height:38.05pt;width:57.2pt;z-index:251951104;mso-width-relative:page;mso-height-relative:page;" filled="f" stroked="f" coordsize="21600,21600" o:gfxdata="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QiLF1tcA&#10;AAAJAQAADwAAAAAAAAABACAAAAAiAAAAZHJzL2Rvd25yZXYueG1sUEsBAhQAFAAAAAgAh07iQHky&#10;8v2uAQAAUQMAAA4AAAAAAAAAAQAgAAAAJgEAAGRycy9lMm9Eb2MueG1sUEsFBgAAAAAGAAYAWQEA&#10;AEYFAAAAAA==&#10;">
                <v:fill on="f" focussize="0,0"/>
                <v:stroke on="f"/>
                <v:imagedata o:title=""/>
                <o:lock v:ext="edit" aspectratio="f"/>
                <v:textbox>
                  <w:txbxContent>
                    <w:p>
                      <w:pPr>
                        <w:pStyle w:val="17"/>
                        <w:spacing w:line="200" w:lineRule="exact"/>
                        <w:rPr>
                          <w:rFonts w:ascii="楷体_GB2312" w:hAnsi="宋体" w:eastAsia="楷体_GB2312"/>
                          <w:b/>
                          <w:bCs/>
                          <w:sz w:val="18"/>
                          <w:szCs w:val="18"/>
                        </w:rPr>
                      </w:pPr>
                      <w:r>
                        <w:rPr>
                          <w:rFonts w:hint="eastAsia" w:ascii="楷体_GB2312" w:hAnsi="宋体" w:eastAsia="楷体_GB2312" w:cs="楷体_GB2312"/>
                          <w:b/>
                          <w:bCs/>
                          <w:sz w:val="18"/>
                          <w:szCs w:val="18"/>
                        </w:rPr>
                        <w:t>合同价款的方式</w:t>
                      </w:r>
                    </w:p>
                  </w:txbxContent>
                </v:textbox>
              </v:shape>
            </w:pict>
          </mc:Fallback>
        </mc:AlternateContent>
      </w:r>
      <w:r>
        <w:rPr>
          <w:rFonts w:ascii="仿宋" w:hAnsi="仿宋" w:eastAsia="仿宋" w:cs="仿宋"/>
          <w:color w:val="auto"/>
          <w:sz w:val="24"/>
          <w:szCs w:val="24"/>
          <w:highlight w:val="none"/>
        </w:rPr>
        <w:t xml:space="preserve">68.2  </w:t>
      </w:r>
      <w:r>
        <w:rPr>
          <w:rFonts w:ascii="仿宋" w:hAnsi="仿宋" w:eastAsia="仿宋" w:cs="仿宋"/>
          <w:color w:val="auto"/>
          <w:sz w:val="24"/>
          <w:szCs w:val="24"/>
          <w:highlight w:val="none"/>
          <w:u w:val="dotted"/>
        </w:rPr>
        <w:t xml:space="preserve">                                                                                 </w:t>
      </w:r>
    </w:p>
    <w:p>
      <w:pPr>
        <w:pStyle w:val="2"/>
        <w:shd w:val="clear" w:color="000000" w:fill="auto"/>
        <w:adjustRightInd w:val="0"/>
        <w:snapToGrid w:val="0"/>
        <w:spacing w:line="480" w:lineRule="auto"/>
        <w:ind w:firstLine="1446" w:firstLineChars="600"/>
        <w:rPr>
          <w:rFonts w:ascii="仿宋" w:hAnsi="仿宋" w:eastAsia="仿宋" w:cs="Times New Roman"/>
          <w:b/>
          <w:bCs/>
          <w:color w:val="auto"/>
          <w:sz w:val="24"/>
          <w:szCs w:val="24"/>
          <w:highlight w:val="none"/>
        </w:rPr>
      </w:pPr>
      <w:r>
        <w:rPr>
          <w:rFonts w:hint="eastAsia" w:ascii="仿宋" w:hAnsi="仿宋" w:eastAsia="仿宋" w:cs="仿宋"/>
          <w:b/>
          <w:bCs/>
          <w:color w:val="auto"/>
          <w:sz w:val="24"/>
          <w:szCs w:val="24"/>
          <w:highlight w:val="none"/>
        </w:rPr>
        <w:t>下列各种确定合同价款的方式，双方可在专用条款内约定采用其中一种：</w:t>
      </w:r>
    </w:p>
    <w:p>
      <w:pPr>
        <w:pStyle w:val="2"/>
        <w:shd w:val="clear" w:color="000000" w:fill="auto"/>
        <w:adjustRightInd w:val="0"/>
        <w:snapToGrid w:val="0"/>
        <w:spacing w:line="480" w:lineRule="auto"/>
        <w:ind w:left="1535" w:hanging="1535" w:hangingChars="637"/>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            </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总价合同</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w:t>
      </w:r>
      <w:r>
        <w:rPr>
          <w:rFonts w:hint="eastAsia" w:ascii="仿宋" w:hAnsi="仿宋" w:eastAsia="仿宋" w:cs="仿宋"/>
          <w:color w:val="auto"/>
          <w:sz w:val="24"/>
          <w:szCs w:val="24"/>
          <w:highlight w:val="none"/>
        </w:rPr>
        <w:t>。</w:t>
      </w:r>
    </w:p>
    <w:p>
      <w:pPr>
        <w:pStyle w:val="2"/>
        <w:shd w:val="clear" w:color="000000" w:fill="auto"/>
        <w:adjustRightInd w:val="0"/>
        <w:snapToGrid w:val="0"/>
        <w:spacing w:line="480" w:lineRule="auto"/>
        <w:ind w:left="1401" w:leftChars="667"/>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单价合同</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w:t>
      </w:r>
      <w:r>
        <w:rPr>
          <w:rFonts w:hint="eastAsia" w:ascii="仿宋" w:hAnsi="仿宋" w:eastAsia="仿宋" w:cs="仿宋"/>
          <w:color w:val="auto"/>
          <w:sz w:val="24"/>
          <w:szCs w:val="24"/>
          <w:highlight w:val="none"/>
        </w:rPr>
        <w:t>。</w:t>
      </w:r>
    </w:p>
    <w:p>
      <w:pPr>
        <w:shd w:val="clear" w:color="000000" w:fill="auto"/>
        <w:spacing w:line="480" w:lineRule="auto"/>
        <w:ind w:left="1535" w:leftChars="674" w:hanging="120" w:hangingChars="5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（3）按实结算</w:t>
      </w:r>
      <w:r>
        <w:rPr>
          <w:rFonts w:ascii="仿宋" w:hAnsi="仿宋" w:eastAsia="仿宋" w:cs="仿宋"/>
          <w:color w:val="auto"/>
          <w:sz w:val="24"/>
          <w:szCs w:val="24"/>
          <w:highlight w:val="none"/>
        </w:rPr>
        <w:t>合同</w:t>
      </w:r>
      <w:r>
        <w:rPr>
          <w:rFonts w:hint="eastAsia" w:ascii="仿宋" w:hAnsi="仿宋" w:eastAsia="仿宋" w:cs="仿宋"/>
          <w:color w:val="auto"/>
          <w:sz w:val="24"/>
          <w:szCs w:val="24"/>
          <w:highlight w:val="none"/>
        </w:rPr>
        <w:t>。承包方根据相关资料编制预算，合同价款是暂定价，双方在专用条款内</w:t>
      </w:r>
      <w:r>
        <w:rPr>
          <w:rFonts w:ascii="仿宋" w:hAnsi="仿宋" w:eastAsia="仿宋" w:cs="仿宋"/>
          <w:color w:val="auto"/>
          <w:sz w:val="24"/>
          <w:szCs w:val="24"/>
          <w:highlight w:val="none"/>
        </w:rPr>
        <w:t>约定</w:t>
      </w:r>
      <w:r>
        <w:rPr>
          <w:rFonts w:hint="eastAsia" w:ascii="仿宋" w:hAnsi="仿宋" w:eastAsia="仿宋" w:cs="仿宋"/>
          <w:color w:val="auto"/>
          <w:sz w:val="24"/>
          <w:szCs w:val="24"/>
          <w:highlight w:val="none"/>
        </w:rPr>
        <w:t>合同价款调整方法</w:t>
      </w:r>
      <w:r>
        <w:rPr>
          <w:rFonts w:ascii="仿宋" w:hAnsi="仿宋" w:eastAsia="仿宋" w:cs="仿宋"/>
          <w:color w:val="auto"/>
          <w:sz w:val="24"/>
          <w:szCs w:val="24"/>
          <w:highlight w:val="none"/>
        </w:rPr>
        <w:t>。</w:t>
      </w:r>
    </w:p>
    <w:p>
      <w:pPr>
        <w:pStyle w:val="2"/>
        <w:shd w:val="clear" w:color="000000" w:fill="auto"/>
        <w:adjustRightInd w:val="0"/>
        <w:snapToGrid w:val="0"/>
        <w:spacing w:line="480" w:lineRule="auto"/>
        <w:ind w:left="1401" w:leftChars="667"/>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r>
        <w:rPr>
          <w:rFonts w:ascii="仿宋" w:hAnsi="仿宋" w:eastAsia="仿宋" w:cs="仿宋"/>
          <w:color w:val="auto"/>
          <w:sz w:val="24"/>
          <w:szCs w:val="24"/>
          <w:highlight w:val="none"/>
        </w:rPr>
        <w:t>其它价格形式</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合同当事人可在专用条款中约定其他合同价格形式。</w:t>
      </w:r>
    </w:p>
    <w:p>
      <w:pPr>
        <w:pStyle w:val="2"/>
        <w:shd w:val="clear" w:color="000000" w:fill="auto"/>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68.3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52128" behindDoc="0" locked="0" layoutInCell="1" allowOverlap="1">
                <wp:simplePos x="0" y="0"/>
                <wp:positionH relativeFrom="column">
                  <wp:posOffset>-114300</wp:posOffset>
                </wp:positionH>
                <wp:positionV relativeFrom="paragraph">
                  <wp:posOffset>5080</wp:posOffset>
                </wp:positionV>
                <wp:extent cx="914400" cy="521335"/>
                <wp:effectExtent l="0" t="0" r="0" b="0"/>
                <wp:wrapNone/>
                <wp:docPr id="287" name="文本框 291"/>
                <wp:cNvGraphicFramePr/>
                <a:graphic xmlns:a="http://schemas.openxmlformats.org/drawingml/2006/main">
                  <a:graphicData uri="http://schemas.microsoft.com/office/word/2010/wordprocessingShape">
                    <wps:wsp>
                      <wps:cNvSpPr txBox="1"/>
                      <wps:spPr>
                        <a:xfrm>
                          <a:off x="0" y="0"/>
                          <a:ext cx="914400" cy="52133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合同价款的调整事件</w:t>
                            </w:r>
                          </w:p>
                        </w:txbxContent>
                      </wps:txbx>
                      <wps:bodyPr upright="1"/>
                    </wps:wsp>
                  </a:graphicData>
                </a:graphic>
              </wp:anchor>
            </w:drawing>
          </mc:Choice>
          <mc:Fallback>
            <w:pict>
              <v:shape id="文本框 291" o:spid="_x0000_s1026" o:spt="202" type="#_x0000_t202" style="position:absolute;left:0pt;margin-left:-9pt;margin-top:0.4pt;height:41.05pt;width:72pt;z-index:251952128;mso-width-relative:page;mso-height-relative:page;" filled="f" stroked="f" coordsize="21600,21600" o:gfxdata="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HO4a/vTAAAA&#10;BwEAAA8AAAAAAAAAAQAgAAAAIgAAAGRycy9kb3ducmV2LnhtbFBLAQIUABQAAAAIAIdO4kBwzSXG&#10;sAEAAFEDAAAOAAAAAAAAAAEAIAAAACIBAABkcnMvZTJvRG9jLnhtbFBLBQYAAAAABgAGAFkBAABE&#10;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合同价款的调整事件</w:t>
                      </w:r>
                    </w:p>
                  </w:txbxContent>
                </v:textbox>
              </v:shape>
            </w:pict>
          </mc:Fallback>
        </mc:AlternateContent>
      </w:r>
      <w:r>
        <w:rPr>
          <w:rFonts w:hint="eastAsia" w:ascii="仿宋" w:hAnsi="仿宋" w:eastAsia="仿宋" w:cs="仿宋"/>
          <w:b/>
          <w:bCs/>
          <w:color w:val="auto"/>
          <w:sz w:val="24"/>
          <w:szCs w:val="24"/>
          <w:highlight w:val="none"/>
        </w:rPr>
        <w:t>合同双方当事人应明确合同价款的调整事件。除专用条款另有约定外，调整事件应包括：</w:t>
      </w:r>
    </w:p>
    <w:p>
      <w:pPr>
        <w:pStyle w:val="2"/>
        <w:numPr>
          <w:ilvl w:val="0"/>
          <w:numId w:val="20"/>
        </w:numPr>
        <w:shd w:val="clear" w:color="000000" w:fill="auto"/>
        <w:adjustRightInd w:val="0"/>
        <w:snapToGrid w:val="0"/>
        <w:spacing w:line="360" w:lineRule="auto"/>
        <w:ind w:firstLine="42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后继法律变化事件；</w:t>
      </w:r>
    </w:p>
    <w:p>
      <w:pPr>
        <w:pStyle w:val="2"/>
        <w:numPr>
          <w:ilvl w:val="0"/>
          <w:numId w:val="20"/>
        </w:numPr>
        <w:shd w:val="clear" w:color="000000" w:fill="auto"/>
        <w:adjustRightInd w:val="0"/>
        <w:snapToGrid w:val="0"/>
        <w:spacing w:line="360" w:lineRule="auto"/>
        <w:ind w:firstLine="42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项目特征描述不符事件；</w:t>
      </w:r>
    </w:p>
    <w:p>
      <w:pPr>
        <w:pStyle w:val="2"/>
        <w:numPr>
          <w:ilvl w:val="0"/>
          <w:numId w:val="20"/>
        </w:numPr>
        <w:shd w:val="clear" w:color="000000" w:fill="auto"/>
        <w:adjustRightInd w:val="0"/>
        <w:snapToGrid w:val="0"/>
        <w:spacing w:line="360" w:lineRule="auto"/>
        <w:ind w:firstLine="42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分部分项工程量清单缺项漏项事件；</w:t>
      </w:r>
    </w:p>
    <w:p>
      <w:pPr>
        <w:pStyle w:val="2"/>
        <w:numPr>
          <w:ilvl w:val="0"/>
          <w:numId w:val="20"/>
        </w:numPr>
        <w:shd w:val="clear" w:color="000000" w:fill="auto"/>
        <w:adjustRightInd w:val="0"/>
        <w:snapToGrid w:val="0"/>
        <w:spacing w:line="360" w:lineRule="auto"/>
        <w:ind w:firstLine="42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工程变更事件；</w:t>
      </w:r>
    </w:p>
    <w:p>
      <w:pPr>
        <w:pStyle w:val="2"/>
        <w:numPr>
          <w:ilvl w:val="0"/>
          <w:numId w:val="20"/>
        </w:numPr>
        <w:shd w:val="clear" w:color="000000" w:fill="auto"/>
        <w:adjustRightInd w:val="0"/>
        <w:snapToGrid w:val="0"/>
        <w:spacing w:line="360" w:lineRule="auto"/>
        <w:ind w:firstLine="42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工程量偏差事件；</w:t>
      </w:r>
    </w:p>
    <w:p>
      <w:pPr>
        <w:pStyle w:val="2"/>
        <w:numPr>
          <w:ilvl w:val="0"/>
          <w:numId w:val="20"/>
        </w:numPr>
        <w:shd w:val="clear" w:color="000000" w:fill="auto"/>
        <w:adjustRightInd w:val="0"/>
        <w:snapToGrid w:val="0"/>
        <w:spacing w:line="360" w:lineRule="auto"/>
        <w:ind w:firstLine="42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费用索赔事件；</w:t>
      </w:r>
    </w:p>
    <w:p>
      <w:pPr>
        <w:pStyle w:val="2"/>
        <w:numPr>
          <w:ilvl w:val="0"/>
          <w:numId w:val="20"/>
        </w:numPr>
        <w:shd w:val="clear" w:color="000000" w:fill="auto"/>
        <w:adjustRightInd w:val="0"/>
        <w:snapToGrid w:val="0"/>
        <w:spacing w:line="360" w:lineRule="auto"/>
        <w:ind w:firstLine="42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现场签证事件；</w:t>
      </w:r>
    </w:p>
    <w:p>
      <w:pPr>
        <w:pStyle w:val="2"/>
        <w:numPr>
          <w:ilvl w:val="0"/>
          <w:numId w:val="20"/>
        </w:numPr>
        <w:shd w:val="clear" w:color="000000" w:fill="auto"/>
        <w:adjustRightInd w:val="0"/>
        <w:snapToGrid w:val="0"/>
        <w:spacing w:line="360" w:lineRule="auto"/>
        <w:ind w:firstLine="42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物价涨落事件；</w:t>
      </w:r>
    </w:p>
    <w:p>
      <w:pPr>
        <w:pStyle w:val="2"/>
        <w:numPr>
          <w:ilvl w:val="0"/>
          <w:numId w:val="20"/>
        </w:numPr>
        <w:shd w:val="clear" w:color="000000" w:fill="auto"/>
        <w:adjustRightInd w:val="0"/>
        <w:snapToGrid w:val="0"/>
        <w:spacing w:line="360" w:lineRule="auto"/>
        <w:ind w:firstLine="42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专用条款约定的其他事件。</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本款</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至</w:t>
      </w:r>
      <w:r>
        <w:rPr>
          <w:rFonts w:ascii="仿宋" w:hAnsi="仿宋" w:eastAsia="仿宋" w:cs="仿宋"/>
          <w:color w:val="auto"/>
          <w:sz w:val="24"/>
          <w:szCs w:val="24"/>
          <w:highlight w:val="none"/>
        </w:rPr>
        <w:t>(9)</w:t>
      </w:r>
      <w:r>
        <w:rPr>
          <w:rFonts w:hint="eastAsia" w:ascii="仿宋" w:hAnsi="仿宋" w:eastAsia="仿宋" w:cs="仿宋"/>
          <w:color w:val="auto"/>
          <w:sz w:val="24"/>
          <w:szCs w:val="24"/>
          <w:highlight w:val="none"/>
        </w:rPr>
        <w:t>调整事件应分别按照第</w:t>
      </w:r>
      <w:r>
        <w:rPr>
          <w:rFonts w:ascii="仿宋" w:hAnsi="仿宋" w:eastAsia="仿宋" w:cs="仿宋"/>
          <w:color w:val="auto"/>
          <w:sz w:val="24"/>
          <w:szCs w:val="24"/>
          <w:highlight w:val="none"/>
        </w:rPr>
        <w:t>69</w:t>
      </w:r>
      <w:r>
        <w:rPr>
          <w:rFonts w:hint="eastAsia" w:ascii="仿宋" w:hAnsi="仿宋" w:eastAsia="仿宋" w:cs="仿宋"/>
          <w:color w:val="auto"/>
          <w:sz w:val="24"/>
          <w:szCs w:val="24"/>
          <w:highlight w:val="none"/>
        </w:rPr>
        <w:t>条至第</w:t>
      </w:r>
      <w:r>
        <w:rPr>
          <w:rFonts w:ascii="仿宋" w:hAnsi="仿宋" w:eastAsia="仿宋" w:cs="仿宋"/>
          <w:color w:val="auto"/>
          <w:sz w:val="24"/>
          <w:szCs w:val="24"/>
          <w:highlight w:val="none"/>
        </w:rPr>
        <w:t>76</w:t>
      </w:r>
      <w:r>
        <w:rPr>
          <w:rFonts w:hint="eastAsia" w:ascii="仿宋" w:hAnsi="仿宋" w:eastAsia="仿宋" w:cs="仿宋"/>
          <w:color w:val="auto"/>
          <w:sz w:val="24"/>
          <w:szCs w:val="24"/>
          <w:highlight w:val="none"/>
        </w:rPr>
        <w:t>条的规定调整合同价款。</w:t>
      </w:r>
    </w:p>
    <w:p>
      <w:pPr>
        <w:pStyle w:val="2"/>
        <w:shd w:val="clear" w:color="000000" w:fill="auto"/>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68.4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53152" behindDoc="0" locked="0" layoutInCell="1" allowOverlap="1">
                <wp:simplePos x="0" y="0"/>
                <wp:positionH relativeFrom="column">
                  <wp:posOffset>-114300</wp:posOffset>
                </wp:positionH>
                <wp:positionV relativeFrom="paragraph">
                  <wp:posOffset>5080</wp:posOffset>
                </wp:positionV>
                <wp:extent cx="914400" cy="521335"/>
                <wp:effectExtent l="0" t="0" r="0" b="0"/>
                <wp:wrapNone/>
                <wp:docPr id="288" name="文本框 292"/>
                <wp:cNvGraphicFramePr/>
                <a:graphic xmlns:a="http://schemas.openxmlformats.org/drawingml/2006/main">
                  <a:graphicData uri="http://schemas.microsoft.com/office/word/2010/wordprocessingShape">
                    <wps:wsp>
                      <wps:cNvSpPr txBox="1"/>
                      <wps:spPr>
                        <a:xfrm>
                          <a:off x="0" y="0"/>
                          <a:ext cx="914400" cy="521335"/>
                        </a:xfrm>
                        <a:prstGeom prst="rect">
                          <a:avLst/>
                        </a:prstGeom>
                        <a:noFill/>
                        <a:ln>
                          <a:noFill/>
                        </a:ln>
                      </wps:spPr>
                      <wps:txbx>
                        <w:txbxContent>
                          <w:p>
                            <w:pPr>
                              <w:pStyle w:val="17"/>
                              <w:spacing w:line="200" w:lineRule="exact"/>
                              <w:rPr>
                                <w:rFonts w:ascii="宋体"/>
                                <w:sz w:val="18"/>
                                <w:szCs w:val="18"/>
                              </w:rPr>
                            </w:pPr>
                            <w:r>
                              <w:rPr>
                                <w:rFonts w:hint="eastAsia" w:ascii="楷体_GB2312" w:hAnsi="宋体" w:eastAsia="楷体_GB2312" w:cs="楷体_GB2312"/>
                                <w:b/>
                                <w:bCs/>
                                <w:color w:val="000000"/>
                                <w:sz w:val="18"/>
                                <w:szCs w:val="18"/>
                              </w:rPr>
                              <w:t>调整合同价款</w:t>
                            </w:r>
                          </w:p>
                        </w:txbxContent>
                      </wps:txbx>
                      <wps:bodyPr upright="1"/>
                    </wps:wsp>
                  </a:graphicData>
                </a:graphic>
              </wp:anchor>
            </w:drawing>
          </mc:Choice>
          <mc:Fallback>
            <w:pict>
              <v:shape id="文本框 292" o:spid="_x0000_s1026" o:spt="202" type="#_x0000_t202" style="position:absolute;left:0pt;margin-left:-9pt;margin-top:0.4pt;height:41.05pt;width:72pt;z-index:251953152;mso-width-relative:page;mso-height-relative:page;" filled="f" stroked="f" coordsize="21600,21600" o:gfxdata="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HO4a/vTAAAA&#10;BwEAAA8AAAAAAAAAAQAgAAAAIgAAAGRycy9kb3ducmV2LnhtbFBLAQIUABQAAAAIAIdO4kAOShRZ&#10;sAEAAFEDAAAOAAAAAAAAAAEAIAAAACIBAABkcnMvZTJvRG9jLnhtbFBLBQYAAAAABgAGAFkBAABE&#10;BQAAAAA=&#10;">
                <v:fill on="f" focussize="0,0"/>
                <v:stroke on="f"/>
                <v:imagedata o:title=""/>
                <o:lock v:ext="edit" aspectratio="f"/>
                <v:textbox>
                  <w:txbxContent>
                    <w:p>
                      <w:pPr>
                        <w:pStyle w:val="17"/>
                        <w:spacing w:line="200" w:lineRule="exact"/>
                        <w:rPr>
                          <w:rFonts w:ascii="宋体"/>
                          <w:sz w:val="18"/>
                          <w:szCs w:val="18"/>
                        </w:rPr>
                      </w:pPr>
                      <w:r>
                        <w:rPr>
                          <w:rFonts w:hint="eastAsia" w:ascii="楷体_GB2312" w:hAnsi="宋体" w:eastAsia="楷体_GB2312" w:cs="楷体_GB2312"/>
                          <w:b/>
                          <w:bCs/>
                          <w:color w:val="000000"/>
                          <w:sz w:val="18"/>
                          <w:szCs w:val="18"/>
                        </w:rPr>
                        <w:t>调整合同价款</w:t>
                      </w:r>
                    </w:p>
                  </w:txbxContent>
                </v:textbox>
              </v:shape>
            </w:pict>
          </mc:Fallback>
        </mc:AlternateContent>
      </w:r>
      <w:r>
        <w:rPr>
          <w:rFonts w:hint="eastAsia" w:ascii="仿宋" w:hAnsi="仿宋" w:eastAsia="仿宋" w:cs="仿宋"/>
          <w:color w:val="auto"/>
          <w:sz w:val="24"/>
          <w:szCs w:val="24"/>
          <w:highlight w:val="none"/>
        </w:rPr>
        <w:t>出现第</w:t>
      </w:r>
      <w:r>
        <w:rPr>
          <w:rFonts w:ascii="仿宋" w:hAnsi="仿宋" w:eastAsia="仿宋" w:cs="仿宋"/>
          <w:color w:val="auto"/>
          <w:sz w:val="24"/>
          <w:szCs w:val="24"/>
          <w:highlight w:val="none"/>
        </w:rPr>
        <w:t>68.2</w:t>
      </w:r>
      <w:r>
        <w:rPr>
          <w:rFonts w:hint="eastAsia" w:ascii="仿宋" w:hAnsi="仿宋" w:eastAsia="仿宋" w:cs="仿宋"/>
          <w:color w:val="auto"/>
          <w:sz w:val="24"/>
          <w:szCs w:val="24"/>
          <w:highlight w:val="none"/>
        </w:rPr>
        <w:t>款规定调整合同价款事件的，合同双方当事人应调整合同价款。除费用索赔、现场签证事件分别按照第</w:t>
      </w:r>
      <w:r>
        <w:rPr>
          <w:rFonts w:ascii="仿宋" w:hAnsi="仿宋" w:eastAsia="仿宋" w:cs="仿宋"/>
          <w:color w:val="auto"/>
          <w:sz w:val="24"/>
          <w:szCs w:val="24"/>
          <w:highlight w:val="none"/>
        </w:rPr>
        <w:t>74</w:t>
      </w:r>
      <w:r>
        <w:rPr>
          <w:rFonts w:hint="eastAsia" w:ascii="仿宋" w:hAnsi="仿宋" w:eastAsia="仿宋" w:cs="仿宋"/>
          <w:color w:val="auto"/>
          <w:sz w:val="24"/>
          <w:szCs w:val="24"/>
          <w:highlight w:val="none"/>
        </w:rPr>
        <w:t>条、第</w:t>
      </w:r>
      <w:r>
        <w:rPr>
          <w:rFonts w:ascii="仿宋" w:hAnsi="仿宋" w:eastAsia="仿宋" w:cs="仿宋"/>
          <w:color w:val="auto"/>
          <w:sz w:val="24"/>
          <w:szCs w:val="24"/>
          <w:highlight w:val="none"/>
        </w:rPr>
        <w:t>75</w:t>
      </w:r>
      <w:r>
        <w:rPr>
          <w:rFonts w:hint="eastAsia" w:ascii="仿宋" w:hAnsi="仿宋" w:eastAsia="仿宋" w:cs="仿宋"/>
          <w:color w:val="auto"/>
          <w:sz w:val="24"/>
          <w:szCs w:val="24"/>
          <w:highlight w:val="none"/>
        </w:rPr>
        <w:t>条规定外，调整合同价款的提出、核实、确认与支付等事项，由合同双方当事人按照第</w:t>
      </w:r>
      <w:r>
        <w:rPr>
          <w:rFonts w:ascii="仿宋" w:hAnsi="仿宋" w:eastAsia="仿宋" w:cs="仿宋"/>
          <w:color w:val="auto"/>
          <w:sz w:val="24"/>
          <w:szCs w:val="24"/>
          <w:highlight w:val="none"/>
        </w:rPr>
        <w:t>77</w:t>
      </w:r>
      <w:r>
        <w:rPr>
          <w:rFonts w:hint="eastAsia" w:ascii="仿宋" w:hAnsi="仿宋" w:eastAsia="仿宋" w:cs="仿宋"/>
          <w:color w:val="auto"/>
          <w:sz w:val="24"/>
          <w:szCs w:val="24"/>
          <w:highlight w:val="none"/>
        </w:rPr>
        <w:t>条规定办理。</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68.2</w:t>
      </w:r>
      <w:r>
        <w:rPr>
          <w:rFonts w:hint="eastAsia" w:ascii="仿宋" w:hAnsi="仿宋" w:eastAsia="仿宋" w:cs="仿宋"/>
          <w:color w:val="auto"/>
          <w:sz w:val="24"/>
          <w:szCs w:val="24"/>
          <w:highlight w:val="none"/>
        </w:rPr>
        <w:t>款规定事件调整合同价款，如果是按照第</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条规定由发包人自行供应或发包人招标、承包人采购材料和工程设备的，均不应考虑第</w:t>
      </w:r>
      <w:r>
        <w:rPr>
          <w:rFonts w:ascii="仿宋" w:hAnsi="仿宋" w:eastAsia="仿宋" w:cs="仿宋"/>
          <w:color w:val="auto"/>
          <w:sz w:val="24"/>
          <w:szCs w:val="24"/>
          <w:highlight w:val="none"/>
        </w:rPr>
        <w:t>72.2</w:t>
      </w:r>
      <w:r>
        <w:rPr>
          <w:rFonts w:hint="eastAsia" w:ascii="仿宋" w:hAnsi="仿宋" w:eastAsia="仿宋" w:cs="仿宋"/>
          <w:color w:val="auto"/>
          <w:sz w:val="24"/>
          <w:szCs w:val="24"/>
          <w:highlight w:val="none"/>
        </w:rPr>
        <w:t>款规定的承包人报价下浮率因素。</w:t>
      </w:r>
    </w:p>
    <w:p>
      <w:pPr>
        <w:pStyle w:val="2"/>
        <w:shd w:val="clear" w:color="000000" w:fill="auto"/>
        <w:tabs>
          <w:tab w:val="left" w:pos="3480"/>
        </w:tabs>
        <w:adjustRightInd w:val="0"/>
        <w:snapToGrid w:val="0"/>
        <w:spacing w:line="360" w:lineRule="exact"/>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5"/>
        <w:numPr>
          <w:ilvl w:val="0"/>
          <w:numId w:val="0"/>
        </w:numPr>
        <w:shd w:val="clear" w:color="000000" w:fill="auto"/>
        <w:tabs>
          <w:tab w:val="left" w:pos="420"/>
        </w:tabs>
        <w:rPr>
          <w:rFonts w:ascii="仿宋" w:hAnsi="仿宋" w:eastAsia="仿宋"/>
          <w:color w:val="auto"/>
          <w:sz w:val="24"/>
          <w:szCs w:val="24"/>
          <w:highlight w:val="none"/>
        </w:rPr>
      </w:pPr>
      <w:bookmarkStart w:id="336" w:name="_Toc10624893"/>
      <w:bookmarkStart w:id="337" w:name="_Toc469384053"/>
      <w:bookmarkStart w:id="338" w:name="_Toc8448"/>
      <w:r>
        <w:rPr>
          <w:rFonts w:hint="eastAsia" w:ascii="仿宋" w:hAnsi="仿宋" w:eastAsia="仿宋" w:cs="仿宋"/>
          <w:b w:val="0"/>
          <w:bCs w:val="0"/>
          <w:color w:val="auto"/>
          <w:sz w:val="24"/>
          <w:szCs w:val="24"/>
          <w:highlight w:val="none"/>
        </w:rPr>
        <w:t>★</w:t>
      </w:r>
      <w:r>
        <w:rPr>
          <w:rFonts w:ascii="仿宋" w:hAnsi="仿宋" w:eastAsia="仿宋" w:cs="仿宋"/>
          <w:color w:val="auto"/>
          <w:sz w:val="24"/>
          <w:szCs w:val="24"/>
          <w:highlight w:val="none"/>
        </w:rPr>
        <w:t xml:space="preserve">69  </w:t>
      </w:r>
      <w:r>
        <w:rPr>
          <w:rFonts w:hint="eastAsia" w:ascii="仿宋" w:hAnsi="仿宋" w:eastAsia="仿宋" w:cs="仿宋"/>
          <w:color w:val="auto"/>
          <w:sz w:val="24"/>
          <w:szCs w:val="24"/>
          <w:highlight w:val="none"/>
        </w:rPr>
        <w:t>后继法律变化事件</w:t>
      </w:r>
      <w:bookmarkEnd w:id="336"/>
      <w:bookmarkEnd w:id="337"/>
      <w:bookmarkEnd w:id="338"/>
    </w:p>
    <w:p>
      <w:pPr>
        <w:pStyle w:val="2"/>
        <w:shd w:val="clear" w:color="000000" w:fill="auto"/>
        <w:adjustRightInd w:val="0"/>
        <w:snapToGrid w:val="0"/>
        <w:rPr>
          <w:rFonts w:ascii="仿宋" w:hAnsi="仿宋" w:eastAsia="仿宋" w:cs="仿宋"/>
          <w:b/>
          <w:bCs/>
          <w:color w:val="auto"/>
          <w:sz w:val="24"/>
          <w:szCs w:val="24"/>
          <w:highlight w:val="none"/>
        </w:rPr>
      </w:pPr>
      <w:r>
        <w:rPr>
          <w:color w:val="auto"/>
          <w:highlight w:val="none"/>
        </w:rPr>
        <mc:AlternateContent>
          <mc:Choice Requires="wps">
            <w:drawing>
              <wp:anchor distT="0" distB="0" distL="114300" distR="114300" simplePos="0" relativeHeight="251954176" behindDoc="0" locked="0" layoutInCell="1" allowOverlap="1">
                <wp:simplePos x="0" y="0"/>
                <wp:positionH relativeFrom="column">
                  <wp:posOffset>-133350</wp:posOffset>
                </wp:positionH>
                <wp:positionV relativeFrom="paragraph">
                  <wp:posOffset>273685</wp:posOffset>
                </wp:positionV>
                <wp:extent cx="914400" cy="619125"/>
                <wp:effectExtent l="0" t="0" r="0" b="0"/>
                <wp:wrapNone/>
                <wp:docPr id="289" name="文本框 293"/>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后继法律变化的价款调整</w:t>
                            </w:r>
                          </w:p>
                        </w:txbxContent>
                      </wps:txbx>
                      <wps:bodyPr upright="1"/>
                    </wps:wsp>
                  </a:graphicData>
                </a:graphic>
              </wp:anchor>
            </w:drawing>
          </mc:Choice>
          <mc:Fallback>
            <w:pict>
              <v:shape id="文本框 293" o:spid="_x0000_s1026" o:spt="202" type="#_x0000_t202" style="position:absolute;left:0pt;margin-left:-10.5pt;margin-top:21.55pt;height:48.75pt;width:72pt;z-index:251954176;mso-width-relative:page;mso-height-relative:page;" filled="f" stroked="f" coordsize="21600,21600" o:gfxdata="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F92ABzX&#10;AAAACgEAAA8AAAAAAAAAAQAgAAAAIgAAAGRycy9kb3ducmV2LnhtbFBLAQIUABQAAAAIAIdO4kAt&#10;9MB7rwEAAFEDAAAOAAAAAAAAAAEAIAAAACYBAABkcnMvZTJvRG9jLnhtbFBLBQYAAAAABgAGAFkB&#10;AABH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后继法律变化的价款调整</w:t>
                      </w:r>
                    </w:p>
                  </w:txbxContent>
                </v:textbox>
              </v:shape>
            </w:pict>
          </mc:Fallback>
        </mc:AlternateContent>
      </w:r>
      <w:r>
        <w:rPr>
          <w:rFonts w:ascii="仿宋" w:hAnsi="仿宋" w:eastAsia="仿宋" w:cs="仿宋"/>
          <w:b/>
          <w:bCs/>
          <w:color w:val="auto"/>
          <w:sz w:val="24"/>
          <w:szCs w:val="24"/>
          <w:highlight w:val="none"/>
        </w:rPr>
        <w:t xml:space="preserve">69.1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合同履行期间，出现国家或省颁布的法律和政策在合同工程基准日期后发生变化，且因执行上述法律和政策引起除第</w:t>
      </w:r>
      <w:r>
        <w:rPr>
          <w:rFonts w:ascii="仿宋" w:hAnsi="仿宋" w:eastAsia="仿宋" w:cs="仿宋"/>
          <w:color w:val="auto"/>
          <w:sz w:val="24"/>
          <w:szCs w:val="24"/>
          <w:highlight w:val="none"/>
        </w:rPr>
        <w:t>76</w:t>
      </w:r>
      <w:r>
        <w:rPr>
          <w:rFonts w:hint="eastAsia" w:ascii="仿宋" w:hAnsi="仿宋" w:eastAsia="仿宋" w:cs="仿宋"/>
          <w:color w:val="auto"/>
          <w:sz w:val="24"/>
          <w:szCs w:val="24"/>
          <w:highlight w:val="none"/>
        </w:rPr>
        <w:t>条规定以外的工程造价增减事件的，合同双方当事人应调整合同价款。</w:t>
      </w:r>
    </w:p>
    <w:p>
      <w:pPr>
        <w:pStyle w:val="2"/>
        <w:shd w:val="clear" w:color="000000" w:fill="auto"/>
        <w:tabs>
          <w:tab w:val="left" w:pos="540"/>
        </w:tabs>
        <w:adjustRightInd w:val="0"/>
        <w:snapToGrid w:val="0"/>
        <w:spacing w:line="480" w:lineRule="auto"/>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69.2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55200" behindDoc="0" locked="0" layoutInCell="1" allowOverlap="1">
                <wp:simplePos x="0" y="0"/>
                <wp:positionH relativeFrom="column">
                  <wp:posOffset>-114300</wp:posOffset>
                </wp:positionH>
                <wp:positionV relativeFrom="paragraph">
                  <wp:posOffset>15875</wp:posOffset>
                </wp:positionV>
                <wp:extent cx="914400" cy="619125"/>
                <wp:effectExtent l="0" t="0" r="0" b="0"/>
                <wp:wrapNone/>
                <wp:docPr id="290" name="文本框 294"/>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调整价款的方法</w:t>
                            </w:r>
                          </w:p>
                        </w:txbxContent>
                      </wps:txbx>
                      <wps:bodyPr upright="1"/>
                    </wps:wsp>
                  </a:graphicData>
                </a:graphic>
              </wp:anchor>
            </w:drawing>
          </mc:Choice>
          <mc:Fallback>
            <w:pict>
              <v:shape id="文本框 294" o:spid="_x0000_s1026" o:spt="202" type="#_x0000_t202" style="position:absolute;left:0pt;margin-left:-9pt;margin-top:1.25pt;height:48.75pt;width:72pt;z-index:251955200;mso-width-relative:page;mso-height-relative:page;" filled="f" stroked="f" coordsize="21600,21600" o:gfxdata="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NPIDAfVAAAA&#10;CQEAAA8AAAAAAAAAAQAgAAAAIgAAAGRycy9kb3ducmV2LnhtbFBLAQIUABQAAAAIAIdO4kBwVta1&#10;rgEAAFEDAAAOAAAAAAAAAAEAIAAAACQBAABkcnMvZTJvRG9jLnhtbFBLBQYAAAAABgAGAFkBAABE&#10;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调整价款的方法</w:t>
                      </w:r>
                    </w:p>
                  </w:txbxContent>
                </v:textbox>
              </v:shape>
            </w:pict>
          </mc:Fallback>
        </mc:AlternateContent>
      </w:r>
      <w:r>
        <w:rPr>
          <w:rFonts w:hint="eastAsia" w:ascii="仿宋" w:hAnsi="仿宋" w:eastAsia="仿宋" w:cs="仿宋"/>
          <w:color w:val="auto"/>
          <w:sz w:val="24"/>
          <w:szCs w:val="24"/>
          <w:highlight w:val="none"/>
        </w:rPr>
        <w:t>发生第</w:t>
      </w:r>
      <w:r>
        <w:rPr>
          <w:rFonts w:ascii="仿宋" w:hAnsi="仿宋" w:eastAsia="仿宋" w:cs="仿宋"/>
          <w:color w:val="auto"/>
          <w:sz w:val="24"/>
          <w:szCs w:val="24"/>
          <w:highlight w:val="none"/>
        </w:rPr>
        <w:t>69.1</w:t>
      </w:r>
      <w:r>
        <w:rPr>
          <w:rFonts w:hint="eastAsia" w:ascii="仿宋" w:hAnsi="仿宋" w:eastAsia="仿宋" w:cs="仿宋"/>
          <w:color w:val="auto"/>
          <w:sz w:val="24"/>
          <w:szCs w:val="24"/>
          <w:highlight w:val="none"/>
        </w:rPr>
        <w:t>款情况的，应根据合同工程实际情况，按照上述法律和政策规定计算调整的合同价款。</w:t>
      </w:r>
    </w:p>
    <w:p>
      <w:pPr>
        <w:shd w:val="clear" w:color="000000" w:fill="auto"/>
        <w:tabs>
          <w:tab w:val="left" w:pos="1620"/>
        </w:tabs>
        <w:spacing w:line="360" w:lineRule="auto"/>
        <w:rPr>
          <w:rFonts w:ascii="仿宋" w:hAnsi="仿宋" w:eastAsia="仿宋" w:cs="Times New Roman"/>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5"/>
        <w:numPr>
          <w:ilvl w:val="0"/>
          <w:numId w:val="0"/>
        </w:numPr>
        <w:shd w:val="clear" w:color="000000" w:fill="auto"/>
        <w:tabs>
          <w:tab w:val="left" w:pos="420"/>
        </w:tabs>
        <w:rPr>
          <w:rFonts w:ascii="仿宋" w:hAnsi="仿宋" w:eastAsia="仿宋"/>
          <w:b w:val="0"/>
          <w:bCs w:val="0"/>
          <w:color w:val="auto"/>
          <w:sz w:val="24"/>
          <w:szCs w:val="24"/>
          <w:highlight w:val="none"/>
        </w:rPr>
      </w:pPr>
      <w:bookmarkStart w:id="339" w:name="_Toc11382"/>
      <w:bookmarkStart w:id="340" w:name="_Toc469384054"/>
      <w:bookmarkStart w:id="341" w:name="_Toc10624894"/>
      <w:r>
        <w:rPr>
          <w:rFonts w:hint="eastAsia" w:ascii="仿宋" w:hAnsi="仿宋" w:eastAsia="仿宋" w:cs="仿宋"/>
          <w:b w:val="0"/>
          <w:bCs w:val="0"/>
          <w:color w:val="auto"/>
          <w:sz w:val="24"/>
          <w:szCs w:val="24"/>
          <w:highlight w:val="none"/>
        </w:rPr>
        <w:t>★</w:t>
      </w:r>
      <w:r>
        <w:rPr>
          <w:rFonts w:ascii="仿宋" w:hAnsi="仿宋" w:eastAsia="仿宋" w:cs="仿宋"/>
          <w:bCs w:val="0"/>
          <w:color w:val="auto"/>
          <w:sz w:val="24"/>
          <w:szCs w:val="24"/>
          <w:highlight w:val="none"/>
        </w:rPr>
        <w:t xml:space="preserve">70  </w:t>
      </w:r>
      <w:r>
        <w:rPr>
          <w:rFonts w:hint="eastAsia" w:ascii="仿宋" w:hAnsi="仿宋" w:eastAsia="仿宋" w:cs="仿宋"/>
          <w:bCs w:val="0"/>
          <w:color w:val="auto"/>
          <w:sz w:val="24"/>
          <w:szCs w:val="24"/>
          <w:highlight w:val="none"/>
        </w:rPr>
        <w:t>项目特征描述不符事件</w:t>
      </w:r>
      <w:bookmarkEnd w:id="339"/>
      <w:bookmarkEnd w:id="340"/>
      <w:bookmarkEnd w:id="341"/>
    </w:p>
    <w:p>
      <w:pPr>
        <w:pStyle w:val="2"/>
        <w:shd w:val="clear" w:color="000000" w:fill="auto"/>
        <w:adjustRightInd w:val="0"/>
        <w:snapToGrid w:val="0"/>
        <w:spacing w:line="360" w:lineRule="auto"/>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70.1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56224" behindDoc="0" locked="0" layoutInCell="1" allowOverlap="1">
                <wp:simplePos x="0" y="0"/>
                <wp:positionH relativeFrom="column">
                  <wp:posOffset>-114300</wp:posOffset>
                </wp:positionH>
                <wp:positionV relativeFrom="paragraph">
                  <wp:posOffset>34290</wp:posOffset>
                </wp:positionV>
                <wp:extent cx="914400" cy="619125"/>
                <wp:effectExtent l="0" t="0" r="0" b="0"/>
                <wp:wrapNone/>
                <wp:docPr id="291" name="文本框 295"/>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项目特征的准确性</w:t>
                            </w:r>
                          </w:p>
                        </w:txbxContent>
                      </wps:txbx>
                      <wps:bodyPr upright="1"/>
                    </wps:wsp>
                  </a:graphicData>
                </a:graphic>
              </wp:anchor>
            </w:drawing>
          </mc:Choice>
          <mc:Fallback>
            <w:pict>
              <v:shape id="文本框 295" o:spid="_x0000_s1026" o:spt="202" type="#_x0000_t202" style="position:absolute;left:0pt;margin-left:-9pt;margin-top:2.7pt;height:48.75pt;width:72pt;z-index:251956224;mso-width-relative:page;mso-height-relative:page;" filled="f" stroked="f" coordsize="21600,21600" o:gfxdata="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sckphdYA&#10;AAAJAQAADwAAAAAAAAABACAAAAAiAAAAZHJzL2Rvd25yZXYueG1sUEsBAhQAFAAAAAgAh07iQFOv&#10;qB2vAQAAUQMAAA4AAAAAAAAAAQAgAAAAJQEAAGRycy9lMm9Eb2MueG1sUEsFBgAAAAAGAAYAWQEA&#10;AEY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项目特征的准确性</w:t>
                      </w:r>
                    </w:p>
                  </w:txbxContent>
                </v:textbox>
              </v:shape>
            </w:pict>
          </mc:Fallback>
        </mc:AlternateContent>
      </w:r>
      <w:r>
        <w:rPr>
          <w:rFonts w:hint="eastAsia" w:ascii="仿宋" w:hAnsi="仿宋" w:eastAsia="仿宋" w:cs="仿宋"/>
          <w:color w:val="auto"/>
          <w:sz w:val="24"/>
          <w:szCs w:val="24"/>
          <w:highlight w:val="none"/>
        </w:rPr>
        <w:t>发包人在工程量清单中对项目特征的描述，应被认为是准确的和全面的，并且与实际施工要求相符合。承包人应按照发包人提供的工程量清单，根据其项目特征描述的内容及有关要求实施合同工程，直到其被改变为止。</w:t>
      </w:r>
    </w:p>
    <w:p>
      <w:pPr>
        <w:pStyle w:val="2"/>
        <w:shd w:val="clear" w:color="000000" w:fill="auto"/>
        <w:adjustRightInd w:val="0"/>
        <w:snapToGrid w:val="0"/>
        <w:spacing w:line="48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70.2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57248" behindDoc="0" locked="0" layoutInCell="1" allowOverlap="1">
                <wp:simplePos x="0" y="0"/>
                <wp:positionH relativeFrom="column">
                  <wp:posOffset>-114300</wp:posOffset>
                </wp:positionH>
                <wp:positionV relativeFrom="paragraph">
                  <wp:posOffset>5715</wp:posOffset>
                </wp:positionV>
                <wp:extent cx="914400" cy="619125"/>
                <wp:effectExtent l="0" t="0" r="0" b="0"/>
                <wp:wrapNone/>
                <wp:docPr id="292" name="文本框 296"/>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项目特征描述不符的价款调整</w:t>
                            </w:r>
                          </w:p>
                          <w:p>
                            <w:pPr>
                              <w:pStyle w:val="36"/>
                              <w:spacing w:line="200" w:lineRule="exact"/>
                              <w:rPr>
                                <w:sz w:val="18"/>
                                <w:szCs w:val="18"/>
                              </w:rPr>
                            </w:pPr>
                          </w:p>
                        </w:txbxContent>
                      </wps:txbx>
                      <wps:bodyPr upright="1"/>
                    </wps:wsp>
                  </a:graphicData>
                </a:graphic>
              </wp:anchor>
            </w:drawing>
          </mc:Choice>
          <mc:Fallback>
            <w:pict>
              <v:shape id="文本框 296" o:spid="_x0000_s1026" o:spt="202" type="#_x0000_t202" style="position:absolute;left:0pt;margin-left:-9pt;margin-top:0.45pt;height:48.75pt;width:72pt;z-index:251957248;mso-width-relative:page;mso-height-relative:page;" filled="f" stroked="f" coordsize="21600,21600" o:gfxdata="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ed//kdQAAAAH&#10;AQAADwAAAAAAAAABACAAAAAiAAAAZHJzL2Rvd25yZXYueG1sUEsBAhQAFAAAAAgAh07iQHeiWj6u&#10;AQAAUQMAAA4AAAAAAAAAAQAgAAAAIwEAAGRycy9lMm9Eb2MueG1sUEsFBgAAAAAGAAYAWQEAAEMF&#10;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项目特征描述不符的价款调整</w:t>
                      </w:r>
                    </w:p>
                    <w:p>
                      <w:pPr>
                        <w:pStyle w:val="36"/>
                        <w:spacing w:line="200" w:lineRule="exact"/>
                        <w:rPr>
                          <w:sz w:val="18"/>
                          <w:szCs w:val="18"/>
                        </w:rPr>
                      </w:pPr>
                    </w:p>
                  </w:txbxContent>
                </v:textbox>
              </v:shape>
            </w:pict>
          </mc:Fallback>
        </mc:AlternateContent>
      </w:r>
      <w:r>
        <w:rPr>
          <w:rFonts w:hint="eastAsia" w:ascii="仿宋" w:hAnsi="仿宋" w:eastAsia="仿宋" w:cs="仿宋"/>
          <w:color w:val="auto"/>
          <w:sz w:val="24"/>
          <w:szCs w:val="24"/>
          <w:highlight w:val="none"/>
        </w:rPr>
        <w:t>合同履行期间，出现实际施工设计图纸（含设计变更）与招标文件提供的工程量清单任一项目特征描述不符，且该变化引起工程造价增减事件的，合同双方当事人应调整合同价款。</w:t>
      </w:r>
    </w:p>
    <w:p>
      <w:pPr>
        <w:pStyle w:val="2"/>
        <w:shd w:val="clear" w:color="000000" w:fill="auto"/>
        <w:adjustRightInd w:val="0"/>
        <w:snapToGrid w:val="0"/>
        <w:spacing w:line="480" w:lineRule="auto"/>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70.3 </w:t>
      </w:r>
      <w:r>
        <w:rPr>
          <w:rFonts w:ascii="仿宋" w:hAnsi="仿宋" w:eastAsia="仿宋" w:cs="仿宋"/>
          <w:b/>
          <w:bCs/>
          <w:color w:val="auto"/>
          <w:sz w:val="24"/>
          <w:szCs w:val="24"/>
          <w:highlight w:val="none"/>
          <w:u w:val="dotted"/>
        </w:rPr>
        <w:t xml:space="preserve">                                                                              </w:t>
      </w:r>
      <w:r>
        <w:rPr>
          <w:rFonts w:ascii="仿宋" w:hAnsi="仿宋" w:eastAsia="仿宋" w:cs="仿宋"/>
          <w:b/>
          <w:bCs/>
          <w:color w:val="auto"/>
          <w:sz w:val="24"/>
          <w:szCs w:val="24"/>
          <w:highlight w:val="none"/>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58272" behindDoc="0" locked="0" layoutInCell="1" allowOverlap="1">
                <wp:simplePos x="0" y="0"/>
                <wp:positionH relativeFrom="column">
                  <wp:posOffset>-114300</wp:posOffset>
                </wp:positionH>
                <wp:positionV relativeFrom="paragraph">
                  <wp:posOffset>5715</wp:posOffset>
                </wp:positionV>
                <wp:extent cx="914400" cy="619125"/>
                <wp:effectExtent l="0" t="0" r="0" b="0"/>
                <wp:wrapNone/>
                <wp:docPr id="293" name="文本框 297"/>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pPr>
                              <w:pStyle w:val="17"/>
                              <w:spacing w:line="200" w:lineRule="exact"/>
                              <w:rPr>
                                <w:rFonts w:ascii="宋体"/>
                                <w:color w:val="FF0000"/>
                                <w:sz w:val="24"/>
                                <w:szCs w:val="24"/>
                              </w:rPr>
                            </w:pPr>
                            <w:r>
                              <w:rPr>
                                <w:rFonts w:hint="eastAsia" w:ascii="楷体_GB2312" w:hAnsi="宋体" w:eastAsia="楷体_GB2312" w:cs="楷体_GB2312"/>
                                <w:b/>
                                <w:bCs/>
                                <w:color w:val="000000"/>
                                <w:sz w:val="18"/>
                                <w:szCs w:val="18"/>
                              </w:rPr>
                              <w:t>调整价款的方法</w:t>
                            </w:r>
                          </w:p>
                          <w:p>
                            <w:pPr>
                              <w:pStyle w:val="36"/>
                              <w:spacing w:line="200" w:lineRule="exact"/>
                              <w:rPr>
                                <w:sz w:val="18"/>
                                <w:szCs w:val="18"/>
                              </w:rPr>
                            </w:pPr>
                          </w:p>
                        </w:txbxContent>
                      </wps:txbx>
                      <wps:bodyPr upright="1"/>
                    </wps:wsp>
                  </a:graphicData>
                </a:graphic>
              </wp:anchor>
            </w:drawing>
          </mc:Choice>
          <mc:Fallback>
            <w:pict>
              <v:shape id="文本框 297" o:spid="_x0000_s1026" o:spt="202" type="#_x0000_t202" style="position:absolute;left:0pt;margin-left:-9pt;margin-top:0.45pt;height:48.75pt;width:72pt;z-index:251958272;mso-width-relative:page;mso-height-relative:page;" filled="f" stroked="f" coordsize="21600,21600" o:gfxdata="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Hnf/5HUAAAA&#10;BwEAAA8AAAAAAAAAAQAgAAAAIgAAAGRycy9kb3ducmV2LnhtbFBLAQIUABQAAAAIAIdO4kBUWySW&#10;rwEAAFEDAAAOAAAAAAAAAAEAIAAAACMBAABkcnMvZTJvRG9jLnhtbFBLBQYAAAAABgAGAFkBAABE&#10;BQAAAAA=&#10;">
                <v:fill on="f" focussize="0,0"/>
                <v:stroke on="f"/>
                <v:imagedata o:title=""/>
                <o:lock v:ext="edit" aspectratio="f"/>
                <v:textbox>
                  <w:txbxContent>
                    <w:p>
                      <w:pPr>
                        <w:pStyle w:val="17"/>
                        <w:spacing w:line="200" w:lineRule="exact"/>
                        <w:rPr>
                          <w:rFonts w:ascii="宋体"/>
                          <w:color w:val="FF0000"/>
                          <w:sz w:val="24"/>
                          <w:szCs w:val="24"/>
                        </w:rPr>
                      </w:pPr>
                      <w:r>
                        <w:rPr>
                          <w:rFonts w:hint="eastAsia" w:ascii="楷体_GB2312" w:hAnsi="宋体" w:eastAsia="楷体_GB2312" w:cs="楷体_GB2312"/>
                          <w:b/>
                          <w:bCs/>
                          <w:color w:val="000000"/>
                          <w:sz w:val="18"/>
                          <w:szCs w:val="18"/>
                        </w:rPr>
                        <w:t>调整价款的方法</w:t>
                      </w:r>
                    </w:p>
                    <w:p>
                      <w:pPr>
                        <w:pStyle w:val="36"/>
                        <w:spacing w:line="200" w:lineRule="exact"/>
                        <w:rPr>
                          <w:sz w:val="18"/>
                          <w:szCs w:val="18"/>
                        </w:rPr>
                      </w:pPr>
                    </w:p>
                  </w:txbxContent>
                </v:textbox>
              </v:shape>
            </w:pict>
          </mc:Fallback>
        </mc:AlternateContent>
      </w:r>
      <w:r>
        <w:rPr>
          <w:rFonts w:hint="eastAsia" w:ascii="仿宋" w:hAnsi="仿宋" w:eastAsia="仿宋" w:cs="仿宋"/>
          <w:color w:val="auto"/>
          <w:sz w:val="24"/>
          <w:szCs w:val="24"/>
          <w:highlight w:val="none"/>
        </w:rPr>
        <w:t>发生第</w:t>
      </w:r>
      <w:r>
        <w:rPr>
          <w:rFonts w:ascii="仿宋" w:hAnsi="仿宋" w:eastAsia="仿宋" w:cs="仿宋"/>
          <w:color w:val="auto"/>
          <w:sz w:val="24"/>
          <w:szCs w:val="24"/>
          <w:highlight w:val="none"/>
        </w:rPr>
        <w:t>70.2</w:t>
      </w:r>
      <w:r>
        <w:rPr>
          <w:rFonts w:hint="eastAsia" w:ascii="仿宋" w:hAnsi="仿宋" w:eastAsia="仿宋" w:cs="仿宋"/>
          <w:color w:val="auto"/>
          <w:sz w:val="24"/>
          <w:szCs w:val="24"/>
          <w:highlight w:val="none"/>
        </w:rPr>
        <w:t>款情况的，应按照实际施工的项目特征重新确定相应工程量清单项目的综合单价，计算调整的合同价款。</w:t>
      </w:r>
    </w:p>
    <w:p>
      <w:pPr>
        <w:pStyle w:val="2"/>
        <w:shd w:val="clear" w:color="000000" w:fill="auto"/>
        <w:adjustRightInd w:val="0"/>
        <w:snapToGrid w:val="0"/>
        <w:spacing w:line="360" w:lineRule="auto"/>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
        <w:shd w:val="clear" w:color="000000" w:fill="auto"/>
        <w:adjustRightInd w:val="0"/>
        <w:snapToGrid w:val="0"/>
        <w:spacing w:line="360" w:lineRule="auto"/>
        <w:outlineLvl w:val="2"/>
        <w:rPr>
          <w:rFonts w:ascii="仿宋" w:hAnsi="仿宋" w:eastAsia="仿宋" w:cs="Times New Roman"/>
          <w:color w:val="auto"/>
          <w:sz w:val="24"/>
          <w:szCs w:val="24"/>
          <w:highlight w:val="none"/>
        </w:rPr>
      </w:pPr>
      <w:bookmarkStart w:id="342" w:name="_Toc3735"/>
      <w:bookmarkStart w:id="343" w:name="_Toc469384055"/>
      <w:bookmarkStart w:id="344" w:name="_Toc10624895"/>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71  </w:t>
      </w:r>
      <w:r>
        <w:rPr>
          <w:rFonts w:hint="eastAsia" w:ascii="仿宋" w:hAnsi="仿宋" w:eastAsia="仿宋" w:cs="仿宋"/>
          <w:b/>
          <w:bCs/>
          <w:color w:val="auto"/>
          <w:sz w:val="24"/>
          <w:szCs w:val="24"/>
          <w:highlight w:val="none"/>
        </w:rPr>
        <w:t>分部分项工程量清单缺项漏项事件</w:t>
      </w:r>
      <w:bookmarkEnd w:id="342"/>
      <w:bookmarkEnd w:id="343"/>
      <w:bookmarkEnd w:id="344"/>
    </w:p>
    <w:p>
      <w:pPr>
        <w:pStyle w:val="2"/>
        <w:shd w:val="clear" w:color="000000" w:fill="auto"/>
        <w:adjustRightInd w:val="0"/>
        <w:snapToGrid w:val="0"/>
        <w:spacing w:line="360" w:lineRule="auto"/>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71.1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59296" behindDoc="0" locked="0" layoutInCell="1" allowOverlap="1">
                <wp:simplePos x="0" y="0"/>
                <wp:positionH relativeFrom="column">
                  <wp:posOffset>-133350</wp:posOffset>
                </wp:positionH>
                <wp:positionV relativeFrom="paragraph">
                  <wp:posOffset>6350</wp:posOffset>
                </wp:positionV>
                <wp:extent cx="914400" cy="692150"/>
                <wp:effectExtent l="0" t="0" r="0" b="0"/>
                <wp:wrapNone/>
                <wp:docPr id="294" name="文本框 298"/>
                <wp:cNvGraphicFramePr/>
                <a:graphic xmlns:a="http://schemas.openxmlformats.org/drawingml/2006/main">
                  <a:graphicData uri="http://schemas.microsoft.com/office/word/2010/wordprocessingShape">
                    <wps:wsp>
                      <wps:cNvSpPr txBox="1"/>
                      <wps:spPr>
                        <a:xfrm>
                          <a:off x="0" y="0"/>
                          <a:ext cx="914400" cy="69215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清单缺项漏项的价款调整</w:t>
                            </w:r>
                          </w:p>
                        </w:txbxContent>
                      </wps:txbx>
                      <wps:bodyPr upright="1"/>
                    </wps:wsp>
                  </a:graphicData>
                </a:graphic>
              </wp:anchor>
            </w:drawing>
          </mc:Choice>
          <mc:Fallback>
            <w:pict>
              <v:shape id="文本框 298" o:spid="_x0000_s1026" o:spt="202" type="#_x0000_t202" style="position:absolute;left:0pt;margin-left:-10.5pt;margin-top:0.5pt;height:54.5pt;width:72pt;z-index:251959296;mso-width-relative:page;mso-height-relative:page;" filled="f" stroked="f" coordsize="21600,21600" o:gfxdata="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hZN4w1AAA&#10;AAkBAAAPAAAAAAAAAAEAIAAAACIAAABkcnMvZG93bnJldi54bWxQSwECFAAUAAAACACHTuJAo26z&#10;4LABAABRAwAADgAAAAAAAAABACAAAAAjAQAAZHJzL2Uyb0RvYy54bWxQSwUGAAAAAAYABgBZAQAA&#10;RQ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清单缺项漏项的价款调整</w:t>
                      </w:r>
                    </w:p>
                  </w:txbxContent>
                </v:textbox>
              </v:shape>
            </w:pict>
          </mc:Fallback>
        </mc:AlternateContent>
      </w:r>
      <w:r>
        <w:rPr>
          <w:color w:val="auto"/>
          <w:highlight w:val="none"/>
        </w:rPr>
        <mc:AlternateContent>
          <mc:Choice Requires="wps">
            <w:drawing>
              <wp:anchor distT="0" distB="0" distL="114300" distR="114300" simplePos="0" relativeHeight="251960320" behindDoc="0" locked="0" layoutInCell="1" allowOverlap="1">
                <wp:simplePos x="0" y="0"/>
                <wp:positionH relativeFrom="column">
                  <wp:posOffset>-133350</wp:posOffset>
                </wp:positionH>
                <wp:positionV relativeFrom="paragraph">
                  <wp:posOffset>6350</wp:posOffset>
                </wp:positionV>
                <wp:extent cx="914400" cy="693420"/>
                <wp:effectExtent l="0" t="0" r="0" b="0"/>
                <wp:wrapNone/>
                <wp:docPr id="295" name="文本框 299"/>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pPr>
                              <w:rPr>
                                <w:rFonts w:cs="Times New Roman"/>
                              </w:rPr>
                            </w:pPr>
                          </w:p>
                        </w:txbxContent>
                      </wps:txbx>
                      <wps:bodyPr upright="1"/>
                    </wps:wsp>
                  </a:graphicData>
                </a:graphic>
              </wp:anchor>
            </w:drawing>
          </mc:Choice>
          <mc:Fallback>
            <w:pict>
              <v:shape id="文本框 299" o:spid="_x0000_s1026" o:spt="202" type="#_x0000_t202" style="position:absolute;left:0pt;margin-left:-10.5pt;margin-top:0.5pt;height:54.6pt;width:72pt;z-index:251960320;mso-width-relative:page;mso-height-relative:page;" filled="f" stroked="f" coordsize="21600,21600" o:gfxdata="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QYmpE1AAA&#10;AAkBAAAPAAAAAAAAAAEAIAAAACIAAABkcnMvZG93bnJldi54bWxQSwECFAAUAAAACACHTuJAczXr&#10;GrABAABRAwAADgAAAAAAAAABACAAAAAjAQAAZHJzL2Uyb0RvYy54bWxQSwUGAAAAAAYABgBZAQAA&#10;RQUAAAAA&#10;">
                <v:fill on="f" focussize="0,0"/>
                <v:stroke on="f"/>
                <v:imagedata o:title=""/>
                <o:lock v:ext="edit" aspectratio="f"/>
                <v:textbox>
                  <w:txbxContent>
                    <w:p>
                      <w:pPr>
                        <w:rPr>
                          <w:rFonts w:cs="Times New Roman"/>
                        </w:rPr>
                      </w:pPr>
                    </w:p>
                  </w:txbxContent>
                </v:textbox>
              </v:shape>
            </w:pict>
          </mc:Fallback>
        </mc:AlternateContent>
      </w:r>
      <w:r>
        <w:rPr>
          <w:rFonts w:hint="eastAsia" w:ascii="仿宋" w:hAnsi="仿宋" w:eastAsia="仿宋" w:cs="仿宋"/>
          <w:color w:val="auto"/>
          <w:sz w:val="24"/>
          <w:szCs w:val="24"/>
          <w:highlight w:val="none"/>
        </w:rPr>
        <w:t>合同履行期间，出现工程量清单中分部分项工程缺项漏项事件的，合同双方当事人应调整合同价款。</w:t>
      </w:r>
    </w:p>
    <w:p>
      <w:pPr>
        <w:pStyle w:val="2"/>
        <w:shd w:val="clear" w:color="000000" w:fill="auto"/>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71.2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firstLine="1"/>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961344" behindDoc="0" locked="0" layoutInCell="1" allowOverlap="1">
                <wp:simplePos x="0" y="0"/>
                <wp:positionH relativeFrom="column">
                  <wp:posOffset>-66675</wp:posOffset>
                </wp:positionH>
                <wp:positionV relativeFrom="paragraph">
                  <wp:posOffset>8890</wp:posOffset>
                </wp:positionV>
                <wp:extent cx="914400" cy="692150"/>
                <wp:effectExtent l="0" t="0" r="0" b="0"/>
                <wp:wrapNone/>
                <wp:docPr id="296" name="文本框 300"/>
                <wp:cNvGraphicFramePr/>
                <a:graphic xmlns:a="http://schemas.openxmlformats.org/drawingml/2006/main">
                  <a:graphicData uri="http://schemas.microsoft.com/office/word/2010/wordprocessingShape">
                    <wps:wsp>
                      <wps:cNvSpPr txBox="1"/>
                      <wps:spPr>
                        <a:xfrm>
                          <a:off x="0" y="0"/>
                          <a:ext cx="914400" cy="69215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调整分部分项工程费的方法</w:t>
                            </w:r>
                          </w:p>
                          <w:p>
                            <w:pPr>
                              <w:spacing w:line="240" w:lineRule="exact"/>
                              <w:rPr>
                                <w:rFonts w:cs="Times New Roman"/>
                                <w:sz w:val="18"/>
                                <w:szCs w:val="18"/>
                              </w:rPr>
                            </w:pPr>
                          </w:p>
                        </w:txbxContent>
                      </wps:txbx>
                      <wps:bodyPr upright="1"/>
                    </wps:wsp>
                  </a:graphicData>
                </a:graphic>
              </wp:anchor>
            </w:drawing>
          </mc:Choice>
          <mc:Fallback>
            <w:pict>
              <v:shape id="文本框 300" o:spid="_x0000_s1026" o:spt="202" type="#_x0000_t202" style="position:absolute;left:0pt;margin-left:-5.25pt;margin-top:0.7pt;height:54.5pt;width:72pt;z-index:251961344;mso-width-relative:page;mso-height-relative:page;" filled="f" stroked="f" coordsize="21600,21600" o:gfxdata="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DoijLdQAAAAJ&#10;AQAADwAAAAAAAAABACAAAAAiAAAAZHJzL2Rvd25yZXYueG1sUEsBAhQAFAAAAAgAh07iQKeiE62u&#10;AQAAUQMAAA4AAAAAAAAAAQAgAAAAIwEAAGRycy9lMm9Eb2MueG1sUEsFBgAAAAAGAAYAWQEAAEMF&#10;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调整分部分项工程费的方法</w:t>
                      </w:r>
                    </w:p>
                    <w:p>
                      <w:pPr>
                        <w:spacing w:line="240" w:lineRule="exact"/>
                        <w:rPr>
                          <w:rFonts w:cs="Times New Roman"/>
                          <w:sz w:val="18"/>
                          <w:szCs w:val="18"/>
                        </w:rPr>
                      </w:pPr>
                    </w:p>
                  </w:txbxContent>
                </v:textbox>
              </v:shape>
            </w:pict>
          </mc:Fallback>
        </mc:AlternateContent>
      </w:r>
      <w:r>
        <w:rPr>
          <w:rFonts w:hint="eastAsia" w:ascii="仿宋" w:hAnsi="仿宋" w:eastAsia="仿宋" w:cs="仿宋"/>
          <w:color w:val="auto"/>
          <w:sz w:val="24"/>
          <w:szCs w:val="24"/>
          <w:highlight w:val="none"/>
        </w:rPr>
        <w:t>工程量清单中分部分项工程出现缺项漏项，造成新增工程量清单项目的，应按照第</w:t>
      </w:r>
      <w:r>
        <w:rPr>
          <w:rFonts w:ascii="仿宋" w:hAnsi="仿宋" w:eastAsia="仿宋" w:cs="仿宋"/>
          <w:color w:val="auto"/>
          <w:sz w:val="24"/>
          <w:szCs w:val="24"/>
          <w:highlight w:val="none"/>
        </w:rPr>
        <w:t>72.2</w:t>
      </w:r>
      <w:r>
        <w:rPr>
          <w:rFonts w:hint="eastAsia" w:ascii="仿宋" w:hAnsi="仿宋" w:eastAsia="仿宋" w:cs="仿宋"/>
          <w:color w:val="auto"/>
          <w:sz w:val="24"/>
          <w:szCs w:val="24"/>
          <w:highlight w:val="none"/>
        </w:rPr>
        <w:t>款规定计算调整的分部分项工程费。</w:t>
      </w:r>
    </w:p>
    <w:p>
      <w:pPr>
        <w:pStyle w:val="2"/>
        <w:shd w:val="clear" w:color="000000" w:fill="auto"/>
        <w:tabs>
          <w:tab w:val="left" w:pos="540"/>
        </w:tabs>
        <w:adjustRightInd w:val="0"/>
        <w:snapToGrid w:val="0"/>
        <w:spacing w:before="240" w:beforeLines="100" w:line="360" w:lineRule="auto"/>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71.3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pStyle w:val="2"/>
        <w:shd w:val="clear" w:color="000000" w:fill="auto"/>
        <w:adjustRightInd w:val="0"/>
        <w:snapToGrid w:val="0"/>
        <w:spacing w:line="360" w:lineRule="auto"/>
        <w:ind w:left="1619" w:leftChars="771" w:firstLine="2"/>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62368" behindDoc="0" locked="0" layoutInCell="1" allowOverlap="1">
                <wp:simplePos x="0" y="0"/>
                <wp:positionH relativeFrom="column">
                  <wp:posOffset>-133350</wp:posOffset>
                </wp:positionH>
                <wp:positionV relativeFrom="paragraph">
                  <wp:posOffset>5080</wp:posOffset>
                </wp:positionV>
                <wp:extent cx="914400" cy="692150"/>
                <wp:effectExtent l="0" t="0" r="0" b="0"/>
                <wp:wrapNone/>
                <wp:docPr id="297" name="文本框 301"/>
                <wp:cNvGraphicFramePr/>
                <a:graphic xmlns:a="http://schemas.openxmlformats.org/drawingml/2006/main">
                  <a:graphicData uri="http://schemas.microsoft.com/office/word/2010/wordprocessingShape">
                    <wps:wsp>
                      <wps:cNvSpPr txBox="1"/>
                      <wps:spPr>
                        <a:xfrm>
                          <a:off x="0" y="0"/>
                          <a:ext cx="914400" cy="69215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p>
                            <w:pPr>
                              <w:spacing w:line="240" w:lineRule="exact"/>
                              <w:rPr>
                                <w:rFonts w:cs="Times New Roman"/>
                                <w:sz w:val="18"/>
                                <w:szCs w:val="18"/>
                              </w:rPr>
                            </w:pPr>
                          </w:p>
                        </w:txbxContent>
                      </wps:txbx>
                      <wps:bodyPr upright="1"/>
                    </wps:wsp>
                  </a:graphicData>
                </a:graphic>
              </wp:anchor>
            </w:drawing>
          </mc:Choice>
          <mc:Fallback>
            <w:pict>
              <v:shape id="文本框 301" o:spid="_x0000_s1026" o:spt="202" type="#_x0000_t202" style="position:absolute;left:0pt;margin-left:-10.5pt;margin-top:0.4pt;height:54.5pt;width:72pt;z-index:251962368;mso-width-relative:page;mso-height-relative:page;" filled="f" stroked="f" coordsize="21600,21600" o:gfxdata="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198cOdUA&#10;AAAIAQAADwAAAAAAAAABACAAAAAiAAAAZHJzL2Rvd25yZXYueG1sUEsBAhQAFAAAAAgAh07iQIRb&#10;bQWwAQAAUQMAAA4AAAAAAAAAAQAgAAAAJAEAAGRycy9lMm9Eb2MueG1sUEsFBgAAAAAGAAYAWQEA&#10;AEY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p>
                      <w:pPr>
                        <w:spacing w:line="240" w:lineRule="exact"/>
                        <w:rPr>
                          <w:rFonts w:cs="Times New Roman"/>
                          <w:sz w:val="18"/>
                          <w:szCs w:val="18"/>
                        </w:rPr>
                      </w:pPr>
                    </w:p>
                  </w:txbxContent>
                </v:textbox>
              </v:shape>
            </w:pict>
          </mc:Fallback>
        </mc:AlternateContent>
      </w:r>
      <w:r>
        <w:rPr>
          <w:rFonts w:hint="eastAsia" w:ascii="仿宋" w:hAnsi="仿宋" w:eastAsia="仿宋" w:cs="仿宋"/>
          <w:color w:val="auto"/>
          <w:sz w:val="24"/>
          <w:szCs w:val="24"/>
          <w:highlight w:val="none"/>
        </w:rPr>
        <w:t>工程量清单中分部分项工程出现缺项漏项，引起增加措施项目的，应按照第</w:t>
      </w:r>
      <w:r>
        <w:rPr>
          <w:rFonts w:ascii="仿宋" w:hAnsi="仿宋" w:eastAsia="仿宋" w:cs="仿宋"/>
          <w:color w:val="auto"/>
          <w:sz w:val="24"/>
          <w:szCs w:val="24"/>
          <w:highlight w:val="none"/>
        </w:rPr>
        <w:t>72.3</w:t>
      </w:r>
      <w:r>
        <w:rPr>
          <w:rFonts w:hint="eastAsia" w:ascii="仿宋" w:hAnsi="仿宋" w:eastAsia="仿宋" w:cs="仿宋"/>
          <w:color w:val="auto"/>
          <w:sz w:val="24"/>
          <w:szCs w:val="24"/>
          <w:highlight w:val="none"/>
        </w:rPr>
        <w:t>款规定在提交的实施方案被批准后计算调整的措施项目费。</w:t>
      </w:r>
    </w:p>
    <w:p>
      <w:pPr>
        <w:pStyle w:val="2"/>
        <w:shd w:val="clear" w:color="000000" w:fill="auto"/>
        <w:adjustRightInd w:val="0"/>
        <w:snapToGrid w:val="0"/>
        <w:spacing w:line="380" w:lineRule="exact"/>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
        <w:shd w:val="clear" w:color="000000" w:fill="auto"/>
        <w:tabs>
          <w:tab w:val="left" w:pos="540"/>
        </w:tabs>
        <w:adjustRightInd w:val="0"/>
        <w:snapToGrid w:val="0"/>
        <w:spacing w:before="240" w:beforeLines="100" w:line="360" w:lineRule="auto"/>
        <w:outlineLvl w:val="2"/>
        <w:rPr>
          <w:rFonts w:ascii="仿宋" w:hAnsi="仿宋" w:eastAsia="仿宋" w:cs="Times New Roman"/>
          <w:b/>
          <w:bCs/>
          <w:color w:val="auto"/>
          <w:sz w:val="24"/>
          <w:szCs w:val="24"/>
          <w:highlight w:val="none"/>
        </w:rPr>
      </w:pPr>
      <w:bookmarkStart w:id="345" w:name="_Toc469384056"/>
      <w:bookmarkStart w:id="346" w:name="_Toc30621"/>
      <w:bookmarkStart w:id="347" w:name="_Toc10624896"/>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72  </w:t>
      </w:r>
      <w:r>
        <w:rPr>
          <w:rFonts w:hint="eastAsia" w:ascii="仿宋" w:hAnsi="仿宋" w:eastAsia="仿宋" w:cs="仿宋"/>
          <w:b/>
          <w:bCs/>
          <w:color w:val="auto"/>
          <w:sz w:val="24"/>
          <w:szCs w:val="24"/>
          <w:highlight w:val="none"/>
        </w:rPr>
        <w:t>工程变更事件</w:t>
      </w:r>
      <w:bookmarkEnd w:id="345"/>
      <w:bookmarkEnd w:id="346"/>
      <w:bookmarkEnd w:id="347"/>
    </w:p>
    <w:p>
      <w:pPr>
        <w:pStyle w:val="2"/>
        <w:shd w:val="clear" w:color="000000" w:fill="auto"/>
        <w:adjustRightInd w:val="0"/>
        <w:snapToGrid w:val="0"/>
        <w:spacing w:line="360" w:lineRule="auto"/>
        <w:rPr>
          <w:rFonts w:ascii="仿宋" w:hAnsi="仿宋" w:eastAsia="仿宋" w:cs="仿宋"/>
          <w:b/>
          <w:bCs/>
          <w:color w:val="auto"/>
          <w:sz w:val="24"/>
          <w:szCs w:val="24"/>
          <w:highlight w:val="none"/>
        </w:rPr>
      </w:pPr>
      <w:r>
        <w:rPr>
          <w:color w:val="auto"/>
          <w:highlight w:val="none"/>
        </w:rPr>
        <mc:AlternateContent>
          <mc:Choice Requires="wps">
            <w:drawing>
              <wp:anchor distT="0" distB="0" distL="114300" distR="114300" simplePos="0" relativeHeight="251963392" behindDoc="0" locked="0" layoutInCell="1" allowOverlap="1">
                <wp:simplePos x="0" y="0"/>
                <wp:positionH relativeFrom="column">
                  <wp:posOffset>-114300</wp:posOffset>
                </wp:positionH>
                <wp:positionV relativeFrom="paragraph">
                  <wp:posOffset>185420</wp:posOffset>
                </wp:positionV>
                <wp:extent cx="1028700" cy="396240"/>
                <wp:effectExtent l="0" t="0" r="0" b="0"/>
                <wp:wrapNone/>
                <wp:docPr id="298" name="文本框 302"/>
                <wp:cNvGraphicFramePr/>
                <a:graphic xmlns:a="http://schemas.openxmlformats.org/drawingml/2006/main">
                  <a:graphicData uri="http://schemas.microsoft.com/office/word/2010/wordprocessingShape">
                    <wps:wsp>
                      <wps:cNvSpPr txBox="1"/>
                      <wps:spPr>
                        <a:xfrm>
                          <a:off x="0" y="0"/>
                          <a:ext cx="1028700" cy="39624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工程变更的价</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txbxContent>
                      </wps:txbx>
                      <wps:bodyPr upright="1"/>
                    </wps:wsp>
                  </a:graphicData>
                </a:graphic>
              </wp:anchor>
            </w:drawing>
          </mc:Choice>
          <mc:Fallback>
            <w:pict>
              <v:shape id="文本框 302" o:spid="_x0000_s1026" o:spt="202" type="#_x0000_t202" style="position:absolute;left:0pt;margin-left:-9pt;margin-top:14.6pt;height:31.2pt;width:81pt;z-index:251963392;mso-width-relative:page;mso-height-relative:page;" filled="f" stroked="f" coordsize="21600,21600" o:gfxdata="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crj9K&#10;1wAAAAkBAAAPAAAAAAAAAAEAIAAAACIAAABkcnMvZG93bnJldi54bWxQSwECFAAUAAAACACHTuJA&#10;nmfWBrABAABSAwAADgAAAAAAAAABACAAAAAmAQAAZHJzL2Uyb0RvYy54bWxQSwUGAAAAAAYABgBZ&#10;AQAASA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工程变更的价</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txbxContent>
                </v:textbox>
              </v:shape>
            </w:pict>
          </mc:Fallback>
        </mc:AlternateContent>
      </w:r>
      <w:r>
        <w:rPr>
          <w:rFonts w:ascii="仿宋" w:hAnsi="仿宋" w:eastAsia="仿宋" w:cs="仿宋"/>
          <w:b/>
          <w:bCs/>
          <w:color w:val="auto"/>
          <w:sz w:val="24"/>
          <w:szCs w:val="24"/>
          <w:highlight w:val="none"/>
        </w:rPr>
        <w:t xml:space="preserve">72.1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合同履行期间，出现第</w:t>
      </w:r>
      <w:r>
        <w:rPr>
          <w:rFonts w:ascii="仿宋" w:hAnsi="仿宋" w:eastAsia="仿宋" w:cs="仿宋"/>
          <w:color w:val="auto"/>
          <w:sz w:val="24"/>
          <w:szCs w:val="24"/>
          <w:highlight w:val="none"/>
        </w:rPr>
        <w:t>56</w:t>
      </w:r>
      <w:r>
        <w:rPr>
          <w:rFonts w:hint="eastAsia" w:ascii="仿宋" w:hAnsi="仿宋" w:eastAsia="仿宋" w:cs="仿宋"/>
          <w:color w:val="auto"/>
          <w:sz w:val="24"/>
          <w:szCs w:val="24"/>
          <w:highlight w:val="none"/>
        </w:rPr>
        <w:t>条工程变更事件的，合同双方当事人应调整合同价款。</w:t>
      </w:r>
    </w:p>
    <w:p>
      <w:pPr>
        <w:pStyle w:val="2"/>
        <w:shd w:val="clear" w:color="000000" w:fill="auto"/>
        <w:adjustRightInd w:val="0"/>
        <w:snapToGrid w:val="0"/>
        <w:spacing w:line="360" w:lineRule="auto"/>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72.2   </w:t>
      </w:r>
      <w:r>
        <w:rPr>
          <w:rFonts w:ascii="仿宋" w:hAnsi="仿宋" w:eastAsia="仿宋" w:cs="仿宋"/>
          <w:b/>
          <w:bCs/>
          <w:color w:val="auto"/>
          <w:sz w:val="24"/>
          <w:szCs w:val="24"/>
          <w:highlight w:val="none"/>
          <w:u w:val="dotted"/>
        </w:rPr>
        <w:t xml:space="preserve">                                                                               </w:t>
      </w:r>
      <w:r>
        <w:rPr>
          <w:rFonts w:ascii="仿宋" w:hAnsi="仿宋" w:eastAsia="仿宋" w:cs="仿宋"/>
          <w:b/>
          <w:bCs/>
          <w:color w:val="auto"/>
          <w:sz w:val="24"/>
          <w:szCs w:val="24"/>
          <w:highlight w:val="none"/>
        </w:rPr>
        <w:t xml:space="preserve">    </w:t>
      </w:r>
    </w:p>
    <w:p>
      <w:pPr>
        <w:pStyle w:val="2"/>
        <w:shd w:val="clear" w:color="000000" w:fill="auto"/>
        <w:adjustRightInd w:val="0"/>
        <w:snapToGrid w:val="0"/>
        <w:spacing w:line="360" w:lineRule="auto"/>
        <w:ind w:left="1620"/>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64416" behindDoc="0" locked="0" layoutInCell="1" allowOverlap="1">
                <wp:simplePos x="0" y="0"/>
                <wp:positionH relativeFrom="column">
                  <wp:posOffset>-114300</wp:posOffset>
                </wp:positionH>
                <wp:positionV relativeFrom="paragraph">
                  <wp:posOffset>6350</wp:posOffset>
                </wp:positionV>
                <wp:extent cx="914400" cy="593090"/>
                <wp:effectExtent l="0" t="0" r="0" b="0"/>
                <wp:wrapNone/>
                <wp:docPr id="299" name="文本框 303"/>
                <wp:cNvGraphicFramePr/>
                <a:graphic xmlns:a="http://schemas.openxmlformats.org/drawingml/2006/main">
                  <a:graphicData uri="http://schemas.microsoft.com/office/word/2010/wordprocessingShape">
                    <wps:wsp>
                      <wps:cNvSpPr txBox="1"/>
                      <wps:spPr>
                        <a:xfrm>
                          <a:off x="0" y="0"/>
                          <a:ext cx="914400" cy="59309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调整分部分项工程费的方法</w:t>
                            </w:r>
                          </w:p>
                        </w:txbxContent>
                      </wps:txbx>
                      <wps:bodyPr upright="1"/>
                    </wps:wsp>
                  </a:graphicData>
                </a:graphic>
              </wp:anchor>
            </w:drawing>
          </mc:Choice>
          <mc:Fallback>
            <w:pict>
              <v:shape id="文本框 303" o:spid="_x0000_s1026" o:spt="202" type="#_x0000_t202" style="position:absolute;left:0pt;margin-left:-9pt;margin-top:0.5pt;height:46.7pt;width:72pt;z-index:251964416;mso-width-relative:page;mso-height-relative:page;" filled="f" stroked="f" coordsize="21600,21600" o:gfxdata="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fGOP/NUA&#10;AAAIAQAADwAAAAAAAAABACAAAAAiAAAAZHJzL2Rvd25yZXYueG1sUEsBAhQAFAAAAAgAh07iQAKl&#10;eoywAQAAUQMAAA4AAAAAAAAAAQAgAAAAJAEAAGRycy9lMm9Eb2MueG1sUEsFBgAAAAAGAAYAWQEA&#10;AEY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调整分部分项工程费的方法</w:t>
                      </w:r>
                    </w:p>
                  </w:txbxContent>
                </v:textbox>
              </v:shape>
            </w:pict>
          </mc:Fallback>
        </mc:AlternateContent>
      </w:r>
      <w:r>
        <w:rPr>
          <w:rFonts w:hint="eastAsia" w:ascii="仿宋" w:hAnsi="仿宋" w:eastAsia="仿宋" w:cs="仿宋"/>
          <w:color w:val="auto"/>
          <w:sz w:val="24"/>
          <w:szCs w:val="24"/>
          <w:highlight w:val="none"/>
        </w:rPr>
        <w:t>工程变更引起分部分项工程项目发生变化，属于第</w:t>
      </w:r>
      <w:r>
        <w:rPr>
          <w:rFonts w:ascii="仿宋" w:hAnsi="仿宋" w:eastAsia="仿宋" w:cs="仿宋"/>
          <w:color w:val="auto"/>
          <w:sz w:val="24"/>
          <w:szCs w:val="24"/>
          <w:highlight w:val="none"/>
        </w:rPr>
        <w:t>73.2</w:t>
      </w:r>
      <w:r>
        <w:rPr>
          <w:rFonts w:hint="eastAsia" w:ascii="仿宋" w:hAnsi="仿宋" w:eastAsia="仿宋" w:cs="仿宋"/>
          <w:color w:val="auto"/>
          <w:sz w:val="24"/>
          <w:szCs w:val="24"/>
          <w:highlight w:val="none"/>
        </w:rPr>
        <w:t>款规定情况的，按照其规定调整；否则按照下列规定调整分部分项工程费：</w:t>
      </w:r>
    </w:p>
    <w:p>
      <w:pPr>
        <w:pStyle w:val="2"/>
        <w:shd w:val="clear" w:color="000000" w:fill="auto"/>
        <w:tabs>
          <w:tab w:val="left" w:pos="1380"/>
          <w:tab w:val="left" w:pos="2160"/>
        </w:tabs>
        <w:adjustRightInd w:val="0"/>
        <w:snapToGrid w:val="0"/>
        <w:spacing w:line="360" w:lineRule="auto"/>
        <w:ind w:left="1380" w:leftChars="657" w:firstLine="240" w:firstLineChars="100"/>
        <w:rPr>
          <w:rFonts w:ascii="仿宋" w:hAnsi="仿宋" w:eastAsia="仿宋" w:cs="仿宋"/>
          <w:color w:val="auto"/>
          <w:sz w:val="24"/>
          <w:szCs w:val="24"/>
          <w:highlight w:val="none"/>
        </w:rPr>
      </w:pP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合同中有适用于变更工程项目的，按照该项目的单价或合价调整</w:t>
      </w:r>
      <w:r>
        <w:rPr>
          <w:rFonts w:ascii="仿宋" w:hAnsi="仿宋" w:eastAsia="仿宋" w:cs="仿宋"/>
          <w:color w:val="auto"/>
          <w:sz w:val="24"/>
          <w:szCs w:val="24"/>
          <w:highlight w:val="none"/>
        </w:rPr>
        <w:t>;</w:t>
      </w:r>
    </w:p>
    <w:p>
      <w:pPr>
        <w:pStyle w:val="2"/>
        <w:shd w:val="clear" w:color="000000" w:fill="auto"/>
        <w:tabs>
          <w:tab w:val="left" w:pos="1620"/>
          <w:tab w:val="left" w:pos="2160"/>
        </w:tabs>
        <w:adjustRightInd w:val="0"/>
        <w:snapToGrid w:val="0"/>
        <w:spacing w:line="360" w:lineRule="auto"/>
        <w:ind w:left="1619" w:leftChars="771"/>
        <w:rPr>
          <w:rFonts w:ascii="仿宋" w:hAnsi="仿宋" w:eastAsia="仿宋" w:cs="仿宋"/>
          <w:color w:val="auto"/>
          <w:sz w:val="24"/>
          <w:szCs w:val="24"/>
          <w:highlight w:val="none"/>
        </w:rPr>
      </w:pP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合同中没有适用、只有类似于变更工程项目的，可在合理范围内参照类似项目的单价或合价调整</w:t>
      </w:r>
      <w:r>
        <w:rPr>
          <w:rFonts w:ascii="仿宋" w:hAnsi="仿宋" w:eastAsia="仿宋" w:cs="仿宋"/>
          <w:color w:val="auto"/>
          <w:sz w:val="24"/>
          <w:szCs w:val="24"/>
          <w:highlight w:val="none"/>
        </w:rPr>
        <w:t>;</w:t>
      </w:r>
    </w:p>
    <w:p>
      <w:pPr>
        <w:pStyle w:val="2"/>
        <w:shd w:val="clear" w:color="000000" w:fill="auto"/>
        <w:tabs>
          <w:tab w:val="left" w:pos="1380"/>
          <w:tab w:val="left" w:pos="2160"/>
        </w:tabs>
        <w:adjustRightInd w:val="0"/>
        <w:snapToGrid w:val="0"/>
        <w:spacing w:line="360" w:lineRule="auto"/>
        <w:ind w:left="1619"/>
        <w:rPr>
          <w:rFonts w:ascii="仿宋" w:hAnsi="仿宋" w:eastAsia="仿宋" w:cs="仿宋"/>
          <w:color w:val="auto"/>
          <w:sz w:val="24"/>
          <w:szCs w:val="24"/>
          <w:highlight w:val="none"/>
        </w:rPr>
      </w:pP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合同中没有适用也没有类似于变更工程项目的，根据变更工程资料、计量规则和计价办法、施工相应时期工程造价管理机构发布的价格信息和承包人报价浮动率提出变更工程项目的单价或合价，经合同双方当事人确认后调整</w:t>
      </w:r>
      <w:r>
        <w:rPr>
          <w:rFonts w:ascii="仿宋" w:hAnsi="仿宋" w:eastAsia="仿宋" w:cs="仿宋"/>
          <w:color w:val="auto"/>
          <w:sz w:val="24"/>
          <w:szCs w:val="24"/>
          <w:highlight w:val="none"/>
        </w:rPr>
        <w:t>;</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其中，招标工程：承包人报价浮动率</w:t>
      </w:r>
      <w:r>
        <w:rPr>
          <w:rFonts w:ascii="仿宋" w:hAnsi="仿宋" w:eastAsia="仿宋" w:cs="仿宋"/>
          <w:color w:val="auto"/>
          <w:sz w:val="24"/>
          <w:szCs w:val="24"/>
          <w:highlight w:val="none"/>
        </w:rPr>
        <w:t>L=</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中标价格</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招标控制价）×</w:t>
      </w:r>
      <w:r>
        <w:rPr>
          <w:rFonts w:ascii="仿宋" w:hAnsi="仿宋" w:eastAsia="仿宋" w:cs="仿宋"/>
          <w:color w:val="auto"/>
          <w:sz w:val="24"/>
          <w:szCs w:val="24"/>
          <w:highlight w:val="none"/>
        </w:rPr>
        <w:t>100%</w:t>
      </w:r>
      <w:r>
        <w:rPr>
          <w:rFonts w:hint="eastAsia" w:ascii="仿宋" w:hAnsi="仿宋" w:eastAsia="仿宋" w:cs="仿宋"/>
          <w:color w:val="auto"/>
          <w:sz w:val="24"/>
          <w:szCs w:val="24"/>
          <w:highlight w:val="none"/>
        </w:rPr>
        <w:t>；</w:t>
      </w:r>
    </w:p>
    <w:p>
      <w:pPr>
        <w:pStyle w:val="2"/>
        <w:shd w:val="clear" w:color="000000" w:fill="auto"/>
        <w:adjustRightInd w:val="0"/>
        <w:snapToGrid w:val="0"/>
        <w:spacing w:line="360" w:lineRule="auto"/>
        <w:ind w:firstLine="2160" w:firstLineChars="90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非招标工程：承包人报价浮动率</w:t>
      </w:r>
      <w:r>
        <w:rPr>
          <w:rFonts w:ascii="仿宋" w:hAnsi="仿宋" w:eastAsia="仿宋" w:cs="仿宋"/>
          <w:color w:val="auto"/>
          <w:sz w:val="24"/>
          <w:szCs w:val="24"/>
          <w:highlight w:val="none"/>
        </w:rPr>
        <w:t>L=</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报价值</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施工图预算）×</w:t>
      </w:r>
      <w:r>
        <w:rPr>
          <w:rFonts w:ascii="仿宋" w:hAnsi="仿宋" w:eastAsia="仿宋" w:cs="仿宋"/>
          <w:color w:val="auto"/>
          <w:sz w:val="24"/>
          <w:szCs w:val="24"/>
          <w:highlight w:val="none"/>
        </w:rPr>
        <w:t>100%</w:t>
      </w:r>
      <w:r>
        <w:rPr>
          <w:rFonts w:hint="eastAsia" w:ascii="仿宋" w:hAnsi="仿宋" w:eastAsia="仿宋" w:cs="仿宋"/>
          <w:color w:val="auto"/>
          <w:sz w:val="24"/>
          <w:szCs w:val="24"/>
          <w:highlight w:val="none"/>
        </w:rPr>
        <w:t>。</w:t>
      </w:r>
    </w:p>
    <w:p>
      <w:pPr>
        <w:pStyle w:val="2"/>
        <w:shd w:val="clear" w:color="000000" w:fill="auto"/>
        <w:adjustRightInd w:val="0"/>
        <w:snapToGrid w:val="0"/>
        <w:spacing w:line="360" w:lineRule="auto"/>
        <w:ind w:left="1619" w:leftChars="771" w:firstLine="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式中：中标价格、招标控制价或报价值、施工图预算，均不含绿色施工安全防护费。</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(4) </w:t>
      </w:r>
      <w:r>
        <w:rPr>
          <w:rFonts w:hint="eastAsia" w:ascii="仿宋" w:hAnsi="仿宋" w:eastAsia="仿宋" w:cs="仿宋"/>
          <w:color w:val="auto"/>
          <w:sz w:val="24"/>
          <w:szCs w:val="24"/>
          <w:highlight w:val="none"/>
        </w:rPr>
        <w:t>合同中没有适用也没有类似于变更工程项目，且施工相应时期工程造价管理机构发布的价格信息缺项的，根据变更工程资料、计量规则、计价办法和通过市场调查等的有合法依据的市场价格提出变更工程项目的单价或合价，经合同双方当事人确认后调整。</w:t>
      </w:r>
    </w:p>
    <w:p>
      <w:pPr>
        <w:pStyle w:val="2"/>
        <w:shd w:val="clear" w:color="000000" w:fill="auto"/>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72.3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65440" behindDoc="0" locked="0" layoutInCell="1" allowOverlap="1">
                <wp:simplePos x="0" y="0"/>
                <wp:positionH relativeFrom="column">
                  <wp:posOffset>-114300</wp:posOffset>
                </wp:positionH>
                <wp:positionV relativeFrom="paragraph">
                  <wp:posOffset>45720</wp:posOffset>
                </wp:positionV>
                <wp:extent cx="914400" cy="396240"/>
                <wp:effectExtent l="0" t="0" r="0" b="0"/>
                <wp:wrapNone/>
                <wp:docPr id="300" name="文本框 30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txbxContent>
                      </wps:txbx>
                      <wps:bodyPr upright="1"/>
                    </wps:wsp>
                  </a:graphicData>
                </a:graphic>
              </wp:anchor>
            </w:drawing>
          </mc:Choice>
          <mc:Fallback>
            <w:pict>
              <v:shape id="文本框 304" o:spid="_x0000_s1026" o:spt="202" type="#_x0000_t202" style="position:absolute;left:0pt;margin-left:-9pt;margin-top:3.6pt;height:31.2pt;width:72pt;z-index:251965440;mso-width-relative:page;mso-height-relative:page;" filled="f" stroked="f" coordsize="21600,21600" o:gfxdata="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lPS031QAA&#10;AAgBAAAPAAAAAAAAAAEAIAAAACIAAABkcnMvZG93bnJldi54bWxQSwECFAAUAAAACACHTuJAjjvX&#10;ma8BAABRAwAADgAAAAAAAAABACAAAAAkAQAAZHJzL2Uyb0RvYy54bWxQSwUGAAAAAAYABgBZAQAA&#10;RQ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txbxContent>
                </v:textbox>
              </v:shape>
            </w:pict>
          </mc:Fallback>
        </mc:AlternateContent>
      </w:r>
      <w:r>
        <w:rPr>
          <w:rFonts w:hint="eastAsia" w:ascii="仿宋" w:hAnsi="仿宋" w:eastAsia="仿宋" w:cs="仿宋"/>
          <w:color w:val="auto"/>
          <w:sz w:val="24"/>
          <w:szCs w:val="24"/>
          <w:highlight w:val="none"/>
        </w:rPr>
        <w:t>工程变更引起措施项目发生变化的，合同双方当事人不利一方当事人有权提出调整措施项目费。提出调整措施项目费的，应事先将拟实施的方案提交另一方当事人确认，并详细说明与原方案措施项目相比的变化情况。拟实施的方案，经合同双方当事人确认后执行。该情况下，应按照下列规定调整措施项目费：</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(1) </w:t>
      </w:r>
      <w:r>
        <w:rPr>
          <w:rFonts w:hint="eastAsia" w:ascii="仿宋" w:hAnsi="仿宋" w:eastAsia="仿宋" w:cs="仿宋"/>
          <w:color w:val="auto"/>
          <w:sz w:val="24"/>
          <w:szCs w:val="24"/>
          <w:highlight w:val="none"/>
        </w:rPr>
        <w:t>绿色施工安全防护费，按照实际发生变化的措施项目调整，不得浮动。</w:t>
      </w:r>
    </w:p>
    <w:p>
      <w:pPr>
        <w:pStyle w:val="2"/>
        <w:shd w:val="clear" w:color="000000" w:fill="auto"/>
        <w:adjustRightInd w:val="0"/>
        <w:snapToGrid w:val="0"/>
        <w:spacing w:line="360" w:lineRule="auto"/>
        <w:ind w:left="1630" w:leftChars="776"/>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凡可计算工程量的措施项目费，按照实际发生变化的措施项目的工程量乘以第</w:t>
      </w:r>
      <w:r>
        <w:rPr>
          <w:rFonts w:ascii="仿宋" w:hAnsi="仿宋" w:eastAsia="仿宋" w:cs="仿宋"/>
          <w:color w:val="auto"/>
          <w:sz w:val="24"/>
          <w:szCs w:val="24"/>
          <w:highlight w:val="none"/>
        </w:rPr>
        <w:t>72.2</w:t>
      </w:r>
      <w:r>
        <w:rPr>
          <w:rFonts w:hint="eastAsia" w:ascii="仿宋" w:hAnsi="仿宋" w:eastAsia="仿宋" w:cs="仿宋"/>
          <w:color w:val="auto"/>
          <w:sz w:val="24"/>
          <w:szCs w:val="24"/>
          <w:highlight w:val="none"/>
        </w:rPr>
        <w:t>款规定的单价或合价调整。</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凡按系数计算的措施项目费，除本款第</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点情形外，按照实际发生变化的措施项目调整，但应考虑承包人报价浮动因素，即调整金额按照实际调整金额乘以第</w:t>
      </w:r>
      <w:r>
        <w:rPr>
          <w:rFonts w:ascii="仿宋" w:hAnsi="仿宋" w:eastAsia="仿宋" w:cs="仿宋"/>
          <w:color w:val="auto"/>
          <w:sz w:val="24"/>
          <w:szCs w:val="24"/>
          <w:highlight w:val="none"/>
        </w:rPr>
        <w:t>72.2</w:t>
      </w:r>
      <w:r>
        <w:rPr>
          <w:rFonts w:hint="eastAsia" w:ascii="仿宋" w:hAnsi="仿宋" w:eastAsia="仿宋" w:cs="仿宋"/>
          <w:color w:val="auto"/>
          <w:sz w:val="24"/>
          <w:szCs w:val="24"/>
          <w:highlight w:val="none"/>
        </w:rPr>
        <w:t>款规定的承包人报价浮动率计算。</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如果不利一方当事人未按本款规定事先将拟实施的方案提交给另一方当事人，则认为工程变更不引起措施项目费的调整或不利一方当事人放弃调整措施项目费的权利。</w:t>
      </w:r>
    </w:p>
    <w:p>
      <w:pPr>
        <w:pStyle w:val="2"/>
        <w:shd w:val="clear" w:color="000000" w:fill="auto"/>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72.4  </w:t>
      </w:r>
      <w:r>
        <w:rPr>
          <w:rFonts w:ascii="仿宋" w:hAnsi="仿宋" w:eastAsia="仿宋" w:cs="仿宋"/>
          <w:b/>
          <w:bCs/>
          <w:color w:val="auto"/>
          <w:sz w:val="24"/>
          <w:szCs w:val="24"/>
          <w:highlight w:val="none"/>
          <w:u w:val="dotted"/>
        </w:rPr>
        <w:t xml:space="preserve">                                                                                                       </w:t>
      </w:r>
    </w:p>
    <w:p>
      <w:pPr>
        <w:shd w:val="clear" w:color="000000" w:fill="auto"/>
        <w:spacing w:line="360" w:lineRule="auto"/>
        <w:ind w:left="1676" w:leftChars="798"/>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66464" behindDoc="0" locked="0" layoutInCell="1" allowOverlap="1">
                <wp:simplePos x="0" y="0"/>
                <wp:positionH relativeFrom="column">
                  <wp:posOffset>-114300</wp:posOffset>
                </wp:positionH>
                <wp:positionV relativeFrom="paragraph">
                  <wp:posOffset>13335</wp:posOffset>
                </wp:positionV>
                <wp:extent cx="1028700" cy="766445"/>
                <wp:effectExtent l="0" t="0" r="0" b="0"/>
                <wp:wrapNone/>
                <wp:docPr id="301" name="文本框 305"/>
                <wp:cNvGraphicFramePr/>
                <a:graphic xmlns:a="http://schemas.openxmlformats.org/drawingml/2006/main">
                  <a:graphicData uri="http://schemas.microsoft.com/office/word/2010/wordprocessingShape">
                    <wps:wsp>
                      <wps:cNvSpPr txBox="1"/>
                      <wps:spPr>
                        <a:xfrm>
                          <a:off x="0" y="0"/>
                          <a:ext cx="1028700" cy="76644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调整承包人报</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价偏差的方法</w:t>
                            </w:r>
                          </w:p>
                        </w:txbxContent>
                      </wps:txbx>
                      <wps:bodyPr upright="1"/>
                    </wps:wsp>
                  </a:graphicData>
                </a:graphic>
              </wp:anchor>
            </w:drawing>
          </mc:Choice>
          <mc:Fallback>
            <w:pict>
              <v:shape id="文本框 305" o:spid="_x0000_s1026" o:spt="202" type="#_x0000_t202" style="position:absolute;left:0pt;margin-left:-9pt;margin-top:1.05pt;height:60.35pt;width:81pt;z-index:251966464;mso-width-relative:page;mso-height-relative:page;" filled="f" stroked="f" coordsize="21600,21600" o:gfxdata="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gDLkB&#10;1gAAAAkBAAAPAAAAAAAAAAEAIAAAACIAAABkcnMvZG93bnJldi54bWxQSwECFAAUAAAACACHTuJA&#10;q9aeaLEBAABSAwAADgAAAAAAAAABACAAAAAlAQAAZHJzL2Uyb0RvYy54bWxQSwUGAAAAAAYABgBZ&#10;AQAASA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调整承包人报</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价偏差的方法</w:t>
                      </w:r>
                    </w:p>
                  </w:txbxContent>
                </v:textbox>
              </v:shape>
            </w:pict>
          </mc:Fallback>
        </mc:AlternateContent>
      </w:r>
      <w:r>
        <w:rPr>
          <w:rFonts w:hint="eastAsia" w:ascii="仿宋" w:hAnsi="仿宋" w:eastAsia="仿宋" w:cs="仿宋"/>
          <w:color w:val="auto"/>
          <w:sz w:val="24"/>
          <w:szCs w:val="24"/>
          <w:highlight w:val="none"/>
        </w:rPr>
        <w:t>工程量发生变化的分部分项工程项目，如承包人投标价分部分项清单项目填报的综合单价与发包人招标控制价或预算价相应清单项目的综合单价偏差超过一定幅度时，合同双方当事人应调整合同价款。调整工程价款时，合同双方当事人不利一方应事先向另一方提出，经合同双方当事人确认后执行。除专用条款另有约定外，应按照下列规定调整分部分项工程费：</w:t>
      </w:r>
    </w:p>
    <w:p>
      <w:pPr>
        <w:pStyle w:val="2"/>
        <w:shd w:val="clear" w:color="000000" w:fill="auto"/>
        <w:adjustRightInd w:val="0"/>
        <w:snapToGrid w:val="0"/>
        <w:spacing w:line="360" w:lineRule="auto"/>
        <w:ind w:left="1619" w:leftChars="771"/>
        <w:rPr>
          <w:rFonts w:ascii="仿宋" w:hAnsi="仿宋" w:eastAsia="仿宋" w:cs="仿宋"/>
          <w:color w:val="auto"/>
          <w:sz w:val="24"/>
          <w:szCs w:val="24"/>
          <w:highlight w:val="none"/>
        </w:rPr>
      </w:pP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当</w:t>
      </w:r>
      <w:r>
        <w:rPr>
          <w:rFonts w:ascii="仿宋" w:hAnsi="仿宋" w:eastAsia="仿宋" w:cs="仿宋"/>
          <w:color w:val="auto"/>
          <w:sz w:val="24"/>
          <w:szCs w:val="24"/>
          <w:highlight w:val="none"/>
        </w:rPr>
        <w:t>P</w:t>
      </w:r>
      <w:r>
        <w:rPr>
          <w:rFonts w:ascii="仿宋" w:hAnsi="仿宋" w:eastAsia="仿宋" w:cs="仿宋"/>
          <w:color w:val="auto"/>
          <w:sz w:val="24"/>
          <w:szCs w:val="24"/>
          <w:highlight w:val="none"/>
          <w:vertAlign w:val="subscript"/>
        </w:rPr>
        <w:t xml:space="preserve">0 </w:t>
      </w:r>
      <w:r>
        <w:rPr>
          <w:rFonts w:ascii="仿宋" w:hAnsi="仿宋" w:eastAsia="仿宋" w:cs="仿宋"/>
          <w:color w:val="auto"/>
          <w:sz w:val="24"/>
          <w:szCs w:val="24"/>
          <w:highlight w:val="none"/>
        </w:rPr>
        <w:t>&lt;P</w:t>
      </w:r>
      <w:r>
        <w:rPr>
          <w:rFonts w:ascii="仿宋" w:hAnsi="仿宋" w:eastAsia="仿宋" w:cs="仿宋"/>
          <w:color w:val="auto"/>
          <w:sz w:val="24"/>
          <w:szCs w:val="24"/>
          <w:highlight w:val="none"/>
          <w:vertAlign w:val="subscript"/>
        </w:rPr>
        <w:t>1</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(1-L)</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(1-15%)</w:t>
      </w:r>
      <w:r>
        <w:rPr>
          <w:rFonts w:hint="eastAsia" w:ascii="仿宋" w:hAnsi="仿宋" w:eastAsia="仿宋" w:cs="仿宋"/>
          <w:color w:val="auto"/>
          <w:sz w:val="24"/>
          <w:szCs w:val="24"/>
          <w:highlight w:val="none"/>
        </w:rPr>
        <w:t>时，该类项目的综合单价按照</w:t>
      </w:r>
      <w:r>
        <w:rPr>
          <w:rFonts w:ascii="仿宋" w:hAnsi="仿宋" w:eastAsia="仿宋" w:cs="仿宋"/>
          <w:color w:val="auto"/>
          <w:sz w:val="24"/>
          <w:szCs w:val="24"/>
          <w:highlight w:val="none"/>
        </w:rPr>
        <w:t>P</w:t>
      </w:r>
      <w:r>
        <w:rPr>
          <w:rFonts w:ascii="仿宋" w:hAnsi="仿宋" w:eastAsia="仿宋" w:cs="仿宋"/>
          <w:color w:val="auto"/>
          <w:sz w:val="24"/>
          <w:szCs w:val="24"/>
          <w:highlight w:val="none"/>
          <w:vertAlign w:val="subscript"/>
        </w:rPr>
        <w:t>1</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(1-L)</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(1-15%)</w:t>
      </w:r>
      <w:r>
        <w:rPr>
          <w:rFonts w:hint="eastAsia" w:ascii="仿宋" w:hAnsi="仿宋" w:eastAsia="仿宋" w:cs="仿宋"/>
          <w:color w:val="auto"/>
          <w:sz w:val="24"/>
          <w:szCs w:val="24"/>
          <w:highlight w:val="none"/>
        </w:rPr>
        <w:t>调整。</w:t>
      </w:r>
      <w:r>
        <w:rPr>
          <w:rFonts w:ascii="仿宋" w:hAnsi="仿宋" w:eastAsia="仿宋" w:cs="仿宋"/>
          <w:color w:val="auto"/>
          <w:sz w:val="24"/>
          <w:szCs w:val="24"/>
          <w:highlight w:val="none"/>
        </w:rPr>
        <w:t xml:space="preserve"> </w:t>
      </w:r>
    </w:p>
    <w:p>
      <w:pPr>
        <w:pStyle w:val="2"/>
        <w:shd w:val="clear" w:color="000000" w:fill="auto"/>
        <w:adjustRightInd w:val="0"/>
        <w:snapToGrid w:val="0"/>
        <w:spacing w:line="360" w:lineRule="auto"/>
        <w:ind w:left="1619" w:leftChars="771"/>
        <w:rPr>
          <w:rFonts w:ascii="仿宋" w:hAnsi="仿宋" w:eastAsia="仿宋" w:cs="仿宋"/>
          <w:color w:val="auto"/>
          <w:sz w:val="24"/>
          <w:szCs w:val="24"/>
          <w:highlight w:val="none"/>
        </w:rPr>
      </w:pP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当</w:t>
      </w:r>
      <w:r>
        <w:rPr>
          <w:rFonts w:ascii="仿宋" w:hAnsi="仿宋" w:eastAsia="仿宋" w:cs="仿宋"/>
          <w:color w:val="auto"/>
          <w:sz w:val="24"/>
          <w:szCs w:val="24"/>
          <w:highlight w:val="none"/>
        </w:rPr>
        <w:t>P</w:t>
      </w:r>
      <w:r>
        <w:rPr>
          <w:rFonts w:ascii="仿宋" w:hAnsi="仿宋" w:eastAsia="仿宋" w:cs="仿宋"/>
          <w:color w:val="auto"/>
          <w:sz w:val="24"/>
          <w:szCs w:val="24"/>
          <w:highlight w:val="none"/>
          <w:vertAlign w:val="subscript"/>
        </w:rPr>
        <w:t xml:space="preserve">0 </w:t>
      </w:r>
      <w:r>
        <w:rPr>
          <w:rFonts w:ascii="仿宋" w:hAnsi="仿宋" w:eastAsia="仿宋" w:cs="仿宋"/>
          <w:color w:val="auto"/>
          <w:sz w:val="24"/>
          <w:szCs w:val="24"/>
          <w:highlight w:val="none"/>
        </w:rPr>
        <w:t>&gt;P</w:t>
      </w:r>
      <w:r>
        <w:rPr>
          <w:rFonts w:ascii="仿宋" w:hAnsi="仿宋" w:eastAsia="仿宋" w:cs="仿宋"/>
          <w:color w:val="auto"/>
          <w:sz w:val="24"/>
          <w:szCs w:val="24"/>
          <w:highlight w:val="none"/>
          <w:vertAlign w:val="subscript"/>
        </w:rPr>
        <w:t>1</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 xml:space="preserve"> (1+15%)</w:t>
      </w:r>
      <w:r>
        <w:rPr>
          <w:rFonts w:hint="eastAsia" w:ascii="仿宋" w:hAnsi="仿宋" w:eastAsia="仿宋" w:cs="仿宋"/>
          <w:color w:val="auto"/>
          <w:sz w:val="24"/>
          <w:szCs w:val="24"/>
          <w:highlight w:val="none"/>
        </w:rPr>
        <w:t>时，该类项目的综合单价按照</w:t>
      </w:r>
      <w:r>
        <w:rPr>
          <w:rFonts w:ascii="仿宋" w:hAnsi="仿宋" w:eastAsia="仿宋" w:cs="仿宋"/>
          <w:color w:val="auto"/>
          <w:sz w:val="24"/>
          <w:szCs w:val="24"/>
          <w:highlight w:val="none"/>
        </w:rPr>
        <w:t>P</w:t>
      </w:r>
      <w:r>
        <w:rPr>
          <w:rFonts w:ascii="仿宋" w:hAnsi="仿宋" w:eastAsia="仿宋" w:cs="仿宋"/>
          <w:color w:val="auto"/>
          <w:sz w:val="24"/>
          <w:szCs w:val="24"/>
          <w:highlight w:val="none"/>
          <w:vertAlign w:val="subscript"/>
        </w:rPr>
        <w:t>1</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1+15%)</w:t>
      </w:r>
      <w:r>
        <w:rPr>
          <w:rFonts w:hint="eastAsia" w:ascii="仿宋" w:hAnsi="仿宋" w:eastAsia="仿宋" w:cs="仿宋"/>
          <w:color w:val="auto"/>
          <w:sz w:val="24"/>
          <w:szCs w:val="24"/>
          <w:highlight w:val="none"/>
        </w:rPr>
        <w:t>调整。</w:t>
      </w:r>
      <w:r>
        <w:rPr>
          <w:rFonts w:ascii="仿宋" w:hAnsi="仿宋" w:eastAsia="仿宋" w:cs="仿宋"/>
          <w:color w:val="auto"/>
          <w:sz w:val="24"/>
          <w:szCs w:val="24"/>
          <w:highlight w:val="none"/>
        </w:rPr>
        <w:t xml:space="preserve"> </w:t>
      </w:r>
    </w:p>
    <w:p>
      <w:pPr>
        <w:pStyle w:val="2"/>
        <w:shd w:val="clear" w:color="000000" w:fill="auto"/>
        <w:adjustRightInd w:val="0"/>
        <w:snapToGrid w:val="0"/>
        <w:spacing w:line="360" w:lineRule="auto"/>
        <w:ind w:firstLine="1620" w:firstLineChars="675"/>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式中：</w:t>
      </w:r>
      <w:r>
        <w:rPr>
          <w:rFonts w:ascii="仿宋" w:hAnsi="仿宋" w:eastAsia="仿宋" w:cs="仿宋"/>
          <w:color w:val="auto"/>
          <w:sz w:val="24"/>
          <w:szCs w:val="24"/>
          <w:highlight w:val="none"/>
        </w:rPr>
        <w:t>P</w:t>
      </w:r>
      <w:r>
        <w:rPr>
          <w:rFonts w:ascii="仿宋" w:hAnsi="仿宋" w:eastAsia="仿宋" w:cs="仿宋"/>
          <w:color w:val="auto"/>
          <w:sz w:val="24"/>
          <w:szCs w:val="24"/>
          <w:highlight w:val="none"/>
          <w:vertAlign w:val="subscript"/>
        </w:rPr>
        <w:t>0</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承包人在工程量清单中填报的综合单价。</w:t>
      </w:r>
    </w:p>
    <w:p>
      <w:pPr>
        <w:pStyle w:val="2"/>
        <w:shd w:val="clear" w:color="000000" w:fill="auto"/>
        <w:adjustRightInd w:val="0"/>
        <w:snapToGrid w:val="0"/>
        <w:spacing w:line="360" w:lineRule="auto"/>
        <w:ind w:firstLine="2340" w:firstLineChars="975"/>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P</w:t>
      </w:r>
      <w:r>
        <w:rPr>
          <w:rFonts w:ascii="仿宋" w:hAnsi="仿宋" w:eastAsia="仿宋" w:cs="仿宋"/>
          <w:color w:val="auto"/>
          <w:sz w:val="24"/>
          <w:szCs w:val="24"/>
          <w:highlight w:val="none"/>
          <w:vertAlign w:val="subscript"/>
        </w:rPr>
        <w:t>1</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发包人招标控制价或施工预算相应清单项目的综合单价。</w:t>
      </w:r>
    </w:p>
    <w:p>
      <w:pPr>
        <w:pStyle w:val="2"/>
        <w:shd w:val="clear" w:color="000000" w:fill="auto"/>
        <w:adjustRightInd w:val="0"/>
        <w:snapToGrid w:val="0"/>
        <w:spacing w:line="360" w:lineRule="auto"/>
        <w:ind w:firstLine="2340" w:firstLineChars="975"/>
        <w:rPr>
          <w:rFonts w:ascii="仿宋" w:hAnsi="仿宋" w:eastAsia="仿宋" w:cs="Times New Roman"/>
          <w:b/>
          <w:bCs/>
          <w:color w:val="auto"/>
          <w:sz w:val="24"/>
          <w:szCs w:val="24"/>
          <w:highlight w:val="none"/>
        </w:rPr>
      </w:pPr>
      <w:r>
        <w:rPr>
          <w:rFonts w:ascii="仿宋" w:hAnsi="仿宋" w:eastAsia="仿宋" w:cs="仿宋"/>
          <w:color w:val="auto"/>
          <w:sz w:val="24"/>
          <w:szCs w:val="24"/>
          <w:highlight w:val="none"/>
        </w:rPr>
        <w:t>L——</w:t>
      </w:r>
      <w:r>
        <w:rPr>
          <w:rFonts w:hint="eastAsia" w:ascii="仿宋" w:hAnsi="仿宋" w:eastAsia="仿宋" w:cs="仿宋"/>
          <w:color w:val="auto"/>
          <w:sz w:val="24"/>
          <w:szCs w:val="24"/>
          <w:highlight w:val="none"/>
        </w:rPr>
        <w:t>第</w:t>
      </w:r>
      <w:r>
        <w:rPr>
          <w:rFonts w:ascii="仿宋" w:hAnsi="仿宋" w:eastAsia="仿宋" w:cs="仿宋"/>
          <w:color w:val="auto"/>
          <w:sz w:val="24"/>
          <w:szCs w:val="24"/>
          <w:highlight w:val="none"/>
        </w:rPr>
        <w:t>72.2</w:t>
      </w:r>
      <w:r>
        <w:rPr>
          <w:rFonts w:hint="eastAsia" w:ascii="仿宋" w:hAnsi="仿宋" w:eastAsia="仿宋" w:cs="仿宋"/>
          <w:color w:val="auto"/>
          <w:sz w:val="24"/>
          <w:szCs w:val="24"/>
          <w:highlight w:val="none"/>
        </w:rPr>
        <w:t>款规定的承包人报价浮动率。</w:t>
      </w:r>
    </w:p>
    <w:p>
      <w:pPr>
        <w:pStyle w:val="2"/>
        <w:shd w:val="clear" w:color="000000" w:fill="auto"/>
        <w:adjustRightInd w:val="0"/>
        <w:snapToGrid w:val="0"/>
        <w:spacing w:line="48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72.5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67488" behindDoc="0" locked="0" layoutInCell="1" allowOverlap="1">
                <wp:simplePos x="0" y="0"/>
                <wp:positionH relativeFrom="column">
                  <wp:posOffset>-114300</wp:posOffset>
                </wp:positionH>
                <wp:positionV relativeFrom="paragraph">
                  <wp:posOffset>45720</wp:posOffset>
                </wp:positionV>
                <wp:extent cx="914400" cy="396240"/>
                <wp:effectExtent l="0" t="0" r="0" b="0"/>
                <wp:wrapNone/>
                <wp:docPr id="302" name="文本框 306"/>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删减工作或工程的补偿</w:t>
                            </w:r>
                          </w:p>
                        </w:txbxContent>
                      </wps:txbx>
                      <wps:bodyPr upright="1"/>
                    </wps:wsp>
                  </a:graphicData>
                </a:graphic>
              </wp:anchor>
            </w:drawing>
          </mc:Choice>
          <mc:Fallback>
            <w:pict>
              <v:shape id="文本框 306" o:spid="_x0000_s1026" o:spt="202" type="#_x0000_t202" style="position:absolute;left:0pt;margin-left:-9pt;margin-top:3.6pt;height:31.2pt;width:72pt;z-index:251967488;mso-width-relative:page;mso-height-relative:page;" filled="f" stroked="f" coordsize="21600,21600" o:gfxdata="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pT0tN9UA&#10;AAAIAQAADwAAAAAAAAABACAAAAAiAAAAZHJzL2Rvd25yZXYueG1sUEsBAhQAFAAAAAgAh07iQInP&#10;WxKwAQAAUQMAAA4AAAAAAAAAAQAgAAAAJAEAAGRycy9lMm9Eb2MueG1sUEsFBgAAAAAGAAYAWQEA&#10;AEY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删减工作或工程的补偿</w:t>
                      </w:r>
                    </w:p>
                  </w:txbxContent>
                </v:textbox>
              </v:shape>
            </w:pict>
          </mc:Fallback>
        </mc:AlternateContent>
      </w:r>
      <w:r>
        <w:rPr>
          <w:rFonts w:hint="eastAsia" w:ascii="仿宋" w:hAnsi="仿宋" w:eastAsia="仿宋" w:cs="仿宋"/>
          <w:color w:val="auto"/>
          <w:sz w:val="24"/>
          <w:szCs w:val="24"/>
          <w:highlight w:val="none"/>
        </w:rPr>
        <w:t>如果因为非承包人原因删减了合同中的某项原定工作或工程，致使承包人发生的费用或</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和</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得到的收益不能被包括在其他已支付或应支付的项目中，也未被包含在任何替代的工作或工程中，则承包人有权按照本条规定提出并得到补偿。</w:t>
      </w:r>
    </w:p>
    <w:p>
      <w:pPr>
        <w:pStyle w:val="2"/>
        <w:shd w:val="clear" w:color="000000" w:fill="auto"/>
        <w:adjustRightInd w:val="0"/>
        <w:snapToGrid w:val="0"/>
        <w:ind w:right="-238"/>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
        <w:shd w:val="clear" w:color="000000" w:fill="auto"/>
        <w:tabs>
          <w:tab w:val="left" w:pos="540"/>
        </w:tabs>
        <w:adjustRightInd w:val="0"/>
        <w:snapToGrid w:val="0"/>
        <w:spacing w:before="240" w:beforeLines="100" w:line="360" w:lineRule="auto"/>
        <w:outlineLvl w:val="2"/>
        <w:rPr>
          <w:rFonts w:ascii="仿宋" w:hAnsi="仿宋" w:eastAsia="仿宋" w:cs="Times New Roman"/>
          <w:b/>
          <w:bCs/>
          <w:color w:val="auto"/>
          <w:sz w:val="24"/>
          <w:szCs w:val="24"/>
          <w:highlight w:val="none"/>
        </w:rPr>
      </w:pPr>
      <w:bookmarkStart w:id="348" w:name="_Toc469384057"/>
      <w:bookmarkStart w:id="349" w:name="_Toc10624897"/>
      <w:bookmarkStart w:id="350" w:name="_Toc30592"/>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73  </w:t>
      </w:r>
      <w:r>
        <w:rPr>
          <w:rFonts w:hint="eastAsia" w:ascii="仿宋" w:hAnsi="仿宋" w:eastAsia="仿宋" w:cs="仿宋"/>
          <w:b/>
          <w:bCs/>
          <w:color w:val="auto"/>
          <w:sz w:val="24"/>
          <w:szCs w:val="24"/>
          <w:highlight w:val="none"/>
        </w:rPr>
        <w:t>工程量偏差事件</w:t>
      </w:r>
      <w:bookmarkEnd w:id="348"/>
      <w:bookmarkEnd w:id="349"/>
      <w:bookmarkEnd w:id="350"/>
    </w:p>
    <w:p>
      <w:pPr>
        <w:pStyle w:val="2"/>
        <w:shd w:val="clear" w:color="000000" w:fill="auto"/>
        <w:adjustRightInd w:val="0"/>
        <w:snapToGrid w:val="0"/>
        <w:spacing w:line="360" w:lineRule="auto"/>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73.1</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68512" behindDoc="0" locked="0" layoutInCell="1" allowOverlap="1">
                <wp:simplePos x="0" y="0"/>
                <wp:positionH relativeFrom="column">
                  <wp:posOffset>-114300</wp:posOffset>
                </wp:positionH>
                <wp:positionV relativeFrom="paragraph">
                  <wp:posOffset>1905</wp:posOffset>
                </wp:positionV>
                <wp:extent cx="1028700" cy="760095"/>
                <wp:effectExtent l="0" t="0" r="0" b="0"/>
                <wp:wrapNone/>
                <wp:docPr id="303" name="文本框 307"/>
                <wp:cNvGraphicFramePr/>
                <a:graphic xmlns:a="http://schemas.openxmlformats.org/drawingml/2006/main">
                  <a:graphicData uri="http://schemas.microsoft.com/office/word/2010/wordprocessingShape">
                    <wps:wsp>
                      <wps:cNvSpPr txBox="1"/>
                      <wps:spPr>
                        <a:xfrm>
                          <a:off x="0" y="0"/>
                          <a:ext cx="1028700" cy="76009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工程量偏差价</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txbxContent>
                      </wps:txbx>
                      <wps:bodyPr upright="1"/>
                    </wps:wsp>
                  </a:graphicData>
                </a:graphic>
              </wp:anchor>
            </w:drawing>
          </mc:Choice>
          <mc:Fallback>
            <w:pict>
              <v:shape id="文本框 307" o:spid="_x0000_s1026" o:spt="202" type="#_x0000_t202" style="position:absolute;left:0pt;margin-left:-9pt;margin-top:0.15pt;height:59.85pt;width:81pt;z-index:251968512;mso-width-relative:page;mso-height-relative:page;" filled="f" stroked="f" coordsize="21600,21600" o:gfxdata="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O589U7UAAAA&#10;CAEAAA8AAAAAAAAAAQAgAAAAIgAAAGRycy9kb3ducmV2LnhtbFBLAQIUABQAAAAIAIdO4kDITRJH&#10;rwEAAFIDAAAOAAAAAAAAAAEAIAAAACMBAABkcnMvZTJvRG9jLnhtbFBLBQYAAAAABgAGAFkBAABE&#10;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工程量偏差价</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txbxContent>
                </v:textbox>
              </v:shape>
            </w:pict>
          </mc:Fallback>
        </mc:AlternateContent>
      </w:r>
      <w:r>
        <w:rPr>
          <w:rFonts w:hint="eastAsia" w:ascii="仿宋" w:hAnsi="仿宋" w:eastAsia="仿宋" w:cs="仿宋"/>
          <w:color w:val="auto"/>
          <w:sz w:val="24"/>
          <w:szCs w:val="24"/>
          <w:highlight w:val="none"/>
        </w:rPr>
        <w:t>工程量偏差是指承包人按照合同签订时的图纸（含经发包人批准由承包人提供的施工设计图纸和履行本合同的相关大样合同履行期间，出现工程量偏差，且符合第</w:t>
      </w:r>
      <w:r>
        <w:rPr>
          <w:rFonts w:ascii="仿宋" w:hAnsi="仿宋" w:eastAsia="仿宋" w:cs="仿宋"/>
          <w:color w:val="auto"/>
          <w:sz w:val="24"/>
          <w:szCs w:val="24"/>
          <w:highlight w:val="none"/>
        </w:rPr>
        <w:t>73.2</w:t>
      </w:r>
      <w:r>
        <w:rPr>
          <w:rFonts w:hint="eastAsia" w:ascii="仿宋" w:hAnsi="仿宋" w:eastAsia="仿宋" w:cs="仿宋"/>
          <w:color w:val="auto"/>
          <w:sz w:val="24"/>
          <w:szCs w:val="24"/>
          <w:highlight w:val="none"/>
        </w:rPr>
        <w:t>款、第</w:t>
      </w:r>
      <w:r>
        <w:rPr>
          <w:rFonts w:ascii="仿宋" w:hAnsi="仿宋" w:eastAsia="仿宋" w:cs="仿宋"/>
          <w:color w:val="auto"/>
          <w:sz w:val="24"/>
          <w:szCs w:val="24"/>
          <w:highlight w:val="none"/>
        </w:rPr>
        <w:t>73.3</w:t>
      </w:r>
      <w:r>
        <w:rPr>
          <w:rFonts w:hint="eastAsia" w:ascii="仿宋" w:hAnsi="仿宋" w:eastAsia="仿宋" w:cs="仿宋"/>
          <w:color w:val="auto"/>
          <w:sz w:val="24"/>
          <w:szCs w:val="24"/>
          <w:highlight w:val="none"/>
        </w:rPr>
        <w:t>款规定事件的，合同双方当事人应调整合同价款。调整合同价款时，出现第</w:t>
      </w:r>
      <w:r>
        <w:rPr>
          <w:rFonts w:ascii="仿宋" w:hAnsi="仿宋" w:eastAsia="仿宋" w:cs="仿宋"/>
          <w:color w:val="auto"/>
          <w:sz w:val="24"/>
          <w:szCs w:val="24"/>
          <w:highlight w:val="none"/>
        </w:rPr>
        <w:t>72.4</w:t>
      </w:r>
      <w:r>
        <w:rPr>
          <w:rFonts w:hint="eastAsia" w:ascii="仿宋" w:hAnsi="仿宋" w:eastAsia="仿宋" w:cs="仿宋"/>
          <w:color w:val="auto"/>
          <w:sz w:val="24"/>
          <w:szCs w:val="24"/>
          <w:highlight w:val="none"/>
        </w:rPr>
        <w:t>款情形的，应先按照其规定调整，再按照本条规定调整。</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图等）实施、完成合同工程的应予计量的实际工程量与工程量清单开列的工程量之间的偏差。</w:t>
      </w:r>
    </w:p>
    <w:p>
      <w:pPr>
        <w:pStyle w:val="2"/>
        <w:shd w:val="clear" w:color="000000" w:fill="auto"/>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73.2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69536" behindDoc="0" locked="0" layoutInCell="1" allowOverlap="1">
                <wp:simplePos x="0" y="0"/>
                <wp:positionH relativeFrom="column">
                  <wp:posOffset>-114300</wp:posOffset>
                </wp:positionH>
                <wp:positionV relativeFrom="paragraph">
                  <wp:posOffset>26670</wp:posOffset>
                </wp:positionV>
                <wp:extent cx="914400" cy="444500"/>
                <wp:effectExtent l="0" t="0" r="0" b="0"/>
                <wp:wrapNone/>
                <wp:docPr id="304" name="文本框 308"/>
                <wp:cNvGraphicFramePr/>
                <a:graphic xmlns:a="http://schemas.openxmlformats.org/drawingml/2006/main">
                  <a:graphicData uri="http://schemas.microsoft.com/office/word/2010/wordprocessingShape">
                    <wps:wsp>
                      <wps:cNvSpPr txBox="1"/>
                      <wps:spPr>
                        <a:xfrm>
                          <a:off x="0" y="0"/>
                          <a:ext cx="914400" cy="444500"/>
                        </a:xfrm>
                        <a:prstGeom prst="rect">
                          <a:avLst/>
                        </a:prstGeom>
                        <a:noFill/>
                        <a:ln>
                          <a:noFill/>
                        </a:ln>
                      </wps:spPr>
                      <wps:txbx>
                        <w:txbxContent>
                          <w:p>
                            <w:pPr>
                              <w:pStyle w:val="17"/>
                              <w:spacing w:line="200" w:lineRule="exact"/>
                              <w:rPr>
                                <w:rFonts w:ascii="宋体"/>
                                <w:sz w:val="18"/>
                                <w:szCs w:val="18"/>
                              </w:rPr>
                            </w:pPr>
                            <w:r>
                              <w:rPr>
                                <w:rFonts w:hint="eastAsia" w:ascii="楷体_GB2312" w:hAnsi="宋体" w:eastAsia="楷体_GB2312" w:cs="楷体_GB2312"/>
                                <w:b/>
                                <w:bCs/>
                                <w:color w:val="000000"/>
                                <w:sz w:val="18"/>
                                <w:szCs w:val="18"/>
                              </w:rPr>
                              <w:t>调整分部分项工程费的方法</w:t>
                            </w:r>
                          </w:p>
                        </w:txbxContent>
                      </wps:txbx>
                      <wps:bodyPr upright="1"/>
                    </wps:wsp>
                  </a:graphicData>
                </a:graphic>
              </wp:anchor>
            </w:drawing>
          </mc:Choice>
          <mc:Fallback>
            <w:pict>
              <v:shape id="文本框 308" o:spid="_x0000_s1026" o:spt="202" type="#_x0000_t202" style="position:absolute;left:0pt;margin-left:-9pt;margin-top:2.1pt;height:35pt;width:72pt;z-index:251969536;mso-width-relative:page;mso-height-relative:page;" filled="f" stroked="f" coordsize="21600,21600" o:gfxdata="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Uiq+t1QAA&#10;AAgBAAAPAAAAAAAAAAEAIAAAACIAAABkcnMvZG93bnJldi54bWxQSwECFAAUAAAACACHTuJAm0gW&#10;y68BAABRAwAADgAAAAAAAAABACAAAAAkAQAAZHJzL2Uyb0RvYy54bWxQSwUGAAAAAAYABgBZAQAA&#10;RQUAAAAA&#10;">
                <v:fill on="f" focussize="0,0"/>
                <v:stroke on="f"/>
                <v:imagedata o:title=""/>
                <o:lock v:ext="edit" aspectratio="f"/>
                <v:textbox>
                  <w:txbxContent>
                    <w:p>
                      <w:pPr>
                        <w:pStyle w:val="17"/>
                        <w:spacing w:line="200" w:lineRule="exact"/>
                        <w:rPr>
                          <w:rFonts w:ascii="宋体"/>
                          <w:sz w:val="18"/>
                          <w:szCs w:val="18"/>
                        </w:rPr>
                      </w:pPr>
                      <w:r>
                        <w:rPr>
                          <w:rFonts w:hint="eastAsia" w:ascii="楷体_GB2312" w:hAnsi="宋体" w:eastAsia="楷体_GB2312" w:cs="楷体_GB2312"/>
                          <w:b/>
                          <w:bCs/>
                          <w:color w:val="000000"/>
                          <w:sz w:val="18"/>
                          <w:szCs w:val="18"/>
                        </w:rPr>
                        <w:t>调整分部分项工程费的方法</w:t>
                      </w:r>
                    </w:p>
                  </w:txbxContent>
                </v:textbox>
              </v:shape>
            </w:pict>
          </mc:Fallback>
        </mc:AlternateContent>
      </w:r>
      <w:r>
        <w:rPr>
          <w:rFonts w:hint="eastAsia" w:ascii="仿宋" w:hAnsi="仿宋" w:eastAsia="仿宋" w:cs="仿宋"/>
          <w:color w:val="auto"/>
          <w:sz w:val="24"/>
          <w:szCs w:val="24"/>
          <w:highlight w:val="none"/>
        </w:rPr>
        <w:t>对于某一分部分项工程项目，如果因本条规定工程量偏差和第</w:t>
      </w:r>
      <w:r>
        <w:rPr>
          <w:rFonts w:ascii="仿宋" w:hAnsi="仿宋" w:eastAsia="仿宋" w:cs="仿宋"/>
          <w:color w:val="auto"/>
          <w:sz w:val="24"/>
          <w:szCs w:val="24"/>
          <w:highlight w:val="none"/>
        </w:rPr>
        <w:t>56</w:t>
      </w:r>
      <w:r>
        <w:rPr>
          <w:rFonts w:hint="eastAsia" w:ascii="仿宋" w:hAnsi="仿宋" w:eastAsia="仿宋" w:cs="仿宋"/>
          <w:color w:val="auto"/>
          <w:sz w:val="24"/>
          <w:szCs w:val="24"/>
          <w:highlight w:val="none"/>
        </w:rPr>
        <w:t>条规定工程变更等原因导致工程量偏差超过</w:t>
      </w:r>
      <w:r>
        <w:rPr>
          <w:rFonts w:ascii="仿宋" w:hAnsi="仿宋" w:eastAsia="仿宋" w:cs="仿宋"/>
          <w:color w:val="auto"/>
          <w:sz w:val="24"/>
          <w:szCs w:val="24"/>
          <w:highlight w:val="none"/>
        </w:rPr>
        <w:t>10%</w:t>
      </w:r>
      <w:r>
        <w:rPr>
          <w:rFonts w:hint="eastAsia" w:ascii="仿宋" w:hAnsi="仿宋" w:eastAsia="仿宋" w:cs="仿宋"/>
          <w:color w:val="auto"/>
          <w:sz w:val="24"/>
          <w:szCs w:val="24"/>
          <w:highlight w:val="none"/>
        </w:rPr>
        <w:t>，且该变化使其分部分项工程费变化超过</w:t>
      </w:r>
      <w:r>
        <w:rPr>
          <w:rFonts w:ascii="仿宋" w:hAnsi="仿宋" w:eastAsia="仿宋" w:cs="仿宋"/>
          <w:color w:val="auto"/>
          <w:sz w:val="24"/>
          <w:szCs w:val="24"/>
          <w:highlight w:val="none"/>
        </w:rPr>
        <w:t>0.1%</w:t>
      </w:r>
      <w:r>
        <w:rPr>
          <w:rFonts w:hint="eastAsia" w:ascii="仿宋" w:hAnsi="仿宋" w:eastAsia="仿宋" w:cs="仿宋"/>
          <w:color w:val="auto"/>
          <w:sz w:val="24"/>
          <w:szCs w:val="24"/>
          <w:highlight w:val="none"/>
        </w:rPr>
        <w:t>，则超过</w:t>
      </w:r>
      <w:r>
        <w:rPr>
          <w:rFonts w:ascii="仿宋" w:hAnsi="仿宋" w:eastAsia="仿宋" w:cs="仿宋"/>
          <w:color w:val="auto"/>
          <w:sz w:val="24"/>
          <w:szCs w:val="24"/>
          <w:highlight w:val="none"/>
        </w:rPr>
        <w:t>10%</w:t>
      </w:r>
      <w:r>
        <w:rPr>
          <w:rFonts w:hint="eastAsia" w:ascii="仿宋" w:hAnsi="仿宋" w:eastAsia="仿宋" w:cs="仿宋"/>
          <w:color w:val="auto"/>
          <w:sz w:val="24"/>
          <w:szCs w:val="24"/>
          <w:highlight w:val="none"/>
        </w:rPr>
        <w:t>部分的综合单价应予调整。除专用条款另有约定外，应按照下列规定调整该分部分项工程费结算价：</w:t>
      </w:r>
    </w:p>
    <w:p>
      <w:pPr>
        <w:pStyle w:val="2"/>
        <w:shd w:val="clear" w:color="000000" w:fill="auto"/>
        <w:adjustRightInd w:val="0"/>
        <w:snapToGrid w:val="0"/>
        <w:spacing w:line="360" w:lineRule="auto"/>
        <w:ind w:left="2145" w:leftChars="707" w:hanging="660" w:hangingChars="275"/>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）当</w:t>
      </w:r>
      <w:r>
        <w:rPr>
          <w:rFonts w:ascii="仿宋" w:hAnsi="仿宋" w:eastAsia="仿宋" w:cs="仿宋"/>
          <w:color w:val="auto"/>
          <w:sz w:val="24"/>
          <w:szCs w:val="24"/>
          <w:highlight w:val="none"/>
        </w:rPr>
        <w:t>Q</w:t>
      </w:r>
      <w:r>
        <w:rPr>
          <w:rFonts w:ascii="仿宋" w:hAnsi="仿宋" w:eastAsia="仿宋" w:cs="仿宋"/>
          <w:color w:val="auto"/>
          <w:sz w:val="24"/>
          <w:szCs w:val="24"/>
          <w:highlight w:val="none"/>
          <w:vertAlign w:val="subscript"/>
        </w:rPr>
        <w:t>1</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1.1Q</w:t>
      </w:r>
      <w:r>
        <w:rPr>
          <w:rFonts w:ascii="仿宋" w:hAnsi="仿宋" w:eastAsia="仿宋" w:cs="仿宋"/>
          <w:color w:val="auto"/>
          <w:sz w:val="24"/>
          <w:szCs w:val="24"/>
          <w:highlight w:val="none"/>
          <w:vertAlign w:val="subscript"/>
        </w:rPr>
        <w:t>0</w:t>
      </w:r>
      <w:r>
        <w:rPr>
          <w:rFonts w:hint="eastAsia" w:ascii="仿宋" w:hAnsi="仿宋" w:eastAsia="仿宋" w:cs="仿宋"/>
          <w:color w:val="auto"/>
          <w:sz w:val="24"/>
          <w:szCs w:val="24"/>
          <w:highlight w:val="none"/>
        </w:rPr>
        <w:t>时，</w:t>
      </w:r>
      <w:r>
        <w:rPr>
          <w:rFonts w:ascii="仿宋" w:hAnsi="仿宋" w:eastAsia="仿宋" w:cs="仿宋"/>
          <w:color w:val="auto"/>
          <w:sz w:val="24"/>
          <w:szCs w:val="24"/>
          <w:highlight w:val="none"/>
        </w:rPr>
        <w:t>S=1.1Q</w:t>
      </w:r>
      <w:r>
        <w:rPr>
          <w:rFonts w:ascii="仿宋" w:hAnsi="仿宋" w:eastAsia="仿宋" w:cs="仿宋"/>
          <w:color w:val="auto"/>
          <w:sz w:val="24"/>
          <w:szCs w:val="24"/>
          <w:highlight w:val="none"/>
          <w:vertAlign w:val="subscript"/>
        </w:rPr>
        <w:t>0</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P</w:t>
      </w:r>
      <w:r>
        <w:rPr>
          <w:rFonts w:ascii="仿宋" w:hAnsi="仿宋" w:eastAsia="仿宋" w:cs="仿宋"/>
          <w:color w:val="auto"/>
          <w:sz w:val="24"/>
          <w:szCs w:val="24"/>
          <w:highlight w:val="none"/>
          <w:vertAlign w:val="subscript"/>
        </w:rPr>
        <w:t>0</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Q</w:t>
      </w:r>
      <w:r>
        <w:rPr>
          <w:rFonts w:ascii="仿宋" w:hAnsi="仿宋" w:eastAsia="仿宋" w:cs="仿宋"/>
          <w:color w:val="auto"/>
          <w:sz w:val="24"/>
          <w:szCs w:val="24"/>
          <w:highlight w:val="none"/>
          <w:vertAlign w:val="subscript"/>
        </w:rPr>
        <w:t>1</w:t>
      </w:r>
      <w:r>
        <w:rPr>
          <w:rFonts w:ascii="仿宋" w:hAnsi="仿宋" w:eastAsia="仿宋" w:cs="仿宋"/>
          <w:color w:val="auto"/>
          <w:sz w:val="24"/>
          <w:szCs w:val="24"/>
          <w:highlight w:val="none"/>
        </w:rPr>
        <w:t>-1.1Q</w:t>
      </w:r>
      <w:r>
        <w:rPr>
          <w:rFonts w:ascii="仿宋" w:hAnsi="仿宋" w:eastAsia="仿宋" w:cs="仿宋"/>
          <w:color w:val="auto"/>
          <w:sz w:val="24"/>
          <w:szCs w:val="24"/>
          <w:highlight w:val="none"/>
          <w:vertAlign w:val="subscript"/>
        </w:rPr>
        <w:t>0</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P</w:t>
      </w:r>
      <w:r>
        <w:rPr>
          <w:rFonts w:ascii="仿宋" w:hAnsi="仿宋" w:eastAsia="仿宋" w:cs="仿宋"/>
          <w:color w:val="auto"/>
          <w:sz w:val="24"/>
          <w:szCs w:val="24"/>
          <w:highlight w:val="none"/>
          <w:vertAlign w:val="subscript"/>
        </w:rPr>
        <w:t>1</w:t>
      </w:r>
    </w:p>
    <w:p>
      <w:pPr>
        <w:pStyle w:val="2"/>
        <w:shd w:val="clear" w:color="000000" w:fill="auto"/>
        <w:adjustRightInd w:val="0"/>
        <w:snapToGrid w:val="0"/>
        <w:spacing w:line="360" w:lineRule="auto"/>
        <w:ind w:left="2057" w:leftChars="694" w:hanging="600" w:hangingChars="250"/>
        <w:rPr>
          <w:rFonts w:ascii="仿宋" w:hAnsi="仿宋" w:eastAsia="仿宋" w:cs="仿宋"/>
          <w:color w:val="auto"/>
          <w:sz w:val="24"/>
          <w:szCs w:val="24"/>
          <w:highlight w:val="none"/>
          <w:vertAlign w:val="subscript"/>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）当</w:t>
      </w:r>
      <w:r>
        <w:rPr>
          <w:rFonts w:ascii="仿宋" w:hAnsi="仿宋" w:eastAsia="仿宋" w:cs="仿宋"/>
          <w:color w:val="auto"/>
          <w:sz w:val="24"/>
          <w:szCs w:val="24"/>
          <w:highlight w:val="none"/>
        </w:rPr>
        <w:t>Q</w:t>
      </w:r>
      <w:r>
        <w:rPr>
          <w:rFonts w:ascii="仿宋" w:hAnsi="仿宋" w:eastAsia="仿宋" w:cs="仿宋"/>
          <w:color w:val="auto"/>
          <w:sz w:val="24"/>
          <w:szCs w:val="24"/>
          <w:highlight w:val="none"/>
          <w:vertAlign w:val="subscript"/>
        </w:rPr>
        <w:t>1</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0.9Q</w:t>
      </w:r>
      <w:r>
        <w:rPr>
          <w:rFonts w:ascii="仿宋" w:hAnsi="仿宋" w:eastAsia="仿宋" w:cs="仿宋"/>
          <w:color w:val="auto"/>
          <w:sz w:val="24"/>
          <w:szCs w:val="24"/>
          <w:highlight w:val="none"/>
          <w:vertAlign w:val="subscript"/>
        </w:rPr>
        <w:t>0</w:t>
      </w:r>
      <w:r>
        <w:rPr>
          <w:rFonts w:hint="eastAsia" w:ascii="仿宋" w:hAnsi="仿宋" w:eastAsia="仿宋" w:cs="仿宋"/>
          <w:color w:val="auto"/>
          <w:sz w:val="24"/>
          <w:szCs w:val="24"/>
          <w:highlight w:val="none"/>
        </w:rPr>
        <w:t>时，</w:t>
      </w:r>
      <w:r>
        <w:rPr>
          <w:rFonts w:ascii="仿宋" w:hAnsi="仿宋" w:eastAsia="仿宋" w:cs="仿宋"/>
          <w:color w:val="auto"/>
          <w:sz w:val="24"/>
          <w:szCs w:val="24"/>
          <w:highlight w:val="none"/>
        </w:rPr>
        <w:t>S=0.9Q</w:t>
      </w:r>
      <w:r>
        <w:rPr>
          <w:rFonts w:ascii="仿宋" w:hAnsi="仿宋" w:eastAsia="仿宋" w:cs="仿宋"/>
          <w:color w:val="auto"/>
          <w:sz w:val="24"/>
          <w:szCs w:val="24"/>
          <w:highlight w:val="none"/>
          <w:vertAlign w:val="subscript"/>
        </w:rPr>
        <w:t>0</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P</w:t>
      </w:r>
      <w:r>
        <w:rPr>
          <w:rFonts w:ascii="仿宋" w:hAnsi="仿宋" w:eastAsia="仿宋" w:cs="仿宋"/>
          <w:color w:val="auto"/>
          <w:sz w:val="24"/>
          <w:szCs w:val="24"/>
          <w:highlight w:val="none"/>
          <w:vertAlign w:val="subscript"/>
        </w:rPr>
        <w:t>0</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0.9Q</w:t>
      </w:r>
      <w:r>
        <w:rPr>
          <w:rFonts w:ascii="仿宋" w:hAnsi="仿宋" w:eastAsia="仿宋" w:cs="仿宋"/>
          <w:color w:val="auto"/>
          <w:sz w:val="24"/>
          <w:szCs w:val="24"/>
          <w:highlight w:val="none"/>
          <w:vertAlign w:val="subscript"/>
        </w:rPr>
        <w:t>0</w:t>
      </w:r>
      <w:r>
        <w:rPr>
          <w:rFonts w:ascii="仿宋" w:hAnsi="仿宋" w:eastAsia="仿宋" w:cs="仿宋"/>
          <w:color w:val="auto"/>
          <w:sz w:val="24"/>
          <w:szCs w:val="24"/>
          <w:highlight w:val="none"/>
        </w:rPr>
        <w:t>-Q</w:t>
      </w:r>
      <w:r>
        <w:rPr>
          <w:rFonts w:ascii="仿宋" w:hAnsi="仿宋" w:eastAsia="仿宋" w:cs="仿宋"/>
          <w:color w:val="auto"/>
          <w:sz w:val="24"/>
          <w:szCs w:val="24"/>
          <w:highlight w:val="none"/>
          <w:vertAlign w:val="subscript"/>
        </w:rPr>
        <w:t>1</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P</w:t>
      </w:r>
      <w:r>
        <w:rPr>
          <w:rFonts w:ascii="仿宋" w:hAnsi="仿宋" w:eastAsia="仿宋" w:cs="仿宋"/>
          <w:color w:val="auto"/>
          <w:sz w:val="24"/>
          <w:szCs w:val="24"/>
          <w:highlight w:val="none"/>
          <w:vertAlign w:val="subscript"/>
        </w:rPr>
        <w:t>1</w:t>
      </w:r>
    </w:p>
    <w:p>
      <w:pPr>
        <w:pStyle w:val="2"/>
        <w:shd w:val="clear" w:color="000000" w:fill="auto"/>
        <w:adjustRightInd w:val="0"/>
        <w:snapToGrid w:val="0"/>
        <w:spacing w:line="360" w:lineRule="auto"/>
        <w:ind w:firstLine="1620" w:firstLineChars="675"/>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式中</w:t>
      </w:r>
      <w:r>
        <w:rPr>
          <w:rFonts w:ascii="仿宋" w:hAnsi="仿宋" w:eastAsia="仿宋" w:cs="仿宋"/>
          <w:color w:val="auto"/>
          <w:sz w:val="24"/>
          <w:szCs w:val="24"/>
          <w:highlight w:val="none"/>
        </w:rPr>
        <w:t>S——</w:t>
      </w:r>
      <w:r>
        <w:rPr>
          <w:rFonts w:hint="eastAsia" w:ascii="仿宋" w:hAnsi="仿宋" w:eastAsia="仿宋" w:cs="仿宋"/>
          <w:color w:val="auto"/>
          <w:sz w:val="24"/>
          <w:szCs w:val="24"/>
          <w:highlight w:val="none"/>
        </w:rPr>
        <w:t>调整后的某一分部分项工程费结算价；</w:t>
      </w:r>
    </w:p>
    <w:p>
      <w:pPr>
        <w:pStyle w:val="2"/>
        <w:shd w:val="clear" w:color="000000" w:fill="auto"/>
        <w:adjustRightInd w:val="0"/>
        <w:snapToGrid w:val="0"/>
        <w:spacing w:line="360" w:lineRule="auto"/>
        <w:ind w:firstLine="2160" w:firstLineChars="9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Q</w:t>
      </w:r>
      <w:r>
        <w:rPr>
          <w:rFonts w:ascii="仿宋" w:hAnsi="仿宋" w:eastAsia="仿宋" w:cs="仿宋"/>
          <w:color w:val="auto"/>
          <w:sz w:val="24"/>
          <w:szCs w:val="24"/>
          <w:highlight w:val="none"/>
          <w:vertAlign w:val="subscript"/>
        </w:rPr>
        <w:t>1</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最终完成的工程量；</w:t>
      </w:r>
    </w:p>
    <w:p>
      <w:pPr>
        <w:pStyle w:val="2"/>
        <w:shd w:val="clear" w:color="000000" w:fill="auto"/>
        <w:adjustRightInd w:val="0"/>
        <w:snapToGrid w:val="0"/>
        <w:spacing w:line="360" w:lineRule="auto"/>
        <w:ind w:firstLine="2160" w:firstLineChars="9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Q</w:t>
      </w:r>
      <w:r>
        <w:rPr>
          <w:rFonts w:ascii="仿宋" w:hAnsi="仿宋" w:eastAsia="仿宋" w:cs="仿宋"/>
          <w:color w:val="auto"/>
          <w:sz w:val="24"/>
          <w:szCs w:val="24"/>
          <w:highlight w:val="none"/>
          <w:vertAlign w:val="subscript"/>
        </w:rPr>
        <w:t>0</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工程量清单中开列的工程量；</w:t>
      </w:r>
    </w:p>
    <w:p>
      <w:pPr>
        <w:pStyle w:val="2"/>
        <w:shd w:val="clear" w:color="000000" w:fill="auto"/>
        <w:adjustRightInd w:val="0"/>
        <w:snapToGrid w:val="0"/>
        <w:spacing w:line="360" w:lineRule="auto"/>
        <w:ind w:firstLine="2160" w:firstLineChars="9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P</w:t>
      </w:r>
      <w:r>
        <w:rPr>
          <w:rFonts w:ascii="仿宋" w:hAnsi="仿宋" w:eastAsia="仿宋" w:cs="仿宋"/>
          <w:color w:val="auto"/>
          <w:sz w:val="24"/>
          <w:szCs w:val="24"/>
          <w:highlight w:val="none"/>
          <w:vertAlign w:val="subscript"/>
        </w:rPr>
        <w:t>1</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按照最终完成工程量重新调整后的综合单价；</w:t>
      </w:r>
    </w:p>
    <w:p>
      <w:pPr>
        <w:pStyle w:val="2"/>
        <w:shd w:val="clear" w:color="000000" w:fill="auto"/>
        <w:adjustRightInd w:val="0"/>
        <w:snapToGrid w:val="0"/>
        <w:spacing w:line="360" w:lineRule="auto"/>
        <w:ind w:firstLine="2160" w:firstLineChars="900"/>
        <w:rPr>
          <w:rFonts w:ascii="仿宋" w:hAnsi="仿宋" w:eastAsia="仿宋" w:cs="Times New Roman"/>
          <w:b/>
          <w:bCs/>
          <w:color w:val="auto"/>
          <w:sz w:val="24"/>
          <w:szCs w:val="24"/>
          <w:highlight w:val="none"/>
        </w:rPr>
      </w:pPr>
      <w:r>
        <w:rPr>
          <w:rFonts w:ascii="仿宋" w:hAnsi="仿宋" w:eastAsia="仿宋" w:cs="仿宋"/>
          <w:color w:val="auto"/>
          <w:sz w:val="24"/>
          <w:szCs w:val="24"/>
          <w:highlight w:val="none"/>
        </w:rPr>
        <w:t>P</w:t>
      </w:r>
      <w:r>
        <w:rPr>
          <w:rFonts w:ascii="仿宋" w:hAnsi="仿宋" w:eastAsia="仿宋" w:cs="仿宋"/>
          <w:color w:val="auto"/>
          <w:sz w:val="24"/>
          <w:szCs w:val="24"/>
          <w:highlight w:val="none"/>
          <w:vertAlign w:val="subscript"/>
        </w:rPr>
        <w:t>0</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承包人在工程量清单中填报的综合单价。</w:t>
      </w:r>
    </w:p>
    <w:p>
      <w:pPr>
        <w:pStyle w:val="2"/>
        <w:shd w:val="clear" w:color="000000" w:fill="auto"/>
        <w:adjustRightInd w:val="0"/>
        <w:snapToGrid w:val="0"/>
        <w:spacing w:line="480" w:lineRule="auto"/>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73.3</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70560" behindDoc="0" locked="0" layoutInCell="1" allowOverlap="1">
                <wp:simplePos x="0" y="0"/>
                <wp:positionH relativeFrom="column">
                  <wp:posOffset>-114300</wp:posOffset>
                </wp:positionH>
                <wp:positionV relativeFrom="paragraph">
                  <wp:posOffset>51435</wp:posOffset>
                </wp:positionV>
                <wp:extent cx="914400" cy="505460"/>
                <wp:effectExtent l="0" t="0" r="0" b="0"/>
                <wp:wrapNone/>
                <wp:docPr id="305" name="文本框 309"/>
                <wp:cNvGraphicFramePr/>
                <a:graphic xmlns:a="http://schemas.openxmlformats.org/drawingml/2006/main">
                  <a:graphicData uri="http://schemas.microsoft.com/office/word/2010/wordprocessingShape">
                    <wps:wsp>
                      <wps:cNvSpPr txBox="1"/>
                      <wps:spPr>
                        <a:xfrm>
                          <a:off x="0" y="0"/>
                          <a:ext cx="914400" cy="50546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txbxContent>
                      </wps:txbx>
                      <wps:bodyPr upright="1"/>
                    </wps:wsp>
                  </a:graphicData>
                </a:graphic>
              </wp:anchor>
            </w:drawing>
          </mc:Choice>
          <mc:Fallback>
            <w:pict>
              <v:shape id="文本框 309" o:spid="_x0000_s1026" o:spt="202" type="#_x0000_t202" style="position:absolute;left:0pt;margin-left:-9pt;margin-top:4.05pt;height:39.8pt;width:72pt;z-index:251970560;mso-width-relative:page;mso-height-relative:page;" filled="f" stroked="f" coordsize="21600,21600" o:gfxdata="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UWMptQA&#10;AAAIAQAADwAAAAAAAAABACAAAAAiAAAAZHJzL2Rvd25yZXYueG1sUEsBAhQAFAAAAAgAh07iQLaZ&#10;GqKxAQAAUQMAAA4AAAAAAAAAAQAgAAAAIwEAAGRycy9lMm9Eb2MueG1sUEsFBgAAAAAGAAYAWQEA&#10;AEY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txbxContent>
                </v:textbox>
              </v:shape>
            </w:pict>
          </mc:Fallback>
        </mc:AlternateContent>
      </w:r>
      <w:r>
        <w:rPr>
          <w:rFonts w:hint="eastAsia" w:ascii="仿宋" w:hAnsi="仿宋" w:eastAsia="仿宋" w:cs="仿宋"/>
          <w:color w:val="auto"/>
          <w:sz w:val="24"/>
          <w:szCs w:val="24"/>
          <w:highlight w:val="none"/>
        </w:rPr>
        <w:t>如果因本条规定工程量偏差使某一分部分项工程费的变化超过</w:t>
      </w:r>
      <w:r>
        <w:rPr>
          <w:rFonts w:ascii="仿宋" w:hAnsi="仿宋" w:eastAsia="仿宋" w:cs="仿宋"/>
          <w:color w:val="auto"/>
          <w:sz w:val="24"/>
          <w:szCs w:val="24"/>
          <w:highlight w:val="none"/>
        </w:rPr>
        <w:t>10%</w:t>
      </w:r>
      <w:r>
        <w:rPr>
          <w:rFonts w:hint="eastAsia" w:ascii="仿宋" w:hAnsi="仿宋" w:eastAsia="仿宋" w:cs="仿宋"/>
          <w:color w:val="auto"/>
          <w:sz w:val="24"/>
          <w:szCs w:val="24"/>
          <w:highlight w:val="none"/>
        </w:rPr>
        <w:t>，且该变化引起措施项目相应发生变化，则发生变化部分的措施项目费应按照第</w:t>
      </w:r>
      <w:r>
        <w:rPr>
          <w:rFonts w:ascii="仿宋" w:hAnsi="仿宋" w:eastAsia="仿宋" w:cs="仿宋"/>
          <w:color w:val="auto"/>
          <w:sz w:val="24"/>
          <w:szCs w:val="24"/>
          <w:highlight w:val="none"/>
        </w:rPr>
        <w:t>72.3</w:t>
      </w:r>
      <w:r>
        <w:rPr>
          <w:rFonts w:hint="eastAsia" w:ascii="仿宋" w:hAnsi="仿宋" w:eastAsia="仿宋" w:cs="仿宋"/>
          <w:color w:val="auto"/>
          <w:sz w:val="24"/>
          <w:szCs w:val="24"/>
          <w:highlight w:val="none"/>
        </w:rPr>
        <w:t>款规定调整。除专用条款另有约定外，应按照下列规定调整发生变化的措施项目费结算价：</w:t>
      </w:r>
    </w:p>
    <w:p>
      <w:pPr>
        <w:pStyle w:val="2"/>
        <w:shd w:val="clear" w:color="000000" w:fill="auto"/>
        <w:tabs>
          <w:tab w:val="left" w:pos="900"/>
        </w:tabs>
        <w:adjustRightInd w:val="0"/>
        <w:snapToGrid w:val="0"/>
        <w:spacing w:line="360" w:lineRule="auto"/>
        <w:ind w:left="2240" w:leftChars="781" w:hanging="600" w:hangingChars="25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）当</w:t>
      </w:r>
      <w:r>
        <w:rPr>
          <w:rFonts w:ascii="仿宋" w:hAnsi="仿宋" w:eastAsia="仿宋" w:cs="仿宋"/>
          <w:color w:val="auto"/>
          <w:sz w:val="24"/>
          <w:szCs w:val="24"/>
          <w:highlight w:val="none"/>
        </w:rPr>
        <w:t>S</w:t>
      </w:r>
      <w:r>
        <w:rPr>
          <w:rFonts w:ascii="仿宋" w:hAnsi="仿宋" w:eastAsia="仿宋" w:cs="仿宋"/>
          <w:color w:val="auto"/>
          <w:sz w:val="24"/>
          <w:szCs w:val="24"/>
          <w:highlight w:val="none"/>
          <w:vertAlign w:val="subscript"/>
        </w:rPr>
        <w:t>1</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1.1S</w:t>
      </w:r>
      <w:r>
        <w:rPr>
          <w:rFonts w:ascii="仿宋" w:hAnsi="仿宋" w:eastAsia="仿宋" w:cs="仿宋"/>
          <w:color w:val="auto"/>
          <w:sz w:val="24"/>
          <w:szCs w:val="24"/>
          <w:highlight w:val="none"/>
          <w:vertAlign w:val="subscript"/>
        </w:rPr>
        <w:t>0</w:t>
      </w:r>
      <w:r>
        <w:rPr>
          <w:rFonts w:hint="eastAsia" w:ascii="仿宋" w:hAnsi="仿宋" w:eastAsia="仿宋" w:cs="仿宋"/>
          <w:color w:val="auto"/>
          <w:sz w:val="24"/>
          <w:szCs w:val="24"/>
          <w:highlight w:val="none"/>
        </w:rPr>
        <w:t>时，</w:t>
      </w:r>
      <w:r>
        <w:rPr>
          <w:rFonts w:ascii="仿宋" w:hAnsi="仿宋" w:eastAsia="仿宋" w:cs="仿宋"/>
          <w:color w:val="auto"/>
          <w:sz w:val="24"/>
          <w:szCs w:val="24"/>
          <w:highlight w:val="none"/>
        </w:rPr>
        <w:t>M</w:t>
      </w:r>
      <w:r>
        <w:rPr>
          <w:rFonts w:ascii="仿宋" w:hAnsi="仿宋" w:eastAsia="仿宋" w:cs="仿宋"/>
          <w:color w:val="auto"/>
          <w:sz w:val="24"/>
          <w:szCs w:val="24"/>
          <w:highlight w:val="none"/>
          <w:vertAlign w:val="subscript"/>
        </w:rPr>
        <w:t>1</w:t>
      </w:r>
      <w:r>
        <w:rPr>
          <w:rFonts w:ascii="仿宋" w:hAnsi="仿宋" w:eastAsia="仿宋" w:cs="仿宋"/>
          <w:color w:val="auto"/>
          <w:sz w:val="24"/>
          <w:szCs w:val="24"/>
          <w:highlight w:val="none"/>
        </w:rPr>
        <w:t>=M</w:t>
      </w:r>
      <w:r>
        <w:rPr>
          <w:rFonts w:ascii="仿宋" w:hAnsi="仿宋" w:eastAsia="仿宋" w:cs="仿宋"/>
          <w:color w:val="auto"/>
          <w:sz w:val="24"/>
          <w:szCs w:val="24"/>
          <w:highlight w:val="none"/>
          <w:vertAlign w:val="subscript"/>
        </w:rPr>
        <w:t>0</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M</w:t>
      </w:r>
    </w:p>
    <w:p>
      <w:pPr>
        <w:pStyle w:val="2"/>
        <w:shd w:val="clear" w:color="000000" w:fill="auto"/>
        <w:adjustRightInd w:val="0"/>
        <w:snapToGrid w:val="0"/>
        <w:spacing w:line="360" w:lineRule="auto"/>
        <w:ind w:left="2240" w:leftChars="781" w:hanging="600" w:hangingChars="25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）当</w:t>
      </w:r>
      <w:r>
        <w:rPr>
          <w:rFonts w:ascii="仿宋" w:hAnsi="仿宋" w:eastAsia="仿宋" w:cs="仿宋"/>
          <w:color w:val="auto"/>
          <w:sz w:val="24"/>
          <w:szCs w:val="24"/>
          <w:highlight w:val="none"/>
        </w:rPr>
        <w:t>S</w:t>
      </w:r>
      <w:r>
        <w:rPr>
          <w:rFonts w:ascii="仿宋" w:hAnsi="仿宋" w:eastAsia="仿宋" w:cs="仿宋"/>
          <w:color w:val="auto"/>
          <w:sz w:val="24"/>
          <w:szCs w:val="24"/>
          <w:highlight w:val="none"/>
          <w:vertAlign w:val="subscript"/>
        </w:rPr>
        <w:t>1</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0.9S</w:t>
      </w:r>
      <w:r>
        <w:rPr>
          <w:rFonts w:ascii="仿宋" w:hAnsi="仿宋" w:eastAsia="仿宋" w:cs="仿宋"/>
          <w:color w:val="auto"/>
          <w:sz w:val="24"/>
          <w:szCs w:val="24"/>
          <w:highlight w:val="none"/>
          <w:vertAlign w:val="subscript"/>
        </w:rPr>
        <w:t>0</w:t>
      </w:r>
      <w:r>
        <w:rPr>
          <w:rFonts w:hint="eastAsia" w:ascii="仿宋" w:hAnsi="仿宋" w:eastAsia="仿宋" w:cs="仿宋"/>
          <w:color w:val="auto"/>
          <w:sz w:val="24"/>
          <w:szCs w:val="24"/>
          <w:highlight w:val="none"/>
        </w:rPr>
        <w:t>时，</w:t>
      </w:r>
      <w:r>
        <w:rPr>
          <w:rFonts w:ascii="仿宋" w:hAnsi="仿宋" w:eastAsia="仿宋" w:cs="仿宋"/>
          <w:color w:val="auto"/>
          <w:sz w:val="24"/>
          <w:szCs w:val="24"/>
          <w:highlight w:val="none"/>
        </w:rPr>
        <w:t>M</w:t>
      </w:r>
      <w:r>
        <w:rPr>
          <w:rFonts w:ascii="仿宋" w:hAnsi="仿宋" w:eastAsia="仿宋" w:cs="仿宋"/>
          <w:color w:val="auto"/>
          <w:sz w:val="24"/>
          <w:szCs w:val="24"/>
          <w:highlight w:val="none"/>
          <w:vertAlign w:val="subscript"/>
        </w:rPr>
        <w:t>1</w:t>
      </w:r>
      <w:r>
        <w:rPr>
          <w:rFonts w:ascii="仿宋" w:hAnsi="仿宋" w:eastAsia="仿宋" w:cs="仿宋"/>
          <w:color w:val="auto"/>
          <w:sz w:val="24"/>
          <w:szCs w:val="24"/>
          <w:highlight w:val="none"/>
        </w:rPr>
        <w:t>=M</w:t>
      </w:r>
      <w:r>
        <w:rPr>
          <w:rFonts w:ascii="仿宋" w:hAnsi="仿宋" w:eastAsia="仿宋" w:cs="仿宋"/>
          <w:color w:val="auto"/>
          <w:sz w:val="24"/>
          <w:szCs w:val="24"/>
          <w:highlight w:val="none"/>
          <w:vertAlign w:val="subscript"/>
        </w:rPr>
        <w:t>0</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M</w:t>
      </w:r>
    </w:p>
    <w:p>
      <w:pPr>
        <w:pStyle w:val="2"/>
        <w:shd w:val="clear" w:color="000000" w:fill="auto"/>
        <w:adjustRightInd w:val="0"/>
        <w:snapToGrid w:val="0"/>
        <w:spacing w:line="360" w:lineRule="auto"/>
        <w:ind w:firstLine="1800" w:firstLineChars="75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式中</w:t>
      </w:r>
      <w:r>
        <w:rPr>
          <w:rFonts w:ascii="仿宋" w:hAnsi="仿宋" w:eastAsia="仿宋" w:cs="仿宋"/>
          <w:color w:val="auto"/>
          <w:sz w:val="24"/>
          <w:szCs w:val="24"/>
          <w:highlight w:val="none"/>
        </w:rPr>
        <w:t>M</w:t>
      </w:r>
      <w:r>
        <w:rPr>
          <w:rFonts w:ascii="仿宋" w:hAnsi="仿宋" w:eastAsia="仿宋" w:cs="仿宋"/>
          <w:color w:val="auto"/>
          <w:sz w:val="24"/>
          <w:szCs w:val="24"/>
          <w:highlight w:val="none"/>
          <w:vertAlign w:val="subscript"/>
        </w:rPr>
        <w:t>1</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调整后的发生变化措施项目费结算价；</w:t>
      </w:r>
    </w:p>
    <w:p>
      <w:pPr>
        <w:pStyle w:val="2"/>
        <w:shd w:val="clear" w:color="000000" w:fill="auto"/>
        <w:adjustRightInd w:val="0"/>
        <w:snapToGrid w:val="0"/>
        <w:spacing w:line="360" w:lineRule="auto"/>
        <w:ind w:firstLine="2280" w:firstLineChars="95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M</w:t>
      </w:r>
      <w:r>
        <w:rPr>
          <w:rFonts w:ascii="仿宋" w:hAnsi="仿宋" w:eastAsia="仿宋" w:cs="仿宋"/>
          <w:color w:val="auto"/>
          <w:sz w:val="24"/>
          <w:szCs w:val="24"/>
          <w:highlight w:val="none"/>
          <w:vertAlign w:val="subscript"/>
        </w:rPr>
        <w:t>0</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承包人在工程量清单中填报的措施项目费；</w:t>
      </w:r>
    </w:p>
    <w:p>
      <w:pPr>
        <w:pStyle w:val="2"/>
        <w:shd w:val="clear" w:color="000000" w:fill="auto"/>
        <w:adjustRightInd w:val="0"/>
        <w:snapToGrid w:val="0"/>
        <w:spacing w:line="360" w:lineRule="auto"/>
        <w:ind w:left="960" w:leftChars="457" w:firstLine="1320" w:firstLineChars="550"/>
        <w:rPr>
          <w:rFonts w:ascii="仿宋" w:hAnsi="仿宋" w:eastAsia="仿宋" w:cs="Times New Roman"/>
          <w:color w:val="auto"/>
          <w:sz w:val="24"/>
          <w:szCs w:val="24"/>
          <w:highlight w:val="none"/>
        </w:rPr>
      </w:pPr>
      <w:r>
        <w:rPr>
          <w:rFonts w:ascii="Courier New" w:eastAsia="仿宋" w:cs="Courier New"/>
          <w:color w:val="auto"/>
          <w:sz w:val="24"/>
          <w:szCs w:val="24"/>
          <w:highlight w:val="none"/>
        </w:rPr>
        <w:t>∆</w:t>
      </w:r>
      <w:r>
        <w:rPr>
          <w:rFonts w:ascii="仿宋" w:hAnsi="仿宋" w:eastAsia="仿宋" w:cs="仿宋"/>
          <w:color w:val="auto"/>
          <w:sz w:val="24"/>
          <w:szCs w:val="24"/>
          <w:highlight w:val="none"/>
        </w:rPr>
        <w:t>M——</w:t>
      </w:r>
      <w:r>
        <w:rPr>
          <w:rFonts w:hint="eastAsia" w:ascii="仿宋" w:hAnsi="仿宋" w:eastAsia="仿宋" w:cs="仿宋"/>
          <w:color w:val="auto"/>
          <w:sz w:val="24"/>
          <w:szCs w:val="24"/>
          <w:highlight w:val="none"/>
        </w:rPr>
        <w:t>按照第</w:t>
      </w:r>
      <w:r>
        <w:rPr>
          <w:rFonts w:ascii="仿宋" w:hAnsi="仿宋" w:eastAsia="仿宋" w:cs="仿宋"/>
          <w:color w:val="auto"/>
          <w:sz w:val="24"/>
          <w:szCs w:val="24"/>
          <w:highlight w:val="none"/>
        </w:rPr>
        <w:t>72.3</w:t>
      </w:r>
      <w:r>
        <w:rPr>
          <w:rFonts w:hint="eastAsia" w:ascii="仿宋" w:hAnsi="仿宋" w:eastAsia="仿宋" w:cs="仿宋"/>
          <w:color w:val="auto"/>
          <w:sz w:val="24"/>
          <w:szCs w:val="24"/>
          <w:highlight w:val="none"/>
        </w:rPr>
        <w:t>款规定调整的发生变化部分的措施项目费；</w:t>
      </w:r>
    </w:p>
    <w:p>
      <w:pPr>
        <w:pStyle w:val="2"/>
        <w:shd w:val="clear" w:color="000000" w:fill="auto"/>
        <w:adjustRightInd w:val="0"/>
        <w:snapToGrid w:val="0"/>
        <w:spacing w:line="360" w:lineRule="auto"/>
        <w:ind w:firstLine="2280" w:firstLineChars="95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S</w:t>
      </w:r>
      <w:r>
        <w:rPr>
          <w:rFonts w:ascii="仿宋" w:hAnsi="仿宋" w:eastAsia="仿宋" w:cs="仿宋"/>
          <w:color w:val="auto"/>
          <w:sz w:val="24"/>
          <w:szCs w:val="24"/>
          <w:highlight w:val="none"/>
          <w:vertAlign w:val="subscript"/>
        </w:rPr>
        <w:t>1</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调整后的某一分部分项工程费结算价；</w:t>
      </w:r>
    </w:p>
    <w:p>
      <w:pPr>
        <w:pStyle w:val="2"/>
        <w:shd w:val="clear" w:color="000000" w:fill="auto"/>
        <w:adjustRightInd w:val="0"/>
        <w:snapToGrid w:val="0"/>
        <w:spacing w:line="360" w:lineRule="auto"/>
        <w:ind w:firstLine="2280" w:firstLineChars="95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S</w:t>
      </w:r>
      <w:r>
        <w:rPr>
          <w:rFonts w:ascii="仿宋" w:hAnsi="仿宋" w:eastAsia="仿宋" w:cs="仿宋"/>
          <w:color w:val="auto"/>
          <w:sz w:val="24"/>
          <w:szCs w:val="24"/>
          <w:highlight w:val="none"/>
          <w:vertAlign w:val="subscript"/>
        </w:rPr>
        <w:t>0</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承包人报价文件对应的某一分部分项工程费。</w:t>
      </w:r>
    </w:p>
    <w:p>
      <w:pPr>
        <w:shd w:val="clear" w:color="000000" w:fill="auto"/>
        <w:tabs>
          <w:tab w:val="left" w:pos="1620"/>
        </w:tabs>
        <w:rPr>
          <w:rFonts w:ascii="仿宋" w:hAnsi="仿宋" w:eastAsia="仿宋" w:cs="Times New Roman"/>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
        <w:shd w:val="clear" w:color="000000" w:fill="auto"/>
        <w:tabs>
          <w:tab w:val="left" w:pos="540"/>
        </w:tabs>
        <w:adjustRightInd w:val="0"/>
        <w:snapToGrid w:val="0"/>
        <w:spacing w:before="240" w:beforeLines="100" w:line="360" w:lineRule="auto"/>
        <w:outlineLvl w:val="2"/>
        <w:rPr>
          <w:rFonts w:ascii="仿宋" w:hAnsi="仿宋" w:eastAsia="仿宋" w:cs="Times New Roman"/>
          <w:b/>
          <w:bCs/>
          <w:color w:val="auto"/>
          <w:sz w:val="24"/>
          <w:szCs w:val="24"/>
          <w:highlight w:val="none"/>
        </w:rPr>
      </w:pPr>
      <w:bookmarkStart w:id="351" w:name="_Toc469384058"/>
      <w:bookmarkStart w:id="352" w:name="_Toc19298"/>
      <w:bookmarkStart w:id="353" w:name="_Toc10624898"/>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74  </w:t>
      </w:r>
      <w:r>
        <w:rPr>
          <w:rFonts w:hint="eastAsia" w:ascii="仿宋" w:hAnsi="仿宋" w:eastAsia="仿宋" w:cs="仿宋"/>
          <w:b/>
          <w:bCs/>
          <w:color w:val="auto"/>
          <w:sz w:val="24"/>
          <w:szCs w:val="24"/>
          <w:highlight w:val="none"/>
        </w:rPr>
        <w:t>费用索赔事件</w:t>
      </w:r>
      <w:bookmarkEnd w:id="351"/>
      <w:bookmarkEnd w:id="352"/>
      <w:bookmarkEnd w:id="353"/>
    </w:p>
    <w:p>
      <w:pPr>
        <w:pStyle w:val="2"/>
        <w:shd w:val="clear" w:color="000000" w:fill="auto"/>
        <w:adjustRightInd w:val="0"/>
        <w:snapToGrid w:val="0"/>
        <w:spacing w:line="360" w:lineRule="auto"/>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74.1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71584"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306" name="文本框 310"/>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索赔的价款调整</w:t>
                            </w:r>
                          </w:p>
                        </w:txbxContent>
                      </wps:txbx>
                      <wps:bodyPr upright="1"/>
                    </wps:wsp>
                  </a:graphicData>
                </a:graphic>
              </wp:anchor>
            </w:drawing>
          </mc:Choice>
          <mc:Fallback>
            <w:pict>
              <v:shape id="文本框 310" o:spid="_x0000_s1026" o:spt="202" type="#_x0000_t202" style="position:absolute;left:0pt;margin-left:-9pt;margin-top:1.25pt;height:31.2pt;width:72pt;z-index:251971584;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A/P8HDVAAAA&#10;CAEAAA8AAAAAAAAAAQAgAAAAIgAAAGRycy9kb3ducmV2LnhtbFBLAQIUABQAAAAIAIdO4kAmET9q&#10;rgEAAFEDAAAOAAAAAAAAAAEAIAAAACQBAABkcnMvZTJvRG9jLnhtbFBLBQYAAAAABgAGAFkBAABE&#10;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索赔的价款调整</w:t>
                      </w:r>
                    </w:p>
                  </w:txbxContent>
                </v:textbox>
              </v:shape>
            </w:pict>
          </mc:Fallback>
        </mc:AlternateContent>
      </w:r>
      <w:r>
        <w:rPr>
          <w:rFonts w:hint="eastAsia" w:ascii="仿宋" w:hAnsi="仿宋" w:eastAsia="仿宋" w:cs="仿宋"/>
          <w:color w:val="auto"/>
          <w:sz w:val="24"/>
          <w:szCs w:val="24"/>
          <w:highlight w:val="none"/>
        </w:rPr>
        <w:t>费用索赔是指合同履行期间，对于非自己过错而应由对方当事人承担责任的情况造成的损失，向对方当事人提出经济补偿要求的行为。</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合同履行期间，出现费用索赔事件的，合同双方当事人应调整合同价款。</w:t>
      </w:r>
    </w:p>
    <w:p>
      <w:pPr>
        <w:pStyle w:val="2"/>
        <w:shd w:val="clear" w:color="000000" w:fill="auto"/>
        <w:adjustRightInd w:val="0"/>
        <w:snapToGrid w:val="0"/>
        <w:spacing w:line="360" w:lineRule="auto"/>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74.2  </w:t>
      </w:r>
      <w:r>
        <w:rPr>
          <w:rFonts w:ascii="仿宋" w:hAnsi="仿宋" w:eastAsia="仿宋" w:cs="仿宋"/>
          <w:b/>
          <w:bCs/>
          <w:color w:val="auto"/>
          <w:sz w:val="24"/>
          <w:szCs w:val="24"/>
          <w:highlight w:val="none"/>
          <w:u w:val="dotted"/>
        </w:rPr>
        <w:t xml:space="preserve">                                                                                      </w:t>
      </w:r>
      <w:r>
        <w:rPr>
          <w:rFonts w:ascii="仿宋" w:hAnsi="仿宋" w:eastAsia="仿宋" w:cs="仿宋"/>
          <w:b/>
          <w:bCs/>
          <w:color w:val="auto"/>
          <w:sz w:val="24"/>
          <w:szCs w:val="24"/>
          <w:highlight w:val="none"/>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72608"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307" name="文本框 31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发出索赔意向书</w:t>
                            </w:r>
                          </w:p>
                        </w:txbxContent>
                      </wps:txbx>
                      <wps:bodyPr upright="1"/>
                    </wps:wsp>
                  </a:graphicData>
                </a:graphic>
              </wp:anchor>
            </w:drawing>
          </mc:Choice>
          <mc:Fallback>
            <w:pict>
              <v:shape id="文本框 311" o:spid="_x0000_s1026" o:spt="202" type="#_x0000_t202" style="position:absolute;left:0pt;margin-left:-9pt;margin-top:1.25pt;height:31.2pt;width:72pt;z-index:251972608;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8/wcNUA&#10;AAAIAQAADwAAAAAAAAABACAAAAAiAAAAZHJzL2Rvd25yZXYueG1sUEsBAhQAFAAAAAgAh07iQAXo&#10;QcKwAQAAUQMAAA4AAAAAAAAAAQAgAAAAJAEAAGRycy9lMm9Eb2MueG1sUEsFBgAAAAAGAAYAWQEA&#10;AEY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发出索赔意向书</w:t>
                      </w:r>
                    </w:p>
                  </w:txbxContent>
                </v:textbox>
              </v:shape>
            </w:pict>
          </mc:Fallback>
        </mc:AlternateContent>
      </w:r>
      <w:r>
        <w:rPr>
          <w:rFonts w:hint="eastAsia" w:ascii="仿宋" w:hAnsi="仿宋" w:eastAsia="仿宋" w:cs="仿宋"/>
          <w:color w:val="auto"/>
          <w:sz w:val="24"/>
          <w:szCs w:val="24"/>
          <w:highlight w:val="none"/>
        </w:rPr>
        <w:t>如果承包人根据合同约定提出任何费用或其它形式的损失索赔时，应在该索赔事件首次发生之后的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天内向造价工程师发出索赔意向书，并抄送发包人。</w:t>
      </w:r>
    </w:p>
    <w:p>
      <w:pPr>
        <w:pStyle w:val="2"/>
        <w:shd w:val="clear" w:color="000000" w:fill="auto"/>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74.3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73632" behindDoc="0" locked="0" layoutInCell="1" allowOverlap="1">
                <wp:simplePos x="0" y="0"/>
                <wp:positionH relativeFrom="column">
                  <wp:posOffset>-114300</wp:posOffset>
                </wp:positionH>
                <wp:positionV relativeFrom="paragraph">
                  <wp:posOffset>635</wp:posOffset>
                </wp:positionV>
                <wp:extent cx="914400" cy="522605"/>
                <wp:effectExtent l="0" t="0" r="0" b="0"/>
                <wp:wrapNone/>
                <wp:docPr id="308" name="文本框 312"/>
                <wp:cNvGraphicFramePr/>
                <a:graphic xmlns:a="http://schemas.openxmlformats.org/drawingml/2006/main">
                  <a:graphicData uri="http://schemas.microsoft.com/office/word/2010/wordprocessingShape">
                    <wps:wsp>
                      <wps:cNvSpPr txBox="1"/>
                      <wps:spPr>
                        <a:xfrm>
                          <a:off x="0" y="0"/>
                          <a:ext cx="914400" cy="52260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索赔记录的保存和审查</w:t>
                            </w:r>
                          </w:p>
                        </w:txbxContent>
                      </wps:txbx>
                      <wps:bodyPr upright="1"/>
                    </wps:wsp>
                  </a:graphicData>
                </a:graphic>
              </wp:anchor>
            </w:drawing>
          </mc:Choice>
          <mc:Fallback>
            <w:pict>
              <v:shape id="文本框 312" o:spid="_x0000_s1026" o:spt="202" type="#_x0000_t202" style="position:absolute;left:0pt;margin-left:-9pt;margin-top:0.05pt;height:41.15pt;width:72pt;z-index:251973632;mso-width-relative:page;mso-height-relative:page;" filled="f" stroked="f" coordsize="21600,21600" o:gfxdata="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902QKdMAAAAH&#10;AQAADwAAAAAAAAABACAAAAAiAAAAZHJzL2Rvd25yZXYueG1sUEsBAhQAFAAAAAgAh07iQKmeBOSv&#10;AQAAUQMAAA4AAAAAAAAAAQAgAAAAIgEAAGRycy9lMm9Eb2MueG1sUEsFBgAAAAAGAAYAWQEAAEMF&#10;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索赔记录的保存和审查</w:t>
                      </w:r>
                    </w:p>
                  </w:txbxContent>
                </v:textbox>
              </v:shape>
            </w:pict>
          </mc:Fallback>
        </mc:AlternateContent>
      </w:r>
      <w:r>
        <w:rPr>
          <w:rFonts w:hint="eastAsia" w:ascii="仿宋" w:hAnsi="仿宋" w:eastAsia="仿宋" w:cs="仿宋"/>
          <w:color w:val="auto"/>
          <w:sz w:val="24"/>
          <w:szCs w:val="24"/>
          <w:highlight w:val="none"/>
        </w:rPr>
        <w:t>在索赔事件发生时，承包人应保存当时的记录，作为申请索赔的凭证。造价工程师在接到索赔意向书时，无需确认是否属于发包人责任，应先审查记录并可要求承包人进一步作好补充记录。承包人应配合造价工程师审查其记录，在造价工程师有要求时，应当向造价工程师提供记录的复印件。</w:t>
      </w:r>
    </w:p>
    <w:p>
      <w:pPr>
        <w:pStyle w:val="2"/>
        <w:shd w:val="clear" w:color="000000" w:fill="auto"/>
        <w:adjustRightInd w:val="0"/>
        <w:snapToGrid w:val="0"/>
        <w:spacing w:line="360" w:lineRule="auto"/>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74.4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74656" behindDoc="0" locked="0" layoutInCell="1" allowOverlap="1">
                <wp:simplePos x="0" y="0"/>
                <wp:positionH relativeFrom="column">
                  <wp:posOffset>-114300</wp:posOffset>
                </wp:positionH>
                <wp:positionV relativeFrom="paragraph">
                  <wp:posOffset>5080</wp:posOffset>
                </wp:positionV>
                <wp:extent cx="1028700" cy="480060"/>
                <wp:effectExtent l="0" t="0" r="0" b="0"/>
                <wp:wrapNone/>
                <wp:docPr id="309" name="文本框 313"/>
                <wp:cNvGraphicFramePr/>
                <a:graphic xmlns:a="http://schemas.openxmlformats.org/drawingml/2006/main">
                  <a:graphicData uri="http://schemas.microsoft.com/office/word/2010/wordprocessingShape">
                    <wps:wsp>
                      <wps:cNvSpPr txBox="1"/>
                      <wps:spPr>
                        <a:xfrm>
                          <a:off x="0" y="0"/>
                          <a:ext cx="1028700" cy="48006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提交费用索赔</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报告</w:t>
                            </w:r>
                          </w:p>
                        </w:txbxContent>
                      </wps:txbx>
                      <wps:bodyPr upright="1"/>
                    </wps:wsp>
                  </a:graphicData>
                </a:graphic>
              </wp:anchor>
            </w:drawing>
          </mc:Choice>
          <mc:Fallback>
            <w:pict>
              <v:shape id="文本框 313" o:spid="_x0000_s1026" o:spt="202" type="#_x0000_t202" style="position:absolute;left:0pt;margin-left:-9pt;margin-top:0.4pt;height:37.8pt;width:81pt;z-index:251974656;mso-width-relative:page;mso-height-relative:page;" filled="f" stroked="f" coordsize="21600,21600" o:gfxdata="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JhmslzTAAAA&#10;BwEAAA8AAAAAAAAAAQAgAAAAIgAAAGRycy9kb3ducmV2LnhtbFBLAQIUABQAAAAIAIdO4kCSN+66&#10;sAEAAFIDAAAOAAAAAAAAAAEAIAAAACIBAABkcnMvZTJvRG9jLnhtbFBLBQYAAAAABgAGAFkBAABE&#10;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提交费用索赔</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报告</w:t>
                      </w:r>
                    </w:p>
                  </w:txbxContent>
                </v:textbox>
              </v:shape>
            </w:pict>
          </mc:Fallback>
        </mc:AlternateContent>
      </w:r>
      <w:r>
        <w:rPr>
          <w:rFonts w:hint="eastAsia" w:ascii="仿宋" w:hAnsi="仿宋" w:eastAsia="仿宋" w:cs="仿宋"/>
          <w:color w:val="auto"/>
          <w:sz w:val="24"/>
          <w:szCs w:val="24"/>
          <w:highlight w:val="none"/>
        </w:rPr>
        <w:t>在发出索赔意向书后的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天内，承包人应向造价工程师提交费用索赔报告和有关资料。如果索赔事件持续进行，承包人应每隔</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天向造价工程师发出索赔意向书，在索赔事件终结后的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天内，提交最终费用索赔报告和有关资料。</w:t>
      </w:r>
    </w:p>
    <w:p>
      <w:pPr>
        <w:pStyle w:val="2"/>
        <w:shd w:val="clear" w:color="000000" w:fill="auto"/>
        <w:adjustRightInd w:val="0"/>
        <w:snapToGrid w:val="0"/>
        <w:spacing w:line="360" w:lineRule="auto"/>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975680" behindDoc="0" locked="0" layoutInCell="1" allowOverlap="1">
                <wp:simplePos x="0" y="0"/>
                <wp:positionH relativeFrom="column">
                  <wp:posOffset>-114300</wp:posOffset>
                </wp:positionH>
                <wp:positionV relativeFrom="paragraph">
                  <wp:posOffset>250825</wp:posOffset>
                </wp:positionV>
                <wp:extent cx="800100" cy="324485"/>
                <wp:effectExtent l="0" t="0" r="0" b="0"/>
                <wp:wrapNone/>
                <wp:docPr id="310" name="文本框 314"/>
                <wp:cNvGraphicFramePr/>
                <a:graphic xmlns:a="http://schemas.openxmlformats.org/drawingml/2006/main">
                  <a:graphicData uri="http://schemas.microsoft.com/office/word/2010/wordprocessingShape">
                    <wps:wsp>
                      <wps:cNvSpPr txBox="1"/>
                      <wps:spPr>
                        <a:xfrm>
                          <a:off x="0" y="0"/>
                          <a:ext cx="800100" cy="32448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无权索赔</w:t>
                            </w:r>
                          </w:p>
                        </w:txbxContent>
                      </wps:txbx>
                      <wps:bodyPr upright="1"/>
                    </wps:wsp>
                  </a:graphicData>
                </a:graphic>
              </wp:anchor>
            </w:drawing>
          </mc:Choice>
          <mc:Fallback>
            <w:pict>
              <v:shape id="文本框 314" o:spid="_x0000_s1026" o:spt="202" type="#_x0000_t202" style="position:absolute;left:0pt;margin-left:-9pt;margin-top:19.75pt;height:25.55pt;width:63pt;z-index:251975680;mso-width-relative:page;mso-height-relative:page;" filled="f" stroked="f" coordsize="21600,21600" o:gfxdata="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cNXai1gAA&#10;AAkBAAAPAAAAAAAAAAEAIAAAACIAAABkcnMvZG93bnJldi54bWxQSwECFAAUAAAACACHTuJA76Fm&#10;sq4BAABRAwAADgAAAAAAAAABACAAAAAlAQAAZHJzL2Uyb0RvYy54bWxQSwUGAAAAAAYABgBZAQAA&#10;RQ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无权索赔</w:t>
                      </w:r>
                    </w:p>
                  </w:txbxContent>
                </v:textbox>
              </v:shape>
            </w:pict>
          </mc:Fallback>
        </mc:AlternateContent>
      </w:r>
      <w:r>
        <w:rPr>
          <w:rFonts w:ascii="仿宋" w:hAnsi="仿宋" w:eastAsia="仿宋" w:cs="仿宋"/>
          <w:b/>
          <w:bCs/>
          <w:color w:val="auto"/>
          <w:sz w:val="24"/>
          <w:szCs w:val="24"/>
          <w:highlight w:val="none"/>
        </w:rPr>
        <w:t xml:space="preserve">74.5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b/>
          <w:bCs/>
          <w:color w:val="auto"/>
          <w:sz w:val="24"/>
          <w:szCs w:val="24"/>
          <w:highlight w:val="none"/>
        </w:rPr>
      </w:pPr>
      <w:r>
        <w:rPr>
          <w:rFonts w:hint="eastAsia" w:ascii="仿宋" w:hAnsi="仿宋" w:eastAsia="仿宋" w:cs="仿宋"/>
          <w:color w:val="auto"/>
          <w:sz w:val="24"/>
          <w:szCs w:val="24"/>
          <w:highlight w:val="none"/>
        </w:rPr>
        <w:t>如果承包人提出的索赔未能遵守第</w:t>
      </w:r>
      <w:r>
        <w:rPr>
          <w:rFonts w:ascii="仿宋" w:hAnsi="仿宋" w:eastAsia="仿宋" w:cs="仿宋"/>
          <w:color w:val="auto"/>
          <w:sz w:val="24"/>
          <w:szCs w:val="24"/>
          <w:highlight w:val="none"/>
        </w:rPr>
        <w:t>74.2</w:t>
      </w:r>
      <w:r>
        <w:rPr>
          <w:rFonts w:hint="eastAsia" w:ascii="仿宋" w:hAnsi="仿宋" w:eastAsia="仿宋" w:cs="仿宋"/>
          <w:color w:val="auto"/>
          <w:sz w:val="24"/>
          <w:szCs w:val="24"/>
          <w:highlight w:val="none"/>
        </w:rPr>
        <w:t>款至第</w:t>
      </w:r>
      <w:r>
        <w:rPr>
          <w:rFonts w:ascii="仿宋" w:hAnsi="仿宋" w:eastAsia="仿宋" w:cs="仿宋"/>
          <w:color w:val="auto"/>
          <w:sz w:val="24"/>
          <w:szCs w:val="24"/>
          <w:highlight w:val="none"/>
        </w:rPr>
        <w:t>74.4</w:t>
      </w:r>
      <w:r>
        <w:rPr>
          <w:rFonts w:hint="eastAsia" w:ascii="仿宋" w:hAnsi="仿宋" w:eastAsia="仿宋" w:cs="仿宋"/>
          <w:color w:val="auto"/>
          <w:sz w:val="24"/>
          <w:szCs w:val="24"/>
          <w:highlight w:val="none"/>
        </w:rPr>
        <w:t>款规定，则承包人无权获得索赔或只限于获得由造价工程师按照提供记录予以核实的部分款额。</w:t>
      </w:r>
    </w:p>
    <w:p>
      <w:pPr>
        <w:pStyle w:val="2"/>
        <w:shd w:val="clear" w:color="000000" w:fill="auto"/>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74.6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976704" behindDoc="0" locked="0" layoutInCell="1" allowOverlap="1">
                <wp:simplePos x="0" y="0"/>
                <wp:positionH relativeFrom="column">
                  <wp:posOffset>-114300</wp:posOffset>
                </wp:positionH>
                <wp:positionV relativeFrom="paragraph">
                  <wp:posOffset>8255</wp:posOffset>
                </wp:positionV>
                <wp:extent cx="914400" cy="438785"/>
                <wp:effectExtent l="0" t="0" r="0" b="0"/>
                <wp:wrapNone/>
                <wp:docPr id="311" name="文本框 315"/>
                <wp:cNvGraphicFramePr/>
                <a:graphic xmlns:a="http://schemas.openxmlformats.org/drawingml/2006/main">
                  <a:graphicData uri="http://schemas.microsoft.com/office/word/2010/wordprocessingShape">
                    <wps:wsp>
                      <wps:cNvSpPr txBox="1"/>
                      <wps:spPr>
                        <a:xfrm>
                          <a:off x="0" y="0"/>
                          <a:ext cx="914400" cy="43878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核实费用索赔报告的限制</w:t>
                            </w:r>
                          </w:p>
                        </w:txbxContent>
                      </wps:txbx>
                      <wps:bodyPr upright="1"/>
                    </wps:wsp>
                  </a:graphicData>
                </a:graphic>
              </wp:anchor>
            </w:drawing>
          </mc:Choice>
          <mc:Fallback>
            <w:pict>
              <v:shape id="文本框 315" o:spid="_x0000_s1026" o:spt="202" type="#_x0000_t202" style="position:absolute;left:0pt;margin-left:-9pt;margin-top:0.65pt;height:34.55pt;width:72pt;z-index:251976704;mso-width-relative:page;mso-height-relative:page;" filled="f" stroked="f" coordsize="21600,21600" o:gfxdata="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a/9NBdUA&#10;AAAIAQAADwAAAAAAAAABACAAAAAiAAAAZHJzL2Rvd25yZXYueG1sUEsBAhQAFAAAAAgAh07iQDFY&#10;xyywAQAAUQMAAA4AAAAAAAAAAQAgAAAAJAEAAGRycy9lMm9Eb2MueG1sUEsFBgAAAAAGAAYAWQEA&#10;AEY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核实费用索赔报告的限制</w:t>
                      </w:r>
                    </w:p>
                  </w:txbxContent>
                </v:textbox>
              </v:shape>
            </w:pict>
          </mc:Fallback>
        </mc:AlternateContent>
      </w:r>
      <w:r>
        <w:rPr>
          <w:rFonts w:hint="eastAsia" w:ascii="仿宋" w:hAnsi="仿宋" w:eastAsia="仿宋" w:cs="仿宋"/>
          <w:color w:val="auto"/>
          <w:sz w:val="24"/>
          <w:szCs w:val="24"/>
          <w:highlight w:val="none"/>
        </w:rPr>
        <w:t>造价工程师应在收到承包人提交的费用索赔报告和有关资料后的</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予以核实或要求承包人进一步补充索赔理由和证据，并与合同双方当事人协商确定承包人有权获得的全部或部分的索赔款额；协商不能达成一致的，由造价工程师暂定，通知承包人并抄报发包人。如果造价工程师在规定期限内未予答复也未对承包人作出进一步要求，视为该费用索赔报告已经被认可。</w:t>
      </w:r>
    </w:p>
    <w:p>
      <w:pPr>
        <w:pStyle w:val="2"/>
        <w:shd w:val="clear" w:color="000000" w:fill="auto"/>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74.7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77728" behindDoc="0" locked="0" layoutInCell="1" allowOverlap="1">
                <wp:simplePos x="0" y="0"/>
                <wp:positionH relativeFrom="column">
                  <wp:posOffset>-114300</wp:posOffset>
                </wp:positionH>
                <wp:positionV relativeFrom="paragraph">
                  <wp:posOffset>38735</wp:posOffset>
                </wp:positionV>
                <wp:extent cx="800100" cy="349885"/>
                <wp:effectExtent l="0" t="0" r="0" b="0"/>
                <wp:wrapNone/>
                <wp:docPr id="312" name="文本框 316"/>
                <wp:cNvGraphicFramePr/>
                <a:graphic xmlns:a="http://schemas.openxmlformats.org/drawingml/2006/main">
                  <a:graphicData uri="http://schemas.microsoft.com/office/word/2010/wordprocessingShape">
                    <wps:wsp>
                      <wps:cNvSpPr txBox="1"/>
                      <wps:spPr>
                        <a:xfrm>
                          <a:off x="0" y="0"/>
                          <a:ext cx="800100" cy="34988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反索赔</w:t>
                            </w:r>
                          </w:p>
                        </w:txbxContent>
                      </wps:txbx>
                      <wps:bodyPr upright="1"/>
                    </wps:wsp>
                  </a:graphicData>
                </a:graphic>
              </wp:anchor>
            </w:drawing>
          </mc:Choice>
          <mc:Fallback>
            <w:pict>
              <v:shape id="文本框 316" o:spid="_x0000_s1026" o:spt="202" type="#_x0000_t202" style="position:absolute;left:0pt;margin-left:-9pt;margin-top:3.05pt;height:27.55pt;width:63pt;z-index:251977728;mso-width-relative:page;mso-height-relative:page;" filled="f" stroked="f" coordsize="21600,21600" o:gfxdata="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t6SadMAAAAI&#10;AQAADwAAAAAAAAABACAAAAAiAAAAZHJzL2Rvd25yZXYueG1sUEsBAhQAFAAAAAgAh07iQM5s8ISv&#10;AQAAUQMAAA4AAAAAAAAAAQAgAAAAIgEAAGRycy9lMm9Eb2MueG1sUEsFBgAAAAAGAAYAWQEAAEMF&#10;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反索赔</w:t>
                      </w:r>
                    </w:p>
                  </w:txbxContent>
                </v:textbox>
              </v:shape>
            </w:pict>
          </mc:Fallback>
        </mc:AlternateContent>
      </w:r>
      <w:r>
        <w:rPr>
          <w:rFonts w:hint="eastAsia" w:ascii="仿宋" w:hAnsi="仿宋" w:eastAsia="仿宋" w:cs="仿宋"/>
          <w:color w:val="auto"/>
          <w:sz w:val="24"/>
          <w:szCs w:val="24"/>
          <w:highlight w:val="none"/>
        </w:rPr>
        <w:t>承包人未能按照合同约定履行各项义务或发生错误，给发包人造成损失，发包人可按照本条规定的时限和要求向承包人提出索赔。</w:t>
      </w:r>
    </w:p>
    <w:p>
      <w:pPr>
        <w:pStyle w:val="2"/>
        <w:shd w:val="clear" w:color="000000" w:fill="auto"/>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74.8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78752" behindDoc="0" locked="0" layoutInCell="1" allowOverlap="1">
                <wp:simplePos x="0" y="0"/>
                <wp:positionH relativeFrom="column">
                  <wp:posOffset>-114300</wp:posOffset>
                </wp:positionH>
                <wp:positionV relativeFrom="paragraph">
                  <wp:posOffset>18415</wp:posOffset>
                </wp:positionV>
                <wp:extent cx="914400" cy="622300"/>
                <wp:effectExtent l="0" t="0" r="0" b="0"/>
                <wp:wrapNone/>
                <wp:docPr id="313" name="文本框 317"/>
                <wp:cNvGraphicFramePr/>
                <a:graphic xmlns:a="http://schemas.openxmlformats.org/drawingml/2006/main">
                  <a:graphicData uri="http://schemas.microsoft.com/office/word/2010/wordprocessingShape">
                    <wps:wsp>
                      <wps:cNvSpPr txBox="1"/>
                      <wps:spPr>
                        <a:xfrm>
                          <a:off x="0" y="0"/>
                          <a:ext cx="914400" cy="62230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调整价款的确认与支付</w:t>
                            </w:r>
                          </w:p>
                        </w:txbxContent>
                      </wps:txbx>
                      <wps:bodyPr upright="1"/>
                    </wps:wsp>
                  </a:graphicData>
                </a:graphic>
              </wp:anchor>
            </w:drawing>
          </mc:Choice>
          <mc:Fallback>
            <w:pict>
              <v:shape id="文本框 317" o:spid="_x0000_s1026" o:spt="202" type="#_x0000_t202" style="position:absolute;left:0pt;margin-left:-9pt;margin-top:1.45pt;height:49pt;width:72pt;z-index:251978752;mso-width-relative:page;mso-height-relative:page;" filled="f" stroked="f" coordsize="21600,21600" o:gfxdata="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666a9YA&#10;AAAJAQAADwAAAAAAAAABACAAAAAiAAAAZHJzL2Rvd25yZXYueG1sUEsBAhQAFAAAAAgAh07iQBmK&#10;A1SvAQAAUQMAAA4AAAAAAAAAAQAgAAAAJQEAAGRycy9lMm9Eb2MueG1sUEsFBgAAAAAGAAYAWQEA&#10;AEY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调整价款的确认与支付</w:t>
                      </w:r>
                    </w:p>
                  </w:txbxContent>
                </v:textbox>
              </v:shape>
            </w:pict>
          </mc:Fallback>
        </mc:AlternateContent>
      </w:r>
      <w:r>
        <w:rPr>
          <w:rFonts w:hint="eastAsia" w:ascii="仿宋" w:hAnsi="仿宋" w:eastAsia="仿宋" w:cs="仿宋"/>
          <w:color w:val="auto"/>
          <w:sz w:val="24"/>
          <w:szCs w:val="24"/>
          <w:highlight w:val="none"/>
        </w:rPr>
        <w:t>费用索赔报告被认可，则表明该事件已索赔成功，合同双方当事人应确认由此引起调整的合同价款，并作为追加（减）合同价款，与工程进度款或结算款同期支付。</w:t>
      </w:r>
    </w:p>
    <w:p>
      <w:pPr>
        <w:pStyle w:val="2"/>
        <w:shd w:val="clear" w:color="000000" w:fill="auto"/>
        <w:adjustRightInd w:val="0"/>
        <w:snapToGrid w:val="0"/>
        <w:ind w:right="-238"/>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
        <w:shd w:val="clear" w:color="000000" w:fill="auto"/>
        <w:tabs>
          <w:tab w:val="left" w:pos="540"/>
        </w:tabs>
        <w:adjustRightInd w:val="0"/>
        <w:snapToGrid w:val="0"/>
        <w:spacing w:before="240" w:beforeLines="100" w:line="360" w:lineRule="auto"/>
        <w:outlineLvl w:val="2"/>
        <w:rPr>
          <w:rFonts w:ascii="仿宋" w:hAnsi="仿宋" w:eastAsia="仿宋" w:cs="Times New Roman"/>
          <w:b/>
          <w:bCs/>
          <w:color w:val="auto"/>
          <w:sz w:val="24"/>
          <w:szCs w:val="24"/>
          <w:highlight w:val="none"/>
        </w:rPr>
      </w:pPr>
      <w:bookmarkStart w:id="354" w:name="_Toc469384059"/>
      <w:bookmarkStart w:id="355" w:name="_Toc1991"/>
      <w:bookmarkStart w:id="356" w:name="_Toc10624899"/>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75  </w:t>
      </w:r>
      <w:r>
        <w:rPr>
          <w:rFonts w:hint="eastAsia" w:ascii="仿宋" w:hAnsi="仿宋" w:eastAsia="仿宋" w:cs="仿宋"/>
          <w:b/>
          <w:bCs/>
          <w:color w:val="auto"/>
          <w:sz w:val="24"/>
          <w:szCs w:val="24"/>
          <w:highlight w:val="none"/>
        </w:rPr>
        <w:t>现场签证事件</w:t>
      </w:r>
      <w:bookmarkEnd w:id="354"/>
      <w:bookmarkEnd w:id="355"/>
      <w:bookmarkEnd w:id="356"/>
    </w:p>
    <w:p>
      <w:pPr>
        <w:pStyle w:val="2"/>
        <w:shd w:val="clear" w:color="000000" w:fill="auto"/>
        <w:adjustRightInd w:val="0"/>
        <w:snapToGrid w:val="0"/>
        <w:spacing w:line="360" w:lineRule="auto"/>
        <w:rPr>
          <w:rFonts w:ascii="仿宋" w:hAnsi="仿宋" w:eastAsia="仿宋" w:cs="Times New Roman"/>
          <w:b/>
          <w:bCs/>
          <w:color w:val="auto"/>
          <w:sz w:val="24"/>
          <w:szCs w:val="24"/>
          <w:highlight w:val="none"/>
          <w:u w:val="dotted"/>
        </w:rPr>
      </w:pPr>
      <w:r>
        <w:rPr>
          <w:rFonts w:ascii="仿宋" w:hAnsi="仿宋" w:eastAsia="仿宋" w:cs="仿宋"/>
          <w:b/>
          <w:bCs/>
          <w:color w:val="auto"/>
          <w:sz w:val="24"/>
          <w:szCs w:val="24"/>
          <w:highlight w:val="none"/>
        </w:rPr>
        <w:t xml:space="preserve">75.1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79776" behindDoc="0" locked="0" layoutInCell="1" allowOverlap="1">
                <wp:simplePos x="0" y="0"/>
                <wp:positionH relativeFrom="column">
                  <wp:posOffset>-114300</wp:posOffset>
                </wp:positionH>
                <wp:positionV relativeFrom="paragraph">
                  <wp:posOffset>5080</wp:posOffset>
                </wp:positionV>
                <wp:extent cx="914400" cy="510540"/>
                <wp:effectExtent l="0" t="0" r="0" b="0"/>
                <wp:wrapNone/>
                <wp:docPr id="314" name="文本框 318"/>
                <wp:cNvGraphicFramePr/>
                <a:graphic xmlns:a="http://schemas.openxmlformats.org/drawingml/2006/main">
                  <a:graphicData uri="http://schemas.microsoft.com/office/word/2010/wordprocessingShape">
                    <wps:wsp>
                      <wps:cNvSpPr txBox="1"/>
                      <wps:spPr>
                        <a:xfrm>
                          <a:off x="0" y="0"/>
                          <a:ext cx="914400" cy="51054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现场签证的价款调整</w:t>
                            </w:r>
                          </w:p>
                          <w:p>
                            <w:pPr>
                              <w:rPr>
                                <w:rFonts w:cs="Times New Roman"/>
                              </w:rPr>
                            </w:pPr>
                          </w:p>
                        </w:txbxContent>
                      </wps:txbx>
                      <wps:bodyPr upright="1"/>
                    </wps:wsp>
                  </a:graphicData>
                </a:graphic>
              </wp:anchor>
            </w:drawing>
          </mc:Choice>
          <mc:Fallback>
            <w:pict>
              <v:shape id="文本框 318" o:spid="_x0000_s1026" o:spt="202" type="#_x0000_t202" style="position:absolute;left:0pt;margin-left:-9pt;margin-top:0.4pt;height:40.2pt;width:72pt;z-index:251979776;mso-width-relative:page;mso-height-relative:page;" filled="f" stroked="f" coordsize="21600,21600" o:gfxdata="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JVuNf7TAAAA&#10;BwEAAA8AAAAAAAAAAQAgAAAAIgAAAGRycy9kb3ducmV2LnhtbFBLAQIUABQAAAAIAIdO4kA6B0Zj&#10;sAEAAFEDAAAOAAAAAAAAAAEAIAAAACIBAABkcnMvZTJvRG9jLnhtbFBLBQYAAAAABgAGAFkBAABE&#10;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现场签证的价款调整</w:t>
                      </w:r>
                    </w:p>
                    <w:p>
                      <w:pPr>
                        <w:rPr>
                          <w:rFonts w:cs="Times New Roman"/>
                        </w:rPr>
                      </w:pPr>
                    </w:p>
                  </w:txbxContent>
                </v:textbox>
              </v:shape>
            </w:pict>
          </mc:Fallback>
        </mc:AlternateContent>
      </w:r>
      <w:r>
        <w:rPr>
          <w:rFonts w:hint="eastAsia" w:ascii="仿宋" w:hAnsi="仿宋" w:eastAsia="仿宋" w:cs="仿宋"/>
          <w:color w:val="auto"/>
          <w:sz w:val="24"/>
          <w:szCs w:val="24"/>
          <w:highlight w:val="none"/>
        </w:rPr>
        <w:t>现场签证是指合同双方当事人就施工过程中涉及的责任事件所作的签认证明。</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合同履行期间，出现现场签证事件的，合同双方当事人应调整合同价款。</w:t>
      </w:r>
    </w:p>
    <w:p>
      <w:pPr>
        <w:pStyle w:val="2"/>
        <w:shd w:val="clear" w:color="000000" w:fill="auto"/>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75.2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7" w:leftChars="770" w:firstLine="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80800" behindDoc="0" locked="0" layoutInCell="1" allowOverlap="1">
                <wp:simplePos x="0" y="0"/>
                <wp:positionH relativeFrom="column">
                  <wp:posOffset>-114300</wp:posOffset>
                </wp:positionH>
                <wp:positionV relativeFrom="paragraph">
                  <wp:posOffset>18415</wp:posOffset>
                </wp:positionV>
                <wp:extent cx="914400" cy="510540"/>
                <wp:effectExtent l="0" t="0" r="0" b="0"/>
                <wp:wrapNone/>
                <wp:docPr id="315" name="文本框 319"/>
                <wp:cNvGraphicFramePr/>
                <a:graphic xmlns:a="http://schemas.openxmlformats.org/drawingml/2006/main">
                  <a:graphicData uri="http://schemas.microsoft.com/office/word/2010/wordprocessingShape">
                    <wps:wsp>
                      <wps:cNvSpPr txBox="1"/>
                      <wps:spPr>
                        <a:xfrm>
                          <a:off x="0" y="0"/>
                          <a:ext cx="914400" cy="51054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现场签证的提出</w:t>
                            </w:r>
                          </w:p>
                          <w:p>
                            <w:pPr>
                              <w:rPr>
                                <w:rFonts w:cs="Times New Roman"/>
                              </w:rPr>
                            </w:pPr>
                          </w:p>
                        </w:txbxContent>
                      </wps:txbx>
                      <wps:bodyPr upright="1"/>
                    </wps:wsp>
                  </a:graphicData>
                </a:graphic>
              </wp:anchor>
            </w:drawing>
          </mc:Choice>
          <mc:Fallback>
            <w:pict>
              <v:shape id="文本框 319" o:spid="_x0000_s1026" o:spt="202" type="#_x0000_t202" style="position:absolute;left:0pt;margin-left:-9pt;margin-top:1.45pt;height:40.2pt;width:72pt;z-index:251980800;mso-width-relative:page;mso-height-relative:page;" filled="f" stroked="f" coordsize="21600,21600" o:gfxdata="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4Zeed9UA&#10;AAAIAQAADwAAAAAAAAABACAAAAAiAAAAZHJzL2Rvd25yZXYueG1sUEsBAhQAFAAAAAgAh07iQBn+&#10;OMuwAQAAUQMAAA4AAAAAAAAAAQAgAAAAJAEAAGRycy9lMm9Eb2MueG1sUEsFBgAAAAAGAAYAWQEA&#10;AEY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现场签证的提出</w:t>
                      </w:r>
                    </w:p>
                    <w:p>
                      <w:pPr>
                        <w:rPr>
                          <w:rFonts w:cs="Times New Roman"/>
                        </w:rPr>
                      </w:pPr>
                    </w:p>
                  </w:txbxContent>
                </v:textbox>
              </v:shape>
            </w:pict>
          </mc:Fallback>
        </mc:AlternateContent>
      </w:r>
      <w:r>
        <w:rPr>
          <w:rFonts w:hint="eastAsia" w:ascii="仿宋" w:hAnsi="仿宋" w:eastAsia="仿宋" w:cs="仿宋"/>
          <w:color w:val="auto"/>
          <w:sz w:val="24"/>
          <w:szCs w:val="24"/>
          <w:highlight w:val="none"/>
        </w:rPr>
        <w:t>承包人应发包人要求完成合同以外的零星项目、非承包人责任事件等工作的，发包人应通知监理工程师及时以书面形式向承包人发出工作指令，提供所需的相关资料；承包人在收到监理工程师书面通知后，应及时向发包人提出现场签证要求。</w:t>
      </w:r>
    </w:p>
    <w:p>
      <w:pPr>
        <w:pStyle w:val="2"/>
        <w:shd w:val="clear" w:color="000000" w:fill="auto"/>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75.3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81824" behindDoc="0" locked="0" layoutInCell="1" allowOverlap="1">
                <wp:simplePos x="0" y="0"/>
                <wp:positionH relativeFrom="column">
                  <wp:posOffset>-114300</wp:posOffset>
                </wp:positionH>
                <wp:positionV relativeFrom="paragraph">
                  <wp:posOffset>5080</wp:posOffset>
                </wp:positionV>
                <wp:extent cx="914400" cy="510540"/>
                <wp:effectExtent l="0" t="0" r="0" b="0"/>
                <wp:wrapNone/>
                <wp:docPr id="316" name="文本框 320"/>
                <wp:cNvGraphicFramePr/>
                <a:graphic xmlns:a="http://schemas.openxmlformats.org/drawingml/2006/main">
                  <a:graphicData uri="http://schemas.microsoft.com/office/word/2010/wordprocessingShape">
                    <wps:wsp>
                      <wps:cNvSpPr txBox="1"/>
                      <wps:spPr>
                        <a:xfrm>
                          <a:off x="0" y="0"/>
                          <a:ext cx="914400" cy="51054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现场签证报告的确认</w:t>
                            </w:r>
                          </w:p>
                          <w:p>
                            <w:pPr>
                              <w:rPr>
                                <w:rFonts w:cs="Times New Roman"/>
                              </w:rPr>
                            </w:pPr>
                          </w:p>
                        </w:txbxContent>
                      </wps:txbx>
                      <wps:bodyPr upright="1"/>
                    </wps:wsp>
                  </a:graphicData>
                </a:graphic>
              </wp:anchor>
            </w:drawing>
          </mc:Choice>
          <mc:Fallback>
            <w:pict>
              <v:shape id="文本框 320" o:spid="_x0000_s1026" o:spt="202" type="#_x0000_t202" style="position:absolute;left:0pt;margin-left:-9pt;margin-top:0.4pt;height:40.2pt;width:72pt;z-index:251981824;mso-width-relative:page;mso-height-relative:page;" filled="f" stroked="f" coordsize="21600,21600" o:gfxdata="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lW41/tMAAAAH&#10;AQAADwAAAAAAAAABACAAAAAiAAAAZHJzL2Rvd25yZXYueG1sUEsBAhQAFAAAAAgAh07iQJYapNyv&#10;AQAAUQMAAA4AAAAAAAAAAQAgAAAAIgEAAGRycy9lMm9Eb2MueG1sUEsFBgAAAAAGAAYAWQEAAEMF&#10;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现场签证报告的确认</w:t>
                      </w:r>
                    </w:p>
                    <w:p>
                      <w:pPr>
                        <w:rPr>
                          <w:rFonts w:cs="Times New Roman"/>
                        </w:rPr>
                      </w:pPr>
                    </w:p>
                  </w:txbxContent>
                </v:textbox>
              </v:shape>
            </w:pict>
          </mc:Fallback>
        </mc:AlternateContent>
      </w:r>
      <w:r>
        <w:rPr>
          <w:rFonts w:hint="eastAsia" w:ascii="仿宋" w:hAnsi="仿宋" w:eastAsia="仿宋" w:cs="仿宋"/>
          <w:color w:val="auto"/>
          <w:sz w:val="24"/>
          <w:szCs w:val="24"/>
          <w:highlight w:val="none"/>
        </w:rPr>
        <w:t>除专用条款另有约定外，承包人应在收到监理工程师书面通知后的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天内，向发包人提交现场签证报告，并抄送监理工程师、造价工程师。发包人在收到承包人的现场签证报告后，应通知监理工程师、造价工程师对报告内容予以核实，并在收到现场签证报告后的</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小时内予以确认或提出修改意见。发包人在收到承包人现场签证报告后的</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小时内未确认也未提出修改意见的，视为承包人提交的现场签证报告已被认可。</w:t>
      </w:r>
    </w:p>
    <w:p>
      <w:pPr>
        <w:pStyle w:val="2"/>
        <w:shd w:val="clear" w:color="000000" w:fill="auto"/>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75.4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82848" behindDoc="0" locked="0" layoutInCell="1" allowOverlap="1">
                <wp:simplePos x="0" y="0"/>
                <wp:positionH relativeFrom="column">
                  <wp:posOffset>-114300</wp:posOffset>
                </wp:positionH>
                <wp:positionV relativeFrom="paragraph">
                  <wp:posOffset>34290</wp:posOffset>
                </wp:positionV>
                <wp:extent cx="914400" cy="480060"/>
                <wp:effectExtent l="0" t="0" r="0" b="0"/>
                <wp:wrapNone/>
                <wp:docPr id="317" name="文本框 321"/>
                <wp:cNvGraphicFramePr/>
                <a:graphic xmlns:a="http://schemas.openxmlformats.org/drawingml/2006/main">
                  <a:graphicData uri="http://schemas.microsoft.com/office/word/2010/wordprocessingShape">
                    <wps:wsp>
                      <wps:cNvSpPr txBox="1"/>
                      <wps:spPr>
                        <a:xfrm>
                          <a:off x="0" y="0"/>
                          <a:ext cx="914400" cy="48006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现场签证的要求</w:t>
                            </w:r>
                          </w:p>
                          <w:p>
                            <w:pPr>
                              <w:pStyle w:val="2"/>
                              <w:adjustRightInd w:val="0"/>
                              <w:snapToGrid w:val="0"/>
                              <w:spacing w:line="360" w:lineRule="auto"/>
                              <w:rPr>
                                <w:rFonts w:ascii="Times New Roman" w:hAnsi="Times New Roman" w:eastAsia="楷体_GB2312" w:cs="Times New Roman"/>
                                <w:b/>
                                <w:bCs/>
                                <w:sz w:val="18"/>
                                <w:szCs w:val="18"/>
                              </w:rPr>
                            </w:pPr>
                          </w:p>
                          <w:p>
                            <w:pPr>
                              <w:rPr>
                                <w:rFonts w:cs="Times New Roman"/>
                              </w:rPr>
                            </w:pPr>
                          </w:p>
                        </w:txbxContent>
                      </wps:txbx>
                      <wps:bodyPr upright="1"/>
                    </wps:wsp>
                  </a:graphicData>
                </a:graphic>
              </wp:anchor>
            </w:drawing>
          </mc:Choice>
          <mc:Fallback>
            <w:pict>
              <v:shape id="文本框 321" o:spid="_x0000_s1026" o:spt="202" type="#_x0000_t202" style="position:absolute;left:0pt;margin-left:-9pt;margin-top:2.7pt;height:37.8pt;width:72pt;z-index:251982848;mso-width-relative:page;mso-height-relative:page;" filled="f" stroked="f" coordsize="21600,21600" o:gfxdata="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NzO099UA&#10;AAAIAQAADwAAAAAAAAABACAAAAAiAAAAZHJzL2Rvd25yZXYueG1sUEsBAhQAFAAAAAgAh07iQBjR&#10;7VOwAQAAUQMAAA4AAAAAAAAAAQAgAAAAJAEAAGRycy9lMm9Eb2MueG1sUEsFBgAAAAAGAAYAWQEA&#10;AEY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现场签证的要求</w:t>
                      </w:r>
                    </w:p>
                    <w:p>
                      <w:pPr>
                        <w:pStyle w:val="2"/>
                        <w:adjustRightInd w:val="0"/>
                        <w:snapToGrid w:val="0"/>
                        <w:spacing w:line="360" w:lineRule="auto"/>
                        <w:rPr>
                          <w:rFonts w:ascii="Times New Roman" w:hAnsi="Times New Roman" w:eastAsia="楷体_GB2312" w:cs="Times New Roman"/>
                          <w:b/>
                          <w:bCs/>
                          <w:sz w:val="18"/>
                          <w:szCs w:val="18"/>
                        </w:rPr>
                      </w:pPr>
                    </w:p>
                    <w:p>
                      <w:pPr>
                        <w:rPr>
                          <w:rFonts w:cs="Times New Roman"/>
                        </w:rPr>
                      </w:pPr>
                    </w:p>
                  </w:txbxContent>
                </v:textbox>
              </v:shape>
            </w:pict>
          </mc:Fallback>
        </mc:AlternateContent>
      </w:r>
      <w:r>
        <w:rPr>
          <w:rFonts w:hint="eastAsia" w:ascii="仿宋" w:hAnsi="仿宋" w:eastAsia="仿宋" w:cs="仿宋"/>
          <w:color w:val="auto"/>
          <w:sz w:val="24"/>
          <w:szCs w:val="24"/>
          <w:highlight w:val="none"/>
        </w:rPr>
        <w:t>计日工有相应单价或合同中有适用单价的项目，合同双方当事人仅在现场签证报告中列明完成该类项目所需的人工、材料、工程设备和施工设备机械台班的数量。</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计日工没有相应单价或合同中没有适用单价的项目，合同双方当事人应在现场签证报告中列明完成这类项目所需的人工、材料、工程设备和施工设备机械台班的数量和单价。</w:t>
      </w:r>
    </w:p>
    <w:p>
      <w:pPr>
        <w:pStyle w:val="2"/>
        <w:shd w:val="clear" w:color="000000" w:fill="auto"/>
        <w:adjustRightInd w:val="0"/>
        <w:snapToGrid w:val="0"/>
        <w:spacing w:line="48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75.5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83872" behindDoc="0" locked="0" layoutInCell="1" allowOverlap="1">
                <wp:simplePos x="0" y="0"/>
                <wp:positionH relativeFrom="column">
                  <wp:posOffset>-114300</wp:posOffset>
                </wp:positionH>
                <wp:positionV relativeFrom="paragraph">
                  <wp:posOffset>77470</wp:posOffset>
                </wp:positionV>
                <wp:extent cx="914400" cy="480060"/>
                <wp:effectExtent l="0" t="0" r="0" b="0"/>
                <wp:wrapNone/>
                <wp:docPr id="318" name="文本框 322"/>
                <wp:cNvGraphicFramePr/>
                <a:graphic xmlns:a="http://schemas.openxmlformats.org/drawingml/2006/main">
                  <a:graphicData uri="http://schemas.microsoft.com/office/word/2010/wordprocessingShape">
                    <wps:wsp>
                      <wps:cNvSpPr txBox="1"/>
                      <wps:spPr>
                        <a:xfrm>
                          <a:off x="0" y="0"/>
                          <a:ext cx="914400" cy="48006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现场签证工作的实施</w:t>
                            </w:r>
                          </w:p>
                          <w:p>
                            <w:pPr>
                              <w:pStyle w:val="2"/>
                              <w:adjustRightInd w:val="0"/>
                              <w:snapToGrid w:val="0"/>
                              <w:rPr>
                                <w:rFonts w:ascii="Times New Roman" w:hAnsi="Times New Roman" w:eastAsia="楷体_GB2312" w:cs="Times New Roman"/>
                                <w:b/>
                                <w:bCs/>
                                <w:sz w:val="18"/>
                                <w:szCs w:val="18"/>
                              </w:rPr>
                            </w:pPr>
                          </w:p>
                          <w:p>
                            <w:pPr>
                              <w:pStyle w:val="2"/>
                              <w:adjustRightInd w:val="0"/>
                              <w:snapToGrid w:val="0"/>
                              <w:spacing w:line="360" w:lineRule="auto"/>
                              <w:rPr>
                                <w:rFonts w:ascii="Times New Roman" w:hAnsi="Times New Roman" w:eastAsia="楷体_GB2312" w:cs="Times New Roman"/>
                                <w:b/>
                                <w:bCs/>
                                <w:sz w:val="18"/>
                                <w:szCs w:val="18"/>
                              </w:rPr>
                            </w:pPr>
                          </w:p>
                          <w:p>
                            <w:pPr>
                              <w:rPr>
                                <w:rFonts w:cs="Times New Roman"/>
                              </w:rPr>
                            </w:pPr>
                          </w:p>
                        </w:txbxContent>
                      </wps:txbx>
                      <wps:bodyPr upright="1"/>
                    </wps:wsp>
                  </a:graphicData>
                </a:graphic>
              </wp:anchor>
            </w:drawing>
          </mc:Choice>
          <mc:Fallback>
            <w:pict>
              <v:shape id="文本框 322" o:spid="_x0000_s1026" o:spt="202" type="#_x0000_t202" style="position:absolute;left:0pt;margin-left:-9pt;margin-top:6.1pt;height:37.8pt;width:72pt;z-index:251983872;mso-width-relative:page;mso-height-relative:page;" filled="f" stroked="f" coordsize="21600,21600" o:gfxdata="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NsenpzW&#10;AAAACQEAAA8AAAAAAAAAAQAgAAAAIgAAAGRycy9kb3ducmV2LnhtbFBLAQIUABQAAAAIAIdO4kBm&#10;VtzMsAEAAFEDAAAOAAAAAAAAAAEAIAAAACUBAABkcnMvZTJvRG9jLnhtbFBLBQYAAAAABgAGAFkB&#10;AABH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现场签证工作的实施</w:t>
                      </w:r>
                    </w:p>
                    <w:p>
                      <w:pPr>
                        <w:pStyle w:val="2"/>
                        <w:adjustRightInd w:val="0"/>
                        <w:snapToGrid w:val="0"/>
                        <w:rPr>
                          <w:rFonts w:ascii="Times New Roman" w:hAnsi="Times New Roman" w:eastAsia="楷体_GB2312" w:cs="Times New Roman"/>
                          <w:b/>
                          <w:bCs/>
                          <w:sz w:val="18"/>
                          <w:szCs w:val="18"/>
                        </w:rPr>
                      </w:pPr>
                    </w:p>
                    <w:p>
                      <w:pPr>
                        <w:pStyle w:val="2"/>
                        <w:adjustRightInd w:val="0"/>
                        <w:snapToGrid w:val="0"/>
                        <w:spacing w:line="360" w:lineRule="auto"/>
                        <w:rPr>
                          <w:rFonts w:ascii="Times New Roman" w:hAnsi="Times New Roman" w:eastAsia="楷体_GB2312" w:cs="Times New Roman"/>
                          <w:b/>
                          <w:bCs/>
                          <w:sz w:val="18"/>
                          <w:szCs w:val="18"/>
                        </w:rPr>
                      </w:pPr>
                    </w:p>
                    <w:p>
                      <w:pPr>
                        <w:rPr>
                          <w:rFonts w:cs="Times New Roman"/>
                        </w:rPr>
                      </w:pPr>
                    </w:p>
                  </w:txbxContent>
                </v:textbox>
              </v:shape>
            </w:pict>
          </mc:Fallback>
        </mc:AlternateContent>
      </w:r>
      <w:r>
        <w:rPr>
          <w:rFonts w:hint="eastAsia" w:ascii="仿宋" w:hAnsi="仿宋" w:eastAsia="仿宋" w:cs="仿宋"/>
          <w:color w:val="auto"/>
          <w:sz w:val="24"/>
          <w:szCs w:val="24"/>
          <w:highlight w:val="none"/>
        </w:rPr>
        <w:t>承包人应在发包人确认现场签证报告后的</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小时内，按照监理工程师发出的工作指令及时组织实施相关工作。否则，由此引起的损失和（或）延误的工期由承包人承担。</w:t>
      </w:r>
    </w:p>
    <w:p>
      <w:pPr>
        <w:pStyle w:val="2"/>
        <w:shd w:val="clear" w:color="000000" w:fill="auto"/>
        <w:adjustRightInd w:val="0"/>
        <w:snapToGrid w:val="0"/>
        <w:spacing w:line="480" w:lineRule="auto"/>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75.6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84896" behindDoc="0" locked="0" layoutInCell="1" allowOverlap="1">
                <wp:simplePos x="0" y="0"/>
                <wp:positionH relativeFrom="column">
                  <wp:posOffset>-114300</wp:posOffset>
                </wp:positionH>
                <wp:positionV relativeFrom="paragraph">
                  <wp:posOffset>77470</wp:posOffset>
                </wp:positionV>
                <wp:extent cx="914400" cy="480060"/>
                <wp:effectExtent l="0" t="0" r="0" b="0"/>
                <wp:wrapNone/>
                <wp:docPr id="319" name="文本框 323"/>
                <wp:cNvGraphicFramePr/>
                <a:graphic xmlns:a="http://schemas.openxmlformats.org/drawingml/2006/main">
                  <a:graphicData uri="http://schemas.microsoft.com/office/word/2010/wordprocessingShape">
                    <wps:wsp>
                      <wps:cNvSpPr txBox="1"/>
                      <wps:spPr>
                        <a:xfrm>
                          <a:off x="0" y="0"/>
                          <a:ext cx="914400" cy="48006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现场签证的限制</w:t>
                            </w:r>
                          </w:p>
                          <w:p>
                            <w:pPr>
                              <w:pStyle w:val="17"/>
                              <w:spacing w:line="200" w:lineRule="exact"/>
                              <w:rPr>
                                <w:rFonts w:ascii="楷体_GB2312" w:hAnsi="宋体" w:eastAsia="楷体_GB2312"/>
                                <w:b/>
                                <w:bCs/>
                                <w:color w:val="000000"/>
                                <w:sz w:val="18"/>
                                <w:szCs w:val="18"/>
                              </w:rPr>
                            </w:pPr>
                          </w:p>
                          <w:p>
                            <w:pPr>
                              <w:pStyle w:val="2"/>
                              <w:adjustRightInd w:val="0"/>
                              <w:snapToGrid w:val="0"/>
                              <w:spacing w:line="360" w:lineRule="auto"/>
                              <w:rPr>
                                <w:rFonts w:ascii="Times New Roman" w:hAnsi="Times New Roman" w:eastAsia="楷体_GB2312" w:cs="Times New Roman"/>
                                <w:b/>
                                <w:bCs/>
                                <w:sz w:val="18"/>
                                <w:szCs w:val="18"/>
                              </w:rPr>
                            </w:pPr>
                          </w:p>
                          <w:p>
                            <w:pPr>
                              <w:rPr>
                                <w:rFonts w:cs="Times New Roman"/>
                              </w:rPr>
                            </w:pPr>
                          </w:p>
                        </w:txbxContent>
                      </wps:txbx>
                      <wps:bodyPr upright="1"/>
                    </wps:wsp>
                  </a:graphicData>
                </a:graphic>
              </wp:anchor>
            </w:drawing>
          </mc:Choice>
          <mc:Fallback>
            <w:pict>
              <v:shape id="文本框 323" o:spid="_x0000_s1026" o:spt="202" type="#_x0000_t202" style="position:absolute;left:0pt;margin-left:-9pt;margin-top:6.1pt;height:37.8pt;width:72pt;z-index:251984896;mso-width-relative:page;mso-height-relative:page;" filled="f" stroked="f" coordsize="21600,21600" o:gfxdata="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NsenpzW&#10;AAAACQEAAA8AAAAAAAAAAQAgAAAAIgAAAGRycy9kb3ducmV2LnhtbFBLAQIUABQAAAAIAIdO4kBF&#10;r6JksAEAAFEDAAAOAAAAAAAAAAEAIAAAACUBAABkcnMvZTJvRG9jLnhtbFBLBQYAAAAABgAGAFkB&#10;AABH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现场签证的限制</w:t>
                      </w:r>
                    </w:p>
                    <w:p>
                      <w:pPr>
                        <w:pStyle w:val="17"/>
                        <w:spacing w:line="200" w:lineRule="exact"/>
                        <w:rPr>
                          <w:rFonts w:ascii="楷体_GB2312" w:hAnsi="宋体" w:eastAsia="楷体_GB2312"/>
                          <w:b/>
                          <w:bCs/>
                          <w:color w:val="000000"/>
                          <w:sz w:val="18"/>
                          <w:szCs w:val="18"/>
                        </w:rPr>
                      </w:pPr>
                    </w:p>
                    <w:p>
                      <w:pPr>
                        <w:pStyle w:val="2"/>
                        <w:adjustRightInd w:val="0"/>
                        <w:snapToGrid w:val="0"/>
                        <w:spacing w:line="360" w:lineRule="auto"/>
                        <w:rPr>
                          <w:rFonts w:ascii="Times New Roman" w:hAnsi="Times New Roman" w:eastAsia="楷体_GB2312" w:cs="Times New Roman"/>
                          <w:b/>
                          <w:bCs/>
                          <w:sz w:val="18"/>
                          <w:szCs w:val="18"/>
                        </w:rPr>
                      </w:pPr>
                    </w:p>
                    <w:p>
                      <w:pPr>
                        <w:rPr>
                          <w:rFonts w:cs="Times New Roman"/>
                        </w:rPr>
                      </w:pPr>
                    </w:p>
                  </w:txbxContent>
                </v:textbox>
              </v:shape>
            </w:pict>
          </mc:Fallback>
        </mc:AlternateContent>
      </w:r>
      <w:r>
        <w:rPr>
          <w:rFonts w:hint="eastAsia" w:ascii="仿宋" w:hAnsi="仿宋" w:eastAsia="仿宋" w:cs="仿宋"/>
          <w:color w:val="auto"/>
          <w:sz w:val="24"/>
          <w:szCs w:val="24"/>
          <w:highlight w:val="none"/>
        </w:rPr>
        <w:t>合同工程发生现场签证事件，未经发包人签证、确认，承包人便擅自实施相关工作的，除非征得发包人同意，否则发生的费用由承包人承担。</w:t>
      </w:r>
    </w:p>
    <w:p>
      <w:pPr>
        <w:pStyle w:val="2"/>
        <w:shd w:val="clear" w:color="000000" w:fill="auto"/>
        <w:adjustRightInd w:val="0"/>
        <w:snapToGrid w:val="0"/>
        <w:spacing w:line="480" w:lineRule="auto"/>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75.7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85920" behindDoc="0" locked="0" layoutInCell="1" allowOverlap="1">
                <wp:simplePos x="0" y="0"/>
                <wp:positionH relativeFrom="column">
                  <wp:posOffset>-114300</wp:posOffset>
                </wp:positionH>
                <wp:positionV relativeFrom="paragraph">
                  <wp:posOffset>77470</wp:posOffset>
                </wp:positionV>
                <wp:extent cx="914400" cy="480060"/>
                <wp:effectExtent l="0" t="0" r="0" b="0"/>
                <wp:wrapNone/>
                <wp:docPr id="320" name="文本框 324"/>
                <wp:cNvGraphicFramePr/>
                <a:graphic xmlns:a="http://schemas.openxmlformats.org/drawingml/2006/main">
                  <a:graphicData uri="http://schemas.microsoft.com/office/word/2010/wordprocessingShape">
                    <wps:wsp>
                      <wps:cNvSpPr txBox="1"/>
                      <wps:spPr>
                        <a:xfrm>
                          <a:off x="0" y="0"/>
                          <a:ext cx="914400" cy="48006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调整价款的确认与支付</w:t>
                            </w:r>
                          </w:p>
                          <w:p>
                            <w:pPr>
                              <w:pStyle w:val="2"/>
                              <w:adjustRightInd w:val="0"/>
                              <w:snapToGrid w:val="0"/>
                              <w:rPr>
                                <w:rFonts w:ascii="Times New Roman" w:hAnsi="Times New Roman" w:eastAsia="楷体_GB2312" w:cs="Times New Roman"/>
                                <w:b/>
                                <w:bCs/>
                                <w:sz w:val="18"/>
                                <w:szCs w:val="18"/>
                              </w:rPr>
                            </w:pPr>
                          </w:p>
                          <w:p>
                            <w:pPr>
                              <w:pStyle w:val="2"/>
                              <w:adjustRightInd w:val="0"/>
                              <w:snapToGrid w:val="0"/>
                              <w:spacing w:line="360" w:lineRule="auto"/>
                              <w:rPr>
                                <w:rFonts w:ascii="Times New Roman" w:hAnsi="Times New Roman" w:eastAsia="楷体_GB2312" w:cs="Times New Roman"/>
                                <w:b/>
                                <w:bCs/>
                                <w:sz w:val="18"/>
                                <w:szCs w:val="18"/>
                              </w:rPr>
                            </w:pPr>
                          </w:p>
                          <w:p>
                            <w:pPr>
                              <w:rPr>
                                <w:rFonts w:cs="Times New Roman"/>
                              </w:rPr>
                            </w:pPr>
                          </w:p>
                        </w:txbxContent>
                      </wps:txbx>
                      <wps:bodyPr upright="1"/>
                    </wps:wsp>
                  </a:graphicData>
                </a:graphic>
              </wp:anchor>
            </w:drawing>
          </mc:Choice>
          <mc:Fallback>
            <w:pict>
              <v:shape id="文本框 324" o:spid="_x0000_s1026" o:spt="202" type="#_x0000_t202" style="position:absolute;left:0pt;margin-left:-9pt;margin-top:6.1pt;height:37.8pt;width:72pt;z-index:251985920;mso-width-relative:page;mso-height-relative:page;" filled="f" stroked="f" coordsize="21600,21600" o:gfxdata="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2x6enNYA&#10;AAAJAQAADwAAAAAAAAABACAAAAAiAAAAZHJzL2Rvd25yZXYueG1sUEsBAhQAFAAAAAgAh07iQLcb&#10;5CCvAQAAUQMAAA4AAAAAAAAAAQAgAAAAJQEAAGRycy9lMm9Eb2MueG1sUEsFBgAAAAAGAAYAWQEA&#10;AEY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调整价款的确认与支付</w:t>
                      </w:r>
                    </w:p>
                    <w:p>
                      <w:pPr>
                        <w:pStyle w:val="2"/>
                        <w:adjustRightInd w:val="0"/>
                        <w:snapToGrid w:val="0"/>
                        <w:rPr>
                          <w:rFonts w:ascii="Times New Roman" w:hAnsi="Times New Roman" w:eastAsia="楷体_GB2312" w:cs="Times New Roman"/>
                          <w:b/>
                          <w:bCs/>
                          <w:sz w:val="18"/>
                          <w:szCs w:val="18"/>
                        </w:rPr>
                      </w:pPr>
                    </w:p>
                    <w:p>
                      <w:pPr>
                        <w:pStyle w:val="2"/>
                        <w:adjustRightInd w:val="0"/>
                        <w:snapToGrid w:val="0"/>
                        <w:spacing w:line="360" w:lineRule="auto"/>
                        <w:rPr>
                          <w:rFonts w:ascii="Times New Roman" w:hAnsi="Times New Roman" w:eastAsia="楷体_GB2312" w:cs="Times New Roman"/>
                          <w:b/>
                          <w:bCs/>
                          <w:sz w:val="18"/>
                          <w:szCs w:val="18"/>
                        </w:rPr>
                      </w:pPr>
                    </w:p>
                    <w:p>
                      <w:pPr>
                        <w:rPr>
                          <w:rFonts w:cs="Times New Roman"/>
                        </w:rPr>
                      </w:pPr>
                    </w:p>
                  </w:txbxContent>
                </v:textbox>
              </v:shape>
            </w:pict>
          </mc:Fallback>
        </mc:AlternateContent>
      </w:r>
      <w:r>
        <w:rPr>
          <w:rFonts w:hint="eastAsia" w:ascii="仿宋" w:hAnsi="仿宋" w:eastAsia="仿宋" w:cs="仿宋"/>
          <w:color w:val="auto"/>
          <w:sz w:val="24"/>
          <w:szCs w:val="24"/>
          <w:highlight w:val="none"/>
        </w:rPr>
        <w:t>现场签证工作完成后的</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小时内，合同双方当事人应确认由此引起调整的合同价款，并作为追加合同价款，与工程进度款同期支付。</w:t>
      </w:r>
    </w:p>
    <w:p>
      <w:pPr>
        <w:pStyle w:val="2"/>
        <w:shd w:val="clear" w:color="000000" w:fill="auto"/>
        <w:adjustRightInd w:val="0"/>
        <w:snapToGrid w:val="0"/>
        <w:spacing w:line="240" w:lineRule="exact"/>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
        <w:shd w:val="clear" w:color="000000" w:fill="auto"/>
        <w:tabs>
          <w:tab w:val="left" w:pos="540"/>
        </w:tabs>
        <w:adjustRightInd w:val="0"/>
        <w:snapToGrid w:val="0"/>
        <w:spacing w:before="240" w:beforeLines="100" w:line="360" w:lineRule="auto"/>
        <w:outlineLvl w:val="2"/>
        <w:rPr>
          <w:rFonts w:ascii="仿宋" w:hAnsi="仿宋" w:eastAsia="仿宋" w:cs="Times New Roman"/>
          <w:b/>
          <w:bCs/>
          <w:color w:val="auto"/>
          <w:sz w:val="24"/>
          <w:szCs w:val="24"/>
          <w:highlight w:val="none"/>
        </w:rPr>
      </w:pPr>
      <w:bookmarkStart w:id="357" w:name="_Toc10624900"/>
      <w:bookmarkStart w:id="358" w:name="_Toc469384060"/>
      <w:bookmarkStart w:id="359" w:name="_Toc21101"/>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76  </w:t>
      </w:r>
      <w:r>
        <w:rPr>
          <w:rFonts w:hint="eastAsia" w:ascii="仿宋" w:hAnsi="仿宋" w:eastAsia="仿宋" w:cs="仿宋"/>
          <w:b/>
          <w:bCs/>
          <w:color w:val="auto"/>
          <w:sz w:val="24"/>
          <w:szCs w:val="24"/>
          <w:highlight w:val="none"/>
        </w:rPr>
        <w:t>物价涨落事件</w:t>
      </w:r>
      <w:bookmarkEnd w:id="357"/>
      <w:bookmarkEnd w:id="358"/>
      <w:bookmarkEnd w:id="359"/>
    </w:p>
    <w:p>
      <w:pPr>
        <w:pStyle w:val="2"/>
        <w:shd w:val="clear" w:color="000000" w:fill="auto"/>
        <w:adjustRightInd w:val="0"/>
        <w:snapToGrid w:val="0"/>
        <w:spacing w:line="360" w:lineRule="auto"/>
        <w:rPr>
          <w:rFonts w:ascii="仿宋" w:hAnsi="仿宋" w:eastAsia="仿宋" w:cs="仿宋"/>
          <w:b/>
          <w:bCs/>
          <w:color w:val="auto"/>
          <w:sz w:val="24"/>
          <w:szCs w:val="24"/>
          <w:highlight w:val="none"/>
        </w:rPr>
      </w:pPr>
      <w:r>
        <w:rPr>
          <w:color w:val="auto"/>
          <w:highlight w:val="none"/>
        </w:rPr>
        <mc:AlternateContent>
          <mc:Choice Requires="wps">
            <w:drawing>
              <wp:anchor distT="0" distB="0" distL="114300" distR="114300" simplePos="0" relativeHeight="251986944" behindDoc="0" locked="0" layoutInCell="1" allowOverlap="1">
                <wp:simplePos x="0" y="0"/>
                <wp:positionH relativeFrom="column">
                  <wp:posOffset>-114300</wp:posOffset>
                </wp:positionH>
                <wp:positionV relativeFrom="paragraph">
                  <wp:posOffset>274320</wp:posOffset>
                </wp:positionV>
                <wp:extent cx="914400" cy="591185"/>
                <wp:effectExtent l="0" t="0" r="0" b="0"/>
                <wp:wrapNone/>
                <wp:docPr id="321" name="文本框 325"/>
                <wp:cNvGraphicFramePr/>
                <a:graphic xmlns:a="http://schemas.openxmlformats.org/drawingml/2006/main">
                  <a:graphicData uri="http://schemas.microsoft.com/office/word/2010/wordprocessingShape">
                    <wps:wsp>
                      <wps:cNvSpPr txBox="1"/>
                      <wps:spPr>
                        <a:xfrm>
                          <a:off x="0" y="0"/>
                          <a:ext cx="914400" cy="59118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物价涨落的价款调整</w:t>
                            </w:r>
                          </w:p>
                        </w:txbxContent>
                      </wps:txbx>
                      <wps:bodyPr upright="1"/>
                    </wps:wsp>
                  </a:graphicData>
                </a:graphic>
              </wp:anchor>
            </w:drawing>
          </mc:Choice>
          <mc:Fallback>
            <w:pict>
              <v:shape id="文本框 325" o:spid="_x0000_s1026" o:spt="202" type="#_x0000_t202" style="position:absolute;left:0pt;margin-left:-9pt;margin-top:21.6pt;height:46.55pt;width:72pt;z-index:251986944;mso-width-relative:page;mso-height-relative:page;" filled="f" stroked="f" coordsize="21600,21600" o:gfxdata="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bMqot&#10;1wAAAAoBAAAPAAAAAAAAAAEAIAAAACIAAABkcnMvZG93bnJldi54bWxQSwECFAAUAAAACACHTuJA&#10;qv/LZrABAABRAwAADgAAAAAAAAABACAAAAAmAQAAZHJzL2Uyb0RvYy54bWxQSwUGAAAAAAYABgBZ&#10;AQAASA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物价涨落的价款调整</w:t>
                      </w:r>
                    </w:p>
                  </w:txbxContent>
                </v:textbox>
              </v:shape>
            </w:pict>
          </mc:Fallback>
        </mc:AlternateContent>
      </w:r>
      <w:r>
        <w:rPr>
          <w:rFonts w:ascii="仿宋" w:hAnsi="仿宋" w:eastAsia="仿宋" w:cs="仿宋"/>
          <w:b/>
          <w:bCs/>
          <w:color w:val="auto"/>
          <w:sz w:val="24"/>
          <w:szCs w:val="24"/>
          <w:highlight w:val="none"/>
        </w:rPr>
        <w:t xml:space="preserve">76.1      </w:t>
      </w:r>
    </w:p>
    <w:p>
      <w:pPr>
        <w:pStyle w:val="2"/>
        <w:shd w:val="clear" w:color="000000" w:fill="auto"/>
        <w:adjustRightInd w:val="0"/>
        <w:snapToGrid w:val="0"/>
        <w:spacing w:line="420" w:lineRule="exact"/>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合同履行期间，除专用合同条款另有约定外，市场价格波动超过合同当事人约定的范围，合同价格应当调整。合同当事人可以在专用条款中约定按通用条款</w:t>
      </w:r>
      <w:r>
        <w:rPr>
          <w:rFonts w:ascii="仿宋" w:hAnsi="仿宋" w:eastAsia="仿宋" w:cs="仿宋"/>
          <w:color w:val="auto"/>
          <w:sz w:val="24"/>
          <w:szCs w:val="24"/>
          <w:highlight w:val="none"/>
        </w:rPr>
        <w:t>76.3</w:t>
      </w:r>
      <w:r>
        <w:rPr>
          <w:rFonts w:hint="eastAsia" w:ascii="仿宋" w:hAnsi="仿宋" w:eastAsia="仿宋" w:cs="仿宋"/>
          <w:color w:val="auto"/>
          <w:sz w:val="24"/>
          <w:szCs w:val="24"/>
          <w:highlight w:val="none"/>
        </w:rPr>
        <w:t>款选择一种方式对合同价格进行调整。</w:t>
      </w:r>
    </w:p>
    <w:p>
      <w:pPr>
        <w:shd w:val="clear" w:color="000000" w:fill="auto"/>
        <w:spacing w:line="360" w:lineRule="auto"/>
        <w:ind w:firstLine="420" w:firstLineChars="200"/>
        <w:rPr>
          <w:rFonts w:ascii="仿宋" w:hAnsi="仿宋" w:eastAsia="仿宋" w:cs="Times New Roman"/>
          <w:color w:val="auto"/>
          <w:sz w:val="24"/>
          <w:szCs w:val="24"/>
          <w:highlight w:val="none"/>
        </w:rPr>
      </w:pPr>
      <w:r>
        <w:rPr>
          <w:color w:val="auto"/>
          <w:highlight w:val="none"/>
        </w:rPr>
        <w:t xml:space="preserve">            </w:t>
      </w:r>
    </w:p>
    <w:p>
      <w:pPr>
        <w:pStyle w:val="2"/>
        <w:shd w:val="clear" w:color="000000" w:fill="auto"/>
        <w:tabs>
          <w:tab w:val="left" w:pos="540"/>
        </w:tabs>
        <w:adjustRightInd w:val="0"/>
        <w:snapToGrid w:val="0"/>
        <w:spacing w:line="360" w:lineRule="auto"/>
        <w:rPr>
          <w:rFonts w:ascii="仿宋" w:hAnsi="仿宋" w:eastAsia="仿宋" w:cs="仿宋"/>
          <w:b/>
          <w:bCs/>
          <w:color w:val="auto"/>
          <w:sz w:val="24"/>
          <w:szCs w:val="24"/>
          <w:highlight w:val="none"/>
          <w:u w:val="dotted"/>
        </w:rPr>
      </w:pPr>
      <w:r>
        <w:rPr>
          <w:color w:val="auto"/>
          <w:highlight w:val="none"/>
        </w:rPr>
        <mc:AlternateContent>
          <mc:Choice Requires="wps">
            <w:drawing>
              <wp:anchor distT="0" distB="0" distL="114300" distR="114300" simplePos="0" relativeHeight="251987968" behindDoc="0" locked="0" layoutInCell="1" allowOverlap="1">
                <wp:simplePos x="0" y="0"/>
                <wp:positionH relativeFrom="column">
                  <wp:posOffset>-133350</wp:posOffset>
                </wp:positionH>
                <wp:positionV relativeFrom="paragraph">
                  <wp:posOffset>247650</wp:posOffset>
                </wp:positionV>
                <wp:extent cx="914400" cy="619125"/>
                <wp:effectExtent l="0" t="0" r="0" b="0"/>
                <wp:wrapNone/>
                <wp:docPr id="322" name="文本框 326"/>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人工费的调整方法</w:t>
                            </w:r>
                          </w:p>
                        </w:txbxContent>
                      </wps:txbx>
                      <wps:bodyPr upright="1"/>
                    </wps:wsp>
                  </a:graphicData>
                </a:graphic>
              </wp:anchor>
            </w:drawing>
          </mc:Choice>
          <mc:Fallback>
            <w:pict>
              <v:shape id="文本框 326" o:spid="_x0000_s1026" o:spt="202" type="#_x0000_t202" style="position:absolute;left:0pt;margin-left:-10.5pt;margin-top:19.5pt;height:48.75pt;width:72pt;z-index:251987968;mso-width-relative:page;mso-height-relative:page;" filled="f" stroked="f" coordsize="21600,21600" o:gfxdata="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GnPrZfX&#10;AAAACgEAAA8AAAAAAAAAAQAgAAAAIgAAAGRycy9kb3ducmV2LnhtbFBLAQIUABQAAAAIAIdO4kCT&#10;Tp1urwEAAFEDAAAOAAAAAAAAAAEAIAAAACYBAABkcnMvZTJvRG9jLnhtbFBLBQYAAAAABgAGAFkB&#10;AABH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人工费的调整方法</w:t>
                      </w:r>
                    </w:p>
                  </w:txbxContent>
                </v:textbox>
              </v:shape>
            </w:pict>
          </mc:Fallback>
        </mc:AlternateContent>
      </w:r>
      <w:r>
        <w:rPr>
          <w:rFonts w:ascii="仿宋" w:hAnsi="仿宋" w:eastAsia="仿宋" w:cs="仿宋"/>
          <w:b/>
          <w:bCs/>
          <w:color w:val="auto"/>
          <w:sz w:val="24"/>
          <w:szCs w:val="24"/>
          <w:highlight w:val="none"/>
        </w:rPr>
        <w:t xml:space="preserve">76.2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420" w:lineRule="exact"/>
        <w:ind w:left="1619" w:leftChars="771"/>
        <w:rPr>
          <w:rFonts w:cs="Times New Roman"/>
          <w:color w:val="auto"/>
          <w:highlight w:val="none"/>
        </w:rPr>
      </w:pPr>
      <w:r>
        <w:rPr>
          <w:rFonts w:hint="eastAsia" w:ascii="仿宋" w:hAnsi="仿宋" w:eastAsia="仿宋" w:cs="仿宋"/>
          <w:color w:val="auto"/>
          <w:sz w:val="24"/>
          <w:szCs w:val="24"/>
          <w:highlight w:val="none"/>
        </w:rPr>
        <w:t>执行第</w:t>
      </w:r>
      <w:r>
        <w:rPr>
          <w:rFonts w:ascii="仿宋" w:hAnsi="仿宋" w:eastAsia="仿宋" w:cs="仿宋"/>
          <w:color w:val="auto"/>
          <w:sz w:val="24"/>
          <w:szCs w:val="24"/>
          <w:highlight w:val="none"/>
        </w:rPr>
        <w:t>76.3</w:t>
      </w:r>
      <w:r>
        <w:rPr>
          <w:rFonts w:hint="eastAsia" w:ascii="仿宋" w:hAnsi="仿宋" w:eastAsia="仿宋" w:cs="仿宋"/>
          <w:color w:val="auto"/>
          <w:sz w:val="24"/>
          <w:szCs w:val="24"/>
          <w:highlight w:val="none"/>
        </w:rPr>
        <w:t>款“第</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种方式：采用造价信息进行价格调整”规定的，</w:t>
      </w:r>
      <w:r>
        <w:rPr>
          <w:color w:val="auto"/>
          <w:highlight w:val="none"/>
        </w:rPr>
        <w:t xml:space="preserve">  </w:t>
      </w:r>
      <w:r>
        <w:rPr>
          <w:rFonts w:hint="eastAsia" w:ascii="仿宋" w:hAnsi="仿宋" w:eastAsia="仿宋" w:cs="仿宋"/>
          <w:color w:val="auto"/>
          <w:sz w:val="24"/>
          <w:szCs w:val="24"/>
          <w:highlight w:val="none"/>
        </w:rPr>
        <w:t>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或由合同当事人在专用条款中约定人工单价调价条件。</w:t>
      </w:r>
    </w:p>
    <w:p>
      <w:pPr>
        <w:pStyle w:val="2"/>
        <w:shd w:val="clear" w:color="000000" w:fill="auto"/>
        <w:tabs>
          <w:tab w:val="left" w:pos="540"/>
        </w:tabs>
        <w:adjustRightInd w:val="0"/>
        <w:snapToGrid w:val="0"/>
        <w:spacing w:line="360" w:lineRule="auto"/>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76.3  </w:t>
      </w:r>
      <w:r>
        <w:rPr>
          <w:rFonts w:ascii="仿宋" w:hAnsi="仿宋" w:eastAsia="仿宋" w:cs="仿宋"/>
          <w:b/>
          <w:bCs/>
          <w:color w:val="auto"/>
          <w:sz w:val="24"/>
          <w:szCs w:val="24"/>
          <w:highlight w:val="none"/>
          <w:u w:val="dotted"/>
        </w:rPr>
        <w:t xml:space="preserve">                                                                                                        </w:t>
      </w:r>
    </w:p>
    <w:p>
      <w:pPr>
        <w:shd w:val="clear" w:color="000000" w:fill="auto"/>
        <w:spacing w:line="360" w:lineRule="auto"/>
        <w:ind w:firstLine="420" w:firstLineChars="200"/>
        <w:rPr>
          <w:rFonts w:eastAsia="仿宋_GB2312" w:cs="Times New Roman"/>
          <w:color w:val="auto"/>
          <w:sz w:val="30"/>
          <w:szCs w:val="30"/>
          <w:highlight w:val="none"/>
        </w:rPr>
      </w:pPr>
      <w:r>
        <w:rPr>
          <w:color w:val="auto"/>
          <w:highlight w:val="none"/>
        </w:rPr>
        <mc:AlternateContent>
          <mc:Choice Requires="wps">
            <w:drawing>
              <wp:anchor distT="0" distB="0" distL="114300" distR="114300" simplePos="0" relativeHeight="251988992" behindDoc="0" locked="0" layoutInCell="1" allowOverlap="1">
                <wp:simplePos x="0" y="0"/>
                <wp:positionH relativeFrom="column">
                  <wp:posOffset>-114300</wp:posOffset>
                </wp:positionH>
                <wp:positionV relativeFrom="paragraph">
                  <wp:posOffset>15875</wp:posOffset>
                </wp:positionV>
                <wp:extent cx="914400" cy="1003300"/>
                <wp:effectExtent l="0" t="0" r="0" b="0"/>
                <wp:wrapNone/>
                <wp:docPr id="323" name="文本框 327"/>
                <wp:cNvGraphicFramePr/>
                <a:graphic xmlns:a="http://schemas.openxmlformats.org/drawingml/2006/main">
                  <a:graphicData uri="http://schemas.microsoft.com/office/word/2010/wordprocessingShape">
                    <wps:wsp>
                      <wps:cNvSpPr txBox="1"/>
                      <wps:spPr>
                        <a:xfrm>
                          <a:off x="0" y="0"/>
                          <a:ext cx="914400" cy="100330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承包人采购材料和工程设备的材料设备费、施工机械费调 整方法</w:t>
                            </w:r>
                          </w:p>
                        </w:txbxContent>
                      </wps:txbx>
                      <wps:bodyPr upright="1"/>
                    </wps:wsp>
                  </a:graphicData>
                </a:graphic>
              </wp:anchor>
            </w:drawing>
          </mc:Choice>
          <mc:Fallback>
            <w:pict>
              <v:shape id="文本框 327" o:spid="_x0000_s1026" o:spt="202" type="#_x0000_t202" style="position:absolute;left:0pt;margin-left:-9pt;margin-top:1.25pt;height:79pt;width:72pt;z-index:251988992;mso-width-relative:page;mso-height-relative:page;" filled="f" stroked="f" coordsize="21600,21600" o:gfxdata="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r0C7z9YA&#10;AAAJAQAADwAAAAAAAAABACAAAAAiAAAAZHJzL2Rvd25yZXYueG1sUEsBAhQAFAAAAAgAh07iQLaW&#10;FemvAQAAUgMAAA4AAAAAAAAAAQAgAAAAJQEAAGRycy9lMm9Eb2MueG1sUEsFBgAAAAAGAAYAWQEA&#10;AEY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承包人采购材料和工程设备的材料设备费、施工机械费调 整方法</w:t>
                      </w:r>
                    </w:p>
                  </w:txbxContent>
                </v:textbox>
              </v:shape>
            </w:pict>
          </mc:Fallback>
        </mc:AlternateConten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第</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种方式：采用造价信息进行价格调整。</w:t>
      </w:r>
    </w:p>
    <w:p>
      <w:pPr>
        <w:shd w:val="clear" w:color="000000" w:fill="auto"/>
        <w:spacing w:line="360" w:lineRule="auto"/>
        <w:ind w:left="1438" w:leftChars="685"/>
        <w:rPr>
          <w:rFonts w:cs="Times New Roman"/>
          <w:color w:val="auto"/>
          <w:highlight w:val="none"/>
        </w:rPr>
      </w:pPr>
      <w:r>
        <w:rPr>
          <w:rFonts w:hint="eastAsia" w:ascii="仿宋" w:hAnsi="仿宋" w:eastAsia="仿宋" w:cs="仿宋"/>
          <w:color w:val="auto"/>
          <w:sz w:val="24"/>
          <w:szCs w:val="24"/>
          <w:highlight w:val="none"/>
        </w:rPr>
        <w:t>合同履行期间，因人工、材料、工程设备和机械台班价格波动影响合同价格时，人工、机械使用费按照国家或省、市建设行政管理部门、行业建设管理部门或其授权的工程造价管理机构发布的人工、机械使用费进行调整；需要进行价格调整的材料，其单价和采购数量应由发包人审批，发包人确认需调整的材料单价及数量，作为调整合同价格的依据。</w:t>
      </w:r>
    </w:p>
    <w:p>
      <w:pPr>
        <w:shd w:val="clear" w:color="000000" w:fill="auto"/>
        <w:spacing w:line="360" w:lineRule="auto"/>
        <w:ind w:left="1559" w:leftChars="628" w:hanging="240" w:hangingChars="1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）材料、工程设备价格变化的价款调整按照发包人提供的基准价格，按以下风险范围规定执行</w:t>
      </w:r>
      <w:r>
        <w:rPr>
          <w:rFonts w:ascii="仿宋" w:hAnsi="仿宋" w:eastAsia="仿宋" w:cs="仿宋"/>
          <w:color w:val="auto"/>
          <w:sz w:val="24"/>
          <w:szCs w:val="24"/>
          <w:highlight w:val="none"/>
        </w:rPr>
        <w:t>:</w:t>
      </w:r>
    </w:p>
    <w:p>
      <w:pPr>
        <w:shd w:val="clear" w:color="000000" w:fill="auto"/>
        <w:spacing w:line="360" w:lineRule="auto"/>
        <w:ind w:left="1514" w:leftChars="72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①承包人在已标价工程量清单或预算书中载明材料单价低于基准价格的：除专用合同条款另有约定外，合同履行期间材料单价涨幅以基准价格为基础超</w:t>
      </w:r>
      <w:r>
        <w:rPr>
          <w:rFonts w:ascii="仿宋" w:hAnsi="仿宋" w:eastAsia="仿宋" w:cs="仿宋"/>
          <w:color w:val="auto"/>
          <w:sz w:val="24"/>
          <w:szCs w:val="24"/>
          <w:highlight w:val="none"/>
        </w:rPr>
        <w:t>5%</w:t>
      </w:r>
      <w:r>
        <w:rPr>
          <w:rFonts w:hint="eastAsia" w:ascii="仿宋" w:hAnsi="仿宋" w:eastAsia="仿宋" w:cs="仿宋"/>
          <w:color w:val="auto"/>
          <w:sz w:val="24"/>
          <w:szCs w:val="24"/>
          <w:highlight w:val="none"/>
        </w:rPr>
        <w:t>时，或材料单价跌幅以在已标价工程量清单或预算书中载明材料单价为基础超过</w:t>
      </w:r>
      <w:r>
        <w:rPr>
          <w:rFonts w:ascii="仿宋" w:hAnsi="仿宋" w:eastAsia="仿宋" w:cs="仿宋"/>
          <w:color w:val="auto"/>
          <w:sz w:val="24"/>
          <w:szCs w:val="24"/>
          <w:highlight w:val="none"/>
        </w:rPr>
        <w:t>5%</w:t>
      </w:r>
      <w:r>
        <w:rPr>
          <w:rFonts w:hint="eastAsia" w:ascii="仿宋" w:hAnsi="仿宋" w:eastAsia="仿宋" w:cs="仿宋"/>
          <w:color w:val="auto"/>
          <w:sz w:val="24"/>
          <w:szCs w:val="24"/>
          <w:highlight w:val="none"/>
        </w:rPr>
        <w:t>时，其超过部分据实调整。</w:t>
      </w:r>
    </w:p>
    <w:p>
      <w:pPr>
        <w:shd w:val="clear" w:color="000000" w:fill="auto"/>
        <w:spacing w:line="360" w:lineRule="auto"/>
        <w:ind w:left="1514" w:leftChars="72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②承包人在已标价工程量清单或预算书中载明材料单价高于基准价格的：除专用合同条款另有约定外，合同履行期间材料单价跌幅以基准价格为基础超过</w:t>
      </w:r>
      <w:r>
        <w:rPr>
          <w:rFonts w:ascii="仿宋" w:hAnsi="仿宋" w:eastAsia="仿宋" w:cs="仿宋"/>
          <w:color w:val="auto"/>
          <w:sz w:val="24"/>
          <w:szCs w:val="24"/>
          <w:highlight w:val="none"/>
        </w:rPr>
        <w:t>5%</w:t>
      </w:r>
      <w:r>
        <w:rPr>
          <w:rFonts w:hint="eastAsia" w:ascii="仿宋" w:hAnsi="仿宋" w:eastAsia="仿宋" w:cs="仿宋"/>
          <w:color w:val="auto"/>
          <w:sz w:val="24"/>
          <w:szCs w:val="24"/>
          <w:highlight w:val="none"/>
        </w:rPr>
        <w:t>时，材料单价涨 幅以在已标价工程量清单或预算书中载明材料单价为基础超过</w:t>
      </w:r>
      <w:r>
        <w:rPr>
          <w:rFonts w:ascii="仿宋" w:hAnsi="仿宋" w:eastAsia="仿宋" w:cs="仿宋"/>
          <w:color w:val="auto"/>
          <w:sz w:val="24"/>
          <w:szCs w:val="24"/>
          <w:highlight w:val="none"/>
        </w:rPr>
        <w:t>5%</w:t>
      </w:r>
      <w:r>
        <w:rPr>
          <w:rFonts w:hint="eastAsia" w:ascii="仿宋" w:hAnsi="仿宋" w:eastAsia="仿宋" w:cs="仿宋"/>
          <w:color w:val="auto"/>
          <w:sz w:val="24"/>
          <w:szCs w:val="24"/>
          <w:highlight w:val="none"/>
        </w:rPr>
        <w:t>时，其超过部分据实调整。</w:t>
      </w:r>
    </w:p>
    <w:p>
      <w:pPr>
        <w:shd w:val="clear" w:color="000000" w:fill="auto"/>
        <w:spacing w:line="360" w:lineRule="auto"/>
        <w:ind w:left="1514" w:leftChars="721"/>
        <w:rPr>
          <w:rFonts w:eastAsia="仿宋_GB2312" w:cs="Times New Roman"/>
          <w:color w:val="auto"/>
          <w:sz w:val="30"/>
          <w:szCs w:val="30"/>
          <w:highlight w:val="none"/>
        </w:rPr>
      </w:pPr>
      <w:r>
        <w:rPr>
          <w:rFonts w:hint="eastAsia" w:ascii="仿宋" w:hAnsi="仿宋" w:eastAsia="仿宋" w:cs="仿宋"/>
          <w:color w:val="auto"/>
          <w:sz w:val="24"/>
          <w:szCs w:val="24"/>
          <w:highlight w:val="none"/>
        </w:rPr>
        <w:t>③承包人在已标价工程量清单或预算书中载明材料单价等于基准价格的：除专用合同条款另有约定外，合同履行期间材料单价涨跌幅以基准价格为基础超过±</w:t>
      </w:r>
      <w:r>
        <w:rPr>
          <w:rFonts w:ascii="仿宋" w:hAnsi="仿宋" w:eastAsia="仿宋" w:cs="仿宋"/>
          <w:color w:val="auto"/>
          <w:sz w:val="24"/>
          <w:szCs w:val="24"/>
          <w:highlight w:val="none"/>
        </w:rPr>
        <w:t>5%</w:t>
      </w:r>
      <w:r>
        <w:rPr>
          <w:rFonts w:hint="eastAsia" w:ascii="仿宋" w:hAnsi="仿宋" w:eastAsia="仿宋" w:cs="仿宋"/>
          <w:color w:val="auto"/>
          <w:sz w:val="24"/>
          <w:szCs w:val="24"/>
          <w:highlight w:val="none"/>
        </w:rPr>
        <w:t>时，其超过部分据实调整。</w:t>
      </w:r>
    </w:p>
    <w:p>
      <w:pPr>
        <w:shd w:val="clear" w:color="000000" w:fill="auto"/>
        <w:spacing w:line="360" w:lineRule="auto"/>
        <w:ind w:left="1529" w:leftChars="728"/>
        <w:rPr>
          <w:rFonts w:eastAsia="仿宋_GB2312" w:cs="Times New Roman"/>
          <w:color w:val="auto"/>
          <w:sz w:val="30"/>
          <w:szCs w:val="30"/>
          <w:highlight w:val="none"/>
        </w:rPr>
      </w:pPr>
      <w:r>
        <w:rPr>
          <w:rFonts w:hint="eastAsia" w:ascii="仿宋" w:hAnsi="仿宋" w:eastAsia="仿宋" w:cs="仿宋"/>
          <w:color w:val="auto"/>
          <w:sz w:val="24"/>
          <w:szCs w:val="24"/>
          <w:highlight w:val="none"/>
        </w:rPr>
        <w:t>前述基准价格是指由发包人在招标文件或专用合同条款中给定的材料、工程设备的价格，该价格原则上应当按照省级或行业建设主管部门或其授权的工程造价管理机构发布的信息价编制。</w:t>
      </w:r>
    </w:p>
    <w:p>
      <w:pPr>
        <w:shd w:val="clear" w:color="000000" w:fill="auto"/>
        <w:ind w:left="1470" w:leftChars="70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）施工机械台班单价或施工机械使用费发生变化超过省级或行业建设主管部门或其授权的工程造价管理机构规定的范围时，按规定调整合同价格。</w:t>
      </w:r>
    </w:p>
    <w:p>
      <w:pPr>
        <w:shd w:val="clear" w:color="000000" w:fill="auto"/>
        <w:rPr>
          <w:rFonts w:ascii="仿宋" w:hAnsi="仿宋" w:eastAsia="仿宋" w:cs="Times New Roman"/>
          <w:color w:val="auto"/>
          <w:sz w:val="24"/>
          <w:szCs w:val="24"/>
          <w:highlight w:val="none"/>
        </w:rPr>
      </w:pPr>
    </w:p>
    <w:p>
      <w:pPr>
        <w:shd w:val="clear" w:color="000000" w:fill="auto"/>
        <w:ind w:firstLine="1680" w:firstLineChars="700"/>
        <w:rPr>
          <w:rFonts w:cs="Times New Roman"/>
          <w:color w:val="auto"/>
          <w:highlight w:val="none"/>
        </w:rPr>
      </w:pPr>
      <w:r>
        <w:rPr>
          <w:rFonts w:hint="eastAsia" w:ascii="仿宋" w:hAnsi="仿宋" w:eastAsia="仿宋" w:cs="仿宋"/>
          <w:color w:val="auto"/>
          <w:sz w:val="24"/>
          <w:szCs w:val="24"/>
          <w:highlight w:val="none"/>
        </w:rPr>
        <w:t>第</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种方式：专用合同条款约定的其他方式。</w:t>
      </w:r>
    </w:p>
    <w:p>
      <w:pPr>
        <w:shd w:val="clear" w:color="000000" w:fill="auto"/>
        <w:rPr>
          <w:rFonts w:cs="Times New Roman"/>
          <w:color w:val="auto"/>
          <w:highlight w:val="none"/>
        </w:rPr>
      </w:pPr>
      <w:r>
        <w:rPr>
          <w:color w:val="auto"/>
          <w:highlight w:val="none"/>
        </w:rPr>
        <w:t xml:space="preserve">                </w:t>
      </w:r>
    </w:p>
    <w:p>
      <w:pPr>
        <w:pStyle w:val="2"/>
        <w:shd w:val="clear" w:color="000000" w:fill="auto"/>
        <w:tabs>
          <w:tab w:val="left" w:pos="540"/>
        </w:tabs>
        <w:adjustRightInd w:val="0"/>
        <w:snapToGrid w:val="0"/>
        <w:spacing w:line="480" w:lineRule="auto"/>
        <w:rPr>
          <w:rFonts w:ascii="仿宋" w:hAnsi="仿宋" w:eastAsia="仿宋" w:cs="仿宋"/>
          <w:color w:val="auto"/>
          <w:sz w:val="24"/>
          <w:szCs w:val="24"/>
          <w:highlight w:val="none"/>
          <w:u w:val="dotted"/>
        </w:rPr>
      </w:pPr>
      <w:r>
        <w:rPr>
          <w:rFonts w:ascii="仿宋" w:hAnsi="仿宋" w:eastAsia="仿宋" w:cs="仿宋"/>
          <w:b/>
          <w:bCs/>
          <w:color w:val="auto"/>
          <w:sz w:val="24"/>
          <w:szCs w:val="24"/>
          <w:highlight w:val="none"/>
        </w:rPr>
        <w:t>76.4</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pStyle w:val="2"/>
        <w:shd w:val="clear" w:color="000000" w:fill="auto"/>
        <w:adjustRightInd w:val="0"/>
        <w:snapToGrid w:val="0"/>
        <w:spacing w:line="420" w:lineRule="exact"/>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执行第</w:t>
      </w:r>
      <w:r>
        <w:rPr>
          <w:rFonts w:ascii="仿宋" w:hAnsi="仿宋" w:eastAsia="仿宋" w:cs="仿宋"/>
          <w:color w:val="auto"/>
          <w:sz w:val="24"/>
          <w:szCs w:val="24"/>
          <w:highlight w:val="none"/>
        </w:rPr>
        <w:t>76.3</w:t>
      </w:r>
      <w:r>
        <w:rPr>
          <w:rFonts w:hint="eastAsia" w:ascii="仿宋" w:hAnsi="仿宋" w:eastAsia="仿宋" w:cs="仿宋"/>
          <w:color w:val="auto"/>
          <w:sz w:val="24"/>
          <w:szCs w:val="24"/>
          <w:highlight w:val="none"/>
        </w:rPr>
        <w:t>款“第</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种方式：采用造价信息进行价格调整”规定的，承包人应在采购材料前将采购数量和新的材料单价报发包人核对，发包人确认用于工程时，发包人应确认采购材料的数量和单价。发包人在收到承包人报送的确认资料后</w:t>
      </w:r>
      <w:r>
        <w:rPr>
          <w:rFonts w:ascii="仿宋" w:hAnsi="仿宋" w:eastAsia="仿宋" w:cs="仿宋"/>
          <w:color w:val="auto"/>
          <w:sz w:val="24"/>
          <w:szCs w:val="24"/>
          <w:highlight w:val="none"/>
        </w:rPr>
        <w:t>5</w:t>
      </w:r>
      <w:r>
        <w:rPr>
          <w:rFonts w:hint="eastAsia" w:ascii="仿宋" w:hAnsi="仿宋" w:eastAsia="仿宋" w:cs="仿宋"/>
          <w:color w:val="auto"/>
          <w:sz w:val="24"/>
          <w:szCs w:val="24"/>
          <w:highlight w:val="none"/>
        </w:rPr>
        <w:t>天内不予答复的视为认可，作为调整合同价格的依据。未经发包人事先核对，承包人自行采购材料的，发包人有权不予调整合同价格。发包人同意的，可以调整合同价格。</w:t>
      </w:r>
      <w:r>
        <w:rPr>
          <w:color w:val="auto"/>
          <w:highlight w:val="none"/>
        </w:rPr>
        <mc:AlternateContent>
          <mc:Choice Requires="wps">
            <w:drawing>
              <wp:anchor distT="0" distB="0" distL="114300" distR="114300" simplePos="0" relativeHeight="251990016" behindDoc="0" locked="0" layoutInCell="1" allowOverlap="1">
                <wp:simplePos x="0" y="0"/>
                <wp:positionH relativeFrom="column">
                  <wp:posOffset>-66675</wp:posOffset>
                </wp:positionH>
                <wp:positionV relativeFrom="paragraph">
                  <wp:posOffset>31115</wp:posOffset>
                </wp:positionV>
                <wp:extent cx="914400" cy="711835"/>
                <wp:effectExtent l="0" t="0" r="0" b="0"/>
                <wp:wrapNone/>
                <wp:docPr id="324" name="文本框 328"/>
                <wp:cNvGraphicFramePr/>
                <a:graphic xmlns:a="http://schemas.openxmlformats.org/drawingml/2006/main">
                  <a:graphicData uri="http://schemas.microsoft.com/office/word/2010/wordprocessingShape">
                    <wps:wsp>
                      <wps:cNvSpPr txBox="1"/>
                      <wps:spPr>
                        <a:xfrm>
                          <a:off x="0" y="0"/>
                          <a:ext cx="914400" cy="71183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承包人采购材料设备的调价限制</w:t>
                            </w:r>
                          </w:p>
                        </w:txbxContent>
                      </wps:txbx>
                      <wps:bodyPr upright="1"/>
                    </wps:wsp>
                  </a:graphicData>
                </a:graphic>
              </wp:anchor>
            </w:drawing>
          </mc:Choice>
          <mc:Fallback>
            <w:pict>
              <v:shape id="文本框 328" o:spid="_x0000_s1026" o:spt="202" type="#_x0000_t202" style="position:absolute;left:0pt;margin-left:-5.25pt;margin-top:2.45pt;height:56.05pt;width:72pt;z-index:251990016;mso-width-relative:page;mso-height-relative:page;" filled="f" stroked="f" coordsize="21600,21600" o:gfxdata="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CM+ywdYA&#10;AAAJAQAADwAAAAAAAAABACAAAAAiAAAAZHJzL2Rvd25yZXYueG1sUEsBAhQAFAAAAAgAh07iQBc1&#10;cDyvAQAAUQMAAA4AAAAAAAAAAQAgAAAAJQEAAGRycy9lMm9Eb2MueG1sUEsFBgAAAAAGAAYAWQEA&#10;AEY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承包人采购材料设备的调价限制</w:t>
                      </w:r>
                    </w:p>
                  </w:txbxContent>
                </v:textbox>
              </v:shape>
            </w:pict>
          </mc:Fallback>
        </mc:AlternateContent>
      </w:r>
    </w:p>
    <w:p>
      <w:pPr>
        <w:pStyle w:val="2"/>
        <w:shd w:val="clear" w:color="000000" w:fill="auto"/>
        <w:adjustRightInd w:val="0"/>
        <w:snapToGrid w:val="0"/>
        <w:spacing w:line="420" w:lineRule="exact"/>
        <w:ind w:left="1619" w:leftChars="771" w:firstLine="9600" w:firstLineChars="400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w:t>
      </w:r>
    </w:p>
    <w:p>
      <w:pPr>
        <w:pStyle w:val="2"/>
        <w:shd w:val="clear" w:color="000000" w:fill="auto"/>
        <w:tabs>
          <w:tab w:val="left" w:pos="540"/>
        </w:tabs>
        <w:adjustRightInd w:val="0"/>
        <w:snapToGrid w:val="0"/>
        <w:spacing w:line="360" w:lineRule="auto"/>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76.5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420" w:lineRule="exact"/>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91040" behindDoc="0" locked="0" layoutInCell="1" allowOverlap="1">
                <wp:simplePos x="0" y="0"/>
                <wp:positionH relativeFrom="column">
                  <wp:posOffset>-114300</wp:posOffset>
                </wp:positionH>
                <wp:positionV relativeFrom="paragraph">
                  <wp:posOffset>15875</wp:posOffset>
                </wp:positionV>
                <wp:extent cx="914400" cy="619125"/>
                <wp:effectExtent l="0" t="0" r="0" b="0"/>
                <wp:wrapNone/>
                <wp:docPr id="325" name="文本框 329"/>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pPr>
                              <w:pStyle w:val="36"/>
                              <w:spacing w:line="200" w:lineRule="exact"/>
                              <w:rPr>
                                <w:rFonts w:ascii="楷体_GB2312" w:hAnsi="宋体"/>
                                <w:sz w:val="18"/>
                                <w:szCs w:val="18"/>
                              </w:rPr>
                            </w:pPr>
                            <w:r>
                              <w:rPr>
                                <w:rFonts w:hint="eastAsia" w:ascii="楷体_GB2312" w:hAnsi="宋体" w:cs="楷体_GB2312"/>
                                <w:sz w:val="18"/>
                                <w:szCs w:val="18"/>
                              </w:rPr>
                              <w:t>发包人供应材料设备的价款调整</w:t>
                            </w:r>
                          </w:p>
                        </w:txbxContent>
                      </wps:txbx>
                      <wps:bodyPr upright="1"/>
                    </wps:wsp>
                  </a:graphicData>
                </a:graphic>
              </wp:anchor>
            </w:drawing>
          </mc:Choice>
          <mc:Fallback>
            <w:pict>
              <v:shape id="文本框 329" o:spid="_x0000_s1026" o:spt="202" type="#_x0000_t202" style="position:absolute;left:0pt;margin-left:-9pt;margin-top:1.25pt;height:48.75pt;width:72pt;z-index:251991040;mso-width-relative:page;mso-height-relative:page;" filled="f" stroked="f" coordsize="21600,21600" o:gfxdata="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08gMB9UA&#10;AAAJAQAADwAAAAAAAAABACAAAAAiAAAAZHJzL2Rvd25yZXYueG1sUEsBAhQAFAAAAAgAh07iQEt7&#10;2hWwAQAAUQMAAA4AAAAAAAAAAQAgAAAAJAEAAGRycy9lMm9Eb2MueG1sUEsFBgAAAAAGAAYAWQEA&#10;AEYFAAAAAA==&#10;">
                <v:fill on="f" focussize="0,0"/>
                <v:stroke on="f"/>
                <v:imagedata o:title=""/>
                <o:lock v:ext="edit" aspectratio="f"/>
                <v:textbox>
                  <w:txbxContent>
                    <w:p>
                      <w:pPr>
                        <w:pStyle w:val="36"/>
                        <w:spacing w:line="200" w:lineRule="exact"/>
                        <w:rPr>
                          <w:rFonts w:ascii="楷体_GB2312" w:hAnsi="宋体"/>
                          <w:sz w:val="18"/>
                          <w:szCs w:val="18"/>
                        </w:rPr>
                      </w:pPr>
                      <w:r>
                        <w:rPr>
                          <w:rFonts w:hint="eastAsia" w:ascii="楷体_GB2312" w:hAnsi="宋体" w:cs="楷体_GB2312"/>
                          <w:sz w:val="18"/>
                          <w:szCs w:val="18"/>
                        </w:rPr>
                        <w:t>发包人供应材料设备的价款调整</w:t>
                      </w:r>
                    </w:p>
                  </w:txbxContent>
                </v:textbox>
              </v:shape>
            </w:pict>
          </mc:Fallback>
        </mc:AlternateContent>
      </w:r>
      <w:r>
        <w:rPr>
          <w:rFonts w:hint="eastAsia" w:ascii="仿宋" w:hAnsi="仿宋" w:eastAsia="仿宋" w:cs="仿宋"/>
          <w:color w:val="auto"/>
          <w:sz w:val="24"/>
          <w:szCs w:val="24"/>
          <w:highlight w:val="none"/>
        </w:rPr>
        <w:t>发包人供应材料和工程设备的，由发包人按照实际变化调整，列入合同工程的工程造价内。</w:t>
      </w:r>
    </w:p>
    <w:p>
      <w:pPr>
        <w:pStyle w:val="2"/>
        <w:shd w:val="clear" w:color="000000" w:fill="auto"/>
        <w:adjustRightInd w:val="0"/>
        <w:snapToGrid w:val="0"/>
        <w:ind w:right="-238"/>
        <w:rPr>
          <w:rFonts w:ascii="仿宋" w:hAnsi="仿宋" w:eastAsia="仿宋" w:cs="Times New Roman"/>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5"/>
        <w:numPr>
          <w:ilvl w:val="0"/>
          <w:numId w:val="0"/>
        </w:numPr>
        <w:shd w:val="clear" w:color="000000" w:fill="auto"/>
        <w:tabs>
          <w:tab w:val="left" w:pos="420"/>
        </w:tabs>
        <w:rPr>
          <w:rFonts w:ascii="仿宋" w:hAnsi="仿宋" w:eastAsia="仿宋"/>
          <w:b w:val="0"/>
          <w:bCs w:val="0"/>
          <w:color w:val="auto"/>
          <w:sz w:val="24"/>
          <w:szCs w:val="24"/>
          <w:highlight w:val="none"/>
        </w:rPr>
      </w:pPr>
      <w:bookmarkStart w:id="360" w:name="_Toc469384061"/>
      <w:bookmarkStart w:id="361" w:name="_Toc10624901"/>
      <w:bookmarkStart w:id="362" w:name="_Toc15148"/>
      <w:r>
        <w:rPr>
          <w:rFonts w:hint="eastAsia" w:ascii="仿宋" w:hAnsi="仿宋" w:eastAsia="仿宋" w:cs="仿宋"/>
          <w:b w:val="0"/>
          <w:bCs w:val="0"/>
          <w:color w:val="auto"/>
          <w:sz w:val="24"/>
          <w:szCs w:val="24"/>
          <w:highlight w:val="none"/>
        </w:rPr>
        <w:t>★</w:t>
      </w:r>
      <w:r>
        <w:rPr>
          <w:rFonts w:ascii="仿宋" w:hAnsi="仿宋" w:eastAsia="仿宋" w:cs="仿宋"/>
          <w:bCs w:val="0"/>
          <w:color w:val="auto"/>
          <w:sz w:val="24"/>
          <w:szCs w:val="24"/>
          <w:highlight w:val="none"/>
        </w:rPr>
        <w:t xml:space="preserve">77  </w:t>
      </w:r>
      <w:r>
        <w:rPr>
          <w:rFonts w:hint="eastAsia" w:ascii="仿宋" w:hAnsi="仿宋" w:eastAsia="仿宋" w:cs="仿宋"/>
          <w:bCs w:val="0"/>
          <w:color w:val="auto"/>
          <w:sz w:val="24"/>
          <w:szCs w:val="24"/>
          <w:highlight w:val="none"/>
        </w:rPr>
        <w:t>合同价款调整程序</w:t>
      </w:r>
      <w:bookmarkEnd w:id="360"/>
      <w:bookmarkEnd w:id="361"/>
      <w:bookmarkEnd w:id="362"/>
    </w:p>
    <w:p>
      <w:pPr>
        <w:shd w:val="clear" w:color="000000" w:fill="auto"/>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77.1</w:t>
      </w:r>
    </w:p>
    <w:p>
      <w:pPr>
        <w:shd w:val="clear" w:color="000000" w:fill="auto"/>
        <w:spacing w:line="360" w:lineRule="auto"/>
        <w:ind w:left="1619" w:leftChars="771" w:firstLine="2"/>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92064" behindDoc="0" locked="0" layoutInCell="1" allowOverlap="1">
                <wp:simplePos x="0" y="0"/>
                <wp:positionH relativeFrom="column">
                  <wp:posOffset>-114300</wp:posOffset>
                </wp:positionH>
                <wp:positionV relativeFrom="paragraph">
                  <wp:posOffset>15875</wp:posOffset>
                </wp:positionV>
                <wp:extent cx="914400" cy="693420"/>
                <wp:effectExtent l="0" t="0" r="0" b="0"/>
                <wp:wrapNone/>
                <wp:docPr id="326" name="文本框 330"/>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pPr>
                              <w:pStyle w:val="36"/>
                              <w:spacing w:line="200" w:lineRule="exact"/>
                              <w:rPr>
                                <w:rFonts w:ascii="宋体" w:eastAsia="宋体"/>
                              </w:rPr>
                            </w:pPr>
                            <w:r>
                              <w:rPr>
                                <w:rFonts w:hint="eastAsia" w:ascii="楷体_GB2312" w:hAnsi="宋体" w:cs="楷体_GB2312"/>
                                <w:sz w:val="18"/>
                                <w:szCs w:val="18"/>
                              </w:rPr>
                              <w:t>合同价款调整程序的规定</w:t>
                            </w:r>
                            <w:r>
                              <w:rPr>
                                <w:rFonts w:ascii="楷体_GB2312" w:hAnsi="宋体" w:cs="楷体_GB2312"/>
                                <w:sz w:val="18"/>
                                <w:szCs w:val="18"/>
                              </w:rPr>
                              <w:t xml:space="preserve">    </w:t>
                            </w:r>
                            <w:r>
                              <w:rPr>
                                <w:rFonts w:ascii="宋体" w:hAnsi="宋体" w:cs="宋体"/>
                              </w:rPr>
                              <w:t xml:space="preserve">                         </w:t>
                            </w:r>
                          </w:p>
                        </w:txbxContent>
                      </wps:txbx>
                      <wps:bodyPr upright="1"/>
                    </wps:wsp>
                  </a:graphicData>
                </a:graphic>
              </wp:anchor>
            </w:drawing>
          </mc:Choice>
          <mc:Fallback>
            <w:pict>
              <v:shape id="文本框 330" o:spid="_x0000_s1026" o:spt="202" type="#_x0000_t202" style="position:absolute;left:0pt;margin-left:-9pt;margin-top:1.25pt;height:54.6pt;width:72pt;z-index:251992064;mso-width-relative:page;mso-height-relative:page;" filled="f" stroked="f" coordsize="21600,21600" o:gfxdata="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A+4+31gAA&#10;AAkBAAAPAAAAAAAAAAEAIAAAACIAAABkcnMvZG93bnJldi54bWxQSwECFAAUAAAACACHTuJA4DIP&#10;Sa4BAABRAwAADgAAAAAAAAABACAAAAAlAQAAZHJzL2Uyb0RvYy54bWxQSwUGAAAAAAYABgBZAQAA&#10;RQUAAAAA&#10;">
                <v:fill on="f" focussize="0,0"/>
                <v:stroke on="f"/>
                <v:imagedata o:title=""/>
                <o:lock v:ext="edit" aspectratio="f"/>
                <v:textbox>
                  <w:txbxContent>
                    <w:p>
                      <w:pPr>
                        <w:pStyle w:val="36"/>
                        <w:spacing w:line="200" w:lineRule="exact"/>
                        <w:rPr>
                          <w:rFonts w:ascii="宋体" w:eastAsia="宋体"/>
                        </w:rPr>
                      </w:pPr>
                      <w:r>
                        <w:rPr>
                          <w:rFonts w:hint="eastAsia" w:ascii="楷体_GB2312" w:hAnsi="宋体" w:cs="楷体_GB2312"/>
                          <w:sz w:val="18"/>
                          <w:szCs w:val="18"/>
                        </w:rPr>
                        <w:t>合同价款调整程序的规定</w:t>
                      </w:r>
                      <w:r>
                        <w:rPr>
                          <w:rFonts w:ascii="楷体_GB2312" w:hAnsi="宋体" w:cs="楷体_GB2312"/>
                          <w:sz w:val="18"/>
                          <w:szCs w:val="18"/>
                        </w:rPr>
                        <w:t xml:space="preserve">    </w:t>
                      </w:r>
                      <w:r>
                        <w:rPr>
                          <w:rFonts w:ascii="宋体" w:hAnsi="宋体" w:cs="宋体"/>
                        </w:rPr>
                        <w:t xml:space="preserve">                         </w:t>
                      </w:r>
                    </w:p>
                  </w:txbxContent>
                </v:textbox>
              </v:shape>
            </w:pict>
          </mc:Fallback>
        </mc:AlternateContent>
      </w:r>
      <w:r>
        <w:rPr>
          <w:rFonts w:hint="eastAsia" w:ascii="仿宋" w:hAnsi="仿宋" w:eastAsia="仿宋" w:cs="仿宋"/>
          <w:color w:val="auto"/>
          <w:sz w:val="24"/>
          <w:szCs w:val="24"/>
          <w:highlight w:val="none"/>
        </w:rPr>
        <w:t>合同履行期间，出现第</w:t>
      </w:r>
      <w:r>
        <w:rPr>
          <w:rFonts w:ascii="仿宋" w:hAnsi="仿宋" w:eastAsia="仿宋" w:cs="仿宋"/>
          <w:color w:val="auto"/>
          <w:sz w:val="24"/>
          <w:szCs w:val="24"/>
          <w:highlight w:val="none"/>
        </w:rPr>
        <w:t>68.</w:t>
      </w:r>
      <w:r>
        <w:rPr>
          <w:rFonts w:hint="eastAsia" w:ascii="仿宋" w:hAnsi="仿宋" w:eastAsia="仿宋" w:cs="仿宋"/>
          <w:color w:val="auto"/>
          <w:sz w:val="24"/>
          <w:szCs w:val="24"/>
          <w:highlight w:val="none"/>
        </w:rPr>
        <w:t>3款规定调整合同价款事件的，除费用索赔、现场签证事件分别按照第</w:t>
      </w:r>
      <w:r>
        <w:rPr>
          <w:rFonts w:ascii="仿宋" w:hAnsi="仿宋" w:eastAsia="仿宋" w:cs="仿宋"/>
          <w:color w:val="auto"/>
          <w:sz w:val="24"/>
          <w:szCs w:val="24"/>
          <w:highlight w:val="none"/>
        </w:rPr>
        <w:t>74</w:t>
      </w:r>
      <w:r>
        <w:rPr>
          <w:rFonts w:hint="eastAsia" w:ascii="仿宋" w:hAnsi="仿宋" w:eastAsia="仿宋" w:cs="仿宋"/>
          <w:color w:val="auto"/>
          <w:sz w:val="24"/>
          <w:szCs w:val="24"/>
          <w:highlight w:val="none"/>
        </w:rPr>
        <w:t>条、第</w:t>
      </w:r>
      <w:r>
        <w:rPr>
          <w:rFonts w:ascii="仿宋" w:hAnsi="仿宋" w:eastAsia="仿宋" w:cs="仿宋"/>
          <w:color w:val="auto"/>
          <w:sz w:val="24"/>
          <w:szCs w:val="24"/>
          <w:highlight w:val="none"/>
        </w:rPr>
        <w:t>75</w:t>
      </w:r>
      <w:r>
        <w:rPr>
          <w:rFonts w:hint="eastAsia" w:ascii="仿宋" w:hAnsi="仿宋" w:eastAsia="仿宋" w:cs="仿宋"/>
          <w:color w:val="auto"/>
          <w:sz w:val="24"/>
          <w:szCs w:val="24"/>
          <w:highlight w:val="none"/>
        </w:rPr>
        <w:t>条规定程序外，合同双方当事人应按照本条规定程序调整合同价款。</w:t>
      </w:r>
    </w:p>
    <w:p>
      <w:pPr>
        <w:pStyle w:val="2"/>
        <w:shd w:val="clear" w:color="000000" w:fill="auto"/>
        <w:adjustRightInd w:val="0"/>
        <w:snapToGrid w:val="0"/>
        <w:spacing w:line="360" w:lineRule="auto"/>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1993088" behindDoc="0" locked="0" layoutInCell="1" allowOverlap="1">
                <wp:simplePos x="0" y="0"/>
                <wp:positionH relativeFrom="column">
                  <wp:posOffset>-58420</wp:posOffset>
                </wp:positionH>
                <wp:positionV relativeFrom="paragraph">
                  <wp:posOffset>246380</wp:posOffset>
                </wp:positionV>
                <wp:extent cx="914400" cy="619125"/>
                <wp:effectExtent l="0" t="0" r="0" b="0"/>
                <wp:wrapNone/>
                <wp:docPr id="327" name="文本框 331"/>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pPr>
                              <w:pStyle w:val="36"/>
                              <w:spacing w:line="200" w:lineRule="exact"/>
                              <w:rPr>
                                <w:rFonts w:ascii="楷体_GB2312" w:hAnsi="宋体"/>
                                <w:sz w:val="18"/>
                                <w:szCs w:val="18"/>
                              </w:rPr>
                            </w:pPr>
                            <w:r>
                              <w:rPr>
                                <w:rFonts w:hint="eastAsia" w:ascii="楷体_GB2312" w:hAnsi="宋体" w:cs="楷体_GB2312"/>
                                <w:sz w:val="18"/>
                                <w:szCs w:val="18"/>
                              </w:rPr>
                              <w:t>合同价款调增报告的提出</w:t>
                            </w:r>
                          </w:p>
                          <w:p>
                            <w:pPr>
                              <w:pStyle w:val="36"/>
                              <w:spacing w:line="200" w:lineRule="exact"/>
                              <w:rPr>
                                <w:rFonts w:ascii="宋体" w:hAnsi="宋体" w:eastAsia="宋体"/>
                                <w:sz w:val="18"/>
                                <w:szCs w:val="18"/>
                              </w:rPr>
                            </w:pPr>
                          </w:p>
                        </w:txbxContent>
                      </wps:txbx>
                      <wps:bodyPr upright="1"/>
                    </wps:wsp>
                  </a:graphicData>
                </a:graphic>
              </wp:anchor>
            </w:drawing>
          </mc:Choice>
          <mc:Fallback>
            <w:pict>
              <v:shape id="文本框 331" o:spid="_x0000_s1026" o:spt="202" type="#_x0000_t202" style="position:absolute;left:0pt;margin-left:-4.6pt;margin-top:19.4pt;height:48.75pt;width:72pt;z-index:251993088;mso-width-relative:page;mso-height-relative:page;" filled="f" stroked="f" coordsize="21600,21600" o:gfxdata="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VC8H/tUA&#10;AAAJAQAADwAAAAAAAAABACAAAAAiAAAAZHJzL2Rvd25yZXYueG1sUEsBAhQAFAAAAAgAh07iQB9p&#10;h76wAQAAUQMAAA4AAAAAAAAAAQAgAAAAJAEAAGRycy9lMm9Eb2MueG1sUEsFBgAAAAAGAAYAWQEA&#10;AEYFAAAAAA==&#10;">
                <v:fill on="f" focussize="0,0"/>
                <v:stroke on="f"/>
                <v:imagedata o:title=""/>
                <o:lock v:ext="edit" aspectratio="f"/>
                <v:textbox>
                  <w:txbxContent>
                    <w:p>
                      <w:pPr>
                        <w:pStyle w:val="36"/>
                        <w:spacing w:line="200" w:lineRule="exact"/>
                        <w:rPr>
                          <w:rFonts w:ascii="楷体_GB2312" w:hAnsi="宋体"/>
                          <w:sz w:val="18"/>
                          <w:szCs w:val="18"/>
                        </w:rPr>
                      </w:pPr>
                      <w:r>
                        <w:rPr>
                          <w:rFonts w:hint="eastAsia" w:ascii="楷体_GB2312" w:hAnsi="宋体" w:cs="楷体_GB2312"/>
                          <w:sz w:val="18"/>
                          <w:szCs w:val="18"/>
                        </w:rPr>
                        <w:t>合同价款调增报告的提出</w:t>
                      </w:r>
                    </w:p>
                    <w:p>
                      <w:pPr>
                        <w:pStyle w:val="36"/>
                        <w:spacing w:line="200" w:lineRule="exact"/>
                        <w:rPr>
                          <w:rFonts w:ascii="宋体" w:hAnsi="宋体" w:eastAsia="宋体"/>
                          <w:sz w:val="18"/>
                          <w:szCs w:val="18"/>
                        </w:rPr>
                      </w:pPr>
                    </w:p>
                  </w:txbxContent>
                </v:textbox>
              </v:shape>
            </w:pict>
          </mc:Fallback>
        </mc:AlternateContent>
      </w:r>
      <w:r>
        <w:rPr>
          <w:rFonts w:ascii="仿宋" w:hAnsi="仿宋" w:eastAsia="仿宋" w:cs="仿宋"/>
          <w:b/>
          <w:bCs/>
          <w:color w:val="auto"/>
          <w:sz w:val="24"/>
          <w:szCs w:val="24"/>
          <w:highlight w:val="none"/>
        </w:rPr>
        <w:t xml:space="preserve">77.2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b/>
          <w:bCs/>
          <w:color w:val="auto"/>
          <w:sz w:val="24"/>
          <w:szCs w:val="24"/>
          <w:highlight w:val="none"/>
        </w:rPr>
      </w:pPr>
      <w:r>
        <w:rPr>
          <w:rFonts w:hint="eastAsia" w:ascii="仿宋" w:hAnsi="仿宋" w:eastAsia="仿宋" w:cs="仿宋"/>
          <w:color w:val="auto"/>
          <w:sz w:val="24"/>
          <w:szCs w:val="24"/>
          <w:highlight w:val="none"/>
        </w:rPr>
        <w:t>出现合同价款调增事件后的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天内，承包人应向造价工程师提交合同价款调增报告。并附上相关资料。如承包人在出现合同价款调增事件后的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天内未提交合同价款调增报告的，则造价工程师可在报发包人批准后，根据实际情况决定是否调整合同价款以及调整的金额。</w:t>
      </w:r>
    </w:p>
    <w:p>
      <w:pPr>
        <w:pStyle w:val="2"/>
        <w:shd w:val="clear" w:color="000000" w:fill="auto"/>
        <w:adjustRightInd w:val="0"/>
        <w:snapToGrid w:val="0"/>
        <w:spacing w:line="360" w:lineRule="auto"/>
        <w:rPr>
          <w:rFonts w:ascii="仿宋" w:hAnsi="仿宋" w:eastAsia="仿宋" w:cs="仿宋"/>
          <w:color w:val="auto"/>
          <w:sz w:val="24"/>
          <w:szCs w:val="24"/>
          <w:highlight w:val="none"/>
          <w:u w:val="dotted"/>
        </w:rPr>
      </w:pPr>
      <w:r>
        <w:rPr>
          <w:rFonts w:ascii="仿宋" w:hAnsi="仿宋" w:eastAsia="仿宋" w:cs="仿宋"/>
          <w:b/>
          <w:bCs/>
          <w:color w:val="auto"/>
          <w:sz w:val="24"/>
          <w:szCs w:val="24"/>
          <w:highlight w:val="none"/>
        </w:rPr>
        <w:t xml:space="preserve">77.3 </w:t>
      </w:r>
      <w:r>
        <w:rPr>
          <w:rFonts w:ascii="仿宋" w:hAnsi="仿宋" w:eastAsia="仿宋" w:cs="仿宋"/>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94112" behindDoc="0" locked="0" layoutInCell="1" allowOverlap="1">
                <wp:simplePos x="0" y="0"/>
                <wp:positionH relativeFrom="column">
                  <wp:posOffset>-114300</wp:posOffset>
                </wp:positionH>
                <wp:positionV relativeFrom="paragraph">
                  <wp:posOffset>34290</wp:posOffset>
                </wp:positionV>
                <wp:extent cx="1028700" cy="495300"/>
                <wp:effectExtent l="0" t="0" r="0" b="0"/>
                <wp:wrapNone/>
                <wp:docPr id="328" name="文本框 332"/>
                <wp:cNvGraphicFramePr/>
                <a:graphic xmlns:a="http://schemas.openxmlformats.org/drawingml/2006/main">
                  <a:graphicData uri="http://schemas.microsoft.com/office/word/2010/wordprocessingShape">
                    <wps:wsp>
                      <wps:cNvSpPr txBox="1"/>
                      <wps:spPr>
                        <a:xfrm>
                          <a:off x="0" y="0"/>
                          <a:ext cx="1028700" cy="495300"/>
                        </a:xfrm>
                        <a:prstGeom prst="rect">
                          <a:avLst/>
                        </a:prstGeom>
                        <a:noFill/>
                        <a:ln>
                          <a:noFill/>
                        </a:ln>
                      </wps:spPr>
                      <wps:txbx>
                        <w:txbxContent>
                          <w:p>
                            <w:pPr>
                              <w:pStyle w:val="36"/>
                              <w:spacing w:line="200" w:lineRule="exact"/>
                              <w:rPr>
                                <w:rFonts w:ascii="楷体_GB2312" w:hAnsi="宋体"/>
                                <w:sz w:val="18"/>
                                <w:szCs w:val="18"/>
                              </w:rPr>
                            </w:pPr>
                            <w:r>
                              <w:rPr>
                                <w:rFonts w:hint="eastAsia" w:ascii="楷体_GB2312" w:hAnsi="宋体" w:cs="楷体_GB2312"/>
                                <w:sz w:val="18"/>
                                <w:szCs w:val="18"/>
                              </w:rPr>
                              <w:t>调增价款的核</w:t>
                            </w:r>
                          </w:p>
                          <w:p>
                            <w:pPr>
                              <w:pStyle w:val="36"/>
                              <w:spacing w:line="200" w:lineRule="exact"/>
                              <w:rPr>
                                <w:rFonts w:ascii="楷体_GB2312" w:hAnsi="宋体"/>
                                <w:sz w:val="18"/>
                                <w:szCs w:val="18"/>
                              </w:rPr>
                            </w:pPr>
                            <w:r>
                              <w:rPr>
                                <w:rFonts w:hint="eastAsia" w:ascii="楷体_GB2312" w:hAnsi="宋体" w:cs="楷体_GB2312"/>
                                <w:sz w:val="18"/>
                                <w:szCs w:val="18"/>
                              </w:rPr>
                              <w:t>实</w:t>
                            </w:r>
                          </w:p>
                        </w:txbxContent>
                      </wps:txbx>
                      <wps:bodyPr upright="1"/>
                    </wps:wsp>
                  </a:graphicData>
                </a:graphic>
              </wp:anchor>
            </w:drawing>
          </mc:Choice>
          <mc:Fallback>
            <w:pict>
              <v:shape id="文本框 332" o:spid="_x0000_s1026" o:spt="202" type="#_x0000_t202" style="position:absolute;left:0pt;margin-left:-9pt;margin-top:2.7pt;height:39pt;width:81pt;z-index:251994112;mso-width-relative:page;mso-height-relative:page;" filled="f" stroked="f" coordsize="21600,21600" o:gfxdata="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6YhhG1QAA&#10;AAgBAAAPAAAAAAAAAAEAIAAAACIAAABkcnMvZG93bnJldi54bWxQSwECFAAUAAAACACHTuJAkW2B&#10;y68BAABSAwAADgAAAAAAAAABACAAAAAkAQAAZHJzL2Uyb0RvYy54bWxQSwUGAAAAAAYABgBZAQAA&#10;RQUAAAAA&#10;">
                <v:fill on="f" focussize="0,0"/>
                <v:stroke on="f"/>
                <v:imagedata o:title=""/>
                <o:lock v:ext="edit" aspectratio="f"/>
                <v:textbox>
                  <w:txbxContent>
                    <w:p>
                      <w:pPr>
                        <w:pStyle w:val="36"/>
                        <w:spacing w:line="200" w:lineRule="exact"/>
                        <w:rPr>
                          <w:rFonts w:ascii="楷体_GB2312" w:hAnsi="宋体"/>
                          <w:sz w:val="18"/>
                          <w:szCs w:val="18"/>
                        </w:rPr>
                      </w:pPr>
                      <w:r>
                        <w:rPr>
                          <w:rFonts w:hint="eastAsia" w:ascii="楷体_GB2312" w:hAnsi="宋体" w:cs="楷体_GB2312"/>
                          <w:sz w:val="18"/>
                          <w:szCs w:val="18"/>
                        </w:rPr>
                        <w:t>调增价款的核</w:t>
                      </w:r>
                    </w:p>
                    <w:p>
                      <w:pPr>
                        <w:pStyle w:val="36"/>
                        <w:spacing w:line="200" w:lineRule="exact"/>
                        <w:rPr>
                          <w:rFonts w:ascii="楷体_GB2312" w:hAnsi="宋体"/>
                          <w:sz w:val="18"/>
                          <w:szCs w:val="18"/>
                        </w:rPr>
                      </w:pPr>
                      <w:r>
                        <w:rPr>
                          <w:rFonts w:hint="eastAsia" w:ascii="楷体_GB2312" w:hAnsi="宋体" w:cs="楷体_GB2312"/>
                          <w:sz w:val="18"/>
                          <w:szCs w:val="18"/>
                        </w:rPr>
                        <w:t>实</w:t>
                      </w:r>
                    </w:p>
                  </w:txbxContent>
                </v:textbox>
              </v:shape>
            </w:pict>
          </mc:Fallback>
        </mc:AlternateContent>
      </w:r>
      <w:r>
        <w:rPr>
          <w:rFonts w:hint="eastAsia" w:ascii="仿宋" w:hAnsi="仿宋" w:eastAsia="仿宋" w:cs="仿宋"/>
          <w:color w:val="auto"/>
          <w:sz w:val="24"/>
          <w:szCs w:val="24"/>
          <w:highlight w:val="none"/>
        </w:rPr>
        <w:t>造价工程师应在收到合同价款调增报告及相关资料之日起</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天内对其核实，并予以确认或提出协商意见。造价工程师在收到合同价款调增报告之日起</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天内未确认也未提出协商意见的，视为承包人提交的合同价款调增报告已被认可。造价工程师提出协商意见的，合同双方当事人应在承包人收到协商意见后的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进行协商确定；协商未能达成一致的，由造价工程师暂定调增的合同价款，通知承包人并抄报发包人。出现暂定结果的，只要不实质影响合同双方当事人履约的，合同双方当事人应实施该结果，直到其被改变为止。</w:t>
      </w:r>
    </w:p>
    <w:p>
      <w:pPr>
        <w:pStyle w:val="2"/>
        <w:shd w:val="clear" w:color="000000" w:fill="auto"/>
        <w:adjustRightInd w:val="0"/>
        <w:snapToGrid w:val="0"/>
        <w:spacing w:line="360" w:lineRule="auto"/>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77.4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95136" behindDoc="0" locked="0" layoutInCell="1" allowOverlap="1">
                <wp:simplePos x="0" y="0"/>
                <wp:positionH relativeFrom="column">
                  <wp:posOffset>-114300</wp:posOffset>
                </wp:positionH>
                <wp:positionV relativeFrom="paragraph">
                  <wp:posOffset>34290</wp:posOffset>
                </wp:positionV>
                <wp:extent cx="1028700" cy="495300"/>
                <wp:effectExtent l="0" t="0" r="0" b="0"/>
                <wp:wrapNone/>
                <wp:docPr id="329" name="文本框 333"/>
                <wp:cNvGraphicFramePr/>
                <a:graphic xmlns:a="http://schemas.openxmlformats.org/drawingml/2006/main">
                  <a:graphicData uri="http://schemas.microsoft.com/office/word/2010/wordprocessingShape">
                    <wps:wsp>
                      <wps:cNvSpPr txBox="1"/>
                      <wps:spPr>
                        <a:xfrm>
                          <a:off x="0" y="0"/>
                          <a:ext cx="1028700" cy="495300"/>
                        </a:xfrm>
                        <a:prstGeom prst="rect">
                          <a:avLst/>
                        </a:prstGeom>
                        <a:noFill/>
                        <a:ln>
                          <a:noFill/>
                        </a:ln>
                      </wps:spPr>
                      <wps:txbx>
                        <w:txbxContent>
                          <w:p>
                            <w:pPr>
                              <w:pStyle w:val="36"/>
                              <w:spacing w:line="200" w:lineRule="exact"/>
                              <w:rPr>
                                <w:rFonts w:ascii="楷体_GB2312" w:hAnsi="宋体"/>
                                <w:sz w:val="18"/>
                                <w:szCs w:val="18"/>
                              </w:rPr>
                            </w:pPr>
                            <w:r>
                              <w:rPr>
                                <w:rFonts w:hint="eastAsia" w:ascii="楷体_GB2312" w:hAnsi="宋体" w:cs="楷体_GB2312"/>
                                <w:sz w:val="18"/>
                                <w:szCs w:val="18"/>
                              </w:rPr>
                              <w:t>调增价款的支</w:t>
                            </w:r>
                          </w:p>
                          <w:p>
                            <w:pPr>
                              <w:pStyle w:val="36"/>
                              <w:spacing w:line="200" w:lineRule="exact"/>
                              <w:rPr>
                                <w:rFonts w:ascii="楷体_GB2312" w:hAnsi="宋体"/>
                                <w:sz w:val="18"/>
                                <w:szCs w:val="18"/>
                              </w:rPr>
                            </w:pPr>
                            <w:r>
                              <w:rPr>
                                <w:rFonts w:hint="eastAsia" w:ascii="楷体_GB2312" w:hAnsi="宋体" w:cs="楷体_GB2312"/>
                                <w:sz w:val="18"/>
                                <w:szCs w:val="18"/>
                              </w:rPr>
                              <w:t>付</w:t>
                            </w:r>
                          </w:p>
                        </w:txbxContent>
                      </wps:txbx>
                      <wps:bodyPr upright="1"/>
                    </wps:wsp>
                  </a:graphicData>
                </a:graphic>
              </wp:anchor>
            </w:drawing>
          </mc:Choice>
          <mc:Fallback>
            <w:pict>
              <v:shape id="文本框 333" o:spid="_x0000_s1026" o:spt="202" type="#_x0000_t202" style="position:absolute;left:0pt;margin-left:-9pt;margin-top:2.7pt;height:39pt;width:81pt;z-index:251995136;mso-width-relative:page;mso-height-relative:page;" filled="f" stroked="f" coordsize="21600,21600" o:gfxdata="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mIYRtUA&#10;AAAIAQAADwAAAAAAAAABACAAAAAiAAAAZHJzL2Rvd25yZXYueG1sUEsBAhQAFAAAAAgAh07iQBpi&#10;TmmwAQAAUgMAAA4AAAAAAAAAAQAgAAAAJAEAAGRycy9lMm9Eb2MueG1sUEsFBgAAAAAGAAYAWQEA&#10;AEYFAAAAAA==&#10;">
                <v:fill on="f" focussize="0,0"/>
                <v:stroke on="f"/>
                <v:imagedata o:title=""/>
                <o:lock v:ext="edit" aspectratio="f"/>
                <v:textbox>
                  <w:txbxContent>
                    <w:p>
                      <w:pPr>
                        <w:pStyle w:val="36"/>
                        <w:spacing w:line="200" w:lineRule="exact"/>
                        <w:rPr>
                          <w:rFonts w:ascii="楷体_GB2312" w:hAnsi="宋体"/>
                          <w:sz w:val="18"/>
                          <w:szCs w:val="18"/>
                        </w:rPr>
                      </w:pPr>
                      <w:r>
                        <w:rPr>
                          <w:rFonts w:hint="eastAsia" w:ascii="楷体_GB2312" w:hAnsi="宋体" w:cs="楷体_GB2312"/>
                          <w:sz w:val="18"/>
                          <w:szCs w:val="18"/>
                        </w:rPr>
                        <w:t>调增价款的支</w:t>
                      </w:r>
                    </w:p>
                    <w:p>
                      <w:pPr>
                        <w:pStyle w:val="36"/>
                        <w:spacing w:line="200" w:lineRule="exact"/>
                        <w:rPr>
                          <w:rFonts w:ascii="楷体_GB2312" w:hAnsi="宋体"/>
                          <w:sz w:val="18"/>
                          <w:szCs w:val="18"/>
                        </w:rPr>
                      </w:pPr>
                      <w:r>
                        <w:rPr>
                          <w:rFonts w:hint="eastAsia" w:ascii="楷体_GB2312" w:hAnsi="宋体" w:cs="楷体_GB2312"/>
                          <w:sz w:val="18"/>
                          <w:szCs w:val="18"/>
                        </w:rPr>
                        <w:t>付</w:t>
                      </w:r>
                    </w:p>
                  </w:txbxContent>
                </v:textbox>
              </v:shape>
            </w:pict>
          </mc:Fallback>
        </mc:AlternateContent>
      </w:r>
      <w:r>
        <w:rPr>
          <w:rFonts w:hint="eastAsia" w:ascii="仿宋" w:hAnsi="仿宋" w:eastAsia="仿宋" w:cs="仿宋"/>
          <w:color w:val="auto"/>
          <w:sz w:val="24"/>
          <w:szCs w:val="24"/>
          <w:highlight w:val="none"/>
        </w:rPr>
        <w:t>经合同双方当事人确认或造价工程师暂定调增的合同价款，作为追加合同价款，与工程进度款或结算款同期支付。</w:t>
      </w:r>
    </w:p>
    <w:p>
      <w:pPr>
        <w:pStyle w:val="2"/>
        <w:shd w:val="clear" w:color="000000" w:fill="auto"/>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77.5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06" w:leftChars="765"/>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96160" behindDoc="0" locked="0" layoutInCell="1" allowOverlap="1">
                <wp:simplePos x="0" y="0"/>
                <wp:positionH relativeFrom="column">
                  <wp:posOffset>-66675</wp:posOffset>
                </wp:positionH>
                <wp:positionV relativeFrom="paragraph">
                  <wp:posOffset>5715</wp:posOffset>
                </wp:positionV>
                <wp:extent cx="1143000" cy="495300"/>
                <wp:effectExtent l="0" t="0" r="0" b="0"/>
                <wp:wrapNone/>
                <wp:docPr id="330" name="文本框 334"/>
                <wp:cNvGraphicFramePr/>
                <a:graphic xmlns:a="http://schemas.openxmlformats.org/drawingml/2006/main">
                  <a:graphicData uri="http://schemas.microsoft.com/office/word/2010/wordprocessingShape">
                    <wps:wsp>
                      <wps:cNvSpPr txBox="1"/>
                      <wps:spPr>
                        <a:xfrm>
                          <a:off x="0" y="0"/>
                          <a:ext cx="1143000" cy="495300"/>
                        </a:xfrm>
                        <a:prstGeom prst="rect">
                          <a:avLst/>
                        </a:prstGeom>
                        <a:noFill/>
                        <a:ln>
                          <a:noFill/>
                        </a:ln>
                      </wps:spPr>
                      <wps:txbx>
                        <w:txbxContent>
                          <w:p>
                            <w:pPr>
                              <w:pStyle w:val="36"/>
                              <w:spacing w:line="200" w:lineRule="exact"/>
                              <w:rPr>
                                <w:rFonts w:ascii="楷体_GB2312" w:hAnsi="宋体"/>
                                <w:sz w:val="18"/>
                                <w:szCs w:val="18"/>
                              </w:rPr>
                            </w:pPr>
                            <w:r>
                              <w:rPr>
                                <w:rFonts w:hint="eastAsia" w:ascii="楷体_GB2312" w:hAnsi="宋体" w:cs="楷体_GB2312"/>
                                <w:sz w:val="18"/>
                                <w:szCs w:val="18"/>
                              </w:rPr>
                              <w:t>合同价款调减</w:t>
                            </w:r>
                          </w:p>
                          <w:p>
                            <w:pPr>
                              <w:pStyle w:val="36"/>
                              <w:spacing w:line="200" w:lineRule="exact"/>
                              <w:rPr>
                                <w:rFonts w:ascii="楷体_GB2312" w:hAnsi="宋体"/>
                                <w:sz w:val="18"/>
                                <w:szCs w:val="18"/>
                              </w:rPr>
                            </w:pPr>
                            <w:r>
                              <w:rPr>
                                <w:rFonts w:hint="eastAsia" w:ascii="楷体_GB2312" w:hAnsi="宋体" w:cs="楷体_GB2312"/>
                                <w:sz w:val="18"/>
                                <w:szCs w:val="18"/>
                              </w:rPr>
                              <w:t>事件的处理</w:t>
                            </w:r>
                          </w:p>
                        </w:txbxContent>
                      </wps:txbx>
                      <wps:bodyPr upright="1"/>
                    </wps:wsp>
                  </a:graphicData>
                </a:graphic>
              </wp:anchor>
            </w:drawing>
          </mc:Choice>
          <mc:Fallback>
            <w:pict>
              <v:shape id="文本框 334" o:spid="_x0000_s1026" o:spt="202" type="#_x0000_t202" style="position:absolute;left:0pt;margin-left:-5.25pt;margin-top:0.45pt;height:39pt;width:90pt;z-index:251996160;mso-width-relative:page;mso-height-relative:page;" filled="f" stroked="f" coordsize="21600,21600" o:gfxdata="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BZqXjnTAAAABwEA&#10;AA8AAAAAAAAAAQAgAAAAIgAAAGRycy9kb3ducmV2LnhtbFBLAQIUABQAAAAIAIdO4kDj1vEZrQEA&#10;AFIDAAAOAAAAAAAAAAEAIAAAACIBAABkcnMvZTJvRG9jLnhtbFBLBQYAAAAABgAGAFkBAABBBQAA&#10;AAA=&#10;">
                <v:fill on="f" focussize="0,0"/>
                <v:stroke on="f"/>
                <v:imagedata o:title=""/>
                <o:lock v:ext="edit" aspectratio="f"/>
                <v:textbox>
                  <w:txbxContent>
                    <w:p>
                      <w:pPr>
                        <w:pStyle w:val="36"/>
                        <w:spacing w:line="200" w:lineRule="exact"/>
                        <w:rPr>
                          <w:rFonts w:ascii="楷体_GB2312" w:hAnsi="宋体"/>
                          <w:sz w:val="18"/>
                          <w:szCs w:val="18"/>
                        </w:rPr>
                      </w:pPr>
                      <w:r>
                        <w:rPr>
                          <w:rFonts w:hint="eastAsia" w:ascii="楷体_GB2312" w:hAnsi="宋体" w:cs="楷体_GB2312"/>
                          <w:sz w:val="18"/>
                          <w:szCs w:val="18"/>
                        </w:rPr>
                        <w:t>合同价款调减</w:t>
                      </w:r>
                    </w:p>
                    <w:p>
                      <w:pPr>
                        <w:pStyle w:val="36"/>
                        <w:spacing w:line="200" w:lineRule="exact"/>
                        <w:rPr>
                          <w:rFonts w:ascii="楷体_GB2312" w:hAnsi="宋体"/>
                          <w:sz w:val="18"/>
                          <w:szCs w:val="18"/>
                        </w:rPr>
                      </w:pPr>
                      <w:r>
                        <w:rPr>
                          <w:rFonts w:hint="eastAsia" w:ascii="楷体_GB2312" w:hAnsi="宋体" w:cs="楷体_GB2312"/>
                          <w:sz w:val="18"/>
                          <w:szCs w:val="18"/>
                        </w:rPr>
                        <w:t>事件的处理</w:t>
                      </w:r>
                    </w:p>
                  </w:txbxContent>
                </v:textbox>
              </v:shape>
            </w:pict>
          </mc:Fallback>
        </mc:AlternateContent>
      </w:r>
      <w:r>
        <w:rPr>
          <w:rFonts w:hint="eastAsia" w:ascii="仿宋" w:hAnsi="仿宋" w:eastAsia="仿宋" w:cs="仿宋"/>
          <w:color w:val="auto"/>
          <w:sz w:val="24"/>
          <w:szCs w:val="24"/>
          <w:highlight w:val="none"/>
        </w:rPr>
        <w:t>出现合同价款调减事件时，发包人可按照本条规定的时限和要求，向承包人提交合同价款调减报告以及调减的金额，但调减部分金额应按照实际调减金额乘以承包人报价浮动率计算。</w:t>
      </w:r>
    </w:p>
    <w:p>
      <w:pPr>
        <w:pStyle w:val="2"/>
        <w:shd w:val="clear" w:color="000000" w:fill="auto"/>
        <w:adjustRightInd w:val="0"/>
        <w:snapToGrid w:val="0"/>
        <w:ind w:left="1626" w:right="-238" w:hanging="1626" w:hangingChars="675"/>
        <w:rPr>
          <w:rFonts w:ascii="仿宋" w:hAnsi="仿宋" w:eastAsia="仿宋" w:cs="Times New Roman"/>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5"/>
        <w:numPr>
          <w:ilvl w:val="0"/>
          <w:numId w:val="0"/>
        </w:numPr>
        <w:shd w:val="clear" w:color="000000" w:fill="auto"/>
        <w:tabs>
          <w:tab w:val="left" w:pos="420"/>
        </w:tabs>
        <w:rPr>
          <w:rFonts w:ascii="仿宋" w:hAnsi="仿宋" w:eastAsia="仿宋"/>
          <w:color w:val="auto"/>
          <w:sz w:val="24"/>
          <w:szCs w:val="24"/>
          <w:highlight w:val="none"/>
        </w:rPr>
      </w:pPr>
      <w:bookmarkStart w:id="363" w:name="_Toc10624902"/>
      <w:bookmarkStart w:id="364" w:name="_Toc469384062"/>
      <w:bookmarkStart w:id="365" w:name="_Toc3656"/>
      <w:r>
        <w:rPr>
          <w:rFonts w:hint="eastAsia" w:ascii="仿宋" w:hAnsi="仿宋" w:eastAsia="仿宋" w:cs="仿宋"/>
          <w:b w:val="0"/>
          <w:bCs w:val="0"/>
          <w:color w:val="auto"/>
          <w:sz w:val="24"/>
          <w:szCs w:val="24"/>
          <w:highlight w:val="none"/>
        </w:rPr>
        <w:t>★</w:t>
      </w:r>
      <w:r>
        <w:rPr>
          <w:rFonts w:ascii="仿宋" w:hAnsi="仿宋" w:eastAsia="仿宋" w:cs="仿宋"/>
          <w:color w:val="auto"/>
          <w:sz w:val="24"/>
          <w:szCs w:val="24"/>
          <w:highlight w:val="none"/>
        </w:rPr>
        <w:t xml:space="preserve">78  </w:t>
      </w:r>
      <w:r>
        <w:rPr>
          <w:rFonts w:hint="eastAsia" w:ascii="仿宋" w:hAnsi="仿宋" w:eastAsia="仿宋" w:cs="仿宋"/>
          <w:color w:val="auto"/>
          <w:sz w:val="24"/>
          <w:szCs w:val="24"/>
          <w:highlight w:val="none"/>
        </w:rPr>
        <w:t>支付事项</w:t>
      </w:r>
      <w:bookmarkEnd w:id="363"/>
      <w:bookmarkEnd w:id="364"/>
      <w:bookmarkEnd w:id="365"/>
    </w:p>
    <w:p>
      <w:pPr>
        <w:pStyle w:val="2"/>
        <w:shd w:val="clear" w:color="000000" w:fill="auto"/>
        <w:adjustRightInd w:val="0"/>
        <w:snapToGrid w:val="0"/>
        <w:spacing w:line="360" w:lineRule="auto"/>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78.1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97184" behindDoc="0" locked="0" layoutInCell="1" allowOverlap="1">
                <wp:simplePos x="0" y="0"/>
                <wp:positionH relativeFrom="column">
                  <wp:posOffset>-114300</wp:posOffset>
                </wp:positionH>
                <wp:positionV relativeFrom="paragraph">
                  <wp:posOffset>21590</wp:posOffset>
                </wp:positionV>
                <wp:extent cx="1143000" cy="314325"/>
                <wp:effectExtent l="0" t="0" r="0" b="0"/>
                <wp:wrapNone/>
                <wp:docPr id="331" name="文本框 335"/>
                <wp:cNvGraphicFramePr/>
                <a:graphic xmlns:a="http://schemas.openxmlformats.org/drawingml/2006/main">
                  <a:graphicData uri="http://schemas.microsoft.com/office/word/2010/wordprocessingShape">
                    <wps:wsp>
                      <wps:cNvSpPr txBox="1"/>
                      <wps:spPr>
                        <a:xfrm>
                          <a:off x="0" y="0"/>
                          <a:ext cx="1143000" cy="314325"/>
                        </a:xfrm>
                        <a:prstGeom prst="rect">
                          <a:avLst/>
                        </a:prstGeom>
                        <a:noFill/>
                        <a:ln>
                          <a:noFill/>
                        </a:ln>
                      </wps:spPr>
                      <wps:txbx>
                        <w:txbxContent>
                          <w:p>
                            <w:pPr>
                              <w:pStyle w:val="36"/>
                              <w:spacing w:line="200" w:lineRule="exact"/>
                              <w:rPr>
                                <w:rFonts w:ascii="楷体_GB2312" w:hAnsi="宋体"/>
                                <w:sz w:val="18"/>
                                <w:szCs w:val="18"/>
                              </w:rPr>
                            </w:pPr>
                            <w:r>
                              <w:rPr>
                                <w:rFonts w:hint="eastAsia" w:ascii="楷体_GB2312" w:hAnsi="宋体" w:cs="楷体_GB2312"/>
                                <w:sz w:val="18"/>
                                <w:szCs w:val="18"/>
                              </w:rPr>
                              <w:t>支付工程款项</w:t>
                            </w:r>
                          </w:p>
                        </w:txbxContent>
                      </wps:txbx>
                      <wps:bodyPr upright="1"/>
                    </wps:wsp>
                  </a:graphicData>
                </a:graphic>
              </wp:anchor>
            </w:drawing>
          </mc:Choice>
          <mc:Fallback>
            <w:pict>
              <v:shape id="文本框 335" o:spid="_x0000_s1026" o:spt="202" type="#_x0000_t202" style="position:absolute;left:0pt;margin-left:-9pt;margin-top:1.7pt;height:24.75pt;width:90pt;z-index:251997184;mso-width-relative:page;mso-height-relative:page;" filled="f" stroked="f" coordsize="21600,21600" o:gfxdata="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BaF9MvVAAAA&#10;CAEAAA8AAAAAAAAAAQAgAAAAIgAAAGRycy9kb3ducmV2LnhtbFBLAQIUABQAAAAIAIdO4kCIpOtM&#10;rgEAAFIDAAAOAAAAAAAAAAEAIAAAACQBAABkcnMvZTJvRG9jLnhtbFBLBQYAAAAABgAGAFkBAABE&#10;BQAAAAA=&#10;">
                <v:fill on="f" focussize="0,0"/>
                <v:stroke on="f"/>
                <v:imagedata o:title=""/>
                <o:lock v:ext="edit" aspectratio="f"/>
                <v:textbox>
                  <w:txbxContent>
                    <w:p>
                      <w:pPr>
                        <w:pStyle w:val="36"/>
                        <w:spacing w:line="200" w:lineRule="exact"/>
                        <w:rPr>
                          <w:rFonts w:ascii="楷体_GB2312" w:hAnsi="宋体"/>
                          <w:sz w:val="18"/>
                          <w:szCs w:val="18"/>
                        </w:rPr>
                      </w:pPr>
                      <w:r>
                        <w:rPr>
                          <w:rFonts w:hint="eastAsia" w:ascii="楷体_GB2312" w:hAnsi="宋体" w:cs="楷体_GB2312"/>
                          <w:sz w:val="18"/>
                          <w:szCs w:val="18"/>
                        </w:rPr>
                        <w:t>支付工程款项</w:t>
                      </w:r>
                    </w:p>
                  </w:txbxContent>
                </v:textbox>
              </v:shape>
            </w:pict>
          </mc:Fallback>
        </mc:AlternateContent>
      </w:r>
      <w:r>
        <w:rPr>
          <w:rFonts w:hint="eastAsia" w:ascii="仿宋" w:hAnsi="仿宋" w:eastAsia="仿宋" w:cs="仿宋"/>
          <w:color w:val="auto"/>
          <w:sz w:val="24"/>
          <w:szCs w:val="24"/>
          <w:highlight w:val="none"/>
        </w:rPr>
        <w:t>发包人应按照下列规定向承包人支付工程款及其他各种款项：</w:t>
      </w:r>
    </w:p>
    <w:p>
      <w:pPr>
        <w:pStyle w:val="2"/>
        <w:shd w:val="clear" w:color="000000" w:fill="auto"/>
        <w:adjustRightInd w:val="0"/>
        <w:snapToGrid w:val="0"/>
        <w:spacing w:line="360" w:lineRule="auto"/>
        <w:ind w:left="1079" w:leftChars="514" w:firstLine="720" w:firstLineChars="3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预付款按照第</w:t>
      </w:r>
      <w:r>
        <w:rPr>
          <w:rFonts w:ascii="仿宋" w:hAnsi="仿宋" w:eastAsia="仿宋" w:cs="仿宋"/>
          <w:color w:val="auto"/>
          <w:sz w:val="24"/>
          <w:szCs w:val="24"/>
          <w:highlight w:val="none"/>
        </w:rPr>
        <w:t>79</w:t>
      </w:r>
      <w:r>
        <w:rPr>
          <w:rFonts w:hint="eastAsia" w:ascii="仿宋" w:hAnsi="仿宋" w:eastAsia="仿宋" w:cs="仿宋"/>
          <w:color w:val="auto"/>
          <w:sz w:val="24"/>
          <w:szCs w:val="24"/>
          <w:highlight w:val="none"/>
        </w:rPr>
        <w:t>条的规定支付；</w:t>
      </w:r>
    </w:p>
    <w:p>
      <w:pPr>
        <w:pStyle w:val="2"/>
        <w:shd w:val="clear" w:color="000000" w:fill="auto"/>
        <w:adjustRightInd w:val="0"/>
        <w:snapToGrid w:val="0"/>
        <w:spacing w:line="360" w:lineRule="auto"/>
        <w:ind w:left="1079" w:leftChars="514" w:firstLine="720" w:firstLineChars="3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(2) </w:t>
      </w:r>
      <w:r>
        <w:rPr>
          <w:rFonts w:hint="eastAsia" w:ascii="仿宋" w:hAnsi="仿宋" w:eastAsia="仿宋" w:cs="仿宋"/>
          <w:color w:val="auto"/>
          <w:sz w:val="24"/>
          <w:szCs w:val="24"/>
          <w:highlight w:val="none"/>
        </w:rPr>
        <w:t>绿色施工安全防护费按照第</w:t>
      </w:r>
      <w:r>
        <w:rPr>
          <w:rFonts w:ascii="仿宋" w:hAnsi="仿宋" w:eastAsia="仿宋" w:cs="仿宋"/>
          <w:color w:val="auto"/>
          <w:sz w:val="24"/>
          <w:szCs w:val="24"/>
          <w:highlight w:val="none"/>
        </w:rPr>
        <w:t>80</w:t>
      </w:r>
      <w:r>
        <w:rPr>
          <w:rFonts w:hint="eastAsia" w:ascii="仿宋" w:hAnsi="仿宋" w:eastAsia="仿宋" w:cs="仿宋"/>
          <w:color w:val="auto"/>
          <w:sz w:val="24"/>
          <w:szCs w:val="24"/>
          <w:highlight w:val="none"/>
        </w:rPr>
        <w:t>条规定支付；</w:t>
      </w:r>
    </w:p>
    <w:p>
      <w:pPr>
        <w:pStyle w:val="2"/>
        <w:shd w:val="clear" w:color="000000" w:fill="auto"/>
        <w:adjustRightInd w:val="0"/>
        <w:snapToGrid w:val="0"/>
        <w:spacing w:line="360" w:lineRule="auto"/>
        <w:ind w:left="1079" w:leftChars="514" w:firstLine="720" w:firstLineChars="3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进度款按照第</w:t>
      </w:r>
      <w:r>
        <w:rPr>
          <w:rFonts w:ascii="仿宋" w:hAnsi="仿宋" w:eastAsia="仿宋" w:cs="仿宋"/>
          <w:color w:val="auto"/>
          <w:sz w:val="24"/>
          <w:szCs w:val="24"/>
          <w:highlight w:val="none"/>
        </w:rPr>
        <w:t>81</w:t>
      </w:r>
      <w:r>
        <w:rPr>
          <w:rFonts w:hint="eastAsia" w:ascii="仿宋" w:hAnsi="仿宋" w:eastAsia="仿宋" w:cs="仿宋"/>
          <w:color w:val="auto"/>
          <w:sz w:val="24"/>
          <w:szCs w:val="24"/>
          <w:highlight w:val="none"/>
        </w:rPr>
        <w:t>条的规定支付；</w:t>
      </w:r>
    </w:p>
    <w:p>
      <w:pPr>
        <w:pStyle w:val="2"/>
        <w:shd w:val="clear" w:color="000000" w:fill="auto"/>
        <w:adjustRightInd w:val="0"/>
        <w:snapToGrid w:val="0"/>
        <w:spacing w:line="360" w:lineRule="auto"/>
        <w:ind w:left="481" w:leftChars="229" w:firstLine="1320" w:firstLineChars="55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(4)</w:t>
      </w:r>
      <w:r>
        <w:rPr>
          <w:rFonts w:hint="eastAsia" w:ascii="仿宋" w:hAnsi="仿宋" w:eastAsia="仿宋" w:cs="仿宋"/>
          <w:color w:val="auto"/>
          <w:sz w:val="24"/>
          <w:szCs w:val="24"/>
          <w:highlight w:val="none"/>
        </w:rPr>
        <w:t>结算款按照第</w:t>
      </w:r>
      <w:r>
        <w:rPr>
          <w:rFonts w:ascii="仿宋" w:hAnsi="仿宋" w:eastAsia="仿宋" w:cs="仿宋"/>
          <w:color w:val="auto"/>
          <w:sz w:val="24"/>
          <w:szCs w:val="24"/>
          <w:highlight w:val="none"/>
        </w:rPr>
        <w:t>83</w:t>
      </w:r>
      <w:r>
        <w:rPr>
          <w:rFonts w:hint="eastAsia" w:ascii="仿宋" w:hAnsi="仿宋" w:eastAsia="仿宋" w:cs="仿宋"/>
          <w:color w:val="auto"/>
          <w:sz w:val="24"/>
          <w:szCs w:val="24"/>
          <w:highlight w:val="none"/>
        </w:rPr>
        <w:t>条的规定支付；</w:t>
      </w:r>
    </w:p>
    <w:p>
      <w:pPr>
        <w:pStyle w:val="2"/>
        <w:shd w:val="clear" w:color="000000" w:fill="auto"/>
        <w:adjustRightInd w:val="0"/>
        <w:snapToGrid w:val="0"/>
        <w:spacing w:line="360" w:lineRule="auto"/>
        <w:ind w:left="1079" w:leftChars="514" w:firstLine="720" w:firstLineChars="3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(5)</w:t>
      </w:r>
      <w:r>
        <w:rPr>
          <w:rFonts w:hint="eastAsia" w:ascii="仿宋" w:hAnsi="仿宋" w:eastAsia="仿宋" w:cs="仿宋"/>
          <w:color w:val="auto"/>
          <w:sz w:val="24"/>
          <w:szCs w:val="24"/>
          <w:highlight w:val="none"/>
        </w:rPr>
        <w:t>质量保证金按照第</w:t>
      </w:r>
      <w:r>
        <w:rPr>
          <w:rFonts w:ascii="仿宋" w:hAnsi="仿宋" w:eastAsia="仿宋" w:cs="仿宋"/>
          <w:color w:val="auto"/>
          <w:sz w:val="24"/>
          <w:szCs w:val="24"/>
          <w:highlight w:val="none"/>
        </w:rPr>
        <w:t>84</w:t>
      </w:r>
      <w:r>
        <w:rPr>
          <w:rFonts w:hint="eastAsia" w:ascii="仿宋" w:hAnsi="仿宋" w:eastAsia="仿宋" w:cs="仿宋"/>
          <w:color w:val="auto"/>
          <w:sz w:val="24"/>
          <w:szCs w:val="24"/>
          <w:highlight w:val="none"/>
        </w:rPr>
        <w:t>条的规定支付；</w:t>
      </w:r>
    </w:p>
    <w:p>
      <w:pPr>
        <w:pStyle w:val="2"/>
        <w:shd w:val="clear" w:color="000000" w:fill="auto"/>
        <w:adjustRightInd w:val="0"/>
        <w:snapToGrid w:val="0"/>
        <w:spacing w:line="360" w:lineRule="auto"/>
        <w:ind w:left="1079" w:leftChars="514" w:firstLine="720" w:firstLineChars="3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(6)</w:t>
      </w:r>
      <w:r>
        <w:rPr>
          <w:rFonts w:hint="eastAsia" w:ascii="仿宋" w:hAnsi="仿宋" w:eastAsia="仿宋" w:cs="仿宋"/>
          <w:color w:val="auto"/>
          <w:sz w:val="24"/>
          <w:szCs w:val="24"/>
          <w:highlight w:val="none"/>
        </w:rPr>
        <w:t>最终清算款按照第</w:t>
      </w:r>
      <w:r>
        <w:rPr>
          <w:rFonts w:ascii="仿宋" w:hAnsi="仿宋" w:eastAsia="仿宋" w:cs="仿宋"/>
          <w:color w:val="auto"/>
          <w:sz w:val="24"/>
          <w:szCs w:val="24"/>
          <w:highlight w:val="none"/>
        </w:rPr>
        <w:t>85</w:t>
      </w:r>
      <w:r>
        <w:rPr>
          <w:rFonts w:hint="eastAsia" w:ascii="仿宋" w:hAnsi="仿宋" w:eastAsia="仿宋" w:cs="仿宋"/>
          <w:color w:val="auto"/>
          <w:sz w:val="24"/>
          <w:szCs w:val="24"/>
          <w:highlight w:val="none"/>
        </w:rPr>
        <w:t>条的规定支付。</w:t>
      </w:r>
    </w:p>
    <w:p>
      <w:pPr>
        <w:pStyle w:val="2"/>
        <w:shd w:val="clear" w:color="000000" w:fill="auto"/>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78.2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98208" behindDoc="0" locked="0" layoutInCell="1" allowOverlap="1">
                <wp:simplePos x="0" y="0"/>
                <wp:positionH relativeFrom="column">
                  <wp:posOffset>-114300</wp:posOffset>
                </wp:positionH>
                <wp:positionV relativeFrom="paragraph">
                  <wp:posOffset>43815</wp:posOffset>
                </wp:positionV>
                <wp:extent cx="914400" cy="398145"/>
                <wp:effectExtent l="0" t="0" r="0" b="0"/>
                <wp:wrapNone/>
                <wp:docPr id="332" name="文本框 336"/>
                <wp:cNvGraphicFramePr/>
                <a:graphic xmlns:a="http://schemas.openxmlformats.org/drawingml/2006/main">
                  <a:graphicData uri="http://schemas.microsoft.com/office/word/2010/wordprocessingShape">
                    <wps:wsp>
                      <wps:cNvSpPr txBox="1"/>
                      <wps:spPr>
                        <a:xfrm>
                          <a:off x="0" y="0"/>
                          <a:ext cx="914400" cy="398145"/>
                        </a:xfrm>
                        <a:prstGeom prst="rect">
                          <a:avLst/>
                        </a:prstGeom>
                        <a:noFill/>
                        <a:ln>
                          <a:noFill/>
                        </a:ln>
                      </wps:spPr>
                      <wps:txbx>
                        <w:txbxContent>
                          <w:p>
                            <w:pPr>
                              <w:pStyle w:val="36"/>
                              <w:spacing w:line="200" w:lineRule="exact"/>
                              <w:rPr>
                                <w:rFonts w:ascii="楷体_GB2312" w:hAnsi="宋体"/>
                                <w:sz w:val="18"/>
                                <w:szCs w:val="18"/>
                              </w:rPr>
                            </w:pPr>
                            <w:r>
                              <w:rPr>
                                <w:rFonts w:hint="eastAsia" w:ascii="楷体_GB2312" w:hAnsi="宋体" w:cs="楷体_GB2312"/>
                                <w:sz w:val="18"/>
                                <w:szCs w:val="18"/>
                              </w:rPr>
                              <w:t>延迟支付的利息计算</w:t>
                            </w:r>
                          </w:p>
                        </w:txbxContent>
                      </wps:txbx>
                      <wps:bodyPr upright="1"/>
                    </wps:wsp>
                  </a:graphicData>
                </a:graphic>
              </wp:anchor>
            </w:drawing>
          </mc:Choice>
          <mc:Fallback>
            <w:pict>
              <v:shape id="文本框 336" o:spid="_x0000_s1026" o:spt="202" type="#_x0000_t202" style="position:absolute;left:0pt;margin-left:-9pt;margin-top:3.45pt;height:31.35pt;width:72pt;z-index:251998208;mso-width-relative:page;mso-height-relative:page;" filled="f" stroked="f" coordsize="21600,21600" o:gfxdata="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q4J2j1AAA&#10;AAgBAAAPAAAAAAAAAAEAIAAAACIAAABkcnMvZG93bnJldi54bWxQSwECFAAUAAAACACHTuJATOJG&#10;hrABAABRAwAADgAAAAAAAAABACAAAAAjAQAAZHJzL2Uyb0RvYy54bWxQSwUGAAAAAAYABgBZAQAA&#10;RQUAAAAA&#10;">
                <v:fill on="f" focussize="0,0"/>
                <v:stroke on="f"/>
                <v:imagedata o:title=""/>
                <o:lock v:ext="edit" aspectratio="f"/>
                <v:textbox>
                  <w:txbxContent>
                    <w:p>
                      <w:pPr>
                        <w:pStyle w:val="36"/>
                        <w:spacing w:line="200" w:lineRule="exact"/>
                        <w:rPr>
                          <w:rFonts w:ascii="楷体_GB2312" w:hAnsi="宋体"/>
                          <w:sz w:val="18"/>
                          <w:szCs w:val="18"/>
                        </w:rPr>
                      </w:pPr>
                      <w:r>
                        <w:rPr>
                          <w:rFonts w:hint="eastAsia" w:ascii="楷体_GB2312" w:hAnsi="宋体" w:cs="楷体_GB2312"/>
                          <w:sz w:val="18"/>
                          <w:szCs w:val="18"/>
                        </w:rPr>
                        <w:t>延迟支付的利息计算</w:t>
                      </w:r>
                    </w:p>
                  </w:txbxContent>
                </v:textbox>
              </v:shape>
            </w:pict>
          </mc:Fallback>
        </mc:AlternateContent>
      </w:r>
      <w:r>
        <w:rPr>
          <w:rFonts w:hint="eastAsia" w:ascii="仿宋" w:hAnsi="仿宋" w:eastAsia="仿宋" w:cs="仿宋"/>
          <w:color w:val="auto"/>
          <w:sz w:val="24"/>
          <w:szCs w:val="24"/>
          <w:highlight w:val="none"/>
        </w:rPr>
        <w:t>如果发包人延迟支付款项，则承包人有权按照专用条款约定的利率计算和得到利息。计息时间从应支付之日算起直到该笔延迟款额支付之日止。除专用条款另有约定外，利息的利率按照中国人民银行发布的同期同类贷款利率计算。</w:t>
      </w:r>
    </w:p>
    <w:p>
      <w:pPr>
        <w:pStyle w:val="2"/>
        <w:shd w:val="clear" w:color="000000" w:fill="auto"/>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78.3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1999232" behindDoc="0" locked="0" layoutInCell="1" allowOverlap="1">
                <wp:simplePos x="0" y="0"/>
                <wp:positionH relativeFrom="column">
                  <wp:posOffset>-114300</wp:posOffset>
                </wp:positionH>
                <wp:positionV relativeFrom="paragraph">
                  <wp:posOffset>4445</wp:posOffset>
                </wp:positionV>
                <wp:extent cx="914400" cy="438150"/>
                <wp:effectExtent l="0" t="0" r="0" b="0"/>
                <wp:wrapNone/>
                <wp:docPr id="333" name="文本框 337"/>
                <wp:cNvGraphicFramePr/>
                <a:graphic xmlns:a="http://schemas.openxmlformats.org/drawingml/2006/main">
                  <a:graphicData uri="http://schemas.microsoft.com/office/word/2010/wordprocessingShape">
                    <wps:wsp>
                      <wps:cNvSpPr txBox="1"/>
                      <wps:spPr>
                        <a:xfrm>
                          <a:off x="0" y="0"/>
                          <a:ext cx="914400" cy="438150"/>
                        </a:xfrm>
                        <a:prstGeom prst="rect">
                          <a:avLst/>
                        </a:prstGeom>
                        <a:noFill/>
                        <a:ln>
                          <a:noFill/>
                        </a:ln>
                      </wps:spPr>
                      <wps:txbx>
                        <w:txbxContent>
                          <w:p>
                            <w:pPr>
                              <w:pStyle w:val="36"/>
                              <w:spacing w:line="200" w:lineRule="exact"/>
                              <w:rPr>
                                <w:rFonts w:ascii="楷体_GB2312" w:hAnsi="宋体"/>
                                <w:sz w:val="18"/>
                                <w:szCs w:val="18"/>
                              </w:rPr>
                            </w:pPr>
                            <w:r>
                              <w:rPr>
                                <w:rFonts w:hint="eastAsia" w:ascii="楷体_GB2312" w:hAnsi="宋体" w:cs="楷体_GB2312"/>
                                <w:sz w:val="18"/>
                                <w:szCs w:val="18"/>
                              </w:rPr>
                              <w:t>承包人提供支付凭证</w:t>
                            </w:r>
                          </w:p>
                        </w:txbxContent>
                      </wps:txbx>
                      <wps:bodyPr upright="1"/>
                    </wps:wsp>
                  </a:graphicData>
                </a:graphic>
              </wp:anchor>
            </w:drawing>
          </mc:Choice>
          <mc:Fallback>
            <w:pict>
              <v:shape id="文本框 337" o:spid="_x0000_s1026" o:spt="202" type="#_x0000_t202" style="position:absolute;left:0pt;margin-left:-9pt;margin-top:0.35pt;height:34.5pt;width:72pt;z-index:251999232;mso-width-relative:page;mso-height-relative:page;" filled="f" stroked="f" coordsize="21600,21600" o:gfxdata="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qq7ui1AAA&#10;AAcBAAAPAAAAAAAAAAEAIAAAACIAAABkcnMvZG93bnJldi54bWxQSwECFAAUAAAACACHTuJAh0zi&#10;MrABAABRAwAADgAAAAAAAAABACAAAAAjAQAAZHJzL2Uyb0RvYy54bWxQSwUGAAAAAAYABgBZAQAA&#10;RQUAAAAA&#10;">
                <v:fill on="f" focussize="0,0"/>
                <v:stroke on="f"/>
                <v:imagedata o:title=""/>
                <o:lock v:ext="edit" aspectratio="f"/>
                <v:textbox>
                  <w:txbxContent>
                    <w:p>
                      <w:pPr>
                        <w:pStyle w:val="36"/>
                        <w:spacing w:line="200" w:lineRule="exact"/>
                        <w:rPr>
                          <w:rFonts w:ascii="楷体_GB2312" w:hAnsi="宋体"/>
                          <w:sz w:val="18"/>
                          <w:szCs w:val="18"/>
                        </w:rPr>
                      </w:pPr>
                      <w:r>
                        <w:rPr>
                          <w:rFonts w:hint="eastAsia" w:ascii="楷体_GB2312" w:hAnsi="宋体" w:cs="楷体_GB2312"/>
                          <w:sz w:val="18"/>
                          <w:szCs w:val="18"/>
                        </w:rPr>
                        <w:t>承包人提供支付凭证</w:t>
                      </w:r>
                    </w:p>
                  </w:txbxContent>
                </v:textbox>
              </v:shape>
            </w:pict>
          </mc:Fallback>
        </mc:AlternateContent>
      </w:r>
      <w:r>
        <w:rPr>
          <w:rFonts w:hint="eastAsia" w:ascii="仿宋" w:hAnsi="仿宋" w:eastAsia="仿宋" w:cs="仿宋"/>
          <w:color w:val="auto"/>
          <w:sz w:val="24"/>
          <w:szCs w:val="24"/>
          <w:highlight w:val="none"/>
        </w:rPr>
        <w:t>发包人或受其委托的造价工程师有权要求，承包人向发包人或造价工程师提供其对雇员劳务工资、分包人已完工程款以及材料和工程设备供应商货款的支付凭证。如果承包人未能提供上述凭证，视为承包人未向雇员、分包人、供应商支付相关款项。</w:t>
      </w:r>
    </w:p>
    <w:p>
      <w:pPr>
        <w:pStyle w:val="2"/>
        <w:shd w:val="clear" w:color="000000" w:fill="auto"/>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78.4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420" w:lineRule="exact"/>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00256" behindDoc="0" locked="0" layoutInCell="1" allowOverlap="1">
                <wp:simplePos x="0" y="0"/>
                <wp:positionH relativeFrom="column">
                  <wp:posOffset>-114300</wp:posOffset>
                </wp:positionH>
                <wp:positionV relativeFrom="paragraph">
                  <wp:posOffset>22225</wp:posOffset>
                </wp:positionV>
                <wp:extent cx="914400" cy="504190"/>
                <wp:effectExtent l="0" t="0" r="0" b="0"/>
                <wp:wrapNone/>
                <wp:docPr id="334" name="文本框 338"/>
                <wp:cNvGraphicFramePr/>
                <a:graphic xmlns:a="http://schemas.openxmlformats.org/drawingml/2006/main">
                  <a:graphicData uri="http://schemas.microsoft.com/office/word/2010/wordprocessingShape">
                    <wps:wsp>
                      <wps:cNvSpPr txBox="1"/>
                      <wps:spPr>
                        <a:xfrm>
                          <a:off x="0" y="0"/>
                          <a:ext cx="914400" cy="504190"/>
                        </a:xfrm>
                        <a:prstGeom prst="rect">
                          <a:avLst/>
                        </a:prstGeom>
                        <a:noFill/>
                        <a:ln>
                          <a:noFill/>
                        </a:ln>
                      </wps:spPr>
                      <wps:txbx>
                        <w:txbxContent>
                          <w:p>
                            <w:pPr>
                              <w:pStyle w:val="36"/>
                              <w:spacing w:line="200" w:lineRule="exact"/>
                              <w:rPr>
                                <w:rFonts w:ascii="楷体_GB2312" w:hAnsi="宋体"/>
                                <w:sz w:val="18"/>
                                <w:szCs w:val="18"/>
                              </w:rPr>
                            </w:pPr>
                            <w:r>
                              <w:rPr>
                                <w:rFonts w:hint="eastAsia" w:ascii="楷体_GB2312" w:hAnsi="宋体" w:cs="楷体_GB2312"/>
                                <w:sz w:val="18"/>
                                <w:szCs w:val="18"/>
                              </w:rPr>
                              <w:t>承包人未按规定支付款项的限制</w:t>
                            </w:r>
                          </w:p>
                        </w:txbxContent>
                      </wps:txbx>
                      <wps:bodyPr upright="1"/>
                    </wps:wsp>
                  </a:graphicData>
                </a:graphic>
              </wp:anchor>
            </w:drawing>
          </mc:Choice>
          <mc:Fallback>
            <w:pict>
              <v:shape id="文本框 338" o:spid="_x0000_s1026" o:spt="202" type="#_x0000_t202" style="position:absolute;left:0pt;margin-left:-9pt;margin-top:1.75pt;height:39.7pt;width:72pt;z-index:252000256;mso-width-relative:page;mso-height-relative:page;" filled="f" stroked="f" coordsize="21600,21600" o:gfxdata="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HVJ7KfV&#10;AAAACAEAAA8AAAAAAAAAAQAgAAAAIgAAAGRycy9kb3ducmV2LnhtbFBLAQIUABQAAAAIAIdO4kCI&#10;ezztsQEAAFEDAAAOAAAAAAAAAAEAIAAAACQBAABkcnMvZTJvRG9jLnhtbFBLBQYAAAAABgAGAFkB&#10;AABHBQAAAAA=&#10;">
                <v:fill on="f" focussize="0,0"/>
                <v:stroke on="f"/>
                <v:imagedata o:title=""/>
                <o:lock v:ext="edit" aspectratio="f"/>
                <v:textbox>
                  <w:txbxContent>
                    <w:p>
                      <w:pPr>
                        <w:pStyle w:val="36"/>
                        <w:spacing w:line="200" w:lineRule="exact"/>
                        <w:rPr>
                          <w:rFonts w:ascii="楷体_GB2312" w:hAnsi="宋体"/>
                          <w:sz w:val="18"/>
                          <w:szCs w:val="18"/>
                        </w:rPr>
                      </w:pPr>
                      <w:r>
                        <w:rPr>
                          <w:rFonts w:hint="eastAsia" w:ascii="楷体_GB2312" w:hAnsi="宋体" w:cs="楷体_GB2312"/>
                          <w:sz w:val="18"/>
                          <w:szCs w:val="18"/>
                        </w:rPr>
                        <w:t>承包人未按规定支付款项的限制</w:t>
                      </w:r>
                    </w:p>
                  </w:txbxContent>
                </v:textbox>
              </v:shape>
            </w:pict>
          </mc:Fallback>
        </mc:AlternateContent>
      </w:r>
      <w:r>
        <w:rPr>
          <w:rFonts w:hint="eastAsia" w:ascii="仿宋" w:hAnsi="仿宋" w:eastAsia="仿宋" w:cs="仿宋"/>
          <w:color w:val="auto"/>
          <w:sz w:val="24"/>
          <w:szCs w:val="24"/>
          <w:highlight w:val="none"/>
        </w:rPr>
        <w:t>如果承包人未按照雇员劳务合同和政府有关规定支付雇员劳务工资，或未按照分包合同支付分包人工程款，或未按照购销合同支付材料和工程设备供应商货款，均视为承包人违约。若在造价工程师书面通知改正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天内，承包人仍未采取措施补救的，发包人可在不损害承包人其他权利的前提下，实施下列工作：</w:t>
      </w:r>
    </w:p>
    <w:p>
      <w:pPr>
        <w:pStyle w:val="2"/>
        <w:numPr>
          <w:ilvl w:val="0"/>
          <w:numId w:val="21"/>
        </w:numPr>
        <w:shd w:val="clear" w:color="000000" w:fill="auto"/>
        <w:tabs>
          <w:tab w:val="left" w:pos="2160"/>
        </w:tabs>
        <w:adjustRightInd w:val="0"/>
        <w:snapToGrid w:val="0"/>
        <w:spacing w:line="420" w:lineRule="exact"/>
        <w:ind w:left="1619" w:leftChars="771"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立即停止向承包人支付应付的款项；</w:t>
      </w:r>
    </w:p>
    <w:p>
      <w:pPr>
        <w:pStyle w:val="2"/>
        <w:numPr>
          <w:ilvl w:val="0"/>
          <w:numId w:val="21"/>
        </w:numPr>
        <w:shd w:val="clear" w:color="000000" w:fill="auto"/>
        <w:tabs>
          <w:tab w:val="left" w:pos="2160"/>
        </w:tabs>
        <w:adjustRightInd w:val="0"/>
        <w:snapToGrid w:val="0"/>
        <w:spacing w:line="420" w:lineRule="exact"/>
        <w:ind w:left="1618" w:leftChars="770" w:hanging="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在相应支付期应付的工程款范围内，直接向雇员、分包人和材料设备供应商支付承包人应付的款项。</w:t>
      </w:r>
    </w:p>
    <w:p>
      <w:pPr>
        <w:pStyle w:val="2"/>
        <w:shd w:val="clear" w:color="000000" w:fill="auto"/>
        <w:adjustRightInd w:val="0"/>
        <w:snapToGrid w:val="0"/>
        <w:spacing w:line="420" w:lineRule="exact"/>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发包人在实施上述工作后的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天内应以书面形式通知承包人，抄送造价工程师。造价工程师在签发下期支付证书时，应扣除已由发包人直接支付的款项。由于上述工作原因发生的费用由承包人承担；给发包人造成损失的，承包人应予赔偿。</w:t>
      </w:r>
    </w:p>
    <w:p>
      <w:pPr>
        <w:pStyle w:val="2"/>
        <w:shd w:val="clear" w:color="000000" w:fill="auto"/>
        <w:adjustRightInd w:val="0"/>
        <w:snapToGrid w:val="0"/>
        <w:spacing w:line="240" w:lineRule="exact"/>
        <w:ind w:right="-238"/>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
        <w:shd w:val="clear" w:color="000000" w:fill="auto"/>
        <w:tabs>
          <w:tab w:val="left" w:pos="540"/>
        </w:tabs>
        <w:adjustRightInd w:val="0"/>
        <w:snapToGrid w:val="0"/>
        <w:spacing w:before="240" w:beforeLines="100" w:line="240" w:lineRule="exact"/>
        <w:ind w:firstLine="482"/>
        <w:rPr>
          <w:rFonts w:ascii="仿宋" w:hAnsi="仿宋" w:eastAsia="仿宋" w:cs="Times New Roman"/>
          <w:b/>
          <w:bCs/>
          <w:color w:val="auto"/>
          <w:sz w:val="24"/>
          <w:szCs w:val="24"/>
          <w:highlight w:val="none"/>
        </w:rPr>
      </w:pPr>
    </w:p>
    <w:p>
      <w:pPr>
        <w:pStyle w:val="2"/>
        <w:shd w:val="clear" w:color="000000" w:fill="auto"/>
        <w:tabs>
          <w:tab w:val="left" w:pos="540"/>
        </w:tabs>
        <w:adjustRightInd w:val="0"/>
        <w:snapToGrid w:val="0"/>
        <w:spacing w:before="240" w:beforeLines="100" w:line="360" w:lineRule="auto"/>
        <w:outlineLvl w:val="2"/>
        <w:rPr>
          <w:rFonts w:ascii="仿宋" w:hAnsi="仿宋" w:eastAsia="仿宋" w:cs="Times New Roman"/>
          <w:b/>
          <w:bCs/>
          <w:color w:val="auto"/>
          <w:sz w:val="24"/>
          <w:szCs w:val="24"/>
          <w:highlight w:val="none"/>
        </w:rPr>
      </w:pPr>
      <w:bookmarkStart w:id="366" w:name="_Toc10624903"/>
      <w:bookmarkStart w:id="367" w:name="_Toc469384063"/>
      <w:bookmarkStart w:id="368" w:name="_Toc30367"/>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79  </w:t>
      </w:r>
      <w:r>
        <w:rPr>
          <w:rFonts w:hint="eastAsia" w:ascii="仿宋" w:hAnsi="仿宋" w:eastAsia="仿宋" w:cs="仿宋"/>
          <w:b/>
          <w:bCs/>
          <w:color w:val="auto"/>
          <w:sz w:val="24"/>
          <w:szCs w:val="24"/>
          <w:highlight w:val="none"/>
        </w:rPr>
        <w:t>预付款</w:t>
      </w:r>
      <w:bookmarkEnd w:id="366"/>
      <w:bookmarkEnd w:id="367"/>
      <w:bookmarkEnd w:id="368"/>
    </w:p>
    <w:p>
      <w:pPr>
        <w:pStyle w:val="2"/>
        <w:shd w:val="clear" w:color="000000" w:fill="auto"/>
        <w:adjustRightInd w:val="0"/>
        <w:snapToGrid w:val="0"/>
        <w:spacing w:line="360" w:lineRule="auto"/>
        <w:rPr>
          <w:rFonts w:ascii="仿宋" w:hAnsi="仿宋" w:eastAsia="仿宋" w:cs="仿宋"/>
          <w:b/>
          <w:bCs/>
          <w:color w:val="auto"/>
          <w:sz w:val="24"/>
          <w:szCs w:val="24"/>
          <w:highlight w:val="none"/>
        </w:rPr>
      </w:pPr>
      <w:r>
        <w:rPr>
          <w:color w:val="auto"/>
          <w:highlight w:val="none"/>
        </w:rPr>
        <mc:AlternateContent>
          <mc:Choice Requires="wps">
            <w:drawing>
              <wp:anchor distT="0" distB="0" distL="114300" distR="114300" simplePos="0" relativeHeight="252001280" behindDoc="0" locked="0" layoutInCell="1" allowOverlap="1">
                <wp:simplePos x="0" y="0"/>
                <wp:positionH relativeFrom="column">
                  <wp:posOffset>-114300</wp:posOffset>
                </wp:positionH>
                <wp:positionV relativeFrom="paragraph">
                  <wp:posOffset>226695</wp:posOffset>
                </wp:positionV>
                <wp:extent cx="990600" cy="459740"/>
                <wp:effectExtent l="0" t="0" r="0" b="0"/>
                <wp:wrapNone/>
                <wp:docPr id="335" name="文本框 339"/>
                <wp:cNvGraphicFramePr/>
                <a:graphic xmlns:a="http://schemas.openxmlformats.org/drawingml/2006/main">
                  <a:graphicData uri="http://schemas.microsoft.com/office/word/2010/wordprocessingShape">
                    <wps:wsp>
                      <wps:cNvSpPr txBox="1"/>
                      <wps:spPr>
                        <a:xfrm>
                          <a:off x="0" y="0"/>
                          <a:ext cx="990600" cy="459740"/>
                        </a:xfrm>
                        <a:prstGeom prst="rect">
                          <a:avLst/>
                        </a:prstGeom>
                        <a:noFill/>
                        <a:ln>
                          <a:noFill/>
                        </a:ln>
                      </wps:spPr>
                      <wps:txbx>
                        <w:txbxContent>
                          <w:p>
                            <w:pPr>
                              <w:pStyle w:val="36"/>
                              <w:spacing w:line="200" w:lineRule="exact"/>
                              <w:rPr>
                                <w:rFonts w:ascii="楷体_GB2312" w:hAnsi="宋体"/>
                                <w:sz w:val="18"/>
                                <w:szCs w:val="18"/>
                              </w:rPr>
                            </w:pPr>
                            <w:r>
                              <w:rPr>
                                <w:rFonts w:hint="eastAsia" w:ascii="楷体_GB2312" w:hAnsi="宋体" w:cs="楷体_GB2312"/>
                                <w:sz w:val="18"/>
                                <w:szCs w:val="18"/>
                              </w:rPr>
                              <w:t>预付款的约定</w:t>
                            </w:r>
                          </w:p>
                          <w:p>
                            <w:pPr>
                              <w:pStyle w:val="36"/>
                              <w:spacing w:line="200" w:lineRule="exact"/>
                              <w:rPr>
                                <w:rFonts w:ascii="楷体_GB2312" w:hAnsi="宋体"/>
                                <w:sz w:val="18"/>
                                <w:szCs w:val="18"/>
                              </w:rPr>
                            </w:pPr>
                            <w:r>
                              <w:rPr>
                                <w:rFonts w:hint="eastAsia" w:ascii="楷体_GB2312" w:hAnsi="宋体" w:cs="楷体_GB2312"/>
                                <w:sz w:val="18"/>
                                <w:szCs w:val="18"/>
                              </w:rPr>
                              <w:t>及管理</w:t>
                            </w:r>
                          </w:p>
                        </w:txbxContent>
                      </wps:txbx>
                      <wps:bodyPr upright="1"/>
                    </wps:wsp>
                  </a:graphicData>
                </a:graphic>
              </wp:anchor>
            </w:drawing>
          </mc:Choice>
          <mc:Fallback>
            <w:pict>
              <v:shape id="文本框 339" o:spid="_x0000_s1026" o:spt="202" type="#_x0000_t202" style="position:absolute;left:0pt;margin-left:-9pt;margin-top:17.85pt;height:36.2pt;width:78pt;z-index:252001280;mso-width-relative:page;mso-height-relative:page;" filled="f" stroked="f" coordsize="21600,21600" o:gfxdata="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7X6Y&#10;f9cAAAAKAQAADwAAAAAAAAABACAAAAAiAAAAZHJzL2Rvd25yZXYueG1sUEsBAhQAFAAAAAgAh07i&#10;QKNZ1JKxAQAAUQMAAA4AAAAAAAAAAQAgAAAAJgEAAGRycy9lMm9Eb2MueG1sUEsFBgAAAAAGAAYA&#10;WQEAAEkFAAAAAA==&#10;">
                <v:fill on="f" focussize="0,0"/>
                <v:stroke on="f"/>
                <v:imagedata o:title=""/>
                <o:lock v:ext="edit" aspectratio="f"/>
                <v:textbox>
                  <w:txbxContent>
                    <w:p>
                      <w:pPr>
                        <w:pStyle w:val="36"/>
                        <w:spacing w:line="200" w:lineRule="exact"/>
                        <w:rPr>
                          <w:rFonts w:ascii="楷体_GB2312" w:hAnsi="宋体"/>
                          <w:sz w:val="18"/>
                          <w:szCs w:val="18"/>
                        </w:rPr>
                      </w:pPr>
                      <w:r>
                        <w:rPr>
                          <w:rFonts w:hint="eastAsia" w:ascii="楷体_GB2312" w:hAnsi="宋体" w:cs="楷体_GB2312"/>
                          <w:sz w:val="18"/>
                          <w:szCs w:val="18"/>
                        </w:rPr>
                        <w:t>预付款的约定</w:t>
                      </w:r>
                    </w:p>
                    <w:p>
                      <w:pPr>
                        <w:pStyle w:val="36"/>
                        <w:spacing w:line="200" w:lineRule="exact"/>
                        <w:rPr>
                          <w:rFonts w:ascii="楷体_GB2312" w:hAnsi="宋体"/>
                          <w:sz w:val="18"/>
                          <w:szCs w:val="18"/>
                        </w:rPr>
                      </w:pPr>
                      <w:r>
                        <w:rPr>
                          <w:rFonts w:hint="eastAsia" w:ascii="楷体_GB2312" w:hAnsi="宋体" w:cs="楷体_GB2312"/>
                          <w:sz w:val="18"/>
                          <w:szCs w:val="18"/>
                        </w:rPr>
                        <w:t>及管理</w:t>
                      </w:r>
                    </w:p>
                  </w:txbxContent>
                </v:textbox>
              </v:shape>
            </w:pict>
          </mc:Fallback>
        </mc:AlternateContent>
      </w:r>
      <w:r>
        <w:rPr>
          <w:rFonts w:ascii="仿宋" w:hAnsi="仿宋" w:eastAsia="仿宋" w:cs="仿宋"/>
          <w:b/>
          <w:bCs/>
          <w:color w:val="auto"/>
          <w:sz w:val="24"/>
          <w:szCs w:val="24"/>
          <w:highlight w:val="none"/>
        </w:rPr>
        <w:t xml:space="preserve">79.1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除专用条款另有约定外，合同双方当事人应约定预付款，并在专用条款中明确预付款金额、支付办法和抵扣方式。</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预付款专款专用，承包人应在财务账目中表明专用于为合同工程施工购置材料、工程设备、施工设备、修建临时设施以及组织施工队伍进场等所需的款项，不得挪作他用。除专用条款另有约定外，预付款的预付比例不低于合同价款（扣除暂列金额）的</w:t>
      </w:r>
      <w:r>
        <w:rPr>
          <w:rFonts w:ascii="仿宋" w:hAnsi="仿宋" w:eastAsia="仿宋" w:cs="仿宋"/>
          <w:color w:val="auto"/>
          <w:sz w:val="24"/>
          <w:szCs w:val="24"/>
          <w:highlight w:val="none"/>
        </w:rPr>
        <w:t>10%</w:t>
      </w:r>
      <w:r>
        <w:rPr>
          <w:rFonts w:hint="eastAsia" w:ascii="仿宋" w:hAnsi="仿宋" w:eastAsia="仿宋" w:cs="仿宋"/>
          <w:color w:val="auto"/>
          <w:sz w:val="24"/>
          <w:szCs w:val="24"/>
          <w:highlight w:val="none"/>
        </w:rPr>
        <w:t>，不高于合同价款（扣除暂列金额）的</w:t>
      </w:r>
      <w:r>
        <w:rPr>
          <w:rFonts w:ascii="仿宋" w:hAnsi="仿宋" w:eastAsia="仿宋" w:cs="仿宋"/>
          <w:color w:val="auto"/>
          <w:sz w:val="24"/>
          <w:szCs w:val="24"/>
          <w:highlight w:val="none"/>
        </w:rPr>
        <w:t>30%</w:t>
      </w:r>
      <w:r>
        <w:rPr>
          <w:rFonts w:hint="eastAsia" w:ascii="仿宋" w:hAnsi="仿宋" w:eastAsia="仿宋" w:cs="仿宋"/>
          <w:color w:val="auto"/>
          <w:sz w:val="24"/>
          <w:szCs w:val="24"/>
          <w:highlight w:val="none"/>
        </w:rPr>
        <w:t>。</w:t>
      </w:r>
    </w:p>
    <w:p>
      <w:pPr>
        <w:pStyle w:val="2"/>
        <w:shd w:val="clear" w:color="000000" w:fill="auto"/>
        <w:tabs>
          <w:tab w:val="left" w:pos="1320"/>
        </w:tabs>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79.2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02304" behindDoc="0" locked="0" layoutInCell="1" allowOverlap="1">
                <wp:simplePos x="0" y="0"/>
                <wp:positionH relativeFrom="column">
                  <wp:posOffset>-114300</wp:posOffset>
                </wp:positionH>
                <wp:positionV relativeFrom="paragraph">
                  <wp:posOffset>19685</wp:posOffset>
                </wp:positionV>
                <wp:extent cx="914400" cy="591185"/>
                <wp:effectExtent l="0" t="0" r="0" b="0"/>
                <wp:wrapNone/>
                <wp:docPr id="336" name="文本框 340"/>
                <wp:cNvGraphicFramePr/>
                <a:graphic xmlns:a="http://schemas.openxmlformats.org/drawingml/2006/main">
                  <a:graphicData uri="http://schemas.microsoft.com/office/word/2010/wordprocessingShape">
                    <wps:wsp>
                      <wps:cNvSpPr txBox="1"/>
                      <wps:spPr>
                        <a:xfrm>
                          <a:off x="0" y="0"/>
                          <a:ext cx="914400" cy="591185"/>
                        </a:xfrm>
                        <a:prstGeom prst="rect">
                          <a:avLst/>
                        </a:prstGeom>
                        <a:noFill/>
                        <a:ln>
                          <a:noFill/>
                        </a:ln>
                      </wps:spPr>
                      <wps:txbx>
                        <w:txbxContent>
                          <w:p>
                            <w:pPr>
                              <w:pStyle w:val="36"/>
                              <w:spacing w:line="200" w:lineRule="exact"/>
                              <w:rPr>
                                <w:rFonts w:ascii="楷体_GB2312" w:hAnsi="宋体"/>
                                <w:sz w:val="18"/>
                                <w:szCs w:val="18"/>
                              </w:rPr>
                            </w:pPr>
                            <w:r>
                              <w:rPr>
                                <w:rFonts w:hint="eastAsia" w:ascii="楷体_GB2312" w:hAnsi="宋体" w:cs="楷体_GB2312"/>
                                <w:sz w:val="18"/>
                                <w:szCs w:val="18"/>
                              </w:rPr>
                              <w:t>预付款支付申请的提交、核实与支付</w:t>
                            </w:r>
                          </w:p>
                        </w:txbxContent>
                      </wps:txbx>
                      <wps:bodyPr upright="1"/>
                    </wps:wsp>
                  </a:graphicData>
                </a:graphic>
              </wp:anchor>
            </w:drawing>
          </mc:Choice>
          <mc:Fallback>
            <w:pict>
              <v:shape id="文本框 340" o:spid="_x0000_s1026" o:spt="202" type="#_x0000_t202" style="position:absolute;left:0pt;margin-left:-9pt;margin-top:1.55pt;height:46.55pt;width:72pt;z-index:252002304;mso-width-relative:page;mso-height-relative:page;" filled="f" stroked="f" coordsize="21600,21600" o:gfxdata="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J4nzk1QAA&#10;AAgBAAAPAAAAAAAAAAEAIAAAACIAAABkcnMvZG93bnJldi54bWxQSwECFAAUAAAACACHTuJAojNT&#10;oq8BAABRAwAADgAAAAAAAAABACAAAAAkAQAAZHJzL2Uyb0RvYy54bWxQSwUGAAAAAAYABgBZAQAA&#10;RQUAAAAA&#10;">
                <v:fill on="f" focussize="0,0"/>
                <v:stroke on="f"/>
                <v:imagedata o:title=""/>
                <o:lock v:ext="edit" aspectratio="f"/>
                <v:textbox>
                  <w:txbxContent>
                    <w:p>
                      <w:pPr>
                        <w:pStyle w:val="36"/>
                        <w:spacing w:line="200" w:lineRule="exact"/>
                        <w:rPr>
                          <w:rFonts w:ascii="楷体_GB2312" w:hAnsi="宋体"/>
                          <w:sz w:val="18"/>
                          <w:szCs w:val="18"/>
                        </w:rPr>
                      </w:pPr>
                      <w:r>
                        <w:rPr>
                          <w:rFonts w:hint="eastAsia" w:ascii="楷体_GB2312" w:hAnsi="宋体" w:cs="楷体_GB2312"/>
                          <w:sz w:val="18"/>
                          <w:szCs w:val="18"/>
                        </w:rPr>
                        <w:t>预付款支付申请的提交、核实与支付</w:t>
                      </w:r>
                    </w:p>
                  </w:txbxContent>
                </v:textbox>
              </v:shape>
            </w:pict>
          </mc:Fallback>
        </mc:AlternateContent>
      </w:r>
      <w:r>
        <w:rPr>
          <w:rFonts w:hint="eastAsia" w:ascii="仿宋" w:hAnsi="仿宋" w:eastAsia="仿宋" w:cs="仿宋"/>
          <w:color w:val="auto"/>
          <w:sz w:val="24"/>
          <w:szCs w:val="24"/>
          <w:highlight w:val="none"/>
        </w:rPr>
        <w:t>承包人在完成下列工作后，应按照专用条款约定的期限内向造价工程师提交预付款支付申请，并抄送发包人。</w:t>
      </w:r>
    </w:p>
    <w:p>
      <w:pPr>
        <w:pStyle w:val="2"/>
        <w:shd w:val="clear" w:color="000000" w:fill="auto"/>
        <w:adjustRightInd w:val="0"/>
        <w:snapToGrid w:val="0"/>
        <w:spacing w:line="360" w:lineRule="auto"/>
        <w:ind w:firstLine="1620" w:firstLineChars="675"/>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）签订本合同；</w:t>
      </w:r>
    </w:p>
    <w:p>
      <w:pPr>
        <w:pStyle w:val="2"/>
        <w:shd w:val="clear" w:color="000000" w:fill="auto"/>
        <w:adjustRightInd w:val="0"/>
        <w:snapToGrid w:val="0"/>
        <w:spacing w:line="360" w:lineRule="auto"/>
        <w:ind w:firstLine="1620" w:firstLineChars="675"/>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）按照第</w:t>
      </w:r>
      <w:r>
        <w:rPr>
          <w:rFonts w:ascii="仿宋" w:hAnsi="仿宋" w:eastAsia="仿宋" w:cs="仿宋"/>
          <w:color w:val="auto"/>
          <w:sz w:val="24"/>
          <w:szCs w:val="24"/>
          <w:highlight w:val="none"/>
        </w:rPr>
        <w:t>28.1</w:t>
      </w:r>
      <w:r>
        <w:rPr>
          <w:rFonts w:hint="eastAsia" w:ascii="仿宋" w:hAnsi="仿宋" w:eastAsia="仿宋" w:cs="仿宋"/>
          <w:color w:val="auto"/>
          <w:sz w:val="24"/>
          <w:szCs w:val="24"/>
          <w:highlight w:val="none"/>
        </w:rPr>
        <w:t>款规定提供履约担保；</w:t>
      </w:r>
    </w:p>
    <w:p>
      <w:pPr>
        <w:pStyle w:val="2"/>
        <w:shd w:val="clear" w:color="000000" w:fill="auto"/>
        <w:adjustRightInd w:val="0"/>
        <w:snapToGrid w:val="0"/>
        <w:spacing w:line="360" w:lineRule="auto"/>
        <w:ind w:firstLine="1620" w:firstLineChars="675"/>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）向发包人提供与预付款等额的预付款保函的正本。</w:t>
      </w:r>
    </w:p>
    <w:p>
      <w:pPr>
        <w:pStyle w:val="2"/>
        <w:shd w:val="clear" w:color="000000" w:fill="auto"/>
        <w:adjustRightInd w:val="0"/>
        <w:snapToGrid w:val="0"/>
        <w:spacing w:line="360" w:lineRule="auto"/>
        <w:ind w:left="1619" w:leftChars="771" w:firstLine="2"/>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造价工程师应对支付申请进行核实，并在收到支付申请后的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天内报发包人确认后向发包人发出支付证书，同时抄送承包人。</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发包人在造价工程师签发支付证书后的</w:t>
      </w:r>
      <w:r>
        <w:rPr>
          <w:rFonts w:ascii="仿宋" w:hAnsi="仿宋" w:eastAsia="仿宋" w:cs="仿宋"/>
          <w:color w:val="auto"/>
          <w:sz w:val="24"/>
          <w:szCs w:val="24"/>
          <w:highlight w:val="none"/>
        </w:rPr>
        <w:t>30</w:t>
      </w:r>
      <w:r>
        <w:rPr>
          <w:rFonts w:hint="eastAsia" w:ascii="仿宋" w:hAnsi="仿宋" w:eastAsia="仿宋" w:cs="仿宋"/>
          <w:color w:val="auto"/>
          <w:sz w:val="24"/>
          <w:szCs w:val="24"/>
          <w:highlight w:val="none"/>
        </w:rPr>
        <w:t>天内向承包人支付预付款，并通知造价工程师。</w:t>
      </w:r>
    </w:p>
    <w:p>
      <w:pPr>
        <w:pStyle w:val="2"/>
        <w:shd w:val="clear" w:color="000000" w:fill="auto"/>
        <w:tabs>
          <w:tab w:val="left" w:pos="1320"/>
        </w:tabs>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79.3  </w:t>
      </w:r>
      <w:r>
        <w:rPr>
          <w:rFonts w:ascii="仿宋" w:hAnsi="仿宋" w:eastAsia="仿宋" w:cs="仿宋"/>
          <w:b/>
          <w:bCs/>
          <w:color w:val="auto"/>
          <w:sz w:val="24"/>
          <w:szCs w:val="24"/>
          <w:highlight w:val="none"/>
          <w:u w:val="dotted"/>
        </w:rPr>
        <w:t xml:space="preserve">                                                                                                        </w:t>
      </w:r>
    </w:p>
    <w:p>
      <w:pPr>
        <w:pStyle w:val="13"/>
        <w:shd w:val="clear" w:color="000000" w:fill="auto"/>
        <w:adjustRightInd w:val="0"/>
        <w:snapToGrid w:val="0"/>
        <w:spacing w:line="360" w:lineRule="auto"/>
        <w:ind w:left="1619" w:leftChars="771" w:firstLine="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2003328" behindDoc="0" locked="0" layoutInCell="1" allowOverlap="1">
                <wp:simplePos x="0" y="0"/>
                <wp:positionH relativeFrom="column">
                  <wp:posOffset>-114300</wp:posOffset>
                </wp:positionH>
                <wp:positionV relativeFrom="paragraph">
                  <wp:posOffset>10795</wp:posOffset>
                </wp:positionV>
                <wp:extent cx="914400" cy="400685"/>
                <wp:effectExtent l="0" t="0" r="0" b="0"/>
                <wp:wrapNone/>
                <wp:docPr id="337" name="文本框 341"/>
                <wp:cNvGraphicFramePr/>
                <a:graphic xmlns:a="http://schemas.openxmlformats.org/drawingml/2006/main">
                  <a:graphicData uri="http://schemas.microsoft.com/office/word/2010/wordprocessingShape">
                    <wps:wsp>
                      <wps:cNvSpPr txBox="1"/>
                      <wps:spPr>
                        <a:xfrm>
                          <a:off x="0" y="0"/>
                          <a:ext cx="914400" cy="400685"/>
                        </a:xfrm>
                        <a:prstGeom prst="rect">
                          <a:avLst/>
                        </a:prstGeom>
                        <a:noFill/>
                        <a:ln>
                          <a:noFill/>
                        </a:ln>
                      </wps:spPr>
                      <wps:txbx>
                        <w:txbxContent>
                          <w:p>
                            <w:pPr>
                              <w:pStyle w:val="36"/>
                              <w:spacing w:line="200" w:lineRule="exact"/>
                              <w:rPr>
                                <w:rFonts w:ascii="楷体_GB2312" w:hAnsi="宋体"/>
                                <w:sz w:val="18"/>
                                <w:szCs w:val="18"/>
                              </w:rPr>
                            </w:pPr>
                            <w:r>
                              <w:rPr>
                                <w:rFonts w:hint="eastAsia" w:ascii="楷体_GB2312" w:hAnsi="宋体" w:cs="楷体_GB2312"/>
                                <w:sz w:val="18"/>
                                <w:szCs w:val="18"/>
                              </w:rPr>
                              <w:t>预付款支付的限制</w:t>
                            </w:r>
                          </w:p>
                        </w:txbxContent>
                      </wps:txbx>
                      <wps:bodyPr upright="1"/>
                    </wps:wsp>
                  </a:graphicData>
                </a:graphic>
              </wp:anchor>
            </w:drawing>
          </mc:Choice>
          <mc:Fallback>
            <w:pict>
              <v:shape id="文本框 341" o:spid="_x0000_s1026" o:spt="202" type="#_x0000_t202" style="position:absolute;left:0pt;margin-left:-9pt;margin-top:0.85pt;height:31.55pt;width:72pt;z-index:252003328;mso-width-relative:page;mso-height-relative:page;" filled="f" stroked="f" coordsize="21600,21600" o:gfxdata="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c3+MM1QAA&#10;AAgBAAAPAAAAAAAAAAEAIAAAACIAAABkcnMvZG93bnJldi54bWxQSwECFAAUAAAACACHTuJAYX+B&#10;xa8BAABRAwAADgAAAAAAAAABACAAAAAkAQAAZHJzL2Uyb0RvYy54bWxQSwUGAAAAAAYABgBZAQAA&#10;RQUAAAAA&#10;">
                <v:fill on="f" focussize="0,0"/>
                <v:stroke on="f"/>
                <v:imagedata o:title=""/>
                <o:lock v:ext="edit" aspectratio="f"/>
                <v:textbox>
                  <w:txbxContent>
                    <w:p>
                      <w:pPr>
                        <w:pStyle w:val="36"/>
                        <w:spacing w:line="200" w:lineRule="exact"/>
                        <w:rPr>
                          <w:rFonts w:ascii="楷体_GB2312" w:hAnsi="宋体"/>
                          <w:sz w:val="18"/>
                          <w:szCs w:val="18"/>
                        </w:rPr>
                      </w:pPr>
                      <w:r>
                        <w:rPr>
                          <w:rFonts w:hint="eastAsia" w:ascii="楷体_GB2312" w:hAnsi="宋体" w:cs="楷体_GB2312"/>
                          <w:sz w:val="18"/>
                          <w:szCs w:val="18"/>
                        </w:rPr>
                        <w:t>预付款支付的限制</w:t>
                      </w:r>
                    </w:p>
                  </w:txbxContent>
                </v:textbox>
              </v:shape>
            </w:pict>
          </mc:Fallback>
        </mc:AlternateContent>
      </w:r>
      <w:r>
        <w:rPr>
          <w:rFonts w:hint="eastAsia" w:ascii="仿宋" w:hAnsi="仿宋" w:eastAsia="仿宋" w:cs="仿宋"/>
          <w:color w:val="auto"/>
          <w:sz w:val="24"/>
          <w:szCs w:val="24"/>
          <w:highlight w:val="none"/>
        </w:rPr>
        <w:t>发包人没有按时支付预付款的，承包人应在付款期满后的</w:t>
      </w:r>
      <w:r>
        <w:rPr>
          <w:rFonts w:ascii="仿宋" w:hAnsi="仿宋" w:eastAsia="仿宋" w:cs="仿宋"/>
          <w:color w:val="auto"/>
          <w:sz w:val="24"/>
          <w:szCs w:val="24"/>
          <w:highlight w:val="none"/>
        </w:rPr>
        <w:t>10</w:t>
      </w:r>
      <w:r>
        <w:rPr>
          <w:rFonts w:hint="eastAsia" w:ascii="仿宋" w:hAnsi="仿宋" w:eastAsia="仿宋" w:cs="仿宋"/>
          <w:color w:val="auto"/>
          <w:sz w:val="24"/>
          <w:szCs w:val="24"/>
          <w:highlight w:val="none"/>
        </w:rPr>
        <w:t>天向发包人发出要求支付的通知；发包人收到通知后仍不按要求支付，承包人可在发出通知</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天后暂停施工。发包人可与承包人协商签订延期支付协议，经承包人同意后可延期支付，承包人有权按照第</w:t>
      </w:r>
      <w:r>
        <w:rPr>
          <w:rFonts w:ascii="仿宋" w:hAnsi="仿宋" w:eastAsia="仿宋" w:cs="仿宋"/>
          <w:color w:val="auto"/>
          <w:sz w:val="24"/>
          <w:szCs w:val="24"/>
          <w:highlight w:val="none"/>
        </w:rPr>
        <w:t>78.2</w:t>
      </w:r>
      <w:r>
        <w:rPr>
          <w:rFonts w:hint="eastAsia" w:ascii="仿宋" w:hAnsi="仿宋" w:eastAsia="仿宋" w:cs="仿宋"/>
          <w:color w:val="auto"/>
          <w:sz w:val="24"/>
          <w:szCs w:val="24"/>
          <w:highlight w:val="none"/>
        </w:rPr>
        <w:t>款规定获得延期支付的利息。发包方承担由此增加的费用和（或）延误的工期，并向承包人支付合理利润。</w:t>
      </w:r>
    </w:p>
    <w:p>
      <w:pPr>
        <w:pStyle w:val="2"/>
        <w:shd w:val="clear" w:color="000000" w:fill="auto"/>
        <w:tabs>
          <w:tab w:val="left" w:pos="1320"/>
        </w:tabs>
        <w:adjustRightInd w:val="0"/>
        <w:snapToGrid w:val="0"/>
        <w:spacing w:line="360" w:lineRule="auto"/>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79.4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04352" behindDoc="0" locked="0" layoutInCell="1" allowOverlap="1">
                <wp:simplePos x="0" y="0"/>
                <wp:positionH relativeFrom="column">
                  <wp:posOffset>-114300</wp:posOffset>
                </wp:positionH>
                <wp:positionV relativeFrom="paragraph">
                  <wp:posOffset>46355</wp:posOffset>
                </wp:positionV>
                <wp:extent cx="1028700" cy="304165"/>
                <wp:effectExtent l="0" t="0" r="0" b="0"/>
                <wp:wrapNone/>
                <wp:docPr id="338" name="文本框 342"/>
                <wp:cNvGraphicFramePr/>
                <a:graphic xmlns:a="http://schemas.openxmlformats.org/drawingml/2006/main">
                  <a:graphicData uri="http://schemas.microsoft.com/office/word/2010/wordprocessingShape">
                    <wps:wsp>
                      <wps:cNvSpPr txBox="1"/>
                      <wps:spPr>
                        <a:xfrm>
                          <a:off x="0" y="0"/>
                          <a:ext cx="1028700" cy="304165"/>
                        </a:xfrm>
                        <a:prstGeom prst="rect">
                          <a:avLst/>
                        </a:prstGeom>
                        <a:noFill/>
                        <a:ln>
                          <a:noFill/>
                        </a:ln>
                      </wps:spPr>
                      <wps:txbx>
                        <w:txbxContent>
                          <w:p>
                            <w:pPr>
                              <w:pStyle w:val="36"/>
                              <w:spacing w:line="200" w:lineRule="exact"/>
                              <w:rPr>
                                <w:rFonts w:ascii="楷体_GB2312" w:hAnsi="宋体"/>
                                <w:sz w:val="18"/>
                                <w:szCs w:val="18"/>
                              </w:rPr>
                            </w:pPr>
                            <w:r>
                              <w:rPr>
                                <w:rFonts w:hint="eastAsia" w:ascii="楷体_GB2312" w:hAnsi="宋体" w:cs="楷体_GB2312"/>
                                <w:sz w:val="18"/>
                                <w:szCs w:val="18"/>
                              </w:rPr>
                              <w:t>预付款的扣回</w:t>
                            </w:r>
                          </w:p>
                        </w:txbxContent>
                      </wps:txbx>
                      <wps:bodyPr upright="1"/>
                    </wps:wsp>
                  </a:graphicData>
                </a:graphic>
              </wp:anchor>
            </w:drawing>
          </mc:Choice>
          <mc:Fallback>
            <w:pict>
              <v:shape id="文本框 342" o:spid="_x0000_s1026" o:spt="202" type="#_x0000_t202" style="position:absolute;left:0pt;margin-left:-9pt;margin-top:3.65pt;height:23.95pt;width:81pt;z-index:252004352;mso-width-relative:page;mso-height-relative:page;" filled="f" stroked="f" coordsize="21600,21600" o:gfxdata="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eXEXcdYA&#10;AAAIAQAADwAAAAAAAAABACAAAAAiAAAAZHJzL2Rvd25yZXYueG1sUEsBAhQAFAAAAAgAh07iQDLm&#10;LsOvAQAAUgMAAA4AAAAAAAAAAQAgAAAAJQEAAGRycy9lMm9Eb2MueG1sUEsFBgAAAAAGAAYAWQEA&#10;AEYFAAAAAA==&#10;">
                <v:fill on="f" focussize="0,0"/>
                <v:stroke on="f"/>
                <v:imagedata o:title=""/>
                <o:lock v:ext="edit" aspectratio="f"/>
                <v:textbox>
                  <w:txbxContent>
                    <w:p>
                      <w:pPr>
                        <w:pStyle w:val="36"/>
                        <w:spacing w:line="200" w:lineRule="exact"/>
                        <w:rPr>
                          <w:rFonts w:ascii="楷体_GB2312" w:hAnsi="宋体"/>
                          <w:sz w:val="18"/>
                          <w:szCs w:val="18"/>
                        </w:rPr>
                      </w:pPr>
                      <w:r>
                        <w:rPr>
                          <w:rFonts w:hint="eastAsia" w:ascii="楷体_GB2312" w:hAnsi="宋体" w:cs="楷体_GB2312"/>
                          <w:sz w:val="18"/>
                          <w:szCs w:val="18"/>
                        </w:rPr>
                        <w:t>预付款的扣回</w:t>
                      </w:r>
                    </w:p>
                  </w:txbxContent>
                </v:textbox>
              </v:shape>
            </w:pict>
          </mc:Fallback>
        </mc:AlternateContent>
      </w:r>
      <w:r>
        <w:rPr>
          <w:rFonts w:hint="eastAsia" w:ascii="仿宋" w:hAnsi="仿宋" w:eastAsia="仿宋" w:cs="仿宋"/>
          <w:color w:val="auto"/>
          <w:sz w:val="24"/>
          <w:szCs w:val="24"/>
          <w:highlight w:val="none"/>
        </w:rPr>
        <w:t>预付款应从每支付期应支付给承包人的进度款中扣回，直到扣回的金额达到专用条款约定的预付款金额为止。造价工程师应依据专用条款约定的抵扣方式，在签发支付证书时从应支付给承包人的款项中扣回。</w:t>
      </w:r>
    </w:p>
    <w:p>
      <w:pPr>
        <w:pStyle w:val="2"/>
        <w:shd w:val="clear" w:color="000000" w:fill="auto"/>
        <w:tabs>
          <w:tab w:val="left" w:pos="1320"/>
        </w:tabs>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79.5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05376" behindDoc="0" locked="0" layoutInCell="1" allowOverlap="1">
                <wp:simplePos x="0" y="0"/>
                <wp:positionH relativeFrom="column">
                  <wp:posOffset>-114300</wp:posOffset>
                </wp:positionH>
                <wp:positionV relativeFrom="paragraph">
                  <wp:posOffset>13335</wp:posOffset>
                </wp:positionV>
                <wp:extent cx="914400" cy="408305"/>
                <wp:effectExtent l="0" t="0" r="0" b="0"/>
                <wp:wrapNone/>
                <wp:docPr id="339" name="文本框 343"/>
                <wp:cNvGraphicFramePr/>
                <a:graphic xmlns:a="http://schemas.openxmlformats.org/drawingml/2006/main">
                  <a:graphicData uri="http://schemas.microsoft.com/office/word/2010/wordprocessingShape">
                    <wps:wsp>
                      <wps:cNvSpPr txBox="1"/>
                      <wps:spPr>
                        <a:xfrm>
                          <a:off x="0" y="0"/>
                          <a:ext cx="914400" cy="408305"/>
                        </a:xfrm>
                        <a:prstGeom prst="rect">
                          <a:avLst/>
                        </a:prstGeom>
                        <a:noFill/>
                        <a:ln>
                          <a:noFill/>
                        </a:ln>
                      </wps:spPr>
                      <wps:txbx>
                        <w:txbxContent>
                          <w:p>
                            <w:pPr>
                              <w:pStyle w:val="36"/>
                              <w:spacing w:line="200" w:lineRule="exact"/>
                              <w:rPr>
                                <w:rFonts w:ascii="楷体_GB2312" w:hAnsi="宋体"/>
                                <w:sz w:val="18"/>
                                <w:szCs w:val="18"/>
                              </w:rPr>
                            </w:pPr>
                            <w:r>
                              <w:rPr>
                                <w:rFonts w:hint="eastAsia" w:ascii="楷体_GB2312" w:hAnsi="宋体" w:cs="楷体_GB2312"/>
                                <w:sz w:val="18"/>
                                <w:szCs w:val="18"/>
                              </w:rPr>
                              <w:t>预付款保函的有效与退还</w:t>
                            </w:r>
                          </w:p>
                        </w:txbxContent>
                      </wps:txbx>
                      <wps:bodyPr upright="1"/>
                    </wps:wsp>
                  </a:graphicData>
                </a:graphic>
              </wp:anchor>
            </w:drawing>
          </mc:Choice>
          <mc:Fallback>
            <w:pict>
              <v:shape id="文本框 343" o:spid="_x0000_s1026" o:spt="202" type="#_x0000_t202" style="position:absolute;left:0pt;margin-left:-9pt;margin-top:1.05pt;height:32.15pt;width:72pt;z-index:252005376;mso-width-relative:page;mso-height-relative:page;" filled="f" stroked="f" coordsize="21600,21600" o:gfxdata="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rcUW11QAA&#10;AAgBAAAPAAAAAAAAAAEAIAAAACIAAABkcnMvZG93bnJldi54bWxQSwECFAAUAAAACACHTuJAcmof&#10;4K8BAABRAwAADgAAAAAAAAABACAAAAAkAQAAZHJzL2Uyb0RvYy54bWxQSwUGAAAAAAYABgBZAQAA&#10;RQUAAAAA&#10;">
                <v:fill on="f" focussize="0,0"/>
                <v:stroke on="f"/>
                <v:imagedata o:title=""/>
                <o:lock v:ext="edit" aspectratio="f"/>
                <v:textbox>
                  <w:txbxContent>
                    <w:p>
                      <w:pPr>
                        <w:pStyle w:val="36"/>
                        <w:spacing w:line="200" w:lineRule="exact"/>
                        <w:rPr>
                          <w:rFonts w:ascii="楷体_GB2312" w:hAnsi="宋体"/>
                          <w:sz w:val="18"/>
                          <w:szCs w:val="18"/>
                        </w:rPr>
                      </w:pPr>
                      <w:r>
                        <w:rPr>
                          <w:rFonts w:hint="eastAsia" w:ascii="楷体_GB2312" w:hAnsi="宋体" w:cs="楷体_GB2312"/>
                          <w:sz w:val="18"/>
                          <w:szCs w:val="18"/>
                        </w:rPr>
                        <w:t>预付款保函的有效与退还</w:t>
                      </w:r>
                    </w:p>
                  </w:txbxContent>
                </v:textbox>
              </v:shape>
            </w:pict>
          </mc:Fallback>
        </mc:AlternateContent>
      </w:r>
      <w:r>
        <w:rPr>
          <w:rFonts w:hint="eastAsia" w:ascii="仿宋" w:hAnsi="仿宋" w:eastAsia="仿宋" w:cs="仿宋"/>
          <w:color w:val="auto"/>
          <w:sz w:val="24"/>
          <w:szCs w:val="24"/>
          <w:highlight w:val="none"/>
        </w:rPr>
        <w:t>承包人应保持预付款保函在预付款全部扣回之前一直有效。发包人应在预付款扣完后的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天内将预付款保函退还承包人，并不得向承包人收取预付款的任何利息。</w:t>
      </w:r>
    </w:p>
    <w:p>
      <w:pPr>
        <w:pStyle w:val="2"/>
        <w:shd w:val="clear" w:color="000000" w:fill="auto"/>
        <w:adjustRightInd w:val="0"/>
        <w:snapToGrid w:val="0"/>
        <w:spacing w:line="240" w:lineRule="exact"/>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
        <w:shd w:val="clear" w:color="000000" w:fill="auto"/>
        <w:tabs>
          <w:tab w:val="left" w:pos="540"/>
        </w:tabs>
        <w:adjustRightInd w:val="0"/>
        <w:snapToGrid w:val="0"/>
        <w:spacing w:before="240" w:beforeLines="100" w:line="240" w:lineRule="exact"/>
        <w:ind w:firstLine="482"/>
        <w:rPr>
          <w:rFonts w:ascii="仿宋" w:hAnsi="仿宋" w:eastAsia="仿宋" w:cs="Times New Roman"/>
          <w:b/>
          <w:bCs/>
          <w:color w:val="auto"/>
          <w:sz w:val="24"/>
          <w:szCs w:val="24"/>
          <w:highlight w:val="none"/>
        </w:rPr>
      </w:pPr>
    </w:p>
    <w:p>
      <w:pPr>
        <w:pStyle w:val="2"/>
        <w:shd w:val="clear" w:color="000000" w:fill="auto"/>
        <w:tabs>
          <w:tab w:val="left" w:pos="540"/>
        </w:tabs>
        <w:adjustRightInd w:val="0"/>
        <w:snapToGrid w:val="0"/>
        <w:spacing w:before="240" w:beforeLines="100" w:line="360" w:lineRule="auto"/>
        <w:outlineLvl w:val="2"/>
        <w:rPr>
          <w:rFonts w:ascii="仿宋" w:hAnsi="仿宋" w:eastAsia="仿宋" w:cs="Times New Roman"/>
          <w:b/>
          <w:bCs/>
          <w:color w:val="auto"/>
          <w:sz w:val="24"/>
          <w:szCs w:val="24"/>
          <w:highlight w:val="none"/>
        </w:rPr>
      </w:pPr>
      <w:bookmarkStart w:id="369" w:name="_Toc469384064"/>
      <w:bookmarkStart w:id="370" w:name="_Toc10624904"/>
      <w:bookmarkStart w:id="371" w:name="_Toc15237"/>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80  </w:t>
      </w:r>
      <w:r>
        <w:rPr>
          <w:rFonts w:hint="eastAsia" w:ascii="仿宋" w:hAnsi="仿宋" w:eastAsia="仿宋" w:cs="仿宋"/>
          <w:b/>
          <w:bCs/>
          <w:color w:val="auto"/>
          <w:sz w:val="24"/>
          <w:szCs w:val="24"/>
          <w:highlight w:val="none"/>
        </w:rPr>
        <w:t>绿色施工安全防护费</w:t>
      </w:r>
      <w:bookmarkEnd w:id="369"/>
      <w:bookmarkEnd w:id="370"/>
      <w:bookmarkEnd w:id="371"/>
    </w:p>
    <w:p>
      <w:pPr>
        <w:pStyle w:val="2"/>
        <w:shd w:val="clear" w:color="000000" w:fill="auto"/>
        <w:adjustRightInd w:val="0"/>
        <w:snapToGrid w:val="0"/>
        <w:spacing w:line="360" w:lineRule="auto"/>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80.1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06400" behindDoc="0" locked="0" layoutInCell="1" allowOverlap="1">
                <wp:simplePos x="0" y="0"/>
                <wp:positionH relativeFrom="column">
                  <wp:posOffset>-114300</wp:posOffset>
                </wp:positionH>
                <wp:positionV relativeFrom="paragraph">
                  <wp:posOffset>17780</wp:posOffset>
                </wp:positionV>
                <wp:extent cx="1028700" cy="440055"/>
                <wp:effectExtent l="0" t="0" r="0" b="0"/>
                <wp:wrapNone/>
                <wp:docPr id="340" name="文本框 344"/>
                <wp:cNvGraphicFramePr/>
                <a:graphic xmlns:a="http://schemas.openxmlformats.org/drawingml/2006/main">
                  <a:graphicData uri="http://schemas.microsoft.com/office/word/2010/wordprocessingShape">
                    <wps:wsp>
                      <wps:cNvSpPr txBox="1"/>
                      <wps:spPr>
                        <a:xfrm>
                          <a:off x="0" y="0"/>
                          <a:ext cx="1028700" cy="440055"/>
                        </a:xfrm>
                        <a:prstGeom prst="rect">
                          <a:avLst/>
                        </a:prstGeom>
                        <a:noFill/>
                        <a:ln>
                          <a:noFill/>
                        </a:ln>
                      </wps:spPr>
                      <wps:txbx>
                        <w:txbxContent>
                          <w:p>
                            <w:pPr>
                              <w:pStyle w:val="36"/>
                              <w:spacing w:line="200" w:lineRule="exact"/>
                              <w:rPr>
                                <w:rFonts w:ascii="楷体_GB2312" w:hAnsi="宋体"/>
                                <w:sz w:val="18"/>
                                <w:szCs w:val="18"/>
                              </w:rPr>
                            </w:pPr>
                            <w:r>
                              <w:rPr>
                                <w:rFonts w:hint="eastAsia" w:ascii="楷体_GB2312" w:hAnsi="宋体" w:cs="楷体_GB2312"/>
                                <w:sz w:val="18"/>
                                <w:szCs w:val="18"/>
                              </w:rPr>
                              <w:t>内容、范围和</w:t>
                            </w:r>
                          </w:p>
                          <w:p>
                            <w:pPr>
                              <w:pStyle w:val="36"/>
                              <w:spacing w:line="200" w:lineRule="exact"/>
                              <w:rPr>
                                <w:rFonts w:ascii="楷体_GB2312" w:hAnsi="宋体"/>
                                <w:sz w:val="18"/>
                                <w:szCs w:val="18"/>
                              </w:rPr>
                            </w:pPr>
                            <w:r>
                              <w:rPr>
                                <w:rFonts w:hint="eastAsia" w:ascii="楷体_GB2312" w:hAnsi="宋体" w:cs="楷体_GB2312"/>
                                <w:sz w:val="18"/>
                                <w:szCs w:val="18"/>
                              </w:rPr>
                              <w:t>金额</w:t>
                            </w:r>
                          </w:p>
                        </w:txbxContent>
                      </wps:txbx>
                      <wps:bodyPr upright="1"/>
                    </wps:wsp>
                  </a:graphicData>
                </a:graphic>
              </wp:anchor>
            </w:drawing>
          </mc:Choice>
          <mc:Fallback>
            <w:pict>
              <v:shape id="文本框 344" o:spid="_x0000_s1026" o:spt="202" type="#_x0000_t202" style="position:absolute;left:0pt;margin-left:-9pt;margin-top:1.4pt;height:34.65pt;width:81pt;z-index:252006400;mso-width-relative:page;mso-height-relative:page;" filled="f" stroked="f" coordsize="21600,21600" o:gfxdata="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E7bIi3UAAAA&#10;CAEAAA8AAAAAAAAAAQAgAAAAIgAAAGRycy9kb3ducmV2LnhtbFBLAQIUABQAAAAIAIdO4kAdPi8P&#10;rwEAAFIDAAAOAAAAAAAAAAEAIAAAACMBAABkcnMvZTJvRG9jLnhtbFBLBQYAAAAABgAGAFkBAABE&#10;BQAAAAA=&#10;">
                <v:fill on="f" focussize="0,0"/>
                <v:stroke on="f"/>
                <v:imagedata o:title=""/>
                <o:lock v:ext="edit" aspectratio="f"/>
                <v:textbox>
                  <w:txbxContent>
                    <w:p>
                      <w:pPr>
                        <w:pStyle w:val="36"/>
                        <w:spacing w:line="200" w:lineRule="exact"/>
                        <w:rPr>
                          <w:rFonts w:ascii="楷体_GB2312" w:hAnsi="宋体"/>
                          <w:sz w:val="18"/>
                          <w:szCs w:val="18"/>
                        </w:rPr>
                      </w:pPr>
                      <w:r>
                        <w:rPr>
                          <w:rFonts w:hint="eastAsia" w:ascii="楷体_GB2312" w:hAnsi="宋体" w:cs="楷体_GB2312"/>
                          <w:sz w:val="18"/>
                          <w:szCs w:val="18"/>
                        </w:rPr>
                        <w:t>内容、范围和</w:t>
                      </w:r>
                    </w:p>
                    <w:p>
                      <w:pPr>
                        <w:pStyle w:val="36"/>
                        <w:spacing w:line="200" w:lineRule="exact"/>
                        <w:rPr>
                          <w:rFonts w:ascii="楷体_GB2312" w:hAnsi="宋体"/>
                          <w:sz w:val="18"/>
                          <w:szCs w:val="18"/>
                        </w:rPr>
                      </w:pPr>
                      <w:r>
                        <w:rPr>
                          <w:rFonts w:hint="eastAsia" w:ascii="楷体_GB2312" w:hAnsi="宋体" w:cs="楷体_GB2312"/>
                          <w:sz w:val="18"/>
                          <w:szCs w:val="18"/>
                        </w:rPr>
                        <w:t>金额</w:t>
                      </w:r>
                    </w:p>
                  </w:txbxContent>
                </v:textbox>
              </v:shape>
            </w:pict>
          </mc:Fallback>
        </mc:AlternateContent>
      </w:r>
      <w:r>
        <w:rPr>
          <w:rFonts w:hint="eastAsia" w:ascii="仿宋" w:hAnsi="仿宋" w:eastAsia="仿宋" w:cs="仿宋"/>
          <w:color w:val="auto"/>
          <w:sz w:val="24"/>
          <w:szCs w:val="24"/>
          <w:highlight w:val="none"/>
        </w:rPr>
        <w:t>合同双方当事人应在专用条款中约定绿色施工安全防护费的内容、范围和金额，并按照第</w:t>
      </w:r>
      <w:r>
        <w:rPr>
          <w:rFonts w:ascii="仿宋" w:hAnsi="仿宋" w:eastAsia="仿宋" w:cs="仿宋"/>
          <w:color w:val="auto"/>
          <w:sz w:val="24"/>
          <w:szCs w:val="24"/>
          <w:highlight w:val="none"/>
        </w:rPr>
        <w:t>45</w:t>
      </w:r>
      <w:r>
        <w:rPr>
          <w:rFonts w:hint="eastAsia" w:ascii="仿宋" w:hAnsi="仿宋" w:eastAsia="仿宋" w:cs="仿宋"/>
          <w:color w:val="auto"/>
          <w:sz w:val="24"/>
          <w:szCs w:val="24"/>
          <w:highlight w:val="none"/>
        </w:rPr>
        <w:t>条规定实施绿色施工安全防护。除专用条款另有约定外，绿色施工安全防护费的内容和范围，应以现行广东省统一工程计价依据、省市造价管理部门发布管理文件的规定为准。</w:t>
      </w:r>
    </w:p>
    <w:p>
      <w:pPr>
        <w:pStyle w:val="2"/>
        <w:shd w:val="clear" w:color="000000" w:fill="auto"/>
        <w:adjustRightInd w:val="0"/>
        <w:snapToGrid w:val="0"/>
        <w:spacing w:line="360" w:lineRule="auto"/>
        <w:rPr>
          <w:rFonts w:ascii="仿宋" w:hAnsi="仿宋" w:eastAsia="仿宋" w:cs="仿宋"/>
          <w:color w:val="auto"/>
          <w:sz w:val="24"/>
          <w:szCs w:val="24"/>
          <w:highlight w:val="none"/>
          <w:u w:val="dotted"/>
        </w:rPr>
      </w:pPr>
      <w:r>
        <w:rPr>
          <w:rFonts w:ascii="仿宋" w:hAnsi="仿宋" w:eastAsia="仿宋" w:cs="仿宋"/>
          <w:b/>
          <w:bCs/>
          <w:color w:val="auto"/>
          <w:sz w:val="24"/>
          <w:szCs w:val="24"/>
          <w:highlight w:val="none"/>
        </w:rPr>
        <w:t xml:space="preserve">80.2  </w:t>
      </w:r>
      <w:r>
        <w:rPr>
          <w:rFonts w:ascii="仿宋" w:hAnsi="仿宋" w:eastAsia="仿宋" w:cs="仿宋"/>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u w:val="single"/>
        </w:rPr>
      </w:pPr>
      <w:r>
        <w:rPr>
          <w:color w:val="auto"/>
          <w:highlight w:val="none"/>
        </w:rPr>
        <mc:AlternateContent>
          <mc:Choice Requires="wps">
            <w:drawing>
              <wp:anchor distT="0" distB="0" distL="114300" distR="114300" simplePos="0" relativeHeight="252007424" behindDoc="0" locked="0" layoutInCell="1" allowOverlap="1">
                <wp:simplePos x="0" y="0"/>
                <wp:positionH relativeFrom="column">
                  <wp:posOffset>-114300</wp:posOffset>
                </wp:positionH>
                <wp:positionV relativeFrom="paragraph">
                  <wp:posOffset>34290</wp:posOffset>
                </wp:positionV>
                <wp:extent cx="914400" cy="789305"/>
                <wp:effectExtent l="0" t="0" r="0" b="0"/>
                <wp:wrapNone/>
                <wp:docPr id="341" name="文本框 345"/>
                <wp:cNvGraphicFramePr/>
                <a:graphic xmlns:a="http://schemas.openxmlformats.org/drawingml/2006/main">
                  <a:graphicData uri="http://schemas.microsoft.com/office/word/2010/wordprocessingShape">
                    <wps:wsp>
                      <wps:cNvSpPr txBox="1"/>
                      <wps:spPr>
                        <a:xfrm>
                          <a:off x="0" y="0"/>
                          <a:ext cx="914400" cy="789305"/>
                        </a:xfrm>
                        <a:prstGeom prst="rect">
                          <a:avLst/>
                        </a:prstGeom>
                        <a:noFill/>
                        <a:ln>
                          <a:noFill/>
                        </a:ln>
                      </wps:spPr>
                      <wps:txbx>
                        <w:txbxContent>
                          <w:p>
                            <w:pPr>
                              <w:pStyle w:val="36"/>
                              <w:spacing w:line="200" w:lineRule="exact"/>
                              <w:rPr>
                                <w:rFonts w:ascii="楷体_GB2312" w:hAnsi="宋体"/>
                                <w:sz w:val="18"/>
                                <w:szCs w:val="18"/>
                              </w:rPr>
                            </w:pPr>
                            <w:r>
                              <w:rPr>
                                <w:rFonts w:hint="eastAsia" w:ascii="楷体_GB2312" w:hAnsi="宋体" w:cs="楷体_GB2312"/>
                                <w:sz w:val="18"/>
                                <w:szCs w:val="18"/>
                              </w:rPr>
                              <w:t>支付申请的提交与核实</w:t>
                            </w:r>
                          </w:p>
                        </w:txbxContent>
                      </wps:txbx>
                      <wps:bodyPr upright="1"/>
                    </wps:wsp>
                  </a:graphicData>
                </a:graphic>
              </wp:anchor>
            </w:drawing>
          </mc:Choice>
          <mc:Fallback>
            <w:pict>
              <v:shape id="文本框 345" o:spid="_x0000_s1026" o:spt="202" type="#_x0000_t202" style="position:absolute;left:0pt;margin-left:-9pt;margin-top:2.7pt;height:62.15pt;width:72pt;z-index:252007424;mso-width-relative:page;mso-height-relative:page;" filled="f" stroked="f" coordsize="21600,21600" o:gfxdata="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CJF4sfW&#10;AAAACQEAAA8AAAAAAAAAAQAgAAAAIgAAAGRycy9kb3ducmV2LnhtbFBLAQIUABQAAAAIAIdO4kDz&#10;uv2LsAEAAFEDAAAOAAAAAAAAAAEAIAAAACUBAABkcnMvZTJvRG9jLnhtbFBLBQYAAAAABgAGAFkB&#10;AABHBQAAAAA=&#10;">
                <v:fill on="f" focussize="0,0"/>
                <v:stroke on="f"/>
                <v:imagedata o:title=""/>
                <o:lock v:ext="edit" aspectratio="f"/>
                <v:textbox>
                  <w:txbxContent>
                    <w:p>
                      <w:pPr>
                        <w:pStyle w:val="36"/>
                        <w:spacing w:line="200" w:lineRule="exact"/>
                        <w:rPr>
                          <w:rFonts w:ascii="楷体_GB2312" w:hAnsi="宋体"/>
                          <w:sz w:val="18"/>
                          <w:szCs w:val="18"/>
                        </w:rPr>
                      </w:pPr>
                      <w:r>
                        <w:rPr>
                          <w:rFonts w:hint="eastAsia" w:ascii="楷体_GB2312" w:hAnsi="宋体" w:cs="楷体_GB2312"/>
                          <w:sz w:val="18"/>
                          <w:szCs w:val="18"/>
                        </w:rPr>
                        <w:t>支付申请的提交与核实</w:t>
                      </w:r>
                    </w:p>
                  </w:txbxContent>
                </v:textbox>
              </v:shape>
            </w:pict>
          </mc:Fallback>
        </mc:AlternateContent>
      </w:r>
      <w:r>
        <w:rPr>
          <w:rFonts w:hint="eastAsia" w:ascii="仿宋" w:hAnsi="仿宋" w:eastAsia="仿宋" w:cs="仿宋"/>
          <w:color w:val="auto"/>
          <w:sz w:val="24"/>
          <w:szCs w:val="24"/>
          <w:highlight w:val="none"/>
        </w:rPr>
        <w:t>专用条款没有约定的，承包人应在接到监理工程师按照第</w:t>
      </w:r>
      <w:r>
        <w:rPr>
          <w:rFonts w:ascii="仿宋" w:hAnsi="仿宋" w:eastAsia="仿宋" w:cs="仿宋"/>
          <w:color w:val="auto"/>
          <w:sz w:val="24"/>
          <w:szCs w:val="24"/>
          <w:highlight w:val="none"/>
        </w:rPr>
        <w:t>34.2</w:t>
      </w:r>
      <w:r>
        <w:rPr>
          <w:rFonts w:hint="eastAsia" w:ascii="仿宋" w:hAnsi="仿宋" w:eastAsia="仿宋" w:cs="仿宋"/>
          <w:color w:val="auto"/>
          <w:sz w:val="24"/>
          <w:szCs w:val="24"/>
          <w:highlight w:val="none"/>
        </w:rPr>
        <w:t>款规定发出开工令后的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天内向造价工程师提交绿色施工安全防护费支付申请，并抄送发包人。造价工程师应对支付申请进行核</w:t>
      </w:r>
      <w:r>
        <w:rPr>
          <w:rFonts w:hint="eastAsia" w:ascii="仿宋" w:hAnsi="仿宋" w:eastAsia="仿宋" w:cs="仿宋"/>
          <w:color w:val="auto"/>
          <w:sz w:val="24"/>
          <w:szCs w:val="24"/>
          <w:highlight w:val="none"/>
          <w:u w:val="single"/>
        </w:rPr>
        <w:t>实，并在收到支付申请后的</w:t>
      </w:r>
      <w:r>
        <w:rPr>
          <w:rFonts w:ascii="仿宋" w:hAnsi="仿宋" w:eastAsia="仿宋" w:cs="仿宋"/>
          <w:color w:val="auto"/>
          <w:sz w:val="24"/>
          <w:szCs w:val="24"/>
          <w:highlight w:val="none"/>
          <w:u w:val="single"/>
        </w:rPr>
        <w:t>7</w:t>
      </w:r>
      <w:r>
        <w:rPr>
          <w:rFonts w:hint="eastAsia" w:ascii="仿宋" w:hAnsi="仿宋" w:eastAsia="仿宋" w:cs="仿宋"/>
          <w:color w:val="auto"/>
          <w:sz w:val="24"/>
          <w:szCs w:val="24"/>
          <w:highlight w:val="none"/>
          <w:u w:val="single"/>
        </w:rPr>
        <w:t>天内报发包人确认后向发包人发出支付证书，同时抄送承包人。</w:t>
      </w:r>
    </w:p>
    <w:p>
      <w:pPr>
        <w:pStyle w:val="2"/>
        <w:shd w:val="clear" w:color="000000" w:fill="auto"/>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80.3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合同双方当事人应按照建设行政主管部门的规定，在专用条款中约定绿色施工安全防护费的支付办法和抵扣方式。除专用条款另有约定外，</w:t>
      </w:r>
      <w:r>
        <w:rPr>
          <w:color w:val="auto"/>
          <w:highlight w:val="none"/>
        </w:rPr>
        <mc:AlternateContent>
          <mc:Choice Requires="wps">
            <w:drawing>
              <wp:anchor distT="0" distB="0" distL="114300" distR="114300" simplePos="0" relativeHeight="252008448" behindDoc="0" locked="0" layoutInCell="1" allowOverlap="1">
                <wp:simplePos x="0" y="0"/>
                <wp:positionH relativeFrom="column">
                  <wp:posOffset>-114300</wp:posOffset>
                </wp:positionH>
                <wp:positionV relativeFrom="paragraph">
                  <wp:posOffset>71755</wp:posOffset>
                </wp:positionV>
                <wp:extent cx="1028700" cy="352425"/>
                <wp:effectExtent l="0" t="0" r="0" b="0"/>
                <wp:wrapNone/>
                <wp:docPr id="342" name="文本框 346"/>
                <wp:cNvGraphicFramePr/>
                <a:graphic xmlns:a="http://schemas.openxmlformats.org/drawingml/2006/main">
                  <a:graphicData uri="http://schemas.microsoft.com/office/word/2010/wordprocessingShape">
                    <wps:wsp>
                      <wps:cNvSpPr txBox="1"/>
                      <wps:spPr>
                        <a:xfrm>
                          <a:off x="0" y="0"/>
                          <a:ext cx="1028700" cy="352425"/>
                        </a:xfrm>
                        <a:prstGeom prst="rect">
                          <a:avLst/>
                        </a:prstGeom>
                        <a:noFill/>
                        <a:ln>
                          <a:noFill/>
                        </a:ln>
                      </wps:spPr>
                      <wps:txb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费用支付</w:t>
                            </w:r>
                          </w:p>
                        </w:txbxContent>
                      </wps:txbx>
                      <wps:bodyPr upright="1"/>
                    </wps:wsp>
                  </a:graphicData>
                </a:graphic>
              </wp:anchor>
            </w:drawing>
          </mc:Choice>
          <mc:Fallback>
            <w:pict>
              <v:shape id="文本框 346" o:spid="_x0000_s1026" o:spt="202" type="#_x0000_t202" style="position:absolute;left:0pt;margin-left:-9pt;margin-top:5.65pt;height:27.75pt;width:81pt;z-index:252008448;mso-width-relative:page;mso-height-relative:page;" filled="f" stroked="f" coordsize="21600,21600" o:gfxdata="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e+gtd9UA&#10;AAAJAQAADwAAAAAAAAABACAAAAAiAAAAZHJzL2Rvd25yZXYueG1sUEsBAhQAFAAAAAgAh07iQKyp&#10;LOCwAQAAUgMAAA4AAAAAAAAAAQAgAAAAJAEAAGRycy9lMm9Eb2MueG1sUEsFBgAAAAAGAAYAWQEA&#10;AEYFAAAAAA==&#10;">
                <v:fill on="f" focussize="0,0"/>
                <v:stroke on="f"/>
                <v:imagedata o:title=""/>
                <o:lock v:ext="edit" aspectratio="f"/>
                <v:textbo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费用支付</w:t>
                      </w:r>
                    </w:p>
                  </w:txbxContent>
                </v:textbox>
              </v:shape>
            </w:pict>
          </mc:Fallback>
        </mc:AlternateContent>
      </w:r>
      <w:r>
        <w:rPr>
          <w:rFonts w:hint="eastAsia" w:ascii="仿宋" w:hAnsi="仿宋" w:eastAsia="仿宋" w:cs="仿宋"/>
          <w:color w:val="auto"/>
          <w:sz w:val="24"/>
          <w:szCs w:val="24"/>
          <w:highlight w:val="none"/>
        </w:rPr>
        <w:t>发包人应在造价工程师签发支付证书后的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天内向承包人支付绿色施工安全防护费，并保证在工程开工后的</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天内支付绿色施工安全防护费金额的</w:t>
      </w:r>
      <w:r>
        <w:rPr>
          <w:rFonts w:ascii="仿宋" w:hAnsi="仿宋" w:eastAsia="仿宋" w:cs="仿宋"/>
          <w:color w:val="auto"/>
          <w:sz w:val="24"/>
          <w:szCs w:val="24"/>
          <w:highlight w:val="none"/>
        </w:rPr>
        <w:t>50%</w:t>
      </w:r>
      <w:r>
        <w:rPr>
          <w:rFonts w:hint="eastAsia" w:ascii="仿宋" w:hAnsi="仿宋" w:eastAsia="仿宋" w:cs="仿宋"/>
          <w:color w:val="auto"/>
          <w:sz w:val="24"/>
          <w:szCs w:val="24"/>
          <w:highlight w:val="none"/>
        </w:rPr>
        <w:t>，同时通知造价工程师。其余部分与进度款同期支付。</w:t>
      </w:r>
    </w:p>
    <w:p>
      <w:pPr>
        <w:pStyle w:val="2"/>
        <w:shd w:val="clear" w:color="000000" w:fill="auto"/>
        <w:tabs>
          <w:tab w:val="left" w:pos="1320"/>
        </w:tabs>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80.4  </w:t>
      </w:r>
      <w:r>
        <w:rPr>
          <w:rFonts w:ascii="仿宋" w:hAnsi="仿宋" w:eastAsia="仿宋" w:cs="仿宋"/>
          <w:b/>
          <w:bCs/>
          <w:color w:val="auto"/>
          <w:sz w:val="24"/>
          <w:szCs w:val="24"/>
          <w:highlight w:val="none"/>
          <w:u w:val="dotted"/>
        </w:rPr>
        <w:t xml:space="preserve">                                                                                                        </w:t>
      </w:r>
    </w:p>
    <w:p>
      <w:pPr>
        <w:pStyle w:val="13"/>
        <w:shd w:val="clear" w:color="000000" w:fill="auto"/>
        <w:adjustRightInd w:val="0"/>
        <w:snapToGrid w:val="0"/>
        <w:spacing w:line="360" w:lineRule="auto"/>
        <w:ind w:left="1619" w:leftChars="771" w:firstLine="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2009472" behindDoc="0" locked="0" layoutInCell="1" allowOverlap="1">
                <wp:simplePos x="0" y="0"/>
                <wp:positionH relativeFrom="column">
                  <wp:posOffset>-114300</wp:posOffset>
                </wp:positionH>
                <wp:positionV relativeFrom="paragraph">
                  <wp:posOffset>10795</wp:posOffset>
                </wp:positionV>
                <wp:extent cx="914400" cy="400685"/>
                <wp:effectExtent l="0" t="0" r="0" b="0"/>
                <wp:wrapNone/>
                <wp:docPr id="343" name="文本框 347"/>
                <wp:cNvGraphicFramePr/>
                <a:graphic xmlns:a="http://schemas.openxmlformats.org/drawingml/2006/main">
                  <a:graphicData uri="http://schemas.microsoft.com/office/word/2010/wordprocessingShape">
                    <wps:wsp>
                      <wps:cNvSpPr txBox="1"/>
                      <wps:spPr>
                        <a:xfrm>
                          <a:off x="0" y="0"/>
                          <a:ext cx="914400" cy="400685"/>
                        </a:xfrm>
                        <a:prstGeom prst="rect">
                          <a:avLst/>
                        </a:prstGeom>
                        <a:noFill/>
                        <a:ln>
                          <a:noFill/>
                        </a:ln>
                      </wps:spPr>
                      <wps:txb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支付限制</w:t>
                            </w:r>
                          </w:p>
                        </w:txbxContent>
                      </wps:txbx>
                      <wps:bodyPr upright="1"/>
                    </wps:wsp>
                  </a:graphicData>
                </a:graphic>
              </wp:anchor>
            </w:drawing>
          </mc:Choice>
          <mc:Fallback>
            <w:pict>
              <v:shape id="文本框 347" o:spid="_x0000_s1026" o:spt="202" type="#_x0000_t202" style="position:absolute;left:0pt;margin-left:-9pt;margin-top:0.85pt;height:31.55pt;width:72pt;z-index:252009472;mso-width-relative:page;mso-height-relative:page;" filled="f" stroked="f" coordsize="21600,21600" o:gfxdata="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c3+MM1QAA&#10;AAgBAAAPAAAAAAAAAAEAIAAAACIAAABkcnMvZG93bnJldi54bWxQSwECFAAUAAAACACHTuJA9ZOr&#10;Wq8BAABRAwAADgAAAAAAAAABACAAAAAkAQAAZHJzL2Uyb0RvYy54bWxQSwUGAAAAAAYABgBZAQAA&#10;RQUAAAAA&#10;">
                <v:fill on="f" focussize="0,0"/>
                <v:stroke on="f"/>
                <v:imagedata o:title=""/>
                <o:lock v:ext="edit" aspectratio="f"/>
                <v:textbo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支付限制</w:t>
                      </w:r>
                    </w:p>
                  </w:txbxContent>
                </v:textbox>
              </v:shape>
            </w:pict>
          </mc:Fallback>
        </mc:AlternateContent>
      </w:r>
      <w:r>
        <w:rPr>
          <w:rFonts w:hint="eastAsia" w:ascii="仿宋" w:hAnsi="仿宋" w:eastAsia="仿宋" w:cs="仿宋"/>
          <w:color w:val="auto"/>
          <w:sz w:val="24"/>
          <w:szCs w:val="24"/>
          <w:highlight w:val="none"/>
        </w:rPr>
        <w:t>发包人没有按时支付绿色施工安全防护费的，承包人应在付款期满后的</w:t>
      </w:r>
      <w:r>
        <w:rPr>
          <w:rFonts w:ascii="仿宋" w:hAnsi="仿宋" w:eastAsia="仿宋" w:cs="仿宋"/>
          <w:color w:val="auto"/>
          <w:sz w:val="24"/>
          <w:szCs w:val="24"/>
          <w:highlight w:val="none"/>
        </w:rPr>
        <w:t>10</w:t>
      </w:r>
      <w:r>
        <w:rPr>
          <w:rFonts w:hint="eastAsia" w:ascii="仿宋" w:hAnsi="仿宋" w:eastAsia="仿宋" w:cs="仿宋"/>
          <w:color w:val="auto"/>
          <w:sz w:val="24"/>
          <w:szCs w:val="24"/>
          <w:highlight w:val="none"/>
        </w:rPr>
        <w:t>天向发包人发出要求支付的通知；发包人收到通知后仍不按要求支付，承包人可在发出通知</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天后暂停施工。发包人应承担由此增加的费用和（或）延误的工期，并向承包人支付合理利润。</w:t>
      </w:r>
    </w:p>
    <w:p>
      <w:pPr>
        <w:pStyle w:val="2"/>
        <w:shd w:val="clear" w:color="000000" w:fill="auto"/>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80.5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10496" behindDoc="0" locked="0" layoutInCell="1" allowOverlap="1">
                <wp:simplePos x="0" y="0"/>
                <wp:positionH relativeFrom="column">
                  <wp:posOffset>-114300</wp:posOffset>
                </wp:positionH>
                <wp:positionV relativeFrom="paragraph">
                  <wp:posOffset>1905</wp:posOffset>
                </wp:positionV>
                <wp:extent cx="914400" cy="471170"/>
                <wp:effectExtent l="0" t="0" r="0" b="0"/>
                <wp:wrapNone/>
                <wp:docPr id="344" name="文本框 348"/>
                <wp:cNvGraphicFramePr/>
                <a:graphic xmlns:a="http://schemas.openxmlformats.org/drawingml/2006/main">
                  <a:graphicData uri="http://schemas.microsoft.com/office/word/2010/wordprocessingShape">
                    <wps:wsp>
                      <wps:cNvSpPr txBox="1"/>
                      <wps:spPr>
                        <a:xfrm>
                          <a:off x="0" y="0"/>
                          <a:ext cx="914400" cy="471170"/>
                        </a:xfrm>
                        <a:prstGeom prst="rect">
                          <a:avLst/>
                        </a:prstGeom>
                        <a:noFill/>
                        <a:ln>
                          <a:noFill/>
                        </a:ln>
                      </wps:spPr>
                      <wps:txbx>
                        <w:txbxContent>
                          <w:p>
                            <w:pPr>
                              <w:spacing w:line="240" w:lineRule="exact"/>
                              <w:rPr>
                                <w:rFonts w:ascii="宋体" w:cs="Times New Roman"/>
                              </w:rPr>
                            </w:pPr>
                            <w:r>
                              <w:rPr>
                                <w:rFonts w:hint="eastAsia" w:ascii="楷体_GB2312" w:hAnsi="宋体" w:eastAsia="楷体_GB2312" w:cs="楷体_GB2312"/>
                                <w:b/>
                                <w:bCs/>
                                <w:sz w:val="18"/>
                                <w:szCs w:val="18"/>
                              </w:rPr>
                              <w:t>管理要求</w:t>
                            </w:r>
                          </w:p>
                        </w:txbxContent>
                      </wps:txbx>
                      <wps:bodyPr upright="1"/>
                    </wps:wsp>
                  </a:graphicData>
                </a:graphic>
              </wp:anchor>
            </w:drawing>
          </mc:Choice>
          <mc:Fallback>
            <w:pict>
              <v:shape id="文本框 348" o:spid="_x0000_s1026" o:spt="202" type="#_x0000_t202" style="position:absolute;left:0pt;margin-left:-9pt;margin-top:0.15pt;height:37.1pt;width:72pt;z-index:252010496;mso-width-relative:page;mso-height-relative:page;" filled="f" stroked="f" coordsize="21600,21600" o:gfxdata="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P3DUx9UA&#10;AAAHAQAADwAAAAAAAAABACAAAAAiAAAAZHJzL2Rvd25yZXYueG1sUEsBAhQAFAAAAAgAh07iQN0I&#10;ijiwAQAAUQMAAA4AAAAAAAAAAQAgAAAAJAEAAGRycy9lMm9Eb2MueG1sUEsFBgAAAAAGAAYAWQEA&#10;AEYFAAAAAA==&#10;">
                <v:fill on="f" focussize="0,0"/>
                <v:stroke on="f"/>
                <v:imagedata o:title=""/>
                <o:lock v:ext="edit" aspectratio="f"/>
                <v:textbox>
                  <w:txbxContent>
                    <w:p>
                      <w:pPr>
                        <w:spacing w:line="240" w:lineRule="exact"/>
                        <w:rPr>
                          <w:rFonts w:ascii="宋体" w:cs="Times New Roman"/>
                        </w:rPr>
                      </w:pPr>
                      <w:r>
                        <w:rPr>
                          <w:rFonts w:hint="eastAsia" w:ascii="楷体_GB2312" w:hAnsi="宋体" w:eastAsia="楷体_GB2312" w:cs="楷体_GB2312"/>
                          <w:b/>
                          <w:bCs/>
                          <w:sz w:val="18"/>
                          <w:szCs w:val="18"/>
                        </w:rPr>
                        <w:t>管理要求</w:t>
                      </w:r>
                    </w:p>
                  </w:txbxContent>
                </v:textbox>
              </v:shape>
            </w:pict>
          </mc:Fallback>
        </mc:AlternateContent>
      </w:r>
      <w:r>
        <w:rPr>
          <w:rFonts w:hint="eastAsia" w:ascii="仿宋" w:hAnsi="仿宋" w:eastAsia="仿宋" w:cs="仿宋"/>
          <w:color w:val="auto"/>
          <w:sz w:val="24"/>
          <w:szCs w:val="24"/>
          <w:highlight w:val="none"/>
        </w:rPr>
        <w:t>绿色施工安全防护费专款专用，承包人应在财务账目中单独列项备查，不得挪作他用，否则造价工程师有权责令其限期改正；逾期未改正的，可以责令其暂停施工，由此造成的损失和延误的工期由承包人承担。</w:t>
      </w:r>
    </w:p>
    <w:p>
      <w:pPr>
        <w:pStyle w:val="2"/>
        <w:shd w:val="clear" w:color="000000" w:fill="auto"/>
        <w:adjustRightInd w:val="0"/>
        <w:snapToGrid w:val="0"/>
        <w:spacing w:line="360" w:lineRule="auto"/>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11520" behindDoc="0" locked="0" layoutInCell="1" allowOverlap="1">
                <wp:simplePos x="0" y="0"/>
                <wp:positionH relativeFrom="column">
                  <wp:posOffset>0</wp:posOffset>
                </wp:positionH>
                <wp:positionV relativeFrom="paragraph">
                  <wp:posOffset>298450</wp:posOffset>
                </wp:positionV>
                <wp:extent cx="914400" cy="609600"/>
                <wp:effectExtent l="0" t="0" r="0" b="0"/>
                <wp:wrapNone/>
                <wp:docPr id="345" name="文本框 349"/>
                <wp:cNvGraphicFramePr/>
                <a:graphic xmlns:a="http://schemas.openxmlformats.org/drawingml/2006/main">
                  <a:graphicData uri="http://schemas.microsoft.com/office/word/2010/wordprocessingShape">
                    <wps:wsp>
                      <wps:cNvSpPr txBox="1"/>
                      <wps:spPr>
                        <a:xfrm>
                          <a:off x="0" y="0"/>
                          <a:ext cx="914400" cy="609600"/>
                        </a:xfrm>
                        <a:prstGeom prst="rect">
                          <a:avLst/>
                        </a:prstGeom>
                        <a:noFill/>
                        <a:ln>
                          <a:noFill/>
                        </a:ln>
                      </wps:spPr>
                      <wps:txbx>
                        <w:txbxContent>
                          <w:p>
                            <w:pPr>
                              <w:pStyle w:val="17"/>
                              <w:spacing w:line="200" w:lineRule="exact"/>
                              <w:rPr>
                                <w:rFonts w:ascii="楷体" w:hAnsi="楷体" w:eastAsia="楷体"/>
                                <w:b/>
                                <w:bCs/>
                                <w:sz w:val="18"/>
                                <w:szCs w:val="18"/>
                              </w:rPr>
                            </w:pPr>
                            <w:r>
                              <w:rPr>
                                <w:rFonts w:hint="eastAsia" w:ascii="楷体" w:hAnsi="楷体" w:eastAsia="楷体" w:cs="楷体"/>
                                <w:b/>
                                <w:bCs/>
                                <w:sz w:val="18"/>
                                <w:szCs w:val="18"/>
                              </w:rPr>
                              <w:t>工程</w:t>
                            </w:r>
                            <w:r>
                              <w:rPr>
                                <w:rFonts w:hint="eastAsia" w:ascii="楷体" w:hAnsi="楷体" w:eastAsia="楷体" w:cs="楷体"/>
                                <w:b/>
                                <w:bCs/>
                                <w:caps/>
                                <w:sz w:val="18"/>
                                <w:szCs w:val="18"/>
                              </w:rPr>
                              <w:t>文明工地增加费</w:t>
                            </w:r>
                            <w:r>
                              <w:rPr>
                                <w:rFonts w:hint="eastAsia" w:ascii="楷体" w:hAnsi="楷体" w:eastAsia="楷体" w:cs="楷体"/>
                                <w:b/>
                                <w:bCs/>
                                <w:sz w:val="18"/>
                                <w:szCs w:val="18"/>
                              </w:rPr>
                              <w:t>计提与支付</w:t>
                            </w:r>
                          </w:p>
                        </w:txbxContent>
                      </wps:txbx>
                      <wps:bodyPr upright="1"/>
                    </wps:wsp>
                  </a:graphicData>
                </a:graphic>
              </wp:anchor>
            </w:drawing>
          </mc:Choice>
          <mc:Fallback>
            <w:pict>
              <v:shape id="文本框 349" o:spid="_x0000_s1026" o:spt="202" type="#_x0000_t202" style="position:absolute;left:0pt;margin-left:0pt;margin-top:23.5pt;height:48pt;width:72pt;z-index:252011520;mso-width-relative:page;mso-height-relative:page;" filled="f" stroked="f" coordsize="21600,21600" o:gfxdata="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DhjIe0gAAAAcB&#10;AAAPAAAAAAAAAAEAIAAAACIAAABkcnMvZG93bnJldi54bWxQSwECFAAUAAAACACHTuJAnfS83K8B&#10;AABRAwAADgAAAAAAAAABACAAAAAhAQAAZHJzL2Uyb0RvYy54bWxQSwUGAAAAAAYABgBZAQAAQgUA&#10;AAAA&#10;">
                <v:fill on="f" focussize="0,0"/>
                <v:stroke on="f"/>
                <v:imagedata o:title=""/>
                <o:lock v:ext="edit" aspectratio="f"/>
                <v:textbox>
                  <w:txbxContent>
                    <w:p>
                      <w:pPr>
                        <w:pStyle w:val="17"/>
                        <w:spacing w:line="200" w:lineRule="exact"/>
                        <w:rPr>
                          <w:rFonts w:ascii="楷体" w:hAnsi="楷体" w:eastAsia="楷体"/>
                          <w:b/>
                          <w:bCs/>
                          <w:sz w:val="18"/>
                          <w:szCs w:val="18"/>
                        </w:rPr>
                      </w:pPr>
                      <w:r>
                        <w:rPr>
                          <w:rFonts w:hint="eastAsia" w:ascii="楷体" w:hAnsi="楷体" w:eastAsia="楷体" w:cs="楷体"/>
                          <w:b/>
                          <w:bCs/>
                          <w:sz w:val="18"/>
                          <w:szCs w:val="18"/>
                        </w:rPr>
                        <w:t>工程</w:t>
                      </w:r>
                      <w:r>
                        <w:rPr>
                          <w:rFonts w:hint="eastAsia" w:ascii="楷体" w:hAnsi="楷体" w:eastAsia="楷体" w:cs="楷体"/>
                          <w:b/>
                          <w:bCs/>
                          <w:caps/>
                          <w:sz w:val="18"/>
                          <w:szCs w:val="18"/>
                        </w:rPr>
                        <w:t>文明工地增加费</w:t>
                      </w:r>
                      <w:r>
                        <w:rPr>
                          <w:rFonts w:hint="eastAsia" w:ascii="楷体" w:hAnsi="楷体" w:eastAsia="楷体" w:cs="楷体"/>
                          <w:b/>
                          <w:bCs/>
                          <w:sz w:val="18"/>
                          <w:szCs w:val="18"/>
                        </w:rPr>
                        <w:t>计提与支付</w:t>
                      </w:r>
                    </w:p>
                  </w:txbxContent>
                </v:textbox>
              </v:shape>
            </w:pict>
          </mc:Fallback>
        </mc:AlternateContent>
      </w:r>
      <w:r>
        <w:rPr>
          <w:rFonts w:ascii="仿宋" w:hAnsi="仿宋" w:eastAsia="仿宋" w:cs="仿宋"/>
          <w:b/>
          <w:bCs/>
          <w:color w:val="auto"/>
          <w:sz w:val="24"/>
          <w:szCs w:val="24"/>
          <w:highlight w:val="none"/>
        </w:rPr>
        <w:t xml:space="preserve">80.6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除专用条款另有约定外，</w:t>
      </w:r>
      <w:r>
        <w:rPr>
          <w:rFonts w:hint="eastAsia" w:ascii="仿宋" w:hAnsi="仿宋" w:eastAsia="仿宋" w:cs="仿宋"/>
          <w:caps/>
          <w:color w:val="auto"/>
          <w:sz w:val="24"/>
          <w:szCs w:val="24"/>
          <w:highlight w:val="none"/>
        </w:rPr>
        <w:t>获得省、市级或其它级别文明工地的文明工地增加费</w:t>
      </w:r>
      <w:r>
        <w:rPr>
          <w:rFonts w:hint="eastAsia" w:ascii="仿宋" w:hAnsi="仿宋" w:eastAsia="仿宋" w:cs="仿宋"/>
          <w:color w:val="auto"/>
          <w:sz w:val="24"/>
          <w:szCs w:val="24"/>
          <w:highlight w:val="none"/>
        </w:rPr>
        <w:t>，招标工程的根据中标通知书日期，非招标工程的根据合同签订日期的同时期执行的广东省建设工程计价依据</w:t>
      </w:r>
      <w:r>
        <w:rPr>
          <w:rFonts w:hint="eastAsia" w:ascii="仿宋" w:hAnsi="仿宋" w:eastAsia="仿宋" w:cs="仿宋"/>
          <w:caps/>
          <w:color w:val="auto"/>
          <w:sz w:val="24"/>
          <w:szCs w:val="24"/>
          <w:highlight w:val="none"/>
        </w:rPr>
        <w:t>文明工地增加费</w:t>
      </w:r>
      <w:r>
        <w:rPr>
          <w:rFonts w:hint="eastAsia" w:ascii="仿宋" w:hAnsi="仿宋" w:eastAsia="仿宋" w:cs="仿宋"/>
          <w:color w:val="auto"/>
          <w:sz w:val="24"/>
          <w:szCs w:val="24"/>
          <w:highlight w:val="none"/>
        </w:rPr>
        <w:t>、广州市住房和城乡建设局发布的</w:t>
      </w:r>
      <w:r>
        <w:rPr>
          <w:rFonts w:hint="eastAsia" w:ascii="仿宋" w:hAnsi="仿宋" w:eastAsia="仿宋" w:cs="仿宋"/>
          <w:caps/>
          <w:color w:val="auto"/>
          <w:sz w:val="24"/>
          <w:szCs w:val="24"/>
          <w:highlight w:val="none"/>
        </w:rPr>
        <w:t>文明工地增加费</w:t>
      </w:r>
      <w:r>
        <w:rPr>
          <w:rFonts w:hint="eastAsia" w:ascii="仿宋" w:hAnsi="仿宋" w:eastAsia="仿宋" w:cs="仿宋"/>
          <w:color w:val="auto"/>
          <w:sz w:val="24"/>
          <w:szCs w:val="24"/>
          <w:highlight w:val="none"/>
        </w:rPr>
        <w:t>、广州市建设工程造价管理站发布的</w:t>
      </w:r>
      <w:r>
        <w:rPr>
          <w:rFonts w:hint="eastAsia" w:ascii="仿宋" w:hAnsi="仿宋" w:eastAsia="仿宋" w:cs="仿宋"/>
          <w:caps/>
          <w:color w:val="auto"/>
          <w:sz w:val="24"/>
          <w:szCs w:val="24"/>
          <w:highlight w:val="none"/>
        </w:rPr>
        <w:t>文明工地增加费</w:t>
      </w:r>
      <w:r>
        <w:rPr>
          <w:rFonts w:hint="eastAsia" w:ascii="仿宋" w:hAnsi="仿宋" w:eastAsia="仿宋" w:cs="仿宋"/>
          <w:color w:val="auto"/>
          <w:sz w:val="24"/>
          <w:szCs w:val="24"/>
          <w:highlight w:val="none"/>
        </w:rPr>
        <w:t>计算。当合同工程同时获得上述多个奖项的，</w:t>
      </w:r>
      <w:r>
        <w:rPr>
          <w:rFonts w:hint="eastAsia" w:ascii="仿宋" w:hAnsi="仿宋" w:eastAsia="仿宋" w:cs="仿宋"/>
          <w:caps/>
          <w:color w:val="auto"/>
          <w:sz w:val="24"/>
          <w:szCs w:val="24"/>
          <w:highlight w:val="none"/>
        </w:rPr>
        <w:t>文明工地增加费</w:t>
      </w:r>
      <w:r>
        <w:rPr>
          <w:rFonts w:hint="eastAsia" w:ascii="仿宋" w:hAnsi="仿宋" w:eastAsia="仿宋" w:cs="仿宋"/>
          <w:color w:val="auto"/>
          <w:sz w:val="24"/>
          <w:szCs w:val="24"/>
          <w:highlight w:val="none"/>
        </w:rPr>
        <w:t>只按最高奖项的额度计算。</w:t>
      </w:r>
      <w:r>
        <w:rPr>
          <w:rFonts w:hint="eastAsia" w:ascii="仿宋" w:hAnsi="仿宋" w:eastAsia="仿宋" w:cs="仿宋"/>
          <w:caps/>
          <w:color w:val="auto"/>
          <w:sz w:val="24"/>
          <w:szCs w:val="24"/>
          <w:highlight w:val="none"/>
        </w:rPr>
        <w:t>文明工地增加费</w:t>
      </w:r>
      <w:r>
        <w:rPr>
          <w:rFonts w:hint="eastAsia" w:ascii="仿宋" w:hAnsi="仿宋" w:eastAsia="仿宋" w:cs="仿宋"/>
          <w:color w:val="auto"/>
          <w:sz w:val="24"/>
          <w:szCs w:val="24"/>
          <w:highlight w:val="none"/>
        </w:rPr>
        <w:t>列入竣工结算文件中，与竣工结算款一并支付。在竣工结算后获得奖项的，发包人应在获得奖项后的</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天内支付。</w:t>
      </w:r>
    </w:p>
    <w:p>
      <w:pPr>
        <w:pStyle w:val="2"/>
        <w:shd w:val="clear" w:color="000000" w:fill="auto"/>
        <w:tabs>
          <w:tab w:val="left" w:pos="1620"/>
        </w:tabs>
        <w:adjustRightInd w:val="0"/>
        <w:snapToGrid w:val="0"/>
        <w:spacing w:line="360" w:lineRule="auto"/>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
        <w:shd w:val="clear" w:color="000000" w:fill="auto"/>
        <w:tabs>
          <w:tab w:val="left" w:pos="540"/>
        </w:tabs>
        <w:adjustRightInd w:val="0"/>
        <w:snapToGrid w:val="0"/>
        <w:spacing w:before="240" w:beforeLines="100" w:line="360" w:lineRule="auto"/>
        <w:outlineLvl w:val="2"/>
        <w:rPr>
          <w:rFonts w:ascii="仿宋" w:hAnsi="仿宋" w:eastAsia="仿宋" w:cs="Times New Roman"/>
          <w:b/>
          <w:bCs/>
          <w:color w:val="auto"/>
          <w:sz w:val="24"/>
          <w:szCs w:val="24"/>
          <w:highlight w:val="none"/>
        </w:rPr>
      </w:pPr>
      <w:bookmarkStart w:id="372" w:name="_Toc469384065"/>
      <w:bookmarkStart w:id="373" w:name="_Toc10624905"/>
      <w:bookmarkStart w:id="374" w:name="_Toc19009"/>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81  </w:t>
      </w:r>
      <w:r>
        <w:rPr>
          <w:rFonts w:hint="eastAsia" w:ascii="仿宋" w:hAnsi="仿宋" w:eastAsia="仿宋" w:cs="仿宋"/>
          <w:b/>
          <w:bCs/>
          <w:color w:val="auto"/>
          <w:sz w:val="24"/>
          <w:szCs w:val="24"/>
          <w:highlight w:val="none"/>
        </w:rPr>
        <w:t>进度款</w:t>
      </w:r>
      <w:bookmarkEnd w:id="372"/>
      <w:bookmarkEnd w:id="373"/>
      <w:bookmarkEnd w:id="374"/>
    </w:p>
    <w:p>
      <w:pPr>
        <w:pStyle w:val="2"/>
        <w:shd w:val="clear" w:color="000000" w:fill="auto"/>
        <w:adjustRightInd w:val="0"/>
        <w:snapToGrid w:val="0"/>
        <w:spacing w:line="360" w:lineRule="auto"/>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81.1</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12544" behindDoc="0" locked="0" layoutInCell="1" allowOverlap="1">
                <wp:simplePos x="0" y="0"/>
                <wp:positionH relativeFrom="column">
                  <wp:posOffset>-114300</wp:posOffset>
                </wp:positionH>
                <wp:positionV relativeFrom="paragraph">
                  <wp:posOffset>8255</wp:posOffset>
                </wp:positionV>
                <wp:extent cx="914400" cy="686435"/>
                <wp:effectExtent l="0" t="0" r="0" b="0"/>
                <wp:wrapNone/>
                <wp:docPr id="346" name="文本框 350"/>
                <wp:cNvGraphicFramePr/>
                <a:graphic xmlns:a="http://schemas.openxmlformats.org/drawingml/2006/main">
                  <a:graphicData uri="http://schemas.microsoft.com/office/word/2010/wordprocessingShape">
                    <wps:wsp>
                      <wps:cNvSpPr txBox="1"/>
                      <wps:spPr>
                        <a:xfrm>
                          <a:off x="0" y="0"/>
                          <a:ext cx="914400" cy="686435"/>
                        </a:xfrm>
                        <a:prstGeom prst="rect">
                          <a:avLst/>
                        </a:prstGeom>
                        <a:noFill/>
                        <a:ln>
                          <a:noFill/>
                        </a:ln>
                      </wps:spPr>
                      <wps:txb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约定支付期限、比例和提交支付申请</w:t>
                            </w:r>
                          </w:p>
                        </w:txbxContent>
                      </wps:txbx>
                      <wps:bodyPr upright="1"/>
                    </wps:wsp>
                  </a:graphicData>
                </a:graphic>
              </wp:anchor>
            </w:drawing>
          </mc:Choice>
          <mc:Fallback>
            <w:pict>
              <v:shape id="文本框 350" o:spid="_x0000_s1026" o:spt="202" type="#_x0000_t202" style="position:absolute;left:0pt;margin-left:-9pt;margin-top:0.65pt;height:54.05pt;width:72pt;z-index:252012544;mso-width-relative:page;mso-height-relative:page;" filled="f" stroked="f" coordsize="21600,21600" o:gfxdata="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GJW8u/VAAAA&#10;CQEAAA8AAAAAAAAAAQAgAAAAIgAAAGRycy9kb3ducmV2LnhtbFBLAQIUABQAAAAIAIdO4kCMuB9q&#10;rgEAAFEDAAAOAAAAAAAAAAEAIAAAACQBAABkcnMvZTJvRG9jLnhtbFBLBQYAAAAABgAGAFkBAABE&#10;BQAAAAA=&#10;">
                <v:fill on="f" focussize="0,0"/>
                <v:stroke on="f"/>
                <v:imagedata o:title=""/>
                <o:lock v:ext="edit" aspectratio="f"/>
                <v:textbo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约定支付期限、比例和提交支付申请</w:t>
                      </w:r>
                    </w:p>
                  </w:txbxContent>
                </v:textbox>
              </v:shape>
            </w:pict>
          </mc:Fallback>
        </mc:AlternateContent>
      </w:r>
      <w:r>
        <w:rPr>
          <w:rFonts w:hint="eastAsia" w:ascii="仿宋" w:hAnsi="仿宋" w:eastAsia="仿宋" w:cs="仿宋"/>
          <w:color w:val="auto"/>
          <w:sz w:val="24"/>
          <w:szCs w:val="24"/>
          <w:highlight w:val="none"/>
        </w:rPr>
        <w:t>合同双方当事人应在专用条款中明确进度款支付期的时限及比例。专用条款没有约定期限的，支付期以月为单位。涉及政府投资资金的工程，支付期、支付方法等需调整的，应在专用条款中约定。</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13568" behindDoc="0" locked="0" layoutInCell="1" allowOverlap="1">
                <wp:simplePos x="0" y="0"/>
                <wp:positionH relativeFrom="column">
                  <wp:posOffset>-228600</wp:posOffset>
                </wp:positionH>
                <wp:positionV relativeFrom="paragraph">
                  <wp:posOffset>9359900</wp:posOffset>
                </wp:positionV>
                <wp:extent cx="1409700" cy="597535"/>
                <wp:effectExtent l="0" t="0" r="0" b="0"/>
                <wp:wrapNone/>
                <wp:docPr id="347" name="文本框 351"/>
                <wp:cNvGraphicFramePr/>
                <a:graphic xmlns:a="http://schemas.openxmlformats.org/drawingml/2006/main">
                  <a:graphicData uri="http://schemas.microsoft.com/office/word/2010/wordprocessingShape">
                    <wps:wsp>
                      <wps:cNvSpPr txBox="1"/>
                      <wps:spPr>
                        <a:xfrm>
                          <a:off x="0" y="0"/>
                          <a:ext cx="1409700" cy="597535"/>
                        </a:xfrm>
                        <a:prstGeom prst="rect">
                          <a:avLst/>
                        </a:prstGeom>
                        <a:noFill/>
                        <a:ln>
                          <a:noFill/>
                        </a:ln>
                      </wps:spPr>
                      <wps:txbx>
                        <w:txbxContent>
                          <w:p>
                            <w:pPr>
                              <w:spacing w:line="240" w:lineRule="exact"/>
                              <w:rPr>
                                <w:rFonts w:eastAsia="楷体_GB2312" w:cs="Times New Roman"/>
                                <w:b/>
                                <w:bCs/>
                                <w:sz w:val="18"/>
                                <w:szCs w:val="18"/>
                              </w:rPr>
                            </w:pPr>
                            <w:r>
                              <w:rPr>
                                <w:rFonts w:hint="eastAsia" w:eastAsia="楷体_GB2312" w:cs="楷体_GB2312"/>
                                <w:b/>
                                <w:bCs/>
                                <w:sz w:val="18"/>
                                <w:szCs w:val="18"/>
                              </w:rPr>
                              <w:t>安全文明施工费</w:t>
                            </w:r>
                          </w:p>
                          <w:p>
                            <w:pPr>
                              <w:spacing w:line="240" w:lineRule="exact"/>
                              <w:rPr>
                                <w:rFonts w:eastAsia="楷体_GB2312" w:cs="Times New Roman"/>
                                <w:b/>
                                <w:bCs/>
                                <w:sz w:val="18"/>
                                <w:szCs w:val="18"/>
                              </w:rPr>
                            </w:pPr>
                            <w:r>
                              <w:rPr>
                                <w:rFonts w:hint="eastAsia" w:eastAsia="楷体_GB2312" w:cs="楷体_GB2312"/>
                                <w:b/>
                                <w:bCs/>
                                <w:sz w:val="18"/>
                                <w:szCs w:val="18"/>
                              </w:rPr>
                              <w:t>支付申请的提交、</w:t>
                            </w:r>
                          </w:p>
                          <w:p>
                            <w:pPr>
                              <w:spacing w:line="240" w:lineRule="exact"/>
                              <w:rPr>
                                <w:rFonts w:eastAsia="楷体_GB2312" w:cs="Times New Roman"/>
                                <w:b/>
                                <w:bCs/>
                                <w:sz w:val="18"/>
                                <w:szCs w:val="18"/>
                              </w:rPr>
                            </w:pPr>
                            <w:r>
                              <w:rPr>
                                <w:rFonts w:hint="eastAsia" w:eastAsia="楷体_GB2312" w:cs="楷体_GB2312"/>
                                <w:b/>
                                <w:bCs/>
                                <w:sz w:val="18"/>
                                <w:szCs w:val="18"/>
                              </w:rPr>
                              <w:t>核实与支付</w:t>
                            </w:r>
                          </w:p>
                          <w:p>
                            <w:pPr>
                              <w:rPr>
                                <w:rFonts w:eastAsia="楷体_GB2312" w:cs="Times New Roman"/>
                                <w:b/>
                                <w:bCs/>
                                <w:sz w:val="18"/>
                                <w:szCs w:val="18"/>
                              </w:rPr>
                            </w:pPr>
                          </w:p>
                        </w:txbxContent>
                      </wps:txbx>
                      <wps:bodyPr upright="1"/>
                    </wps:wsp>
                  </a:graphicData>
                </a:graphic>
              </wp:anchor>
            </w:drawing>
          </mc:Choice>
          <mc:Fallback>
            <w:pict>
              <v:shape id="文本框 351" o:spid="_x0000_s1026" o:spt="202" type="#_x0000_t202" style="position:absolute;left:0pt;margin-left:-18pt;margin-top:737pt;height:47.05pt;width:111pt;z-index:252013568;mso-width-relative:page;mso-height-relative:page;" filled="f" stroked="f" coordsize="21600,21600" o:gfxdata="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CYDi1&#10;1wAAAA0BAAAPAAAAAAAAAAEAIAAAACIAAABkcnMvZG93bnJldi54bWxQSwECFAAUAAAACACHTuJA&#10;rYmHz7ABAABSAwAADgAAAAAAAAABACAAAAAmAQAAZHJzL2Uyb0RvYy54bWxQSwUGAAAAAAYABgBZ&#10;AQAASAUAAAAA&#10;">
                <v:fill on="f" focussize="0,0"/>
                <v:stroke on="f"/>
                <v:imagedata o:title=""/>
                <o:lock v:ext="edit" aspectratio="f"/>
                <v:textbox>
                  <w:txbxContent>
                    <w:p>
                      <w:pPr>
                        <w:spacing w:line="240" w:lineRule="exact"/>
                        <w:rPr>
                          <w:rFonts w:eastAsia="楷体_GB2312" w:cs="Times New Roman"/>
                          <w:b/>
                          <w:bCs/>
                          <w:sz w:val="18"/>
                          <w:szCs w:val="18"/>
                        </w:rPr>
                      </w:pPr>
                      <w:r>
                        <w:rPr>
                          <w:rFonts w:hint="eastAsia" w:eastAsia="楷体_GB2312" w:cs="楷体_GB2312"/>
                          <w:b/>
                          <w:bCs/>
                          <w:sz w:val="18"/>
                          <w:szCs w:val="18"/>
                        </w:rPr>
                        <w:t>安全文明施工费</w:t>
                      </w:r>
                    </w:p>
                    <w:p>
                      <w:pPr>
                        <w:spacing w:line="240" w:lineRule="exact"/>
                        <w:rPr>
                          <w:rFonts w:eastAsia="楷体_GB2312" w:cs="Times New Roman"/>
                          <w:b/>
                          <w:bCs/>
                          <w:sz w:val="18"/>
                          <w:szCs w:val="18"/>
                        </w:rPr>
                      </w:pPr>
                      <w:r>
                        <w:rPr>
                          <w:rFonts w:hint="eastAsia" w:eastAsia="楷体_GB2312" w:cs="楷体_GB2312"/>
                          <w:b/>
                          <w:bCs/>
                          <w:sz w:val="18"/>
                          <w:szCs w:val="18"/>
                        </w:rPr>
                        <w:t>支付申请的提交、</w:t>
                      </w:r>
                    </w:p>
                    <w:p>
                      <w:pPr>
                        <w:spacing w:line="240" w:lineRule="exact"/>
                        <w:rPr>
                          <w:rFonts w:eastAsia="楷体_GB2312" w:cs="Times New Roman"/>
                          <w:b/>
                          <w:bCs/>
                          <w:sz w:val="18"/>
                          <w:szCs w:val="18"/>
                        </w:rPr>
                      </w:pPr>
                      <w:r>
                        <w:rPr>
                          <w:rFonts w:hint="eastAsia" w:eastAsia="楷体_GB2312" w:cs="楷体_GB2312"/>
                          <w:b/>
                          <w:bCs/>
                          <w:sz w:val="18"/>
                          <w:szCs w:val="18"/>
                        </w:rPr>
                        <w:t>核实与支付</w:t>
                      </w:r>
                    </w:p>
                    <w:p>
                      <w:pPr>
                        <w:rPr>
                          <w:rFonts w:eastAsia="楷体_GB2312" w:cs="Times New Roman"/>
                          <w:b/>
                          <w:bCs/>
                          <w:sz w:val="18"/>
                          <w:szCs w:val="18"/>
                        </w:rPr>
                      </w:pPr>
                    </w:p>
                  </w:txbxContent>
                </v:textbox>
              </v:shape>
            </w:pict>
          </mc:Fallback>
        </mc:AlternateContent>
      </w:r>
      <w:r>
        <w:rPr>
          <w:rFonts w:hint="eastAsia" w:ascii="仿宋" w:hAnsi="仿宋" w:eastAsia="仿宋" w:cs="仿宋"/>
          <w:color w:val="auto"/>
          <w:sz w:val="24"/>
          <w:szCs w:val="24"/>
          <w:highlight w:val="none"/>
        </w:rPr>
        <w:t>承包人应在每个支付期结束后的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天内向造价工程师提交由承包人代表签署的支付申请和已完工程款额报告一式四份，详细说明此支付期间自己认为有权得到的款项，包括分包人已完工程款，同时抄送发包人。该支付申请的内容包括：</w:t>
      </w:r>
    </w:p>
    <w:p>
      <w:pPr>
        <w:pStyle w:val="2"/>
        <w:numPr>
          <w:ilvl w:val="0"/>
          <w:numId w:val="22"/>
        </w:numPr>
        <w:shd w:val="clear" w:color="000000" w:fill="auto"/>
        <w:adjustRightInd w:val="0"/>
        <w:snapToGrid w:val="0"/>
        <w:spacing w:line="360" w:lineRule="auto"/>
        <w:ind w:left="1620"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已完工程款；</w:t>
      </w:r>
    </w:p>
    <w:p>
      <w:pPr>
        <w:pStyle w:val="2"/>
        <w:numPr>
          <w:ilvl w:val="0"/>
          <w:numId w:val="22"/>
        </w:numPr>
        <w:shd w:val="clear" w:color="000000" w:fill="auto"/>
        <w:adjustRightInd w:val="0"/>
        <w:snapToGrid w:val="0"/>
        <w:spacing w:line="360" w:lineRule="auto"/>
        <w:ind w:left="1620"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已实际支付的工程款；</w:t>
      </w:r>
    </w:p>
    <w:p>
      <w:pPr>
        <w:pStyle w:val="2"/>
        <w:numPr>
          <w:ilvl w:val="0"/>
          <w:numId w:val="22"/>
        </w:numPr>
        <w:shd w:val="clear" w:color="000000" w:fill="auto"/>
        <w:adjustRightInd w:val="0"/>
        <w:snapToGrid w:val="0"/>
        <w:spacing w:line="360" w:lineRule="auto"/>
        <w:ind w:left="1620"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本期间完成的工程款；</w:t>
      </w:r>
    </w:p>
    <w:p>
      <w:pPr>
        <w:pStyle w:val="2"/>
        <w:numPr>
          <w:ilvl w:val="0"/>
          <w:numId w:val="22"/>
        </w:numPr>
        <w:shd w:val="clear" w:color="000000" w:fill="auto"/>
        <w:adjustRightInd w:val="0"/>
        <w:snapToGrid w:val="0"/>
        <w:spacing w:line="360" w:lineRule="auto"/>
        <w:ind w:left="1620"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本期间完成的计日工费用；</w:t>
      </w:r>
    </w:p>
    <w:p>
      <w:pPr>
        <w:pStyle w:val="2"/>
        <w:numPr>
          <w:ilvl w:val="0"/>
          <w:numId w:val="22"/>
        </w:numPr>
        <w:shd w:val="clear" w:color="000000" w:fill="auto"/>
        <w:adjustRightInd w:val="0"/>
        <w:snapToGrid w:val="0"/>
        <w:spacing w:line="360" w:lineRule="auto"/>
        <w:ind w:left="1620"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本期间应支付的暂列金额价款；</w:t>
      </w:r>
    </w:p>
    <w:p>
      <w:pPr>
        <w:pStyle w:val="2"/>
        <w:numPr>
          <w:ilvl w:val="0"/>
          <w:numId w:val="22"/>
        </w:numPr>
        <w:shd w:val="clear" w:color="000000" w:fill="auto"/>
        <w:adjustRightInd w:val="0"/>
        <w:snapToGrid w:val="0"/>
        <w:spacing w:line="360" w:lineRule="auto"/>
        <w:ind w:left="1620"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66</w:t>
      </w:r>
      <w:r>
        <w:rPr>
          <w:rFonts w:hint="eastAsia" w:ascii="仿宋" w:hAnsi="仿宋" w:eastAsia="仿宋" w:cs="仿宋"/>
          <w:color w:val="auto"/>
          <w:sz w:val="24"/>
          <w:szCs w:val="24"/>
          <w:highlight w:val="none"/>
        </w:rPr>
        <w:t>条规定本期间应扣除的误期赔偿费；</w:t>
      </w:r>
    </w:p>
    <w:p>
      <w:pPr>
        <w:pStyle w:val="2"/>
        <w:numPr>
          <w:ilvl w:val="0"/>
          <w:numId w:val="22"/>
        </w:numPr>
        <w:shd w:val="clear" w:color="000000" w:fill="auto"/>
        <w:adjustRightInd w:val="0"/>
        <w:snapToGrid w:val="0"/>
        <w:spacing w:line="360" w:lineRule="auto"/>
        <w:ind w:left="1620"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68</w:t>
      </w:r>
      <w:r>
        <w:rPr>
          <w:rFonts w:hint="eastAsia" w:ascii="仿宋" w:hAnsi="仿宋" w:eastAsia="仿宋" w:cs="仿宋"/>
          <w:color w:val="auto"/>
          <w:sz w:val="24"/>
          <w:szCs w:val="24"/>
          <w:highlight w:val="none"/>
        </w:rPr>
        <w:t>条至第</w:t>
      </w:r>
      <w:r>
        <w:rPr>
          <w:rFonts w:ascii="仿宋" w:hAnsi="仿宋" w:eastAsia="仿宋" w:cs="仿宋"/>
          <w:color w:val="auto"/>
          <w:sz w:val="24"/>
          <w:szCs w:val="24"/>
          <w:highlight w:val="none"/>
        </w:rPr>
        <w:t>76</w:t>
      </w:r>
      <w:r>
        <w:rPr>
          <w:rFonts w:hint="eastAsia" w:ascii="仿宋" w:hAnsi="仿宋" w:eastAsia="仿宋" w:cs="仿宋"/>
          <w:color w:val="auto"/>
          <w:sz w:val="24"/>
          <w:szCs w:val="24"/>
          <w:highlight w:val="none"/>
        </w:rPr>
        <w:t>条规定本期间应支付的调整工程款；</w:t>
      </w:r>
    </w:p>
    <w:p>
      <w:pPr>
        <w:pStyle w:val="2"/>
        <w:numPr>
          <w:ilvl w:val="0"/>
          <w:numId w:val="22"/>
        </w:numPr>
        <w:shd w:val="clear" w:color="000000" w:fill="auto"/>
        <w:adjustRightInd w:val="0"/>
        <w:snapToGrid w:val="0"/>
        <w:spacing w:line="360" w:lineRule="auto"/>
        <w:ind w:left="1620"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79</w:t>
      </w:r>
      <w:r>
        <w:rPr>
          <w:rFonts w:hint="eastAsia" w:ascii="仿宋" w:hAnsi="仿宋" w:eastAsia="仿宋" w:cs="仿宋"/>
          <w:color w:val="auto"/>
          <w:sz w:val="24"/>
          <w:szCs w:val="24"/>
          <w:highlight w:val="none"/>
        </w:rPr>
        <w:t>条本期间应扣回的预付款；</w:t>
      </w:r>
    </w:p>
    <w:p>
      <w:pPr>
        <w:pStyle w:val="2"/>
        <w:numPr>
          <w:ilvl w:val="0"/>
          <w:numId w:val="22"/>
        </w:numPr>
        <w:shd w:val="clear" w:color="000000" w:fill="auto"/>
        <w:tabs>
          <w:tab w:val="left" w:pos="2160"/>
        </w:tabs>
        <w:adjustRightInd w:val="0"/>
        <w:snapToGrid w:val="0"/>
        <w:spacing w:line="360" w:lineRule="auto"/>
        <w:ind w:left="1620"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80</w:t>
      </w:r>
      <w:r>
        <w:rPr>
          <w:rFonts w:hint="eastAsia" w:ascii="仿宋" w:hAnsi="仿宋" w:eastAsia="仿宋" w:cs="仿宋"/>
          <w:color w:val="auto"/>
          <w:sz w:val="24"/>
          <w:szCs w:val="24"/>
          <w:highlight w:val="none"/>
        </w:rPr>
        <w:t>条规定本期间应支付或扣回的绿色施工安全防护费；</w:t>
      </w:r>
    </w:p>
    <w:p>
      <w:pPr>
        <w:pStyle w:val="2"/>
        <w:numPr>
          <w:ilvl w:val="0"/>
          <w:numId w:val="22"/>
        </w:numPr>
        <w:shd w:val="clear" w:color="000000" w:fill="auto"/>
        <w:tabs>
          <w:tab w:val="left" w:pos="2160"/>
        </w:tabs>
        <w:adjustRightInd w:val="0"/>
        <w:snapToGrid w:val="0"/>
        <w:spacing w:line="360" w:lineRule="auto"/>
        <w:ind w:left="1620"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84</w:t>
      </w:r>
      <w:r>
        <w:rPr>
          <w:rFonts w:hint="eastAsia" w:ascii="仿宋" w:hAnsi="仿宋" w:eastAsia="仿宋" w:cs="仿宋"/>
          <w:color w:val="auto"/>
          <w:sz w:val="24"/>
          <w:szCs w:val="24"/>
          <w:highlight w:val="none"/>
        </w:rPr>
        <w:t>条本期间应扣留的质量保证金；</w:t>
      </w:r>
    </w:p>
    <w:p>
      <w:pPr>
        <w:pStyle w:val="2"/>
        <w:numPr>
          <w:ilvl w:val="0"/>
          <w:numId w:val="22"/>
        </w:numPr>
        <w:shd w:val="clear" w:color="000000" w:fill="auto"/>
        <w:tabs>
          <w:tab w:val="left" w:pos="2160"/>
        </w:tabs>
        <w:adjustRightInd w:val="0"/>
        <w:snapToGrid w:val="0"/>
        <w:spacing w:line="360" w:lineRule="auto"/>
        <w:ind w:left="1620"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根据合同约定，本期间应支付或扣留（回）的其他款项；</w:t>
      </w:r>
    </w:p>
    <w:p>
      <w:pPr>
        <w:pStyle w:val="2"/>
        <w:numPr>
          <w:ilvl w:val="0"/>
          <w:numId w:val="22"/>
        </w:numPr>
        <w:shd w:val="clear" w:color="000000" w:fill="auto"/>
        <w:tabs>
          <w:tab w:val="left" w:pos="2160"/>
        </w:tabs>
        <w:adjustRightInd w:val="0"/>
        <w:snapToGrid w:val="0"/>
        <w:spacing w:line="360" w:lineRule="auto"/>
        <w:ind w:left="1620" w:firstLine="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本期间应支付的工程款。</w:t>
      </w:r>
    </w:p>
    <w:p>
      <w:pPr>
        <w:pStyle w:val="2"/>
        <w:shd w:val="clear" w:color="000000" w:fill="auto"/>
        <w:tabs>
          <w:tab w:val="left" w:pos="1320"/>
        </w:tabs>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81.2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14592" behindDoc="0" locked="0" layoutInCell="1" allowOverlap="1">
                <wp:simplePos x="0" y="0"/>
                <wp:positionH relativeFrom="column">
                  <wp:posOffset>-114300</wp:posOffset>
                </wp:positionH>
                <wp:positionV relativeFrom="paragraph">
                  <wp:posOffset>0</wp:posOffset>
                </wp:positionV>
                <wp:extent cx="914400" cy="670560"/>
                <wp:effectExtent l="0" t="0" r="0" b="0"/>
                <wp:wrapNone/>
                <wp:docPr id="348" name="文本框 352"/>
                <wp:cNvGraphicFramePr/>
                <a:graphic xmlns:a="http://schemas.openxmlformats.org/drawingml/2006/main">
                  <a:graphicData uri="http://schemas.microsoft.com/office/word/2010/wordprocessingShape">
                    <wps:wsp>
                      <wps:cNvSpPr txBox="1"/>
                      <wps:spPr>
                        <a:xfrm>
                          <a:off x="0" y="0"/>
                          <a:ext cx="914400" cy="670560"/>
                        </a:xfrm>
                        <a:prstGeom prst="rect">
                          <a:avLst/>
                        </a:prstGeom>
                        <a:noFill/>
                        <a:ln>
                          <a:noFill/>
                        </a:ln>
                      </wps:spPr>
                      <wps:txb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签发期中支付证书</w:t>
                            </w:r>
                          </w:p>
                        </w:txbxContent>
                      </wps:txbx>
                      <wps:bodyPr upright="1"/>
                    </wps:wsp>
                  </a:graphicData>
                </a:graphic>
              </wp:anchor>
            </w:drawing>
          </mc:Choice>
          <mc:Fallback>
            <w:pict>
              <v:shape id="文本框 352" o:spid="_x0000_s1026" o:spt="202" type="#_x0000_t202" style="position:absolute;left:0pt;margin-left:-9pt;margin-top:0pt;height:52.8pt;width:72pt;z-index:252014592;mso-width-relative:page;mso-height-relative:page;" filled="f" stroked="f" coordsize="21600,21600" o:gfxdata="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HYUsJ1AAA&#10;AAgBAAAPAAAAAAAAAAEAIAAAACIAAABkcnMvZG93bnJldi54bWxQSwECFAAUAAAACACHTuJAFUM1&#10;vLABAABRAwAADgAAAAAAAAABACAAAAAjAQAAZHJzL2Uyb0RvYy54bWxQSwUGAAAAAAYABgBZAQAA&#10;RQUAAAAA&#10;">
                <v:fill on="f" focussize="0,0"/>
                <v:stroke on="f"/>
                <v:imagedata o:title=""/>
                <o:lock v:ext="edit" aspectratio="f"/>
                <v:textbo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签发期中支付证书</w:t>
                      </w:r>
                    </w:p>
                  </w:txbxContent>
                </v:textbox>
              </v:shape>
            </w:pict>
          </mc:Fallback>
        </mc:AlternateContent>
      </w:r>
      <w:r>
        <w:rPr>
          <w:rFonts w:hint="eastAsia" w:ascii="仿宋" w:hAnsi="仿宋" w:eastAsia="仿宋" w:cs="仿宋"/>
          <w:color w:val="auto"/>
          <w:sz w:val="24"/>
          <w:szCs w:val="24"/>
          <w:highlight w:val="none"/>
        </w:rPr>
        <w:t>造价工程师在收到上述资料后，应按照第</w:t>
      </w:r>
      <w:r>
        <w:rPr>
          <w:rFonts w:ascii="仿宋" w:hAnsi="仿宋" w:eastAsia="仿宋" w:cs="仿宋"/>
          <w:color w:val="auto"/>
          <w:sz w:val="24"/>
          <w:szCs w:val="24"/>
          <w:highlight w:val="none"/>
        </w:rPr>
        <w:t>62</w:t>
      </w:r>
      <w:r>
        <w:rPr>
          <w:rFonts w:hint="eastAsia" w:ascii="仿宋" w:hAnsi="仿宋" w:eastAsia="仿宋" w:cs="仿宋"/>
          <w:color w:val="auto"/>
          <w:sz w:val="24"/>
          <w:szCs w:val="24"/>
          <w:highlight w:val="none"/>
        </w:rPr>
        <w:t>条的规定进行计量，并根据计量结果和合同约定对资料内容予以核实。在收到上述资料后的</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天内报发包人确认后向发包人签发期中支付证书，同时抄送承包人。</w:t>
      </w:r>
      <w:r>
        <w:rPr>
          <w:rFonts w:ascii="仿宋" w:hAnsi="仿宋" w:eastAsia="仿宋" w:cs="Times New Roman"/>
          <w:color w:val="auto"/>
          <w:sz w:val="24"/>
          <w:szCs w:val="24"/>
          <w:highlight w:val="none"/>
        </w:rPr>
        <w:br w:type="textWrapping"/>
      </w:r>
      <w:r>
        <w:rPr>
          <w:rFonts w:hint="eastAsia" w:ascii="仿宋" w:hAnsi="仿宋" w:eastAsia="仿宋" w:cs="仿宋"/>
          <w:color w:val="auto"/>
          <w:sz w:val="24"/>
          <w:szCs w:val="24"/>
          <w:highlight w:val="none"/>
        </w:rPr>
        <w:t>如果该支付期间应支付金额少于专用条款约定的期中支付证书的最低限额时，造价工程师不必按照本款开具任何支付证书，但应通知发包人和承包人。上述款额转期结算，直到应支付的款额累计达到专用条款约定的期中支付证书的最低限额为止。</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造价工程师签发期中支付证书，不应视为发包人已同意、批准或接受了承包人完成该部分工作。</w:t>
      </w:r>
    </w:p>
    <w:p>
      <w:pPr>
        <w:pStyle w:val="2"/>
        <w:shd w:val="clear" w:color="000000" w:fill="auto"/>
        <w:tabs>
          <w:tab w:val="left" w:pos="1320"/>
        </w:tabs>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81.3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2015616" behindDoc="0" locked="0" layoutInCell="1" allowOverlap="1">
                <wp:simplePos x="0" y="0"/>
                <wp:positionH relativeFrom="column">
                  <wp:posOffset>-114300</wp:posOffset>
                </wp:positionH>
                <wp:positionV relativeFrom="paragraph">
                  <wp:posOffset>6350</wp:posOffset>
                </wp:positionV>
                <wp:extent cx="1028700" cy="267970"/>
                <wp:effectExtent l="0" t="0" r="0" b="0"/>
                <wp:wrapNone/>
                <wp:docPr id="349" name="文本框 353"/>
                <wp:cNvGraphicFramePr/>
                <a:graphic xmlns:a="http://schemas.openxmlformats.org/drawingml/2006/main">
                  <a:graphicData uri="http://schemas.microsoft.com/office/word/2010/wordprocessingShape">
                    <wps:wsp>
                      <wps:cNvSpPr txBox="1"/>
                      <wps:spPr>
                        <a:xfrm>
                          <a:off x="0" y="0"/>
                          <a:ext cx="1028700" cy="267970"/>
                        </a:xfrm>
                        <a:prstGeom prst="rect">
                          <a:avLst/>
                        </a:prstGeom>
                        <a:noFill/>
                        <a:ln>
                          <a:noFill/>
                        </a:ln>
                      </wps:spPr>
                      <wps:txb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进度款支付</w:t>
                            </w:r>
                          </w:p>
                        </w:txbxContent>
                      </wps:txbx>
                      <wps:bodyPr upright="1"/>
                    </wps:wsp>
                  </a:graphicData>
                </a:graphic>
              </wp:anchor>
            </w:drawing>
          </mc:Choice>
          <mc:Fallback>
            <w:pict>
              <v:shape id="文本框 353" o:spid="_x0000_s1026" o:spt="202" type="#_x0000_t202" style="position:absolute;left:0pt;margin-left:-9pt;margin-top:0.5pt;height:21.1pt;width:81pt;z-index:252015616;mso-width-relative:page;mso-height-relative:page;" filled="f" stroked="f" coordsize="21600,21600" o:gfxdata="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GrMutQA&#10;AAAIAQAADwAAAAAAAAABACAAAAAiAAAAZHJzL2Rvd25yZXYueG1sUEsBAhQAFAAAAAgAh07iQFpS&#10;XQexAQAAUgMAAA4AAAAAAAAAAQAgAAAAIwEAAGRycy9lMm9Eb2MueG1sUEsFBgAAAAAGAAYAWQEA&#10;AEYFAAAAAA==&#10;">
                <v:fill on="f" focussize="0,0"/>
                <v:stroke on="f"/>
                <v:imagedata o:title=""/>
                <o:lock v:ext="edit" aspectratio="f"/>
                <v:textbo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进度款支付</w:t>
                      </w:r>
                    </w:p>
                  </w:txbxContent>
                </v:textbox>
              </v:shape>
            </w:pict>
          </mc:Fallback>
        </mc:AlternateContent>
      </w:r>
      <w:r>
        <w:rPr>
          <w:rFonts w:hint="eastAsia" w:ascii="仿宋" w:hAnsi="仿宋" w:eastAsia="仿宋" w:cs="仿宋"/>
          <w:color w:val="auto"/>
          <w:sz w:val="24"/>
          <w:szCs w:val="24"/>
          <w:highlight w:val="none"/>
        </w:rPr>
        <w:t>发包人应在造价工程师签发期中支付证书后的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天内，按照期中支付证书列明的金额向承包人支付进度款，并通知造价工程师。</w:t>
      </w:r>
    </w:p>
    <w:p>
      <w:pPr>
        <w:pStyle w:val="2"/>
        <w:shd w:val="clear" w:color="000000" w:fill="auto"/>
        <w:tabs>
          <w:tab w:val="left" w:pos="1320"/>
        </w:tabs>
        <w:adjustRightInd w:val="0"/>
        <w:snapToGrid w:val="0"/>
        <w:spacing w:line="360" w:lineRule="auto"/>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81.4</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16640" behindDoc="0" locked="0" layoutInCell="1" allowOverlap="1">
                <wp:simplePos x="0" y="0"/>
                <wp:positionH relativeFrom="column">
                  <wp:posOffset>-114300</wp:posOffset>
                </wp:positionH>
                <wp:positionV relativeFrom="paragraph">
                  <wp:posOffset>8255</wp:posOffset>
                </wp:positionV>
                <wp:extent cx="914400" cy="647700"/>
                <wp:effectExtent l="0" t="0" r="0" b="0"/>
                <wp:wrapNone/>
                <wp:docPr id="350" name="文本框 354"/>
                <wp:cNvGraphicFramePr/>
                <a:graphic xmlns:a="http://schemas.openxmlformats.org/drawingml/2006/main">
                  <a:graphicData uri="http://schemas.microsoft.com/office/word/2010/wordprocessingShape">
                    <wps:wsp>
                      <wps:cNvSpPr txBox="1"/>
                      <wps:spPr>
                        <a:xfrm>
                          <a:off x="0" y="0"/>
                          <a:ext cx="914400" cy="647700"/>
                        </a:xfrm>
                        <a:prstGeom prst="rect">
                          <a:avLst/>
                        </a:prstGeom>
                        <a:noFill/>
                        <a:ln>
                          <a:noFill/>
                        </a:ln>
                      </wps:spPr>
                      <wps:txbx>
                        <w:txbxContent>
                          <w:p>
                            <w:pPr>
                              <w:jc w:val="left"/>
                              <w:rPr>
                                <w:rFonts w:ascii="楷体_GB2312" w:hAnsi="宋体" w:eastAsia="楷体_GB2312" w:cs="Times New Roman"/>
                                <w:b/>
                                <w:bCs/>
                                <w:sz w:val="18"/>
                                <w:szCs w:val="18"/>
                              </w:rPr>
                            </w:pPr>
                            <w:r>
                              <w:rPr>
                                <w:rFonts w:hint="eastAsia" w:ascii="楷体_GB2312" w:hAnsi="宋体" w:eastAsia="楷体_GB2312" w:cs="楷体_GB2312"/>
                                <w:b/>
                                <w:bCs/>
                                <w:sz w:val="18"/>
                                <w:szCs w:val="18"/>
                              </w:rPr>
                              <w:t>签发期中支付证书的限制</w:t>
                            </w:r>
                          </w:p>
                        </w:txbxContent>
                      </wps:txbx>
                      <wps:bodyPr upright="1"/>
                    </wps:wsp>
                  </a:graphicData>
                </a:graphic>
              </wp:anchor>
            </w:drawing>
          </mc:Choice>
          <mc:Fallback>
            <w:pict>
              <v:shape id="文本框 354" o:spid="_x0000_s1026" o:spt="202" type="#_x0000_t202" style="position:absolute;left:0pt;margin-left:-9pt;margin-top:0.65pt;height:51pt;width:72pt;z-index:252016640;mso-width-relative:page;mso-height-relative:page;" filled="f" stroked="f" coordsize="21600,21600" o:gfxdata="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Xfdny1QAA&#10;AAkBAAAPAAAAAAAAAAEAIAAAACIAAABkcnMvZG93bnJldi54bWxQSwECFAAUAAAACACHTuJAjeYD&#10;T68BAABRAwAADgAAAAAAAAABACAAAAAkAQAAZHJzL2Uyb0RvYy54bWxQSwUGAAAAAAYABgBZAQAA&#10;RQUAAAAA&#10;">
                <v:fill on="f" focussize="0,0"/>
                <v:stroke on="f"/>
                <v:imagedata o:title=""/>
                <o:lock v:ext="edit" aspectratio="f"/>
                <v:textbox>
                  <w:txbxContent>
                    <w:p>
                      <w:pPr>
                        <w:jc w:val="left"/>
                        <w:rPr>
                          <w:rFonts w:ascii="楷体_GB2312" w:hAnsi="宋体" w:eastAsia="楷体_GB2312" w:cs="Times New Roman"/>
                          <w:b/>
                          <w:bCs/>
                          <w:sz w:val="18"/>
                          <w:szCs w:val="18"/>
                        </w:rPr>
                      </w:pPr>
                      <w:r>
                        <w:rPr>
                          <w:rFonts w:hint="eastAsia" w:ascii="楷体_GB2312" w:hAnsi="宋体" w:eastAsia="楷体_GB2312" w:cs="楷体_GB2312"/>
                          <w:b/>
                          <w:bCs/>
                          <w:sz w:val="18"/>
                          <w:szCs w:val="18"/>
                        </w:rPr>
                        <w:t>签发期中支付证书的限制</w:t>
                      </w:r>
                    </w:p>
                  </w:txbxContent>
                </v:textbox>
              </v:shape>
            </w:pict>
          </mc:Fallback>
        </mc:AlternateContent>
      </w:r>
      <w:r>
        <w:rPr>
          <w:rFonts w:hint="eastAsia" w:ascii="仿宋" w:hAnsi="仿宋" w:eastAsia="仿宋" w:cs="仿宋"/>
          <w:color w:val="auto"/>
          <w:sz w:val="24"/>
          <w:szCs w:val="24"/>
          <w:highlight w:val="none"/>
        </w:rPr>
        <w:t>如果造价工程师未在第</w:t>
      </w:r>
      <w:r>
        <w:rPr>
          <w:rFonts w:ascii="仿宋" w:hAnsi="仿宋" w:eastAsia="仿宋" w:cs="仿宋"/>
          <w:color w:val="auto"/>
          <w:sz w:val="24"/>
          <w:szCs w:val="24"/>
          <w:highlight w:val="none"/>
        </w:rPr>
        <w:t>81.2</w:t>
      </w:r>
      <w:r>
        <w:rPr>
          <w:rFonts w:hint="eastAsia" w:ascii="仿宋" w:hAnsi="仿宋" w:eastAsia="仿宋" w:cs="仿宋"/>
          <w:color w:val="auto"/>
          <w:sz w:val="24"/>
          <w:szCs w:val="24"/>
          <w:highlight w:val="none"/>
        </w:rPr>
        <w:t>款规定的期限内签发期中支付证书的，则视为承包人提交的支付申请已被认可，承包人应及时向发包人发出要求支付的通知。发包人应在收到通知后的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天内，按照承包人支付申请列明的金额向承包人支付进度款。</w:t>
      </w:r>
    </w:p>
    <w:p>
      <w:pPr>
        <w:pStyle w:val="2"/>
        <w:shd w:val="clear" w:color="000000" w:fill="auto"/>
        <w:tabs>
          <w:tab w:val="left" w:pos="1320"/>
        </w:tabs>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81.5  </w:t>
      </w:r>
      <w:r>
        <w:rPr>
          <w:rFonts w:ascii="仿宋" w:hAnsi="仿宋" w:eastAsia="仿宋" w:cs="仿宋"/>
          <w:b/>
          <w:bCs/>
          <w:color w:val="auto"/>
          <w:sz w:val="24"/>
          <w:szCs w:val="24"/>
          <w:highlight w:val="none"/>
          <w:u w:val="dotted"/>
        </w:rPr>
        <w:t xml:space="preserve">                                                                                                        </w:t>
      </w:r>
    </w:p>
    <w:p>
      <w:pPr>
        <w:pStyle w:val="13"/>
        <w:shd w:val="clear" w:color="000000" w:fill="auto"/>
        <w:adjustRightInd w:val="0"/>
        <w:snapToGrid w:val="0"/>
        <w:spacing w:line="360" w:lineRule="auto"/>
        <w:ind w:left="1619" w:leftChars="771" w:firstLine="0"/>
        <w:rPr>
          <w:rFonts w:ascii="仿宋" w:hAnsi="仿宋" w:eastAsia="仿宋"/>
          <w:color w:val="auto"/>
          <w:sz w:val="24"/>
          <w:szCs w:val="24"/>
          <w:highlight w:val="none"/>
        </w:rPr>
      </w:pPr>
      <w:r>
        <w:rPr>
          <w:color w:val="auto"/>
          <w:highlight w:val="none"/>
        </w:rPr>
        <mc:AlternateContent>
          <mc:Choice Requires="wps">
            <w:drawing>
              <wp:anchor distT="0" distB="0" distL="114300" distR="114300" simplePos="0" relativeHeight="252017664" behindDoc="0" locked="0" layoutInCell="1" allowOverlap="1">
                <wp:simplePos x="0" y="0"/>
                <wp:positionH relativeFrom="column">
                  <wp:posOffset>-114300</wp:posOffset>
                </wp:positionH>
                <wp:positionV relativeFrom="paragraph">
                  <wp:posOffset>12065</wp:posOffset>
                </wp:positionV>
                <wp:extent cx="914400" cy="647065"/>
                <wp:effectExtent l="0" t="0" r="0" b="0"/>
                <wp:wrapNone/>
                <wp:docPr id="351" name="文本框 355"/>
                <wp:cNvGraphicFramePr/>
                <a:graphic xmlns:a="http://schemas.openxmlformats.org/drawingml/2006/main">
                  <a:graphicData uri="http://schemas.microsoft.com/office/word/2010/wordprocessingShape">
                    <wps:wsp>
                      <wps:cNvSpPr txBox="1"/>
                      <wps:spPr>
                        <a:xfrm>
                          <a:off x="0" y="0"/>
                          <a:ext cx="914400" cy="647065"/>
                        </a:xfrm>
                        <a:prstGeom prst="rect">
                          <a:avLst/>
                        </a:prstGeom>
                        <a:noFill/>
                        <a:ln>
                          <a:noFill/>
                        </a:ln>
                      </wps:spPr>
                      <wps:txbx>
                        <w:txbxContent>
                          <w:p>
                            <w:pPr>
                              <w:jc w:val="left"/>
                              <w:rPr>
                                <w:rFonts w:ascii="楷体_GB2312" w:hAnsi="宋体" w:eastAsia="楷体_GB2312" w:cs="Times New Roman"/>
                                <w:b/>
                                <w:bCs/>
                                <w:sz w:val="18"/>
                                <w:szCs w:val="18"/>
                              </w:rPr>
                            </w:pPr>
                            <w:r>
                              <w:rPr>
                                <w:rFonts w:hint="eastAsia" w:ascii="楷体_GB2312" w:hAnsi="宋体" w:eastAsia="楷体_GB2312" w:cs="楷体_GB2312"/>
                                <w:b/>
                                <w:bCs/>
                                <w:sz w:val="18"/>
                                <w:szCs w:val="18"/>
                              </w:rPr>
                              <w:t>进度款支付的限制</w:t>
                            </w:r>
                          </w:p>
                        </w:txbxContent>
                      </wps:txbx>
                      <wps:bodyPr upright="1"/>
                    </wps:wsp>
                  </a:graphicData>
                </a:graphic>
              </wp:anchor>
            </w:drawing>
          </mc:Choice>
          <mc:Fallback>
            <w:pict>
              <v:shape id="文本框 355" o:spid="_x0000_s1026" o:spt="202" type="#_x0000_t202" style="position:absolute;left:0pt;margin-left:-9pt;margin-top:0.95pt;height:50.95pt;width:72pt;z-index:252017664;mso-width-relative:page;mso-height-relative:page;" filled="f" stroked="f" coordsize="21600,21600" o:gfxdata="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OmMZXtUA&#10;AAAJAQAADwAAAAAAAAABACAAAAAiAAAAZHJzL2Rvd25yZXYueG1sUEsBAhQAFAAAAAgAh07iQH3W&#10;fHSwAQAAUQMAAA4AAAAAAAAAAQAgAAAAJAEAAGRycy9lMm9Eb2MueG1sUEsFBgAAAAAGAAYAWQEA&#10;AEYFAAAAAA==&#10;">
                <v:fill on="f" focussize="0,0"/>
                <v:stroke on="f"/>
                <v:imagedata o:title=""/>
                <o:lock v:ext="edit" aspectratio="f"/>
                <v:textbox>
                  <w:txbxContent>
                    <w:p>
                      <w:pPr>
                        <w:jc w:val="left"/>
                        <w:rPr>
                          <w:rFonts w:ascii="楷体_GB2312" w:hAnsi="宋体" w:eastAsia="楷体_GB2312" w:cs="Times New Roman"/>
                          <w:b/>
                          <w:bCs/>
                          <w:sz w:val="18"/>
                          <w:szCs w:val="18"/>
                        </w:rPr>
                      </w:pPr>
                      <w:r>
                        <w:rPr>
                          <w:rFonts w:hint="eastAsia" w:ascii="楷体_GB2312" w:hAnsi="宋体" w:eastAsia="楷体_GB2312" w:cs="楷体_GB2312"/>
                          <w:b/>
                          <w:bCs/>
                          <w:sz w:val="18"/>
                          <w:szCs w:val="18"/>
                        </w:rPr>
                        <w:t>进度款支付的限制</w:t>
                      </w:r>
                    </w:p>
                  </w:txbxContent>
                </v:textbox>
              </v:shape>
            </w:pict>
          </mc:Fallback>
        </mc:AlternateContent>
      </w:r>
      <w:r>
        <w:rPr>
          <w:rFonts w:hint="eastAsia" w:ascii="仿宋" w:hAnsi="仿宋" w:eastAsia="仿宋" w:cs="仿宋"/>
          <w:color w:val="auto"/>
          <w:sz w:val="24"/>
          <w:szCs w:val="24"/>
          <w:highlight w:val="none"/>
        </w:rPr>
        <w:t>发包人未按照第</w:t>
      </w:r>
      <w:r>
        <w:rPr>
          <w:rFonts w:ascii="仿宋" w:hAnsi="仿宋" w:eastAsia="仿宋" w:cs="仿宋"/>
          <w:color w:val="auto"/>
          <w:sz w:val="24"/>
          <w:szCs w:val="24"/>
          <w:highlight w:val="none"/>
        </w:rPr>
        <w:t>81.3</w:t>
      </w:r>
      <w:r>
        <w:rPr>
          <w:rFonts w:hint="eastAsia" w:ascii="仿宋" w:hAnsi="仿宋" w:eastAsia="仿宋" w:cs="仿宋"/>
          <w:color w:val="auto"/>
          <w:sz w:val="24"/>
          <w:szCs w:val="24"/>
          <w:highlight w:val="none"/>
        </w:rPr>
        <w:t>款和第</w:t>
      </w:r>
      <w:r>
        <w:rPr>
          <w:rFonts w:ascii="仿宋" w:hAnsi="仿宋" w:eastAsia="仿宋" w:cs="仿宋"/>
          <w:color w:val="auto"/>
          <w:sz w:val="24"/>
          <w:szCs w:val="24"/>
          <w:highlight w:val="none"/>
        </w:rPr>
        <w:t>81.4</w:t>
      </w:r>
      <w:r>
        <w:rPr>
          <w:rFonts w:hint="eastAsia" w:ascii="仿宋" w:hAnsi="仿宋" w:eastAsia="仿宋" w:cs="仿宋"/>
          <w:color w:val="auto"/>
          <w:sz w:val="24"/>
          <w:szCs w:val="24"/>
          <w:highlight w:val="none"/>
        </w:rPr>
        <w:t>款规定支付进度款的，承包人应及时向发包人发出要求支付的通知；发包人收到通知后仍不按要求支付的，可与承包人协商签订延期支付协议，经承包人同意后可延期支付，承包人有权按照第</w:t>
      </w:r>
      <w:r>
        <w:rPr>
          <w:rFonts w:ascii="仿宋" w:hAnsi="仿宋" w:eastAsia="仿宋" w:cs="仿宋"/>
          <w:color w:val="auto"/>
          <w:sz w:val="24"/>
          <w:szCs w:val="24"/>
          <w:highlight w:val="none"/>
        </w:rPr>
        <w:t>78.2</w:t>
      </w:r>
      <w:r>
        <w:rPr>
          <w:rFonts w:hint="eastAsia" w:ascii="仿宋" w:hAnsi="仿宋" w:eastAsia="仿宋" w:cs="仿宋"/>
          <w:color w:val="auto"/>
          <w:sz w:val="24"/>
          <w:szCs w:val="24"/>
          <w:highlight w:val="none"/>
        </w:rPr>
        <w:t>款规定获得延期支付的利息。</w:t>
      </w:r>
    </w:p>
    <w:p>
      <w:pPr>
        <w:pStyle w:val="13"/>
        <w:shd w:val="clear" w:color="000000" w:fill="auto"/>
        <w:adjustRightInd w:val="0"/>
        <w:snapToGrid w:val="0"/>
        <w:spacing w:line="360" w:lineRule="auto"/>
        <w:ind w:left="1640" w:leftChars="781" w:firstLine="0"/>
        <w:rPr>
          <w:rFonts w:ascii="仿宋" w:hAnsi="仿宋" w:eastAsia="仿宋"/>
          <w:color w:val="auto"/>
          <w:sz w:val="24"/>
          <w:szCs w:val="24"/>
          <w:highlight w:val="none"/>
        </w:rPr>
      </w:pPr>
      <w:r>
        <w:rPr>
          <w:rFonts w:hint="eastAsia" w:ascii="仿宋" w:hAnsi="仿宋" w:eastAsia="仿宋" w:cs="仿宋"/>
          <w:color w:val="auto"/>
          <w:sz w:val="24"/>
          <w:szCs w:val="24"/>
          <w:highlight w:val="none"/>
        </w:rPr>
        <w:t>发包人未按照按照合同约定支付进度款，合同双方当事人又未达成延期支付协议，导致无法施工的，承包人可停止施工。发包人应承担由此增加的费用和（或）延误的工期，并向承包人支付合理利润。</w:t>
      </w:r>
    </w:p>
    <w:p>
      <w:pPr>
        <w:pStyle w:val="2"/>
        <w:shd w:val="clear" w:color="000000" w:fill="auto"/>
        <w:tabs>
          <w:tab w:val="left" w:pos="1320"/>
        </w:tabs>
        <w:adjustRightInd w:val="0"/>
        <w:snapToGrid w:val="0"/>
        <w:spacing w:line="360" w:lineRule="auto"/>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81.6</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18688" behindDoc="0" locked="0" layoutInCell="1" allowOverlap="1">
                <wp:simplePos x="0" y="0"/>
                <wp:positionH relativeFrom="column">
                  <wp:posOffset>-114300</wp:posOffset>
                </wp:positionH>
                <wp:positionV relativeFrom="paragraph">
                  <wp:posOffset>15875</wp:posOffset>
                </wp:positionV>
                <wp:extent cx="1028700" cy="266065"/>
                <wp:effectExtent l="0" t="0" r="0" b="0"/>
                <wp:wrapNone/>
                <wp:docPr id="352" name="文本框 356"/>
                <wp:cNvGraphicFramePr/>
                <a:graphic xmlns:a="http://schemas.openxmlformats.org/drawingml/2006/main">
                  <a:graphicData uri="http://schemas.microsoft.com/office/word/2010/wordprocessingShape">
                    <wps:wsp>
                      <wps:cNvSpPr txBox="1"/>
                      <wps:spPr>
                        <a:xfrm>
                          <a:off x="0" y="0"/>
                          <a:ext cx="1028700" cy="266065"/>
                        </a:xfrm>
                        <a:prstGeom prst="rect">
                          <a:avLst/>
                        </a:prstGeom>
                        <a:noFill/>
                        <a:ln>
                          <a:noFill/>
                        </a:ln>
                      </wps:spPr>
                      <wps:txb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修正支付证书</w:t>
                            </w:r>
                          </w:p>
                        </w:txbxContent>
                      </wps:txbx>
                      <wps:bodyPr upright="1"/>
                    </wps:wsp>
                  </a:graphicData>
                </a:graphic>
              </wp:anchor>
            </w:drawing>
          </mc:Choice>
          <mc:Fallback>
            <w:pict>
              <v:shape id="文本框 356" o:spid="_x0000_s1026" o:spt="202" type="#_x0000_t202" style="position:absolute;left:0pt;margin-left:-9pt;margin-top:1.25pt;height:20.95pt;width:81pt;z-index:252018688;mso-width-relative:page;mso-height-relative:page;" filled="f" stroked="f" coordsize="21600,21600" o:gfxdata="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udBUx1QAA&#10;AAgBAAAPAAAAAAAAAAEAIAAAACIAAABkcnMvZG93bnJldi54bWxQSwECFAAUAAAACACHTuJAD3at&#10;la8BAABSAwAADgAAAAAAAAABACAAAAAkAQAAZHJzL2Uyb0RvYy54bWxQSwUGAAAAAAYABgBZAQAA&#10;RQUAAAAA&#10;">
                <v:fill on="f" focussize="0,0"/>
                <v:stroke on="f"/>
                <v:imagedata o:title=""/>
                <o:lock v:ext="edit" aspectratio="f"/>
                <v:textbo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修正支付证书</w:t>
                      </w:r>
                    </w:p>
                  </w:txbxContent>
                </v:textbox>
              </v:shape>
            </w:pict>
          </mc:Fallback>
        </mc:AlternateContent>
      </w:r>
      <w:r>
        <w:rPr>
          <w:rFonts w:hint="eastAsia" w:ascii="仿宋" w:hAnsi="仿宋" w:eastAsia="仿宋" w:cs="仿宋"/>
          <w:color w:val="auto"/>
          <w:sz w:val="24"/>
          <w:szCs w:val="24"/>
          <w:highlight w:val="none"/>
        </w:rPr>
        <w:t>发现以前签发的任何支付证书有错、漏或重复的，造价工程师有权在期中支付证书中修正以前签发的任何支付证书，承包人也有权提出修正申请。经合同双方当事人复核同意修正的，应在该支付期的进度款中支付或扣除。如果合同工程或其任何部分没有达到质量要求，造价工程师有权按照合同约定处理，并在任何期中支付证书中扣除相应价款。</w:t>
      </w:r>
    </w:p>
    <w:p>
      <w:pPr>
        <w:pStyle w:val="2"/>
        <w:shd w:val="clear" w:color="000000" w:fill="auto"/>
        <w:adjustRightInd w:val="0"/>
        <w:snapToGrid w:val="0"/>
        <w:spacing w:line="240" w:lineRule="exact"/>
        <w:ind w:right="-238"/>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
        <w:shd w:val="clear" w:color="000000" w:fill="auto"/>
        <w:tabs>
          <w:tab w:val="left" w:pos="540"/>
        </w:tabs>
        <w:adjustRightInd w:val="0"/>
        <w:snapToGrid w:val="0"/>
        <w:spacing w:before="240" w:beforeLines="100" w:line="360" w:lineRule="auto"/>
        <w:outlineLvl w:val="2"/>
        <w:rPr>
          <w:rFonts w:ascii="仿宋" w:hAnsi="仿宋" w:eastAsia="仿宋" w:cs="Times New Roman"/>
          <w:b/>
          <w:bCs/>
          <w:color w:val="auto"/>
          <w:sz w:val="24"/>
          <w:szCs w:val="24"/>
          <w:highlight w:val="none"/>
        </w:rPr>
      </w:pPr>
      <w:bookmarkStart w:id="375" w:name="_Toc10624906"/>
      <w:bookmarkStart w:id="376" w:name="_Toc16441"/>
      <w:bookmarkStart w:id="377" w:name="_Toc469384066"/>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82  </w:t>
      </w:r>
      <w:r>
        <w:rPr>
          <w:rFonts w:hint="eastAsia" w:ascii="仿宋" w:hAnsi="仿宋" w:eastAsia="仿宋" w:cs="仿宋"/>
          <w:b/>
          <w:bCs/>
          <w:color w:val="auto"/>
          <w:sz w:val="24"/>
          <w:szCs w:val="24"/>
          <w:highlight w:val="none"/>
        </w:rPr>
        <w:t>竣工结算</w:t>
      </w:r>
      <w:bookmarkEnd w:id="375"/>
      <w:bookmarkEnd w:id="376"/>
      <w:bookmarkEnd w:id="377"/>
    </w:p>
    <w:p>
      <w:pPr>
        <w:pStyle w:val="2"/>
        <w:shd w:val="clear" w:color="000000" w:fill="auto"/>
        <w:adjustRightInd w:val="0"/>
        <w:snapToGrid w:val="0"/>
        <w:spacing w:line="360" w:lineRule="auto"/>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82.1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19712" behindDoc="0" locked="0" layoutInCell="1" allowOverlap="1">
                <wp:simplePos x="0" y="0"/>
                <wp:positionH relativeFrom="column">
                  <wp:posOffset>-114300</wp:posOffset>
                </wp:positionH>
                <wp:positionV relativeFrom="paragraph">
                  <wp:posOffset>38735</wp:posOffset>
                </wp:positionV>
                <wp:extent cx="914400" cy="396240"/>
                <wp:effectExtent l="0" t="0" r="0" b="0"/>
                <wp:wrapNone/>
                <wp:docPr id="353" name="文本框 357"/>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约定结算程序和期限</w:t>
                            </w:r>
                          </w:p>
                        </w:txbxContent>
                      </wps:txbx>
                      <wps:bodyPr upright="1"/>
                    </wps:wsp>
                  </a:graphicData>
                </a:graphic>
              </wp:anchor>
            </w:drawing>
          </mc:Choice>
          <mc:Fallback>
            <w:pict>
              <v:shape id="文本框 357" o:spid="_x0000_s1026" o:spt="202" type="#_x0000_t202" style="position:absolute;left:0pt;margin-left:-9pt;margin-top:3.05pt;height:31.2pt;width:72pt;z-index:252019712;mso-width-relative:page;mso-height-relative:page;" filled="f" stroked="f" coordsize="21600,21600" o:gfxdata="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q+wMFdQA&#10;AAAIAQAADwAAAAAAAAABACAAAAAiAAAAZHJzL2Rvd25yZXYueG1sUEsBAhQAFAAAAAgAh07iQM4N&#10;Rf6xAQAAUQMAAA4AAAAAAAAAAQAgAAAAIwEAAGRycy9lMm9Eb2MueG1sUEsFBgAAAAAGAAYAWQEA&#10;AEY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约定结算程序和期限</w:t>
                      </w:r>
                    </w:p>
                  </w:txbxContent>
                </v:textbox>
              </v:shape>
            </w:pict>
          </mc:Fallback>
        </mc:AlternateContent>
      </w:r>
      <w:r>
        <w:rPr>
          <w:rFonts w:hint="eastAsia" w:ascii="仿宋" w:hAnsi="仿宋" w:eastAsia="仿宋" w:cs="仿宋"/>
          <w:color w:val="auto"/>
          <w:sz w:val="24"/>
          <w:szCs w:val="24"/>
          <w:highlight w:val="none"/>
        </w:rPr>
        <w:t>合同双方当事人应按照国家标准《建设工程工程量清单计价规范》（</w:t>
      </w:r>
      <w:r>
        <w:rPr>
          <w:rFonts w:ascii="仿宋" w:hAnsi="仿宋" w:eastAsia="仿宋" w:cs="仿宋"/>
          <w:color w:val="auto"/>
          <w:sz w:val="24"/>
          <w:szCs w:val="24"/>
          <w:highlight w:val="none"/>
        </w:rPr>
        <w:t>GBGB50500-2013</w:t>
      </w:r>
      <w:r>
        <w:rPr>
          <w:rFonts w:hint="eastAsia" w:ascii="仿宋" w:hAnsi="仿宋" w:eastAsia="仿宋" w:cs="仿宋"/>
          <w:color w:val="auto"/>
          <w:sz w:val="24"/>
          <w:szCs w:val="24"/>
          <w:highlight w:val="none"/>
        </w:rPr>
        <w:t>）规定在专用条款中明确办理竣工结算的程序和时限。专用条款没有约定的，竣工结算按照第</w:t>
      </w:r>
      <w:r>
        <w:rPr>
          <w:rFonts w:ascii="仿宋" w:hAnsi="仿宋" w:eastAsia="仿宋" w:cs="仿宋"/>
          <w:color w:val="auto"/>
          <w:sz w:val="24"/>
          <w:szCs w:val="24"/>
          <w:highlight w:val="none"/>
        </w:rPr>
        <w:t>82.2</w:t>
      </w:r>
      <w:r>
        <w:rPr>
          <w:rFonts w:hint="eastAsia" w:ascii="仿宋" w:hAnsi="仿宋" w:eastAsia="仿宋" w:cs="仿宋"/>
          <w:color w:val="auto"/>
          <w:sz w:val="24"/>
          <w:szCs w:val="24"/>
          <w:highlight w:val="none"/>
        </w:rPr>
        <w:t>款至第</w:t>
      </w:r>
      <w:r>
        <w:rPr>
          <w:rFonts w:ascii="仿宋" w:hAnsi="仿宋" w:eastAsia="仿宋" w:cs="仿宋"/>
          <w:color w:val="auto"/>
          <w:sz w:val="24"/>
          <w:szCs w:val="24"/>
          <w:highlight w:val="none"/>
        </w:rPr>
        <w:t>82.5</w:t>
      </w:r>
      <w:r>
        <w:rPr>
          <w:rFonts w:hint="eastAsia" w:ascii="仿宋" w:hAnsi="仿宋" w:eastAsia="仿宋" w:cs="仿宋"/>
          <w:color w:val="auto"/>
          <w:sz w:val="24"/>
          <w:szCs w:val="24"/>
          <w:highlight w:val="none"/>
        </w:rPr>
        <w:t>款规定办理。</w:t>
      </w:r>
    </w:p>
    <w:p>
      <w:pPr>
        <w:shd w:val="clear" w:color="000000" w:fill="auto"/>
        <w:spacing w:line="360" w:lineRule="auto"/>
        <w:ind w:left="1680" w:hanging="1680" w:hangingChars="800"/>
        <w:rPr>
          <w:rFonts w:ascii="仿宋" w:hAnsi="仿宋" w:eastAsia="仿宋" w:cs="Times New Roman"/>
          <w:color w:val="auto"/>
          <w:sz w:val="24"/>
          <w:szCs w:val="24"/>
          <w:highlight w:val="none"/>
        </w:rPr>
      </w:pPr>
      <w:r>
        <w:rPr>
          <w:color w:val="auto"/>
          <w:highlight w:val="none"/>
        </w:rPr>
        <w:t xml:space="preserve">                </w:t>
      </w:r>
      <w:r>
        <w:rPr>
          <w:rFonts w:hint="eastAsia" w:ascii="仿宋" w:hAnsi="仿宋" w:eastAsia="仿宋" w:cs="仿宋"/>
          <w:color w:val="auto"/>
          <w:sz w:val="24"/>
          <w:szCs w:val="24"/>
          <w:highlight w:val="none"/>
        </w:rPr>
        <w:t>建设工程施工过程结算是指在房屋建筑和市政设施工程发承包合同范围内，发承包双方结合项目实际，依据合同约定的支付周期或工程进度节点，对已完成的分部工程或标志性节点形象工程的价款进行的计算、调整、确认和支付等活动。实施施工过程结算的，应符合广东省建设工程施工过程结算办法等有关规定。发承包双方应在合同中约定施工过程结算的支付周期或完成进度节点（统称“施工过程结算节点”）进行工程价款结算和支付的依据、程序和方法，明确合同履行过程工程价款的计量、计价、支付等事项。施工过程结算节点可根据工程特点、施工工期及分部（工程）验收需要等由发承包双方在合同约定。施工过程结算文件是工程竣工结算文件的重要内容与组成部分。</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在办理竣工结算期间，发包人按照第</w:t>
      </w:r>
      <w:r>
        <w:rPr>
          <w:rFonts w:ascii="仿宋" w:hAnsi="仿宋" w:eastAsia="仿宋" w:cs="仿宋"/>
          <w:color w:val="auto"/>
          <w:sz w:val="24"/>
          <w:szCs w:val="24"/>
          <w:highlight w:val="none"/>
        </w:rPr>
        <w:t>78</w:t>
      </w:r>
      <w:r>
        <w:rPr>
          <w:rFonts w:hint="eastAsia" w:ascii="仿宋" w:hAnsi="仿宋" w:eastAsia="仿宋" w:cs="仿宋"/>
          <w:color w:val="auto"/>
          <w:sz w:val="24"/>
          <w:szCs w:val="24"/>
          <w:highlight w:val="none"/>
        </w:rPr>
        <w:t>条规定应向承包人支付的工程款及其他款项不停止。</w:t>
      </w:r>
    </w:p>
    <w:p>
      <w:pPr>
        <w:pStyle w:val="2"/>
        <w:shd w:val="clear" w:color="000000" w:fill="auto"/>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82.2  </w:t>
      </w:r>
      <w:r>
        <w:rPr>
          <w:rFonts w:ascii="仿宋" w:hAnsi="仿宋" w:eastAsia="仿宋" w:cs="仿宋"/>
          <w:b/>
          <w:bCs/>
          <w:color w:val="auto"/>
          <w:sz w:val="24"/>
          <w:szCs w:val="24"/>
          <w:highlight w:val="none"/>
          <w:u w:val="dotted"/>
        </w:rPr>
        <w:t xml:space="preserve">                                                                                                       </w:t>
      </w:r>
    </w:p>
    <w:p>
      <w:pPr>
        <w:pStyle w:val="2"/>
        <w:shd w:val="clear" w:color="000000" w:fill="auto"/>
        <w:tabs>
          <w:tab w:val="left" w:pos="2641"/>
        </w:tabs>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20736" behindDoc="0" locked="0" layoutInCell="1" allowOverlap="1">
                <wp:simplePos x="0" y="0"/>
                <wp:positionH relativeFrom="column">
                  <wp:posOffset>-114300</wp:posOffset>
                </wp:positionH>
                <wp:positionV relativeFrom="paragraph">
                  <wp:posOffset>23495</wp:posOffset>
                </wp:positionV>
                <wp:extent cx="914400" cy="459105"/>
                <wp:effectExtent l="0" t="0" r="0" b="0"/>
                <wp:wrapNone/>
                <wp:docPr id="354" name="文本框 358"/>
                <wp:cNvGraphicFramePr/>
                <a:graphic xmlns:a="http://schemas.openxmlformats.org/drawingml/2006/main">
                  <a:graphicData uri="http://schemas.microsoft.com/office/word/2010/wordprocessingShape">
                    <wps:wsp>
                      <wps:cNvSpPr txBox="1"/>
                      <wps:spPr>
                        <a:xfrm>
                          <a:off x="0" y="0"/>
                          <a:ext cx="914400" cy="45910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递交结算文件及其限制</w:t>
                            </w:r>
                          </w:p>
                        </w:txbxContent>
                      </wps:txbx>
                      <wps:bodyPr upright="1"/>
                    </wps:wsp>
                  </a:graphicData>
                </a:graphic>
              </wp:anchor>
            </w:drawing>
          </mc:Choice>
          <mc:Fallback>
            <w:pict>
              <v:shape id="文本框 358" o:spid="_x0000_s1026" o:spt="202" type="#_x0000_t202" style="position:absolute;left:0pt;margin-left:-9pt;margin-top:1.85pt;height:36.15pt;width:72pt;z-index:252020736;mso-width-relative:page;mso-height-relative:page;" filled="f" stroked="f" coordsize="21600,21600" o:gfxdata="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tB/HitUA&#10;AAAIAQAADwAAAAAAAAABACAAAAAiAAAAZHJzL2Rvd25yZXYueG1sUEsBAhQAFAAAAAgAh07iQLyn&#10;X5GwAQAAUQMAAA4AAAAAAAAAAQAgAAAAJAEAAGRycy9lMm9Eb2MueG1sUEsFBgAAAAAGAAYAWQEA&#10;AEY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递交结算文件及其限制</w:t>
                      </w:r>
                    </w:p>
                  </w:txbxContent>
                </v:textbox>
              </v:shape>
            </w:pict>
          </mc:Fallback>
        </mc:AlternateContent>
      </w:r>
      <w:r>
        <w:rPr>
          <w:rFonts w:hint="eastAsia" w:ascii="仿宋" w:hAnsi="仿宋" w:eastAsia="仿宋" w:cs="仿宋"/>
          <w:color w:val="auto"/>
          <w:sz w:val="24"/>
          <w:szCs w:val="24"/>
          <w:highlight w:val="none"/>
        </w:rPr>
        <w:t>承包人应在提交竣工验收申请报告前编制完成竣工结算文件，并在提交竣工验收申请报告的同时向造价工程师递交竣工结算文件。竣工结算文件清单由双方在专用条款中约定。</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未在本款规定的时间内递交竣工结算文件，经发包人催促后仍未递交或没有明确答复的，造价工程师可根据自己掌握的资料编制竣工结算文件，在报经发包人批准后，作为办理竣工结算和支付结算款的依据，承包人应予以认可。</w:t>
      </w:r>
    </w:p>
    <w:p>
      <w:pPr>
        <w:pStyle w:val="2"/>
        <w:shd w:val="clear" w:color="000000" w:fill="auto"/>
        <w:adjustRightInd w:val="0"/>
        <w:snapToGrid w:val="0"/>
        <w:spacing w:line="360" w:lineRule="auto"/>
        <w:rPr>
          <w:rFonts w:ascii="仿宋" w:hAnsi="仿宋" w:eastAsia="仿宋" w:cs="Times New Roman"/>
          <w:b/>
          <w:bCs/>
          <w:color w:val="auto"/>
          <w:sz w:val="24"/>
          <w:szCs w:val="24"/>
          <w:highlight w:val="none"/>
          <w:u w:val="single"/>
        </w:rPr>
      </w:pPr>
      <w:r>
        <w:rPr>
          <w:rFonts w:ascii="仿宋" w:hAnsi="仿宋" w:eastAsia="仿宋" w:cs="仿宋"/>
          <w:b/>
          <w:bCs/>
          <w:color w:val="auto"/>
          <w:sz w:val="24"/>
          <w:szCs w:val="24"/>
          <w:highlight w:val="none"/>
        </w:rPr>
        <w:t xml:space="preserve">82.3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21760" behindDoc="0" locked="0" layoutInCell="1" allowOverlap="1">
                <wp:simplePos x="0" y="0"/>
                <wp:positionH relativeFrom="column">
                  <wp:posOffset>-114300</wp:posOffset>
                </wp:positionH>
                <wp:positionV relativeFrom="paragraph">
                  <wp:posOffset>38735</wp:posOffset>
                </wp:positionV>
                <wp:extent cx="914400" cy="418465"/>
                <wp:effectExtent l="0" t="0" r="0" b="0"/>
                <wp:wrapNone/>
                <wp:docPr id="355" name="文本框 359"/>
                <wp:cNvGraphicFramePr/>
                <a:graphic xmlns:a="http://schemas.openxmlformats.org/drawingml/2006/main">
                  <a:graphicData uri="http://schemas.microsoft.com/office/word/2010/wordprocessingShape">
                    <wps:wsp>
                      <wps:cNvSpPr txBox="1"/>
                      <wps:spPr>
                        <a:xfrm>
                          <a:off x="0" y="0"/>
                          <a:ext cx="914400" cy="41846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核实结算文件及其限制</w:t>
                            </w:r>
                          </w:p>
                        </w:txbxContent>
                      </wps:txbx>
                      <wps:bodyPr upright="1"/>
                    </wps:wsp>
                  </a:graphicData>
                </a:graphic>
              </wp:anchor>
            </w:drawing>
          </mc:Choice>
          <mc:Fallback>
            <w:pict>
              <v:shape id="文本框 359" o:spid="_x0000_s1026" o:spt="202" type="#_x0000_t202" style="position:absolute;left:0pt;margin-left:-9pt;margin-top:3.05pt;height:32.95pt;width:72pt;z-index:252021760;mso-width-relative:page;mso-height-relative:page;" filled="f" stroked="f" coordsize="21600,21600" o:gfxdata="UEsDBAoAAAAAAIdO4kAAAAAAAAAAAAAAAAAEAAAAZHJzL1BLAwQUAAAACACHTuJAsUJJ49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sUJJ49UA&#10;AAAIAQAADwAAAAAAAAABACAAAAAiAAAAZHJzL2Rvd25yZXYueG1sUEsBAhQAFAAAAAgAh07iQMue&#10;oU2wAQAAUQMAAA4AAAAAAAAAAQAgAAAAJAEAAGRycy9lMm9Eb2MueG1sUEsFBgAAAAAGAAYAWQEA&#10;AEY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核实结算文件及其限制</w:t>
                      </w:r>
                    </w:p>
                  </w:txbxContent>
                </v:textbox>
              </v:shape>
            </w:pict>
          </mc:Fallback>
        </mc:AlternateContent>
      </w:r>
      <w:r>
        <w:rPr>
          <w:rFonts w:hint="eastAsia" w:ascii="仿宋" w:hAnsi="仿宋" w:eastAsia="仿宋" w:cs="仿宋"/>
          <w:color w:val="auto"/>
          <w:sz w:val="24"/>
          <w:szCs w:val="24"/>
          <w:highlight w:val="none"/>
        </w:rPr>
        <w:t>造价工程师应在收到承包人按照第</w:t>
      </w:r>
      <w:r>
        <w:rPr>
          <w:rFonts w:ascii="仿宋" w:hAnsi="仿宋" w:eastAsia="仿宋" w:cs="仿宋"/>
          <w:color w:val="auto"/>
          <w:sz w:val="24"/>
          <w:szCs w:val="24"/>
          <w:highlight w:val="none"/>
        </w:rPr>
        <w:t>82.2</w:t>
      </w:r>
      <w:r>
        <w:rPr>
          <w:rFonts w:hint="eastAsia" w:ascii="仿宋" w:hAnsi="仿宋" w:eastAsia="仿宋" w:cs="仿宋"/>
          <w:color w:val="auto"/>
          <w:sz w:val="24"/>
          <w:szCs w:val="24"/>
          <w:highlight w:val="none"/>
        </w:rPr>
        <w:t>款规定递交的竣工结算文件后的</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天内予以核实，并向承包人提出完整的核实意见（包括进一步补充资料和修改结算文件），同时抄报发包人。承包人在收到核实意见后的</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天内按照造价工程师提出的合理要求补充资料，修改竣工结算文件，并再次递交给造价工程师。</w:t>
      </w:r>
      <w:r>
        <w:rPr>
          <w:rFonts w:ascii="仿宋" w:hAnsi="仿宋" w:eastAsia="仿宋" w:cs="Times New Roman"/>
          <w:color w:val="auto"/>
          <w:sz w:val="24"/>
          <w:szCs w:val="24"/>
          <w:highlight w:val="none"/>
        </w:rPr>
        <w:br w:type="textWrapping"/>
      </w:r>
      <w:r>
        <w:rPr>
          <w:rFonts w:hint="eastAsia" w:ascii="仿宋" w:hAnsi="仿宋" w:eastAsia="仿宋" w:cs="仿宋"/>
          <w:color w:val="auto"/>
          <w:sz w:val="24"/>
          <w:szCs w:val="24"/>
          <w:highlight w:val="none"/>
        </w:rPr>
        <w:t>造价工程师在收到竣工结算文件后的</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天内，不核实竣工结算或未提出核实意见的，视为承包人递交的竣工结算已被认可。</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u w:val="single"/>
        </w:rPr>
      </w:pPr>
      <w:r>
        <w:rPr>
          <w:rFonts w:hint="eastAsia" w:ascii="仿宋" w:hAnsi="仿宋" w:eastAsia="仿宋" w:cs="仿宋"/>
          <w:color w:val="auto"/>
          <w:sz w:val="24"/>
          <w:szCs w:val="24"/>
          <w:highlight w:val="none"/>
        </w:rPr>
        <w:t>承包人在收到造价工程师提出的核实意见后的</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天内，不确认也未提出异议的，视为造价工程师提出的核实意见已被认可，竣工结算办理完毕。</w:t>
      </w:r>
    </w:p>
    <w:p>
      <w:pPr>
        <w:pStyle w:val="2"/>
        <w:shd w:val="clear" w:color="000000" w:fill="auto"/>
        <w:adjustRightInd w:val="0"/>
        <w:snapToGrid w:val="0"/>
        <w:spacing w:line="360" w:lineRule="auto"/>
        <w:rPr>
          <w:rFonts w:ascii="仿宋" w:hAnsi="仿宋" w:eastAsia="仿宋" w:cs="Times New Roman"/>
          <w:b/>
          <w:bCs/>
          <w:color w:val="auto"/>
          <w:sz w:val="24"/>
          <w:szCs w:val="24"/>
          <w:highlight w:val="none"/>
          <w:u w:val="single"/>
        </w:rPr>
      </w:pPr>
      <w:r>
        <w:rPr>
          <w:rFonts w:ascii="仿宋" w:hAnsi="仿宋" w:eastAsia="仿宋" w:cs="仿宋"/>
          <w:b/>
          <w:bCs/>
          <w:color w:val="auto"/>
          <w:sz w:val="24"/>
          <w:szCs w:val="24"/>
          <w:highlight w:val="none"/>
        </w:rPr>
        <w:t xml:space="preserve">82.4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u w:val="single"/>
        </w:rPr>
      </w:pPr>
      <w:r>
        <w:rPr>
          <w:color w:val="auto"/>
          <w:highlight w:val="none"/>
        </w:rPr>
        <mc:AlternateContent>
          <mc:Choice Requires="wps">
            <w:drawing>
              <wp:anchor distT="0" distB="0" distL="114300" distR="114300" simplePos="0" relativeHeight="252022784" behindDoc="0" locked="0" layoutInCell="1" allowOverlap="1">
                <wp:simplePos x="0" y="0"/>
                <wp:positionH relativeFrom="column">
                  <wp:posOffset>-114300</wp:posOffset>
                </wp:positionH>
                <wp:positionV relativeFrom="paragraph">
                  <wp:posOffset>15875</wp:posOffset>
                </wp:positionV>
                <wp:extent cx="914400" cy="718185"/>
                <wp:effectExtent l="0" t="0" r="0" b="0"/>
                <wp:wrapNone/>
                <wp:docPr id="356" name="文本框 360"/>
                <wp:cNvGraphicFramePr/>
                <a:graphic xmlns:a="http://schemas.openxmlformats.org/drawingml/2006/main">
                  <a:graphicData uri="http://schemas.microsoft.com/office/word/2010/wordprocessingShape">
                    <wps:wsp>
                      <wps:cNvSpPr txBox="1"/>
                      <wps:spPr>
                        <a:xfrm>
                          <a:off x="0" y="0"/>
                          <a:ext cx="914400" cy="71818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复核再次递交结算文件</w:t>
                            </w:r>
                          </w:p>
                        </w:txbxContent>
                      </wps:txbx>
                      <wps:bodyPr upright="1"/>
                    </wps:wsp>
                  </a:graphicData>
                </a:graphic>
              </wp:anchor>
            </w:drawing>
          </mc:Choice>
          <mc:Fallback>
            <w:pict>
              <v:shape id="文本框 360" o:spid="_x0000_s1026" o:spt="202" type="#_x0000_t202" style="position:absolute;left:0pt;margin-left:-9pt;margin-top:1.25pt;height:56.55pt;width:72pt;z-index:252022784;mso-width-relative:page;mso-height-relative:page;" filled="f" stroked="f" coordsize="21600,21600" o:gfxdata="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QZCALtYA&#10;AAAJAQAADwAAAAAAAAABACAAAAAiAAAAZHJzL2Rvd25yZXYueG1sUEsBAhQAFAAAAAgAh07iQB64&#10;GiyvAQAAUQMAAA4AAAAAAAAAAQAgAAAAJQEAAGRycy9lMm9Eb2MueG1sUEsFBgAAAAAGAAYAWQEA&#10;AEY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复核再次递交结算文件</w:t>
                      </w:r>
                    </w:p>
                  </w:txbxContent>
                </v:textbox>
              </v:shape>
            </w:pict>
          </mc:Fallback>
        </mc:AlternateContent>
      </w:r>
      <w:r>
        <w:rPr>
          <w:rFonts w:hint="eastAsia" w:ascii="仿宋" w:hAnsi="仿宋" w:eastAsia="仿宋" w:cs="仿宋"/>
          <w:color w:val="auto"/>
          <w:sz w:val="24"/>
          <w:szCs w:val="24"/>
          <w:highlight w:val="none"/>
        </w:rPr>
        <w:t>造价工程师应在收到承包人按照第</w:t>
      </w:r>
      <w:r>
        <w:rPr>
          <w:rFonts w:ascii="仿宋" w:hAnsi="仿宋" w:eastAsia="仿宋" w:cs="仿宋"/>
          <w:color w:val="auto"/>
          <w:sz w:val="24"/>
          <w:szCs w:val="24"/>
          <w:highlight w:val="none"/>
        </w:rPr>
        <w:t>82.3</w:t>
      </w:r>
      <w:r>
        <w:rPr>
          <w:rFonts w:hint="eastAsia" w:ascii="仿宋" w:hAnsi="仿宋" w:eastAsia="仿宋" w:cs="仿宋"/>
          <w:color w:val="auto"/>
          <w:sz w:val="24"/>
          <w:szCs w:val="24"/>
          <w:highlight w:val="none"/>
        </w:rPr>
        <w:t>款规定再次递交的竣工结算文件后的</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天内予以复核，并将复核结果通知承包人、抄报发包人。</w:t>
      </w:r>
    </w:p>
    <w:p>
      <w:pPr>
        <w:pStyle w:val="2"/>
        <w:shd w:val="clear" w:color="000000" w:fill="auto"/>
        <w:adjustRightInd w:val="0"/>
        <w:snapToGrid w:val="0"/>
        <w:spacing w:line="360" w:lineRule="auto"/>
        <w:ind w:left="1615"/>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）经复核无误的，除属于第</w:t>
      </w:r>
      <w:r>
        <w:rPr>
          <w:rFonts w:ascii="仿宋" w:hAnsi="仿宋" w:eastAsia="仿宋" w:cs="仿宋"/>
          <w:color w:val="auto"/>
          <w:sz w:val="24"/>
          <w:szCs w:val="24"/>
          <w:highlight w:val="none"/>
        </w:rPr>
        <w:t>86</w:t>
      </w:r>
      <w:r>
        <w:rPr>
          <w:rFonts w:hint="eastAsia" w:ascii="仿宋" w:hAnsi="仿宋" w:eastAsia="仿宋" w:cs="仿宋"/>
          <w:color w:val="auto"/>
          <w:sz w:val="24"/>
          <w:szCs w:val="24"/>
          <w:highlight w:val="none"/>
        </w:rPr>
        <w:t>条规定的争议外，发包人应在</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天内在竣工结算文件上签字确认，竣工结算办理完毕。</w:t>
      </w:r>
    </w:p>
    <w:p>
      <w:pPr>
        <w:pStyle w:val="2"/>
        <w:shd w:val="clear" w:color="000000" w:fill="auto"/>
        <w:adjustRightInd w:val="0"/>
        <w:snapToGrid w:val="0"/>
        <w:spacing w:line="360" w:lineRule="auto"/>
        <w:ind w:left="1615"/>
        <w:rPr>
          <w:rFonts w:ascii="仿宋" w:hAnsi="仿宋" w:eastAsia="仿宋" w:cs="Times New Roman"/>
          <w:color w:val="auto"/>
          <w:sz w:val="24"/>
          <w:szCs w:val="24"/>
          <w:highlight w:val="none"/>
          <w:u w:val="singl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）经复核认为有误的：无误部分按照本款第</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点规定办理不完全竣工结算；有误部分由造价工程师与合同双方当事人协商解决，或按照第</w:t>
      </w:r>
      <w:r>
        <w:rPr>
          <w:rFonts w:ascii="仿宋" w:hAnsi="仿宋" w:eastAsia="仿宋" w:cs="仿宋"/>
          <w:color w:val="auto"/>
          <w:sz w:val="24"/>
          <w:szCs w:val="24"/>
          <w:highlight w:val="none"/>
        </w:rPr>
        <w:t>86</w:t>
      </w:r>
      <w:r>
        <w:rPr>
          <w:rFonts w:hint="eastAsia" w:ascii="仿宋" w:hAnsi="仿宋" w:eastAsia="仿宋" w:cs="仿宋"/>
          <w:color w:val="auto"/>
          <w:sz w:val="24"/>
          <w:szCs w:val="24"/>
          <w:highlight w:val="none"/>
        </w:rPr>
        <w:t>条规定处理。</w:t>
      </w:r>
    </w:p>
    <w:p>
      <w:pPr>
        <w:pStyle w:val="2"/>
        <w:shd w:val="clear" w:color="000000" w:fill="auto"/>
        <w:adjustRightInd w:val="0"/>
        <w:snapToGrid w:val="0"/>
        <w:spacing w:line="360" w:lineRule="auto"/>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82.5</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23808" behindDoc="0" locked="0" layoutInCell="1" allowOverlap="1">
                <wp:simplePos x="0" y="0"/>
                <wp:positionH relativeFrom="column">
                  <wp:posOffset>-114300</wp:posOffset>
                </wp:positionH>
                <wp:positionV relativeFrom="paragraph">
                  <wp:posOffset>5715</wp:posOffset>
                </wp:positionV>
                <wp:extent cx="914400" cy="396240"/>
                <wp:effectExtent l="0" t="0" r="0" b="0"/>
                <wp:wrapNone/>
                <wp:docPr id="357" name="文本框 36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交付工程</w:t>
                            </w:r>
                          </w:p>
                        </w:txbxContent>
                      </wps:txbx>
                      <wps:bodyPr upright="1"/>
                    </wps:wsp>
                  </a:graphicData>
                </a:graphic>
              </wp:anchor>
            </w:drawing>
          </mc:Choice>
          <mc:Fallback>
            <w:pict>
              <v:shape id="文本框 361" o:spid="_x0000_s1026" o:spt="202" type="#_x0000_t202" style="position:absolute;left:0pt;margin-left:-9pt;margin-top:0.45pt;height:31.2pt;width:72pt;z-index:252023808;mso-width-relative:page;mso-height-relative:page;" filled="f" stroked="f" coordsize="21600,21600" o:gfxdata="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GRApqXV&#10;AAAABwEAAA8AAAAAAAAAAQAgAAAAIgAAAGRycy9kb3ducmV2LnhtbFBLAQIUABQAAAAIAIdO4kCZ&#10;3J6SsQEAAFEDAAAOAAAAAAAAAAEAIAAAACQBAABkcnMvZTJvRG9jLnhtbFBLBQYAAAAABgAGAFkB&#10;AABH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交付工程</w:t>
                      </w:r>
                    </w:p>
                  </w:txbxContent>
                </v:textbox>
              </v:shape>
            </w:pict>
          </mc:Fallback>
        </mc:AlternateContent>
      </w:r>
      <w:r>
        <w:rPr>
          <w:rFonts w:hint="eastAsia" w:ascii="仿宋" w:hAnsi="仿宋" w:eastAsia="仿宋" w:cs="仿宋"/>
          <w:color w:val="auto"/>
          <w:sz w:val="24"/>
          <w:szCs w:val="24"/>
          <w:highlight w:val="none"/>
        </w:rPr>
        <w:t>发包人应在已核实无误的竣工结算文件上签名确认，拒不签认的，承包人可不交付竣工工程。</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承包人未及时递交竣工结算文件的，发包人要求交付竣工工程，承包人应当交付；发包人不要求交付竣工工程，承包人承担照管永久工程责任。</w:t>
      </w:r>
    </w:p>
    <w:p>
      <w:pPr>
        <w:pStyle w:val="2"/>
        <w:shd w:val="clear" w:color="000000" w:fill="auto"/>
        <w:adjustRightInd w:val="0"/>
        <w:snapToGrid w:val="0"/>
        <w:spacing w:line="240" w:lineRule="exact"/>
        <w:rPr>
          <w:rFonts w:ascii="仿宋" w:hAnsi="仿宋" w:eastAsia="仿宋" w:cs="Times New Roman"/>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
        <w:shd w:val="clear" w:color="000000" w:fill="auto"/>
        <w:tabs>
          <w:tab w:val="left" w:pos="540"/>
        </w:tabs>
        <w:adjustRightInd w:val="0"/>
        <w:snapToGrid w:val="0"/>
        <w:spacing w:before="240" w:beforeLines="100" w:line="360" w:lineRule="auto"/>
        <w:outlineLvl w:val="2"/>
        <w:rPr>
          <w:rFonts w:ascii="仿宋" w:hAnsi="仿宋" w:eastAsia="仿宋" w:cs="Times New Roman"/>
          <w:b/>
          <w:bCs/>
          <w:color w:val="auto"/>
          <w:sz w:val="24"/>
          <w:szCs w:val="24"/>
          <w:highlight w:val="none"/>
        </w:rPr>
      </w:pPr>
      <w:bookmarkStart w:id="378" w:name="_Toc469384067"/>
      <w:bookmarkStart w:id="379" w:name="_Toc2170"/>
      <w:bookmarkStart w:id="380" w:name="_Toc10624907"/>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83  </w:t>
      </w:r>
      <w:r>
        <w:rPr>
          <w:rFonts w:hint="eastAsia" w:ascii="仿宋" w:hAnsi="仿宋" w:eastAsia="仿宋" w:cs="仿宋"/>
          <w:b/>
          <w:bCs/>
          <w:color w:val="auto"/>
          <w:sz w:val="24"/>
          <w:szCs w:val="24"/>
          <w:highlight w:val="none"/>
        </w:rPr>
        <w:t>结算款</w:t>
      </w:r>
      <w:bookmarkEnd w:id="378"/>
      <w:bookmarkEnd w:id="379"/>
      <w:bookmarkEnd w:id="380"/>
    </w:p>
    <w:p>
      <w:pPr>
        <w:pStyle w:val="2"/>
        <w:shd w:val="clear" w:color="000000" w:fill="auto"/>
        <w:adjustRightInd w:val="0"/>
        <w:snapToGrid w:val="0"/>
        <w:spacing w:line="360" w:lineRule="auto"/>
        <w:rPr>
          <w:rFonts w:ascii="仿宋" w:hAnsi="仿宋" w:eastAsia="仿宋" w:cs="仿宋"/>
          <w:color w:val="auto"/>
          <w:sz w:val="24"/>
          <w:szCs w:val="24"/>
          <w:highlight w:val="none"/>
        </w:rPr>
      </w:pPr>
      <w:r>
        <w:rPr>
          <w:rFonts w:ascii="仿宋" w:hAnsi="仿宋" w:eastAsia="仿宋" w:cs="仿宋"/>
          <w:b/>
          <w:bCs/>
          <w:color w:val="auto"/>
          <w:sz w:val="24"/>
          <w:szCs w:val="24"/>
          <w:highlight w:val="none"/>
        </w:rPr>
        <w:t xml:space="preserve">83.1 </w:t>
      </w:r>
      <w:r>
        <w:rPr>
          <w:rFonts w:ascii="仿宋" w:hAnsi="仿宋" w:eastAsia="仿宋" w:cs="仿宋"/>
          <w:color w:val="auto"/>
          <w:sz w:val="24"/>
          <w:szCs w:val="24"/>
          <w:highlight w:val="none"/>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24832" behindDoc="0" locked="0" layoutInCell="1" allowOverlap="1">
                <wp:simplePos x="0" y="0"/>
                <wp:positionH relativeFrom="column">
                  <wp:posOffset>-114300</wp:posOffset>
                </wp:positionH>
                <wp:positionV relativeFrom="paragraph">
                  <wp:posOffset>36195</wp:posOffset>
                </wp:positionV>
                <wp:extent cx="914400" cy="459105"/>
                <wp:effectExtent l="0" t="0" r="0" b="0"/>
                <wp:wrapNone/>
                <wp:docPr id="358" name="文本框 362"/>
                <wp:cNvGraphicFramePr/>
                <a:graphic xmlns:a="http://schemas.openxmlformats.org/drawingml/2006/main">
                  <a:graphicData uri="http://schemas.microsoft.com/office/word/2010/wordprocessingShape">
                    <wps:wsp>
                      <wps:cNvSpPr txBox="1"/>
                      <wps:spPr>
                        <a:xfrm>
                          <a:off x="0" y="0"/>
                          <a:ext cx="914400" cy="45910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提交竣工支付申请</w:t>
                            </w:r>
                          </w:p>
                        </w:txbxContent>
                      </wps:txbx>
                      <wps:bodyPr upright="1"/>
                    </wps:wsp>
                  </a:graphicData>
                </a:graphic>
              </wp:anchor>
            </w:drawing>
          </mc:Choice>
          <mc:Fallback>
            <w:pict>
              <v:shape id="文本框 362" o:spid="_x0000_s1026" o:spt="202" type="#_x0000_t202" style="position:absolute;left:0pt;margin-left:-9pt;margin-top:2.85pt;height:36.15pt;width:72pt;z-index:252024832;mso-width-relative:page;mso-height-relative:page;" filled="f" stroked="f" coordsize="21600,21600" o:gfxdata="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Eyr9J9UA&#10;AAAIAQAADwAAAAAAAAABACAAAAAiAAAAZHJzL2Rvd25yZXYueG1sUEsBAhQAFAAAAAgAh07iQE3E&#10;8hmwAQAAUQMAAA4AAAAAAAAAAQAgAAAAJAEAAGRycy9lMm9Eb2MueG1sUEsFBgAAAAAGAAYAWQEA&#10;AEY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提交竣工支付申请</w:t>
                      </w:r>
                    </w:p>
                  </w:txbxContent>
                </v:textbox>
              </v:shape>
            </w:pict>
          </mc:Fallback>
        </mc:AlternateContent>
      </w:r>
      <w:r>
        <w:rPr>
          <w:rFonts w:hint="eastAsia" w:ascii="仿宋" w:hAnsi="仿宋" w:eastAsia="仿宋" w:cs="仿宋"/>
          <w:color w:val="auto"/>
          <w:sz w:val="24"/>
          <w:szCs w:val="24"/>
          <w:highlight w:val="none"/>
        </w:rPr>
        <w:t>合同双方当事人应在专用条款中明确结算款的支付时限。专用条款没有约定的，结算款支付按照第</w:t>
      </w:r>
      <w:r>
        <w:rPr>
          <w:rFonts w:ascii="仿宋" w:hAnsi="仿宋" w:eastAsia="仿宋" w:cs="仿宋"/>
          <w:color w:val="auto"/>
          <w:sz w:val="24"/>
          <w:szCs w:val="24"/>
          <w:highlight w:val="none"/>
        </w:rPr>
        <w:t>83.2</w:t>
      </w:r>
      <w:r>
        <w:rPr>
          <w:rFonts w:hint="eastAsia" w:ascii="仿宋" w:hAnsi="仿宋" w:eastAsia="仿宋" w:cs="仿宋"/>
          <w:color w:val="auto"/>
          <w:sz w:val="24"/>
          <w:szCs w:val="24"/>
          <w:highlight w:val="none"/>
        </w:rPr>
        <w:t>款至第</w:t>
      </w:r>
      <w:r>
        <w:rPr>
          <w:rFonts w:ascii="仿宋" w:hAnsi="仿宋" w:eastAsia="仿宋" w:cs="仿宋"/>
          <w:color w:val="auto"/>
          <w:sz w:val="24"/>
          <w:szCs w:val="24"/>
          <w:highlight w:val="none"/>
        </w:rPr>
        <w:t>83.5</w:t>
      </w:r>
      <w:r>
        <w:rPr>
          <w:rFonts w:hint="eastAsia" w:ascii="仿宋" w:hAnsi="仿宋" w:eastAsia="仿宋" w:cs="仿宋"/>
          <w:color w:val="auto"/>
          <w:sz w:val="24"/>
          <w:szCs w:val="24"/>
          <w:highlight w:val="none"/>
        </w:rPr>
        <w:t>款规定办理。涉及政府投资资金的工程</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支付期、支付方法等需调整的，应在专用条款中约定。</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承包人应按照第</w:t>
      </w:r>
      <w:r>
        <w:rPr>
          <w:rFonts w:ascii="仿宋" w:hAnsi="仿宋" w:eastAsia="仿宋" w:cs="仿宋"/>
          <w:color w:val="auto"/>
          <w:sz w:val="24"/>
          <w:szCs w:val="24"/>
          <w:highlight w:val="none"/>
        </w:rPr>
        <w:t>82.2</w:t>
      </w:r>
      <w:r>
        <w:rPr>
          <w:rFonts w:hint="eastAsia" w:ascii="仿宋" w:hAnsi="仿宋" w:eastAsia="仿宋" w:cs="仿宋"/>
          <w:color w:val="auto"/>
          <w:sz w:val="24"/>
          <w:szCs w:val="24"/>
          <w:highlight w:val="none"/>
        </w:rPr>
        <w:t>款规定在向造价工程师递交竣工结算文件时，根据国家、省规定的格式向造价工程师递交由承包人代表签认的竣工结算支付申请和竣工结算款额报告一式四份，并附上完整的结算资料，详细列出下列内容，同时抄送发包人、监理工程师各一份。</w:t>
      </w:r>
    </w:p>
    <w:p>
      <w:pPr>
        <w:pStyle w:val="2"/>
        <w:shd w:val="clear" w:color="000000" w:fill="auto"/>
        <w:tabs>
          <w:tab w:val="left" w:pos="2641"/>
        </w:tabs>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）根据合同完成全部或所有工程的总造价；</w:t>
      </w:r>
    </w:p>
    <w:p>
      <w:pPr>
        <w:pStyle w:val="2"/>
        <w:shd w:val="clear" w:color="000000" w:fill="auto"/>
        <w:tabs>
          <w:tab w:val="left" w:pos="2641"/>
        </w:tabs>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）根据合同约定发包人应付的所有款项。</w:t>
      </w:r>
    </w:p>
    <w:p>
      <w:pPr>
        <w:pStyle w:val="2"/>
        <w:shd w:val="clear" w:color="000000" w:fill="auto"/>
        <w:tabs>
          <w:tab w:val="left" w:pos="2641"/>
        </w:tabs>
        <w:adjustRightInd w:val="0"/>
        <w:snapToGrid w:val="0"/>
        <w:spacing w:line="360" w:lineRule="auto"/>
        <w:rPr>
          <w:rFonts w:ascii="仿宋" w:hAnsi="仿宋" w:eastAsia="仿宋" w:cs="Times New Roman"/>
          <w:b/>
          <w:bCs/>
          <w:color w:val="auto"/>
          <w:sz w:val="24"/>
          <w:szCs w:val="24"/>
          <w:highlight w:val="none"/>
          <w:u w:val="single"/>
        </w:rPr>
      </w:pPr>
      <w:r>
        <w:rPr>
          <w:rFonts w:ascii="仿宋" w:hAnsi="仿宋" w:eastAsia="仿宋" w:cs="仿宋"/>
          <w:b/>
          <w:bCs/>
          <w:color w:val="auto"/>
          <w:sz w:val="24"/>
          <w:szCs w:val="24"/>
          <w:highlight w:val="none"/>
        </w:rPr>
        <w:t xml:space="preserve">83.2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u w:val="single"/>
        </w:rPr>
      </w:pPr>
      <w:r>
        <w:rPr>
          <w:color w:val="auto"/>
          <w:highlight w:val="none"/>
        </w:rPr>
        <mc:AlternateContent>
          <mc:Choice Requires="wps">
            <w:drawing>
              <wp:anchor distT="0" distB="0" distL="114300" distR="114300" simplePos="0" relativeHeight="252025856" behindDoc="0" locked="0" layoutInCell="1" allowOverlap="1">
                <wp:simplePos x="0" y="0"/>
                <wp:positionH relativeFrom="column">
                  <wp:posOffset>-114300</wp:posOffset>
                </wp:positionH>
                <wp:positionV relativeFrom="paragraph">
                  <wp:posOffset>15875</wp:posOffset>
                </wp:positionV>
                <wp:extent cx="914400" cy="718185"/>
                <wp:effectExtent l="0" t="0" r="0" b="0"/>
                <wp:wrapNone/>
                <wp:docPr id="359" name="文本框 363"/>
                <wp:cNvGraphicFramePr/>
                <a:graphic xmlns:a="http://schemas.openxmlformats.org/drawingml/2006/main">
                  <a:graphicData uri="http://schemas.microsoft.com/office/word/2010/wordprocessingShape">
                    <wps:wsp>
                      <wps:cNvSpPr txBox="1"/>
                      <wps:spPr>
                        <a:xfrm>
                          <a:off x="0" y="0"/>
                          <a:ext cx="914400" cy="71818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签发竣工结算支付证书</w:t>
                            </w:r>
                          </w:p>
                        </w:txbxContent>
                      </wps:txbx>
                      <wps:bodyPr upright="1"/>
                    </wps:wsp>
                  </a:graphicData>
                </a:graphic>
              </wp:anchor>
            </w:drawing>
          </mc:Choice>
          <mc:Fallback>
            <w:pict>
              <v:shape id="文本框 363" o:spid="_x0000_s1026" o:spt="202" type="#_x0000_t202" style="position:absolute;left:0pt;margin-left:-9pt;margin-top:1.25pt;height:56.55pt;width:72pt;z-index:252025856;mso-width-relative:page;mso-height-relative:page;" filled="f" stroked="f" coordsize="21600,21600" o:gfxdata="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EGQgC7W&#10;AAAACQEAAA8AAAAAAAAAAQAgAAAAIgAAAGRycy9kb3ducmV2LnhtbFBLAQIUABQAAAAIAIdO4kBg&#10;PyuzsAEAAFEDAAAOAAAAAAAAAAEAIAAAACUBAABkcnMvZTJvRG9jLnhtbFBLBQYAAAAABgAGAFkB&#10;AABH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签发竣工结算支付证书</w:t>
                      </w:r>
                    </w:p>
                  </w:txbxContent>
                </v:textbox>
              </v:shape>
            </w:pict>
          </mc:Fallback>
        </mc:AlternateContent>
      </w:r>
      <w:r>
        <w:rPr>
          <w:rFonts w:hint="eastAsia" w:ascii="仿宋" w:hAnsi="仿宋" w:eastAsia="仿宋" w:cs="仿宋"/>
          <w:color w:val="auto"/>
          <w:sz w:val="24"/>
          <w:szCs w:val="24"/>
          <w:highlight w:val="none"/>
        </w:rPr>
        <w:t>造价工程师在收到上述资料后，应按照第</w:t>
      </w:r>
      <w:r>
        <w:rPr>
          <w:rFonts w:ascii="仿宋" w:hAnsi="仿宋" w:eastAsia="仿宋" w:cs="仿宋"/>
          <w:color w:val="auto"/>
          <w:sz w:val="24"/>
          <w:szCs w:val="24"/>
          <w:highlight w:val="none"/>
        </w:rPr>
        <w:t>82.3</w:t>
      </w:r>
      <w:r>
        <w:rPr>
          <w:rFonts w:hint="eastAsia" w:ascii="仿宋" w:hAnsi="仿宋" w:eastAsia="仿宋" w:cs="仿宋"/>
          <w:color w:val="auto"/>
          <w:sz w:val="24"/>
          <w:szCs w:val="24"/>
          <w:highlight w:val="none"/>
        </w:rPr>
        <w:t>款、第</w:t>
      </w:r>
      <w:r>
        <w:rPr>
          <w:rFonts w:ascii="仿宋" w:hAnsi="仿宋" w:eastAsia="仿宋" w:cs="仿宋"/>
          <w:color w:val="auto"/>
          <w:sz w:val="24"/>
          <w:szCs w:val="24"/>
          <w:highlight w:val="none"/>
        </w:rPr>
        <w:t>82.4</w:t>
      </w:r>
      <w:r>
        <w:rPr>
          <w:rFonts w:hint="eastAsia" w:ascii="仿宋" w:hAnsi="仿宋" w:eastAsia="仿宋" w:cs="仿宋"/>
          <w:color w:val="auto"/>
          <w:sz w:val="24"/>
          <w:szCs w:val="24"/>
          <w:highlight w:val="none"/>
        </w:rPr>
        <w:t>款规定核实竣工结算文件，并在发包人签字确认竣工结算文件后的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天内，向发包人签发竣工结算支付证书，同时抄送承包人。</w:t>
      </w:r>
    </w:p>
    <w:p>
      <w:pPr>
        <w:pStyle w:val="2"/>
        <w:shd w:val="clear" w:color="000000" w:fill="auto"/>
        <w:adjustRightInd w:val="0"/>
        <w:snapToGrid w:val="0"/>
        <w:spacing w:line="360" w:lineRule="auto"/>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83.3</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26880" behindDoc="0" locked="0" layoutInCell="1" allowOverlap="1">
                <wp:simplePos x="0" y="0"/>
                <wp:positionH relativeFrom="column">
                  <wp:posOffset>-114300</wp:posOffset>
                </wp:positionH>
                <wp:positionV relativeFrom="paragraph">
                  <wp:posOffset>5715</wp:posOffset>
                </wp:positionV>
                <wp:extent cx="914400" cy="396240"/>
                <wp:effectExtent l="0" t="0" r="0" b="0"/>
                <wp:wrapNone/>
                <wp:docPr id="360" name="文本框 36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竣工结算款支付</w:t>
                            </w:r>
                          </w:p>
                        </w:txbxContent>
                      </wps:txbx>
                      <wps:bodyPr upright="1"/>
                    </wps:wsp>
                  </a:graphicData>
                </a:graphic>
              </wp:anchor>
            </w:drawing>
          </mc:Choice>
          <mc:Fallback>
            <w:pict>
              <v:shape id="文本框 364" o:spid="_x0000_s1026" o:spt="202" type="#_x0000_t202" style="position:absolute;left:0pt;margin-left:-9pt;margin-top:0.45pt;height:31.2pt;width:72pt;z-index:252026880;mso-width-relative:page;mso-height-relative:page;" filled="f" stroked="f" coordsize="21600,21600" o:gfxdata="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ECmpdUA&#10;AAAHAQAADwAAAAAAAAABACAAAAAiAAAAZHJzL2Rvd25yZXYueG1sUEsBAhQAFAAAAAgAh07iQDYW&#10;l+GwAQAAUQMAAA4AAAAAAAAAAQAgAAAAJAEAAGRycy9lMm9Eb2MueG1sUEsFBgAAAAAGAAYAWQEA&#10;AEY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竣工结算款支付</w:t>
                      </w:r>
                    </w:p>
                  </w:txbxContent>
                </v:textbox>
              </v:shape>
            </w:pict>
          </mc:Fallback>
        </mc:AlternateContent>
      </w:r>
      <w:r>
        <w:rPr>
          <w:rFonts w:hint="eastAsia" w:ascii="仿宋" w:hAnsi="仿宋" w:eastAsia="仿宋" w:cs="仿宋"/>
          <w:color w:val="auto"/>
          <w:sz w:val="24"/>
          <w:szCs w:val="24"/>
          <w:highlight w:val="none"/>
        </w:rPr>
        <w:t>发包人应在造价工程师签发竣工结算支付证书后的</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天内，按照竣工结算支付证书列明的金额向承包人支付结算款，并通知造价工程师。</w:t>
      </w:r>
    </w:p>
    <w:p>
      <w:pPr>
        <w:pStyle w:val="2"/>
        <w:shd w:val="clear" w:color="000000" w:fill="auto"/>
        <w:tabs>
          <w:tab w:val="left" w:pos="1320"/>
        </w:tabs>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83.4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78" w:leftChars="799" w:firstLine="2"/>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27904" behindDoc="0" locked="0" layoutInCell="1" allowOverlap="1">
                <wp:simplePos x="0" y="0"/>
                <wp:positionH relativeFrom="column">
                  <wp:posOffset>-66675</wp:posOffset>
                </wp:positionH>
                <wp:positionV relativeFrom="paragraph">
                  <wp:posOffset>12065</wp:posOffset>
                </wp:positionV>
                <wp:extent cx="1047750" cy="829310"/>
                <wp:effectExtent l="0" t="0" r="0" b="0"/>
                <wp:wrapNone/>
                <wp:docPr id="361" name="文本框 365"/>
                <wp:cNvGraphicFramePr/>
                <a:graphic xmlns:a="http://schemas.openxmlformats.org/drawingml/2006/main">
                  <a:graphicData uri="http://schemas.microsoft.com/office/word/2010/wordprocessingShape">
                    <wps:wsp>
                      <wps:cNvSpPr txBox="1"/>
                      <wps:spPr>
                        <a:xfrm>
                          <a:off x="0" y="0"/>
                          <a:ext cx="1047750" cy="82931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签发竣工结算</w:t>
                            </w:r>
                          </w:p>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支付证书的限</w:t>
                            </w:r>
                          </w:p>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制</w:t>
                            </w:r>
                          </w:p>
                        </w:txbxContent>
                      </wps:txbx>
                      <wps:bodyPr upright="1"/>
                    </wps:wsp>
                  </a:graphicData>
                </a:graphic>
              </wp:anchor>
            </w:drawing>
          </mc:Choice>
          <mc:Fallback>
            <w:pict>
              <v:shape id="文本框 365" o:spid="_x0000_s1026" o:spt="202" type="#_x0000_t202" style="position:absolute;left:0pt;margin-left:-5.25pt;margin-top:0.95pt;height:65.3pt;width:82.5pt;z-index:252027904;mso-width-relative:page;mso-height-relative:page;" filled="f" stroked="f" coordsize="21600,21600" o:gfxdata="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PTQap3V&#10;AAAACQEAAA8AAAAAAAAAAQAgAAAAIgAAAGRycy9kb3ducmV2LnhtbFBLAQIUABQAAAAIAIdO4kDH&#10;ZMdksQEAAFIDAAAOAAAAAAAAAAEAIAAAACQBAABkcnMvZTJvRG9jLnhtbFBLBQYAAAAABgAGAFkB&#10;AABH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签发竣工结算</w:t>
                      </w:r>
                    </w:p>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支付证书的限</w:t>
                      </w:r>
                    </w:p>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制</w:t>
                      </w:r>
                    </w:p>
                  </w:txbxContent>
                </v:textbox>
              </v:shape>
            </w:pict>
          </mc:Fallback>
        </mc:AlternateContent>
      </w:r>
      <w:r>
        <w:rPr>
          <w:rFonts w:hint="eastAsia" w:ascii="仿宋" w:hAnsi="仿宋" w:eastAsia="仿宋" w:cs="仿宋"/>
          <w:color w:val="auto"/>
          <w:sz w:val="24"/>
          <w:szCs w:val="24"/>
          <w:highlight w:val="none"/>
        </w:rPr>
        <w:t>如果造价工程师未在第</w:t>
      </w:r>
      <w:r>
        <w:rPr>
          <w:rFonts w:ascii="仿宋" w:hAnsi="仿宋" w:eastAsia="仿宋" w:cs="仿宋"/>
          <w:color w:val="auto"/>
          <w:sz w:val="24"/>
          <w:szCs w:val="24"/>
          <w:highlight w:val="none"/>
        </w:rPr>
        <w:t>83.2</w:t>
      </w:r>
      <w:r>
        <w:rPr>
          <w:rFonts w:hint="eastAsia" w:ascii="仿宋" w:hAnsi="仿宋" w:eastAsia="仿宋" w:cs="仿宋"/>
          <w:color w:val="auto"/>
          <w:sz w:val="24"/>
          <w:szCs w:val="24"/>
          <w:highlight w:val="none"/>
        </w:rPr>
        <w:t>款规定的期限内签发竣工结算支付证书的，则视为承包人提交的竣工支付申请已被认可，承包人应及时向发包人发出要求支付竣工结算款的通知。发包人应在收到通知后的</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天内，按照承包人支付申请列明的金额向承包人支付竣工结算款。</w:t>
      </w:r>
    </w:p>
    <w:p>
      <w:pPr>
        <w:pStyle w:val="2"/>
        <w:shd w:val="clear" w:color="000000" w:fill="auto"/>
        <w:adjustRightInd w:val="0"/>
        <w:snapToGrid w:val="0"/>
        <w:spacing w:line="48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83.5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80" w:leftChars="800"/>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28928" behindDoc="0" locked="0" layoutInCell="1" allowOverlap="1">
                <wp:simplePos x="0" y="0"/>
                <wp:positionH relativeFrom="column">
                  <wp:posOffset>-114300</wp:posOffset>
                </wp:positionH>
                <wp:positionV relativeFrom="paragraph">
                  <wp:posOffset>58420</wp:posOffset>
                </wp:positionV>
                <wp:extent cx="914400" cy="407670"/>
                <wp:effectExtent l="0" t="0" r="0" b="0"/>
                <wp:wrapNone/>
                <wp:docPr id="362" name="文本框 366"/>
                <wp:cNvGraphicFramePr/>
                <a:graphic xmlns:a="http://schemas.openxmlformats.org/drawingml/2006/main">
                  <a:graphicData uri="http://schemas.microsoft.com/office/word/2010/wordprocessingShape">
                    <wps:wsp>
                      <wps:cNvSpPr txBox="1"/>
                      <wps:spPr>
                        <a:xfrm>
                          <a:off x="0" y="0"/>
                          <a:ext cx="914400" cy="40767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竣工结算款支付的限制</w:t>
                            </w:r>
                          </w:p>
                        </w:txbxContent>
                      </wps:txbx>
                      <wps:bodyPr upright="1"/>
                    </wps:wsp>
                  </a:graphicData>
                </a:graphic>
              </wp:anchor>
            </w:drawing>
          </mc:Choice>
          <mc:Fallback>
            <w:pict>
              <v:shape id="文本框 366" o:spid="_x0000_s1026" o:spt="202" type="#_x0000_t202" style="position:absolute;left:0pt;margin-left:-9pt;margin-top:4.6pt;height:32.1pt;width:72pt;z-index:252028928;mso-width-relative:page;mso-height-relative:page;" filled="f" stroked="f" coordsize="21600,21600" o:gfxdata="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ErLMuPW&#10;AAAACAEAAA8AAAAAAAAAAQAgAAAAIgAAAGRycy9kb3ducmV2LnhtbFBLAQIUABQAAAAIAIdO4kDD&#10;44KUsAEAAFEDAAAOAAAAAAAAAAEAIAAAACUBAABkcnMvZTJvRG9jLnhtbFBLBQYAAAAABgAGAFkB&#10;AABH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竣工结算款支付的限制</w:t>
                      </w:r>
                    </w:p>
                  </w:txbxContent>
                </v:textbox>
              </v:shape>
            </w:pict>
          </mc:Fallback>
        </mc:AlternateContent>
      </w:r>
      <w:r>
        <w:rPr>
          <w:rFonts w:hint="eastAsia" w:ascii="仿宋" w:hAnsi="仿宋" w:eastAsia="仿宋" w:cs="仿宋"/>
          <w:color w:val="auto"/>
          <w:sz w:val="24"/>
          <w:szCs w:val="24"/>
          <w:highlight w:val="none"/>
        </w:rPr>
        <w:t>发包人未按照第</w:t>
      </w:r>
      <w:r>
        <w:rPr>
          <w:rFonts w:ascii="仿宋" w:hAnsi="仿宋" w:eastAsia="仿宋" w:cs="仿宋"/>
          <w:color w:val="auto"/>
          <w:sz w:val="24"/>
          <w:szCs w:val="24"/>
          <w:highlight w:val="none"/>
        </w:rPr>
        <w:t>83.3</w:t>
      </w:r>
      <w:r>
        <w:rPr>
          <w:rFonts w:hint="eastAsia" w:ascii="仿宋" w:hAnsi="仿宋" w:eastAsia="仿宋" w:cs="仿宋"/>
          <w:color w:val="auto"/>
          <w:sz w:val="24"/>
          <w:szCs w:val="24"/>
          <w:highlight w:val="none"/>
        </w:rPr>
        <w:t>款和第</w:t>
      </w:r>
      <w:r>
        <w:rPr>
          <w:rFonts w:ascii="仿宋" w:hAnsi="仿宋" w:eastAsia="仿宋" w:cs="仿宋"/>
          <w:color w:val="auto"/>
          <w:sz w:val="24"/>
          <w:szCs w:val="24"/>
          <w:highlight w:val="none"/>
        </w:rPr>
        <w:t>83.4</w:t>
      </w:r>
      <w:r>
        <w:rPr>
          <w:rFonts w:hint="eastAsia" w:ascii="仿宋" w:hAnsi="仿宋" w:eastAsia="仿宋" w:cs="仿宋"/>
          <w:color w:val="auto"/>
          <w:sz w:val="24"/>
          <w:szCs w:val="24"/>
          <w:highlight w:val="none"/>
        </w:rPr>
        <w:t>款规定支付竣工结算款的，承包人可催告发包人支付竣工结算款，如双方达成延期支付协议，承包人有权按照第</w:t>
      </w:r>
      <w:r>
        <w:rPr>
          <w:rFonts w:ascii="仿宋" w:hAnsi="仿宋" w:eastAsia="仿宋" w:cs="仿宋"/>
          <w:color w:val="auto"/>
          <w:sz w:val="24"/>
          <w:szCs w:val="24"/>
          <w:highlight w:val="none"/>
        </w:rPr>
        <w:t>78.2</w:t>
      </w:r>
      <w:r>
        <w:rPr>
          <w:rFonts w:hint="eastAsia" w:ascii="仿宋" w:hAnsi="仿宋" w:eastAsia="仿宋" w:cs="仿宋"/>
          <w:color w:val="auto"/>
          <w:sz w:val="24"/>
          <w:szCs w:val="24"/>
          <w:highlight w:val="none"/>
        </w:rPr>
        <w:t>款规定获得延期支付的利息。</w:t>
      </w:r>
    </w:p>
    <w:p>
      <w:pPr>
        <w:pStyle w:val="2"/>
        <w:shd w:val="clear" w:color="000000" w:fill="auto"/>
        <w:adjustRightInd w:val="0"/>
        <w:snapToGrid w:val="0"/>
        <w:spacing w:line="360" w:lineRule="auto"/>
        <w:ind w:left="1680" w:leftChars="80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发包人在收到竣工结算支付证书后的</w:t>
      </w:r>
      <w:r>
        <w:rPr>
          <w:rFonts w:ascii="仿宋" w:hAnsi="仿宋" w:eastAsia="仿宋" w:cs="仿宋"/>
          <w:color w:val="auto"/>
          <w:sz w:val="24"/>
          <w:szCs w:val="24"/>
          <w:highlight w:val="none"/>
        </w:rPr>
        <w:t>56</w:t>
      </w:r>
      <w:r>
        <w:rPr>
          <w:rFonts w:hint="eastAsia" w:ascii="仿宋" w:hAnsi="仿宋" w:eastAsia="仿宋" w:cs="仿宋"/>
          <w:color w:val="auto"/>
          <w:sz w:val="24"/>
          <w:szCs w:val="24"/>
          <w:highlight w:val="none"/>
        </w:rPr>
        <w:t>天内仍未支付竣工结算款，合同双方当事人又未达成延期支付协议的，除法律另有规定外，承包人可与发包人协商将该永久工程折价，也可直接向人民法院申请将该永久工程依法拍卖。承包人就该永久工程折价或拍卖的价款优先受偿。</w:t>
      </w:r>
    </w:p>
    <w:p>
      <w:pPr>
        <w:pStyle w:val="2"/>
        <w:shd w:val="clear" w:color="000000" w:fill="auto"/>
        <w:adjustRightInd w:val="0"/>
        <w:snapToGrid w:val="0"/>
        <w:spacing w:line="360" w:lineRule="auto"/>
        <w:rPr>
          <w:rFonts w:ascii="仿宋" w:hAnsi="仿宋" w:eastAsia="仿宋" w:cs="Times New Roman"/>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shd w:val="clear" w:color="000000" w:fill="auto"/>
        <w:tabs>
          <w:tab w:val="left" w:pos="1620"/>
        </w:tabs>
        <w:spacing w:before="100" w:line="360" w:lineRule="auto"/>
        <w:rPr>
          <w:rFonts w:ascii="仿宋" w:hAnsi="仿宋" w:eastAsia="仿宋" w:cs="Times New Roman"/>
          <w:b/>
          <w:bCs/>
          <w:color w:val="auto"/>
          <w:sz w:val="24"/>
          <w:szCs w:val="24"/>
          <w:highlight w:val="none"/>
        </w:rPr>
      </w:pPr>
    </w:p>
    <w:p>
      <w:pPr>
        <w:pStyle w:val="2"/>
        <w:shd w:val="clear" w:color="000000" w:fill="auto"/>
        <w:tabs>
          <w:tab w:val="left" w:pos="540"/>
        </w:tabs>
        <w:adjustRightInd w:val="0"/>
        <w:snapToGrid w:val="0"/>
        <w:spacing w:before="240" w:beforeLines="100" w:line="360" w:lineRule="auto"/>
        <w:outlineLvl w:val="2"/>
        <w:rPr>
          <w:rFonts w:ascii="仿宋" w:hAnsi="仿宋" w:eastAsia="仿宋" w:cs="Times New Roman"/>
          <w:b/>
          <w:bCs/>
          <w:color w:val="auto"/>
          <w:sz w:val="24"/>
          <w:szCs w:val="24"/>
          <w:highlight w:val="none"/>
        </w:rPr>
      </w:pPr>
      <w:bookmarkStart w:id="381" w:name="_Toc10624908"/>
      <w:bookmarkStart w:id="382" w:name="_Toc16168"/>
      <w:bookmarkStart w:id="383" w:name="_Toc469384068"/>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84  </w:t>
      </w:r>
      <w:r>
        <w:rPr>
          <w:rFonts w:hint="eastAsia" w:ascii="仿宋" w:hAnsi="仿宋" w:eastAsia="仿宋" w:cs="仿宋"/>
          <w:b/>
          <w:bCs/>
          <w:color w:val="auto"/>
          <w:sz w:val="24"/>
          <w:szCs w:val="24"/>
          <w:highlight w:val="none"/>
        </w:rPr>
        <w:t>质量保证金</w:t>
      </w:r>
      <w:bookmarkEnd w:id="381"/>
      <w:bookmarkEnd w:id="382"/>
      <w:bookmarkEnd w:id="383"/>
    </w:p>
    <w:p>
      <w:pPr>
        <w:pStyle w:val="2"/>
        <w:shd w:val="clear" w:color="000000" w:fill="auto"/>
        <w:adjustRightInd w:val="0"/>
        <w:snapToGrid w:val="0"/>
        <w:spacing w:line="360" w:lineRule="auto"/>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84.1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29952" behindDoc="0" locked="0" layoutInCell="1" allowOverlap="1">
                <wp:simplePos x="0" y="0"/>
                <wp:positionH relativeFrom="column">
                  <wp:posOffset>-114300</wp:posOffset>
                </wp:positionH>
                <wp:positionV relativeFrom="paragraph">
                  <wp:posOffset>8255</wp:posOffset>
                </wp:positionV>
                <wp:extent cx="914400" cy="396240"/>
                <wp:effectExtent l="0" t="0" r="0" b="0"/>
                <wp:wrapNone/>
                <wp:docPr id="363" name="文本框 367"/>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质量保证金的用途和限制</w:t>
                            </w:r>
                          </w:p>
                        </w:txbxContent>
                      </wps:txbx>
                      <wps:bodyPr upright="1"/>
                    </wps:wsp>
                  </a:graphicData>
                </a:graphic>
              </wp:anchor>
            </w:drawing>
          </mc:Choice>
          <mc:Fallback>
            <w:pict>
              <v:shape id="文本框 367" o:spid="_x0000_s1026" o:spt="202" type="#_x0000_t202" style="position:absolute;left:0pt;margin-left:-9pt;margin-top:0.65pt;height:31.2pt;width:72pt;z-index:252029952;mso-width-relative:page;mso-height-relative:page;" filled="f" stroked="f" coordsize="21600,21600" o:gfxdata="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lrdoltUA&#10;AAAIAQAADwAAAAAAAAABACAAAAAiAAAAZHJzL2Rvd25yZXYueG1sUEsBAhQAFAAAAAgAh07iQBIb&#10;ZcKwAQAAUQMAAA4AAAAAAAAAAQAgAAAAJAEAAGRycy9lMm9Eb2MueG1sUEsFBgAAAAAGAAYAWQEA&#10;AEY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质量保证金的用途和限制</w:t>
                      </w:r>
                    </w:p>
                  </w:txbxContent>
                </v:textbox>
              </v:shape>
            </w:pict>
          </mc:Fallback>
        </mc:AlternateContent>
      </w:r>
      <w:r>
        <w:rPr>
          <w:rFonts w:hint="eastAsia" w:ascii="仿宋" w:hAnsi="仿宋" w:eastAsia="仿宋" w:cs="仿宋"/>
          <w:color w:val="auto"/>
          <w:sz w:val="24"/>
          <w:szCs w:val="24"/>
          <w:highlight w:val="none"/>
        </w:rPr>
        <w:t>质量保证金用于承包人对合同工程质量的担保。承包人未按照法律有关规定和合同约定履行质量保修义务的，发包人有权从质量保证金中扣留用于质量保修的各项支出。</w:t>
      </w:r>
    </w:p>
    <w:p>
      <w:pPr>
        <w:pStyle w:val="2"/>
        <w:shd w:val="clear" w:color="000000" w:fill="auto"/>
        <w:tabs>
          <w:tab w:val="left" w:pos="900"/>
        </w:tabs>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84.2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合同双方当事人应在专用条款中约定质量保证金金额</w:t>
      </w:r>
      <w:r>
        <w:rPr>
          <w:color w:val="auto"/>
          <w:highlight w:val="none"/>
        </w:rPr>
        <mc:AlternateContent>
          <mc:Choice Requires="wps">
            <w:drawing>
              <wp:anchor distT="0" distB="0" distL="114300" distR="114300" simplePos="0" relativeHeight="252030976" behindDoc="0" locked="0" layoutInCell="1" allowOverlap="1">
                <wp:simplePos x="0" y="0"/>
                <wp:positionH relativeFrom="column">
                  <wp:posOffset>-114300</wp:posOffset>
                </wp:positionH>
                <wp:positionV relativeFrom="paragraph">
                  <wp:posOffset>20320</wp:posOffset>
                </wp:positionV>
                <wp:extent cx="914400" cy="519430"/>
                <wp:effectExtent l="0" t="0" r="0" b="0"/>
                <wp:wrapNone/>
                <wp:docPr id="364" name="文本框 368"/>
                <wp:cNvGraphicFramePr/>
                <a:graphic xmlns:a="http://schemas.openxmlformats.org/drawingml/2006/main">
                  <a:graphicData uri="http://schemas.microsoft.com/office/word/2010/wordprocessingShape">
                    <wps:wsp>
                      <wps:cNvSpPr txBox="1"/>
                      <wps:spPr>
                        <a:xfrm>
                          <a:off x="0" y="0"/>
                          <a:ext cx="914400" cy="51943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质量保证金的约定与扣留</w:t>
                            </w:r>
                          </w:p>
                        </w:txbxContent>
                      </wps:txbx>
                      <wps:bodyPr upright="1"/>
                    </wps:wsp>
                  </a:graphicData>
                </a:graphic>
              </wp:anchor>
            </w:drawing>
          </mc:Choice>
          <mc:Fallback>
            <w:pict>
              <v:shape id="文本框 368" o:spid="_x0000_s1026" o:spt="202" type="#_x0000_t202" style="position:absolute;left:0pt;margin-left:-9pt;margin-top:1.6pt;height:40.9pt;width:72pt;z-index:252030976;mso-width-relative:page;mso-height-relative:page;" filled="f" stroked="f" coordsize="21600,21600" o:gfxdata="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FJRW8TV&#10;AAAACAEAAA8AAAAAAAAAAQAgAAAAIgAAAGRycy9kb3ducmV2LnhtbFBLAQIUABQAAAAIAIdO4kAb&#10;YGHJsQEAAFEDAAAOAAAAAAAAAAEAIAAAACQBAABkcnMvZTJvRG9jLnhtbFBLBQYAAAAABgAGAFkB&#10;AABH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质量保证金的约定与扣留</w:t>
                      </w:r>
                    </w:p>
                  </w:txbxContent>
                </v:textbox>
              </v:shape>
            </w:pict>
          </mc:Fallback>
        </mc:AlternateContent>
      </w:r>
      <w:r>
        <w:rPr>
          <w:rFonts w:hint="eastAsia" w:ascii="仿宋" w:hAnsi="仿宋" w:eastAsia="仿宋" w:cs="仿宋"/>
          <w:color w:val="auto"/>
          <w:sz w:val="24"/>
          <w:szCs w:val="24"/>
          <w:highlight w:val="none"/>
        </w:rPr>
        <w:t>。除专用条款另有约定外，质量保证金为合同价款的</w:t>
      </w: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％（采取银行保函）。发包人应按照该比例从每支付期应支付给承包人的进度款或结算款中扣留，直到扣留的质量保证金总额达到专用条款约定的的金额为止。</w:t>
      </w:r>
    </w:p>
    <w:p>
      <w:pPr>
        <w:pStyle w:val="2"/>
        <w:shd w:val="clear" w:color="000000" w:fill="auto"/>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84.3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32000" behindDoc="0" locked="0" layoutInCell="1" allowOverlap="1">
                <wp:simplePos x="0" y="0"/>
                <wp:positionH relativeFrom="column">
                  <wp:posOffset>-114300</wp:posOffset>
                </wp:positionH>
                <wp:positionV relativeFrom="paragraph">
                  <wp:posOffset>45720</wp:posOffset>
                </wp:positionV>
                <wp:extent cx="914400" cy="462915"/>
                <wp:effectExtent l="0" t="0" r="0" b="0"/>
                <wp:wrapNone/>
                <wp:docPr id="365" name="文本框 369"/>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质量保证金返还</w:t>
                            </w:r>
                          </w:p>
                        </w:txbxContent>
                      </wps:txbx>
                      <wps:bodyPr upright="1"/>
                    </wps:wsp>
                  </a:graphicData>
                </a:graphic>
              </wp:anchor>
            </w:drawing>
          </mc:Choice>
          <mc:Fallback>
            <w:pict>
              <v:shape id="文本框 369" o:spid="_x0000_s1026" o:spt="202" type="#_x0000_t202" style="position:absolute;left:0pt;margin-left:-9pt;margin-top:3.6pt;height:36.45pt;width:72pt;z-index:252032000;mso-width-relative:page;mso-height-relative:page;" filled="f" stroked="f" coordsize="21600,21600" o:gfxdata="UEsDBAoAAAAAAIdO4kAAAAAAAAAAAAAAAAAEAAAAZHJzL1BLAwQUAAAACACHTuJAqldgVt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qldgVtUA&#10;AAAIAQAADwAAAAAAAAABACAAAAAiAAAAZHJzL2Rvd25yZXYueG1sUEsBAhQAFAAAAAgAh07iQA/B&#10;UOOwAQAAUQMAAA4AAAAAAAAAAQAgAAAAJAEAAGRycy9lMm9Eb2MueG1sUEsFBgAAAAAGAAYAWQEA&#10;AEY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质量保证金返还</w:t>
                      </w:r>
                    </w:p>
                  </w:txbxContent>
                </v:textbox>
              </v:shape>
            </w:pict>
          </mc:Fallback>
        </mc:AlternateContent>
      </w:r>
      <w:r>
        <w:rPr>
          <w:rFonts w:hint="eastAsia" w:ascii="仿宋" w:hAnsi="仿宋" w:eastAsia="仿宋" w:cs="仿宋"/>
          <w:color w:val="auto"/>
          <w:sz w:val="24"/>
          <w:szCs w:val="24"/>
          <w:highlight w:val="none"/>
        </w:rPr>
        <w:t>缺陷责任期（包括第</w:t>
      </w:r>
      <w:r>
        <w:rPr>
          <w:rFonts w:ascii="仿宋" w:hAnsi="仿宋" w:eastAsia="仿宋" w:cs="仿宋"/>
          <w:color w:val="auto"/>
          <w:sz w:val="24"/>
          <w:szCs w:val="24"/>
          <w:highlight w:val="none"/>
        </w:rPr>
        <w:t>59.2</w:t>
      </w:r>
      <w:r>
        <w:rPr>
          <w:rFonts w:hint="eastAsia" w:ascii="仿宋" w:hAnsi="仿宋" w:eastAsia="仿宋" w:cs="仿宋"/>
          <w:color w:val="auto"/>
          <w:sz w:val="24"/>
          <w:szCs w:val="24"/>
          <w:highlight w:val="none"/>
        </w:rPr>
        <w:t>款延长的期限）满时，承包人应向发包人申请到期应返还的剩余质量保证金金额。发包人如无异议，应在缺陷责任期满后的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天内将剩余的质量保证金返还给承包人。剩余质量保证金的返还，并不能免除承包人按照合同约定应承担的质量保修责任和应履行的质量保修义务。</w:t>
      </w:r>
      <w:r>
        <w:rPr>
          <w:rFonts w:hint="eastAsia" w:eastAsia="仿宋_GB2312" w:cs="仿宋_GB2312"/>
          <w:color w:val="auto"/>
          <w:kern w:val="0"/>
          <w:sz w:val="24"/>
          <w:szCs w:val="24"/>
          <w:highlight w:val="none"/>
        </w:rPr>
        <w:t>发包人在退还质量保证金的同时按照中国人民银行发布的同期同类贷款基准利率支付利息。</w:t>
      </w:r>
    </w:p>
    <w:p>
      <w:pPr>
        <w:pStyle w:val="2"/>
        <w:shd w:val="clear" w:color="000000" w:fill="auto"/>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84.4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33024" behindDoc="0" locked="0" layoutInCell="1" allowOverlap="1">
                <wp:simplePos x="0" y="0"/>
                <wp:positionH relativeFrom="column">
                  <wp:posOffset>-114300</wp:posOffset>
                </wp:positionH>
                <wp:positionV relativeFrom="paragraph">
                  <wp:posOffset>45720</wp:posOffset>
                </wp:positionV>
                <wp:extent cx="914400" cy="462915"/>
                <wp:effectExtent l="0" t="0" r="0" b="0"/>
                <wp:wrapNone/>
                <wp:docPr id="366" name="文本框 370"/>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质量保证金扣留</w:t>
                            </w:r>
                          </w:p>
                        </w:txbxContent>
                      </wps:txbx>
                      <wps:bodyPr upright="1"/>
                    </wps:wsp>
                  </a:graphicData>
                </a:graphic>
              </wp:anchor>
            </w:drawing>
          </mc:Choice>
          <mc:Fallback>
            <w:pict>
              <v:shape id="文本框 370" o:spid="_x0000_s1026" o:spt="202" type="#_x0000_t202" style="position:absolute;left:0pt;margin-left:-9pt;margin-top:3.6pt;height:36.45pt;width:72pt;z-index:252033024;mso-width-relative:page;mso-height-relative:page;" filled="f" stroked="f" coordsize="21600,21600" o:gfxdata="UEsDBAoAAAAAAIdO4kAAAAAAAAAAAAAAAAAEAAAAZHJzL1BLAwQUAAAACACHTuJAqldgVt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KpXYFbVAAAA&#10;CAEAAA8AAAAAAAAAAQAgAAAAIgAAAGRycy9kb3ducmV2LnhtbFBLAQIUABQAAAAIAIdO4kB4KnPg&#10;rgEAAFEDAAAOAAAAAAAAAAEAIAAAACQBAABkcnMvZTJvRG9jLnhtbFBLBQYAAAAABgAGAFkBAABE&#10;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质量保证金扣留</w:t>
                      </w:r>
                    </w:p>
                  </w:txbxContent>
                </v:textbox>
              </v:shape>
            </w:pict>
          </mc:Fallback>
        </mc:AlternateContent>
      </w:r>
      <w:r>
        <w:rPr>
          <w:rFonts w:hint="eastAsia" w:ascii="仿宋" w:hAnsi="仿宋" w:eastAsia="仿宋" w:cs="仿宋"/>
          <w:color w:val="auto"/>
          <w:sz w:val="24"/>
          <w:szCs w:val="24"/>
          <w:highlight w:val="none"/>
        </w:rPr>
        <w:t>缺陷责任期（包括第</w:t>
      </w:r>
      <w:r>
        <w:rPr>
          <w:rFonts w:ascii="仿宋" w:hAnsi="仿宋" w:eastAsia="仿宋" w:cs="仿宋"/>
          <w:color w:val="auto"/>
          <w:sz w:val="24"/>
          <w:szCs w:val="24"/>
          <w:highlight w:val="none"/>
        </w:rPr>
        <w:t>59.2</w:t>
      </w:r>
      <w:r>
        <w:rPr>
          <w:rFonts w:hint="eastAsia" w:ascii="仿宋" w:hAnsi="仿宋" w:eastAsia="仿宋" w:cs="仿宋"/>
          <w:color w:val="auto"/>
          <w:sz w:val="24"/>
          <w:szCs w:val="24"/>
          <w:highlight w:val="none"/>
        </w:rPr>
        <w:t>款延长的期限）满时，承包人没有完成缺陷责任的，发包人有权扣留承包人未完成缺陷责任剩余工作所需的部分质量保证金余额，并有权根据第</w:t>
      </w:r>
      <w:r>
        <w:rPr>
          <w:rFonts w:ascii="仿宋" w:hAnsi="仿宋" w:eastAsia="仿宋" w:cs="仿宋"/>
          <w:color w:val="auto"/>
          <w:sz w:val="24"/>
          <w:szCs w:val="24"/>
          <w:highlight w:val="none"/>
        </w:rPr>
        <w:t>59.2</w:t>
      </w:r>
      <w:r>
        <w:rPr>
          <w:rFonts w:hint="eastAsia" w:ascii="仿宋" w:hAnsi="仿宋" w:eastAsia="仿宋" w:cs="仿宋"/>
          <w:color w:val="auto"/>
          <w:sz w:val="24"/>
          <w:szCs w:val="24"/>
          <w:highlight w:val="none"/>
        </w:rPr>
        <w:t>款约定要求延长缺陷责任期，直到完成剩余工作为止。</w:t>
      </w:r>
    </w:p>
    <w:p>
      <w:pPr>
        <w:pStyle w:val="2"/>
        <w:shd w:val="clear" w:color="000000" w:fill="auto"/>
        <w:adjustRightInd w:val="0"/>
        <w:snapToGrid w:val="0"/>
        <w:spacing w:line="240" w:lineRule="exact"/>
        <w:ind w:right="-238"/>
        <w:rPr>
          <w:rFonts w:ascii="仿宋" w:hAnsi="仿宋" w:eastAsia="仿宋" w:cs="Times New Roman"/>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
        <w:shd w:val="clear" w:color="000000" w:fill="auto"/>
        <w:tabs>
          <w:tab w:val="left" w:pos="540"/>
        </w:tabs>
        <w:adjustRightInd w:val="0"/>
        <w:snapToGrid w:val="0"/>
        <w:spacing w:before="240" w:beforeLines="100" w:line="360" w:lineRule="auto"/>
        <w:outlineLvl w:val="2"/>
        <w:rPr>
          <w:rFonts w:ascii="仿宋" w:hAnsi="仿宋" w:eastAsia="仿宋" w:cs="Times New Roman"/>
          <w:b/>
          <w:bCs/>
          <w:color w:val="auto"/>
          <w:sz w:val="24"/>
          <w:szCs w:val="24"/>
          <w:highlight w:val="none"/>
        </w:rPr>
      </w:pPr>
      <w:bookmarkStart w:id="384" w:name="_Toc767"/>
      <w:bookmarkStart w:id="385" w:name="_Toc10624909"/>
      <w:r>
        <w:rPr>
          <w:rFonts w:ascii="仿宋" w:hAnsi="仿宋" w:eastAsia="仿宋" w:cs="仿宋"/>
          <w:b/>
          <w:bCs/>
          <w:color w:val="auto"/>
          <w:sz w:val="24"/>
          <w:szCs w:val="24"/>
          <w:highlight w:val="none"/>
        </w:rPr>
        <w:t xml:space="preserve">85  </w:t>
      </w:r>
      <w:r>
        <w:rPr>
          <w:rFonts w:hint="eastAsia" w:ascii="仿宋" w:hAnsi="仿宋" w:eastAsia="仿宋" w:cs="仿宋"/>
          <w:b/>
          <w:bCs/>
          <w:color w:val="auto"/>
          <w:sz w:val="24"/>
          <w:szCs w:val="24"/>
          <w:highlight w:val="none"/>
        </w:rPr>
        <w:t>最终清算款</w:t>
      </w:r>
      <w:bookmarkEnd w:id="384"/>
      <w:bookmarkEnd w:id="385"/>
    </w:p>
    <w:p>
      <w:pPr>
        <w:pStyle w:val="2"/>
        <w:shd w:val="clear" w:color="000000" w:fill="auto"/>
        <w:adjustRightInd w:val="0"/>
        <w:snapToGrid w:val="0"/>
        <w:spacing w:line="360" w:lineRule="auto"/>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85.1     </w:t>
      </w:r>
    </w:p>
    <w:p>
      <w:pPr>
        <w:shd w:val="clear" w:color="000000" w:fill="auto"/>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34048" behindDoc="0" locked="0" layoutInCell="1" allowOverlap="1">
                <wp:simplePos x="0" y="0"/>
                <wp:positionH relativeFrom="column">
                  <wp:posOffset>-114300</wp:posOffset>
                </wp:positionH>
                <wp:positionV relativeFrom="paragraph">
                  <wp:posOffset>74295</wp:posOffset>
                </wp:positionV>
                <wp:extent cx="914400" cy="396240"/>
                <wp:effectExtent l="0" t="0" r="0" b="0"/>
                <wp:wrapNone/>
                <wp:docPr id="367" name="文本框 37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提交最终清算支付申请</w:t>
                            </w:r>
                          </w:p>
                        </w:txbxContent>
                      </wps:txbx>
                      <wps:bodyPr upright="1"/>
                    </wps:wsp>
                  </a:graphicData>
                </a:graphic>
              </wp:anchor>
            </w:drawing>
          </mc:Choice>
          <mc:Fallback>
            <w:pict>
              <v:shape id="文本框 371" o:spid="_x0000_s1026" o:spt="202" type="#_x0000_t202" style="position:absolute;left:0pt;margin-left:-9pt;margin-top:5.85pt;height:31.2pt;width:72pt;z-index:252034048;mso-width-relative:page;mso-height-relative:page;" filled="f" stroked="f" coordsize="21600,21600" o:gfxdata="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IDyIFbW&#10;AAAACQEAAA8AAAAAAAAAAQAgAAAAIgAAAGRycy9kb3ducmV2LnhtbFBLAQIUABQAAAAIAIdO4kC9&#10;xQG6sAEAAFEDAAAOAAAAAAAAAAEAIAAAACUBAABkcnMvZTJvRG9jLnhtbFBLBQYAAAAABgAGAFkB&#10;AABH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提交最终清算支付申请</w:t>
                      </w:r>
                    </w:p>
                  </w:txbxContent>
                </v:textbox>
              </v:shape>
            </w:pict>
          </mc:Fallback>
        </mc:AlternateContent>
      </w:r>
      <w:r>
        <w:rPr>
          <w:rFonts w:hint="eastAsia" w:ascii="仿宋" w:hAnsi="仿宋" w:eastAsia="仿宋" w:cs="仿宋"/>
          <w:color w:val="auto"/>
          <w:sz w:val="24"/>
          <w:szCs w:val="24"/>
          <w:highlight w:val="none"/>
        </w:rPr>
        <w:t>合同双方当事人应在专用条款中明确最终清算款的支付时限。专用条款没有约定的</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最终清算款按照第</w:t>
      </w:r>
      <w:r>
        <w:rPr>
          <w:rFonts w:ascii="仿宋" w:hAnsi="仿宋" w:eastAsia="仿宋" w:cs="仿宋"/>
          <w:color w:val="auto"/>
          <w:sz w:val="24"/>
          <w:szCs w:val="24"/>
          <w:highlight w:val="none"/>
        </w:rPr>
        <w:t>85.2</w:t>
      </w:r>
      <w:r>
        <w:rPr>
          <w:rFonts w:hint="eastAsia" w:ascii="仿宋" w:hAnsi="仿宋" w:eastAsia="仿宋" w:cs="仿宋"/>
          <w:color w:val="auto"/>
          <w:sz w:val="24"/>
          <w:szCs w:val="24"/>
          <w:highlight w:val="none"/>
        </w:rPr>
        <w:t>款至第</w:t>
      </w:r>
      <w:r>
        <w:rPr>
          <w:rFonts w:ascii="仿宋" w:hAnsi="仿宋" w:eastAsia="仿宋" w:cs="仿宋"/>
          <w:color w:val="auto"/>
          <w:sz w:val="24"/>
          <w:szCs w:val="24"/>
          <w:highlight w:val="none"/>
        </w:rPr>
        <w:t>85.5</w:t>
      </w:r>
      <w:r>
        <w:rPr>
          <w:rFonts w:hint="eastAsia" w:ascii="仿宋" w:hAnsi="仿宋" w:eastAsia="仿宋" w:cs="仿宋"/>
          <w:color w:val="auto"/>
          <w:sz w:val="24"/>
          <w:szCs w:val="24"/>
          <w:highlight w:val="none"/>
        </w:rPr>
        <w:t>款规定办理。涉及政府投资资金的工程，支付期、支付方法等需调整的，应在专用条款中约定。</w:t>
      </w:r>
    </w:p>
    <w:p>
      <w:pPr>
        <w:shd w:val="clear" w:color="000000" w:fill="auto"/>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缺陷责任期终止证书签发后，承包人应按照专用条款约定的份数和期限向造价工程师提交最终清算支付申请，并提供相关证明材料。发包人对最终清算支付申请有异议的，有权要求承包人进一步修正和提供补充资料。承包人修正后，应再次向造价工程师提交修正后的最终清算支付申请。</w:t>
      </w:r>
    </w:p>
    <w:p>
      <w:pPr>
        <w:pStyle w:val="2"/>
        <w:shd w:val="clear" w:color="000000" w:fill="auto"/>
        <w:tabs>
          <w:tab w:val="left" w:pos="900"/>
        </w:tabs>
        <w:adjustRightInd w:val="0"/>
        <w:snapToGrid w:val="0"/>
        <w:spacing w:line="360" w:lineRule="auto"/>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85.2</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u w:val="single"/>
        </w:rPr>
      </w:pPr>
      <w:r>
        <w:rPr>
          <w:color w:val="auto"/>
          <w:highlight w:val="none"/>
        </w:rPr>
        <mc:AlternateContent>
          <mc:Choice Requires="wps">
            <w:drawing>
              <wp:anchor distT="0" distB="0" distL="114300" distR="114300" simplePos="0" relativeHeight="252035072" behindDoc="0" locked="0" layoutInCell="1" allowOverlap="1">
                <wp:simplePos x="0" y="0"/>
                <wp:positionH relativeFrom="column">
                  <wp:posOffset>-114300</wp:posOffset>
                </wp:positionH>
                <wp:positionV relativeFrom="paragraph">
                  <wp:posOffset>8890</wp:posOffset>
                </wp:positionV>
                <wp:extent cx="1028700" cy="462915"/>
                <wp:effectExtent l="0" t="0" r="0" b="0"/>
                <wp:wrapNone/>
                <wp:docPr id="368" name="文本框 372"/>
                <wp:cNvGraphicFramePr/>
                <a:graphic xmlns:a="http://schemas.openxmlformats.org/drawingml/2006/main">
                  <a:graphicData uri="http://schemas.microsoft.com/office/word/2010/wordprocessingShape">
                    <wps:wsp>
                      <wps:cNvSpPr txBox="1"/>
                      <wps:spPr>
                        <a:xfrm>
                          <a:off x="0" y="0"/>
                          <a:ext cx="1028700" cy="46291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签发最终清算</w:t>
                            </w:r>
                          </w:p>
                          <w:p>
                            <w:pPr>
                              <w:spacing w:line="240" w:lineRule="exact"/>
                              <w:rPr>
                                <w:rFonts w:ascii="宋体" w:cs="Times New Roman"/>
                                <w:b/>
                                <w:bCs/>
                                <w:sz w:val="18"/>
                                <w:szCs w:val="18"/>
                              </w:rPr>
                            </w:pPr>
                            <w:r>
                              <w:rPr>
                                <w:rFonts w:hint="eastAsia" w:ascii="楷体_GB2312" w:hAnsi="宋体" w:eastAsia="楷体_GB2312" w:cs="楷体_GB2312"/>
                                <w:b/>
                                <w:bCs/>
                                <w:sz w:val="18"/>
                                <w:szCs w:val="18"/>
                              </w:rPr>
                              <w:t>支付证书</w:t>
                            </w:r>
                          </w:p>
                        </w:txbxContent>
                      </wps:txbx>
                      <wps:bodyPr upright="1"/>
                    </wps:wsp>
                  </a:graphicData>
                </a:graphic>
              </wp:anchor>
            </w:drawing>
          </mc:Choice>
          <mc:Fallback>
            <w:pict>
              <v:shape id="文本框 372" o:spid="_x0000_s1026" o:spt="202" type="#_x0000_t202" style="position:absolute;left:0pt;margin-left:-9pt;margin-top:0.7pt;height:36.45pt;width:81pt;z-index:252035072;mso-width-relative:page;mso-height-relative:page;" filled="f" stroked="f" coordsize="21600,21600" o:gfxdata="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s5Ykz9UA&#10;AAAIAQAADwAAAAAAAAABACAAAAAiAAAAZHJzL2Rvd25yZXYueG1sUEsBAhQAFAAAAAgAh07iQAJs&#10;MwiwAQAAUgMAAA4AAAAAAAAAAQAgAAAAJAEAAGRycy9lMm9Eb2MueG1sUEsFBgAAAAAGAAYAWQEA&#10;AEY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签发最终清算</w:t>
                      </w:r>
                    </w:p>
                    <w:p>
                      <w:pPr>
                        <w:spacing w:line="240" w:lineRule="exact"/>
                        <w:rPr>
                          <w:rFonts w:ascii="宋体" w:cs="Times New Roman"/>
                          <w:b/>
                          <w:bCs/>
                          <w:sz w:val="18"/>
                          <w:szCs w:val="18"/>
                        </w:rPr>
                      </w:pPr>
                      <w:r>
                        <w:rPr>
                          <w:rFonts w:hint="eastAsia" w:ascii="楷体_GB2312" w:hAnsi="宋体" w:eastAsia="楷体_GB2312" w:cs="楷体_GB2312"/>
                          <w:b/>
                          <w:bCs/>
                          <w:sz w:val="18"/>
                          <w:szCs w:val="18"/>
                        </w:rPr>
                        <w:t>支付证书</w:t>
                      </w:r>
                    </w:p>
                  </w:txbxContent>
                </v:textbox>
              </v:shape>
            </w:pict>
          </mc:Fallback>
        </mc:AlternateContent>
      </w:r>
      <w:r>
        <w:rPr>
          <w:rFonts w:hint="eastAsia" w:ascii="仿宋" w:hAnsi="仿宋" w:eastAsia="仿宋" w:cs="仿宋"/>
          <w:color w:val="auto"/>
          <w:sz w:val="24"/>
          <w:szCs w:val="24"/>
          <w:highlight w:val="none"/>
        </w:rPr>
        <w:t>造价工程师应在收到最终清算支付申请后的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天内予以计量、核实，并将核实结果通知承包人、抄报发包人。发包人应在收到核实结果后的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天内在最终清算文件上签字确认。造价工程师应在发包人签字确认最终清算文件后的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天内，向发包人签发最终清算支付证书，同时抄送承包人。</w:t>
      </w:r>
    </w:p>
    <w:p>
      <w:pPr>
        <w:pStyle w:val="2"/>
        <w:shd w:val="clear" w:color="000000" w:fill="auto"/>
        <w:adjustRightInd w:val="0"/>
        <w:snapToGrid w:val="0"/>
        <w:spacing w:line="360" w:lineRule="auto"/>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36096" behindDoc="0" locked="0" layoutInCell="1" allowOverlap="1">
                <wp:simplePos x="0" y="0"/>
                <wp:positionH relativeFrom="column">
                  <wp:posOffset>-114300</wp:posOffset>
                </wp:positionH>
                <wp:positionV relativeFrom="paragraph">
                  <wp:posOffset>230505</wp:posOffset>
                </wp:positionV>
                <wp:extent cx="914400" cy="462915"/>
                <wp:effectExtent l="0" t="0" r="0" b="0"/>
                <wp:wrapNone/>
                <wp:docPr id="369" name="文本框 373"/>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wps:spPr>
                      <wps:txbx>
                        <w:txbxContent>
                          <w:p>
                            <w:pPr>
                              <w:spacing w:line="240" w:lineRule="exact"/>
                              <w:rPr>
                                <w:rFonts w:ascii="宋体" w:cs="Times New Roman"/>
                                <w:b/>
                                <w:bCs/>
                                <w:sz w:val="18"/>
                                <w:szCs w:val="18"/>
                              </w:rPr>
                            </w:pPr>
                            <w:r>
                              <w:rPr>
                                <w:rFonts w:hint="eastAsia" w:ascii="楷体_GB2312" w:hAnsi="宋体" w:eastAsia="楷体_GB2312" w:cs="楷体_GB2312"/>
                                <w:b/>
                                <w:bCs/>
                                <w:sz w:val="18"/>
                                <w:szCs w:val="18"/>
                              </w:rPr>
                              <w:t>最终清算款支付</w:t>
                            </w:r>
                            <w:r>
                              <w:rPr>
                                <w:rFonts w:ascii="楷体_GB2312" w:hAnsi="宋体" w:eastAsia="楷体_GB2312" w:cs="楷体_GB2312"/>
                                <w:b/>
                                <w:bCs/>
                                <w:sz w:val="18"/>
                                <w:szCs w:val="18"/>
                              </w:rPr>
                              <w:t xml:space="preserve"> </w:t>
                            </w:r>
                          </w:p>
                        </w:txbxContent>
                      </wps:txbx>
                      <wps:bodyPr upright="1"/>
                    </wps:wsp>
                  </a:graphicData>
                </a:graphic>
              </wp:anchor>
            </w:drawing>
          </mc:Choice>
          <mc:Fallback>
            <w:pict>
              <v:shape id="文本框 373" o:spid="_x0000_s1026" o:spt="202" type="#_x0000_t202" style="position:absolute;left:0pt;margin-left:-9pt;margin-top:18.15pt;height:36.45pt;width:72pt;z-index:252036096;mso-width-relative:page;mso-height-relative:page;" filled="f" stroked="f" coordsize="21600,21600" o:gfxdata="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pY8+Z&#10;2AAAAAoBAAAPAAAAAAAAAAEAIAAAACIAAABkcnMvZG93bnJldi54bWxQSwECFAAUAAAACACHTuJA&#10;Bq1Cf68BAABRAwAADgAAAAAAAAABACAAAAAnAQAAZHJzL2Uyb0RvYy54bWxQSwUGAAAAAAYABgBZ&#10;AQAASAUAAAAA&#10;">
                <v:fill on="f" focussize="0,0"/>
                <v:stroke on="f"/>
                <v:imagedata o:title=""/>
                <o:lock v:ext="edit" aspectratio="f"/>
                <v:textbox>
                  <w:txbxContent>
                    <w:p>
                      <w:pPr>
                        <w:spacing w:line="240" w:lineRule="exact"/>
                        <w:rPr>
                          <w:rFonts w:ascii="宋体" w:cs="Times New Roman"/>
                          <w:b/>
                          <w:bCs/>
                          <w:sz w:val="18"/>
                          <w:szCs w:val="18"/>
                        </w:rPr>
                      </w:pPr>
                      <w:r>
                        <w:rPr>
                          <w:rFonts w:hint="eastAsia" w:ascii="楷体_GB2312" w:hAnsi="宋体" w:eastAsia="楷体_GB2312" w:cs="楷体_GB2312"/>
                          <w:b/>
                          <w:bCs/>
                          <w:sz w:val="18"/>
                          <w:szCs w:val="18"/>
                        </w:rPr>
                        <w:t>最终清算款支付</w:t>
                      </w:r>
                      <w:r>
                        <w:rPr>
                          <w:rFonts w:ascii="楷体_GB2312" w:hAnsi="宋体" w:eastAsia="楷体_GB2312" w:cs="楷体_GB2312"/>
                          <w:b/>
                          <w:bCs/>
                          <w:sz w:val="18"/>
                          <w:szCs w:val="18"/>
                        </w:rPr>
                        <w:t xml:space="preserve"> </w:t>
                      </w:r>
                    </w:p>
                  </w:txbxContent>
                </v:textbox>
              </v:shape>
            </w:pict>
          </mc:Fallback>
        </mc:AlternateContent>
      </w:r>
      <w:r>
        <w:rPr>
          <w:rFonts w:ascii="仿宋" w:hAnsi="仿宋" w:eastAsia="仿宋" w:cs="仿宋"/>
          <w:b/>
          <w:bCs/>
          <w:color w:val="auto"/>
          <w:sz w:val="24"/>
          <w:szCs w:val="24"/>
          <w:highlight w:val="none"/>
        </w:rPr>
        <w:t>85.3</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pStyle w:val="2"/>
        <w:shd w:val="clear" w:color="000000" w:fill="auto"/>
        <w:adjustRightInd w:val="0"/>
        <w:snapToGrid w:val="0"/>
        <w:spacing w:line="360" w:lineRule="auto"/>
        <w:ind w:left="1619" w:leftChars="771" w:firstLine="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发包人应在造价工程师签发最终清算支付证书后的</w:t>
      </w:r>
      <w:r>
        <w:rPr>
          <w:rFonts w:ascii="仿宋" w:hAnsi="仿宋" w:eastAsia="仿宋" w:cs="仿宋"/>
          <w:color w:val="auto"/>
          <w:sz w:val="24"/>
          <w:szCs w:val="24"/>
          <w:highlight w:val="none"/>
        </w:rPr>
        <w:t xml:space="preserve">14 </w:t>
      </w:r>
      <w:r>
        <w:rPr>
          <w:rFonts w:hint="eastAsia" w:ascii="仿宋" w:hAnsi="仿宋" w:eastAsia="仿宋" w:cs="仿宋"/>
          <w:color w:val="auto"/>
          <w:sz w:val="24"/>
          <w:szCs w:val="24"/>
          <w:highlight w:val="none"/>
        </w:rPr>
        <w:t>天内，按照最终清算支付证书列明的金额向承包人支付最终清算款，并通知造价工程师。</w:t>
      </w:r>
    </w:p>
    <w:p>
      <w:pPr>
        <w:pStyle w:val="2"/>
        <w:shd w:val="clear" w:color="000000" w:fill="auto"/>
        <w:adjustRightInd w:val="0"/>
        <w:snapToGrid w:val="0"/>
        <w:spacing w:line="480" w:lineRule="auto"/>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37120" behindDoc="0" locked="0" layoutInCell="1" allowOverlap="1">
                <wp:simplePos x="0" y="0"/>
                <wp:positionH relativeFrom="column">
                  <wp:posOffset>-114300</wp:posOffset>
                </wp:positionH>
                <wp:positionV relativeFrom="paragraph">
                  <wp:posOffset>234315</wp:posOffset>
                </wp:positionV>
                <wp:extent cx="914400" cy="462915"/>
                <wp:effectExtent l="0" t="0" r="0" b="0"/>
                <wp:wrapNone/>
                <wp:docPr id="370" name="文本框 374"/>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wps:spPr>
                      <wps:txbx>
                        <w:txbxContent>
                          <w:p>
                            <w:pPr>
                              <w:spacing w:line="240" w:lineRule="exact"/>
                              <w:rPr>
                                <w:rFonts w:ascii="宋体" w:cs="Times New Roman"/>
                                <w:b/>
                                <w:bCs/>
                                <w:sz w:val="18"/>
                                <w:szCs w:val="18"/>
                              </w:rPr>
                            </w:pPr>
                            <w:r>
                              <w:rPr>
                                <w:rFonts w:hint="eastAsia" w:ascii="楷体_GB2312" w:hAnsi="宋体" w:eastAsia="楷体_GB2312" w:cs="楷体_GB2312"/>
                                <w:b/>
                                <w:bCs/>
                                <w:sz w:val="18"/>
                                <w:szCs w:val="18"/>
                              </w:rPr>
                              <w:t>签发最终清算支付证书限制</w:t>
                            </w:r>
                          </w:p>
                        </w:txbxContent>
                      </wps:txbx>
                      <wps:bodyPr upright="1"/>
                    </wps:wsp>
                  </a:graphicData>
                </a:graphic>
              </wp:anchor>
            </w:drawing>
          </mc:Choice>
          <mc:Fallback>
            <w:pict>
              <v:shape id="文本框 374" o:spid="_x0000_s1026" o:spt="202" type="#_x0000_t202" style="position:absolute;left:0pt;margin-left:-9pt;margin-top:18.45pt;height:36.45pt;width:72pt;z-index:252037120;mso-width-relative:page;mso-height-relative:page;" filled="f" stroked="f" coordsize="21600,21600" o:gfxdata="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nP3t&#10;4tgAAAAKAQAADwAAAAAAAAABACAAAAAiAAAAZHJzL2Rvd25yZXYueG1sUEsBAhQAFAAAAAgAh07i&#10;QFsPVLGwAQAAUQMAAA4AAAAAAAAAAQAgAAAAJwEAAGRycy9lMm9Eb2MueG1sUEsFBgAAAAAGAAYA&#10;WQEAAEkFAAAAAA==&#10;">
                <v:fill on="f" focussize="0,0"/>
                <v:stroke on="f"/>
                <v:imagedata o:title=""/>
                <o:lock v:ext="edit" aspectratio="f"/>
                <v:textbox>
                  <w:txbxContent>
                    <w:p>
                      <w:pPr>
                        <w:spacing w:line="240" w:lineRule="exact"/>
                        <w:rPr>
                          <w:rFonts w:ascii="宋体" w:cs="Times New Roman"/>
                          <w:b/>
                          <w:bCs/>
                          <w:sz w:val="18"/>
                          <w:szCs w:val="18"/>
                        </w:rPr>
                      </w:pPr>
                      <w:r>
                        <w:rPr>
                          <w:rFonts w:hint="eastAsia" w:ascii="楷体_GB2312" w:hAnsi="宋体" w:eastAsia="楷体_GB2312" w:cs="楷体_GB2312"/>
                          <w:b/>
                          <w:bCs/>
                          <w:sz w:val="18"/>
                          <w:szCs w:val="18"/>
                        </w:rPr>
                        <w:t>签发最终清算支付证书限制</w:t>
                      </w:r>
                    </w:p>
                  </w:txbxContent>
                </v:textbox>
              </v:shape>
            </w:pict>
          </mc:Fallback>
        </mc:AlternateContent>
      </w:r>
      <w:r>
        <w:rPr>
          <w:rFonts w:ascii="仿宋" w:hAnsi="仿宋" w:eastAsia="仿宋" w:cs="仿宋"/>
          <w:b/>
          <w:bCs/>
          <w:color w:val="auto"/>
          <w:sz w:val="24"/>
          <w:szCs w:val="24"/>
          <w:highlight w:val="none"/>
        </w:rPr>
        <w:t xml:space="preserve">85.4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pStyle w:val="2"/>
        <w:shd w:val="clear" w:color="000000" w:fill="auto"/>
        <w:adjustRightInd w:val="0"/>
        <w:snapToGrid w:val="0"/>
        <w:spacing w:line="360" w:lineRule="auto"/>
        <w:ind w:left="1576" w:leftChars="750" w:hanging="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如果造价工程师未在第</w:t>
      </w:r>
      <w:r>
        <w:rPr>
          <w:rFonts w:ascii="仿宋" w:hAnsi="仿宋" w:eastAsia="仿宋" w:cs="仿宋"/>
          <w:color w:val="auto"/>
          <w:sz w:val="24"/>
          <w:szCs w:val="24"/>
          <w:highlight w:val="none"/>
        </w:rPr>
        <w:t>85.2</w:t>
      </w:r>
      <w:r>
        <w:rPr>
          <w:rFonts w:hint="eastAsia" w:ascii="仿宋" w:hAnsi="仿宋" w:eastAsia="仿宋" w:cs="仿宋"/>
          <w:color w:val="auto"/>
          <w:sz w:val="24"/>
          <w:szCs w:val="24"/>
          <w:highlight w:val="none"/>
        </w:rPr>
        <w:t>款规定的期限内签发最终清算支付证书的，则视为承包人提交的最终清算支付申请已被认可，承包人应及时向发包人发出要求支付最终清算款的通知。发包人应在收到通知后的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天内，按照承包人提交最终清算支付申请列明的金额向承包人支付最终清算款。</w:t>
      </w:r>
    </w:p>
    <w:p>
      <w:pPr>
        <w:pStyle w:val="2"/>
        <w:shd w:val="clear" w:color="000000" w:fill="auto"/>
        <w:adjustRightInd w:val="0"/>
        <w:snapToGrid w:val="0"/>
        <w:spacing w:line="360" w:lineRule="auto"/>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85.5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shd w:val="clear" w:color="000000" w:fill="auto"/>
        <w:spacing w:line="360" w:lineRule="auto"/>
        <w:ind w:left="1576" w:leftChars="750" w:hanging="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38144" behindDoc="0" locked="0" layoutInCell="1" allowOverlap="1">
                <wp:simplePos x="0" y="0"/>
                <wp:positionH relativeFrom="column">
                  <wp:posOffset>-114300</wp:posOffset>
                </wp:positionH>
                <wp:positionV relativeFrom="paragraph">
                  <wp:posOffset>8255</wp:posOffset>
                </wp:positionV>
                <wp:extent cx="1028700" cy="407670"/>
                <wp:effectExtent l="0" t="0" r="0" b="0"/>
                <wp:wrapNone/>
                <wp:docPr id="371" name="文本框 375"/>
                <wp:cNvGraphicFramePr/>
                <a:graphic xmlns:a="http://schemas.openxmlformats.org/drawingml/2006/main">
                  <a:graphicData uri="http://schemas.microsoft.com/office/word/2010/wordprocessingShape">
                    <wps:wsp>
                      <wps:cNvSpPr txBox="1"/>
                      <wps:spPr>
                        <a:xfrm>
                          <a:off x="0" y="0"/>
                          <a:ext cx="1028700" cy="40767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最终清算款支</w:t>
                            </w:r>
                          </w:p>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付的限制</w:t>
                            </w:r>
                          </w:p>
                        </w:txbxContent>
                      </wps:txbx>
                      <wps:bodyPr upright="1"/>
                    </wps:wsp>
                  </a:graphicData>
                </a:graphic>
              </wp:anchor>
            </w:drawing>
          </mc:Choice>
          <mc:Fallback>
            <w:pict>
              <v:shape id="文本框 375" o:spid="_x0000_s1026" o:spt="202" type="#_x0000_t202" style="position:absolute;left:0pt;margin-left:-9pt;margin-top:0.65pt;height:32.1pt;width:81pt;z-index:252038144;mso-width-relative:page;mso-height-relative:page;" filled="f" stroked="f" coordsize="21600,21600" o:gfxdata="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EQb19NUA&#10;AAAIAQAADwAAAAAAAAABACAAAAAiAAAAZHJzL2Rvd25yZXYueG1sUEsBAhQAFAAAAAgAh07iQP1A&#10;shGwAQAAUgMAAA4AAAAAAAAAAQAgAAAAJAEAAGRycy9lMm9Eb2MueG1sUEsFBgAAAAAGAAYAWQEA&#10;AEY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最终清算款支</w:t>
                      </w:r>
                    </w:p>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付的限制</w:t>
                      </w:r>
                    </w:p>
                  </w:txbxContent>
                </v:textbox>
              </v:shape>
            </w:pict>
          </mc:Fallback>
        </mc:AlternateContent>
      </w:r>
      <w:r>
        <w:rPr>
          <w:rFonts w:hint="eastAsia" w:ascii="仿宋" w:hAnsi="仿宋" w:eastAsia="仿宋" w:cs="仿宋"/>
          <w:color w:val="auto"/>
          <w:sz w:val="24"/>
          <w:szCs w:val="24"/>
          <w:highlight w:val="none"/>
        </w:rPr>
        <w:t>发包人未按照第</w:t>
      </w:r>
      <w:r>
        <w:rPr>
          <w:rFonts w:ascii="仿宋" w:hAnsi="仿宋" w:eastAsia="仿宋" w:cs="仿宋"/>
          <w:color w:val="auto"/>
          <w:sz w:val="24"/>
          <w:szCs w:val="24"/>
          <w:highlight w:val="none"/>
        </w:rPr>
        <w:t>85.3</w:t>
      </w:r>
      <w:r>
        <w:rPr>
          <w:rFonts w:hint="eastAsia" w:ascii="仿宋" w:hAnsi="仿宋" w:eastAsia="仿宋" w:cs="仿宋"/>
          <w:color w:val="auto"/>
          <w:sz w:val="24"/>
          <w:szCs w:val="24"/>
          <w:highlight w:val="none"/>
        </w:rPr>
        <w:t>款和第</w:t>
      </w:r>
      <w:r>
        <w:rPr>
          <w:rFonts w:ascii="仿宋" w:hAnsi="仿宋" w:eastAsia="仿宋" w:cs="仿宋"/>
          <w:color w:val="auto"/>
          <w:sz w:val="24"/>
          <w:szCs w:val="24"/>
          <w:highlight w:val="none"/>
        </w:rPr>
        <w:t>85.4</w:t>
      </w:r>
      <w:r>
        <w:rPr>
          <w:rFonts w:hint="eastAsia" w:ascii="仿宋" w:hAnsi="仿宋" w:eastAsia="仿宋" w:cs="仿宋"/>
          <w:color w:val="auto"/>
          <w:sz w:val="24"/>
          <w:szCs w:val="24"/>
          <w:highlight w:val="none"/>
        </w:rPr>
        <w:t>款规定支付最终清算款的，承包人可催告发包人支付最终清算款，如双方达成延期支付协议，承包人有权按照第</w:t>
      </w:r>
      <w:r>
        <w:rPr>
          <w:rFonts w:ascii="仿宋" w:hAnsi="仿宋" w:eastAsia="仿宋" w:cs="仿宋"/>
          <w:color w:val="auto"/>
          <w:sz w:val="24"/>
          <w:szCs w:val="24"/>
          <w:highlight w:val="none"/>
        </w:rPr>
        <w:t>78.2</w:t>
      </w:r>
      <w:r>
        <w:rPr>
          <w:rFonts w:hint="eastAsia" w:ascii="仿宋" w:hAnsi="仿宋" w:eastAsia="仿宋" w:cs="仿宋"/>
          <w:color w:val="auto"/>
          <w:sz w:val="24"/>
          <w:szCs w:val="24"/>
          <w:highlight w:val="none"/>
        </w:rPr>
        <w:t>款规定获得延期支付的利息。若该永久工程按照第</w:t>
      </w:r>
      <w:r>
        <w:rPr>
          <w:rFonts w:ascii="仿宋" w:hAnsi="仿宋" w:eastAsia="仿宋" w:cs="仿宋"/>
          <w:color w:val="auto"/>
          <w:sz w:val="24"/>
          <w:szCs w:val="24"/>
          <w:highlight w:val="none"/>
        </w:rPr>
        <w:t>83.5</w:t>
      </w:r>
      <w:r>
        <w:rPr>
          <w:rFonts w:hint="eastAsia" w:ascii="仿宋" w:hAnsi="仿宋" w:eastAsia="仿宋" w:cs="仿宋"/>
          <w:color w:val="auto"/>
          <w:sz w:val="24"/>
          <w:szCs w:val="24"/>
          <w:highlight w:val="none"/>
        </w:rPr>
        <w:t>款规定进行折价或依法拍卖的，承包人就该工程折价或拍卖的价款优先受偿。</w:t>
      </w:r>
    </w:p>
    <w:p>
      <w:pPr>
        <w:pStyle w:val="2"/>
        <w:shd w:val="clear" w:color="000000" w:fill="auto"/>
        <w:adjustRightInd w:val="0"/>
        <w:snapToGrid w:val="0"/>
        <w:spacing w:line="360" w:lineRule="auto"/>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85.6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shd w:val="clear" w:color="000000" w:fill="auto"/>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39168" behindDoc="0" locked="0" layoutInCell="1" allowOverlap="1">
                <wp:simplePos x="0" y="0"/>
                <wp:positionH relativeFrom="column">
                  <wp:posOffset>-114300</wp:posOffset>
                </wp:positionH>
                <wp:positionV relativeFrom="paragraph">
                  <wp:posOffset>45720</wp:posOffset>
                </wp:positionV>
                <wp:extent cx="914400" cy="462915"/>
                <wp:effectExtent l="0" t="0" r="0" b="0"/>
                <wp:wrapNone/>
                <wp:docPr id="372" name="文本框 376"/>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最终清算款争议的处理</w:t>
                            </w:r>
                          </w:p>
                        </w:txbxContent>
                      </wps:txbx>
                      <wps:bodyPr upright="1"/>
                    </wps:wsp>
                  </a:graphicData>
                </a:graphic>
              </wp:anchor>
            </w:drawing>
          </mc:Choice>
          <mc:Fallback>
            <w:pict>
              <v:shape id="文本框 376" o:spid="_x0000_s1026" o:spt="202" type="#_x0000_t202" style="position:absolute;left:0pt;margin-left:-9pt;margin-top:3.6pt;height:36.45pt;width:72pt;z-index:252039168;mso-width-relative:page;mso-height-relative:page;" filled="f" stroked="f" coordsize="21600,21600" o:gfxdata="UEsDBAoAAAAAAIdO4kAAAAAAAAAAAAAAAAAEAAAAZHJzL1BLAwQUAAAACACHTuJAqldgVt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qldgVtUA&#10;AAAIAQAADwAAAAAAAAABACAAAAAiAAAAZHJzL2Rvd25yZXYueG1sUEsBAhQAFAAAAAgAh07iQFz7&#10;2DqwAQAAUQMAAA4AAAAAAAAAAQAgAAAAJAEAAGRycy9lMm9Eb2MueG1sUEsFBgAAAAAGAAYAWQEA&#10;AEY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最终清算款争议的处理</w:t>
                      </w:r>
                    </w:p>
                  </w:txbxContent>
                </v:textbox>
              </v:shape>
            </w:pict>
          </mc:Fallback>
        </mc:AlternateContent>
      </w:r>
      <w:r>
        <w:rPr>
          <w:rFonts w:hint="eastAsia" w:ascii="仿宋" w:hAnsi="仿宋" w:eastAsia="仿宋" w:cs="仿宋"/>
          <w:color w:val="auto"/>
          <w:sz w:val="24"/>
          <w:szCs w:val="24"/>
          <w:highlight w:val="none"/>
        </w:rPr>
        <w:t>承包人对发包人支付的最终清算款有异议的，按照第</w:t>
      </w:r>
      <w:r>
        <w:rPr>
          <w:rFonts w:ascii="仿宋" w:hAnsi="仿宋" w:eastAsia="仿宋" w:cs="仿宋"/>
          <w:color w:val="auto"/>
          <w:sz w:val="24"/>
          <w:szCs w:val="24"/>
          <w:highlight w:val="none"/>
        </w:rPr>
        <w:t>86</w:t>
      </w:r>
      <w:r>
        <w:rPr>
          <w:rFonts w:hint="eastAsia" w:ascii="仿宋" w:hAnsi="仿宋" w:eastAsia="仿宋" w:cs="仿宋"/>
          <w:color w:val="auto"/>
          <w:sz w:val="24"/>
          <w:szCs w:val="24"/>
          <w:highlight w:val="none"/>
        </w:rPr>
        <w:t>条约定的争议处理。</w:t>
      </w:r>
    </w:p>
    <w:p>
      <w:pPr>
        <w:pStyle w:val="2"/>
        <w:shd w:val="clear" w:color="000000" w:fill="auto"/>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u w:val="single"/>
        </w:rPr>
        <w:t xml:space="preserve">                                                                                                              </w:t>
      </w:r>
    </w:p>
    <w:p>
      <w:pPr>
        <w:pStyle w:val="2"/>
        <w:shd w:val="clear" w:color="000000" w:fill="auto"/>
        <w:adjustRightInd w:val="0"/>
        <w:snapToGrid w:val="0"/>
        <w:spacing w:line="360" w:lineRule="auto"/>
        <w:outlineLvl w:val="1"/>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                        </w:t>
      </w:r>
      <w:bookmarkStart w:id="386" w:name="_Toc32072"/>
      <w:bookmarkStart w:id="387" w:name="_Toc19702"/>
      <w:bookmarkStart w:id="388" w:name="_Toc469384069"/>
      <w:bookmarkStart w:id="389" w:name="_Toc10624910"/>
      <w:r>
        <w:rPr>
          <w:rFonts w:hint="eastAsia" w:ascii="仿宋" w:hAnsi="仿宋" w:eastAsia="仿宋" w:cs="仿宋"/>
          <w:b/>
          <w:bCs/>
          <w:color w:val="auto"/>
          <w:sz w:val="24"/>
          <w:szCs w:val="24"/>
          <w:highlight w:val="none"/>
        </w:rPr>
        <w:t>七、合同争议、解除与终止</w:t>
      </w:r>
      <w:bookmarkEnd w:id="386"/>
      <w:bookmarkEnd w:id="387"/>
      <w:bookmarkEnd w:id="388"/>
      <w:bookmarkEnd w:id="389"/>
    </w:p>
    <w:p>
      <w:pPr>
        <w:pStyle w:val="2"/>
        <w:shd w:val="clear" w:color="000000" w:fill="auto"/>
        <w:tabs>
          <w:tab w:val="left" w:pos="540"/>
        </w:tabs>
        <w:adjustRightInd w:val="0"/>
        <w:snapToGrid w:val="0"/>
        <w:spacing w:before="240" w:beforeLines="100" w:line="360" w:lineRule="auto"/>
        <w:outlineLvl w:val="2"/>
        <w:rPr>
          <w:rFonts w:ascii="仿宋" w:hAnsi="仿宋" w:eastAsia="仿宋" w:cs="Times New Roman"/>
          <w:b/>
          <w:bCs/>
          <w:color w:val="auto"/>
          <w:sz w:val="24"/>
          <w:szCs w:val="24"/>
          <w:highlight w:val="none"/>
        </w:rPr>
      </w:pPr>
      <w:bookmarkStart w:id="390" w:name="_Toc1201"/>
      <w:bookmarkStart w:id="391" w:name="_Toc469384070"/>
      <w:bookmarkStart w:id="392" w:name="_Toc10624911"/>
      <w:r>
        <w:rPr>
          <w:rFonts w:ascii="仿宋" w:hAnsi="仿宋" w:eastAsia="仿宋" w:cs="仿宋"/>
          <w:b/>
          <w:bCs/>
          <w:color w:val="auto"/>
          <w:sz w:val="24"/>
          <w:szCs w:val="24"/>
          <w:highlight w:val="none"/>
        </w:rPr>
        <w:t xml:space="preserve">86  </w:t>
      </w:r>
      <w:r>
        <w:rPr>
          <w:rFonts w:hint="eastAsia" w:ascii="仿宋" w:hAnsi="仿宋" w:eastAsia="仿宋" w:cs="仿宋"/>
          <w:b/>
          <w:bCs/>
          <w:color w:val="auto"/>
          <w:sz w:val="24"/>
          <w:szCs w:val="24"/>
          <w:highlight w:val="none"/>
        </w:rPr>
        <w:t>合同争议</w:t>
      </w:r>
      <w:bookmarkEnd w:id="390"/>
      <w:bookmarkEnd w:id="391"/>
      <w:bookmarkEnd w:id="392"/>
    </w:p>
    <w:p>
      <w:pPr>
        <w:pStyle w:val="2"/>
        <w:shd w:val="clear" w:color="000000" w:fill="auto"/>
        <w:adjustRightInd w:val="0"/>
        <w:snapToGrid w:val="0"/>
        <w:rPr>
          <w:rFonts w:ascii="仿宋" w:hAnsi="仿宋" w:eastAsia="仿宋" w:cs="仿宋"/>
          <w:b/>
          <w:bCs/>
          <w:color w:val="auto"/>
          <w:sz w:val="24"/>
          <w:szCs w:val="24"/>
          <w:highlight w:val="none"/>
        </w:rPr>
      </w:pPr>
      <w:r>
        <w:rPr>
          <w:color w:val="auto"/>
          <w:highlight w:val="none"/>
        </w:rPr>
        <mc:AlternateContent>
          <mc:Choice Requires="wps">
            <w:drawing>
              <wp:anchor distT="0" distB="0" distL="114300" distR="114300" simplePos="0" relativeHeight="252040192" behindDoc="0" locked="0" layoutInCell="1" allowOverlap="1">
                <wp:simplePos x="0" y="0"/>
                <wp:positionH relativeFrom="column">
                  <wp:posOffset>-114300</wp:posOffset>
                </wp:positionH>
                <wp:positionV relativeFrom="paragraph">
                  <wp:posOffset>284480</wp:posOffset>
                </wp:positionV>
                <wp:extent cx="914400" cy="469900"/>
                <wp:effectExtent l="0" t="0" r="0" b="0"/>
                <wp:wrapNone/>
                <wp:docPr id="373" name="文本框 377"/>
                <wp:cNvGraphicFramePr/>
                <a:graphic xmlns:a="http://schemas.openxmlformats.org/drawingml/2006/main">
                  <a:graphicData uri="http://schemas.microsoft.com/office/word/2010/wordprocessingShape">
                    <wps:wsp>
                      <wps:cNvSpPr txBox="1"/>
                      <wps:spPr>
                        <a:xfrm>
                          <a:off x="0" y="0"/>
                          <a:ext cx="914400" cy="46990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认可暂定结果或产生争议</w:t>
                            </w:r>
                          </w:p>
                        </w:txbxContent>
                      </wps:txbx>
                      <wps:bodyPr upright="1"/>
                    </wps:wsp>
                  </a:graphicData>
                </a:graphic>
              </wp:anchor>
            </w:drawing>
          </mc:Choice>
          <mc:Fallback>
            <w:pict>
              <v:shape id="文本框 377" o:spid="_x0000_s1026" o:spt="202" type="#_x0000_t202" style="position:absolute;left:0pt;margin-left:-9pt;margin-top:22.4pt;height:37pt;width:72pt;z-index:252040192;mso-width-relative:page;mso-height-relative:page;" filled="f" stroked="f" coordsize="21600,21600" o:gfxdata="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Amw5q&#10;1wAAAAoBAAAPAAAAAAAAAAEAIAAAACIAAABkcnMvZG93bnJldi54bWxQSwECFAAUAAAACACHTuJA&#10;h5CVlrABAABRAwAADgAAAAAAAAABACAAAAAmAQAAZHJzL2Uyb0RvYy54bWxQSwUGAAAAAAYABgBZ&#10;AQAASA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认可暂定结果或产生争议</w:t>
                      </w:r>
                    </w:p>
                  </w:txbxContent>
                </v:textbox>
              </v:shape>
            </w:pict>
          </mc:Fallback>
        </mc:AlternateContent>
      </w:r>
      <w:r>
        <w:rPr>
          <w:rFonts w:ascii="仿宋" w:hAnsi="仿宋" w:eastAsia="仿宋" w:cs="仿宋"/>
          <w:b/>
          <w:bCs/>
          <w:color w:val="auto"/>
          <w:sz w:val="24"/>
          <w:szCs w:val="24"/>
          <w:highlight w:val="none"/>
        </w:rPr>
        <w:t xml:space="preserve">86.1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本合同履行期间，合同双方当事人应在收到监理工程师或造价工程师依据合同约定作出暂定结果之后的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对暂定结果予以确认或提出意见。合同双方对暂定结果认可的，应以书面形式予以确认，暂定结果成为最终决定，对合同双方当事人都有约束力；合同双方或一方当事人不同意暂定结果的，应以书面形式向监理工程师或造价工程师提出，说明自己认为正确的结果，同时抄送另一方当事人，此时该暂定结果成为争议。除非本合同已解除，在暂定结果不实质影响合同双方当事人履约的前提下，合同双方当事人应实施该结果，直到其被改变为止。</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合同双方当事人在收到监理工程师或造价工程师的暂定结果之日起，超过</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天，未对暂定结果予以确认也未提出意见的，视为合同双方当事人已认可暂定结果。</w:t>
      </w:r>
    </w:p>
    <w:p>
      <w:pPr>
        <w:pStyle w:val="2"/>
        <w:shd w:val="clear" w:color="000000" w:fill="auto"/>
        <w:tabs>
          <w:tab w:val="left" w:pos="1320"/>
        </w:tabs>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86.2  </w:t>
      </w:r>
      <w:r>
        <w:rPr>
          <w:rFonts w:ascii="仿宋" w:hAnsi="仿宋" w:eastAsia="仿宋" w:cs="仿宋"/>
          <w:b/>
          <w:bCs/>
          <w:color w:val="auto"/>
          <w:sz w:val="24"/>
          <w:szCs w:val="24"/>
          <w:highlight w:val="none"/>
          <w:u w:val="dotted"/>
        </w:rPr>
        <w:t xml:space="preserve">                                                                                                        </w:t>
      </w:r>
    </w:p>
    <w:p>
      <w:pPr>
        <w:pStyle w:val="2"/>
        <w:shd w:val="clear" w:color="000000" w:fill="auto"/>
        <w:tabs>
          <w:tab w:val="left" w:pos="1320"/>
        </w:tabs>
        <w:adjustRightInd w:val="0"/>
        <w:snapToGrid w:val="0"/>
        <w:spacing w:line="360" w:lineRule="auto"/>
        <w:ind w:left="1680" w:leftChars="800"/>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2041216" behindDoc="0" locked="0" layoutInCell="1" allowOverlap="1">
                <wp:simplePos x="0" y="0"/>
                <wp:positionH relativeFrom="column">
                  <wp:posOffset>-114300</wp:posOffset>
                </wp:positionH>
                <wp:positionV relativeFrom="paragraph">
                  <wp:posOffset>26670</wp:posOffset>
                </wp:positionV>
                <wp:extent cx="800100" cy="373380"/>
                <wp:effectExtent l="0" t="0" r="0" b="0"/>
                <wp:wrapNone/>
                <wp:docPr id="374" name="文本框 378"/>
                <wp:cNvGraphicFramePr/>
                <a:graphic xmlns:a="http://schemas.openxmlformats.org/drawingml/2006/main">
                  <a:graphicData uri="http://schemas.microsoft.com/office/word/2010/wordprocessingShape">
                    <wps:wsp>
                      <wps:cNvSpPr txBox="1"/>
                      <wps:spPr>
                        <a:xfrm>
                          <a:off x="0" y="0"/>
                          <a:ext cx="800100" cy="37338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双方协商</w:t>
                            </w:r>
                          </w:p>
                        </w:txbxContent>
                      </wps:txbx>
                      <wps:bodyPr upright="1"/>
                    </wps:wsp>
                  </a:graphicData>
                </a:graphic>
              </wp:anchor>
            </w:drawing>
          </mc:Choice>
          <mc:Fallback>
            <w:pict>
              <v:shape id="文本框 378" o:spid="_x0000_s1026" o:spt="202" type="#_x0000_t202" style="position:absolute;left:0pt;margin-left:-9pt;margin-top:2.1pt;height:29.4pt;width:63pt;z-index:252041216;mso-width-relative:page;mso-height-relative:page;" filled="f" stroked="f" coordsize="21600,21600" o:gfxdata="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Ab9mWnUAAAA&#10;CAEAAA8AAAAAAAAAAQAgAAAAIgAAAGRycy9kb3ducmV2LnhtbFBLAQIUABQAAAAIAIdO4kB8TP6x&#10;rwEAAFEDAAAOAAAAAAAAAAEAIAAAACMBAABkcnMvZTJvRG9jLnhtbFBLBQYAAAAABgAGAFkBAABE&#10;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双方协商</w:t>
                      </w:r>
                    </w:p>
                  </w:txbxContent>
                </v:textbox>
              </v:shape>
            </w:pict>
          </mc:Fallback>
        </mc:AlternateContent>
      </w:r>
      <w:r>
        <w:rPr>
          <w:rFonts w:hint="eastAsia" w:ascii="仿宋" w:hAnsi="仿宋" w:eastAsia="仿宋" w:cs="仿宋"/>
          <w:color w:val="auto"/>
          <w:sz w:val="24"/>
          <w:szCs w:val="24"/>
          <w:highlight w:val="none"/>
        </w:rPr>
        <w:t>争议发生后的</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天内，合同双方当事人可进一步进行协商。协商达成一致的，合同双方当事人应签订书面协议，并将结果抄送监理工程师或造价工程师；协商仍不能达成一致的，按照第</w:t>
      </w:r>
      <w:r>
        <w:rPr>
          <w:rFonts w:ascii="仿宋" w:hAnsi="仿宋" w:eastAsia="仿宋" w:cs="仿宋"/>
          <w:color w:val="auto"/>
          <w:sz w:val="24"/>
          <w:szCs w:val="24"/>
          <w:highlight w:val="none"/>
        </w:rPr>
        <w:t>86.3</w:t>
      </w:r>
      <w:r>
        <w:rPr>
          <w:rFonts w:hint="eastAsia" w:ascii="仿宋" w:hAnsi="仿宋" w:eastAsia="仿宋" w:cs="仿宋"/>
          <w:color w:val="auto"/>
          <w:sz w:val="24"/>
          <w:szCs w:val="24"/>
          <w:highlight w:val="none"/>
        </w:rPr>
        <w:t>款至第</w:t>
      </w:r>
      <w:r>
        <w:rPr>
          <w:rFonts w:ascii="仿宋" w:hAnsi="仿宋" w:eastAsia="仿宋" w:cs="仿宋"/>
          <w:color w:val="auto"/>
          <w:sz w:val="24"/>
          <w:szCs w:val="24"/>
          <w:highlight w:val="none"/>
        </w:rPr>
        <w:t>86.6</w:t>
      </w:r>
      <w:r>
        <w:rPr>
          <w:rFonts w:hint="eastAsia" w:ascii="仿宋" w:hAnsi="仿宋" w:eastAsia="仿宋" w:cs="仿宋"/>
          <w:color w:val="auto"/>
          <w:sz w:val="24"/>
          <w:szCs w:val="24"/>
          <w:highlight w:val="none"/>
        </w:rPr>
        <w:t>款规定进行调解或认定、仲裁或诉讼。</w:t>
      </w:r>
    </w:p>
    <w:p>
      <w:pPr>
        <w:pStyle w:val="2"/>
        <w:shd w:val="clear" w:color="000000" w:fill="auto"/>
        <w:tabs>
          <w:tab w:val="left" w:pos="1320"/>
        </w:tabs>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86.3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42240" behindDoc="0" locked="0" layoutInCell="1" allowOverlap="1">
                <wp:simplePos x="0" y="0"/>
                <wp:positionH relativeFrom="column">
                  <wp:posOffset>-114300</wp:posOffset>
                </wp:positionH>
                <wp:positionV relativeFrom="paragraph">
                  <wp:posOffset>11430</wp:posOffset>
                </wp:positionV>
                <wp:extent cx="1028700" cy="325120"/>
                <wp:effectExtent l="0" t="0" r="0" b="0"/>
                <wp:wrapNone/>
                <wp:docPr id="375" name="文本框 379"/>
                <wp:cNvGraphicFramePr/>
                <a:graphic xmlns:a="http://schemas.openxmlformats.org/drawingml/2006/main">
                  <a:graphicData uri="http://schemas.microsoft.com/office/word/2010/wordprocessingShape">
                    <wps:wsp>
                      <wps:cNvSpPr txBox="1"/>
                      <wps:spPr>
                        <a:xfrm>
                          <a:off x="0" y="0"/>
                          <a:ext cx="1028700" cy="32512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解决争议方式</w:t>
                            </w:r>
                          </w:p>
                        </w:txbxContent>
                      </wps:txbx>
                      <wps:bodyPr upright="1"/>
                    </wps:wsp>
                  </a:graphicData>
                </a:graphic>
              </wp:anchor>
            </w:drawing>
          </mc:Choice>
          <mc:Fallback>
            <w:pict>
              <v:shape id="文本框 379" o:spid="_x0000_s1026" o:spt="202" type="#_x0000_t202" style="position:absolute;left:0pt;margin-left:-9pt;margin-top:0.9pt;height:25.6pt;width:81pt;z-index:252042240;mso-width-relative:page;mso-height-relative:page;" filled="f" stroked="f" coordsize="21600,21600" o:gfxdata="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TV4CIdQA&#10;AAAIAQAADwAAAAAAAAABACAAAAAiAAAAZHJzL2Rvd25yZXYueG1sUEsBAhQAFAAAAAgAh07iQHLL&#10;CKCxAQAAUgMAAA4AAAAAAAAAAQAgAAAAIwEAAGRycy9lMm9Eb2MueG1sUEsFBgAAAAAGAAYAWQEA&#10;AEY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解决争议方式</w:t>
                      </w:r>
                    </w:p>
                  </w:txbxContent>
                </v:textbox>
              </v:shape>
            </w:pict>
          </mc:Fallback>
        </mc:AlternateContent>
      </w:r>
      <w:r>
        <w:rPr>
          <w:rFonts w:hint="eastAsia" w:ascii="仿宋" w:hAnsi="仿宋" w:eastAsia="仿宋" w:cs="仿宋"/>
          <w:color w:val="auto"/>
          <w:sz w:val="24"/>
          <w:szCs w:val="24"/>
          <w:highlight w:val="none"/>
        </w:rPr>
        <w:t>合同双方当事人没有按照第</w:t>
      </w:r>
      <w:r>
        <w:rPr>
          <w:rFonts w:ascii="仿宋" w:hAnsi="仿宋" w:eastAsia="仿宋" w:cs="仿宋"/>
          <w:color w:val="auto"/>
          <w:sz w:val="24"/>
          <w:szCs w:val="24"/>
          <w:highlight w:val="none"/>
        </w:rPr>
        <w:t>86.2</w:t>
      </w:r>
      <w:r>
        <w:rPr>
          <w:rFonts w:hint="eastAsia" w:ascii="仿宋" w:hAnsi="仿宋" w:eastAsia="仿宋" w:cs="仿宋"/>
          <w:color w:val="auto"/>
          <w:sz w:val="24"/>
          <w:szCs w:val="24"/>
          <w:highlight w:val="none"/>
        </w:rPr>
        <w:t>款规定进一步协商的，或虽然协商但未在规定期限内达成一致的，合同双方或一方当事人可在争议发生后的</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天内，将争议提交争议调解或认定机构处理，或直接按照专用条款第</w:t>
      </w:r>
      <w:r>
        <w:rPr>
          <w:rFonts w:ascii="仿宋" w:hAnsi="仿宋" w:eastAsia="仿宋" w:cs="仿宋"/>
          <w:color w:val="auto"/>
          <w:sz w:val="24"/>
          <w:szCs w:val="24"/>
          <w:highlight w:val="none"/>
        </w:rPr>
        <w:t>86.6</w:t>
      </w:r>
      <w:r>
        <w:rPr>
          <w:rFonts w:hint="eastAsia" w:ascii="仿宋" w:hAnsi="仿宋" w:eastAsia="仿宋" w:cs="仿宋"/>
          <w:color w:val="auto"/>
          <w:sz w:val="24"/>
          <w:szCs w:val="24"/>
          <w:highlight w:val="none"/>
        </w:rPr>
        <w:t>款规定提请仲裁或诉讼。</w:t>
      </w:r>
    </w:p>
    <w:p>
      <w:pPr>
        <w:pStyle w:val="2"/>
        <w:shd w:val="clear" w:color="000000" w:fill="auto"/>
        <w:tabs>
          <w:tab w:val="left" w:pos="1320"/>
        </w:tabs>
        <w:adjustRightInd w:val="0"/>
        <w:snapToGrid w:val="0"/>
        <w:spacing w:line="360" w:lineRule="auto"/>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86.4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43264" behindDoc="0" locked="0" layoutInCell="1" allowOverlap="1">
                <wp:simplePos x="0" y="0"/>
                <wp:positionH relativeFrom="column">
                  <wp:posOffset>-114300</wp:posOffset>
                </wp:positionH>
                <wp:positionV relativeFrom="paragraph">
                  <wp:posOffset>59690</wp:posOffset>
                </wp:positionV>
                <wp:extent cx="1028700" cy="378460"/>
                <wp:effectExtent l="0" t="0" r="0" b="0"/>
                <wp:wrapNone/>
                <wp:docPr id="376" name="文本框 380"/>
                <wp:cNvGraphicFramePr/>
                <a:graphic xmlns:a="http://schemas.openxmlformats.org/drawingml/2006/main">
                  <a:graphicData uri="http://schemas.microsoft.com/office/word/2010/wordprocessingShape">
                    <wps:wsp>
                      <wps:cNvSpPr txBox="1"/>
                      <wps:spPr>
                        <a:xfrm>
                          <a:off x="0" y="0"/>
                          <a:ext cx="1028700" cy="37846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调解或认定</w:t>
                            </w:r>
                          </w:p>
                        </w:txbxContent>
                      </wps:txbx>
                      <wps:bodyPr upright="1"/>
                    </wps:wsp>
                  </a:graphicData>
                </a:graphic>
              </wp:anchor>
            </w:drawing>
          </mc:Choice>
          <mc:Fallback>
            <w:pict>
              <v:shape id="文本框 380" o:spid="_x0000_s1026" o:spt="202" type="#_x0000_t202" style="position:absolute;left:0pt;margin-left:-9pt;margin-top:4.7pt;height:29.8pt;width:81pt;z-index:252043264;mso-width-relative:page;mso-height-relative:page;" filled="f" stroked="f" coordsize="21600,21600" o:gfxdata="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Fc4X5nVAAAA&#10;CAEAAA8AAAAAAAAAAQAgAAAAIgAAAGRycy9kb3ducmV2LnhtbFBLAQIUABQAAAAIAIdO4kACXabj&#10;rgEAAFIDAAAOAAAAAAAAAAEAIAAAACQBAABkcnMvZTJvRG9jLnhtbFBLBQYAAAAABgAGAFkBAABE&#10;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调解或认定</w:t>
                      </w:r>
                    </w:p>
                  </w:txbxContent>
                </v:textbox>
              </v:shape>
            </w:pict>
          </mc:Fallback>
        </mc:AlternateContent>
      </w:r>
      <w:r>
        <w:rPr>
          <w:rFonts w:hint="eastAsia" w:ascii="仿宋" w:hAnsi="仿宋" w:eastAsia="仿宋" w:cs="仿宋"/>
          <w:color w:val="auto"/>
          <w:sz w:val="24"/>
          <w:szCs w:val="24"/>
          <w:highlight w:val="none"/>
        </w:rPr>
        <w:t>争议调解或认定机构在收到争议调解或认定请求后，可组织调查、勘察、计量等工作，合同双方当事人应为其开展工作提供便利和协助。争议调解或认定机构应就争议做出书面调解或认定结果，并通知合同双方当事人。除合同双方当事人认可并在专用条款约定外，下列机构为争议调解或认定机构：</w:t>
      </w:r>
    </w:p>
    <w:p>
      <w:pPr>
        <w:pStyle w:val="2"/>
        <w:shd w:val="clear" w:color="000000" w:fill="auto"/>
        <w:adjustRightInd w:val="0"/>
        <w:snapToGrid w:val="0"/>
        <w:spacing w:line="360" w:lineRule="auto"/>
        <w:ind w:left="162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(1) </w:t>
      </w:r>
      <w:r>
        <w:rPr>
          <w:rFonts w:hint="eastAsia" w:ascii="仿宋" w:hAnsi="仿宋" w:eastAsia="仿宋" w:cs="仿宋"/>
          <w:color w:val="auto"/>
          <w:sz w:val="24"/>
          <w:szCs w:val="24"/>
          <w:highlight w:val="none"/>
        </w:rPr>
        <w:t>建设工程安全监督机构，负责有关工程安全方面争议的调解或认定；</w:t>
      </w:r>
    </w:p>
    <w:p>
      <w:pPr>
        <w:pStyle w:val="2"/>
        <w:shd w:val="clear" w:color="000000" w:fill="auto"/>
        <w:adjustRightInd w:val="0"/>
        <w:snapToGrid w:val="0"/>
        <w:spacing w:line="360" w:lineRule="auto"/>
        <w:ind w:left="162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(2) </w:t>
      </w:r>
      <w:r>
        <w:rPr>
          <w:rFonts w:hint="eastAsia" w:ascii="仿宋" w:hAnsi="仿宋" w:eastAsia="仿宋" w:cs="仿宋"/>
          <w:color w:val="auto"/>
          <w:sz w:val="24"/>
          <w:szCs w:val="24"/>
          <w:highlight w:val="none"/>
        </w:rPr>
        <w:t>建设工程质量监督机构，负责有关工程质量方面争议的调解或认定；</w:t>
      </w:r>
    </w:p>
    <w:p>
      <w:pPr>
        <w:pStyle w:val="2"/>
        <w:shd w:val="clear" w:color="000000" w:fill="auto"/>
        <w:adjustRightInd w:val="0"/>
        <w:snapToGrid w:val="0"/>
        <w:spacing w:line="360" w:lineRule="auto"/>
        <w:ind w:left="1620"/>
        <w:rPr>
          <w:rFonts w:ascii="仿宋" w:hAnsi="仿宋" w:eastAsia="仿宋" w:cs="Times New Roman"/>
          <w:b/>
          <w:bCs/>
          <w:color w:val="auto"/>
          <w:sz w:val="24"/>
          <w:szCs w:val="24"/>
          <w:highlight w:val="none"/>
        </w:rPr>
      </w:pPr>
      <w:r>
        <w:rPr>
          <w:rFonts w:ascii="仿宋" w:hAnsi="仿宋" w:eastAsia="仿宋" w:cs="仿宋"/>
          <w:color w:val="auto"/>
          <w:sz w:val="24"/>
          <w:szCs w:val="24"/>
          <w:highlight w:val="none"/>
        </w:rPr>
        <w:t xml:space="preserve">(3) </w:t>
      </w:r>
      <w:r>
        <w:rPr>
          <w:rFonts w:hint="eastAsia" w:ascii="仿宋" w:hAnsi="仿宋" w:eastAsia="仿宋" w:cs="仿宋"/>
          <w:color w:val="auto"/>
          <w:sz w:val="24"/>
          <w:szCs w:val="24"/>
          <w:highlight w:val="none"/>
        </w:rPr>
        <w:t>建设工程造价管理机构，负责有关工程造价方面争议的调解或认定。</w:t>
      </w:r>
    </w:p>
    <w:p>
      <w:pPr>
        <w:pStyle w:val="2"/>
        <w:shd w:val="clear" w:color="000000" w:fill="auto"/>
        <w:tabs>
          <w:tab w:val="left" w:pos="1320"/>
        </w:tabs>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86.5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44288" behindDoc="0" locked="0" layoutInCell="1" allowOverlap="1">
                <wp:simplePos x="0" y="0"/>
                <wp:positionH relativeFrom="column">
                  <wp:posOffset>-114300</wp:posOffset>
                </wp:positionH>
                <wp:positionV relativeFrom="paragraph">
                  <wp:posOffset>32385</wp:posOffset>
                </wp:positionV>
                <wp:extent cx="914400" cy="464820"/>
                <wp:effectExtent l="0" t="0" r="0" b="0"/>
                <wp:wrapNone/>
                <wp:docPr id="377" name="文本框 381"/>
                <wp:cNvGraphicFramePr/>
                <a:graphic xmlns:a="http://schemas.openxmlformats.org/drawingml/2006/main">
                  <a:graphicData uri="http://schemas.microsoft.com/office/word/2010/wordprocessingShape">
                    <wps:wsp>
                      <wps:cNvSpPr txBox="1"/>
                      <wps:spPr>
                        <a:xfrm>
                          <a:off x="0" y="0"/>
                          <a:ext cx="914400" cy="46482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调解或认定结果的确认</w:t>
                            </w:r>
                          </w:p>
                        </w:txbxContent>
                      </wps:txbx>
                      <wps:bodyPr upright="1"/>
                    </wps:wsp>
                  </a:graphicData>
                </a:graphic>
              </wp:anchor>
            </w:drawing>
          </mc:Choice>
          <mc:Fallback>
            <w:pict>
              <v:shape id="文本框 381" o:spid="_x0000_s1026" o:spt="202" type="#_x0000_t202" style="position:absolute;left:0pt;margin-left:-9pt;margin-top:2.55pt;height:36.6pt;width:72pt;z-index:252044288;mso-width-relative:page;mso-height-relative:page;" filled="f" stroked="f" coordsize="21600,21600" o:gfxdata="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EZba03V&#10;AAAACAEAAA8AAAAAAAAAAQAgAAAAIgAAAGRycy9kb3ducmV2LnhtbFBLAQIUABQAAAAIAIdO4kCW&#10;VrCHsQEAAFEDAAAOAAAAAAAAAAEAIAAAACQBAABkcnMvZTJvRG9jLnhtbFBLBQYAAAAABgAGAFkB&#10;AABH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调解或认定结果的确认</w:t>
                      </w:r>
                    </w:p>
                  </w:txbxContent>
                </v:textbox>
              </v:shape>
            </w:pict>
          </mc:Fallback>
        </mc:AlternateContent>
      </w:r>
      <w:r>
        <w:rPr>
          <w:rFonts w:hint="eastAsia" w:ascii="仿宋" w:hAnsi="仿宋" w:eastAsia="仿宋" w:cs="仿宋"/>
          <w:color w:val="auto"/>
          <w:sz w:val="24"/>
          <w:szCs w:val="24"/>
          <w:highlight w:val="none"/>
        </w:rPr>
        <w:t>合同双方当事人应在收到争议调解或认定机构书面结果后的</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天内，对调解或认定结果以书面形式予以确认。</w:t>
      </w:r>
    </w:p>
    <w:p>
      <w:pPr>
        <w:pStyle w:val="2"/>
        <w:shd w:val="clear" w:color="000000" w:fill="auto"/>
        <w:tabs>
          <w:tab w:val="left" w:pos="1320"/>
        </w:tabs>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86.6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45312" behindDoc="0" locked="0" layoutInCell="1" allowOverlap="1">
                <wp:simplePos x="0" y="0"/>
                <wp:positionH relativeFrom="column">
                  <wp:posOffset>-114300</wp:posOffset>
                </wp:positionH>
                <wp:positionV relativeFrom="paragraph">
                  <wp:posOffset>12065</wp:posOffset>
                </wp:positionV>
                <wp:extent cx="1028700" cy="334645"/>
                <wp:effectExtent l="0" t="0" r="0" b="0"/>
                <wp:wrapNone/>
                <wp:docPr id="378" name="文本框 382"/>
                <wp:cNvGraphicFramePr/>
                <a:graphic xmlns:a="http://schemas.openxmlformats.org/drawingml/2006/main">
                  <a:graphicData uri="http://schemas.microsoft.com/office/word/2010/wordprocessingShape">
                    <wps:wsp>
                      <wps:cNvSpPr txBox="1"/>
                      <wps:spPr>
                        <a:xfrm>
                          <a:off x="0" y="0"/>
                          <a:ext cx="1028700" cy="33464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仲裁或诉讼</w:t>
                            </w:r>
                          </w:p>
                        </w:txbxContent>
                      </wps:txbx>
                      <wps:bodyPr upright="1"/>
                    </wps:wsp>
                  </a:graphicData>
                </a:graphic>
              </wp:anchor>
            </w:drawing>
          </mc:Choice>
          <mc:Fallback>
            <w:pict>
              <v:shape id="文本框 382" o:spid="_x0000_s1026" o:spt="202" type="#_x0000_t202" style="position:absolute;left:0pt;margin-left:-9pt;margin-top:0.95pt;height:26.35pt;width:81pt;z-index:252045312;mso-width-relative:page;mso-height-relative:page;" filled="f" stroked="f" coordsize="21600,21600" o:gfxdata="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YJ+rI1QAA&#10;AAgBAAAPAAAAAAAAAAEAIAAAACIAAABkcnMvZG93bnJldi54bWxQSwECFAAUAAAACACHTuJAeSK3&#10;rq8BAABSAwAADgAAAAAAAAABACAAAAAkAQAAZHJzL2Uyb0RvYy54bWxQSwUGAAAAAAYABgBZAQAA&#10;RQ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仲裁或诉讼</w:t>
                      </w:r>
                    </w:p>
                  </w:txbxContent>
                </v:textbox>
              </v:shape>
            </w:pict>
          </mc:Fallback>
        </mc:AlternateContent>
      </w:r>
      <w:r>
        <w:rPr>
          <w:rFonts w:hint="eastAsia" w:ascii="仿宋" w:hAnsi="仿宋" w:eastAsia="仿宋" w:cs="仿宋"/>
          <w:color w:val="auto"/>
          <w:sz w:val="24"/>
          <w:szCs w:val="24"/>
          <w:highlight w:val="none"/>
        </w:rPr>
        <w:t>若合同双方或一方当事人在收到争议调解或认定机构的书面结果后明确表示不同意，或在</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天内没有书面确认，任何一方均可按照专用条款约定的下列任一种方式解决争议：</w:t>
      </w:r>
    </w:p>
    <w:p>
      <w:pPr>
        <w:pStyle w:val="2"/>
        <w:shd w:val="clear" w:color="000000" w:fill="auto"/>
        <w:adjustRightInd w:val="0"/>
        <w:snapToGrid w:val="0"/>
        <w:spacing w:line="360" w:lineRule="auto"/>
        <w:ind w:left="162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(1) </w:t>
      </w:r>
      <w:r>
        <w:rPr>
          <w:rFonts w:hint="eastAsia" w:ascii="仿宋" w:hAnsi="仿宋" w:eastAsia="仿宋" w:cs="仿宋"/>
          <w:color w:val="auto"/>
          <w:sz w:val="24"/>
          <w:szCs w:val="24"/>
          <w:highlight w:val="none"/>
        </w:rPr>
        <w:t>向约定的仲裁委员会申请仲裁；</w:t>
      </w:r>
    </w:p>
    <w:p>
      <w:pPr>
        <w:pStyle w:val="2"/>
        <w:shd w:val="clear" w:color="000000" w:fill="auto"/>
        <w:adjustRightInd w:val="0"/>
        <w:snapToGrid w:val="0"/>
        <w:spacing w:line="360" w:lineRule="auto"/>
        <w:ind w:left="162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(2) </w:t>
      </w:r>
      <w:r>
        <w:rPr>
          <w:rFonts w:hint="eastAsia" w:ascii="仿宋" w:hAnsi="仿宋" w:eastAsia="仿宋" w:cs="仿宋"/>
          <w:color w:val="auto"/>
          <w:sz w:val="24"/>
          <w:szCs w:val="24"/>
          <w:highlight w:val="none"/>
        </w:rPr>
        <w:t>向有管辖权的人民法院提起诉讼。</w:t>
      </w:r>
    </w:p>
    <w:p>
      <w:pPr>
        <w:pStyle w:val="2"/>
        <w:shd w:val="clear" w:color="000000" w:fill="auto"/>
        <w:tabs>
          <w:tab w:val="left" w:pos="1320"/>
        </w:tabs>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86.7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46336" behindDoc="0" locked="0" layoutInCell="1" allowOverlap="1">
                <wp:simplePos x="0" y="0"/>
                <wp:positionH relativeFrom="column">
                  <wp:posOffset>-114300</wp:posOffset>
                </wp:positionH>
                <wp:positionV relativeFrom="paragraph">
                  <wp:posOffset>15875</wp:posOffset>
                </wp:positionV>
                <wp:extent cx="914400" cy="460375"/>
                <wp:effectExtent l="0" t="0" r="0" b="0"/>
                <wp:wrapNone/>
                <wp:docPr id="379" name="文本框 383"/>
                <wp:cNvGraphicFramePr/>
                <a:graphic xmlns:a="http://schemas.openxmlformats.org/drawingml/2006/main">
                  <a:graphicData uri="http://schemas.microsoft.com/office/word/2010/wordprocessingShape">
                    <wps:wsp>
                      <wps:cNvSpPr txBox="1"/>
                      <wps:spPr>
                        <a:xfrm>
                          <a:off x="0" y="0"/>
                          <a:ext cx="914400" cy="46037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争议期间继续施工</w:t>
                            </w:r>
                          </w:p>
                        </w:txbxContent>
                      </wps:txbx>
                      <wps:bodyPr upright="1"/>
                    </wps:wsp>
                  </a:graphicData>
                </a:graphic>
              </wp:anchor>
            </w:drawing>
          </mc:Choice>
          <mc:Fallback>
            <w:pict>
              <v:shape id="文本框 383" o:spid="_x0000_s1026" o:spt="202" type="#_x0000_t202" style="position:absolute;left:0pt;margin-left:-9pt;margin-top:1.25pt;height:36.25pt;width:72pt;z-index:252046336;mso-width-relative:page;mso-height-relative:page;" filled="f" stroked="f" coordsize="21600,21600" o:gfxdata="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CuoOVNUA&#10;AAAIAQAADwAAAAAAAAABACAAAAAiAAAAZHJzL2Rvd25yZXYueG1sUEsBAhQAFAAAAAgAh07iQLFn&#10;o5+wAQAAUQMAAA4AAAAAAAAAAQAgAAAAJAEAAGRycy9lMm9Eb2MueG1sUEsFBgAAAAAGAAYAWQEA&#10;AEY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争议期间继续施工</w:t>
                      </w:r>
                    </w:p>
                  </w:txbxContent>
                </v:textbox>
              </v:shape>
            </w:pict>
          </mc:Fallback>
        </mc:AlternateContent>
      </w:r>
      <w:r>
        <w:rPr>
          <w:rFonts w:hint="eastAsia" w:ascii="仿宋" w:hAnsi="仿宋" w:eastAsia="仿宋" w:cs="仿宋"/>
          <w:color w:val="auto"/>
          <w:sz w:val="24"/>
          <w:szCs w:val="24"/>
          <w:highlight w:val="none"/>
        </w:rPr>
        <w:t>争议期间，除下列情况停止施工外，合同双方当事人都应继续履行合同，保持工程连续施工，保护好已完工程：</w:t>
      </w:r>
    </w:p>
    <w:p>
      <w:pPr>
        <w:pStyle w:val="2"/>
        <w:shd w:val="clear" w:color="000000" w:fill="auto"/>
        <w:adjustRightInd w:val="0"/>
        <w:snapToGrid w:val="0"/>
        <w:spacing w:line="360" w:lineRule="auto"/>
        <w:ind w:left="162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(1) </w:t>
      </w:r>
      <w:r>
        <w:rPr>
          <w:rFonts w:hint="eastAsia" w:ascii="仿宋" w:hAnsi="仿宋" w:eastAsia="仿宋" w:cs="仿宋"/>
          <w:color w:val="auto"/>
          <w:sz w:val="24"/>
          <w:szCs w:val="24"/>
          <w:highlight w:val="none"/>
        </w:rPr>
        <w:t>合同双方当事人协商同意；</w:t>
      </w:r>
    </w:p>
    <w:p>
      <w:pPr>
        <w:pStyle w:val="2"/>
        <w:shd w:val="clear" w:color="000000" w:fill="auto"/>
        <w:adjustRightInd w:val="0"/>
        <w:snapToGrid w:val="0"/>
        <w:spacing w:line="360" w:lineRule="auto"/>
        <w:ind w:left="162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(2) </w:t>
      </w:r>
      <w:r>
        <w:rPr>
          <w:rFonts w:hint="eastAsia" w:ascii="仿宋" w:hAnsi="仿宋" w:eastAsia="仿宋" w:cs="仿宋"/>
          <w:color w:val="auto"/>
          <w:sz w:val="24"/>
          <w:szCs w:val="24"/>
          <w:highlight w:val="none"/>
        </w:rPr>
        <w:t>合同一方当事人违约导致合同无法履行；</w:t>
      </w:r>
    </w:p>
    <w:p>
      <w:pPr>
        <w:pStyle w:val="2"/>
        <w:shd w:val="clear" w:color="000000" w:fill="auto"/>
        <w:adjustRightInd w:val="0"/>
        <w:snapToGrid w:val="0"/>
        <w:spacing w:line="360" w:lineRule="auto"/>
        <w:ind w:left="162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(3) </w:t>
      </w:r>
      <w:r>
        <w:rPr>
          <w:rFonts w:hint="eastAsia" w:ascii="仿宋" w:hAnsi="仿宋" w:eastAsia="仿宋" w:cs="仿宋"/>
          <w:color w:val="auto"/>
          <w:sz w:val="24"/>
          <w:szCs w:val="24"/>
          <w:highlight w:val="none"/>
        </w:rPr>
        <w:t>工程造价管理机构调解需要，且合同双方当事人同意；</w:t>
      </w:r>
    </w:p>
    <w:p>
      <w:pPr>
        <w:pStyle w:val="2"/>
        <w:shd w:val="clear" w:color="000000" w:fill="auto"/>
        <w:adjustRightInd w:val="0"/>
        <w:snapToGrid w:val="0"/>
        <w:spacing w:line="360" w:lineRule="auto"/>
        <w:ind w:left="162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(4) </w:t>
      </w:r>
      <w:r>
        <w:rPr>
          <w:rFonts w:hint="eastAsia" w:ascii="仿宋" w:hAnsi="仿宋" w:eastAsia="仿宋" w:cs="仿宋"/>
          <w:color w:val="auto"/>
          <w:sz w:val="24"/>
          <w:szCs w:val="24"/>
          <w:highlight w:val="none"/>
        </w:rPr>
        <w:t>仲裁委员会仲裁需要，且合同双方当事人同意：</w:t>
      </w:r>
    </w:p>
    <w:p>
      <w:pPr>
        <w:pStyle w:val="2"/>
        <w:shd w:val="clear" w:color="000000" w:fill="auto"/>
        <w:adjustRightInd w:val="0"/>
        <w:snapToGrid w:val="0"/>
        <w:spacing w:line="360" w:lineRule="auto"/>
        <w:ind w:firstLine="1560" w:firstLineChars="65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 xml:space="preserve">(5) </w:t>
      </w:r>
      <w:r>
        <w:rPr>
          <w:rFonts w:hint="eastAsia" w:ascii="仿宋" w:hAnsi="仿宋" w:eastAsia="仿宋" w:cs="仿宋"/>
          <w:color w:val="auto"/>
          <w:sz w:val="24"/>
          <w:szCs w:val="24"/>
          <w:highlight w:val="none"/>
        </w:rPr>
        <w:t>人民法院诉讼需要。</w:t>
      </w:r>
    </w:p>
    <w:p>
      <w:pPr>
        <w:pStyle w:val="2"/>
        <w:shd w:val="clear" w:color="000000" w:fill="auto"/>
        <w:tabs>
          <w:tab w:val="left" w:pos="1620"/>
        </w:tabs>
        <w:adjustRightInd w:val="0"/>
        <w:snapToGrid w:val="0"/>
        <w:spacing w:line="240" w:lineRule="exact"/>
        <w:ind w:right="-240"/>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
        <w:shd w:val="clear" w:color="000000" w:fill="auto"/>
        <w:tabs>
          <w:tab w:val="left" w:pos="540"/>
        </w:tabs>
        <w:adjustRightInd w:val="0"/>
        <w:snapToGrid w:val="0"/>
        <w:spacing w:before="240" w:beforeLines="100" w:line="360" w:lineRule="auto"/>
        <w:outlineLvl w:val="2"/>
        <w:rPr>
          <w:rFonts w:ascii="仿宋" w:hAnsi="仿宋" w:eastAsia="仿宋" w:cs="Times New Roman"/>
          <w:b/>
          <w:bCs/>
          <w:color w:val="auto"/>
          <w:sz w:val="24"/>
          <w:szCs w:val="24"/>
          <w:highlight w:val="none"/>
        </w:rPr>
      </w:pPr>
      <w:bookmarkStart w:id="393" w:name="_Toc29846"/>
      <w:bookmarkStart w:id="394" w:name="_Toc469384071"/>
      <w:bookmarkStart w:id="395" w:name="_Toc10624912"/>
      <w:r>
        <w:rPr>
          <w:rFonts w:ascii="仿宋" w:hAnsi="仿宋" w:eastAsia="仿宋" w:cs="仿宋"/>
          <w:b/>
          <w:bCs/>
          <w:color w:val="auto"/>
          <w:sz w:val="24"/>
          <w:szCs w:val="24"/>
          <w:highlight w:val="none"/>
        </w:rPr>
        <w:t xml:space="preserve">87  </w:t>
      </w:r>
      <w:r>
        <w:rPr>
          <w:rFonts w:hint="eastAsia" w:ascii="仿宋" w:hAnsi="仿宋" w:eastAsia="仿宋" w:cs="仿宋"/>
          <w:b/>
          <w:bCs/>
          <w:color w:val="auto"/>
          <w:sz w:val="24"/>
          <w:szCs w:val="24"/>
          <w:highlight w:val="none"/>
        </w:rPr>
        <w:t>合同解除</w:t>
      </w:r>
      <w:bookmarkEnd w:id="393"/>
      <w:bookmarkEnd w:id="394"/>
      <w:bookmarkEnd w:id="395"/>
    </w:p>
    <w:p>
      <w:pPr>
        <w:pStyle w:val="2"/>
        <w:shd w:val="clear" w:color="000000" w:fill="auto"/>
        <w:adjustRightInd w:val="0"/>
        <w:snapToGrid w:val="0"/>
        <w:spacing w:line="360" w:lineRule="auto"/>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87.1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47360" behindDoc="0" locked="0" layoutInCell="1" allowOverlap="1">
                <wp:simplePos x="0" y="0"/>
                <wp:positionH relativeFrom="column">
                  <wp:posOffset>-114300</wp:posOffset>
                </wp:positionH>
                <wp:positionV relativeFrom="paragraph">
                  <wp:posOffset>-3810</wp:posOffset>
                </wp:positionV>
                <wp:extent cx="1028700" cy="263525"/>
                <wp:effectExtent l="0" t="0" r="0" b="0"/>
                <wp:wrapNone/>
                <wp:docPr id="380" name="文本框 384"/>
                <wp:cNvGraphicFramePr/>
                <a:graphic xmlns:a="http://schemas.openxmlformats.org/drawingml/2006/main">
                  <a:graphicData uri="http://schemas.microsoft.com/office/word/2010/wordprocessingShape">
                    <wps:wsp>
                      <wps:cNvSpPr txBox="1"/>
                      <wps:spPr>
                        <a:xfrm>
                          <a:off x="0" y="0"/>
                          <a:ext cx="1028700" cy="26352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协商一致解除</w:t>
                            </w:r>
                          </w:p>
                        </w:txbxContent>
                      </wps:txbx>
                      <wps:bodyPr upright="1"/>
                    </wps:wsp>
                  </a:graphicData>
                </a:graphic>
              </wp:anchor>
            </w:drawing>
          </mc:Choice>
          <mc:Fallback>
            <w:pict>
              <v:shape id="文本框 384" o:spid="_x0000_s1026" o:spt="202" type="#_x0000_t202" style="position:absolute;left:0pt;margin-left:-9pt;margin-top:-0.3pt;height:20.75pt;width:81pt;z-index:252047360;mso-width-relative:page;mso-height-relative:page;" filled="f" stroked="f" coordsize="21600,21600" o:gfxdata="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Grsm6bUAAAA&#10;CAEAAA8AAAAAAAAAAQAgAAAAIgAAAGRycy9kb3ducmV2LnhtbFBLAQIUABQAAAAIAIdO4kBapM2O&#10;rwEAAFIDAAAOAAAAAAAAAAEAIAAAACMBAABkcnMvZTJvRG9jLnhtbFBLBQYAAAAABgAGAFkBAABE&#10;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协商一致解除</w:t>
                      </w:r>
                    </w:p>
                  </w:txbxContent>
                </v:textbox>
              </v:shape>
            </w:pict>
          </mc:Fallback>
        </mc:AlternateContent>
      </w:r>
      <w:r>
        <w:rPr>
          <w:rFonts w:hint="eastAsia" w:ascii="仿宋" w:hAnsi="仿宋" w:eastAsia="仿宋" w:cs="仿宋"/>
          <w:color w:val="auto"/>
          <w:sz w:val="24"/>
          <w:szCs w:val="24"/>
          <w:highlight w:val="none"/>
        </w:rPr>
        <w:t>合同双方当事人协商一致，可以解除合同。</w:t>
      </w:r>
    </w:p>
    <w:p>
      <w:pPr>
        <w:shd w:val="clear" w:color="000000" w:fill="auto"/>
        <w:rPr>
          <w:rFonts w:cs="Times New Roman"/>
          <w:color w:val="auto"/>
          <w:highlight w:val="none"/>
        </w:rPr>
      </w:pPr>
    </w:p>
    <w:p>
      <w:pPr>
        <w:pStyle w:val="2"/>
        <w:shd w:val="clear" w:color="000000" w:fill="auto"/>
        <w:tabs>
          <w:tab w:val="left" w:pos="1320"/>
        </w:tabs>
        <w:adjustRightInd w:val="0"/>
        <w:snapToGrid w:val="0"/>
        <w:spacing w:line="360" w:lineRule="auto"/>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48384" behindDoc="0" locked="0" layoutInCell="1" allowOverlap="1">
                <wp:simplePos x="0" y="0"/>
                <wp:positionH relativeFrom="column">
                  <wp:posOffset>-114300</wp:posOffset>
                </wp:positionH>
                <wp:positionV relativeFrom="paragraph">
                  <wp:posOffset>291465</wp:posOffset>
                </wp:positionV>
                <wp:extent cx="914400" cy="495300"/>
                <wp:effectExtent l="0" t="0" r="0" b="0"/>
                <wp:wrapNone/>
                <wp:docPr id="381" name="文本框 385"/>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不可抗力导致解除</w:t>
                            </w:r>
                          </w:p>
                        </w:txbxContent>
                      </wps:txbx>
                      <wps:bodyPr upright="1"/>
                    </wps:wsp>
                  </a:graphicData>
                </a:graphic>
              </wp:anchor>
            </w:drawing>
          </mc:Choice>
          <mc:Fallback>
            <w:pict>
              <v:shape id="文本框 385" o:spid="_x0000_s1026" o:spt="202" type="#_x0000_t202" style="position:absolute;left:0pt;margin-left:-9pt;margin-top:22.95pt;height:39pt;width:72pt;z-index:252048384;mso-width-relative:page;mso-height-relative:page;" filled="f" stroked="f" coordsize="21600,21600" o:gfxdata="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6Pj5&#10;1wAAAAoBAAAPAAAAAAAAAAEAIAAAACIAAABkcnMvZG93bnJldi54bWxQSwECFAAUAAAACACHTuJA&#10;muprJrABAABRAwAADgAAAAAAAAABACAAAAAmAQAAZHJzL2Uyb0RvYy54bWxQSwUGAAAAAAYABgBZ&#10;AQAASA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不可抗力导致解除</w:t>
                      </w:r>
                    </w:p>
                  </w:txbxContent>
                </v:textbox>
              </v:shape>
            </w:pict>
          </mc:Fallback>
        </mc:AlternateContent>
      </w:r>
      <w:r>
        <w:rPr>
          <w:rFonts w:ascii="仿宋" w:hAnsi="仿宋" w:eastAsia="仿宋" w:cs="仿宋"/>
          <w:b/>
          <w:bCs/>
          <w:color w:val="auto"/>
          <w:sz w:val="24"/>
          <w:szCs w:val="24"/>
          <w:highlight w:val="none"/>
        </w:rPr>
        <w:t xml:space="preserve">87.2  </w:t>
      </w:r>
      <w:r>
        <w:rPr>
          <w:rFonts w:ascii="仿宋" w:hAnsi="仿宋" w:eastAsia="仿宋" w:cs="仿宋"/>
          <w:b/>
          <w:bCs/>
          <w:color w:val="auto"/>
          <w:sz w:val="24"/>
          <w:szCs w:val="24"/>
          <w:highlight w:val="none"/>
          <w:u w:val="dotted"/>
        </w:rPr>
        <w:t xml:space="preserve">  </w:t>
      </w:r>
      <w:r>
        <w:rPr>
          <w:rFonts w:ascii="仿宋" w:hAnsi="仿宋" w:eastAsia="仿宋" w:cs="仿宋"/>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因不可抗力事件致使合同无法继续履行的，合同双方当事人可以解除合同。</w:t>
      </w:r>
    </w:p>
    <w:p>
      <w:pPr>
        <w:shd w:val="clear" w:color="000000" w:fill="auto"/>
        <w:rPr>
          <w:rFonts w:cs="Times New Roman"/>
          <w:color w:val="auto"/>
          <w:highlight w:val="none"/>
        </w:rPr>
      </w:pPr>
    </w:p>
    <w:p>
      <w:pPr>
        <w:pStyle w:val="2"/>
        <w:shd w:val="clear" w:color="000000" w:fill="auto"/>
        <w:tabs>
          <w:tab w:val="left" w:pos="1320"/>
        </w:tabs>
        <w:adjustRightInd w:val="0"/>
        <w:snapToGrid w:val="0"/>
        <w:spacing w:line="360" w:lineRule="auto"/>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87.3 </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49408" behindDoc="0" locked="0" layoutInCell="1" allowOverlap="1">
                <wp:simplePos x="0" y="0"/>
                <wp:positionH relativeFrom="column">
                  <wp:posOffset>-114300</wp:posOffset>
                </wp:positionH>
                <wp:positionV relativeFrom="paragraph">
                  <wp:posOffset>37465</wp:posOffset>
                </wp:positionV>
                <wp:extent cx="914400" cy="404495"/>
                <wp:effectExtent l="0" t="0" r="0" b="0"/>
                <wp:wrapNone/>
                <wp:docPr id="382" name="文本框 386"/>
                <wp:cNvGraphicFramePr/>
                <a:graphic xmlns:a="http://schemas.openxmlformats.org/drawingml/2006/main">
                  <a:graphicData uri="http://schemas.microsoft.com/office/word/2010/wordprocessingShape">
                    <wps:wsp>
                      <wps:cNvSpPr txBox="1"/>
                      <wps:spPr>
                        <a:xfrm>
                          <a:off x="0" y="0"/>
                          <a:ext cx="914400" cy="40449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因承包人的原因解除</w:t>
                            </w:r>
                          </w:p>
                        </w:txbxContent>
                      </wps:txbx>
                      <wps:bodyPr upright="1"/>
                    </wps:wsp>
                  </a:graphicData>
                </a:graphic>
              </wp:anchor>
            </w:drawing>
          </mc:Choice>
          <mc:Fallback>
            <w:pict>
              <v:shape id="文本框 386" o:spid="_x0000_s1026" o:spt="202" type="#_x0000_t202" style="position:absolute;left:0pt;margin-left:-9pt;margin-top:2.95pt;height:31.85pt;width:72pt;z-index:252049408;mso-width-relative:page;mso-height-relative:page;" filled="f" stroked="f" coordsize="21600,21600" o:gfxdata="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Ct/8+dUA&#10;AAAIAQAADwAAAAAAAAABACAAAAAiAAAAZHJzL2Rvd25yZXYueG1sUEsBAhQAFAAAAAgAh07iQABV&#10;XZmwAQAAUQMAAA4AAAAAAAAAAQAgAAAAJAEAAGRycy9lMm9Eb2MueG1sUEsFBgAAAAAGAAYAWQEA&#10;AEY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因承包人的原因解除</w:t>
                      </w:r>
                    </w:p>
                  </w:txbxContent>
                </v:textbox>
              </v:shape>
            </w:pict>
          </mc:Fallback>
        </mc:AlternateContent>
      </w:r>
      <w:r>
        <w:rPr>
          <w:rFonts w:hint="eastAsia" w:ascii="仿宋" w:hAnsi="仿宋" w:eastAsia="仿宋" w:cs="仿宋"/>
          <w:color w:val="auto"/>
          <w:sz w:val="24"/>
          <w:szCs w:val="24"/>
          <w:highlight w:val="none"/>
        </w:rPr>
        <w:t>承包人有下列情形之一者，发包人可以解除合同：</w:t>
      </w:r>
    </w:p>
    <w:p>
      <w:pPr>
        <w:pStyle w:val="2"/>
        <w:numPr>
          <w:ilvl w:val="0"/>
          <w:numId w:val="23"/>
        </w:numPr>
        <w:shd w:val="clear" w:color="000000" w:fill="auto"/>
        <w:adjustRightInd w:val="0"/>
        <w:snapToGrid w:val="0"/>
        <w:spacing w:line="360" w:lineRule="auto"/>
        <w:ind w:left="1618" w:leftChars="770" w:hanging="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承包人未能按照第</w:t>
      </w:r>
      <w:r>
        <w:rPr>
          <w:rFonts w:ascii="仿宋" w:hAnsi="仿宋" w:eastAsia="仿宋" w:cs="仿宋"/>
          <w:color w:val="auto"/>
          <w:sz w:val="24"/>
          <w:szCs w:val="24"/>
          <w:highlight w:val="none"/>
        </w:rPr>
        <w:t>34.2</w:t>
      </w:r>
      <w:r>
        <w:rPr>
          <w:rFonts w:hint="eastAsia" w:ascii="仿宋" w:hAnsi="仿宋" w:eastAsia="仿宋" w:cs="仿宋"/>
          <w:color w:val="auto"/>
          <w:sz w:val="24"/>
          <w:szCs w:val="24"/>
          <w:highlight w:val="none"/>
        </w:rPr>
        <w:t>款规定的开工期限内开工，经监理工程师催告后的</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天内仍未开工的；</w:t>
      </w:r>
    </w:p>
    <w:p>
      <w:pPr>
        <w:pStyle w:val="2"/>
        <w:numPr>
          <w:ilvl w:val="0"/>
          <w:numId w:val="23"/>
        </w:numPr>
        <w:shd w:val="clear" w:color="000000" w:fill="auto"/>
        <w:adjustRightInd w:val="0"/>
        <w:snapToGrid w:val="0"/>
        <w:spacing w:line="360" w:lineRule="auto"/>
        <w:ind w:left="1621" w:leftChars="771" w:hanging="2"/>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按照第</w:t>
      </w:r>
      <w:r>
        <w:rPr>
          <w:rFonts w:ascii="仿宋" w:hAnsi="仿宋" w:eastAsia="仿宋" w:cs="仿宋"/>
          <w:color w:val="auto"/>
          <w:sz w:val="24"/>
          <w:szCs w:val="24"/>
          <w:highlight w:val="none"/>
        </w:rPr>
        <w:t>33</w:t>
      </w:r>
      <w:r>
        <w:rPr>
          <w:rFonts w:hint="eastAsia" w:ascii="仿宋" w:hAnsi="仿宋" w:eastAsia="仿宋" w:cs="仿宋"/>
          <w:color w:val="auto"/>
          <w:sz w:val="24"/>
          <w:szCs w:val="24"/>
          <w:highlight w:val="none"/>
        </w:rPr>
        <w:t>条规定的进度计划未表明有停工且监理工程师也未按照第</w:t>
      </w:r>
      <w:r>
        <w:rPr>
          <w:rFonts w:ascii="仿宋" w:hAnsi="仿宋" w:eastAsia="仿宋" w:cs="仿宋"/>
          <w:color w:val="auto"/>
          <w:sz w:val="24"/>
          <w:szCs w:val="24"/>
          <w:highlight w:val="none"/>
        </w:rPr>
        <w:t>35.1</w:t>
      </w:r>
      <w:r>
        <w:rPr>
          <w:rFonts w:hint="eastAsia" w:ascii="仿宋" w:hAnsi="仿宋" w:eastAsia="仿宋" w:cs="仿宋"/>
          <w:color w:val="auto"/>
          <w:sz w:val="24"/>
          <w:szCs w:val="24"/>
          <w:highlight w:val="none"/>
        </w:rPr>
        <w:t>款规定发出暂停施工令，但承包人停止施工时间持续达</w:t>
      </w:r>
      <w:r>
        <w:rPr>
          <w:rFonts w:ascii="仿宋" w:hAnsi="仿宋" w:eastAsia="仿宋" w:cs="仿宋"/>
          <w:color w:val="auto"/>
          <w:sz w:val="24"/>
          <w:szCs w:val="24"/>
          <w:highlight w:val="none"/>
        </w:rPr>
        <w:t>56</w:t>
      </w:r>
      <w:r>
        <w:rPr>
          <w:rFonts w:hint="eastAsia" w:ascii="仿宋" w:hAnsi="仿宋" w:eastAsia="仿宋" w:cs="仿宋"/>
          <w:color w:val="auto"/>
          <w:sz w:val="24"/>
          <w:szCs w:val="24"/>
          <w:highlight w:val="none"/>
        </w:rPr>
        <w:t>天或累计停止施工时间达</w:t>
      </w:r>
      <w:r>
        <w:rPr>
          <w:rFonts w:ascii="仿宋" w:hAnsi="仿宋" w:eastAsia="仿宋" w:cs="仿宋"/>
          <w:color w:val="auto"/>
          <w:sz w:val="24"/>
          <w:szCs w:val="24"/>
          <w:highlight w:val="none"/>
        </w:rPr>
        <w:t>70</w:t>
      </w:r>
      <w:r>
        <w:rPr>
          <w:rFonts w:hint="eastAsia" w:ascii="仿宋" w:hAnsi="仿宋" w:eastAsia="仿宋" w:cs="仿宋"/>
          <w:color w:val="auto"/>
          <w:sz w:val="24"/>
          <w:szCs w:val="24"/>
          <w:highlight w:val="none"/>
        </w:rPr>
        <w:t>天的；</w:t>
      </w:r>
    </w:p>
    <w:p>
      <w:pPr>
        <w:pStyle w:val="2"/>
        <w:numPr>
          <w:ilvl w:val="0"/>
          <w:numId w:val="23"/>
        </w:numPr>
        <w:shd w:val="clear" w:color="000000" w:fill="auto"/>
        <w:tabs>
          <w:tab w:val="left" w:pos="1680"/>
          <w:tab w:val="clear" w:pos="1560"/>
        </w:tabs>
        <w:adjustRightInd w:val="0"/>
        <w:snapToGrid w:val="0"/>
        <w:spacing w:line="360" w:lineRule="auto"/>
        <w:ind w:left="1659" w:leftChars="770" w:hanging="42"/>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承包人违反第</w:t>
      </w:r>
      <w:r>
        <w:rPr>
          <w:rFonts w:ascii="仿宋" w:hAnsi="仿宋" w:eastAsia="仿宋" w:cs="仿宋"/>
          <w:color w:val="auto"/>
          <w:sz w:val="24"/>
          <w:szCs w:val="24"/>
          <w:highlight w:val="none"/>
        </w:rPr>
        <w:t>18.1</w:t>
      </w:r>
      <w:r>
        <w:rPr>
          <w:rFonts w:hint="eastAsia" w:ascii="仿宋" w:hAnsi="仿宋" w:eastAsia="仿宋" w:cs="仿宋"/>
          <w:color w:val="auto"/>
          <w:sz w:val="24"/>
          <w:szCs w:val="24"/>
          <w:highlight w:val="none"/>
        </w:rPr>
        <w:t>款或第</w:t>
      </w:r>
      <w:r>
        <w:rPr>
          <w:rFonts w:ascii="仿宋" w:hAnsi="仿宋" w:eastAsia="仿宋" w:cs="仿宋"/>
          <w:color w:val="auto"/>
          <w:sz w:val="24"/>
          <w:szCs w:val="24"/>
          <w:highlight w:val="none"/>
        </w:rPr>
        <w:t>51.4</w:t>
      </w:r>
      <w:r>
        <w:rPr>
          <w:rFonts w:hint="eastAsia" w:ascii="仿宋" w:hAnsi="仿宋" w:eastAsia="仿宋" w:cs="仿宋"/>
          <w:color w:val="auto"/>
          <w:sz w:val="24"/>
          <w:szCs w:val="24"/>
          <w:highlight w:val="none"/>
        </w:rPr>
        <w:t>款规定未经监理工程师批准，私自将已按照合同约定进入施工现场的施工设备、临时设施或材料运出施工现场的；</w:t>
      </w:r>
    </w:p>
    <w:p>
      <w:pPr>
        <w:pStyle w:val="2"/>
        <w:numPr>
          <w:ilvl w:val="0"/>
          <w:numId w:val="23"/>
        </w:numPr>
        <w:shd w:val="clear" w:color="000000" w:fill="auto"/>
        <w:adjustRightInd w:val="0"/>
        <w:snapToGrid w:val="0"/>
        <w:spacing w:line="360" w:lineRule="auto"/>
        <w:ind w:left="1678" w:leftChars="799" w:firstLine="2"/>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承包人拖延完工且能偿付的误期赔偿费已达到专用条款约定最高限额的；</w:t>
      </w:r>
      <w:r>
        <w:rPr>
          <w:rFonts w:ascii="仿宋" w:hAnsi="仿宋" w:eastAsia="仿宋" w:cs="仿宋"/>
          <w:color w:val="auto"/>
          <w:sz w:val="24"/>
          <w:szCs w:val="24"/>
          <w:highlight w:val="none"/>
        </w:rPr>
        <w:t xml:space="preserve"> </w:t>
      </w:r>
    </w:p>
    <w:p>
      <w:pPr>
        <w:pStyle w:val="2"/>
        <w:numPr>
          <w:ilvl w:val="0"/>
          <w:numId w:val="23"/>
        </w:numPr>
        <w:shd w:val="clear" w:color="000000" w:fill="auto"/>
        <w:adjustRightInd w:val="0"/>
        <w:snapToGrid w:val="0"/>
        <w:spacing w:line="360" w:lineRule="auto"/>
        <w:ind w:left="2096" w:leftChars="771" w:hanging="477" w:hangingChars="199"/>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承包人转包工程、违法分包或未经许可擅自分包工程的；</w:t>
      </w:r>
    </w:p>
    <w:p>
      <w:pPr>
        <w:pStyle w:val="2"/>
        <w:numPr>
          <w:ilvl w:val="0"/>
          <w:numId w:val="23"/>
        </w:numPr>
        <w:shd w:val="clear" w:color="000000" w:fill="auto"/>
        <w:adjustRightInd w:val="0"/>
        <w:snapToGrid w:val="0"/>
        <w:spacing w:line="360" w:lineRule="auto"/>
        <w:ind w:left="1617" w:leftChars="770" w:firstLine="2"/>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承包人未按照合同约定或监理工程师的指令，经监理工程师书面指出后仍未按要求改正的；</w:t>
      </w:r>
    </w:p>
    <w:p>
      <w:pPr>
        <w:pStyle w:val="2"/>
        <w:numPr>
          <w:ilvl w:val="0"/>
          <w:numId w:val="23"/>
        </w:numPr>
        <w:shd w:val="clear" w:color="000000" w:fill="auto"/>
        <w:adjustRightInd w:val="0"/>
        <w:snapToGrid w:val="0"/>
        <w:spacing w:line="360" w:lineRule="auto"/>
        <w:ind w:left="2096" w:leftChars="771" w:hanging="477" w:hangingChars="199"/>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承包人履行合同期间有欺诈行为的；</w:t>
      </w:r>
    </w:p>
    <w:p>
      <w:pPr>
        <w:pStyle w:val="2"/>
        <w:numPr>
          <w:ilvl w:val="0"/>
          <w:numId w:val="23"/>
        </w:numPr>
        <w:shd w:val="clear" w:color="000000" w:fill="auto"/>
        <w:adjustRightInd w:val="0"/>
        <w:snapToGrid w:val="0"/>
        <w:spacing w:line="360" w:lineRule="auto"/>
        <w:ind w:left="1618" w:leftChars="770" w:hanging="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承包人向任何人付给或企图付给任何贿赂、礼品、赏金、回扣或其他贵重物品，以引诱或报偿他人，但付给承包人相关人员的奖励则属例外；</w:t>
      </w:r>
    </w:p>
    <w:p>
      <w:pPr>
        <w:pStyle w:val="2"/>
        <w:shd w:val="clear" w:color="000000" w:fill="auto"/>
        <w:adjustRightInd w:val="0"/>
        <w:snapToGrid w:val="0"/>
        <w:spacing w:line="360" w:lineRule="auto"/>
        <w:ind w:left="1617"/>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(9)</w:t>
      </w:r>
      <w:r>
        <w:rPr>
          <w:rFonts w:hint="eastAsia" w:ascii="仿宋" w:hAnsi="仿宋" w:eastAsia="仿宋" w:cs="仿宋"/>
          <w:color w:val="auto"/>
          <w:sz w:val="24"/>
          <w:szCs w:val="24"/>
          <w:highlight w:val="none"/>
        </w:rPr>
        <w:t>承包人在缺陷责任期内未能对发生的缺陷进行修复，且又拒绝按照监理工程师指令再进行修补的；</w:t>
      </w:r>
    </w:p>
    <w:p>
      <w:pPr>
        <w:pStyle w:val="2"/>
        <w:shd w:val="clear" w:color="000000" w:fill="auto"/>
        <w:adjustRightInd w:val="0"/>
        <w:snapToGrid w:val="0"/>
        <w:spacing w:line="360" w:lineRule="auto"/>
        <w:ind w:left="1680" w:leftChars="80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(10)</w:t>
      </w:r>
      <w:r>
        <w:rPr>
          <w:rFonts w:hint="eastAsia" w:ascii="仿宋" w:hAnsi="仿宋" w:eastAsia="仿宋" w:cs="仿宋"/>
          <w:color w:val="auto"/>
          <w:sz w:val="24"/>
          <w:szCs w:val="24"/>
          <w:highlight w:val="none"/>
        </w:rPr>
        <w:t>承包人无法继续履行、明确表示或以行为表明不履行合同约定主要义务的；</w:t>
      </w:r>
    </w:p>
    <w:p>
      <w:pPr>
        <w:pStyle w:val="2"/>
        <w:shd w:val="clear" w:color="000000" w:fill="auto"/>
        <w:adjustRightInd w:val="0"/>
        <w:snapToGrid w:val="0"/>
        <w:spacing w:line="360" w:lineRule="auto"/>
        <w:ind w:left="1680"/>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(11)</w:t>
      </w:r>
      <w:r>
        <w:rPr>
          <w:rFonts w:hint="eastAsia" w:ascii="仿宋" w:hAnsi="仿宋" w:eastAsia="仿宋" w:cs="仿宋"/>
          <w:color w:val="auto"/>
          <w:sz w:val="24"/>
          <w:szCs w:val="24"/>
          <w:highlight w:val="none"/>
        </w:rPr>
        <w:t>承包人延迟履行合同约定主要义务，经催告后在合理期限内仍未履行的；</w:t>
      </w:r>
    </w:p>
    <w:p>
      <w:pPr>
        <w:pStyle w:val="2"/>
        <w:shd w:val="clear" w:color="000000" w:fill="auto"/>
        <w:adjustRightInd w:val="0"/>
        <w:snapToGrid w:val="0"/>
        <w:spacing w:line="360" w:lineRule="auto"/>
        <w:ind w:left="1619"/>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(12)</w:t>
      </w:r>
      <w:r>
        <w:rPr>
          <w:rFonts w:hint="eastAsia" w:ascii="仿宋" w:hAnsi="仿宋" w:eastAsia="仿宋" w:cs="仿宋"/>
          <w:color w:val="auto"/>
          <w:sz w:val="24"/>
          <w:szCs w:val="24"/>
          <w:highlight w:val="none"/>
        </w:rPr>
        <w:t>承包人破产或清偿的，但以机构重组或联合为目的的除外；</w:t>
      </w:r>
    </w:p>
    <w:p>
      <w:pPr>
        <w:shd w:val="clear" w:color="000000" w:fill="auto"/>
        <w:spacing w:line="360" w:lineRule="auto"/>
        <w:ind w:left="1680" w:hanging="1680" w:hangingChars="800"/>
        <w:rPr>
          <w:rFonts w:ascii="仿宋" w:hAnsi="仿宋" w:eastAsia="仿宋" w:cs="Times New Roman"/>
          <w:color w:val="auto"/>
          <w:sz w:val="24"/>
          <w:szCs w:val="24"/>
          <w:highlight w:val="none"/>
        </w:rPr>
      </w:pPr>
      <w:r>
        <w:rPr>
          <w:color w:val="auto"/>
          <w:highlight w:val="none"/>
        </w:rPr>
        <w:t xml:space="preserve">               </w:t>
      </w:r>
      <w:r>
        <w:rPr>
          <w:rFonts w:ascii="仿宋" w:hAnsi="仿宋" w:eastAsia="仿宋" w:cs="仿宋"/>
          <w:color w:val="auto"/>
          <w:sz w:val="24"/>
          <w:szCs w:val="24"/>
          <w:highlight w:val="none"/>
        </w:rPr>
        <w:t>(13)</w:t>
      </w:r>
      <w:r>
        <w:rPr>
          <w:rFonts w:hint="eastAsia" w:ascii="仿宋" w:hAnsi="仿宋" w:eastAsia="仿宋" w:cs="仿宋"/>
          <w:color w:val="auto"/>
          <w:sz w:val="24"/>
          <w:szCs w:val="24"/>
          <w:highlight w:val="none"/>
        </w:rPr>
        <w:t>承包人被认为是严重违反合同的其他违约行为。</w:t>
      </w:r>
    </w:p>
    <w:p>
      <w:pPr>
        <w:pStyle w:val="2"/>
        <w:shd w:val="clear" w:color="000000" w:fill="auto"/>
        <w:adjustRightInd w:val="0"/>
        <w:snapToGrid w:val="0"/>
        <w:spacing w:line="360" w:lineRule="auto"/>
        <w:ind w:left="1619" w:leftChars="771"/>
        <w:rPr>
          <w:rFonts w:ascii="仿宋" w:hAnsi="仿宋" w:eastAsia="仿宋" w:cs="Times New Roman"/>
          <w:b/>
          <w:bCs/>
          <w:color w:val="auto"/>
          <w:sz w:val="24"/>
          <w:szCs w:val="24"/>
          <w:highlight w:val="none"/>
        </w:rPr>
      </w:pPr>
      <w:r>
        <w:rPr>
          <w:rFonts w:hint="eastAsia" w:ascii="仿宋" w:hAnsi="仿宋" w:eastAsia="仿宋" w:cs="仿宋"/>
          <w:color w:val="auto"/>
          <w:sz w:val="24"/>
          <w:szCs w:val="24"/>
          <w:highlight w:val="none"/>
        </w:rPr>
        <w:t>在这种情况下，发包人可自行或委托第三方实施、完成合同工程或其任何部分，并可使用根据第</w:t>
      </w:r>
      <w:r>
        <w:rPr>
          <w:rFonts w:ascii="仿宋" w:hAnsi="仿宋" w:eastAsia="仿宋" w:cs="仿宋"/>
          <w:color w:val="auto"/>
          <w:sz w:val="24"/>
          <w:szCs w:val="24"/>
          <w:highlight w:val="none"/>
        </w:rPr>
        <w:t>18.2</w:t>
      </w:r>
      <w:r>
        <w:rPr>
          <w:rFonts w:hint="eastAsia" w:ascii="仿宋" w:hAnsi="仿宋" w:eastAsia="仿宋" w:cs="仿宋"/>
          <w:color w:val="auto"/>
          <w:sz w:val="24"/>
          <w:szCs w:val="24"/>
          <w:highlight w:val="none"/>
        </w:rPr>
        <w:t>款留下的承包人临时工程，直至永久工程完工为止。</w:t>
      </w:r>
    </w:p>
    <w:p>
      <w:pPr>
        <w:pStyle w:val="2"/>
        <w:shd w:val="clear" w:color="000000" w:fill="auto"/>
        <w:tabs>
          <w:tab w:val="left" w:pos="1320"/>
        </w:tabs>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87.4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50432" behindDoc="0" locked="0" layoutInCell="1" allowOverlap="1">
                <wp:simplePos x="0" y="0"/>
                <wp:positionH relativeFrom="column">
                  <wp:posOffset>-114300</wp:posOffset>
                </wp:positionH>
                <wp:positionV relativeFrom="paragraph">
                  <wp:posOffset>29845</wp:posOffset>
                </wp:positionV>
                <wp:extent cx="914400" cy="503555"/>
                <wp:effectExtent l="0" t="0" r="0" b="0"/>
                <wp:wrapNone/>
                <wp:docPr id="383" name="文本框 387"/>
                <wp:cNvGraphicFramePr/>
                <a:graphic xmlns:a="http://schemas.openxmlformats.org/drawingml/2006/main">
                  <a:graphicData uri="http://schemas.microsoft.com/office/word/2010/wordprocessingShape">
                    <wps:wsp>
                      <wps:cNvSpPr txBox="1"/>
                      <wps:spPr>
                        <a:xfrm>
                          <a:off x="0" y="0"/>
                          <a:ext cx="914400" cy="50355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因发包人的原因解除</w:t>
                            </w:r>
                          </w:p>
                        </w:txbxContent>
                      </wps:txbx>
                      <wps:bodyPr upright="1"/>
                    </wps:wsp>
                  </a:graphicData>
                </a:graphic>
              </wp:anchor>
            </w:drawing>
          </mc:Choice>
          <mc:Fallback>
            <w:pict>
              <v:shape id="文本框 387" o:spid="_x0000_s1026" o:spt="202" type="#_x0000_t202" style="position:absolute;left:0pt;margin-left:-9pt;margin-top:2.35pt;height:39.65pt;width:72pt;z-index:252050432;mso-width-relative:page;mso-height-relative:page;" filled="f" stroked="f" coordsize="21600,21600" o:gfxdata="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yY8uONUA&#10;AAAIAQAADwAAAAAAAAABACAAAAAiAAAAZHJzL2Rvd25yZXYueG1sUEsBAhQAFAAAAAgAh07iQHyf&#10;Q2WwAQAAUQMAAA4AAAAAAAAAAQAgAAAAJAEAAGRycy9lMm9Eb2MueG1sUEsFBgAAAAAGAAYAWQEA&#10;AEY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因发包人的原因解除</w:t>
                      </w:r>
                    </w:p>
                  </w:txbxContent>
                </v:textbox>
              </v:shape>
            </w:pict>
          </mc:Fallback>
        </mc:AlternateContent>
      </w:r>
      <w:r>
        <w:rPr>
          <w:rFonts w:hint="eastAsia" w:ascii="仿宋" w:hAnsi="仿宋" w:eastAsia="仿宋" w:cs="仿宋"/>
          <w:color w:val="auto"/>
          <w:sz w:val="24"/>
          <w:szCs w:val="24"/>
          <w:highlight w:val="none"/>
        </w:rPr>
        <w:t>发包人有下列情形之一者，承包人可以解除合同：</w:t>
      </w:r>
    </w:p>
    <w:p>
      <w:pPr>
        <w:pStyle w:val="2"/>
        <w:numPr>
          <w:ilvl w:val="0"/>
          <w:numId w:val="24"/>
        </w:numPr>
        <w:shd w:val="clear" w:color="000000" w:fill="auto"/>
        <w:tabs>
          <w:tab w:val="left" w:pos="2160"/>
        </w:tabs>
        <w:adjustRightInd w:val="0"/>
        <w:snapToGrid w:val="0"/>
        <w:spacing w:line="360" w:lineRule="auto"/>
        <w:ind w:left="1619" w:leftChars="771" w:firstLine="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非承包人原因未按照第</w:t>
      </w:r>
      <w:r>
        <w:rPr>
          <w:rFonts w:ascii="仿宋" w:hAnsi="仿宋" w:eastAsia="仿宋" w:cs="仿宋"/>
          <w:color w:val="auto"/>
          <w:sz w:val="24"/>
          <w:szCs w:val="24"/>
          <w:highlight w:val="none"/>
        </w:rPr>
        <w:t>34.2</w:t>
      </w:r>
      <w:r>
        <w:rPr>
          <w:rFonts w:hint="eastAsia" w:ascii="仿宋" w:hAnsi="仿宋" w:eastAsia="仿宋" w:cs="仿宋"/>
          <w:color w:val="auto"/>
          <w:sz w:val="24"/>
          <w:szCs w:val="24"/>
          <w:highlight w:val="none"/>
        </w:rPr>
        <w:t>款规定期限内发出开工令，经承包人催告后</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天内仍未发出开工令的；</w:t>
      </w:r>
    </w:p>
    <w:p>
      <w:pPr>
        <w:pStyle w:val="2"/>
        <w:numPr>
          <w:ilvl w:val="0"/>
          <w:numId w:val="24"/>
        </w:numPr>
        <w:shd w:val="clear" w:color="000000" w:fill="auto"/>
        <w:tabs>
          <w:tab w:val="left" w:pos="2160"/>
        </w:tabs>
        <w:adjustRightInd w:val="0"/>
        <w:snapToGrid w:val="0"/>
        <w:spacing w:line="360" w:lineRule="auto"/>
        <w:ind w:left="1620" w:leftChars="771" w:hanging="1"/>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按照第</w:t>
      </w:r>
      <w:r>
        <w:rPr>
          <w:rFonts w:ascii="仿宋" w:hAnsi="仿宋" w:eastAsia="仿宋" w:cs="仿宋"/>
          <w:color w:val="auto"/>
          <w:sz w:val="24"/>
          <w:szCs w:val="24"/>
          <w:highlight w:val="none"/>
        </w:rPr>
        <w:t>35.3</w:t>
      </w:r>
      <w:r>
        <w:rPr>
          <w:rFonts w:hint="eastAsia" w:ascii="仿宋" w:hAnsi="仿宋" w:eastAsia="仿宋" w:cs="仿宋"/>
          <w:color w:val="auto"/>
          <w:sz w:val="24"/>
          <w:szCs w:val="24"/>
          <w:highlight w:val="none"/>
        </w:rPr>
        <w:t>款规定非承包人原因造成暂停施工持续</w:t>
      </w:r>
      <w:r>
        <w:rPr>
          <w:rFonts w:ascii="仿宋" w:hAnsi="仿宋" w:eastAsia="仿宋" w:cs="仿宋"/>
          <w:color w:val="auto"/>
          <w:sz w:val="24"/>
          <w:szCs w:val="24"/>
          <w:highlight w:val="none"/>
        </w:rPr>
        <w:t>56</w:t>
      </w:r>
      <w:r>
        <w:rPr>
          <w:rFonts w:hint="eastAsia" w:ascii="仿宋" w:hAnsi="仿宋" w:eastAsia="仿宋" w:cs="仿宋"/>
          <w:color w:val="auto"/>
          <w:sz w:val="24"/>
          <w:szCs w:val="24"/>
          <w:highlight w:val="none"/>
        </w:rPr>
        <w:t>天以上或累计停工时间超过了</w:t>
      </w:r>
      <w:r>
        <w:rPr>
          <w:rFonts w:ascii="仿宋" w:hAnsi="仿宋" w:eastAsia="仿宋" w:cs="仿宋"/>
          <w:color w:val="auto"/>
          <w:sz w:val="24"/>
          <w:szCs w:val="24"/>
          <w:highlight w:val="none"/>
        </w:rPr>
        <w:t>70</w:t>
      </w:r>
      <w:r>
        <w:rPr>
          <w:rFonts w:hint="eastAsia" w:ascii="仿宋" w:hAnsi="仿宋" w:eastAsia="仿宋" w:cs="仿宋"/>
          <w:color w:val="auto"/>
          <w:sz w:val="24"/>
          <w:szCs w:val="24"/>
          <w:highlight w:val="none"/>
        </w:rPr>
        <w:t>天的；</w:t>
      </w:r>
      <w:r>
        <w:rPr>
          <w:rFonts w:ascii="仿宋" w:hAnsi="仿宋" w:eastAsia="仿宋" w:cs="仿宋"/>
          <w:color w:val="auto"/>
          <w:sz w:val="24"/>
          <w:szCs w:val="24"/>
          <w:highlight w:val="none"/>
        </w:rPr>
        <w:t xml:space="preserve">           </w:t>
      </w:r>
    </w:p>
    <w:p>
      <w:pPr>
        <w:pStyle w:val="2"/>
        <w:numPr>
          <w:ilvl w:val="0"/>
          <w:numId w:val="24"/>
        </w:numPr>
        <w:shd w:val="clear" w:color="000000" w:fill="auto"/>
        <w:tabs>
          <w:tab w:val="left" w:pos="1800"/>
        </w:tabs>
        <w:adjustRightInd w:val="0"/>
        <w:snapToGrid w:val="0"/>
        <w:spacing w:line="360" w:lineRule="auto"/>
        <w:ind w:left="1620" w:leftChars="771" w:hanging="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发包人按照第</w:t>
      </w:r>
      <w:r>
        <w:rPr>
          <w:rFonts w:ascii="仿宋" w:hAnsi="仿宋" w:eastAsia="仿宋" w:cs="仿宋"/>
          <w:color w:val="auto"/>
          <w:sz w:val="24"/>
          <w:szCs w:val="24"/>
          <w:highlight w:val="none"/>
        </w:rPr>
        <w:t>5</w:t>
      </w:r>
      <w:r>
        <w:rPr>
          <w:rFonts w:hint="eastAsia" w:ascii="仿宋" w:hAnsi="仿宋" w:eastAsia="仿宋" w:cs="仿宋"/>
          <w:color w:val="auto"/>
          <w:sz w:val="24"/>
          <w:szCs w:val="24"/>
          <w:highlight w:val="none"/>
        </w:rPr>
        <w:t>条规定提供的施工设计图纸存在缺陷或按照第</w:t>
      </w:r>
      <w:r>
        <w:rPr>
          <w:rFonts w:ascii="仿宋" w:hAnsi="仿宋" w:eastAsia="仿宋" w:cs="仿宋"/>
          <w:color w:val="auto"/>
          <w:sz w:val="24"/>
          <w:szCs w:val="24"/>
          <w:highlight w:val="none"/>
        </w:rPr>
        <w:t>48</w:t>
      </w:r>
      <w:r>
        <w:rPr>
          <w:rFonts w:hint="eastAsia" w:ascii="仿宋" w:hAnsi="仿宋" w:eastAsia="仿宋" w:cs="仿宋"/>
          <w:color w:val="auto"/>
          <w:sz w:val="24"/>
          <w:szCs w:val="24"/>
          <w:highlight w:val="none"/>
        </w:rPr>
        <w:t>条规定供应的材料和工程设备不符合强制性标准，致使承包人无法施工，经承包人催告后</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天内仍未修正或更换的；</w:t>
      </w:r>
    </w:p>
    <w:p>
      <w:pPr>
        <w:pStyle w:val="2"/>
        <w:numPr>
          <w:ilvl w:val="0"/>
          <w:numId w:val="24"/>
        </w:numPr>
        <w:shd w:val="clear" w:color="000000" w:fill="auto"/>
        <w:tabs>
          <w:tab w:val="left" w:pos="2160"/>
          <w:tab w:val="clear" w:pos="1560"/>
        </w:tabs>
        <w:adjustRightInd w:val="0"/>
        <w:snapToGrid w:val="0"/>
        <w:spacing w:line="360" w:lineRule="auto"/>
        <w:ind w:left="1620" w:leftChars="771" w:hanging="1"/>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监理工程师未按照合同约定及时发出工作指令，导致承包人无法继续施工的；</w:t>
      </w:r>
      <w:r>
        <w:rPr>
          <w:rFonts w:ascii="仿宋" w:hAnsi="仿宋" w:eastAsia="仿宋" w:cs="仿宋"/>
          <w:color w:val="auto"/>
          <w:sz w:val="24"/>
          <w:szCs w:val="24"/>
          <w:highlight w:val="none"/>
        </w:rPr>
        <w:t xml:space="preserve"> </w:t>
      </w:r>
    </w:p>
    <w:p>
      <w:pPr>
        <w:pStyle w:val="2"/>
        <w:numPr>
          <w:ilvl w:val="0"/>
          <w:numId w:val="24"/>
        </w:numPr>
        <w:shd w:val="clear" w:color="000000" w:fill="auto"/>
        <w:tabs>
          <w:tab w:val="left" w:pos="2160"/>
        </w:tabs>
        <w:adjustRightInd w:val="0"/>
        <w:snapToGrid w:val="0"/>
        <w:spacing w:line="360" w:lineRule="auto"/>
        <w:ind w:left="1620" w:leftChars="771" w:hanging="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发包人未按照第</w:t>
      </w:r>
      <w:r>
        <w:rPr>
          <w:rFonts w:ascii="仿宋" w:hAnsi="仿宋" w:eastAsia="仿宋" w:cs="仿宋"/>
          <w:color w:val="auto"/>
          <w:sz w:val="24"/>
          <w:szCs w:val="24"/>
          <w:highlight w:val="none"/>
        </w:rPr>
        <w:t>78.1</w:t>
      </w:r>
      <w:r>
        <w:rPr>
          <w:rFonts w:hint="eastAsia" w:ascii="仿宋" w:hAnsi="仿宋" w:eastAsia="仿宋" w:cs="仿宋"/>
          <w:color w:val="auto"/>
          <w:sz w:val="24"/>
          <w:szCs w:val="24"/>
          <w:highlight w:val="none"/>
        </w:rPr>
        <w:t>款规定向承包人支付工程款，经承包人催告后</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天内仍未支付的；</w:t>
      </w:r>
    </w:p>
    <w:p>
      <w:pPr>
        <w:pStyle w:val="2"/>
        <w:numPr>
          <w:ilvl w:val="0"/>
          <w:numId w:val="24"/>
        </w:numPr>
        <w:shd w:val="clear" w:color="000000" w:fill="auto"/>
        <w:tabs>
          <w:tab w:val="left" w:pos="2160"/>
        </w:tabs>
        <w:adjustRightInd w:val="0"/>
        <w:snapToGrid w:val="0"/>
        <w:spacing w:line="360" w:lineRule="auto"/>
        <w:ind w:left="1620" w:leftChars="771" w:hanging="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发包人无法继续履行、明确表示或以行为表明不履行合同约定主要义务的；</w:t>
      </w:r>
    </w:p>
    <w:p>
      <w:pPr>
        <w:pStyle w:val="2"/>
        <w:shd w:val="clear" w:color="000000" w:fill="auto"/>
        <w:tabs>
          <w:tab w:val="left" w:pos="2160"/>
        </w:tabs>
        <w:adjustRightInd w:val="0"/>
        <w:snapToGrid w:val="0"/>
        <w:spacing w:line="360" w:lineRule="auto"/>
        <w:ind w:left="1619"/>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发包人延迟履行合同约定主要义务，经催告后在合理期限内仍未履行的；</w:t>
      </w:r>
    </w:p>
    <w:p>
      <w:pPr>
        <w:pStyle w:val="2"/>
        <w:shd w:val="clear" w:color="000000" w:fill="auto"/>
        <w:tabs>
          <w:tab w:val="left" w:pos="2160"/>
        </w:tabs>
        <w:adjustRightInd w:val="0"/>
        <w:snapToGrid w:val="0"/>
        <w:spacing w:line="360" w:lineRule="auto"/>
        <w:ind w:left="1619"/>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(8)</w:t>
      </w:r>
      <w:r>
        <w:rPr>
          <w:rFonts w:hint="eastAsia" w:ascii="仿宋" w:hAnsi="仿宋" w:eastAsia="仿宋" w:cs="仿宋"/>
          <w:color w:val="auto"/>
          <w:sz w:val="24"/>
          <w:szCs w:val="24"/>
          <w:highlight w:val="none"/>
        </w:rPr>
        <w:t>发包人破产或清偿的，但以机构重组或联合为目的的除外；</w:t>
      </w:r>
    </w:p>
    <w:p>
      <w:pPr>
        <w:pStyle w:val="2"/>
        <w:shd w:val="clear" w:color="000000" w:fill="auto"/>
        <w:tabs>
          <w:tab w:val="left" w:pos="2160"/>
        </w:tabs>
        <w:adjustRightInd w:val="0"/>
        <w:snapToGrid w:val="0"/>
        <w:spacing w:line="360" w:lineRule="auto"/>
        <w:ind w:left="1619"/>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(9)</w:t>
      </w:r>
      <w:r>
        <w:rPr>
          <w:rFonts w:hint="eastAsia" w:ascii="仿宋" w:hAnsi="仿宋" w:eastAsia="仿宋" w:cs="仿宋"/>
          <w:color w:val="auto"/>
          <w:sz w:val="24"/>
          <w:szCs w:val="24"/>
          <w:highlight w:val="none"/>
        </w:rPr>
        <w:t>发包人被认为是严重违反合同的其他违约行为。</w:t>
      </w:r>
    </w:p>
    <w:p>
      <w:pPr>
        <w:pStyle w:val="2"/>
        <w:shd w:val="clear" w:color="000000" w:fill="auto"/>
        <w:tabs>
          <w:tab w:val="left" w:pos="1320"/>
        </w:tabs>
        <w:adjustRightInd w:val="0"/>
        <w:snapToGrid w:val="0"/>
        <w:spacing w:line="360" w:lineRule="auto"/>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2051456" behindDoc="0" locked="0" layoutInCell="1" allowOverlap="1">
                <wp:simplePos x="0" y="0"/>
                <wp:positionH relativeFrom="column">
                  <wp:posOffset>-114300</wp:posOffset>
                </wp:positionH>
                <wp:positionV relativeFrom="paragraph">
                  <wp:posOffset>202565</wp:posOffset>
                </wp:positionV>
                <wp:extent cx="914400" cy="396240"/>
                <wp:effectExtent l="0" t="0" r="0" b="0"/>
                <wp:wrapNone/>
                <wp:docPr id="384" name="文本框 388"/>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书面通知合同解除</w:t>
                            </w:r>
                          </w:p>
                        </w:txbxContent>
                      </wps:txbx>
                      <wps:bodyPr upright="1"/>
                    </wps:wsp>
                  </a:graphicData>
                </a:graphic>
              </wp:anchor>
            </w:drawing>
          </mc:Choice>
          <mc:Fallback>
            <w:pict>
              <v:shape id="文本框 388" o:spid="_x0000_s1026" o:spt="202" type="#_x0000_t202" style="position:absolute;left:0pt;margin-left:-9pt;margin-top:15.95pt;height:31.2pt;width:72pt;z-index:252051456;mso-width-relative:page;mso-height-relative:page;" filled="f" stroked="f" coordsize="21600,21600" o:gfxdata="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WQ1uI&#10;1wAAAAkBAAAPAAAAAAAAAAEAIAAAACIAAABkcnMvZG93bnJldi54bWxQSwECFAAUAAAACACHTuJA&#10;7WxN17ABAABRAwAADgAAAAAAAAABACAAAAAmAQAAZHJzL2Uyb0RvYy54bWxQSwUGAAAAAAYABgBZ&#10;AQAASA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书面通知合同解除</w:t>
                      </w:r>
                    </w:p>
                  </w:txbxContent>
                </v:textbox>
              </v:shape>
            </w:pict>
          </mc:Fallback>
        </mc:AlternateContent>
      </w:r>
      <w:r>
        <w:rPr>
          <w:rFonts w:ascii="仿宋" w:hAnsi="仿宋" w:eastAsia="仿宋" w:cs="仿宋"/>
          <w:b/>
          <w:bCs/>
          <w:color w:val="auto"/>
          <w:sz w:val="24"/>
          <w:szCs w:val="24"/>
          <w:highlight w:val="none"/>
        </w:rPr>
        <w:t xml:space="preserve">87.5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87.2</w:t>
      </w:r>
      <w:r>
        <w:rPr>
          <w:rFonts w:hint="eastAsia" w:ascii="仿宋" w:hAnsi="仿宋" w:eastAsia="仿宋" w:cs="仿宋"/>
          <w:color w:val="auto"/>
          <w:sz w:val="24"/>
          <w:szCs w:val="24"/>
          <w:highlight w:val="none"/>
        </w:rPr>
        <w:t>款至第</w:t>
      </w:r>
      <w:r>
        <w:rPr>
          <w:rFonts w:ascii="仿宋" w:hAnsi="仿宋" w:eastAsia="仿宋" w:cs="仿宋"/>
          <w:color w:val="auto"/>
          <w:sz w:val="24"/>
          <w:szCs w:val="24"/>
          <w:highlight w:val="none"/>
        </w:rPr>
        <w:t>87.4</w:t>
      </w:r>
      <w:r>
        <w:rPr>
          <w:rFonts w:hint="eastAsia" w:ascii="仿宋" w:hAnsi="仿宋" w:eastAsia="仿宋" w:cs="仿宋"/>
          <w:color w:val="auto"/>
          <w:sz w:val="24"/>
          <w:szCs w:val="24"/>
          <w:highlight w:val="none"/>
        </w:rPr>
        <w:t>款规定要求解除合同的，解除方应以书面形式向另一方当事人发出解除合同的通知，另一方当事人收到通知时合同即告解除。对解除合同有争议的，应按照第</w:t>
      </w:r>
      <w:r>
        <w:rPr>
          <w:rFonts w:ascii="仿宋" w:hAnsi="仿宋" w:eastAsia="仿宋" w:cs="仿宋"/>
          <w:color w:val="auto"/>
          <w:sz w:val="24"/>
          <w:szCs w:val="24"/>
          <w:highlight w:val="none"/>
        </w:rPr>
        <w:t>86</w:t>
      </w:r>
      <w:r>
        <w:rPr>
          <w:rFonts w:hint="eastAsia" w:ascii="仿宋" w:hAnsi="仿宋" w:eastAsia="仿宋" w:cs="仿宋"/>
          <w:color w:val="auto"/>
          <w:sz w:val="24"/>
          <w:szCs w:val="24"/>
          <w:highlight w:val="none"/>
        </w:rPr>
        <w:t>条规定处理。</w:t>
      </w:r>
    </w:p>
    <w:p>
      <w:pPr>
        <w:pStyle w:val="2"/>
        <w:shd w:val="clear" w:color="000000" w:fill="auto"/>
        <w:tabs>
          <w:tab w:val="left" w:pos="1320"/>
        </w:tabs>
        <w:adjustRightInd w:val="0"/>
        <w:snapToGrid w:val="0"/>
        <w:spacing w:line="48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87.6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52480" behindDoc="0" locked="0" layoutInCell="1" allowOverlap="1">
                <wp:simplePos x="0" y="0"/>
                <wp:positionH relativeFrom="column">
                  <wp:posOffset>-114300</wp:posOffset>
                </wp:positionH>
                <wp:positionV relativeFrom="paragraph">
                  <wp:posOffset>6985</wp:posOffset>
                </wp:positionV>
                <wp:extent cx="914400" cy="594360"/>
                <wp:effectExtent l="0" t="0" r="0" b="0"/>
                <wp:wrapNone/>
                <wp:docPr id="385" name="文本框 389"/>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合同解除后双方的责任和义务</w:t>
                            </w:r>
                          </w:p>
                        </w:txbxContent>
                      </wps:txbx>
                      <wps:bodyPr upright="1"/>
                    </wps:wsp>
                  </a:graphicData>
                </a:graphic>
              </wp:anchor>
            </w:drawing>
          </mc:Choice>
          <mc:Fallback>
            <w:pict>
              <v:shape id="文本框 389" o:spid="_x0000_s1026" o:spt="202" type="#_x0000_t202" style="position:absolute;left:0pt;margin-left:-9pt;margin-top:0.55pt;height:46.8pt;width:72pt;z-index:252052480;mso-width-relative:page;mso-height-relative:page;" filled="f" stroked="f" coordsize="21600,21600" o:gfxdata="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QDGpytQA&#10;AAAIAQAADwAAAAAAAAABACAAAAAiAAAAZHJzL2Rvd25yZXYueG1sUEsBAhQAFAAAAAgAh07iQCQv&#10;/EexAQAAUQMAAA4AAAAAAAAAAQAgAAAAIwEAAGRycy9lMm9Eb2MueG1sUEsFBgAAAAAGAAYAWQEA&#10;AEY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合同解除后双方的责任和义务</w:t>
                      </w:r>
                    </w:p>
                  </w:txbxContent>
                </v:textbox>
              </v:shape>
            </w:pict>
          </mc:Fallback>
        </mc:AlternateContent>
      </w:r>
      <w:r>
        <w:rPr>
          <w:rFonts w:hint="eastAsia" w:ascii="仿宋" w:hAnsi="仿宋" w:eastAsia="仿宋" w:cs="仿宋"/>
          <w:color w:val="auto"/>
          <w:sz w:val="24"/>
          <w:szCs w:val="24"/>
          <w:highlight w:val="none"/>
        </w:rPr>
        <w:t>合同一旦解除，承包人应立即停止施工，保证现场安全，保护已完工程和已购材料、工程设备，尽快撤离现场，并将所有与本合同有关的施工文件、设计文件移交给监理工程师。发包人应为承包人的撤离提供便利和协助。</w:t>
      </w:r>
    </w:p>
    <w:p>
      <w:pPr>
        <w:pStyle w:val="2"/>
        <w:shd w:val="clear" w:color="000000" w:fill="auto"/>
        <w:adjustRightInd w:val="0"/>
        <w:snapToGrid w:val="0"/>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
        <w:shd w:val="clear" w:color="000000" w:fill="auto"/>
        <w:tabs>
          <w:tab w:val="left" w:pos="540"/>
        </w:tabs>
        <w:adjustRightInd w:val="0"/>
        <w:snapToGrid w:val="0"/>
        <w:spacing w:before="240" w:beforeLines="100" w:line="360" w:lineRule="auto"/>
        <w:outlineLvl w:val="2"/>
        <w:rPr>
          <w:rFonts w:ascii="仿宋" w:hAnsi="仿宋" w:eastAsia="仿宋" w:cs="Times New Roman"/>
          <w:b/>
          <w:bCs/>
          <w:color w:val="auto"/>
          <w:sz w:val="24"/>
          <w:szCs w:val="24"/>
          <w:highlight w:val="none"/>
        </w:rPr>
      </w:pPr>
      <w:bookmarkStart w:id="396" w:name="_Toc6074"/>
      <w:bookmarkStart w:id="397" w:name="_Toc10624913"/>
      <w:bookmarkStart w:id="398" w:name="_Toc469384072"/>
      <w:r>
        <w:rPr>
          <w:rFonts w:ascii="仿宋" w:hAnsi="仿宋" w:eastAsia="仿宋" w:cs="仿宋"/>
          <w:b/>
          <w:bCs/>
          <w:color w:val="auto"/>
          <w:sz w:val="24"/>
          <w:szCs w:val="24"/>
          <w:highlight w:val="none"/>
        </w:rPr>
        <w:t xml:space="preserve">88  </w:t>
      </w:r>
      <w:r>
        <w:rPr>
          <w:rFonts w:hint="eastAsia" w:ascii="仿宋" w:hAnsi="仿宋" w:eastAsia="仿宋" w:cs="仿宋"/>
          <w:b/>
          <w:bCs/>
          <w:color w:val="auto"/>
          <w:sz w:val="24"/>
          <w:szCs w:val="24"/>
          <w:highlight w:val="none"/>
        </w:rPr>
        <w:t>合同解除的支付</w:t>
      </w:r>
      <w:bookmarkEnd w:id="396"/>
      <w:bookmarkEnd w:id="397"/>
      <w:bookmarkEnd w:id="398"/>
    </w:p>
    <w:p>
      <w:pPr>
        <w:pStyle w:val="2"/>
        <w:shd w:val="clear" w:color="000000" w:fill="auto"/>
        <w:adjustRightInd w:val="0"/>
        <w:snapToGrid w:val="0"/>
        <w:spacing w:line="360" w:lineRule="auto"/>
        <w:rPr>
          <w:rFonts w:ascii="仿宋" w:hAnsi="仿宋" w:eastAsia="仿宋" w:cs="仿宋"/>
          <w:b/>
          <w:bCs/>
          <w:color w:val="auto"/>
          <w:sz w:val="24"/>
          <w:szCs w:val="24"/>
          <w:highlight w:val="none"/>
        </w:rPr>
      </w:pPr>
      <w:r>
        <w:rPr>
          <w:color w:val="auto"/>
          <w:highlight w:val="none"/>
        </w:rPr>
        <mc:AlternateContent>
          <mc:Choice Requires="wps">
            <w:drawing>
              <wp:anchor distT="0" distB="0" distL="114300" distR="114300" simplePos="0" relativeHeight="252053504" behindDoc="0" locked="0" layoutInCell="1" allowOverlap="1">
                <wp:simplePos x="0" y="0"/>
                <wp:positionH relativeFrom="column">
                  <wp:posOffset>-66675</wp:posOffset>
                </wp:positionH>
                <wp:positionV relativeFrom="paragraph">
                  <wp:posOffset>188595</wp:posOffset>
                </wp:positionV>
                <wp:extent cx="914400" cy="396240"/>
                <wp:effectExtent l="0" t="0" r="0" b="0"/>
                <wp:wrapNone/>
                <wp:docPr id="386" name="文本框 390"/>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协商一致解除的支付</w:t>
                            </w:r>
                          </w:p>
                        </w:txbxContent>
                      </wps:txbx>
                      <wps:bodyPr upright="1"/>
                    </wps:wsp>
                  </a:graphicData>
                </a:graphic>
              </wp:anchor>
            </w:drawing>
          </mc:Choice>
          <mc:Fallback>
            <w:pict>
              <v:shape id="文本框 390" o:spid="_x0000_s1026" o:spt="202" type="#_x0000_t202" style="position:absolute;left:0pt;margin-left:-5.25pt;margin-top:14.85pt;height:31.2pt;width:72pt;z-index:252053504;mso-width-relative:page;mso-height-relative:page;" filled="f" stroked="f" coordsize="21600,21600" o:gfxdata="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OZEZdYA&#10;AAAJAQAADwAAAAAAAAABACAAAAAiAAAAZHJzL2Rvd25yZXYueG1sUEsBAhQAFAAAAAgAh07iQLl+&#10;EHyvAQAAUQMAAA4AAAAAAAAAAQAgAAAAJQEAAGRycy9lMm9Eb2MueG1sUEsFBgAAAAAGAAYAWQEA&#10;AEY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协商一致解除的支付</w:t>
                      </w:r>
                    </w:p>
                  </w:txbxContent>
                </v:textbox>
              </v:shape>
            </w:pict>
          </mc:Fallback>
        </mc:AlternateContent>
      </w:r>
      <w:r>
        <w:rPr>
          <w:rFonts w:ascii="仿宋" w:hAnsi="仿宋" w:eastAsia="仿宋" w:cs="仿宋"/>
          <w:b/>
          <w:bCs/>
          <w:color w:val="auto"/>
          <w:sz w:val="24"/>
          <w:szCs w:val="24"/>
          <w:highlight w:val="none"/>
        </w:rPr>
        <w:t xml:space="preserve">88.1     </w:t>
      </w:r>
    </w:p>
    <w:p>
      <w:pPr>
        <w:pStyle w:val="2"/>
        <w:shd w:val="clear" w:color="000000" w:fill="auto"/>
        <w:adjustRightInd w:val="0"/>
        <w:snapToGrid w:val="0"/>
        <w:spacing w:line="360" w:lineRule="auto"/>
        <w:ind w:firstLine="1680" w:firstLineChars="70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87.1</w:t>
      </w:r>
      <w:r>
        <w:rPr>
          <w:rFonts w:hint="eastAsia" w:ascii="仿宋" w:hAnsi="仿宋" w:eastAsia="仿宋" w:cs="仿宋"/>
          <w:color w:val="auto"/>
          <w:sz w:val="24"/>
          <w:szCs w:val="24"/>
          <w:highlight w:val="none"/>
        </w:rPr>
        <w:t>款规定解除合同的，按照达成的协议办理结算和支付工程款。</w:t>
      </w:r>
    </w:p>
    <w:p>
      <w:pPr>
        <w:pStyle w:val="2"/>
        <w:shd w:val="clear" w:color="000000" w:fill="auto"/>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88.2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54528" behindDoc="0" locked="0" layoutInCell="1" allowOverlap="1">
                <wp:simplePos x="0" y="0"/>
                <wp:positionH relativeFrom="column">
                  <wp:posOffset>-114300</wp:posOffset>
                </wp:positionH>
                <wp:positionV relativeFrom="paragraph">
                  <wp:posOffset>15875</wp:posOffset>
                </wp:positionV>
                <wp:extent cx="914400" cy="693420"/>
                <wp:effectExtent l="0" t="0" r="0" b="0"/>
                <wp:wrapNone/>
                <wp:docPr id="387" name="文本框 391"/>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不可抗力解除的支付</w:t>
                            </w:r>
                          </w:p>
                        </w:txbxContent>
                      </wps:txbx>
                      <wps:bodyPr upright="1"/>
                    </wps:wsp>
                  </a:graphicData>
                </a:graphic>
              </wp:anchor>
            </w:drawing>
          </mc:Choice>
          <mc:Fallback>
            <w:pict>
              <v:shape id="文本框 391" o:spid="_x0000_s1026" o:spt="202" type="#_x0000_t202" style="position:absolute;left:0pt;margin-left:-9pt;margin-top:1.25pt;height:54.6pt;width:72pt;z-index:252054528;mso-width-relative:page;mso-height-relative:page;" filled="f" stroked="f" coordsize="21600,21600" o:gfxdata="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ED7j7fW&#10;AAAACQEAAA8AAAAAAAAAAQAgAAAAIgAAAGRycy9kb3ducmV2LnhtbFBLAQIUABQAAAAIAIdO4kAL&#10;vbFpsAEAAFEDAAAOAAAAAAAAAAEAIAAAACUBAABkcnMvZTJvRG9jLnhtbFBLBQYAAAAABgAGAFkB&#10;AABH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不可抗力解除的支付</w:t>
                      </w:r>
                    </w:p>
                  </w:txbxContent>
                </v:textbox>
              </v:shape>
            </w:pict>
          </mc:Fallback>
        </mc:AlternateContent>
      </w: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87.2</w:t>
      </w:r>
      <w:r>
        <w:rPr>
          <w:rFonts w:hint="eastAsia" w:ascii="仿宋" w:hAnsi="仿宋" w:eastAsia="仿宋" w:cs="仿宋"/>
          <w:color w:val="auto"/>
          <w:sz w:val="24"/>
          <w:szCs w:val="24"/>
          <w:highlight w:val="none"/>
        </w:rPr>
        <w:t>款规定解除合同的，发包人应向承包人支付合同解除之日前已完成工程但尚未支付的工程款。此外，发包人还应支付下列款项：</w:t>
      </w:r>
    </w:p>
    <w:p>
      <w:pPr>
        <w:pStyle w:val="2"/>
        <w:numPr>
          <w:ilvl w:val="0"/>
          <w:numId w:val="25"/>
        </w:numPr>
        <w:shd w:val="clear" w:color="000000" w:fill="auto"/>
        <w:adjustRightInd w:val="0"/>
        <w:snapToGrid w:val="0"/>
        <w:spacing w:line="360" w:lineRule="auto"/>
        <w:ind w:left="2096" w:leftChars="771" w:hanging="477" w:hangingChars="199"/>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已实施或部分实施的措施项目应付款项；</w:t>
      </w:r>
    </w:p>
    <w:p>
      <w:pPr>
        <w:pStyle w:val="2"/>
        <w:numPr>
          <w:ilvl w:val="0"/>
          <w:numId w:val="25"/>
        </w:numPr>
        <w:shd w:val="clear" w:color="000000" w:fill="auto"/>
        <w:adjustRightInd w:val="0"/>
        <w:snapToGrid w:val="0"/>
        <w:spacing w:line="360" w:lineRule="auto"/>
        <w:ind w:left="1618" w:leftChars="770" w:hanging="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承包人为合同工程合理订购且已交付的材料和工程设备货款。发包人一经支付此项货款，该材料和工程设备即成为发包人的财产；</w:t>
      </w:r>
    </w:p>
    <w:p>
      <w:pPr>
        <w:pStyle w:val="2"/>
        <w:numPr>
          <w:ilvl w:val="0"/>
          <w:numId w:val="25"/>
        </w:numPr>
        <w:shd w:val="clear" w:color="000000" w:fill="auto"/>
        <w:adjustRightInd w:val="0"/>
        <w:snapToGrid w:val="0"/>
        <w:spacing w:line="360" w:lineRule="auto"/>
        <w:ind w:left="1618" w:leftChars="770" w:hanging="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承包人为完成合同工程而预期开支的任何合理款项，且该项款项未包括在本款其他各项支付之内；</w:t>
      </w:r>
    </w:p>
    <w:p>
      <w:pPr>
        <w:pStyle w:val="2"/>
        <w:numPr>
          <w:ilvl w:val="0"/>
          <w:numId w:val="25"/>
        </w:numPr>
        <w:shd w:val="clear" w:color="000000" w:fill="auto"/>
        <w:adjustRightInd w:val="0"/>
        <w:snapToGrid w:val="0"/>
        <w:spacing w:line="360" w:lineRule="auto"/>
        <w:ind w:left="2096" w:leftChars="771" w:hanging="477" w:hangingChars="199"/>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31.3</w:t>
      </w:r>
      <w:r>
        <w:rPr>
          <w:rFonts w:hint="eastAsia" w:ascii="仿宋" w:hAnsi="仿宋" w:eastAsia="仿宋" w:cs="仿宋"/>
          <w:color w:val="auto"/>
          <w:sz w:val="24"/>
          <w:szCs w:val="24"/>
          <w:highlight w:val="none"/>
        </w:rPr>
        <w:t>款规定的任何工作应支付的款项；</w:t>
      </w:r>
    </w:p>
    <w:p>
      <w:pPr>
        <w:pStyle w:val="2"/>
        <w:numPr>
          <w:ilvl w:val="0"/>
          <w:numId w:val="25"/>
        </w:numPr>
        <w:shd w:val="clear" w:color="000000" w:fill="auto"/>
        <w:tabs>
          <w:tab w:val="left" w:pos="1980"/>
        </w:tabs>
        <w:adjustRightInd w:val="0"/>
        <w:snapToGrid w:val="0"/>
        <w:spacing w:line="360" w:lineRule="auto"/>
        <w:ind w:left="1618" w:leftChars="770" w:hanging="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87.6</w:t>
      </w:r>
      <w:r>
        <w:rPr>
          <w:rFonts w:hint="eastAsia" w:ascii="仿宋" w:hAnsi="仿宋" w:eastAsia="仿宋" w:cs="仿宋"/>
          <w:color w:val="auto"/>
          <w:sz w:val="24"/>
          <w:szCs w:val="24"/>
          <w:highlight w:val="none"/>
        </w:rPr>
        <w:t>款规定承包人撤离现场所需的合理款项，包括雇员遣送费和临时工程拆除、施工设备运离现场的款项。</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合同双方当事人按照第</w:t>
      </w:r>
      <w:r>
        <w:rPr>
          <w:rFonts w:ascii="仿宋" w:hAnsi="仿宋" w:eastAsia="仿宋" w:cs="仿宋"/>
          <w:color w:val="auto"/>
          <w:sz w:val="24"/>
          <w:szCs w:val="24"/>
          <w:highlight w:val="none"/>
        </w:rPr>
        <w:t>82</w:t>
      </w:r>
      <w:r>
        <w:rPr>
          <w:rFonts w:hint="eastAsia" w:ascii="仿宋" w:hAnsi="仿宋" w:eastAsia="仿宋" w:cs="仿宋"/>
          <w:color w:val="auto"/>
          <w:sz w:val="24"/>
          <w:szCs w:val="24"/>
          <w:highlight w:val="none"/>
        </w:rPr>
        <w:t>条、第</w:t>
      </w:r>
      <w:r>
        <w:rPr>
          <w:rFonts w:ascii="仿宋" w:hAnsi="仿宋" w:eastAsia="仿宋" w:cs="仿宋"/>
          <w:color w:val="auto"/>
          <w:sz w:val="24"/>
          <w:szCs w:val="24"/>
          <w:highlight w:val="none"/>
        </w:rPr>
        <w:t>83</w:t>
      </w:r>
      <w:r>
        <w:rPr>
          <w:rFonts w:hint="eastAsia" w:ascii="仿宋" w:hAnsi="仿宋" w:eastAsia="仿宋" w:cs="仿宋"/>
          <w:color w:val="auto"/>
          <w:sz w:val="24"/>
          <w:szCs w:val="24"/>
          <w:highlight w:val="none"/>
        </w:rPr>
        <w:t>条规定办理结算工程款，但应扣除合同解除之日前发包人向承包人收回的任何款项。如果发包人应扣除的款项超过了应支付的款项，则承包人应在合同解除后的</w:t>
      </w:r>
      <w:r>
        <w:rPr>
          <w:rFonts w:ascii="仿宋" w:hAnsi="仿宋" w:eastAsia="仿宋" w:cs="仿宋"/>
          <w:color w:val="auto"/>
          <w:sz w:val="24"/>
          <w:szCs w:val="24"/>
          <w:highlight w:val="none"/>
        </w:rPr>
        <w:t>56</w:t>
      </w:r>
      <w:r>
        <w:rPr>
          <w:rFonts w:hint="eastAsia" w:ascii="仿宋" w:hAnsi="仿宋" w:eastAsia="仿宋" w:cs="仿宋"/>
          <w:color w:val="auto"/>
          <w:sz w:val="24"/>
          <w:szCs w:val="24"/>
          <w:highlight w:val="none"/>
        </w:rPr>
        <w:t>天内将其差额退还给发包人。</w:t>
      </w:r>
    </w:p>
    <w:p>
      <w:pPr>
        <w:pStyle w:val="2"/>
        <w:shd w:val="clear" w:color="000000" w:fill="auto"/>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88.3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2055552" behindDoc="0" locked="0" layoutInCell="1" allowOverlap="1">
                <wp:simplePos x="0" y="0"/>
                <wp:positionH relativeFrom="column">
                  <wp:posOffset>-114300</wp:posOffset>
                </wp:positionH>
                <wp:positionV relativeFrom="paragraph">
                  <wp:posOffset>49530</wp:posOffset>
                </wp:positionV>
                <wp:extent cx="914400" cy="693420"/>
                <wp:effectExtent l="0" t="0" r="0" b="0"/>
                <wp:wrapNone/>
                <wp:docPr id="388" name="文本框 392"/>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因承包人的原因解除的支付</w:t>
                            </w:r>
                          </w:p>
                        </w:txbxContent>
                      </wps:txbx>
                      <wps:bodyPr upright="1"/>
                    </wps:wsp>
                  </a:graphicData>
                </a:graphic>
              </wp:anchor>
            </w:drawing>
          </mc:Choice>
          <mc:Fallback>
            <w:pict>
              <v:shape id="文本框 392" o:spid="_x0000_s1026" o:spt="202" type="#_x0000_t202" style="position:absolute;left:0pt;margin-left:-9pt;margin-top:3.9pt;height:54.6pt;width:72pt;z-index:252055552;mso-width-relative:page;mso-height-relative:page;" filled="f" stroked="f" coordsize="21600,21600" o:gfxdata="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KkBr53W&#10;AAAACQEAAA8AAAAAAAAAAQAgAAAAIgAAAGRycy9kb3ducmV2LnhtbFBLAQIUABQAAAAIAIdO4kB1&#10;OoD2sAEAAFEDAAAOAAAAAAAAAAEAIAAAACUBAABkcnMvZTJvRG9jLnhtbFBLBQYAAAAABgAGAFkB&#10;AABH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因承包人的原因解除的支付</w:t>
                      </w:r>
                    </w:p>
                  </w:txbxContent>
                </v:textbox>
              </v:shape>
            </w:pict>
          </mc:Fallback>
        </mc:AlternateContent>
      </w: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87.3</w:t>
      </w:r>
      <w:r>
        <w:rPr>
          <w:rFonts w:hint="eastAsia" w:ascii="仿宋" w:hAnsi="仿宋" w:eastAsia="仿宋" w:cs="仿宋"/>
          <w:color w:val="auto"/>
          <w:sz w:val="24"/>
          <w:szCs w:val="24"/>
          <w:highlight w:val="none"/>
        </w:rPr>
        <w:t>款规定解除合同的，发包人暂停向承包人支付任何款项，造价工程师应在合同解除后</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核实合同解除时承包人已完成的全部工程款以及已运至现场的材料和工程设备货款，并扣除误期赔偿费（如有）和发包人已支付给承包人的各项款项，同时将结果通知承包人并抄报发包人。合同双方当事人应在收到核实结果后的</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天内予以确认或提出意见，并按照第</w:t>
      </w:r>
      <w:r>
        <w:rPr>
          <w:rFonts w:ascii="仿宋" w:hAnsi="仿宋" w:eastAsia="仿宋" w:cs="仿宋"/>
          <w:color w:val="auto"/>
          <w:sz w:val="24"/>
          <w:szCs w:val="24"/>
          <w:highlight w:val="none"/>
        </w:rPr>
        <w:t>82.4</w:t>
      </w:r>
      <w:r>
        <w:rPr>
          <w:rFonts w:hint="eastAsia" w:ascii="仿宋" w:hAnsi="仿宋" w:eastAsia="仿宋" w:cs="仿宋"/>
          <w:color w:val="auto"/>
          <w:sz w:val="24"/>
          <w:szCs w:val="24"/>
          <w:highlight w:val="none"/>
        </w:rPr>
        <w:t>款规定办理结算工程款。如果发包人应扣除的款项超过了应支付的款项，则承包人应在合同解除后的</w:t>
      </w:r>
      <w:r>
        <w:rPr>
          <w:rFonts w:ascii="仿宋" w:hAnsi="仿宋" w:eastAsia="仿宋" w:cs="仿宋"/>
          <w:color w:val="auto"/>
          <w:sz w:val="24"/>
          <w:szCs w:val="24"/>
          <w:highlight w:val="none"/>
        </w:rPr>
        <w:t>56</w:t>
      </w:r>
      <w:r>
        <w:rPr>
          <w:rFonts w:hint="eastAsia" w:ascii="仿宋" w:hAnsi="仿宋" w:eastAsia="仿宋" w:cs="仿宋"/>
          <w:color w:val="auto"/>
          <w:sz w:val="24"/>
          <w:szCs w:val="24"/>
          <w:highlight w:val="none"/>
        </w:rPr>
        <w:t>天内将其差额退还给发包人。</w:t>
      </w:r>
    </w:p>
    <w:p>
      <w:pPr>
        <w:pStyle w:val="2"/>
        <w:shd w:val="clear" w:color="000000" w:fill="auto"/>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88.4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jc w:val="left"/>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56576" behindDoc="0" locked="0" layoutInCell="1" allowOverlap="1">
                <wp:simplePos x="0" y="0"/>
                <wp:positionH relativeFrom="column">
                  <wp:posOffset>-114300</wp:posOffset>
                </wp:positionH>
                <wp:positionV relativeFrom="paragraph">
                  <wp:posOffset>45720</wp:posOffset>
                </wp:positionV>
                <wp:extent cx="914400" cy="463550"/>
                <wp:effectExtent l="0" t="0" r="0" b="0"/>
                <wp:wrapNone/>
                <wp:docPr id="389" name="文本框 393"/>
                <wp:cNvGraphicFramePr/>
                <a:graphic xmlns:a="http://schemas.openxmlformats.org/drawingml/2006/main">
                  <a:graphicData uri="http://schemas.microsoft.com/office/word/2010/wordprocessingShape">
                    <wps:wsp>
                      <wps:cNvSpPr txBox="1"/>
                      <wps:spPr>
                        <a:xfrm>
                          <a:off x="0" y="0"/>
                          <a:ext cx="914400" cy="46355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因发包人的原因解除的支付</w:t>
                            </w:r>
                          </w:p>
                        </w:txbxContent>
                      </wps:txbx>
                      <wps:bodyPr upright="1"/>
                    </wps:wsp>
                  </a:graphicData>
                </a:graphic>
              </wp:anchor>
            </w:drawing>
          </mc:Choice>
          <mc:Fallback>
            <w:pict>
              <v:shape id="文本框 393" o:spid="_x0000_s1026" o:spt="202" type="#_x0000_t202" style="position:absolute;left:0pt;margin-left:-9pt;margin-top:3.6pt;height:36.5pt;width:72pt;z-index:252056576;mso-width-relative:page;mso-height-relative:page;" filled="f" stroked="f" coordsize="21600,21600" o:gfxdata="UEsDBAoAAAAAAIdO4kAAAAAAAAAAAAAAAAAEAAAAZHJzL1BLAwQUAAAACACHTuJAA9E29d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APRNvXV&#10;AAAACAEAAA8AAAAAAAAAAQAgAAAAIgAAAGRycy9kb3ducmV2LnhtbFBLAQIUABQAAAAIAIdO4kAN&#10;jegbsQEAAFEDAAAOAAAAAAAAAAEAIAAAACQBAABkcnMvZTJvRG9jLnhtbFBLBQYAAAAABgAGAFkB&#10;AABH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因发包人的原因解除的支付</w:t>
                      </w:r>
                    </w:p>
                  </w:txbxContent>
                </v:textbox>
              </v:shape>
            </w:pict>
          </mc:Fallback>
        </mc:AlternateContent>
      </w:r>
      <w:r>
        <w:rPr>
          <w:rFonts w:hint="eastAsia" w:ascii="仿宋" w:hAnsi="仿宋" w:eastAsia="仿宋" w:cs="仿宋"/>
          <w:color w:val="auto"/>
          <w:sz w:val="24"/>
          <w:szCs w:val="24"/>
          <w:highlight w:val="none"/>
        </w:rPr>
        <w:t>根据第</w:t>
      </w:r>
      <w:r>
        <w:rPr>
          <w:rFonts w:ascii="仿宋" w:hAnsi="仿宋" w:eastAsia="仿宋" w:cs="仿宋"/>
          <w:color w:val="auto"/>
          <w:sz w:val="24"/>
          <w:szCs w:val="24"/>
          <w:highlight w:val="none"/>
        </w:rPr>
        <w:t>87.4</w:t>
      </w:r>
      <w:r>
        <w:rPr>
          <w:rFonts w:hint="eastAsia" w:ascii="仿宋" w:hAnsi="仿宋" w:eastAsia="仿宋" w:cs="仿宋"/>
          <w:color w:val="auto"/>
          <w:sz w:val="24"/>
          <w:szCs w:val="24"/>
          <w:highlight w:val="none"/>
        </w:rPr>
        <w:t>款规定解除合同的，发包人除应按照第</w:t>
      </w:r>
      <w:r>
        <w:rPr>
          <w:rFonts w:ascii="仿宋" w:hAnsi="仿宋" w:eastAsia="仿宋" w:cs="仿宋"/>
          <w:color w:val="auto"/>
          <w:sz w:val="24"/>
          <w:szCs w:val="24"/>
          <w:highlight w:val="none"/>
        </w:rPr>
        <w:t>88.2</w:t>
      </w:r>
      <w:r>
        <w:rPr>
          <w:rFonts w:hint="eastAsia" w:ascii="仿宋" w:hAnsi="仿宋" w:eastAsia="仿宋" w:cs="仿宋"/>
          <w:color w:val="auto"/>
          <w:sz w:val="24"/>
          <w:szCs w:val="24"/>
          <w:highlight w:val="none"/>
        </w:rPr>
        <w:t>款规定向承包人支付各项款项外，还应支付给承包人由于解除合同而引起的损失或损害的款项。该笔款项由承包人提出，造价工程师核实后与合同双方当事人协商确定，并在确定后的</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天内由造价工程师向发包人签发支付证书，抄送承包人。协商不能达成一致的，按照第</w:t>
      </w:r>
      <w:r>
        <w:rPr>
          <w:rFonts w:ascii="仿宋" w:hAnsi="仿宋" w:eastAsia="仿宋" w:cs="仿宋"/>
          <w:color w:val="auto"/>
          <w:sz w:val="24"/>
          <w:szCs w:val="24"/>
          <w:highlight w:val="none"/>
        </w:rPr>
        <w:t>86</w:t>
      </w:r>
      <w:r>
        <w:rPr>
          <w:rFonts w:hint="eastAsia" w:ascii="仿宋" w:hAnsi="仿宋" w:eastAsia="仿宋" w:cs="仿宋"/>
          <w:color w:val="auto"/>
          <w:sz w:val="24"/>
          <w:szCs w:val="24"/>
          <w:highlight w:val="none"/>
        </w:rPr>
        <w:t>条规定处理。</w:t>
      </w:r>
    </w:p>
    <w:p>
      <w:pPr>
        <w:pStyle w:val="2"/>
        <w:shd w:val="clear" w:color="000000" w:fill="auto"/>
        <w:adjustRightInd w:val="0"/>
        <w:snapToGrid w:val="0"/>
        <w:spacing w:line="360" w:lineRule="auto"/>
        <w:jc w:val="left"/>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
        <w:shd w:val="clear" w:color="000000" w:fill="auto"/>
        <w:adjustRightInd w:val="0"/>
        <w:snapToGrid w:val="0"/>
        <w:spacing w:line="360" w:lineRule="auto"/>
        <w:jc w:val="left"/>
        <w:outlineLvl w:val="2"/>
        <w:rPr>
          <w:rFonts w:ascii="仿宋" w:hAnsi="仿宋" w:eastAsia="仿宋" w:cs="Times New Roman"/>
          <w:b/>
          <w:bCs/>
          <w:color w:val="auto"/>
          <w:sz w:val="24"/>
          <w:szCs w:val="24"/>
          <w:highlight w:val="none"/>
        </w:rPr>
      </w:pPr>
      <w:bookmarkStart w:id="399" w:name="_Toc10624914"/>
      <w:bookmarkStart w:id="400" w:name="_Toc469384073"/>
      <w:bookmarkStart w:id="401" w:name="_Toc1609"/>
      <w:r>
        <w:rPr>
          <w:rFonts w:ascii="仿宋" w:hAnsi="仿宋" w:eastAsia="仿宋" w:cs="仿宋"/>
          <w:b/>
          <w:bCs/>
          <w:color w:val="auto"/>
          <w:sz w:val="24"/>
          <w:szCs w:val="24"/>
          <w:highlight w:val="none"/>
        </w:rPr>
        <w:t xml:space="preserve">89  </w:t>
      </w:r>
      <w:r>
        <w:rPr>
          <w:rFonts w:hint="eastAsia" w:ascii="仿宋" w:hAnsi="仿宋" w:eastAsia="仿宋" w:cs="仿宋"/>
          <w:b/>
          <w:bCs/>
          <w:color w:val="auto"/>
          <w:sz w:val="24"/>
          <w:szCs w:val="24"/>
          <w:highlight w:val="none"/>
        </w:rPr>
        <w:t>合同终止</w:t>
      </w:r>
      <w:bookmarkEnd w:id="399"/>
      <w:bookmarkEnd w:id="400"/>
      <w:bookmarkEnd w:id="401"/>
    </w:p>
    <w:p>
      <w:pPr>
        <w:pStyle w:val="2"/>
        <w:shd w:val="clear" w:color="000000" w:fill="auto"/>
        <w:adjustRightInd w:val="0"/>
        <w:snapToGrid w:val="0"/>
        <w:spacing w:line="360" w:lineRule="auto"/>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89.1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57600"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390" name="文本框 39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合同解除后的终止</w:t>
                            </w:r>
                          </w:p>
                        </w:txbxContent>
                      </wps:txbx>
                      <wps:bodyPr upright="1"/>
                    </wps:wsp>
                  </a:graphicData>
                </a:graphic>
              </wp:anchor>
            </w:drawing>
          </mc:Choice>
          <mc:Fallback>
            <w:pict>
              <v:shape id="文本框 394" o:spid="_x0000_s1026" o:spt="202" type="#_x0000_t202" style="position:absolute;left:0pt;margin-left:-9pt;margin-top:1.25pt;height:31.2pt;width:72pt;z-index:252057600;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8/wcNUA&#10;AAAIAQAADwAAAAAAAAABACAAAAAiAAAAZHJzL2Rvd25yZXYueG1sUEsBAhQAFAAAAAgAh07iQJpb&#10;Ny2wAQAAUQMAAA4AAAAAAAAAAQAgAAAAJAEAAGRycy9lMm9Eb2MueG1sUEsFBgAAAAAGAAYAWQEA&#10;AEY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合同解除后的终止</w:t>
                      </w:r>
                    </w:p>
                  </w:txbxContent>
                </v:textbox>
              </v:shape>
            </w:pict>
          </mc:Fallback>
        </mc:AlternateContent>
      </w:r>
      <w:r>
        <w:rPr>
          <w:rFonts w:hint="eastAsia" w:ascii="仿宋" w:hAnsi="仿宋" w:eastAsia="仿宋" w:cs="仿宋"/>
          <w:color w:val="auto"/>
          <w:sz w:val="24"/>
          <w:szCs w:val="24"/>
          <w:highlight w:val="none"/>
        </w:rPr>
        <w:t>合同解除后，除合同双方当事人享有第</w:t>
      </w:r>
      <w:r>
        <w:rPr>
          <w:rFonts w:ascii="仿宋" w:hAnsi="仿宋" w:eastAsia="仿宋" w:cs="仿宋"/>
          <w:color w:val="auto"/>
          <w:sz w:val="24"/>
          <w:szCs w:val="24"/>
          <w:highlight w:val="none"/>
        </w:rPr>
        <w:t>86</w:t>
      </w:r>
      <w:r>
        <w:rPr>
          <w:rFonts w:hint="eastAsia" w:ascii="仿宋" w:hAnsi="仿宋" w:eastAsia="仿宋" w:cs="仿宋"/>
          <w:color w:val="auto"/>
          <w:sz w:val="24"/>
          <w:szCs w:val="24"/>
          <w:highlight w:val="none"/>
        </w:rPr>
        <w:t>条至第</w:t>
      </w:r>
      <w:r>
        <w:rPr>
          <w:rFonts w:ascii="仿宋" w:hAnsi="仿宋" w:eastAsia="仿宋" w:cs="仿宋"/>
          <w:color w:val="auto"/>
          <w:sz w:val="24"/>
          <w:szCs w:val="24"/>
          <w:highlight w:val="none"/>
        </w:rPr>
        <w:t>88</w:t>
      </w:r>
      <w:r>
        <w:rPr>
          <w:rFonts w:hint="eastAsia" w:ascii="仿宋" w:hAnsi="仿宋" w:eastAsia="仿宋" w:cs="仿宋"/>
          <w:color w:val="auto"/>
          <w:sz w:val="24"/>
          <w:szCs w:val="24"/>
          <w:highlight w:val="none"/>
        </w:rPr>
        <w:t>条规定的权利外，本合同即告终止，但不因一方当事人在此以前的任何违约而损害另一方当事人应享有的权利，也不影响合同双方当事人履行本合同结算和清算条款的效力。</w:t>
      </w:r>
    </w:p>
    <w:p>
      <w:pPr>
        <w:pStyle w:val="2"/>
        <w:shd w:val="clear" w:color="000000" w:fill="auto"/>
        <w:tabs>
          <w:tab w:val="left" w:pos="1320"/>
        </w:tabs>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89.2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58624" behindDoc="0" locked="0" layoutInCell="1" allowOverlap="1">
                <wp:simplePos x="0" y="0"/>
                <wp:positionH relativeFrom="column">
                  <wp:posOffset>-114300</wp:posOffset>
                </wp:positionH>
                <wp:positionV relativeFrom="paragraph">
                  <wp:posOffset>635</wp:posOffset>
                </wp:positionV>
                <wp:extent cx="914400" cy="851535"/>
                <wp:effectExtent l="0" t="0" r="0" b="0"/>
                <wp:wrapNone/>
                <wp:docPr id="391" name="文本框 395"/>
                <wp:cNvGraphicFramePr/>
                <a:graphic xmlns:a="http://schemas.openxmlformats.org/drawingml/2006/main">
                  <a:graphicData uri="http://schemas.microsoft.com/office/word/2010/wordprocessingShape">
                    <wps:wsp>
                      <wps:cNvSpPr txBox="1"/>
                      <wps:spPr>
                        <a:xfrm>
                          <a:off x="0" y="0"/>
                          <a:ext cx="914400" cy="85153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双方履行完全部义务后的终止</w:t>
                            </w:r>
                          </w:p>
                        </w:txbxContent>
                      </wps:txbx>
                      <wps:bodyPr upright="1"/>
                    </wps:wsp>
                  </a:graphicData>
                </a:graphic>
              </wp:anchor>
            </w:drawing>
          </mc:Choice>
          <mc:Fallback>
            <w:pict>
              <v:shape id="文本框 395" o:spid="_x0000_s1026" o:spt="202" type="#_x0000_t202" style="position:absolute;left:0pt;margin-left:-9pt;margin-top:0.05pt;height:67.05pt;width:72pt;z-index:252058624;mso-width-relative:page;mso-height-relative:page;" filled="f" stroked="f" coordsize="21600,21600" o:gfxdata="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N/Cqn7V&#10;AAAACAEAAA8AAAAAAAAAAQAgAAAAIgAAAGRycy9kb3ducmV2LnhtbFBLAQIUABQAAAAIAIdO4kD1&#10;tE3SsQEAAFEDAAAOAAAAAAAAAAEAIAAAACQBAABkcnMvZTJvRG9jLnhtbFBLBQYAAAAABgAGAFkB&#10;AABH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双方履行完全部义务后的终止</w:t>
                      </w:r>
                    </w:p>
                  </w:txbxContent>
                </v:textbox>
              </v:shape>
            </w:pict>
          </mc:Fallback>
        </mc:AlternateContent>
      </w:r>
      <w:r>
        <w:rPr>
          <w:rFonts w:hint="eastAsia" w:ascii="仿宋" w:hAnsi="仿宋" w:eastAsia="仿宋" w:cs="仿宋"/>
          <w:color w:val="auto"/>
          <w:sz w:val="24"/>
          <w:szCs w:val="24"/>
          <w:highlight w:val="none"/>
        </w:rPr>
        <w:t>除第</w:t>
      </w:r>
      <w:r>
        <w:rPr>
          <w:rFonts w:ascii="仿宋" w:hAnsi="仿宋" w:eastAsia="仿宋" w:cs="仿宋"/>
          <w:color w:val="auto"/>
          <w:sz w:val="24"/>
          <w:szCs w:val="24"/>
          <w:highlight w:val="none"/>
        </w:rPr>
        <w:t>59</w:t>
      </w:r>
      <w:r>
        <w:rPr>
          <w:rFonts w:hint="eastAsia" w:ascii="仿宋" w:hAnsi="仿宋" w:eastAsia="仿宋" w:cs="仿宋"/>
          <w:color w:val="auto"/>
          <w:sz w:val="24"/>
          <w:szCs w:val="24"/>
          <w:highlight w:val="none"/>
        </w:rPr>
        <w:t>条和第</w:t>
      </w:r>
      <w:r>
        <w:rPr>
          <w:rFonts w:ascii="仿宋" w:hAnsi="仿宋" w:eastAsia="仿宋" w:cs="仿宋"/>
          <w:color w:val="auto"/>
          <w:sz w:val="24"/>
          <w:szCs w:val="24"/>
          <w:highlight w:val="none"/>
        </w:rPr>
        <w:t>84</w:t>
      </w:r>
      <w:r>
        <w:rPr>
          <w:rFonts w:hint="eastAsia" w:ascii="仿宋" w:hAnsi="仿宋" w:eastAsia="仿宋" w:cs="仿宋"/>
          <w:color w:val="auto"/>
          <w:sz w:val="24"/>
          <w:szCs w:val="24"/>
          <w:highlight w:val="none"/>
        </w:rPr>
        <w:t>条规定的质量保修条款外，合同双方当事人履行完本合同全部义务，发包人向承包人支付完竣工结算款，承包人向发包人交付竣工工程后，本合同即告终止。</w:t>
      </w:r>
    </w:p>
    <w:p>
      <w:pPr>
        <w:pStyle w:val="2"/>
        <w:shd w:val="clear" w:color="000000" w:fill="auto"/>
        <w:tabs>
          <w:tab w:val="left" w:pos="1320"/>
        </w:tabs>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89.3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59648" behindDoc="0" locked="0" layoutInCell="1" allowOverlap="1">
                <wp:simplePos x="0" y="0"/>
                <wp:positionH relativeFrom="column">
                  <wp:posOffset>-114300</wp:posOffset>
                </wp:positionH>
                <wp:positionV relativeFrom="paragraph">
                  <wp:posOffset>13335</wp:posOffset>
                </wp:positionV>
                <wp:extent cx="914400" cy="415925"/>
                <wp:effectExtent l="0" t="0" r="0" b="0"/>
                <wp:wrapNone/>
                <wp:docPr id="392" name="文本框 396"/>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合同终止后双方的义务</w:t>
                            </w:r>
                          </w:p>
                        </w:txbxContent>
                      </wps:txbx>
                      <wps:bodyPr upright="1"/>
                    </wps:wsp>
                  </a:graphicData>
                </a:graphic>
              </wp:anchor>
            </w:drawing>
          </mc:Choice>
          <mc:Fallback>
            <w:pict>
              <v:shape id="文本框 396" o:spid="_x0000_s1026" o:spt="202" type="#_x0000_t202" style="position:absolute;left:0pt;margin-left:-9pt;margin-top:1.05pt;height:32.75pt;width:72pt;z-index:252059648;mso-width-relative:page;mso-height-relative:page;" filled="f" stroked="f" coordsize="21600,21600" o:gfxdata="UEsDBAoAAAAAAIdO4kAAAAAAAAAAAAAAAAAEAAAAZHJzL1BLAwQUAAAACACHTuJAnEyWpN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nEyWpNUA&#10;AAAIAQAADwAAAAAAAAABACAAAAAiAAAAZHJzL2Rvd25yZXYueG1sUEsBAhQAFAAAAAgAh07iQNgz&#10;kwqwAQAAUQMAAA4AAAAAAAAAAQAgAAAAJAEAAGRycy9lMm9Eb2MueG1sUEsFBgAAAAAGAAYAWQEA&#10;AEY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合同终止后双方的义务</w:t>
                      </w:r>
                    </w:p>
                  </w:txbxContent>
                </v:textbox>
              </v:shape>
            </w:pict>
          </mc:Fallback>
        </mc:AlternateContent>
      </w:r>
      <w:r>
        <w:rPr>
          <w:rFonts w:hint="eastAsia" w:ascii="仿宋" w:hAnsi="仿宋" w:eastAsia="仿宋" w:cs="仿宋"/>
          <w:color w:val="auto"/>
          <w:sz w:val="24"/>
          <w:szCs w:val="24"/>
          <w:highlight w:val="none"/>
        </w:rPr>
        <w:t>本合同的权利义务终止后，合同双方当事人仍应遵循诚实信用原则，继续履行合同约定的通知、协助、保密等义务。</w:t>
      </w:r>
    </w:p>
    <w:p>
      <w:pPr>
        <w:pStyle w:val="2"/>
        <w:shd w:val="clear" w:color="000000" w:fill="auto"/>
        <w:adjustRightInd w:val="0"/>
        <w:snapToGrid w:val="0"/>
        <w:spacing w:line="480" w:lineRule="auto"/>
        <w:ind w:right="-238"/>
        <w:rPr>
          <w:rFonts w:ascii="仿宋" w:hAnsi="仿宋" w:eastAsia="仿宋" w:cs="仿宋"/>
          <w:color w:val="auto"/>
          <w:sz w:val="24"/>
          <w:szCs w:val="24"/>
          <w:highlight w:val="none"/>
          <w:u w:val="single"/>
        </w:rPr>
      </w:pPr>
      <w:r>
        <w:rPr>
          <w:rFonts w:ascii="仿宋" w:hAnsi="仿宋" w:eastAsia="仿宋" w:cs="仿宋"/>
          <w:color w:val="auto"/>
          <w:sz w:val="24"/>
          <w:szCs w:val="24"/>
          <w:highlight w:val="none"/>
          <w:u w:val="single"/>
        </w:rPr>
        <w:t xml:space="preserve">                                                                                 </w:t>
      </w:r>
    </w:p>
    <w:p>
      <w:pPr>
        <w:shd w:val="clear" w:color="000000" w:fill="auto"/>
        <w:ind w:firstLine="2951" w:firstLineChars="1225"/>
        <w:outlineLvl w:val="1"/>
        <w:rPr>
          <w:rFonts w:ascii="仿宋" w:hAnsi="仿宋" w:eastAsia="仿宋" w:cs="Times New Roman"/>
          <w:b/>
          <w:bCs/>
          <w:color w:val="auto"/>
          <w:sz w:val="24"/>
          <w:szCs w:val="24"/>
          <w:highlight w:val="none"/>
        </w:rPr>
      </w:pPr>
      <w:bookmarkStart w:id="402" w:name="_Toc24919"/>
      <w:bookmarkStart w:id="403" w:name="_Toc6857"/>
      <w:r>
        <w:rPr>
          <w:rFonts w:hint="eastAsia" w:ascii="仿宋" w:hAnsi="仿宋" w:eastAsia="仿宋" w:cs="仿宋"/>
          <w:b/>
          <w:bCs/>
          <w:color w:val="auto"/>
          <w:sz w:val="24"/>
          <w:szCs w:val="24"/>
          <w:highlight w:val="none"/>
        </w:rPr>
        <w:t>八、违</w:t>
      </w:r>
      <w:r>
        <w:rPr>
          <w:rFonts w:ascii="仿宋" w:hAnsi="仿宋" w:eastAsia="仿宋" w:cs="仿宋"/>
          <w:b/>
          <w:bCs/>
          <w:color w:val="auto"/>
          <w:sz w:val="24"/>
          <w:szCs w:val="24"/>
          <w:highlight w:val="none"/>
        </w:rPr>
        <w:t xml:space="preserve"> </w:t>
      </w:r>
      <w:r>
        <w:rPr>
          <w:rFonts w:hint="eastAsia" w:ascii="仿宋" w:hAnsi="仿宋" w:eastAsia="仿宋" w:cs="仿宋"/>
          <w:b/>
          <w:bCs/>
          <w:color w:val="auto"/>
          <w:sz w:val="24"/>
          <w:szCs w:val="24"/>
          <w:highlight w:val="none"/>
        </w:rPr>
        <w:t>约</w:t>
      </w:r>
      <w:r>
        <w:rPr>
          <w:rFonts w:ascii="仿宋" w:hAnsi="仿宋" w:eastAsia="仿宋" w:cs="仿宋"/>
          <w:b/>
          <w:bCs/>
          <w:color w:val="auto"/>
          <w:sz w:val="24"/>
          <w:szCs w:val="24"/>
          <w:highlight w:val="none"/>
        </w:rPr>
        <w:t xml:space="preserve"> </w:t>
      </w:r>
      <w:r>
        <w:rPr>
          <w:rFonts w:hint="eastAsia" w:ascii="仿宋" w:hAnsi="仿宋" w:eastAsia="仿宋" w:cs="仿宋"/>
          <w:b/>
          <w:bCs/>
          <w:color w:val="auto"/>
          <w:sz w:val="24"/>
          <w:szCs w:val="24"/>
          <w:highlight w:val="none"/>
        </w:rPr>
        <w:t>责</w:t>
      </w:r>
      <w:r>
        <w:rPr>
          <w:rFonts w:ascii="仿宋" w:hAnsi="仿宋" w:eastAsia="仿宋" w:cs="仿宋"/>
          <w:b/>
          <w:bCs/>
          <w:color w:val="auto"/>
          <w:sz w:val="24"/>
          <w:szCs w:val="24"/>
          <w:highlight w:val="none"/>
        </w:rPr>
        <w:t xml:space="preserve"> </w:t>
      </w:r>
      <w:r>
        <w:rPr>
          <w:rFonts w:hint="eastAsia" w:ascii="仿宋" w:hAnsi="仿宋" w:eastAsia="仿宋" w:cs="仿宋"/>
          <w:b/>
          <w:bCs/>
          <w:color w:val="auto"/>
          <w:sz w:val="24"/>
          <w:szCs w:val="24"/>
          <w:highlight w:val="none"/>
        </w:rPr>
        <w:t>任</w:t>
      </w:r>
      <w:bookmarkEnd w:id="402"/>
      <w:bookmarkEnd w:id="403"/>
    </w:p>
    <w:p>
      <w:pPr>
        <w:shd w:val="clear" w:color="000000" w:fill="auto"/>
        <w:jc w:val="left"/>
        <w:rPr>
          <w:rFonts w:cs="Times New Roman"/>
          <w:color w:val="auto"/>
          <w:highlight w:val="none"/>
        </w:rPr>
      </w:pPr>
    </w:p>
    <w:p>
      <w:pPr>
        <w:pStyle w:val="2"/>
        <w:shd w:val="clear" w:color="000000" w:fill="auto"/>
        <w:adjustRightInd w:val="0"/>
        <w:snapToGrid w:val="0"/>
        <w:spacing w:line="360" w:lineRule="auto"/>
        <w:jc w:val="left"/>
        <w:outlineLvl w:val="2"/>
        <w:rPr>
          <w:rFonts w:ascii="仿宋" w:hAnsi="仿宋" w:eastAsia="仿宋" w:cs="Times New Roman"/>
          <w:b/>
          <w:bCs/>
          <w:color w:val="auto"/>
          <w:sz w:val="24"/>
          <w:szCs w:val="24"/>
          <w:highlight w:val="none"/>
        </w:rPr>
      </w:pPr>
      <w:bookmarkStart w:id="404" w:name="_Toc4074"/>
      <w:bookmarkStart w:id="405" w:name="_Toc10624915"/>
      <w:r>
        <w:rPr>
          <w:rFonts w:hint="eastAsia" w:ascii="仿宋" w:hAnsi="仿宋" w:eastAsia="仿宋" w:cs="仿宋"/>
          <w:color w:val="auto"/>
          <w:sz w:val="24"/>
          <w:szCs w:val="24"/>
          <w:highlight w:val="none"/>
        </w:rPr>
        <w:t>★</w:t>
      </w:r>
      <w:r>
        <w:rPr>
          <w:rFonts w:ascii="仿宋" w:hAnsi="仿宋" w:eastAsia="仿宋" w:cs="仿宋"/>
          <w:b/>
          <w:bCs/>
          <w:color w:val="auto"/>
          <w:sz w:val="24"/>
          <w:szCs w:val="24"/>
          <w:highlight w:val="none"/>
        </w:rPr>
        <w:t xml:space="preserve">90  </w:t>
      </w:r>
      <w:r>
        <w:rPr>
          <w:rFonts w:hint="eastAsia" w:ascii="仿宋" w:hAnsi="仿宋" w:eastAsia="仿宋" w:cs="仿宋"/>
          <w:b/>
          <w:bCs/>
          <w:color w:val="auto"/>
          <w:sz w:val="24"/>
          <w:szCs w:val="24"/>
          <w:highlight w:val="none"/>
        </w:rPr>
        <w:t>承包人的违约责任</w:t>
      </w:r>
      <w:bookmarkEnd w:id="404"/>
      <w:bookmarkEnd w:id="405"/>
    </w:p>
    <w:p>
      <w:pPr>
        <w:pStyle w:val="2"/>
        <w:shd w:val="clear" w:color="000000" w:fill="auto"/>
        <w:adjustRightInd w:val="0"/>
        <w:snapToGrid w:val="0"/>
        <w:spacing w:line="360" w:lineRule="auto"/>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90.1</w:t>
      </w:r>
    </w:p>
    <w:p>
      <w:pPr>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77056"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409" name="文本框 397"/>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承包人责任</w:t>
                            </w:r>
                          </w:p>
                        </w:txbxContent>
                      </wps:txbx>
                      <wps:bodyPr upright="1"/>
                    </wps:wsp>
                  </a:graphicData>
                </a:graphic>
              </wp:anchor>
            </w:drawing>
          </mc:Choice>
          <mc:Fallback>
            <w:pict>
              <v:shape id="文本框 397" o:spid="_x0000_s1026" o:spt="202" type="#_x0000_t202" style="position:absolute;left:0pt;margin-left:-9pt;margin-top:1.25pt;height:31.2pt;width:72pt;z-index:252077056;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8/wcNUA&#10;AAAIAQAADwAAAAAAAAABACAAAAAiAAAAZHJzL2Rvd25yZXYueG1sUEsBAhQAFAAAAAgAh07iQGeH&#10;yQWwAQAAUQMAAA4AAAAAAAAAAQAgAAAAJAEAAGRycy9lMm9Eb2MueG1sUEsFBgAAAAAGAAYAWQEA&#10;AEY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承包人责任</w:t>
                      </w:r>
                    </w:p>
                  </w:txbxContent>
                </v:textbox>
              </v:shape>
            </w:pict>
          </mc:Fallback>
        </mc:AlternateContent>
      </w:r>
      <w:r>
        <w:rPr>
          <w:rFonts w:hint="eastAsia" w:ascii="仿宋" w:hAnsi="仿宋" w:eastAsia="仿宋" w:cs="仿宋"/>
          <w:color w:val="auto"/>
          <w:sz w:val="24"/>
          <w:szCs w:val="24"/>
          <w:highlight w:val="none"/>
        </w:rPr>
        <w:t>因承包人违反本合同约定给发包人造成损失的，承包人应当赔偿发包人损失。</w:t>
      </w:r>
    </w:p>
    <w:p>
      <w:pPr>
        <w:shd w:val="clear" w:color="000000" w:fill="auto"/>
        <w:adjustRightInd w:val="0"/>
        <w:snapToGrid w:val="0"/>
        <w:spacing w:line="360" w:lineRule="auto"/>
        <w:rPr>
          <w:rFonts w:ascii="仿宋" w:hAnsi="仿宋" w:eastAsia="仿宋" w:cs="Times New Roman"/>
          <w:b/>
          <w:bCs/>
          <w:color w:val="auto"/>
          <w:sz w:val="24"/>
          <w:szCs w:val="24"/>
          <w:highlight w:val="none"/>
        </w:rPr>
      </w:pPr>
    </w:p>
    <w:p>
      <w:pPr>
        <w:shd w:val="clear" w:color="000000" w:fill="auto"/>
        <w:spacing w:line="360" w:lineRule="auto"/>
        <w:ind w:left="2300" w:leftChars="27" w:hanging="2243" w:hangingChars="931"/>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90.2  </w:t>
      </w:r>
      <w:r>
        <w:rPr>
          <w:rFonts w:ascii="仿宋" w:hAnsi="仿宋" w:eastAsia="仿宋" w:cs="仿宋"/>
          <w:b/>
          <w:bCs/>
          <w:color w:val="auto"/>
          <w:sz w:val="24"/>
          <w:szCs w:val="24"/>
          <w:highlight w:val="none"/>
          <w:u w:val="dotted"/>
        </w:rPr>
        <w:t xml:space="preserve">                                                                                </w:t>
      </w:r>
    </w:p>
    <w:p>
      <w:pPr>
        <w:shd w:val="clear" w:color="000000" w:fill="auto"/>
        <w:spacing w:line="360" w:lineRule="auto"/>
        <w:ind w:left="2012" w:leftChars="27" w:hanging="1955" w:hangingChars="93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78080" behindDoc="0" locked="0" layoutInCell="1" allowOverlap="1">
                <wp:simplePos x="0" y="0"/>
                <wp:positionH relativeFrom="column">
                  <wp:posOffset>-114300</wp:posOffset>
                </wp:positionH>
                <wp:positionV relativeFrom="paragraph">
                  <wp:posOffset>13335</wp:posOffset>
                </wp:positionV>
                <wp:extent cx="914400" cy="415925"/>
                <wp:effectExtent l="0" t="0" r="0" b="0"/>
                <wp:wrapNone/>
                <wp:docPr id="410" name="文本框 398"/>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承包人责任承担费用</w:t>
                            </w:r>
                          </w:p>
                          <w:p>
                            <w:pPr>
                              <w:spacing w:line="240" w:lineRule="exact"/>
                              <w:rPr>
                                <w:rFonts w:ascii="楷体_GB2312" w:hAnsi="宋体" w:eastAsia="楷体_GB2312" w:cs="Times New Roman"/>
                                <w:b/>
                                <w:bCs/>
                                <w:sz w:val="18"/>
                                <w:szCs w:val="18"/>
                              </w:rPr>
                            </w:pPr>
                          </w:p>
                          <w:p>
                            <w:pPr>
                              <w:spacing w:line="240" w:lineRule="exact"/>
                              <w:rPr>
                                <w:rFonts w:ascii="楷体_GB2312" w:hAnsi="宋体" w:eastAsia="楷体_GB2312" w:cs="Times New Roman"/>
                                <w:b/>
                                <w:bCs/>
                                <w:sz w:val="18"/>
                                <w:szCs w:val="18"/>
                              </w:rPr>
                            </w:pPr>
                          </w:p>
                        </w:txbxContent>
                      </wps:txbx>
                      <wps:bodyPr upright="1"/>
                    </wps:wsp>
                  </a:graphicData>
                </a:graphic>
              </wp:anchor>
            </w:drawing>
          </mc:Choice>
          <mc:Fallback>
            <w:pict>
              <v:shape id="文本框 398" o:spid="_x0000_s1026" o:spt="202" type="#_x0000_t202" style="position:absolute;left:0pt;margin-left:-9pt;margin-top:1.05pt;height:32.75pt;width:72pt;z-index:252078080;mso-width-relative:page;mso-height-relative:page;" filled="f" stroked="f" coordsize="21600,21600" o:gfxdata="UEsDBAoAAAAAAIdO4kAAAAAAAAAAAAAAAAAEAAAAZHJzL1BLAwQUAAAACACHTuJAnEyWpN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cTJak1QAA&#10;AAgBAAAPAAAAAAAAAAEAIAAAACIAAABkcnMvZG93bnJldi54bWxQSwECFAAUAAAACACHTuJAzG8q&#10;868BAABRAwAADgAAAAAAAAABACAAAAAkAQAAZHJzL2Uyb0RvYy54bWxQSwUGAAAAAAYABgBZAQAA&#10;RQ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承包人责任承担费用</w:t>
                      </w:r>
                    </w:p>
                    <w:p>
                      <w:pPr>
                        <w:spacing w:line="240" w:lineRule="exact"/>
                        <w:rPr>
                          <w:rFonts w:ascii="楷体_GB2312" w:hAnsi="宋体" w:eastAsia="楷体_GB2312" w:cs="Times New Roman"/>
                          <w:b/>
                          <w:bCs/>
                          <w:sz w:val="18"/>
                          <w:szCs w:val="18"/>
                        </w:rPr>
                      </w:pPr>
                    </w:p>
                    <w:p>
                      <w:pPr>
                        <w:spacing w:line="240" w:lineRule="exact"/>
                        <w:rPr>
                          <w:rFonts w:ascii="楷体_GB2312" w:hAnsi="宋体" w:eastAsia="楷体_GB2312" w:cs="Times New Roman"/>
                          <w:b/>
                          <w:bCs/>
                          <w:sz w:val="18"/>
                          <w:szCs w:val="18"/>
                        </w:rPr>
                      </w:pPr>
                    </w:p>
                  </w:txbxContent>
                </v:textbox>
              </v:shape>
            </w:pict>
          </mc:Fallback>
        </mc:AlternateConten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承包人向发包人的索赔不成立时，承包人应赔偿发包人由此发生的费用。</w:t>
      </w:r>
    </w:p>
    <w:p>
      <w:pPr>
        <w:shd w:val="clear" w:color="000000" w:fill="auto"/>
        <w:spacing w:line="360" w:lineRule="auto"/>
        <w:ind w:left="2291" w:leftChars="27" w:hanging="2234" w:hangingChars="931"/>
        <w:rPr>
          <w:rFonts w:ascii="仿宋" w:hAnsi="仿宋" w:eastAsia="仿宋" w:cs="Times New Roman"/>
          <w:color w:val="auto"/>
          <w:sz w:val="24"/>
          <w:szCs w:val="24"/>
          <w:highlight w:val="none"/>
        </w:rPr>
      </w:pPr>
    </w:p>
    <w:p>
      <w:pPr>
        <w:pStyle w:val="2"/>
        <w:shd w:val="clear" w:color="000000" w:fill="auto"/>
        <w:adjustRightInd w:val="0"/>
        <w:snapToGrid w:val="0"/>
        <w:spacing w:line="360" w:lineRule="auto"/>
        <w:ind w:firstLine="120" w:firstLineChars="50"/>
        <w:jc w:val="left"/>
        <w:outlineLvl w:val="2"/>
        <w:rPr>
          <w:rFonts w:ascii="仿宋" w:hAnsi="仿宋" w:eastAsia="仿宋" w:cs="Times New Roman"/>
          <w:b/>
          <w:bCs/>
          <w:color w:val="auto"/>
          <w:sz w:val="24"/>
          <w:szCs w:val="24"/>
          <w:highlight w:val="none"/>
        </w:rPr>
      </w:pPr>
      <w:bookmarkStart w:id="406" w:name="_Toc10624916"/>
      <w:bookmarkStart w:id="407" w:name="_Toc489260630"/>
      <w:bookmarkStart w:id="408" w:name="_Toc26926"/>
      <w:r>
        <w:rPr>
          <w:rFonts w:hint="eastAsia" w:ascii="仿宋" w:hAnsi="仿宋" w:eastAsia="仿宋" w:cs="仿宋"/>
          <w:color w:val="auto"/>
          <w:sz w:val="24"/>
          <w:szCs w:val="24"/>
          <w:highlight w:val="none"/>
        </w:rPr>
        <w:t>★</w:t>
      </w:r>
      <w:r>
        <w:rPr>
          <w:rFonts w:ascii="仿宋" w:hAnsi="仿宋" w:eastAsia="仿宋" w:cs="仿宋"/>
          <w:b/>
          <w:bCs/>
          <w:color w:val="auto"/>
          <w:sz w:val="24"/>
          <w:szCs w:val="24"/>
          <w:highlight w:val="none"/>
        </w:rPr>
        <w:t xml:space="preserve">91 </w:t>
      </w:r>
      <w:r>
        <w:rPr>
          <w:rFonts w:hint="eastAsia" w:ascii="仿宋" w:hAnsi="仿宋" w:eastAsia="仿宋" w:cs="仿宋"/>
          <w:b/>
          <w:bCs/>
          <w:color w:val="auto"/>
          <w:sz w:val="24"/>
          <w:szCs w:val="24"/>
          <w:highlight w:val="none"/>
        </w:rPr>
        <w:t>发包人的违约责任</w:t>
      </w:r>
      <w:bookmarkEnd w:id="406"/>
      <w:bookmarkEnd w:id="407"/>
      <w:bookmarkEnd w:id="408"/>
    </w:p>
    <w:p>
      <w:pPr>
        <w:pStyle w:val="2"/>
        <w:shd w:val="clear" w:color="000000" w:fill="auto"/>
        <w:adjustRightInd w:val="0"/>
        <w:snapToGrid w:val="0"/>
        <w:spacing w:line="360" w:lineRule="auto"/>
        <w:ind w:firstLine="118" w:firstLineChars="49"/>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91.1 </w:t>
      </w:r>
    </w:p>
    <w:p>
      <w:pPr>
        <w:shd w:val="clear" w:color="000000" w:fill="auto"/>
        <w:adjustRightInd w:val="0"/>
        <w:snapToGrid w:val="0"/>
        <w:spacing w:line="360" w:lineRule="auto"/>
        <w:ind w:left="1035" w:leftChars="493"/>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2079104"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411" name="文本框 399"/>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发包人责任</w:t>
                            </w:r>
                          </w:p>
                        </w:txbxContent>
                      </wps:txbx>
                      <wps:bodyPr upright="1"/>
                    </wps:wsp>
                  </a:graphicData>
                </a:graphic>
              </wp:anchor>
            </w:drawing>
          </mc:Choice>
          <mc:Fallback>
            <w:pict>
              <v:shape id="文本框 399" o:spid="_x0000_s1026" o:spt="202" type="#_x0000_t202" style="position:absolute;left:0pt;margin-left:-9pt;margin-top:1.25pt;height:31.2pt;width:72pt;z-index:252079104;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8/wcNUA&#10;AAAIAQAADwAAAAAAAAABACAAAAAiAAAAZHJzL2Rvd25yZXYueG1sUEsBAhQAFAAAAAgAh07iQKoK&#10;fPewAQAAUQMAAA4AAAAAAAAAAQAgAAAAJAEAAGRycy9lMm9Eb2MueG1sUEsFBgAAAAAGAAYAWQEA&#10;AEY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发包人责任</w:t>
                      </w:r>
                    </w:p>
                  </w:txbxContent>
                </v:textbox>
              </v:shape>
            </w:pict>
          </mc:Fallback>
        </mc:AlternateConten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因发包人违反本合同约定造成承包人损失的，发包人应予以赔偿。</w:t>
      </w:r>
    </w:p>
    <w:p>
      <w:pPr>
        <w:shd w:val="clear" w:color="000000" w:fill="auto"/>
        <w:adjustRightInd w:val="0"/>
        <w:snapToGrid w:val="0"/>
        <w:spacing w:line="360" w:lineRule="auto"/>
        <w:ind w:left="1035" w:leftChars="493" w:firstLine="361" w:firstLineChars="150"/>
        <w:rPr>
          <w:rFonts w:ascii="仿宋" w:hAnsi="仿宋" w:eastAsia="仿宋" w:cs="Times New Roman"/>
          <w:b/>
          <w:bCs/>
          <w:color w:val="auto"/>
          <w:sz w:val="24"/>
          <w:szCs w:val="24"/>
          <w:highlight w:val="none"/>
        </w:rPr>
      </w:pPr>
    </w:p>
    <w:p>
      <w:pPr>
        <w:shd w:val="clear" w:color="000000" w:fill="auto"/>
        <w:spacing w:line="360" w:lineRule="auto"/>
        <w:ind w:left="2300" w:leftChars="27" w:hanging="2243" w:hangingChars="931"/>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91.2  </w:t>
      </w:r>
      <w:r>
        <w:rPr>
          <w:rFonts w:ascii="仿宋" w:hAnsi="仿宋" w:eastAsia="仿宋" w:cs="仿宋"/>
          <w:b/>
          <w:bCs/>
          <w:color w:val="auto"/>
          <w:sz w:val="24"/>
          <w:szCs w:val="24"/>
          <w:highlight w:val="none"/>
          <w:u w:val="dotted"/>
        </w:rPr>
        <w:t xml:space="preserve">                                                                                </w:t>
      </w:r>
    </w:p>
    <w:p>
      <w:pPr>
        <w:shd w:val="clear" w:color="000000" w:fill="auto"/>
        <w:adjustRightInd w:val="0"/>
        <w:snapToGrid w:val="0"/>
        <w:spacing w:line="360" w:lineRule="auto"/>
        <w:ind w:left="214" w:leftChars="102"/>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80128" behindDoc="0" locked="0" layoutInCell="1" allowOverlap="1">
                <wp:simplePos x="0" y="0"/>
                <wp:positionH relativeFrom="column">
                  <wp:posOffset>-114300</wp:posOffset>
                </wp:positionH>
                <wp:positionV relativeFrom="paragraph">
                  <wp:posOffset>13335</wp:posOffset>
                </wp:positionV>
                <wp:extent cx="914400" cy="415925"/>
                <wp:effectExtent l="0" t="0" r="0" b="0"/>
                <wp:wrapNone/>
                <wp:docPr id="412" name="文本框 400"/>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发包人责任承担费用</w:t>
                            </w:r>
                          </w:p>
                        </w:txbxContent>
                      </wps:txbx>
                      <wps:bodyPr upright="1"/>
                    </wps:wsp>
                  </a:graphicData>
                </a:graphic>
              </wp:anchor>
            </w:drawing>
          </mc:Choice>
          <mc:Fallback>
            <w:pict>
              <v:shape id="文本框 400" o:spid="_x0000_s1026" o:spt="202" type="#_x0000_t202" style="position:absolute;left:0pt;margin-left:-9pt;margin-top:1.05pt;height:32.75pt;width:72pt;z-index:252080128;mso-width-relative:page;mso-height-relative:page;" filled="f" stroked="f" coordsize="21600,21600" o:gfxdata="UEsDBAoAAAAAAIdO4kAAAAAAAAAAAAAAAAAEAAAAZHJzL1BLAwQUAAAACACHTuJAnEyWpN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nEyWpNUAAAAI&#10;AQAADwAAAAAAAAABACAAAAAiAAAAZHJzL2Rvd25yZXYueG1sUEsBAhQAFAAAAAgAh07iQOrqbLCt&#10;AQAAUQMAAA4AAAAAAAAAAQAgAAAAJAEAAGRycy9lMm9Eb2MueG1sUEsFBgAAAAAGAAYAWQEAAEMF&#10;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发包人责任承担费用</w:t>
                      </w:r>
                    </w:p>
                  </w:txbxContent>
                </v:textbox>
              </v:shape>
            </w:pict>
          </mc:Fallback>
        </mc:AlternateConten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发包人向承包人的索赔不成立时，发包人应赔偿承包人由此发生的费用。</w:t>
      </w:r>
    </w:p>
    <w:p>
      <w:pPr>
        <w:shd w:val="clear" w:color="000000" w:fill="auto"/>
        <w:adjustRightInd w:val="0"/>
        <w:snapToGrid w:val="0"/>
        <w:spacing w:line="360" w:lineRule="auto"/>
        <w:rPr>
          <w:rFonts w:ascii="仿宋" w:hAnsi="仿宋" w:eastAsia="仿宋" w:cs="Times New Roman"/>
          <w:b/>
          <w:bCs/>
          <w:color w:val="auto"/>
          <w:sz w:val="24"/>
          <w:szCs w:val="24"/>
          <w:highlight w:val="none"/>
          <w:u w:val="dotted"/>
        </w:rPr>
      </w:pPr>
    </w:p>
    <w:p>
      <w:pPr>
        <w:shd w:val="clear" w:color="000000" w:fill="auto"/>
        <w:spacing w:line="360" w:lineRule="auto"/>
        <w:ind w:left="210" w:leftChars="100"/>
        <w:outlineLvl w:val="2"/>
        <w:rPr>
          <w:rFonts w:ascii="仿宋" w:hAnsi="仿宋" w:eastAsia="仿宋" w:cs="Times New Roman"/>
          <w:b/>
          <w:bCs/>
          <w:color w:val="auto"/>
          <w:sz w:val="24"/>
          <w:szCs w:val="24"/>
          <w:highlight w:val="none"/>
        </w:rPr>
      </w:pPr>
      <w:bookmarkStart w:id="409" w:name="_Toc489260631"/>
      <w:bookmarkStart w:id="410" w:name="_Toc10624917"/>
      <w:bookmarkStart w:id="411" w:name="_Toc473"/>
      <w:r>
        <w:rPr>
          <w:rFonts w:hint="eastAsia" w:ascii="仿宋" w:hAnsi="仿宋" w:eastAsia="仿宋" w:cs="仿宋"/>
          <w:color w:val="auto"/>
          <w:sz w:val="24"/>
          <w:szCs w:val="24"/>
          <w:highlight w:val="none"/>
        </w:rPr>
        <w:t>★</w:t>
      </w:r>
      <w:r>
        <w:rPr>
          <w:rFonts w:ascii="仿宋" w:hAnsi="仿宋" w:eastAsia="仿宋" w:cs="仿宋"/>
          <w:b/>
          <w:bCs/>
          <w:color w:val="auto"/>
          <w:sz w:val="24"/>
          <w:szCs w:val="24"/>
          <w:highlight w:val="none"/>
        </w:rPr>
        <w:t xml:space="preserve">92  </w:t>
      </w:r>
      <w:r>
        <w:rPr>
          <w:rFonts w:hint="eastAsia" w:ascii="仿宋" w:hAnsi="仿宋" w:eastAsia="仿宋" w:cs="仿宋"/>
          <w:b/>
          <w:bCs/>
          <w:color w:val="auto"/>
          <w:sz w:val="24"/>
          <w:szCs w:val="24"/>
          <w:highlight w:val="none"/>
        </w:rPr>
        <w:t>除外责任</w:t>
      </w:r>
      <w:bookmarkEnd w:id="409"/>
      <w:bookmarkEnd w:id="410"/>
      <w:bookmarkEnd w:id="411"/>
    </w:p>
    <w:p>
      <w:pPr>
        <w:shd w:val="clear" w:color="000000" w:fill="auto"/>
        <w:adjustRightInd w:val="0"/>
        <w:snapToGrid w:val="0"/>
        <w:spacing w:line="360" w:lineRule="auto"/>
        <w:ind w:firstLine="840" w:firstLineChars="400"/>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81152"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413" name="文本框 40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非发、承包人责任</w:t>
                            </w:r>
                          </w:p>
                        </w:txbxContent>
                      </wps:txbx>
                      <wps:bodyPr upright="1"/>
                    </wps:wsp>
                  </a:graphicData>
                </a:graphic>
              </wp:anchor>
            </w:drawing>
          </mc:Choice>
          <mc:Fallback>
            <w:pict>
              <v:shape id="文本框 401" o:spid="_x0000_s1026" o:spt="202" type="#_x0000_t202" style="position:absolute;left:0pt;margin-left:-9pt;margin-top:1.25pt;height:31.2pt;width:72pt;z-index:252081152;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Pz/Bw1QAA&#10;AAgBAAAPAAAAAAAAAAEAIAAAACIAAABkcnMvZG93bnJldi54bWxQSwECFAAUAAAACACHTuJAjI86&#10;tK8BAABRAwAADgAAAAAAAAABACAAAAAkAQAAZHJzL2Uyb0RvYy54bWxQSwUGAAAAAAYABgBZAQAA&#10;RQ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非发、承包人责任</w:t>
                      </w:r>
                    </w:p>
                  </w:txbxContent>
                </v:textbox>
              </v:shape>
            </w:pict>
          </mc:Fallback>
        </mc:AlternateConten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非承包人的原因，且承包人无过错，而产生的各类损失，承包人不承担赔偿责任。</w:t>
      </w:r>
    </w:p>
    <w:p>
      <w:pPr>
        <w:shd w:val="clear" w:color="000000" w:fill="auto"/>
        <w:adjustRightInd w:val="0"/>
        <w:snapToGrid w:val="0"/>
        <w:spacing w:line="360" w:lineRule="auto"/>
        <w:ind w:left="1556" w:leftChars="74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因不可抗力导致本合同全部或部分不能履行时，双方各自承担其因此而造成的损失、损害。</w:t>
      </w:r>
    </w:p>
    <w:p>
      <w:pPr>
        <w:shd w:val="clear" w:color="000000" w:fill="auto"/>
        <w:rPr>
          <w:rFonts w:cs="Times New Roman"/>
          <w:color w:val="auto"/>
          <w:highlight w:val="none"/>
        </w:rPr>
      </w:pPr>
    </w:p>
    <w:p>
      <w:pPr>
        <w:pStyle w:val="2"/>
        <w:shd w:val="clear" w:color="000000" w:fill="auto"/>
        <w:adjustRightInd w:val="0"/>
        <w:snapToGrid w:val="0"/>
        <w:spacing w:line="480" w:lineRule="auto"/>
        <w:ind w:right="-238"/>
        <w:rPr>
          <w:rFonts w:ascii="仿宋" w:hAnsi="仿宋" w:eastAsia="仿宋" w:cs="Times New Roman"/>
          <w:color w:val="auto"/>
          <w:sz w:val="24"/>
          <w:szCs w:val="24"/>
          <w:highlight w:val="none"/>
          <w:u w:val="single"/>
        </w:rPr>
      </w:pPr>
      <w:r>
        <w:rPr>
          <w:rFonts w:ascii="仿宋" w:hAnsi="仿宋" w:eastAsia="仿宋" w:cs="仿宋"/>
          <w:color w:val="auto"/>
          <w:sz w:val="24"/>
          <w:szCs w:val="24"/>
          <w:highlight w:val="none"/>
          <w:u w:val="single"/>
        </w:rPr>
        <w:t xml:space="preserve">                                                                                 </w:t>
      </w:r>
    </w:p>
    <w:p>
      <w:pPr>
        <w:pStyle w:val="2"/>
        <w:shd w:val="clear" w:color="000000" w:fill="auto"/>
        <w:adjustRightInd w:val="0"/>
        <w:snapToGrid w:val="0"/>
        <w:spacing w:line="360" w:lineRule="auto"/>
        <w:ind w:firstLine="3004" w:firstLineChars="1247"/>
        <w:outlineLvl w:val="1"/>
        <w:rPr>
          <w:rFonts w:ascii="仿宋" w:hAnsi="仿宋" w:eastAsia="仿宋" w:cs="Times New Roman"/>
          <w:b/>
          <w:bCs/>
          <w:color w:val="auto"/>
          <w:sz w:val="24"/>
          <w:szCs w:val="24"/>
          <w:highlight w:val="none"/>
        </w:rPr>
      </w:pPr>
      <w:bookmarkStart w:id="412" w:name="_Toc23031"/>
      <w:bookmarkStart w:id="413" w:name="_Toc10624918"/>
      <w:bookmarkStart w:id="414" w:name="_Toc4134"/>
      <w:bookmarkStart w:id="415" w:name="_Toc469384074"/>
      <w:r>
        <w:rPr>
          <w:rFonts w:hint="eastAsia" w:ascii="仿宋" w:hAnsi="仿宋" w:eastAsia="仿宋" w:cs="仿宋"/>
          <w:b/>
          <w:bCs/>
          <w:color w:val="auto"/>
          <w:sz w:val="24"/>
          <w:szCs w:val="24"/>
          <w:highlight w:val="none"/>
        </w:rPr>
        <w:t>九、其</w:t>
      </w:r>
      <w:r>
        <w:rPr>
          <w:rFonts w:ascii="仿宋" w:hAnsi="仿宋" w:eastAsia="仿宋" w:cs="仿宋"/>
          <w:b/>
          <w:bCs/>
          <w:color w:val="auto"/>
          <w:sz w:val="24"/>
          <w:szCs w:val="24"/>
          <w:highlight w:val="none"/>
        </w:rPr>
        <w:t xml:space="preserve">  </w:t>
      </w:r>
      <w:r>
        <w:rPr>
          <w:rFonts w:hint="eastAsia" w:ascii="仿宋" w:hAnsi="仿宋" w:eastAsia="仿宋" w:cs="仿宋"/>
          <w:b/>
          <w:bCs/>
          <w:color w:val="auto"/>
          <w:sz w:val="24"/>
          <w:szCs w:val="24"/>
          <w:highlight w:val="none"/>
        </w:rPr>
        <w:t>他</w:t>
      </w:r>
      <w:bookmarkEnd w:id="412"/>
      <w:bookmarkEnd w:id="413"/>
      <w:bookmarkEnd w:id="414"/>
      <w:bookmarkEnd w:id="415"/>
    </w:p>
    <w:p>
      <w:pPr>
        <w:pStyle w:val="2"/>
        <w:shd w:val="clear" w:color="000000" w:fill="auto"/>
        <w:tabs>
          <w:tab w:val="left" w:pos="540"/>
        </w:tabs>
        <w:adjustRightInd w:val="0"/>
        <w:snapToGrid w:val="0"/>
        <w:spacing w:before="240" w:beforeLines="100" w:line="360" w:lineRule="auto"/>
        <w:outlineLvl w:val="2"/>
        <w:rPr>
          <w:rFonts w:ascii="仿宋" w:hAnsi="仿宋" w:eastAsia="仿宋" w:cs="Times New Roman"/>
          <w:b/>
          <w:bCs/>
          <w:color w:val="auto"/>
          <w:sz w:val="24"/>
          <w:szCs w:val="24"/>
          <w:highlight w:val="none"/>
        </w:rPr>
      </w:pPr>
      <w:bookmarkStart w:id="416" w:name="_Toc10624919"/>
      <w:bookmarkStart w:id="417" w:name="_Toc469384075"/>
      <w:bookmarkStart w:id="418" w:name="_Toc19267"/>
      <w:r>
        <w:rPr>
          <w:rFonts w:ascii="仿宋" w:hAnsi="仿宋" w:eastAsia="仿宋" w:cs="仿宋"/>
          <w:b/>
          <w:bCs/>
          <w:color w:val="auto"/>
          <w:sz w:val="24"/>
          <w:szCs w:val="24"/>
          <w:highlight w:val="none"/>
        </w:rPr>
        <w:t xml:space="preserve">93  </w:t>
      </w:r>
      <w:r>
        <w:rPr>
          <w:rFonts w:hint="eastAsia" w:ascii="仿宋" w:hAnsi="仿宋" w:eastAsia="仿宋" w:cs="仿宋"/>
          <w:b/>
          <w:bCs/>
          <w:color w:val="auto"/>
          <w:sz w:val="24"/>
          <w:szCs w:val="24"/>
          <w:highlight w:val="none"/>
        </w:rPr>
        <w:t>缴纳税费</w:t>
      </w:r>
      <w:bookmarkEnd w:id="416"/>
      <w:bookmarkEnd w:id="417"/>
      <w:bookmarkEnd w:id="418"/>
    </w:p>
    <w:p>
      <w:pPr>
        <w:pStyle w:val="2"/>
        <w:shd w:val="clear" w:color="000000" w:fill="auto"/>
        <w:tabs>
          <w:tab w:val="left" w:pos="1320"/>
        </w:tabs>
        <w:adjustRightInd w:val="0"/>
        <w:snapToGrid w:val="0"/>
        <w:spacing w:line="360" w:lineRule="auto"/>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93.1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合同双方当事人</w:t>
      </w:r>
      <w:r>
        <w:rPr>
          <w:color w:val="auto"/>
          <w:highlight w:val="none"/>
        </w:rPr>
        <mc:AlternateContent>
          <mc:Choice Requires="wps">
            <w:drawing>
              <wp:anchor distT="0" distB="0" distL="114300" distR="114300" simplePos="0" relativeHeight="252060672" behindDoc="0" locked="0" layoutInCell="1" allowOverlap="1">
                <wp:simplePos x="0" y="0"/>
                <wp:positionH relativeFrom="column">
                  <wp:posOffset>-114300</wp:posOffset>
                </wp:positionH>
                <wp:positionV relativeFrom="paragraph">
                  <wp:posOffset>635</wp:posOffset>
                </wp:positionV>
                <wp:extent cx="914400" cy="484505"/>
                <wp:effectExtent l="0" t="0" r="0" b="0"/>
                <wp:wrapNone/>
                <wp:docPr id="393" name="文本框 402"/>
                <wp:cNvGraphicFramePr/>
                <a:graphic xmlns:a="http://schemas.openxmlformats.org/drawingml/2006/main">
                  <a:graphicData uri="http://schemas.microsoft.com/office/word/2010/wordprocessingShape">
                    <wps:wsp>
                      <wps:cNvSpPr txBox="1"/>
                      <wps:spPr>
                        <a:xfrm>
                          <a:off x="0" y="0"/>
                          <a:ext cx="914400" cy="48450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约定缴纳一切税费</w:t>
                            </w:r>
                          </w:p>
                        </w:txbxContent>
                      </wps:txbx>
                      <wps:bodyPr upright="1"/>
                    </wps:wsp>
                  </a:graphicData>
                </a:graphic>
              </wp:anchor>
            </w:drawing>
          </mc:Choice>
          <mc:Fallback>
            <w:pict>
              <v:shape id="文本框 402" o:spid="_x0000_s1026" o:spt="202" type="#_x0000_t202" style="position:absolute;left:0pt;margin-left:-9pt;margin-top:0.05pt;height:38.15pt;width:72pt;z-index:252060672;mso-width-relative:page;mso-height-relative:page;" filled="f" stroked="f" coordsize="21600,21600" o:gfxdata="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AKWgr1AAA&#10;AAcBAAAPAAAAAAAAAAEAIAAAACIAAABkcnMvZG93bnJldi54bWxQSwECFAAUAAAACACHTuJAqvVc&#10;XLABAABRAwAADgAAAAAAAAABACAAAAAjAQAAZHJzL2Uyb0RvYy54bWxQSwUGAAAAAAYABgBZAQAA&#10;RQ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约定缴纳一切税费</w:t>
                      </w:r>
                    </w:p>
                  </w:txbxContent>
                </v:textbox>
              </v:shape>
            </w:pict>
          </mc:Fallback>
        </mc:AlternateContent>
      </w:r>
      <w:r>
        <w:rPr>
          <w:rFonts w:hint="eastAsia" w:ascii="仿宋" w:hAnsi="仿宋" w:eastAsia="仿宋" w:cs="仿宋"/>
          <w:color w:val="auto"/>
          <w:sz w:val="24"/>
          <w:szCs w:val="24"/>
          <w:highlight w:val="none"/>
        </w:rPr>
        <w:t>应按照国家现行税法和有关部门现行规定缴纳合同工程需缴的一切税费。</w:t>
      </w:r>
    </w:p>
    <w:p>
      <w:pPr>
        <w:pStyle w:val="2"/>
        <w:shd w:val="clear" w:color="000000" w:fill="auto"/>
        <w:tabs>
          <w:tab w:val="left" w:pos="1320"/>
        </w:tabs>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93.2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61696" behindDoc="0" locked="0" layoutInCell="1" allowOverlap="1">
                <wp:simplePos x="0" y="0"/>
                <wp:positionH relativeFrom="column">
                  <wp:posOffset>-114300</wp:posOffset>
                </wp:positionH>
                <wp:positionV relativeFrom="paragraph">
                  <wp:posOffset>32385</wp:posOffset>
                </wp:positionV>
                <wp:extent cx="914400" cy="396240"/>
                <wp:effectExtent l="0" t="0" r="0" b="0"/>
                <wp:wrapNone/>
                <wp:docPr id="394" name="文本框 403"/>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没交或少交税费的责任</w:t>
                            </w:r>
                          </w:p>
                        </w:txbxContent>
                      </wps:txbx>
                      <wps:bodyPr upright="1"/>
                    </wps:wsp>
                  </a:graphicData>
                </a:graphic>
              </wp:anchor>
            </w:drawing>
          </mc:Choice>
          <mc:Fallback>
            <w:pict>
              <v:shape id="文本框 403" o:spid="_x0000_s1026" o:spt="202" type="#_x0000_t202" style="position:absolute;left:0pt;margin-left:-9pt;margin-top:2.55pt;height:31.2pt;width:72pt;z-index:252061696;mso-width-relative:page;mso-height-relative:page;" filled="f" stroked="f" coordsize="21600,21600" o:gfxdata="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qo/Iz1QAA&#10;AAgBAAAPAAAAAAAAAAEAIAAAACIAAABkcnMvZG93bnJldi54bWxQSwECFAAUAAAACACHTuJAyclh&#10;4q8BAABRAwAADgAAAAAAAAABACAAAAAkAQAAZHJzL2Uyb0RvYy54bWxQSwUGAAAAAAYABgBZAQAA&#10;RQ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没交或少交税费的责任</w:t>
                      </w:r>
                    </w:p>
                  </w:txbxContent>
                </v:textbox>
              </v:shape>
            </w:pict>
          </mc:Fallback>
        </mc:AlternateContent>
      </w:r>
      <w:r>
        <w:rPr>
          <w:rFonts w:hint="eastAsia" w:ascii="仿宋" w:hAnsi="仿宋" w:eastAsia="仿宋" w:cs="仿宋"/>
          <w:color w:val="auto"/>
          <w:sz w:val="24"/>
          <w:szCs w:val="24"/>
          <w:highlight w:val="none"/>
        </w:rPr>
        <w:t>合同任何一方当事人没交或少交合同工程需缴税费的，违法方应足额补交，并承担相应的法律责任；给另一方当事人造成损失的，违法方应赔偿损失。</w:t>
      </w:r>
    </w:p>
    <w:p>
      <w:pPr>
        <w:pStyle w:val="2"/>
        <w:shd w:val="clear" w:color="000000" w:fill="auto"/>
        <w:adjustRightInd w:val="0"/>
        <w:snapToGrid w:val="0"/>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
        <w:shd w:val="clear" w:color="000000" w:fill="auto"/>
        <w:tabs>
          <w:tab w:val="left" w:pos="540"/>
        </w:tabs>
        <w:adjustRightInd w:val="0"/>
        <w:snapToGrid w:val="0"/>
        <w:spacing w:before="240" w:beforeLines="100" w:line="360" w:lineRule="auto"/>
        <w:rPr>
          <w:rFonts w:ascii="仿宋" w:hAnsi="仿宋" w:eastAsia="仿宋" w:cs="Times New Roman"/>
          <w:b/>
          <w:bCs/>
          <w:color w:val="auto"/>
          <w:sz w:val="24"/>
          <w:szCs w:val="24"/>
          <w:highlight w:val="none"/>
        </w:rPr>
      </w:pPr>
    </w:p>
    <w:p>
      <w:pPr>
        <w:pStyle w:val="2"/>
        <w:shd w:val="clear" w:color="000000" w:fill="auto"/>
        <w:tabs>
          <w:tab w:val="left" w:pos="540"/>
        </w:tabs>
        <w:adjustRightInd w:val="0"/>
        <w:snapToGrid w:val="0"/>
        <w:spacing w:before="240" w:beforeLines="100" w:line="360" w:lineRule="auto"/>
        <w:outlineLvl w:val="2"/>
        <w:rPr>
          <w:rFonts w:ascii="仿宋" w:hAnsi="仿宋" w:eastAsia="仿宋" w:cs="Times New Roman"/>
          <w:b/>
          <w:bCs/>
          <w:color w:val="auto"/>
          <w:sz w:val="24"/>
          <w:szCs w:val="24"/>
          <w:highlight w:val="none"/>
        </w:rPr>
      </w:pPr>
      <w:bookmarkStart w:id="419" w:name="_Toc469384076"/>
      <w:bookmarkStart w:id="420" w:name="_Toc23315"/>
      <w:bookmarkStart w:id="421" w:name="_Toc10624920"/>
      <w:r>
        <w:rPr>
          <w:rFonts w:ascii="仿宋" w:hAnsi="仿宋" w:eastAsia="仿宋" w:cs="仿宋"/>
          <w:b/>
          <w:bCs/>
          <w:color w:val="auto"/>
          <w:sz w:val="24"/>
          <w:szCs w:val="24"/>
          <w:highlight w:val="none"/>
        </w:rPr>
        <w:t xml:space="preserve">94  </w:t>
      </w:r>
      <w:r>
        <w:rPr>
          <w:rFonts w:hint="eastAsia" w:ascii="仿宋" w:hAnsi="仿宋" w:eastAsia="仿宋" w:cs="仿宋"/>
          <w:b/>
          <w:bCs/>
          <w:color w:val="auto"/>
          <w:sz w:val="24"/>
          <w:szCs w:val="24"/>
          <w:highlight w:val="none"/>
        </w:rPr>
        <w:t>保密要求</w:t>
      </w:r>
      <w:bookmarkEnd w:id="419"/>
      <w:bookmarkEnd w:id="420"/>
      <w:bookmarkEnd w:id="421"/>
    </w:p>
    <w:p>
      <w:pPr>
        <w:pStyle w:val="2"/>
        <w:shd w:val="clear" w:color="000000" w:fill="auto"/>
        <w:adjustRightInd w:val="0"/>
        <w:snapToGrid w:val="0"/>
        <w:spacing w:line="360" w:lineRule="auto"/>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94.1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62720" behindDoc="0" locked="0" layoutInCell="1" allowOverlap="1">
                <wp:simplePos x="0" y="0"/>
                <wp:positionH relativeFrom="column">
                  <wp:posOffset>-114300</wp:posOffset>
                </wp:positionH>
                <wp:positionV relativeFrom="paragraph">
                  <wp:posOffset>34290</wp:posOffset>
                </wp:positionV>
                <wp:extent cx="914400" cy="594360"/>
                <wp:effectExtent l="0" t="0" r="0" b="0"/>
                <wp:wrapNone/>
                <wp:docPr id="395" name="文本框 404"/>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提供保密信息和履行保密义务</w:t>
                            </w:r>
                          </w:p>
                        </w:txbxContent>
                      </wps:txbx>
                      <wps:bodyPr upright="1"/>
                    </wps:wsp>
                  </a:graphicData>
                </a:graphic>
              </wp:anchor>
            </w:drawing>
          </mc:Choice>
          <mc:Fallback>
            <w:pict>
              <v:shape id="文本框 404" o:spid="_x0000_s1026" o:spt="202" type="#_x0000_t202" style="position:absolute;left:0pt;margin-left:-9pt;margin-top:2.7pt;height:46.8pt;width:72pt;z-index:252062720;mso-width-relative:page;mso-height-relative:page;" filled="f" stroked="f" coordsize="21600,21600" o:gfxdata="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BtmtfXV&#10;AAAACAEAAA8AAAAAAAAAAQAgAAAAIgAAAGRycy9kb3ducmV2LnhtbFBLAQIUABQAAAAIAIdO4kBl&#10;VVVrsQEAAFEDAAAOAAAAAAAAAAEAIAAAACQBAABkcnMvZTJvRG9jLnhtbFBLBQYAAAAABgAGAFkB&#10;AABH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提供保密信息和履行保密义务</w:t>
                      </w:r>
                    </w:p>
                  </w:txbxContent>
                </v:textbox>
              </v:shape>
            </w:pict>
          </mc:Fallback>
        </mc:AlternateContent>
      </w:r>
      <w:r>
        <w:rPr>
          <w:rFonts w:hint="eastAsia" w:ascii="仿宋" w:hAnsi="仿宋" w:eastAsia="仿宋" w:cs="仿宋"/>
          <w:color w:val="auto"/>
          <w:sz w:val="24"/>
          <w:szCs w:val="24"/>
          <w:highlight w:val="none"/>
        </w:rPr>
        <w:t>合同双方当事人应在专用条款约定期限内提供保密信息。自收到对方当事人提供的保密信息之日起，合同双方当事人应履行保密义务。合同双方当事人履行保密义务，并不因本合同终止而结束。</w:t>
      </w:r>
    </w:p>
    <w:p>
      <w:pPr>
        <w:pStyle w:val="2"/>
        <w:shd w:val="clear" w:color="000000" w:fill="auto"/>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94.2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63744" behindDoc="0" locked="0" layoutInCell="1" allowOverlap="1">
                <wp:simplePos x="0" y="0"/>
                <wp:positionH relativeFrom="column">
                  <wp:posOffset>-114300</wp:posOffset>
                </wp:positionH>
                <wp:positionV relativeFrom="paragraph">
                  <wp:posOffset>68580</wp:posOffset>
                </wp:positionV>
                <wp:extent cx="914400" cy="495300"/>
                <wp:effectExtent l="0" t="0" r="0" b="0"/>
                <wp:wrapNone/>
                <wp:docPr id="396" name="文本框 405"/>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保密信息知悉权限</w:t>
                            </w:r>
                          </w:p>
                        </w:txbxContent>
                      </wps:txbx>
                      <wps:bodyPr upright="1"/>
                    </wps:wsp>
                  </a:graphicData>
                </a:graphic>
              </wp:anchor>
            </w:drawing>
          </mc:Choice>
          <mc:Fallback>
            <w:pict>
              <v:shape id="文本框 405" o:spid="_x0000_s1026" o:spt="202" type="#_x0000_t202" style="position:absolute;left:0pt;margin-left:-9pt;margin-top:5.4pt;height:39pt;width:72pt;z-index:252063744;mso-width-relative:page;mso-height-relative:page;" filled="f" stroked="f" coordsize="21600,21600" o:gfxdata="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AWKC71QAA&#10;AAkBAAAPAAAAAAAAAAEAIAAAACIAAABkcnMvZG93bnJldi54bWxQSwECFAAUAAAACACHTuJAHxLW&#10;z68BAABRAwAADgAAAAAAAAABACAAAAAkAQAAZHJzL2Uyb0RvYy54bWxQSwUGAAAAAAYABgBZAQAA&#10;RQ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保密信息知悉权限</w:t>
                      </w:r>
                    </w:p>
                  </w:txbxContent>
                </v:textbox>
              </v:shape>
            </w:pict>
          </mc:Fallback>
        </mc:AlternateContent>
      </w:r>
      <w:r>
        <w:rPr>
          <w:rFonts w:hint="eastAsia" w:ascii="仿宋" w:hAnsi="仿宋" w:eastAsia="仿宋" w:cs="仿宋"/>
          <w:color w:val="auto"/>
          <w:sz w:val="24"/>
          <w:szCs w:val="24"/>
          <w:highlight w:val="none"/>
        </w:rPr>
        <w:t>合同双方当事人仅允许因履行本合同而使用另一方当事人提供的保密信息。除合同双方当事人书面委派履行本合同应知悉保密信息的人员外，合同任何一方当事人不得将另一方当事人相关的或属于另一方当事人所有的保密信息泄露或提供给第三方，也不得超出允许范围从另一方当事人复制、摘录或转移任何保密信息。任何保密信息的公布，均应事先征得提供方的书面同意。</w:t>
      </w:r>
    </w:p>
    <w:p>
      <w:pPr>
        <w:pStyle w:val="2"/>
        <w:shd w:val="clear" w:color="000000" w:fill="auto"/>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94.3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64768" behindDoc="0" locked="0" layoutInCell="1" allowOverlap="1">
                <wp:simplePos x="0" y="0"/>
                <wp:positionH relativeFrom="column">
                  <wp:posOffset>-114300</wp:posOffset>
                </wp:positionH>
                <wp:positionV relativeFrom="paragraph">
                  <wp:posOffset>3175</wp:posOffset>
                </wp:positionV>
                <wp:extent cx="1028700" cy="300990"/>
                <wp:effectExtent l="0" t="0" r="0" b="0"/>
                <wp:wrapNone/>
                <wp:docPr id="397" name="文本框 406"/>
                <wp:cNvGraphicFramePr/>
                <a:graphic xmlns:a="http://schemas.openxmlformats.org/drawingml/2006/main">
                  <a:graphicData uri="http://schemas.microsoft.com/office/word/2010/wordprocessingShape">
                    <wps:wsp>
                      <wps:cNvSpPr txBox="1"/>
                      <wps:spPr>
                        <a:xfrm>
                          <a:off x="0" y="0"/>
                          <a:ext cx="1028700" cy="30099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签订保密协议</w:t>
                            </w:r>
                          </w:p>
                        </w:txbxContent>
                      </wps:txbx>
                      <wps:bodyPr upright="1"/>
                    </wps:wsp>
                  </a:graphicData>
                </a:graphic>
              </wp:anchor>
            </w:drawing>
          </mc:Choice>
          <mc:Fallback>
            <w:pict>
              <v:shape id="文本框 406" o:spid="_x0000_s1026" o:spt="202" type="#_x0000_t202" style="position:absolute;left:0pt;margin-left:-9pt;margin-top:0.25pt;height:23.7pt;width:81pt;z-index:252064768;mso-width-relative:page;mso-height-relative:page;" filled="f" stroked="f" coordsize="21600,21600" o:gfxdata="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ucmCo1AAA&#10;AAcBAAAPAAAAAAAAAAEAIAAAACIAAABkcnMvZG93bnJldi54bWxQSwECFAAUAAAACACHTuJAaX4/&#10;H7ABAABSAwAADgAAAAAAAAABACAAAAAjAQAAZHJzL2Uyb0RvYy54bWxQSwUGAAAAAAYABgBZAQAA&#10;RQ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签订保密协议</w:t>
                      </w:r>
                    </w:p>
                  </w:txbxContent>
                </v:textbox>
              </v:shape>
            </w:pict>
          </mc:Fallback>
        </mc:AlternateContent>
      </w:r>
      <w:r>
        <w:rPr>
          <w:rFonts w:hint="eastAsia" w:ascii="仿宋" w:hAnsi="仿宋" w:eastAsia="仿宋" w:cs="仿宋"/>
          <w:color w:val="auto"/>
          <w:sz w:val="24"/>
          <w:szCs w:val="24"/>
          <w:highlight w:val="none"/>
        </w:rPr>
        <w:t>合同双方当事人应与履行本合同知悉保密信息的人员签订保密协议，并将其中一份及时提交给另一方当事人。合同双方当事人应以保护自身秘密的谨慎态度采取有效措施保护另一方当事人的保密信息，避免保密信息被不当公开或使用。合同任何一方当事人发现有第三方盗用或滥用另一方当事人保密信息的，应及时通知另一方当事人。</w:t>
      </w:r>
    </w:p>
    <w:p>
      <w:pPr>
        <w:pStyle w:val="2"/>
        <w:shd w:val="clear" w:color="000000" w:fill="auto"/>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94.4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65792" behindDoc="0" locked="0" layoutInCell="1" allowOverlap="1">
                <wp:simplePos x="0" y="0"/>
                <wp:positionH relativeFrom="column">
                  <wp:posOffset>-114300</wp:posOffset>
                </wp:positionH>
                <wp:positionV relativeFrom="paragraph">
                  <wp:posOffset>65405</wp:posOffset>
                </wp:positionV>
                <wp:extent cx="914400" cy="727710"/>
                <wp:effectExtent l="0" t="0" r="0" b="0"/>
                <wp:wrapNone/>
                <wp:docPr id="398" name="文本框 407"/>
                <wp:cNvGraphicFramePr/>
                <a:graphic xmlns:a="http://schemas.openxmlformats.org/drawingml/2006/main">
                  <a:graphicData uri="http://schemas.microsoft.com/office/word/2010/wordprocessingShape">
                    <wps:wsp>
                      <wps:cNvSpPr txBox="1"/>
                      <wps:spPr>
                        <a:xfrm>
                          <a:off x="0" y="0"/>
                          <a:ext cx="914400" cy="72771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配合政府要求并做好保密工作</w:t>
                            </w:r>
                          </w:p>
                        </w:txbxContent>
                      </wps:txbx>
                      <wps:bodyPr upright="1"/>
                    </wps:wsp>
                  </a:graphicData>
                </a:graphic>
              </wp:anchor>
            </w:drawing>
          </mc:Choice>
          <mc:Fallback>
            <w:pict>
              <v:shape id="文本框 407" o:spid="_x0000_s1026" o:spt="202" type="#_x0000_t202" style="position:absolute;left:0pt;margin-left:-9pt;margin-top:5.15pt;height:57.3pt;width:72pt;z-index:252065792;mso-width-relative:page;mso-height-relative:page;" filled="f" stroked="f" coordsize="21600,21600" o:gfxdata="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Inob2fW&#10;AAAACgEAAA8AAAAAAAAAAQAgAAAAIgAAAGRycy9kb3ducmV2LnhtbFBLAQIUABQAAAAIAIdO4kCP&#10;uxO8sAEAAFEDAAAOAAAAAAAAAAEAIAAAACUBAABkcnMvZTJvRG9jLnhtbFBLBQYAAAAABgAGAFkB&#10;AABH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配合政府要求并做好保密工作</w:t>
                      </w:r>
                    </w:p>
                  </w:txbxContent>
                </v:textbox>
              </v:shape>
            </w:pict>
          </mc:Fallback>
        </mc:AlternateContent>
      </w:r>
      <w:r>
        <w:rPr>
          <w:rFonts w:hint="eastAsia" w:ascii="仿宋" w:hAnsi="仿宋" w:eastAsia="仿宋" w:cs="仿宋"/>
          <w:color w:val="auto"/>
          <w:sz w:val="24"/>
          <w:szCs w:val="24"/>
          <w:highlight w:val="none"/>
        </w:rPr>
        <w:t>如果法律或政府执法、监督管理等有要求，合同双方当事人应予配合和支持，并提供需要的保密信息。需提供另一方当事人保密信息的，应立即书面通知另一方当事人，以便另一方当事人及时履行义务。若另一方当事人未能及时作出回应的，除依法应提供另一方当事人信息外，应积极维护另一方当事人合法权益。</w:t>
      </w:r>
    </w:p>
    <w:p>
      <w:pPr>
        <w:pStyle w:val="2"/>
        <w:shd w:val="clear" w:color="000000" w:fill="auto"/>
        <w:adjustRightInd w:val="0"/>
        <w:snapToGrid w:val="0"/>
        <w:spacing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94.5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66816" behindDoc="0" locked="0" layoutInCell="1" allowOverlap="1">
                <wp:simplePos x="0" y="0"/>
                <wp:positionH relativeFrom="column">
                  <wp:posOffset>-114300</wp:posOffset>
                </wp:positionH>
                <wp:positionV relativeFrom="paragraph">
                  <wp:posOffset>22225</wp:posOffset>
                </wp:positionV>
                <wp:extent cx="914400" cy="495300"/>
                <wp:effectExtent l="0" t="0" r="0" b="0"/>
                <wp:wrapNone/>
                <wp:docPr id="399" name="文本框 408"/>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书面说明保密程度</w:t>
                            </w:r>
                          </w:p>
                        </w:txbxContent>
                      </wps:txbx>
                      <wps:bodyPr upright="1"/>
                    </wps:wsp>
                  </a:graphicData>
                </a:graphic>
              </wp:anchor>
            </w:drawing>
          </mc:Choice>
          <mc:Fallback>
            <w:pict>
              <v:shape id="文本框 408" o:spid="_x0000_s1026" o:spt="202" type="#_x0000_t202" style="position:absolute;left:0pt;margin-left:-9pt;margin-top:1.75pt;height:39pt;width:72pt;z-index:252066816;mso-width-relative:page;mso-height-relative:page;" filled="f" stroked="f" coordsize="21600,21600" o:gfxdata="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YFIzo1QAA&#10;AAgBAAAPAAAAAAAAAAEAIAAAACIAAABkcnMvZG93bnJldi54bWxQSwECFAAUAAAACACHTuJAt5y/&#10;3a8BAABRAwAADgAAAAAAAAABACAAAAAkAQAAZHJzL2Uyb0RvYy54bWxQSwUGAAAAAAYABgBZAQAA&#10;RQ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书面说明保密程度</w:t>
                      </w:r>
                    </w:p>
                  </w:txbxContent>
                </v:textbox>
              </v:shape>
            </w:pict>
          </mc:Fallback>
        </mc:AlternateContent>
      </w:r>
      <w:r>
        <w:rPr>
          <w:rFonts w:hint="eastAsia" w:ascii="仿宋" w:hAnsi="仿宋" w:eastAsia="仿宋" w:cs="仿宋"/>
          <w:color w:val="auto"/>
          <w:sz w:val="24"/>
          <w:szCs w:val="24"/>
          <w:highlight w:val="none"/>
        </w:rPr>
        <w:t>保密信息应由提供方以书面形式说明保密程度；以口头形式提供的，则提供方应在提供后</w:t>
      </w:r>
      <w:r>
        <w:rPr>
          <w:rFonts w:ascii="仿宋" w:hAnsi="仿宋" w:eastAsia="仿宋" w:cs="仿宋"/>
          <w:color w:val="auto"/>
          <w:sz w:val="24"/>
          <w:szCs w:val="24"/>
          <w:highlight w:val="none"/>
        </w:rPr>
        <w:t>28</w:t>
      </w:r>
      <w:r>
        <w:rPr>
          <w:rFonts w:hint="eastAsia" w:ascii="仿宋" w:hAnsi="仿宋" w:eastAsia="仿宋" w:cs="仿宋"/>
          <w:color w:val="auto"/>
          <w:sz w:val="24"/>
          <w:szCs w:val="24"/>
          <w:highlight w:val="none"/>
        </w:rPr>
        <w:t>天内以书面形式予以确认。保密信息不但包括合同双方当事人确认的信息，还包括与材料和工程设备产品、价格、工程设计、图纸、技术、工艺和财务等相关信息。但不包括下述信息：</w:t>
      </w:r>
    </w:p>
    <w:p>
      <w:pPr>
        <w:pStyle w:val="2"/>
        <w:numPr>
          <w:ilvl w:val="0"/>
          <w:numId w:val="26"/>
        </w:numPr>
        <w:shd w:val="clear" w:color="000000" w:fill="auto"/>
        <w:tabs>
          <w:tab w:val="left" w:pos="1620"/>
          <w:tab w:val="left" w:pos="2340"/>
          <w:tab w:val="left" w:pos="2700"/>
        </w:tabs>
        <w:adjustRightInd w:val="0"/>
        <w:snapToGrid w:val="0"/>
        <w:spacing w:line="360" w:lineRule="auto"/>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提供前已由合同双方当事人所持有的；</w:t>
      </w:r>
    </w:p>
    <w:p>
      <w:pPr>
        <w:pStyle w:val="2"/>
        <w:numPr>
          <w:ilvl w:val="0"/>
          <w:numId w:val="26"/>
        </w:numPr>
        <w:shd w:val="clear" w:color="000000" w:fill="auto"/>
        <w:tabs>
          <w:tab w:val="left" w:pos="1620"/>
          <w:tab w:val="left" w:pos="2340"/>
          <w:tab w:val="left" w:pos="2700"/>
        </w:tabs>
        <w:adjustRightInd w:val="0"/>
        <w:snapToGrid w:val="0"/>
        <w:spacing w:line="360" w:lineRule="auto"/>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已公开发表或非对方当事人原因向公众公开的；</w:t>
      </w:r>
    </w:p>
    <w:p>
      <w:pPr>
        <w:pStyle w:val="2"/>
        <w:numPr>
          <w:ilvl w:val="0"/>
          <w:numId w:val="26"/>
        </w:numPr>
        <w:shd w:val="clear" w:color="000000" w:fill="auto"/>
        <w:tabs>
          <w:tab w:val="left" w:pos="1620"/>
          <w:tab w:val="left" w:pos="2340"/>
          <w:tab w:val="left" w:pos="2700"/>
        </w:tabs>
        <w:adjustRightInd w:val="0"/>
        <w:snapToGrid w:val="0"/>
        <w:spacing w:line="360" w:lineRule="auto"/>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已由各相关方书面同意其公开的；</w:t>
      </w:r>
    </w:p>
    <w:p>
      <w:pPr>
        <w:pStyle w:val="2"/>
        <w:numPr>
          <w:ilvl w:val="0"/>
          <w:numId w:val="26"/>
        </w:numPr>
        <w:shd w:val="clear" w:color="000000" w:fill="auto"/>
        <w:tabs>
          <w:tab w:val="left" w:pos="1620"/>
          <w:tab w:val="left" w:pos="2340"/>
          <w:tab w:val="left" w:pos="2700"/>
        </w:tabs>
        <w:adjustRightInd w:val="0"/>
        <w:snapToGrid w:val="0"/>
        <w:spacing w:line="360" w:lineRule="auto"/>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在未获取保密信息前由对方当事人独立开发的；</w:t>
      </w:r>
    </w:p>
    <w:p>
      <w:pPr>
        <w:pStyle w:val="2"/>
        <w:numPr>
          <w:ilvl w:val="0"/>
          <w:numId w:val="26"/>
        </w:numPr>
        <w:shd w:val="clear" w:color="000000" w:fill="auto"/>
        <w:tabs>
          <w:tab w:val="left" w:pos="1620"/>
          <w:tab w:val="left" w:pos="2340"/>
          <w:tab w:val="left" w:pos="2700"/>
        </w:tabs>
        <w:adjustRightInd w:val="0"/>
        <w:snapToGrid w:val="0"/>
        <w:spacing w:line="360" w:lineRule="auto"/>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对方当事人从对保密信息不承担保密义务的第三方处合法获得的。</w:t>
      </w:r>
    </w:p>
    <w:p>
      <w:pPr>
        <w:pStyle w:val="2"/>
        <w:shd w:val="clear" w:color="000000" w:fill="auto"/>
        <w:tabs>
          <w:tab w:val="left" w:pos="1620"/>
        </w:tabs>
        <w:adjustRightInd w:val="0"/>
        <w:snapToGrid w:val="0"/>
        <w:spacing w:line="240" w:lineRule="exact"/>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
        <w:shd w:val="clear" w:color="000000" w:fill="auto"/>
        <w:tabs>
          <w:tab w:val="left" w:pos="540"/>
        </w:tabs>
        <w:adjustRightInd w:val="0"/>
        <w:snapToGrid w:val="0"/>
        <w:spacing w:before="240" w:beforeLines="100" w:line="360" w:lineRule="auto"/>
        <w:outlineLvl w:val="2"/>
        <w:rPr>
          <w:rFonts w:ascii="仿宋" w:hAnsi="仿宋" w:eastAsia="仿宋" w:cs="Times New Roman"/>
          <w:b/>
          <w:bCs/>
          <w:color w:val="auto"/>
          <w:sz w:val="24"/>
          <w:szCs w:val="24"/>
          <w:highlight w:val="none"/>
        </w:rPr>
      </w:pPr>
      <w:bookmarkStart w:id="422" w:name="_Toc469384077"/>
      <w:bookmarkStart w:id="423" w:name="_Toc20127"/>
      <w:bookmarkStart w:id="424" w:name="_Toc10624921"/>
      <w:r>
        <w:rPr>
          <w:rFonts w:ascii="仿宋" w:hAnsi="仿宋" w:eastAsia="仿宋" w:cs="仿宋"/>
          <w:b/>
          <w:bCs/>
          <w:color w:val="auto"/>
          <w:sz w:val="24"/>
          <w:szCs w:val="24"/>
          <w:highlight w:val="none"/>
        </w:rPr>
        <w:t xml:space="preserve">95 </w:t>
      </w:r>
      <w:r>
        <w:rPr>
          <w:rFonts w:hint="eastAsia" w:ascii="仿宋" w:hAnsi="仿宋" w:eastAsia="仿宋" w:cs="仿宋"/>
          <w:b/>
          <w:bCs/>
          <w:color w:val="auto"/>
          <w:sz w:val="24"/>
          <w:szCs w:val="24"/>
          <w:highlight w:val="none"/>
        </w:rPr>
        <w:t>廉政建设</w:t>
      </w:r>
      <w:bookmarkEnd w:id="422"/>
      <w:bookmarkEnd w:id="423"/>
      <w:bookmarkEnd w:id="424"/>
    </w:p>
    <w:p>
      <w:pPr>
        <w:pStyle w:val="2"/>
        <w:shd w:val="clear" w:color="000000" w:fill="auto"/>
        <w:adjustRightInd w:val="0"/>
        <w:snapToGrid w:val="0"/>
        <w:spacing w:line="360" w:lineRule="auto"/>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95.1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67840" behindDoc="0" locked="0" layoutInCell="1" allowOverlap="1">
                <wp:simplePos x="0" y="0"/>
                <wp:positionH relativeFrom="column">
                  <wp:posOffset>-114300</wp:posOffset>
                </wp:positionH>
                <wp:positionV relativeFrom="paragraph">
                  <wp:posOffset>15875</wp:posOffset>
                </wp:positionV>
                <wp:extent cx="800100" cy="297180"/>
                <wp:effectExtent l="0" t="0" r="0" b="0"/>
                <wp:wrapNone/>
                <wp:docPr id="400" name="文本框 409"/>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廉政建设</w:t>
                            </w:r>
                          </w:p>
                        </w:txbxContent>
                      </wps:txbx>
                      <wps:bodyPr upright="1"/>
                    </wps:wsp>
                  </a:graphicData>
                </a:graphic>
              </wp:anchor>
            </w:drawing>
          </mc:Choice>
          <mc:Fallback>
            <w:pict>
              <v:shape id="文本框 409" o:spid="_x0000_s1026" o:spt="202" type="#_x0000_t202" style="position:absolute;left:0pt;margin-left:-9pt;margin-top:1.25pt;height:23.4pt;width:63pt;z-index:252067840;mso-width-relative:page;mso-height-relative:page;" filled="f" stroked="f" coordsize="21600,21600" o:gfxdata="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EWHbJHVAAAA&#10;CAEAAA8AAAAAAAAAAQAgAAAAIgAAAGRycy9kb3ducmV2LnhtbFBLAQIUABQAAAAIAIdO4kDFIpQu&#10;rgEAAFEDAAAOAAAAAAAAAAEAIAAAACQBAABkcnMvZTJvRG9jLnhtbFBLBQYAAAAABgAGAFkBAABE&#10;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廉政建设</w:t>
                      </w:r>
                    </w:p>
                  </w:txbxContent>
                </v:textbox>
              </v:shape>
            </w:pict>
          </mc:Fallback>
        </mc:AlternateContent>
      </w:r>
      <w:r>
        <w:rPr>
          <w:rFonts w:hint="eastAsia" w:ascii="仿宋" w:hAnsi="仿宋" w:eastAsia="仿宋" w:cs="仿宋"/>
          <w:color w:val="auto"/>
          <w:sz w:val="24"/>
          <w:szCs w:val="24"/>
          <w:highlight w:val="none"/>
        </w:rPr>
        <w:t>合同双方当事人在签订本合同时，应同时签订廉政合同，作为本合同的附件。合同双方当事人在合同履行期间应遵守国家和政府有关廉政方面的规定和要求，禁止任何腐败行为。</w:t>
      </w:r>
    </w:p>
    <w:p>
      <w:pPr>
        <w:pStyle w:val="2"/>
        <w:shd w:val="clear" w:color="000000" w:fill="auto"/>
        <w:adjustRightInd w:val="0"/>
        <w:snapToGrid w:val="0"/>
        <w:spacing w:line="360" w:lineRule="auto"/>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95.2  </w:t>
      </w:r>
      <w:r>
        <w:rPr>
          <w:rFonts w:ascii="仿宋" w:hAnsi="仿宋" w:eastAsia="仿宋" w:cs="仿宋"/>
          <w:b/>
          <w:bCs/>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68864" behindDoc="0" locked="0" layoutInCell="1" allowOverlap="1">
                <wp:simplePos x="0" y="0"/>
                <wp:positionH relativeFrom="column">
                  <wp:posOffset>-114300</wp:posOffset>
                </wp:positionH>
                <wp:positionV relativeFrom="paragraph">
                  <wp:posOffset>53975</wp:posOffset>
                </wp:positionV>
                <wp:extent cx="800100" cy="316865"/>
                <wp:effectExtent l="0" t="0" r="0" b="0"/>
                <wp:wrapNone/>
                <wp:docPr id="401" name="文本框 410"/>
                <wp:cNvGraphicFramePr/>
                <a:graphic xmlns:a="http://schemas.openxmlformats.org/drawingml/2006/main">
                  <a:graphicData uri="http://schemas.microsoft.com/office/word/2010/wordprocessingShape">
                    <wps:wsp>
                      <wps:cNvSpPr txBox="1"/>
                      <wps:spPr>
                        <a:xfrm>
                          <a:off x="0" y="0"/>
                          <a:ext cx="800100" cy="31686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违反责任</w:t>
                            </w:r>
                          </w:p>
                        </w:txbxContent>
                      </wps:txbx>
                      <wps:bodyPr upright="1"/>
                    </wps:wsp>
                  </a:graphicData>
                </a:graphic>
              </wp:anchor>
            </w:drawing>
          </mc:Choice>
          <mc:Fallback>
            <w:pict>
              <v:shape id="文本框 410" o:spid="_x0000_s1026" o:spt="202" type="#_x0000_t202" style="position:absolute;left:0pt;margin-left:-9pt;margin-top:4.25pt;height:24.95pt;width:63pt;z-index:252068864;mso-width-relative:page;mso-height-relative:page;" filled="f" stroked="f" coordsize="21600,21600" o:gfxdata="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Ncx2CfUAAAACAEA&#10;AA8AAAAAAAAAAQAgAAAAIgAAAGRycy9kb3ducmV2LnhtbFBLAQIUABQAAAAIAIdO4kA+SUzarAEA&#10;AFEDAAAOAAAAAAAAAAEAIAAAACMBAABkcnMvZTJvRG9jLnhtbFBLBQYAAAAABgAGAFkBAABBBQAA&#10;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违反责任</w:t>
                      </w:r>
                    </w:p>
                  </w:txbxContent>
                </v:textbox>
              </v:shape>
            </w:pict>
          </mc:Fallback>
        </mc:AlternateContent>
      </w:r>
      <w:r>
        <w:rPr>
          <w:rFonts w:hint="eastAsia" w:ascii="仿宋" w:hAnsi="仿宋" w:eastAsia="仿宋" w:cs="仿宋"/>
          <w:color w:val="auto"/>
          <w:sz w:val="24"/>
          <w:szCs w:val="24"/>
          <w:highlight w:val="none"/>
        </w:rPr>
        <w:t>如果承包人违反廉政建设有关规定，采用不正当手段，贿赂或变相贿赂了包括监理工程师、造价工程师在内的发包人工作人员，以求获得或已获得不当利益的，则发包人除保留追究其工作人员责任外，因承包人上述行为造成发包人损失或工程损害的，承包人应予赔偿，并承担相应的法律责任。发包人有权按照第</w:t>
      </w:r>
      <w:r>
        <w:rPr>
          <w:rFonts w:ascii="仿宋" w:hAnsi="仿宋" w:eastAsia="仿宋" w:cs="仿宋"/>
          <w:color w:val="auto"/>
          <w:sz w:val="24"/>
          <w:szCs w:val="24"/>
          <w:highlight w:val="none"/>
        </w:rPr>
        <w:t>87.3</w:t>
      </w:r>
      <w:r>
        <w:rPr>
          <w:rFonts w:hint="eastAsia" w:ascii="仿宋" w:hAnsi="仿宋" w:eastAsia="仿宋" w:cs="仿宋"/>
          <w:color w:val="auto"/>
          <w:sz w:val="24"/>
          <w:szCs w:val="24"/>
          <w:highlight w:val="none"/>
        </w:rPr>
        <w:t>款规定解除合同，并按照第</w:t>
      </w:r>
      <w:r>
        <w:rPr>
          <w:rFonts w:ascii="仿宋" w:hAnsi="仿宋" w:eastAsia="仿宋" w:cs="仿宋"/>
          <w:color w:val="auto"/>
          <w:sz w:val="24"/>
          <w:szCs w:val="24"/>
          <w:highlight w:val="none"/>
        </w:rPr>
        <w:t>88.3</w:t>
      </w:r>
      <w:r>
        <w:rPr>
          <w:rFonts w:hint="eastAsia" w:ascii="仿宋" w:hAnsi="仿宋" w:eastAsia="仿宋" w:cs="仿宋"/>
          <w:color w:val="auto"/>
          <w:sz w:val="24"/>
          <w:szCs w:val="24"/>
          <w:highlight w:val="none"/>
        </w:rPr>
        <w:t>款规定办理合同解除的支付。</w:t>
      </w:r>
    </w:p>
    <w:p>
      <w:pPr>
        <w:pStyle w:val="2"/>
        <w:shd w:val="clear" w:color="000000" w:fill="auto"/>
        <w:adjustRightInd w:val="0"/>
        <w:snapToGrid w:val="0"/>
        <w:spacing w:line="240" w:lineRule="exact"/>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
        <w:shd w:val="clear" w:color="000000" w:fill="auto"/>
        <w:tabs>
          <w:tab w:val="left" w:pos="540"/>
        </w:tabs>
        <w:adjustRightInd w:val="0"/>
        <w:snapToGrid w:val="0"/>
        <w:spacing w:before="240" w:beforeLines="100" w:line="360" w:lineRule="auto"/>
        <w:outlineLvl w:val="2"/>
        <w:rPr>
          <w:rFonts w:ascii="仿宋" w:hAnsi="仿宋" w:eastAsia="仿宋" w:cs="Times New Roman"/>
          <w:b/>
          <w:bCs/>
          <w:color w:val="auto"/>
          <w:sz w:val="24"/>
          <w:szCs w:val="24"/>
          <w:highlight w:val="none"/>
        </w:rPr>
      </w:pPr>
      <w:bookmarkStart w:id="425" w:name="_Toc6072"/>
      <w:bookmarkStart w:id="426" w:name="_Toc10624922"/>
      <w:bookmarkStart w:id="427" w:name="_Toc469384078"/>
      <w:r>
        <w:rPr>
          <w:rFonts w:ascii="仿宋" w:hAnsi="仿宋" w:eastAsia="仿宋" w:cs="仿宋"/>
          <w:b/>
          <w:bCs/>
          <w:color w:val="auto"/>
          <w:sz w:val="24"/>
          <w:szCs w:val="24"/>
          <w:highlight w:val="none"/>
        </w:rPr>
        <w:t xml:space="preserve">96  </w:t>
      </w:r>
      <w:r>
        <w:rPr>
          <w:rFonts w:hint="eastAsia" w:ascii="仿宋" w:hAnsi="仿宋" w:eastAsia="仿宋" w:cs="仿宋"/>
          <w:b/>
          <w:bCs/>
          <w:color w:val="auto"/>
          <w:sz w:val="24"/>
          <w:szCs w:val="24"/>
          <w:highlight w:val="none"/>
        </w:rPr>
        <w:t>禁止转让</w:t>
      </w:r>
      <w:bookmarkEnd w:id="425"/>
      <w:bookmarkEnd w:id="426"/>
      <w:bookmarkEnd w:id="427"/>
    </w:p>
    <w:p>
      <w:pPr>
        <w:pStyle w:val="2"/>
        <w:shd w:val="clear" w:color="000000" w:fill="auto"/>
        <w:adjustRightInd w:val="0"/>
        <w:snapToGrid w:val="0"/>
        <w:spacing w:line="360" w:lineRule="auto"/>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96.1     </w:t>
      </w:r>
    </w:p>
    <w:p>
      <w:pPr>
        <w:shd w:val="clear" w:color="000000" w:fill="auto"/>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69888" behindDoc="0" locked="0" layoutInCell="1" allowOverlap="1">
                <wp:simplePos x="0" y="0"/>
                <wp:positionH relativeFrom="column">
                  <wp:posOffset>-114300</wp:posOffset>
                </wp:positionH>
                <wp:positionV relativeFrom="paragraph">
                  <wp:posOffset>15875</wp:posOffset>
                </wp:positionV>
                <wp:extent cx="800100" cy="297180"/>
                <wp:effectExtent l="0" t="0" r="0" b="0"/>
                <wp:wrapNone/>
                <wp:docPr id="402" name="文本框 411"/>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pPr>
                              <w:spacing w:line="240" w:lineRule="exact"/>
                              <w:rPr>
                                <w:rFonts w:ascii="宋体" w:cs="Times New Roman"/>
                                <w:b/>
                                <w:bCs/>
                                <w:sz w:val="18"/>
                                <w:szCs w:val="18"/>
                              </w:rPr>
                            </w:pPr>
                            <w:r>
                              <w:rPr>
                                <w:rFonts w:hint="eastAsia" w:ascii="楷体_GB2312" w:hAnsi="宋体" w:eastAsia="楷体_GB2312" w:cs="楷体_GB2312"/>
                                <w:b/>
                                <w:bCs/>
                                <w:sz w:val="18"/>
                                <w:szCs w:val="18"/>
                              </w:rPr>
                              <w:t>履行合同</w:t>
                            </w:r>
                          </w:p>
                        </w:txbxContent>
                      </wps:txbx>
                      <wps:bodyPr upright="1"/>
                    </wps:wsp>
                  </a:graphicData>
                </a:graphic>
              </wp:anchor>
            </w:drawing>
          </mc:Choice>
          <mc:Fallback>
            <w:pict>
              <v:shape id="文本框 411" o:spid="_x0000_s1026" o:spt="202" type="#_x0000_t202" style="position:absolute;left:0pt;margin-left:-9pt;margin-top:1.25pt;height:23.4pt;width:63pt;z-index:252069888;mso-width-relative:page;mso-height-relative:page;" filled="f" stroked="f" coordsize="21600,21600" o:gfxdata="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Fh2yR1QAA&#10;AAgBAAAPAAAAAAAAAAEAIAAAACIAAABkcnMvZG93bnJldi54bWxQSwECFAAUAAAACACHTuJAkTDJ&#10;ha8BAABRAwAADgAAAAAAAAABACAAAAAkAQAAZHJzL2Uyb0RvYy54bWxQSwUGAAAAAAYABgBZAQAA&#10;RQUAAAAA&#10;">
                <v:fill on="f" focussize="0,0"/>
                <v:stroke on="f"/>
                <v:imagedata o:title=""/>
                <o:lock v:ext="edit" aspectratio="f"/>
                <v:textbox>
                  <w:txbxContent>
                    <w:p>
                      <w:pPr>
                        <w:spacing w:line="240" w:lineRule="exact"/>
                        <w:rPr>
                          <w:rFonts w:ascii="宋体" w:cs="Times New Roman"/>
                          <w:b/>
                          <w:bCs/>
                          <w:sz w:val="18"/>
                          <w:szCs w:val="18"/>
                        </w:rPr>
                      </w:pPr>
                      <w:r>
                        <w:rPr>
                          <w:rFonts w:hint="eastAsia" w:ascii="楷体_GB2312" w:hAnsi="宋体" w:eastAsia="楷体_GB2312" w:cs="楷体_GB2312"/>
                          <w:b/>
                          <w:bCs/>
                          <w:sz w:val="18"/>
                          <w:szCs w:val="18"/>
                        </w:rPr>
                        <w:t>履行合同</w:t>
                      </w:r>
                    </w:p>
                  </w:txbxContent>
                </v:textbox>
              </v:shape>
            </w:pict>
          </mc:Fallback>
        </mc:AlternateContent>
      </w:r>
      <w:r>
        <w:rPr>
          <w:rFonts w:hint="eastAsia" w:ascii="仿宋" w:hAnsi="仿宋" w:eastAsia="仿宋" w:cs="仿宋"/>
          <w:color w:val="auto"/>
          <w:sz w:val="24"/>
          <w:szCs w:val="24"/>
          <w:highlight w:val="none"/>
        </w:rPr>
        <w:t>本合同一经签署，合同双方当事人均应按照本合同规定行使各自的权利、履行各自的义务。</w:t>
      </w:r>
    </w:p>
    <w:p>
      <w:pPr>
        <w:pStyle w:val="2"/>
        <w:shd w:val="clear" w:color="000000" w:fill="auto"/>
        <w:adjustRightInd w:val="0"/>
        <w:snapToGrid w:val="0"/>
        <w:spacing w:line="480" w:lineRule="auto"/>
        <w:rPr>
          <w:rFonts w:ascii="仿宋" w:hAnsi="仿宋" w:eastAsia="仿宋" w:cs="仿宋"/>
          <w:b/>
          <w:bCs/>
          <w:color w:val="auto"/>
          <w:sz w:val="24"/>
          <w:szCs w:val="24"/>
          <w:highlight w:val="none"/>
          <w:u w:val="dotted"/>
        </w:rPr>
      </w:pPr>
      <w:r>
        <w:rPr>
          <w:rFonts w:ascii="仿宋" w:hAnsi="仿宋" w:eastAsia="仿宋" w:cs="仿宋"/>
          <w:b/>
          <w:bCs/>
          <w:color w:val="auto"/>
          <w:sz w:val="24"/>
          <w:szCs w:val="24"/>
          <w:highlight w:val="none"/>
        </w:rPr>
        <w:t xml:space="preserve">96.2  </w:t>
      </w:r>
      <w:r>
        <w:rPr>
          <w:rFonts w:ascii="仿宋" w:hAnsi="仿宋" w:eastAsia="仿宋" w:cs="仿宋"/>
          <w:b/>
          <w:bCs/>
          <w:color w:val="auto"/>
          <w:sz w:val="24"/>
          <w:szCs w:val="24"/>
          <w:highlight w:val="none"/>
          <w:u w:val="dotted"/>
        </w:rPr>
        <w:t xml:space="preserve">                                                                                                       </w:t>
      </w:r>
    </w:p>
    <w:p>
      <w:pPr>
        <w:shd w:val="clear" w:color="000000" w:fill="auto"/>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70912" behindDoc="0" locked="0" layoutInCell="1" allowOverlap="1">
                <wp:simplePos x="0" y="0"/>
                <wp:positionH relativeFrom="column">
                  <wp:posOffset>-114300</wp:posOffset>
                </wp:positionH>
                <wp:positionV relativeFrom="paragraph">
                  <wp:posOffset>98425</wp:posOffset>
                </wp:positionV>
                <wp:extent cx="800100" cy="297180"/>
                <wp:effectExtent l="0" t="0" r="0" b="0"/>
                <wp:wrapNone/>
                <wp:docPr id="403" name="文本框 412"/>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不得转让</w:t>
                            </w:r>
                          </w:p>
                        </w:txbxContent>
                      </wps:txbx>
                      <wps:bodyPr upright="1"/>
                    </wps:wsp>
                  </a:graphicData>
                </a:graphic>
              </wp:anchor>
            </w:drawing>
          </mc:Choice>
          <mc:Fallback>
            <w:pict>
              <v:shape id="文本框 412" o:spid="_x0000_s1026" o:spt="202" type="#_x0000_t202" style="position:absolute;left:0pt;margin-left:-9pt;margin-top:7.75pt;height:23.4pt;width:63pt;z-index:252070912;mso-width-relative:page;mso-height-relative:page;" filled="f" stroked="f" coordsize="21600,21600" o:gfxdata="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AEeyaNYA&#10;AAAJAQAADwAAAAAAAAABACAAAAAiAAAAZHJzL2Rvd25yZXYueG1sUEsBAhQAFAAAAAgAh07iQK5+&#10;5JOvAQAAUQMAAA4AAAAAAAAAAQAgAAAAJQEAAGRycy9lMm9Eb2MueG1sUEsFBgAAAAAGAAYAWQEA&#10;AEY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不得转让</w:t>
                      </w:r>
                    </w:p>
                  </w:txbxContent>
                </v:textbox>
              </v:shape>
            </w:pict>
          </mc:Fallback>
        </mc:AlternateContent>
      </w:r>
      <w:r>
        <w:rPr>
          <w:rFonts w:hint="eastAsia" w:ascii="仿宋" w:hAnsi="仿宋" w:eastAsia="仿宋" w:cs="仿宋"/>
          <w:color w:val="auto"/>
          <w:sz w:val="24"/>
          <w:szCs w:val="24"/>
          <w:highlight w:val="none"/>
        </w:rPr>
        <w:t>除合同另有约定外，未经另一方当事人同意，合同一方当事人不得将本合同的全部或部分权利、义务转让给第三方。</w:t>
      </w:r>
    </w:p>
    <w:p>
      <w:pPr>
        <w:pStyle w:val="2"/>
        <w:shd w:val="clear" w:color="000000" w:fill="auto"/>
        <w:adjustRightInd w:val="0"/>
        <w:snapToGrid w:val="0"/>
        <w:spacing w:line="48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u w:val="single"/>
        </w:rPr>
        <w:t xml:space="preserve">                                                                                </w:t>
      </w:r>
    </w:p>
    <w:p>
      <w:pPr>
        <w:pStyle w:val="2"/>
        <w:shd w:val="clear" w:color="000000" w:fill="auto"/>
        <w:tabs>
          <w:tab w:val="left" w:pos="540"/>
        </w:tabs>
        <w:adjustRightInd w:val="0"/>
        <w:snapToGrid w:val="0"/>
        <w:spacing w:before="240" w:beforeLines="100" w:line="360" w:lineRule="auto"/>
        <w:outlineLvl w:val="2"/>
        <w:rPr>
          <w:rFonts w:ascii="仿宋" w:hAnsi="仿宋" w:eastAsia="仿宋" w:cs="Times New Roman"/>
          <w:b/>
          <w:bCs/>
          <w:color w:val="auto"/>
          <w:sz w:val="24"/>
          <w:szCs w:val="24"/>
          <w:highlight w:val="none"/>
        </w:rPr>
      </w:pPr>
      <w:bookmarkStart w:id="428" w:name="_Toc22257"/>
      <w:bookmarkStart w:id="429" w:name="_Toc10624923"/>
      <w:bookmarkStart w:id="430" w:name="_Toc469384079"/>
      <w:r>
        <w:rPr>
          <w:rFonts w:ascii="仿宋" w:hAnsi="仿宋" w:eastAsia="仿宋" w:cs="仿宋"/>
          <w:b/>
          <w:bCs/>
          <w:color w:val="auto"/>
          <w:sz w:val="24"/>
          <w:szCs w:val="24"/>
          <w:highlight w:val="none"/>
        </w:rPr>
        <w:t xml:space="preserve">97  </w:t>
      </w:r>
      <w:r>
        <w:rPr>
          <w:rFonts w:hint="eastAsia" w:ascii="仿宋" w:hAnsi="仿宋" w:eastAsia="仿宋" w:cs="仿宋"/>
          <w:b/>
          <w:bCs/>
          <w:color w:val="auto"/>
          <w:sz w:val="24"/>
          <w:szCs w:val="24"/>
          <w:highlight w:val="none"/>
        </w:rPr>
        <w:t>合同份数</w:t>
      </w:r>
      <w:bookmarkEnd w:id="428"/>
      <w:bookmarkEnd w:id="429"/>
      <w:bookmarkEnd w:id="430"/>
    </w:p>
    <w:p>
      <w:pPr>
        <w:pStyle w:val="2"/>
        <w:shd w:val="clear" w:color="000000" w:fill="auto"/>
        <w:adjustRightInd w:val="0"/>
        <w:snapToGrid w:val="0"/>
        <w:spacing w:line="360" w:lineRule="auto"/>
        <w:ind w:left="1581" w:hanging="1581" w:hangingChars="656"/>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 xml:space="preserve">97.1        </w:t>
      </w:r>
    </w:p>
    <w:p>
      <w:pPr>
        <w:pStyle w:val="2"/>
        <w:shd w:val="clear" w:color="000000" w:fill="auto"/>
        <w:adjustRightInd w:val="0"/>
        <w:snapToGrid w:val="0"/>
        <w:spacing w:line="360" w:lineRule="auto"/>
        <w:ind w:left="1682" w:leftChars="800" w:hanging="2"/>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71936" behindDoc="0" locked="0" layoutInCell="1" allowOverlap="1">
                <wp:simplePos x="0" y="0"/>
                <wp:positionH relativeFrom="column">
                  <wp:posOffset>-66675</wp:posOffset>
                </wp:positionH>
                <wp:positionV relativeFrom="paragraph">
                  <wp:posOffset>10160</wp:posOffset>
                </wp:positionV>
                <wp:extent cx="914400" cy="396240"/>
                <wp:effectExtent l="0" t="0" r="0" b="0"/>
                <wp:wrapNone/>
                <wp:docPr id="404" name="文本框 413"/>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约定提供合同文本</w:t>
                            </w:r>
                          </w:p>
                        </w:txbxContent>
                      </wps:txbx>
                      <wps:bodyPr upright="1"/>
                    </wps:wsp>
                  </a:graphicData>
                </a:graphic>
              </wp:anchor>
            </w:drawing>
          </mc:Choice>
          <mc:Fallback>
            <w:pict>
              <v:shape id="文本框 413" o:spid="_x0000_s1026" o:spt="202" type="#_x0000_t202" style="position:absolute;left:0pt;margin-left:-5.25pt;margin-top:0.8pt;height:31.2pt;width:72pt;z-index:252071936;mso-width-relative:page;mso-height-relative:page;" filled="f" stroked="f" coordsize="21600,21600" o:gfxdata="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CWIfx1AAA&#10;AAgBAAAPAAAAAAAAAAEAIAAAACIAAABkcnMvZG93bnJldi54bWxQSwECFAAUAAAACACHTuJAm9CQ&#10;AbABAABRAwAADgAAAAAAAAABACAAAAAjAQAAZHJzL2Uyb0RvYy54bWxQSwUGAAAAAAYABgBZAQAA&#10;RQ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约定提供合同文本</w:t>
                      </w:r>
                    </w:p>
                  </w:txbxContent>
                </v:textbox>
              </v:shape>
            </w:pict>
          </mc:Fallback>
        </mc:AlternateContent>
      </w:r>
      <w:r>
        <w:rPr>
          <w:rFonts w:hint="eastAsia" w:ascii="仿宋" w:hAnsi="仿宋" w:eastAsia="仿宋" w:cs="仿宋"/>
          <w:color w:val="auto"/>
          <w:sz w:val="24"/>
          <w:szCs w:val="24"/>
          <w:highlight w:val="none"/>
        </w:rPr>
        <w:t>除专用条款另有约定外，发包人应按照第</w:t>
      </w:r>
      <w:r>
        <w:rPr>
          <w:rFonts w:ascii="仿宋" w:hAnsi="仿宋" w:eastAsia="仿宋" w:cs="仿宋"/>
          <w:color w:val="auto"/>
          <w:sz w:val="24"/>
          <w:szCs w:val="24"/>
          <w:highlight w:val="none"/>
        </w:rPr>
        <w:t>94.2</w:t>
      </w:r>
      <w:r>
        <w:rPr>
          <w:rFonts w:hint="eastAsia" w:ascii="仿宋" w:hAnsi="仿宋" w:eastAsia="仿宋" w:cs="仿宋"/>
          <w:color w:val="auto"/>
          <w:sz w:val="24"/>
          <w:szCs w:val="24"/>
          <w:highlight w:val="none"/>
        </w:rPr>
        <w:t>款规定的份数免费为承包人提供合同文本。</w:t>
      </w:r>
    </w:p>
    <w:p>
      <w:pPr>
        <w:pStyle w:val="2"/>
        <w:shd w:val="clear" w:color="000000" w:fill="auto"/>
        <w:adjustRightInd w:val="0"/>
        <w:snapToGrid w:val="0"/>
        <w:spacing w:line="480" w:lineRule="auto"/>
        <w:rPr>
          <w:rFonts w:ascii="仿宋" w:hAnsi="仿宋" w:eastAsia="仿宋" w:cs="Times New Roman"/>
          <w:color w:val="auto"/>
          <w:sz w:val="24"/>
          <w:szCs w:val="24"/>
          <w:highlight w:val="none"/>
        </w:rPr>
      </w:pPr>
      <w:r>
        <w:rPr>
          <w:rFonts w:ascii="仿宋" w:hAnsi="仿宋" w:eastAsia="仿宋" w:cs="仿宋"/>
          <w:b/>
          <w:bCs/>
          <w:color w:val="auto"/>
          <w:sz w:val="24"/>
          <w:szCs w:val="24"/>
          <w:highlight w:val="none"/>
        </w:rPr>
        <w:t xml:space="preserve">97.2  </w:t>
      </w:r>
      <w:r>
        <w:rPr>
          <w:rFonts w:ascii="仿宋" w:hAnsi="仿宋" w:eastAsia="仿宋" w:cs="仿宋"/>
          <w:b/>
          <w:bCs/>
          <w:color w:val="auto"/>
          <w:sz w:val="24"/>
          <w:szCs w:val="24"/>
          <w:highlight w:val="none"/>
          <w:u w:val="dotted"/>
        </w:rPr>
        <w:t xml:space="preserve"> </w:t>
      </w:r>
      <w:r>
        <w:rPr>
          <w:rFonts w:ascii="仿宋" w:hAnsi="仿宋" w:eastAsia="仿宋" w:cs="仿宋"/>
          <w:color w:val="auto"/>
          <w:sz w:val="24"/>
          <w:szCs w:val="24"/>
          <w:highlight w:val="none"/>
          <w:u w:val="dotted"/>
        </w:rPr>
        <w:t xml:space="preserve">                                                                                                       </w:t>
      </w:r>
    </w:p>
    <w:p>
      <w:pPr>
        <w:pStyle w:val="2"/>
        <w:shd w:val="clear" w:color="000000" w:fill="auto"/>
        <w:adjustRightInd w:val="0"/>
        <w:snapToGrid w:val="0"/>
        <w:spacing w:line="360" w:lineRule="auto"/>
        <w:ind w:left="1619" w:leftChars="771"/>
        <w:rPr>
          <w:rFonts w:ascii="仿宋" w:hAnsi="仿宋" w:eastAsia="仿宋" w:cs="Times New Roman"/>
          <w:color w:val="auto"/>
          <w:sz w:val="24"/>
          <w:szCs w:val="24"/>
          <w:highlight w:val="none"/>
        </w:rPr>
      </w:pPr>
      <w:r>
        <w:rPr>
          <w:color w:val="auto"/>
          <w:highlight w:val="none"/>
        </w:rPr>
        <mc:AlternateContent>
          <mc:Choice Requires="wps">
            <w:drawing>
              <wp:anchor distT="0" distB="0" distL="114300" distR="114300" simplePos="0" relativeHeight="252072960" behindDoc="0" locked="0" layoutInCell="1" allowOverlap="1">
                <wp:simplePos x="0" y="0"/>
                <wp:positionH relativeFrom="column">
                  <wp:posOffset>-114300</wp:posOffset>
                </wp:positionH>
                <wp:positionV relativeFrom="paragraph">
                  <wp:posOffset>8255</wp:posOffset>
                </wp:positionV>
                <wp:extent cx="800100" cy="299720"/>
                <wp:effectExtent l="0" t="0" r="0" b="0"/>
                <wp:wrapNone/>
                <wp:docPr id="405" name="文本框 414"/>
                <wp:cNvGraphicFramePr/>
                <a:graphic xmlns:a="http://schemas.openxmlformats.org/drawingml/2006/main">
                  <a:graphicData uri="http://schemas.microsoft.com/office/word/2010/wordprocessingShape">
                    <wps:wsp>
                      <wps:cNvSpPr txBox="1"/>
                      <wps:spPr>
                        <a:xfrm>
                          <a:off x="0" y="0"/>
                          <a:ext cx="800100" cy="29972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正副本效力</w:t>
                            </w:r>
                          </w:p>
                        </w:txbxContent>
                      </wps:txbx>
                      <wps:bodyPr upright="1"/>
                    </wps:wsp>
                  </a:graphicData>
                </a:graphic>
              </wp:anchor>
            </w:drawing>
          </mc:Choice>
          <mc:Fallback>
            <w:pict>
              <v:shape id="文本框 414" o:spid="_x0000_s1026" o:spt="202" type="#_x0000_t202" style="position:absolute;left:0pt;margin-left:-9pt;margin-top:0.65pt;height:23.6pt;width:63pt;z-index:252072960;mso-width-relative:page;mso-height-relative:page;" filled="f" stroked="f" coordsize="21600,21600" o:gfxdata="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Mf3b61AAA&#10;AAgBAAAPAAAAAAAAAAEAIAAAACIAAABkcnMvZG93bnJldi54bWxQSwECFAAUAAAACACHTuJA/C++&#10;i7ABAABRAwAADgAAAAAAAAABACAAAAAjAQAAZHJzL2Uyb0RvYy54bWxQSwUGAAAAAAYABgBZAQAA&#10;RQ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正副本效力</w:t>
                      </w:r>
                    </w:p>
                  </w:txbxContent>
                </v:textbox>
              </v:shape>
            </w:pict>
          </mc:Fallback>
        </mc:AlternateContent>
      </w:r>
      <w:r>
        <w:rPr>
          <w:rFonts w:hint="eastAsia" w:ascii="仿宋" w:hAnsi="仿宋" w:eastAsia="仿宋" w:cs="仿宋"/>
          <w:color w:val="auto"/>
          <w:sz w:val="24"/>
          <w:szCs w:val="24"/>
          <w:highlight w:val="none"/>
        </w:rPr>
        <w:t>本合同正、副本份数，由合同双方当事人根据需要在专用条款中约定。正本与副本具有同等效力，当正本与副本不一致时，以正本为准。</w:t>
      </w:r>
    </w:p>
    <w:p>
      <w:pPr>
        <w:pStyle w:val="2"/>
        <w:shd w:val="clear" w:color="000000" w:fill="auto"/>
        <w:adjustRightInd w:val="0"/>
        <w:snapToGrid w:val="0"/>
        <w:spacing w:line="480" w:lineRule="auto"/>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pStyle w:val="2"/>
        <w:shd w:val="clear" w:color="000000" w:fill="auto"/>
        <w:adjustRightInd w:val="0"/>
        <w:snapToGrid w:val="0"/>
        <w:spacing w:line="360" w:lineRule="auto"/>
        <w:outlineLvl w:val="2"/>
        <w:rPr>
          <w:rFonts w:ascii="仿宋" w:hAnsi="仿宋" w:eastAsia="仿宋" w:cs="Times New Roman"/>
          <w:b/>
          <w:bCs/>
          <w:color w:val="auto"/>
          <w:sz w:val="24"/>
          <w:szCs w:val="24"/>
          <w:highlight w:val="none"/>
        </w:rPr>
      </w:pPr>
      <w:bookmarkStart w:id="431" w:name="_Toc469384080"/>
      <w:bookmarkStart w:id="432" w:name="_Toc10624924"/>
      <w:bookmarkStart w:id="433" w:name="_Toc19153"/>
      <w:r>
        <w:rPr>
          <w:rFonts w:ascii="仿宋" w:hAnsi="仿宋" w:eastAsia="仿宋" w:cs="仿宋"/>
          <w:b/>
          <w:bCs/>
          <w:color w:val="auto"/>
          <w:sz w:val="24"/>
          <w:szCs w:val="24"/>
          <w:highlight w:val="none"/>
        </w:rPr>
        <w:t xml:space="preserve">98  </w:t>
      </w:r>
      <w:r>
        <w:rPr>
          <w:rFonts w:hint="eastAsia" w:ascii="仿宋" w:hAnsi="仿宋" w:eastAsia="仿宋" w:cs="仿宋"/>
          <w:b/>
          <w:bCs/>
          <w:color w:val="auto"/>
          <w:sz w:val="24"/>
          <w:szCs w:val="24"/>
          <w:highlight w:val="none"/>
        </w:rPr>
        <w:t>合同</w:t>
      </w:r>
      <w:bookmarkEnd w:id="431"/>
      <w:r>
        <w:rPr>
          <w:rFonts w:hint="eastAsia" w:ascii="仿宋" w:hAnsi="仿宋" w:eastAsia="仿宋" w:cs="仿宋"/>
          <w:b/>
          <w:bCs/>
          <w:color w:val="auto"/>
          <w:sz w:val="24"/>
          <w:szCs w:val="24"/>
          <w:highlight w:val="none"/>
        </w:rPr>
        <w:t>管理</w:t>
      </w:r>
      <w:bookmarkEnd w:id="432"/>
      <w:bookmarkEnd w:id="433"/>
    </w:p>
    <w:p>
      <w:pPr>
        <w:pStyle w:val="2"/>
        <w:shd w:val="clear" w:color="000000" w:fill="auto"/>
        <w:adjustRightInd w:val="0"/>
        <w:snapToGrid w:val="0"/>
        <w:spacing w:line="360" w:lineRule="auto"/>
        <w:rPr>
          <w:rFonts w:ascii="仿宋" w:hAnsi="仿宋" w:eastAsia="仿宋" w:cs="Times New Roman"/>
          <w:b/>
          <w:bCs/>
          <w:color w:val="auto"/>
          <w:sz w:val="24"/>
          <w:szCs w:val="24"/>
          <w:highlight w:val="none"/>
        </w:rPr>
      </w:pPr>
      <w:r>
        <w:rPr>
          <w:color w:val="auto"/>
          <w:highlight w:val="none"/>
        </w:rPr>
        <mc:AlternateContent>
          <mc:Choice Requires="wps">
            <w:drawing>
              <wp:anchor distT="0" distB="0" distL="114300" distR="114300" simplePos="0" relativeHeight="252073984" behindDoc="0" locked="0" layoutInCell="1" allowOverlap="1">
                <wp:simplePos x="0" y="0"/>
                <wp:positionH relativeFrom="column">
                  <wp:posOffset>-114300</wp:posOffset>
                </wp:positionH>
                <wp:positionV relativeFrom="paragraph">
                  <wp:posOffset>208915</wp:posOffset>
                </wp:positionV>
                <wp:extent cx="1039495" cy="529590"/>
                <wp:effectExtent l="0" t="0" r="0" b="0"/>
                <wp:wrapNone/>
                <wp:docPr id="406" name="文本框 415"/>
                <wp:cNvGraphicFramePr/>
                <a:graphic xmlns:a="http://schemas.openxmlformats.org/drawingml/2006/main">
                  <a:graphicData uri="http://schemas.microsoft.com/office/word/2010/wordprocessingShape">
                    <wps:wsp>
                      <wps:cNvSpPr txBox="1"/>
                      <wps:spPr>
                        <a:xfrm>
                          <a:off x="0" y="0"/>
                          <a:ext cx="1039495" cy="52959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合同管理</w:t>
                            </w:r>
                          </w:p>
                          <w:p>
                            <w:pPr>
                              <w:spacing w:line="240" w:lineRule="exact"/>
                              <w:rPr>
                                <w:rFonts w:ascii="楷体_GB2312" w:hAnsi="宋体" w:eastAsia="楷体_GB2312" w:cs="Times New Roman"/>
                                <w:b/>
                                <w:bCs/>
                                <w:sz w:val="18"/>
                                <w:szCs w:val="18"/>
                              </w:rPr>
                            </w:pPr>
                          </w:p>
                        </w:txbxContent>
                      </wps:txbx>
                      <wps:bodyPr upright="1"/>
                    </wps:wsp>
                  </a:graphicData>
                </a:graphic>
              </wp:anchor>
            </w:drawing>
          </mc:Choice>
          <mc:Fallback>
            <w:pict>
              <v:shape id="文本框 415" o:spid="_x0000_s1026" o:spt="202" type="#_x0000_t202" style="position:absolute;left:0pt;margin-left:-9pt;margin-top:16.45pt;height:41.7pt;width:81.85pt;z-index:252073984;mso-width-relative:page;mso-height-relative:page;" filled="f" stroked="f" coordsize="21600,21600" o:gfxdata="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Eu6&#10;rNjYAAAACgEAAA8AAAAAAAAAAQAgAAAAIgAAAGRycy9kb3ducmV2LnhtbFBLAQIUABQAAAAIAIdO&#10;4kBud/OXsQEAAFIDAAAOAAAAAAAAAAEAIAAAACcBAABkcnMvZTJvRG9jLnhtbFBLBQYAAAAABgAG&#10;AFkBAABK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合同管理</w:t>
                      </w:r>
                    </w:p>
                    <w:p>
                      <w:pPr>
                        <w:spacing w:line="240" w:lineRule="exact"/>
                        <w:rPr>
                          <w:rFonts w:ascii="楷体_GB2312" w:hAnsi="宋体" w:eastAsia="楷体_GB2312" w:cs="Times New Roman"/>
                          <w:b/>
                          <w:bCs/>
                          <w:sz w:val="18"/>
                          <w:szCs w:val="18"/>
                        </w:rPr>
                      </w:pPr>
                    </w:p>
                  </w:txbxContent>
                </v:textbox>
              </v:shape>
            </w:pict>
          </mc:Fallback>
        </mc:AlternateContent>
      </w:r>
      <w:r>
        <w:rPr>
          <w:rFonts w:ascii="仿宋" w:hAnsi="仿宋" w:eastAsia="仿宋" w:cs="仿宋"/>
          <w:b/>
          <w:bCs/>
          <w:color w:val="auto"/>
          <w:sz w:val="24"/>
          <w:szCs w:val="24"/>
          <w:highlight w:val="none"/>
        </w:rPr>
        <w:t xml:space="preserve">98.1  </w:t>
      </w:r>
    </w:p>
    <w:p>
      <w:pPr>
        <w:shd w:val="clear" w:color="000000" w:fill="auto"/>
        <w:spacing w:line="360" w:lineRule="auto"/>
        <w:ind w:left="2088" w:leftChars="798" w:hanging="412" w:hangingChars="172"/>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合同双方当事人应按照第</w:t>
      </w:r>
      <w:r>
        <w:rPr>
          <w:rFonts w:ascii="仿宋" w:hAnsi="仿宋" w:eastAsia="仿宋" w:cs="仿宋"/>
          <w:color w:val="auto"/>
          <w:sz w:val="24"/>
          <w:szCs w:val="24"/>
          <w:highlight w:val="none"/>
        </w:rPr>
        <w:t>22</w:t>
      </w:r>
      <w:r>
        <w:rPr>
          <w:rFonts w:hint="eastAsia" w:ascii="仿宋" w:hAnsi="仿宋" w:eastAsia="仿宋" w:cs="仿宋"/>
          <w:color w:val="auto"/>
          <w:sz w:val="24"/>
          <w:szCs w:val="24"/>
          <w:highlight w:val="none"/>
        </w:rPr>
        <w:t>条至第</w:t>
      </w:r>
      <w:r>
        <w:rPr>
          <w:rFonts w:ascii="仿宋" w:hAnsi="仿宋" w:eastAsia="仿宋" w:cs="仿宋"/>
          <w:color w:val="auto"/>
          <w:sz w:val="24"/>
          <w:szCs w:val="24"/>
          <w:highlight w:val="none"/>
        </w:rPr>
        <w:t>25</w:t>
      </w:r>
      <w:r>
        <w:rPr>
          <w:rFonts w:hint="eastAsia" w:ascii="仿宋" w:hAnsi="仿宋" w:eastAsia="仿宋" w:cs="仿宋"/>
          <w:color w:val="auto"/>
          <w:sz w:val="24"/>
          <w:szCs w:val="24"/>
          <w:highlight w:val="none"/>
        </w:rPr>
        <w:t>条的职责划分，督促各自人员认真履行合同</w:t>
      </w:r>
    </w:p>
    <w:p>
      <w:pPr>
        <w:shd w:val="clear" w:color="000000" w:fill="auto"/>
        <w:spacing w:line="360" w:lineRule="auto"/>
        <w:ind w:firstLine="1680" w:firstLineChars="700"/>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管理职责，加强合同管理。</w:t>
      </w:r>
    </w:p>
    <w:p>
      <w:pPr>
        <w:shd w:val="clear" w:color="000000" w:fill="auto"/>
        <w:spacing w:line="360" w:lineRule="auto"/>
        <w:ind w:left="1680" w:leftChars="700" w:hanging="210" w:hangingChars="100"/>
        <w:rPr>
          <w:rFonts w:cs="Times New Roman"/>
          <w:color w:val="auto"/>
          <w:highlight w:val="none"/>
        </w:rPr>
      </w:pPr>
      <w:r>
        <w:rPr>
          <w:color w:val="auto"/>
          <w:highlight w:val="none"/>
        </w:rPr>
        <w:t xml:space="preserve">  </w:t>
      </w:r>
      <w:r>
        <w:rPr>
          <w:rFonts w:hint="eastAsia" w:ascii="仿宋" w:hAnsi="仿宋" w:eastAsia="仿宋" w:cs="仿宋"/>
          <w:color w:val="auto"/>
          <w:sz w:val="24"/>
          <w:szCs w:val="24"/>
          <w:highlight w:val="none"/>
        </w:rPr>
        <w:t>涉及国有资金投资的工程，建设行政主管部门、工程造价管理机构应依据建设行政主管部门存档合同实施合同监督管理；合同双方当事人应随时接受执法人员对本合同的监督管理，并为监督管理活动提供配合和协助。</w:t>
      </w:r>
      <w:r>
        <w:rPr>
          <w:rFonts w:ascii="仿宋" w:hAnsi="仿宋" w:eastAsia="仿宋" w:cs="仿宋"/>
          <w:color w:val="auto"/>
          <w:sz w:val="24"/>
          <w:szCs w:val="24"/>
          <w:highlight w:val="none"/>
        </w:rPr>
        <w:t xml:space="preserve">   </w:t>
      </w:r>
    </w:p>
    <w:p>
      <w:pPr>
        <w:pStyle w:val="2"/>
        <w:shd w:val="clear" w:color="000000" w:fill="auto"/>
        <w:adjustRightInd w:val="0"/>
        <w:snapToGrid w:val="0"/>
        <w:spacing w:line="480" w:lineRule="auto"/>
        <w:jc w:val="left"/>
        <w:rPr>
          <w:rFonts w:ascii="仿宋" w:hAnsi="仿宋" w:eastAsia="仿宋" w:cs="仿宋"/>
          <w:b/>
          <w:bCs/>
          <w:color w:val="auto"/>
          <w:sz w:val="24"/>
          <w:szCs w:val="24"/>
          <w:highlight w:val="none"/>
          <w:u w:val="single"/>
        </w:rPr>
      </w:pPr>
      <w:r>
        <w:rPr>
          <w:rFonts w:ascii="仿宋" w:hAnsi="仿宋" w:eastAsia="仿宋" w:cs="仿宋"/>
          <w:b/>
          <w:bCs/>
          <w:color w:val="auto"/>
          <w:sz w:val="24"/>
          <w:szCs w:val="24"/>
          <w:highlight w:val="none"/>
          <w:u w:val="single"/>
        </w:rPr>
        <w:t xml:space="preserve">                                                                                                                                                              </w:t>
      </w:r>
    </w:p>
    <w:p>
      <w:pPr>
        <w:shd w:val="clear" w:color="000000" w:fill="auto"/>
        <w:rPr>
          <w:rFonts w:ascii="宋体" w:cs="Times New Roman"/>
          <w:b/>
          <w:bCs/>
          <w:color w:val="auto"/>
          <w:kern w:val="0"/>
          <w:sz w:val="36"/>
          <w:szCs w:val="36"/>
          <w:highlight w:val="none"/>
        </w:rPr>
      </w:pPr>
    </w:p>
    <w:p>
      <w:pPr>
        <w:shd w:val="clear" w:color="000000" w:fill="auto"/>
        <w:rPr>
          <w:rFonts w:ascii="宋体" w:cs="Times New Roman"/>
          <w:b/>
          <w:bCs/>
          <w:color w:val="auto"/>
          <w:kern w:val="0"/>
          <w:sz w:val="36"/>
          <w:szCs w:val="36"/>
          <w:highlight w:val="none"/>
        </w:rPr>
      </w:pPr>
    </w:p>
    <w:p>
      <w:pPr>
        <w:shd w:val="clear" w:color="000000" w:fill="auto"/>
        <w:rPr>
          <w:rFonts w:ascii="宋体" w:cs="Times New Roman"/>
          <w:b/>
          <w:bCs/>
          <w:color w:val="auto"/>
          <w:kern w:val="0"/>
          <w:sz w:val="36"/>
          <w:szCs w:val="36"/>
          <w:highlight w:val="none"/>
        </w:rPr>
      </w:pPr>
    </w:p>
    <w:p>
      <w:pPr>
        <w:shd w:val="clear" w:color="000000" w:fill="auto"/>
        <w:rPr>
          <w:rFonts w:ascii="宋体" w:cs="Times New Roman"/>
          <w:b/>
          <w:bCs/>
          <w:color w:val="auto"/>
          <w:kern w:val="0"/>
          <w:sz w:val="36"/>
          <w:szCs w:val="36"/>
          <w:highlight w:val="none"/>
        </w:rPr>
      </w:pPr>
    </w:p>
    <w:p>
      <w:pPr>
        <w:shd w:val="clear" w:color="000000" w:fill="auto"/>
        <w:rPr>
          <w:rFonts w:ascii="宋体" w:cs="Times New Roman"/>
          <w:b/>
          <w:bCs/>
          <w:color w:val="auto"/>
          <w:kern w:val="0"/>
          <w:sz w:val="36"/>
          <w:szCs w:val="36"/>
          <w:highlight w:val="none"/>
        </w:rPr>
      </w:pPr>
    </w:p>
    <w:p>
      <w:pPr>
        <w:pStyle w:val="3"/>
        <w:shd w:val="clear" w:color="000000" w:fill="auto"/>
        <w:tabs>
          <w:tab w:val="left" w:pos="420"/>
          <w:tab w:val="clear" w:pos="432"/>
        </w:tabs>
        <w:ind w:left="433" w:leftChars="206" w:firstLine="177" w:firstLineChars="49"/>
        <w:jc w:val="center"/>
        <w:rPr>
          <w:rFonts w:hAnsi="宋体" w:cs="Times New Roman"/>
          <w:b/>
          <w:bCs/>
          <w:color w:val="auto"/>
          <w:sz w:val="36"/>
          <w:szCs w:val="36"/>
          <w:highlight w:val="none"/>
        </w:rPr>
      </w:pPr>
      <w:bookmarkStart w:id="434" w:name="_Toc10624925"/>
      <w:bookmarkStart w:id="435" w:name="_Toc469384081"/>
      <w:r>
        <w:rPr>
          <w:rFonts w:hint="eastAsia" w:hAnsi="宋体"/>
          <w:b/>
          <w:bCs/>
          <w:color w:val="auto"/>
          <w:sz w:val="36"/>
          <w:szCs w:val="36"/>
          <w:highlight w:val="none"/>
        </w:rPr>
        <w:br w:type="page"/>
      </w:r>
      <w:bookmarkStart w:id="436" w:name="_Toc19707"/>
      <w:bookmarkStart w:id="437" w:name="_Toc2925"/>
      <w:r>
        <w:rPr>
          <w:rFonts w:hint="eastAsia" w:hAnsi="宋体"/>
          <w:b/>
          <w:bCs/>
          <w:color w:val="auto"/>
          <w:sz w:val="36"/>
          <w:szCs w:val="36"/>
          <w:highlight w:val="none"/>
        </w:rPr>
        <w:t>第三部分</w:t>
      </w:r>
      <w:r>
        <w:rPr>
          <w:rFonts w:hAnsi="宋体"/>
          <w:b/>
          <w:bCs/>
          <w:color w:val="auto"/>
          <w:sz w:val="36"/>
          <w:szCs w:val="36"/>
          <w:highlight w:val="none"/>
        </w:rPr>
        <w:t xml:space="preserve">    </w:t>
      </w:r>
      <w:r>
        <w:rPr>
          <w:rFonts w:hint="eastAsia" w:hAnsi="宋体"/>
          <w:b/>
          <w:bCs/>
          <w:color w:val="auto"/>
          <w:sz w:val="36"/>
          <w:szCs w:val="36"/>
          <w:highlight w:val="none"/>
        </w:rPr>
        <w:t>专用条款</w:t>
      </w:r>
      <w:bookmarkEnd w:id="434"/>
      <w:bookmarkEnd w:id="435"/>
      <w:bookmarkEnd w:id="436"/>
      <w:bookmarkEnd w:id="437"/>
    </w:p>
    <w:p>
      <w:pPr>
        <w:shd w:val="clear" w:color="000000" w:fill="auto"/>
        <w:jc w:val="center"/>
        <w:rPr>
          <w:rFonts w:ascii="宋体" w:cs="Times New Roman"/>
          <w:b/>
          <w:bCs/>
          <w:color w:val="auto"/>
          <w:sz w:val="24"/>
          <w:szCs w:val="24"/>
          <w:highlight w:val="none"/>
        </w:rPr>
      </w:pPr>
    </w:p>
    <w:p>
      <w:pPr>
        <w:pStyle w:val="4"/>
        <w:numPr>
          <w:ilvl w:val="0"/>
          <w:numId w:val="0"/>
        </w:numPr>
        <w:shd w:val="clear" w:color="000000" w:fill="auto"/>
        <w:tabs>
          <w:tab w:val="left" w:pos="420"/>
        </w:tabs>
        <w:spacing w:before="0" w:line="360" w:lineRule="auto"/>
        <w:rPr>
          <w:rFonts w:ascii="仿宋" w:hAnsi="仿宋" w:eastAsia="仿宋" w:cs="Times New Roman"/>
          <w:b/>
          <w:bCs/>
          <w:color w:val="auto"/>
          <w:sz w:val="24"/>
          <w:szCs w:val="24"/>
          <w:highlight w:val="none"/>
        </w:rPr>
      </w:pPr>
      <w:bookmarkStart w:id="438" w:name="_Toc469384082"/>
      <w:bookmarkStart w:id="439" w:name="_Toc25107"/>
      <w:bookmarkStart w:id="440" w:name="_Toc10624926"/>
      <w:bookmarkStart w:id="441" w:name="_Toc12092"/>
      <w:r>
        <w:rPr>
          <w:rFonts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rPr>
        <w:t>．定义</w:t>
      </w:r>
      <w:bookmarkEnd w:id="438"/>
      <w:bookmarkEnd w:id="439"/>
      <w:bookmarkEnd w:id="440"/>
      <w:bookmarkEnd w:id="441"/>
      <w:r>
        <w:rPr>
          <w:rFonts w:ascii="仿宋" w:hAnsi="仿宋" w:eastAsia="仿宋" w:cs="仿宋"/>
          <w:b/>
          <w:bCs/>
          <w:color w:val="auto"/>
          <w:sz w:val="24"/>
          <w:szCs w:val="24"/>
          <w:highlight w:val="none"/>
        </w:rPr>
        <w:t xml:space="preserve"> </w:t>
      </w:r>
    </w:p>
    <w:p>
      <w:pPr>
        <w:shd w:val="clear" w:color="000000" w:fill="auto"/>
        <w:autoSpaceDE w:val="0"/>
        <w:autoSpaceDN w:val="0"/>
        <w:adjustRightInd w:val="0"/>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1.43 单位工程</w:t>
      </w:r>
    </w:p>
    <w:p>
      <w:pPr>
        <w:shd w:val="clear" w:color="000000" w:fill="auto"/>
        <w:autoSpaceDE w:val="0"/>
        <w:autoSpaceDN w:val="0"/>
        <w:adjustRightInd w:val="0"/>
        <w:spacing w:line="360" w:lineRule="auto"/>
        <w:ind w:firstLine="360" w:firstLineChars="150"/>
        <w:jc w:val="left"/>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  名称：</w:t>
      </w:r>
      <w:r>
        <w:rPr>
          <w:rFonts w:hint="eastAsia" w:ascii="宋体" w:hAnsi="宋体" w:cs="宋体"/>
          <w:color w:val="auto"/>
          <w:kern w:val="0"/>
          <w:sz w:val="24"/>
          <w:szCs w:val="24"/>
          <w:highlight w:val="none"/>
          <w:u w:val="single"/>
        </w:rPr>
        <w:t xml:space="preserve">    /       </w:t>
      </w:r>
    </w:p>
    <w:p>
      <w:pPr>
        <w:shd w:val="clear" w:color="000000" w:fill="auto"/>
        <w:autoSpaceDE w:val="0"/>
        <w:autoSpaceDN w:val="0"/>
        <w:adjustRightInd w:val="0"/>
        <w:spacing w:line="360" w:lineRule="auto"/>
        <w:ind w:firstLine="360" w:firstLineChars="15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内容：</w:t>
      </w:r>
      <w:r>
        <w:rPr>
          <w:rFonts w:hint="eastAsia" w:ascii="宋体" w:hAnsi="宋体" w:cs="宋体"/>
          <w:color w:val="auto"/>
          <w:kern w:val="0"/>
          <w:sz w:val="24"/>
          <w:szCs w:val="24"/>
          <w:highlight w:val="none"/>
          <w:u w:val="single"/>
        </w:rPr>
        <w:t xml:space="preserve">    /       </w:t>
      </w:r>
    </w:p>
    <w:p>
      <w:pPr>
        <w:shd w:val="clear" w:color="000000" w:fill="auto"/>
        <w:autoSpaceDE w:val="0"/>
        <w:autoSpaceDN w:val="0"/>
        <w:adjustRightInd w:val="0"/>
        <w:spacing w:line="360" w:lineRule="auto"/>
        <w:ind w:firstLine="360" w:firstLineChars="150"/>
        <w:jc w:val="left"/>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  范围：</w:t>
      </w:r>
      <w:r>
        <w:rPr>
          <w:rFonts w:hint="eastAsia" w:ascii="宋体" w:hAnsi="宋体" w:cs="宋体"/>
          <w:color w:val="auto"/>
          <w:kern w:val="0"/>
          <w:sz w:val="24"/>
          <w:szCs w:val="24"/>
          <w:highlight w:val="none"/>
          <w:u w:val="single"/>
        </w:rPr>
        <w:t xml:space="preserve">    /       </w:t>
      </w:r>
    </w:p>
    <w:p>
      <w:pPr>
        <w:shd w:val="clear" w:color="000000" w:fill="auto"/>
        <w:autoSpaceDE w:val="0"/>
        <w:autoSpaceDN w:val="0"/>
        <w:adjustRightInd w:val="0"/>
        <w:spacing w:line="360" w:lineRule="auto"/>
        <w:ind w:firstLine="240" w:firstLineChars="1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1.53  所采用的书面形式包括： </w:t>
      </w:r>
    </w:p>
    <w:p>
      <w:pPr>
        <w:shd w:val="clear" w:color="000000" w:fill="auto"/>
        <w:autoSpaceDE w:val="0"/>
        <w:autoSpaceDN w:val="0"/>
        <w:adjustRightInd w:val="0"/>
        <w:spacing w:line="360" w:lineRule="auto"/>
        <w:ind w:firstLine="360" w:firstLineChars="150"/>
        <w:jc w:val="left"/>
        <w:rPr>
          <w:rFonts w:ascii="宋体" w:hAnsi="宋体" w:cs="宋体"/>
          <w:color w:val="auto"/>
          <w:kern w:val="0"/>
          <w:sz w:val="24"/>
          <w:szCs w:val="24"/>
          <w:highlight w:val="none"/>
        </w:rPr>
      </w:pPr>
      <w:r>
        <w:rPr>
          <w:rFonts w:hint="eastAsia" w:ascii="黑体" w:hAnsi="黑体" w:eastAsia="黑体" w:cs="黑体"/>
          <w:color w:val="auto"/>
          <w:kern w:val="0"/>
          <w:sz w:val="24"/>
          <w:szCs w:val="24"/>
          <w:highlight w:val="none"/>
        </w:rPr>
        <w:t>■</w:t>
      </w:r>
      <w:r>
        <w:rPr>
          <w:rFonts w:hint="eastAsia" w:ascii="宋体" w:hAnsi="宋体" w:cs="宋体"/>
          <w:color w:val="auto"/>
          <w:kern w:val="0"/>
          <w:sz w:val="24"/>
          <w:szCs w:val="24"/>
          <w:highlight w:val="none"/>
        </w:rPr>
        <w:t xml:space="preserve"> 文书； </w:t>
      </w:r>
    </w:p>
    <w:p>
      <w:pPr>
        <w:shd w:val="clear" w:color="000000" w:fill="auto"/>
        <w:autoSpaceDE w:val="0"/>
        <w:autoSpaceDN w:val="0"/>
        <w:adjustRightInd w:val="0"/>
        <w:spacing w:line="360" w:lineRule="auto"/>
        <w:ind w:firstLine="360" w:firstLineChars="150"/>
        <w:jc w:val="left"/>
        <w:rPr>
          <w:rFonts w:ascii="宋体" w:hAnsi="宋体" w:cs="宋体"/>
          <w:color w:val="auto"/>
          <w:kern w:val="0"/>
          <w:sz w:val="24"/>
          <w:szCs w:val="24"/>
          <w:highlight w:val="none"/>
        </w:rPr>
      </w:pPr>
      <w:r>
        <w:rPr>
          <w:rFonts w:hint="eastAsia" w:ascii="黑体" w:hAnsi="黑体" w:eastAsia="黑体" w:cs="黑体"/>
          <w:color w:val="auto"/>
          <w:kern w:val="0"/>
          <w:sz w:val="24"/>
          <w:szCs w:val="24"/>
          <w:highlight w:val="none"/>
        </w:rPr>
        <w:t>■</w:t>
      </w:r>
      <w:r>
        <w:rPr>
          <w:rFonts w:hint="eastAsia" w:ascii="宋体" w:hAnsi="宋体" w:cs="宋体"/>
          <w:color w:val="auto"/>
          <w:kern w:val="0"/>
          <w:sz w:val="24"/>
          <w:szCs w:val="24"/>
          <w:highlight w:val="none"/>
        </w:rPr>
        <w:t xml:space="preserve"> 信件； </w:t>
      </w:r>
    </w:p>
    <w:p>
      <w:pPr>
        <w:shd w:val="clear" w:color="000000" w:fill="auto"/>
        <w:autoSpaceDE w:val="0"/>
        <w:autoSpaceDN w:val="0"/>
        <w:adjustRightInd w:val="0"/>
        <w:spacing w:line="360" w:lineRule="auto"/>
        <w:ind w:firstLine="360" w:firstLineChars="15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电报； </w:t>
      </w:r>
    </w:p>
    <w:p>
      <w:pPr>
        <w:shd w:val="clear" w:color="000000" w:fill="auto"/>
        <w:autoSpaceDE w:val="0"/>
        <w:autoSpaceDN w:val="0"/>
        <w:adjustRightInd w:val="0"/>
        <w:spacing w:line="360" w:lineRule="auto"/>
        <w:ind w:firstLine="360" w:firstLineChars="15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传真； </w:t>
      </w:r>
    </w:p>
    <w:p>
      <w:pPr>
        <w:shd w:val="clear" w:color="000000" w:fill="auto"/>
        <w:autoSpaceDE w:val="0"/>
        <w:autoSpaceDN w:val="0"/>
        <w:adjustRightInd w:val="0"/>
        <w:spacing w:line="360" w:lineRule="auto"/>
        <w:ind w:firstLine="360" w:firstLineChars="15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电子邮件； </w:t>
      </w:r>
    </w:p>
    <w:p>
      <w:pPr>
        <w:shd w:val="clear" w:color="000000" w:fill="auto"/>
        <w:autoSpaceDE w:val="0"/>
        <w:autoSpaceDN w:val="0"/>
        <w:adjustRightInd w:val="0"/>
        <w:spacing w:line="360" w:lineRule="auto"/>
        <w:ind w:firstLine="360" w:firstLineChars="150"/>
        <w:jc w:val="left"/>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  其他：</w:t>
      </w:r>
      <w:r>
        <w:rPr>
          <w:rFonts w:hint="eastAsia" w:ascii="宋体" w:hAnsi="宋体" w:cs="宋体"/>
          <w:color w:val="auto"/>
          <w:kern w:val="0"/>
          <w:sz w:val="24"/>
          <w:szCs w:val="24"/>
          <w:highlight w:val="none"/>
          <w:u w:val="single"/>
        </w:rPr>
        <w:t xml:space="preserve">    /        </w:t>
      </w:r>
    </w:p>
    <w:p>
      <w:pPr>
        <w:pStyle w:val="4"/>
        <w:numPr>
          <w:ilvl w:val="0"/>
          <w:numId w:val="0"/>
        </w:numPr>
        <w:shd w:val="clear" w:color="000000" w:fill="auto"/>
        <w:tabs>
          <w:tab w:val="left" w:pos="420"/>
        </w:tabs>
        <w:spacing w:before="0" w:line="360" w:lineRule="auto"/>
        <w:rPr>
          <w:rFonts w:ascii="仿宋" w:hAnsi="仿宋" w:eastAsia="仿宋" w:cs="仿宋"/>
          <w:b/>
          <w:bCs/>
          <w:color w:val="auto"/>
          <w:sz w:val="24"/>
          <w:szCs w:val="24"/>
          <w:highlight w:val="none"/>
        </w:rPr>
      </w:pPr>
      <w:bookmarkStart w:id="442" w:name="_Toc10624927"/>
      <w:bookmarkStart w:id="443" w:name="_Toc469384083"/>
      <w:bookmarkStart w:id="444" w:name="_Toc19372"/>
      <w:bookmarkStart w:id="445" w:name="_Toc28982"/>
      <w:r>
        <w:rPr>
          <w:rFonts w:ascii="仿宋" w:hAnsi="仿宋" w:eastAsia="仿宋" w:cs="仿宋"/>
          <w:b/>
          <w:bCs/>
          <w:color w:val="auto"/>
          <w:sz w:val="24"/>
          <w:szCs w:val="24"/>
          <w:highlight w:val="none"/>
        </w:rPr>
        <w:t>2．合同文件及解释</w:t>
      </w:r>
      <w:bookmarkEnd w:id="442"/>
      <w:bookmarkEnd w:id="443"/>
      <w:bookmarkEnd w:id="444"/>
      <w:bookmarkEnd w:id="445"/>
      <w:r>
        <w:rPr>
          <w:rFonts w:ascii="仿宋" w:hAnsi="仿宋" w:eastAsia="仿宋" w:cs="仿宋"/>
          <w:b/>
          <w:bCs/>
          <w:color w:val="auto"/>
          <w:sz w:val="24"/>
          <w:szCs w:val="24"/>
          <w:highlight w:val="none"/>
        </w:rPr>
        <w:t xml:space="preserve"> </w:t>
      </w:r>
    </w:p>
    <w:p>
      <w:pPr>
        <w:shd w:val="clear" w:color="000000" w:fill="auto"/>
        <w:spacing w:line="360" w:lineRule="auto"/>
        <w:ind w:firstLine="240" w:firstLineChars="100"/>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2.2（10）组成合同的其他文件：</w:t>
      </w:r>
    </w:p>
    <w:p>
      <w:pPr>
        <w:shd w:val="clear" w:color="000000" w:fill="auto"/>
        <w:spacing w:line="360" w:lineRule="auto"/>
        <w:ind w:firstLine="240" w:firstLineChars="100"/>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u w:val="single"/>
        </w:rPr>
        <w:t>①经双方确认进入合同的其他文件。</w:t>
      </w:r>
    </w:p>
    <w:p>
      <w:pPr>
        <w:pStyle w:val="4"/>
        <w:numPr>
          <w:ilvl w:val="0"/>
          <w:numId w:val="0"/>
        </w:numPr>
        <w:shd w:val="clear" w:color="000000" w:fill="auto"/>
        <w:tabs>
          <w:tab w:val="left" w:pos="420"/>
        </w:tabs>
        <w:spacing w:before="0" w:line="360" w:lineRule="auto"/>
        <w:rPr>
          <w:rFonts w:ascii="仿宋" w:hAnsi="仿宋" w:eastAsia="仿宋" w:cs="仿宋"/>
          <w:b/>
          <w:bCs/>
          <w:color w:val="auto"/>
          <w:sz w:val="24"/>
          <w:szCs w:val="24"/>
          <w:highlight w:val="none"/>
        </w:rPr>
      </w:pPr>
      <w:bookmarkStart w:id="446" w:name="_Toc3447"/>
      <w:bookmarkStart w:id="447" w:name="_Toc13561"/>
      <w:bookmarkStart w:id="448" w:name="_Toc469384084"/>
      <w:bookmarkStart w:id="449" w:name="_Toc10624928"/>
      <w:r>
        <w:rPr>
          <w:rFonts w:ascii="仿宋" w:hAnsi="仿宋" w:eastAsia="仿宋" w:cs="仿宋"/>
          <w:b/>
          <w:bCs/>
          <w:color w:val="auto"/>
          <w:sz w:val="24"/>
          <w:szCs w:val="24"/>
          <w:highlight w:val="none"/>
        </w:rPr>
        <w:t>4．语言及适用的法律、标准与规范</w:t>
      </w:r>
      <w:bookmarkEnd w:id="446"/>
      <w:bookmarkEnd w:id="447"/>
      <w:bookmarkEnd w:id="448"/>
      <w:bookmarkEnd w:id="449"/>
      <w:r>
        <w:rPr>
          <w:rFonts w:ascii="仿宋" w:hAnsi="仿宋" w:eastAsia="仿宋" w:cs="仿宋"/>
          <w:b/>
          <w:bCs/>
          <w:color w:val="auto"/>
          <w:sz w:val="24"/>
          <w:szCs w:val="24"/>
          <w:highlight w:val="none"/>
        </w:rPr>
        <w:t xml:space="preserve"> </w:t>
      </w:r>
    </w:p>
    <w:p>
      <w:pPr>
        <w:shd w:val="clear" w:color="000000" w:fill="auto"/>
        <w:spacing w:line="360" w:lineRule="auto"/>
        <w:ind w:firstLine="240" w:firstLineChars="100"/>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4.3 约定适用的标准、规范的名称：</w:t>
      </w:r>
      <w:r>
        <w:rPr>
          <w:rFonts w:hint="eastAsia" w:ascii="宋体" w:hAnsi="宋体" w:cs="宋体"/>
          <w:color w:val="auto"/>
          <w:kern w:val="0"/>
          <w:sz w:val="24"/>
          <w:szCs w:val="24"/>
          <w:highlight w:val="none"/>
          <w:u w:val="single"/>
        </w:rPr>
        <w:t>材料、设备、施工、验收须达到现行与本工程相关和适用于本工程的中华人民共和国以及广东省或行业的工程建设标准、规范的要求。如施工期间国家或地方标准、规范发生变动，承包人应按新标准、规范执行。</w:t>
      </w:r>
    </w:p>
    <w:p>
      <w:pPr>
        <w:pStyle w:val="4"/>
        <w:numPr>
          <w:ilvl w:val="0"/>
          <w:numId w:val="0"/>
        </w:numPr>
        <w:shd w:val="clear" w:color="000000" w:fill="auto"/>
        <w:tabs>
          <w:tab w:val="left" w:pos="420"/>
        </w:tabs>
        <w:spacing w:before="0" w:line="360" w:lineRule="auto"/>
        <w:rPr>
          <w:rFonts w:ascii="仿宋" w:hAnsi="仿宋" w:eastAsia="仿宋" w:cs="Times New Roman"/>
          <w:b/>
          <w:bCs/>
          <w:color w:val="auto"/>
          <w:sz w:val="24"/>
          <w:szCs w:val="24"/>
          <w:highlight w:val="none"/>
        </w:rPr>
      </w:pPr>
      <w:bookmarkStart w:id="450" w:name="_Toc16607"/>
      <w:bookmarkStart w:id="451" w:name="_Toc10624929"/>
      <w:bookmarkStart w:id="452" w:name="_Toc469384085"/>
      <w:bookmarkStart w:id="453" w:name="_Toc14000"/>
      <w:r>
        <w:rPr>
          <w:rFonts w:ascii="仿宋" w:hAnsi="仿宋" w:eastAsia="仿宋" w:cs="仿宋"/>
          <w:b/>
          <w:bCs/>
          <w:color w:val="auto"/>
          <w:sz w:val="24"/>
          <w:szCs w:val="24"/>
          <w:highlight w:val="none"/>
        </w:rPr>
        <w:t xml:space="preserve">5. </w:t>
      </w:r>
      <w:r>
        <w:rPr>
          <w:rFonts w:hint="eastAsia" w:ascii="仿宋" w:hAnsi="仿宋" w:eastAsia="仿宋" w:cs="仿宋"/>
          <w:b/>
          <w:bCs/>
          <w:color w:val="auto"/>
          <w:sz w:val="24"/>
          <w:szCs w:val="24"/>
          <w:highlight w:val="none"/>
        </w:rPr>
        <w:t>施工设计图纸</w:t>
      </w:r>
      <w:bookmarkEnd w:id="450"/>
      <w:bookmarkEnd w:id="451"/>
      <w:bookmarkEnd w:id="452"/>
      <w:bookmarkEnd w:id="453"/>
    </w:p>
    <w:p>
      <w:pPr>
        <w:shd w:val="clear" w:color="000000" w:fill="auto"/>
        <w:spacing w:line="360" w:lineRule="auto"/>
        <w:outlineLvl w:val="2"/>
        <w:rPr>
          <w:rFonts w:ascii="宋体" w:hAnsi="宋体" w:cs="宋体"/>
          <w:color w:val="auto"/>
          <w:sz w:val="24"/>
          <w:szCs w:val="24"/>
          <w:highlight w:val="none"/>
        </w:rPr>
      </w:pPr>
      <w:r>
        <w:rPr>
          <w:rFonts w:hint="eastAsia" w:ascii="宋体" w:hAnsi="宋体" w:cs="宋体"/>
          <w:color w:val="auto"/>
          <w:sz w:val="24"/>
          <w:szCs w:val="24"/>
          <w:highlight w:val="none"/>
        </w:rPr>
        <w:t xml:space="preserve">  </w:t>
      </w:r>
      <w:bookmarkStart w:id="454" w:name="_Toc15691"/>
      <w:bookmarkStart w:id="455" w:name="_Toc22416"/>
      <w:bookmarkStart w:id="456" w:name="_Toc16185"/>
      <w:r>
        <w:rPr>
          <w:rFonts w:hint="eastAsia" w:ascii="宋体" w:hAnsi="宋体" w:cs="宋体"/>
          <w:color w:val="auto"/>
          <w:sz w:val="24"/>
          <w:szCs w:val="24"/>
          <w:highlight w:val="none"/>
        </w:rPr>
        <w:t>5.1 发包人提供施工设计图纸</w:t>
      </w:r>
      <w:bookmarkEnd w:id="454"/>
      <w:bookmarkEnd w:id="455"/>
      <w:bookmarkEnd w:id="456"/>
    </w:p>
    <w:p>
      <w:pPr>
        <w:shd w:val="clear" w:color="000000" w:fill="auto"/>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  （1）提供的时间：</w:t>
      </w:r>
      <w:r>
        <w:rPr>
          <w:rFonts w:hint="eastAsia" w:ascii="宋体" w:hAnsi="宋体" w:cs="宋体"/>
          <w:color w:val="auto"/>
          <w:sz w:val="24"/>
          <w:szCs w:val="24"/>
          <w:highlight w:val="none"/>
          <w:u w:val="single"/>
        </w:rPr>
        <w:t xml:space="preserve">  </w:t>
      </w:r>
      <w:r>
        <w:rPr>
          <w:rFonts w:hint="eastAsia" w:ascii="宋体" w:hAnsi="宋体" w:cs="宋体"/>
          <w:color w:val="auto"/>
          <w:kern w:val="0"/>
          <w:sz w:val="24"/>
          <w:szCs w:val="24"/>
          <w:highlight w:val="none"/>
          <w:u w:val="single"/>
        </w:rPr>
        <w:t xml:space="preserve"> 开工前5天。</w:t>
      </w:r>
      <w:r>
        <w:rPr>
          <w:rFonts w:hint="eastAsia" w:ascii="宋体" w:hAnsi="宋体" w:cs="宋体"/>
          <w:color w:val="auto"/>
          <w:sz w:val="24"/>
          <w:szCs w:val="24"/>
          <w:highlight w:val="none"/>
          <w:u w:val="single"/>
        </w:rPr>
        <w:t xml:space="preserve">    </w:t>
      </w:r>
    </w:p>
    <w:p>
      <w:pPr>
        <w:shd w:val="clear" w:color="000000" w:fill="auto"/>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  （2）提供的数量：</w:t>
      </w:r>
      <w:r>
        <w:rPr>
          <w:rFonts w:hint="eastAsia" w:ascii="宋体" w:hAnsi="宋体" w:cs="宋体"/>
          <w:color w:val="auto"/>
          <w:sz w:val="24"/>
          <w:szCs w:val="24"/>
          <w:highlight w:val="none"/>
          <w:u w:val="single"/>
        </w:rPr>
        <w:t xml:space="preserve">  </w:t>
      </w:r>
      <w:r>
        <w:rPr>
          <w:rFonts w:hint="eastAsia" w:ascii="宋体" w:hAnsi="宋体" w:cs="宋体"/>
          <w:color w:val="auto"/>
          <w:kern w:val="0"/>
          <w:sz w:val="24"/>
          <w:szCs w:val="24"/>
          <w:highlight w:val="none"/>
          <w:u w:val="single"/>
        </w:rPr>
        <w:t xml:space="preserve">   3套（不含标准图集），承包人应负责竣工图的编制及验收，费用已包含在投标报价中，发包人不另行计量支付。</w:t>
      </w:r>
      <w:r>
        <w:rPr>
          <w:rFonts w:hint="eastAsia" w:ascii="宋体" w:hAnsi="宋体" w:cs="宋体"/>
          <w:color w:val="auto"/>
          <w:sz w:val="24"/>
          <w:szCs w:val="24"/>
          <w:highlight w:val="none"/>
          <w:u w:val="single"/>
        </w:rPr>
        <w:t xml:space="preserve">   </w:t>
      </w:r>
    </w:p>
    <w:p>
      <w:pPr>
        <w:shd w:val="clear" w:color="000000" w:fill="auto"/>
        <w:spacing w:line="360" w:lineRule="auto"/>
        <w:outlineLvl w:val="2"/>
        <w:rPr>
          <w:rFonts w:ascii="宋体" w:hAnsi="宋体" w:cs="宋体"/>
          <w:color w:val="auto"/>
          <w:sz w:val="24"/>
          <w:szCs w:val="24"/>
          <w:highlight w:val="none"/>
        </w:rPr>
      </w:pPr>
      <w:r>
        <w:rPr>
          <w:rFonts w:hint="eastAsia" w:ascii="宋体" w:hAnsi="宋体" w:cs="宋体"/>
          <w:color w:val="auto"/>
          <w:sz w:val="24"/>
          <w:szCs w:val="24"/>
          <w:highlight w:val="none"/>
        </w:rPr>
        <w:t xml:space="preserve">  </w:t>
      </w:r>
      <w:bookmarkStart w:id="457" w:name="_Toc28318"/>
      <w:bookmarkStart w:id="458" w:name="_Toc2713"/>
      <w:bookmarkStart w:id="459" w:name="_Toc25734"/>
      <w:r>
        <w:rPr>
          <w:rFonts w:hint="eastAsia" w:ascii="宋体" w:hAnsi="宋体" w:cs="宋体"/>
          <w:color w:val="auto"/>
          <w:sz w:val="24"/>
          <w:szCs w:val="24"/>
          <w:highlight w:val="none"/>
        </w:rPr>
        <w:t>5.2 承包人提供施工设计图纸</w:t>
      </w:r>
      <w:bookmarkEnd w:id="457"/>
      <w:bookmarkEnd w:id="458"/>
      <w:bookmarkEnd w:id="459"/>
    </w:p>
    <w:p>
      <w:pPr>
        <w:shd w:val="clear" w:color="000000" w:fill="auto"/>
        <w:spacing w:line="360" w:lineRule="auto"/>
        <w:ind w:firstLine="240" w:firstLineChars="100"/>
        <w:rPr>
          <w:rFonts w:ascii="宋体" w:hAnsi="宋体" w:cs="宋体"/>
          <w:color w:val="auto"/>
          <w:sz w:val="24"/>
          <w:szCs w:val="24"/>
          <w:highlight w:val="none"/>
        </w:rPr>
      </w:pPr>
      <w:r>
        <w:rPr>
          <w:rFonts w:hint="eastAsia" w:ascii="宋体" w:hAnsi="宋体" w:cs="宋体"/>
          <w:color w:val="auto"/>
          <w:sz w:val="24"/>
          <w:szCs w:val="24"/>
          <w:highlight w:val="none"/>
        </w:rPr>
        <w:t>（1）提供的时间：</w:t>
      </w:r>
      <w:r>
        <w:rPr>
          <w:rFonts w:hint="eastAsia" w:ascii="宋体" w:hAnsi="宋体" w:cs="宋体"/>
          <w:color w:val="auto"/>
          <w:sz w:val="24"/>
          <w:szCs w:val="24"/>
          <w:highlight w:val="none"/>
          <w:u w:val="single"/>
        </w:rPr>
        <w:t xml:space="preserve"> </w:t>
      </w:r>
      <w:r>
        <w:rPr>
          <w:rFonts w:hint="eastAsia" w:ascii="宋体" w:hAnsi="宋体" w:cs="宋体"/>
          <w:color w:val="auto"/>
          <w:kern w:val="0"/>
          <w:sz w:val="24"/>
          <w:szCs w:val="24"/>
          <w:highlight w:val="none"/>
          <w:u w:val="single"/>
        </w:rPr>
        <w:t xml:space="preserve">  按照监理工程师的要求。 </w:t>
      </w:r>
      <w:r>
        <w:rPr>
          <w:rFonts w:hint="eastAsia" w:ascii="宋体" w:hAnsi="宋体" w:cs="宋体"/>
          <w:color w:val="auto"/>
          <w:sz w:val="24"/>
          <w:szCs w:val="24"/>
          <w:highlight w:val="none"/>
          <w:u w:val="single"/>
        </w:rPr>
        <w:t xml:space="preserve">  </w:t>
      </w:r>
    </w:p>
    <w:p>
      <w:pPr>
        <w:shd w:val="clear" w:color="000000" w:fill="auto"/>
        <w:spacing w:line="360" w:lineRule="auto"/>
        <w:rPr>
          <w:rFonts w:ascii="宋体" w:hAnsi="宋体" w:cs="宋体"/>
          <w:color w:val="auto"/>
          <w:kern w:val="0"/>
          <w:sz w:val="24"/>
          <w:szCs w:val="24"/>
          <w:highlight w:val="none"/>
          <w:u w:val="single"/>
        </w:rPr>
      </w:pPr>
      <w:r>
        <w:rPr>
          <w:rFonts w:hint="eastAsia" w:ascii="宋体" w:hAnsi="宋体" w:cs="宋体"/>
          <w:color w:val="auto"/>
          <w:sz w:val="24"/>
          <w:szCs w:val="24"/>
          <w:highlight w:val="none"/>
        </w:rPr>
        <w:t xml:space="preserve">  （2）提供的数量：</w:t>
      </w:r>
      <w:r>
        <w:rPr>
          <w:rFonts w:hint="eastAsia" w:ascii="宋体" w:hAnsi="宋体" w:cs="宋体"/>
          <w:color w:val="auto"/>
          <w:sz w:val="24"/>
          <w:szCs w:val="24"/>
          <w:highlight w:val="none"/>
          <w:u w:val="single"/>
        </w:rPr>
        <w:t xml:space="preserve"> </w:t>
      </w:r>
      <w:r>
        <w:rPr>
          <w:rFonts w:hint="eastAsia" w:ascii="宋体" w:hAnsi="宋体" w:cs="宋体"/>
          <w:color w:val="auto"/>
          <w:kern w:val="0"/>
          <w:sz w:val="24"/>
          <w:szCs w:val="24"/>
          <w:highlight w:val="none"/>
          <w:u w:val="single"/>
        </w:rPr>
        <w:t xml:space="preserve">  按照监理工程师的要求。   </w:t>
      </w:r>
    </w:p>
    <w:p>
      <w:pPr>
        <w:shd w:val="clear" w:color="000000" w:fill="auto"/>
        <w:spacing w:line="360" w:lineRule="auto"/>
        <w:ind w:firstLine="240" w:firstLineChars="100"/>
        <w:rPr>
          <w:rFonts w:ascii="宋体" w:hAnsi="宋体" w:cs="宋体"/>
          <w:color w:val="auto"/>
          <w:sz w:val="24"/>
          <w:szCs w:val="24"/>
          <w:highlight w:val="none"/>
        </w:rPr>
      </w:pPr>
      <w:r>
        <w:rPr>
          <w:rFonts w:hint="eastAsia" w:ascii="宋体" w:hAnsi="宋体" w:cs="宋体"/>
          <w:color w:val="auto"/>
          <w:sz w:val="24"/>
          <w:szCs w:val="24"/>
          <w:highlight w:val="none"/>
        </w:rPr>
        <w:t>（3）监理工程师答复的时间：</w:t>
      </w:r>
      <w:r>
        <w:rPr>
          <w:rFonts w:hint="eastAsia" w:ascii="宋体" w:hAnsi="宋体" w:cs="宋体"/>
          <w:color w:val="auto"/>
          <w:sz w:val="24"/>
          <w:szCs w:val="24"/>
          <w:highlight w:val="none"/>
          <w:u w:val="single"/>
        </w:rPr>
        <w:t xml:space="preserve"> </w:t>
      </w:r>
      <w:r>
        <w:rPr>
          <w:rFonts w:hint="eastAsia" w:ascii="宋体" w:hAnsi="宋体" w:cs="宋体"/>
          <w:color w:val="auto"/>
          <w:kern w:val="0"/>
          <w:sz w:val="24"/>
          <w:szCs w:val="24"/>
          <w:highlight w:val="none"/>
          <w:u w:val="single"/>
        </w:rPr>
        <w:t xml:space="preserve">  承包人还应提供必要的计算书、技术资料等供监理工程师批准，承包人提供的施工图纸应按监理工程师规定的格式和图幅绘制，监理工程师在收到图纸及相关技术资料后的14天内应予批准或提出修改要求，承包人按监理工程师提出的要求作出修改，重新向监理工程师提交，监理工程师在7天内批准或提出进一步修改意见。</w:t>
      </w:r>
    </w:p>
    <w:p>
      <w:pPr>
        <w:pStyle w:val="4"/>
        <w:numPr>
          <w:ilvl w:val="0"/>
          <w:numId w:val="0"/>
        </w:numPr>
        <w:shd w:val="clear" w:color="000000" w:fill="auto"/>
        <w:tabs>
          <w:tab w:val="left" w:pos="420"/>
        </w:tabs>
        <w:spacing w:before="0" w:line="360" w:lineRule="auto"/>
        <w:rPr>
          <w:rFonts w:ascii="仿宋" w:hAnsi="仿宋" w:eastAsia="仿宋" w:cs="Times New Roman"/>
          <w:b/>
          <w:bCs/>
          <w:color w:val="auto"/>
          <w:sz w:val="24"/>
          <w:szCs w:val="24"/>
          <w:highlight w:val="none"/>
        </w:rPr>
      </w:pPr>
      <w:bookmarkStart w:id="460" w:name="_Toc2553"/>
      <w:bookmarkStart w:id="461" w:name="_Toc4964"/>
      <w:bookmarkStart w:id="462" w:name="_Toc469384086"/>
      <w:bookmarkStart w:id="463" w:name="_Toc10624930"/>
      <w:r>
        <w:rPr>
          <w:rFonts w:ascii="仿宋" w:hAnsi="仿宋" w:eastAsia="仿宋" w:cs="仿宋"/>
          <w:b/>
          <w:bCs/>
          <w:color w:val="auto"/>
          <w:sz w:val="24"/>
          <w:szCs w:val="24"/>
          <w:highlight w:val="none"/>
        </w:rPr>
        <w:t xml:space="preserve">6. </w:t>
      </w:r>
      <w:r>
        <w:rPr>
          <w:rFonts w:hint="eastAsia" w:ascii="仿宋" w:hAnsi="仿宋" w:eastAsia="仿宋" w:cs="仿宋"/>
          <w:b/>
          <w:bCs/>
          <w:color w:val="auto"/>
          <w:sz w:val="24"/>
          <w:szCs w:val="24"/>
          <w:highlight w:val="none"/>
        </w:rPr>
        <w:t>通信联络</w:t>
      </w:r>
      <w:bookmarkEnd w:id="460"/>
      <w:bookmarkEnd w:id="461"/>
      <w:bookmarkEnd w:id="462"/>
      <w:bookmarkEnd w:id="463"/>
    </w:p>
    <w:p>
      <w:pPr>
        <w:shd w:val="clear" w:color="000000" w:fill="auto"/>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  6.2各方通讯地址、收件人及其他送达方式</w:t>
      </w:r>
    </w:p>
    <w:p>
      <w:pPr>
        <w:numPr>
          <w:ilvl w:val="0"/>
          <w:numId w:val="27"/>
        </w:numPr>
        <w:shd w:val="clear" w:color="000000" w:fill="auto"/>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各方通讯地址和收件人：</w:t>
      </w:r>
    </w:p>
    <w:p>
      <w:pPr>
        <w:shd w:val="clear" w:color="000000" w:fill="auto"/>
        <w:spacing w:line="360" w:lineRule="auto"/>
        <w:ind w:firstLine="240" w:firstLineChars="100"/>
        <w:rPr>
          <w:rFonts w:ascii="宋体" w:hAnsi="宋体" w:cs="宋体"/>
          <w:color w:val="auto"/>
          <w:sz w:val="24"/>
          <w:szCs w:val="24"/>
          <w:highlight w:val="none"/>
        </w:rPr>
      </w:pPr>
      <w:r>
        <w:rPr>
          <w:rFonts w:hint="eastAsia" w:ascii="宋体" w:hAnsi="宋体" w:cs="宋体"/>
          <w:color w:val="auto"/>
          <w:sz w:val="24"/>
          <w:szCs w:val="24"/>
          <w:highlight w:val="none"/>
        </w:rPr>
        <w:t>发包人：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广州番禺职业技术学院</w:t>
      </w:r>
      <w:r>
        <w:rPr>
          <w:rFonts w:hint="eastAsia" w:ascii="宋体" w:hAnsi="宋体" w:cs="宋体"/>
          <w:color w:val="auto"/>
          <w:sz w:val="24"/>
          <w:szCs w:val="24"/>
          <w:highlight w:val="none"/>
          <w:u w:val="single"/>
        </w:rPr>
        <w:t xml:space="preserve">   </w:t>
      </w:r>
    </w:p>
    <w:p>
      <w:pPr>
        <w:shd w:val="clear" w:color="000000" w:fill="auto"/>
        <w:spacing w:line="360" w:lineRule="auto"/>
        <w:ind w:firstLine="240" w:firstLineChars="100"/>
        <w:rPr>
          <w:rFonts w:ascii="宋体" w:hAnsi="宋体" w:cs="宋体"/>
          <w:color w:val="auto"/>
          <w:sz w:val="24"/>
          <w:szCs w:val="24"/>
          <w:highlight w:val="none"/>
        </w:rPr>
      </w:pPr>
      <w:r>
        <w:rPr>
          <w:rFonts w:hint="eastAsia" w:ascii="宋体" w:hAnsi="宋体" w:cs="宋体"/>
          <w:color w:val="auto"/>
          <w:sz w:val="24"/>
          <w:szCs w:val="24"/>
          <w:highlight w:val="none"/>
        </w:rPr>
        <w:t>通讯地址：</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广州市番禺区市良路1342号</w:t>
      </w:r>
      <w:r>
        <w:rPr>
          <w:rFonts w:hint="eastAsia" w:ascii="宋体" w:hAnsi="宋体" w:cs="宋体"/>
          <w:color w:val="auto"/>
          <w:sz w:val="24"/>
          <w:szCs w:val="24"/>
          <w:highlight w:val="none"/>
        </w:rPr>
        <w:t xml:space="preserve">   收件人：</w:t>
      </w:r>
      <w:r>
        <w:rPr>
          <w:rFonts w:hint="eastAsia" w:ascii="宋体" w:hAnsi="宋体" w:cs="宋体"/>
          <w:color w:val="auto"/>
          <w:sz w:val="24"/>
          <w:szCs w:val="24"/>
          <w:highlight w:val="none"/>
          <w:u w:val="single"/>
        </w:rPr>
        <w:t xml:space="preserve">  </w:t>
      </w:r>
      <w:r>
        <w:rPr>
          <w:rFonts w:ascii="宋体" w:hAnsi="宋体" w:cs="宋体"/>
          <w:color w:val="auto"/>
          <w:sz w:val="24"/>
          <w:szCs w:val="24"/>
          <w:highlight w:val="none"/>
          <w:u w:val="single"/>
        </w:rPr>
        <w:t>/</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邮政编码：</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p>
    <w:p>
      <w:pPr>
        <w:shd w:val="clear" w:color="000000" w:fill="auto"/>
        <w:spacing w:line="360" w:lineRule="auto"/>
        <w:ind w:firstLine="240" w:firstLineChars="100"/>
        <w:rPr>
          <w:rFonts w:ascii="宋体" w:hAnsi="宋体" w:cs="宋体"/>
          <w:color w:val="auto"/>
          <w:sz w:val="24"/>
          <w:szCs w:val="24"/>
          <w:highlight w:val="none"/>
        </w:rPr>
      </w:pPr>
      <w:r>
        <w:rPr>
          <w:rFonts w:hint="eastAsia" w:ascii="宋体" w:hAnsi="宋体" w:cs="宋体"/>
          <w:color w:val="auto"/>
          <w:sz w:val="24"/>
          <w:szCs w:val="24"/>
          <w:highlight w:val="none"/>
        </w:rPr>
        <w:t xml:space="preserve">承包人：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p>
    <w:p>
      <w:pPr>
        <w:shd w:val="clear" w:color="000000" w:fill="auto"/>
        <w:spacing w:line="360" w:lineRule="auto"/>
        <w:ind w:firstLine="240" w:firstLineChars="100"/>
        <w:rPr>
          <w:rFonts w:ascii="宋体" w:hAnsi="宋体" w:cs="宋体"/>
          <w:color w:val="auto"/>
          <w:sz w:val="24"/>
          <w:szCs w:val="24"/>
          <w:highlight w:val="none"/>
          <w:u w:val="single"/>
        </w:rPr>
      </w:pPr>
      <w:r>
        <w:rPr>
          <w:rFonts w:hint="eastAsia" w:ascii="宋体" w:hAnsi="宋体" w:cs="宋体"/>
          <w:color w:val="auto"/>
          <w:sz w:val="24"/>
          <w:szCs w:val="24"/>
          <w:highlight w:val="none"/>
        </w:rPr>
        <w:t>通讯地址：</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收件人：</w:t>
      </w:r>
      <w:r>
        <w:rPr>
          <w:rFonts w:hint="eastAsia" w:ascii="宋体" w:hAnsi="宋体" w:cs="宋体"/>
          <w:color w:val="auto"/>
          <w:sz w:val="24"/>
          <w:szCs w:val="24"/>
          <w:highlight w:val="none"/>
          <w:u w:val="single"/>
        </w:rPr>
        <w:t xml:space="preserve">   </w:t>
      </w:r>
      <w:r>
        <w:rPr>
          <w:rFonts w:ascii="宋体" w:hAnsi="宋体" w:cs="宋体"/>
          <w:color w:val="auto"/>
          <w:sz w:val="24"/>
          <w:szCs w:val="24"/>
          <w:highlight w:val="none"/>
          <w:u w:val="single"/>
        </w:rPr>
        <w:t>/</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邮政编码：</w:t>
      </w:r>
      <w:r>
        <w:rPr>
          <w:rFonts w:hint="eastAsia" w:ascii="宋体" w:hAnsi="宋体" w:cs="宋体"/>
          <w:color w:val="auto"/>
          <w:sz w:val="24"/>
          <w:szCs w:val="24"/>
          <w:highlight w:val="none"/>
          <w:u w:val="single"/>
        </w:rPr>
        <w:t xml:space="preserve">  </w:t>
      </w:r>
      <w:r>
        <w:rPr>
          <w:rFonts w:ascii="宋体" w:hAnsi="宋体" w:cs="宋体"/>
          <w:color w:val="auto"/>
          <w:sz w:val="24"/>
          <w:szCs w:val="24"/>
          <w:highlight w:val="none"/>
          <w:u w:val="single"/>
        </w:rPr>
        <w:t>/</w:t>
      </w:r>
      <w:r>
        <w:rPr>
          <w:rFonts w:hint="eastAsia" w:ascii="宋体" w:hAnsi="宋体" w:cs="宋体"/>
          <w:color w:val="auto"/>
          <w:sz w:val="24"/>
          <w:szCs w:val="24"/>
          <w:highlight w:val="none"/>
          <w:u w:val="single"/>
        </w:rPr>
        <w:t xml:space="preserve">                 </w:t>
      </w:r>
    </w:p>
    <w:p>
      <w:pPr>
        <w:shd w:val="clear" w:color="000000" w:fill="auto"/>
        <w:spacing w:line="360" w:lineRule="auto"/>
        <w:ind w:firstLine="240" w:firstLineChars="100"/>
        <w:rPr>
          <w:rFonts w:ascii="宋体" w:hAnsi="宋体" w:cs="宋体"/>
          <w:color w:val="auto"/>
          <w:sz w:val="24"/>
          <w:szCs w:val="24"/>
          <w:highlight w:val="none"/>
        </w:rPr>
      </w:pPr>
      <w:r>
        <w:rPr>
          <w:rFonts w:hint="eastAsia" w:ascii="宋体" w:hAnsi="宋体" w:cs="宋体"/>
          <w:color w:val="auto"/>
          <w:sz w:val="24"/>
          <w:szCs w:val="24"/>
          <w:highlight w:val="none"/>
        </w:rPr>
        <w:t>监理人：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p>
    <w:p>
      <w:pPr>
        <w:shd w:val="clear" w:color="000000" w:fill="auto"/>
        <w:spacing w:line="360" w:lineRule="auto"/>
        <w:ind w:firstLine="240" w:firstLineChars="100"/>
        <w:rPr>
          <w:rFonts w:ascii="宋体" w:hAnsi="宋体" w:cs="宋体"/>
          <w:color w:val="auto"/>
          <w:sz w:val="24"/>
          <w:szCs w:val="24"/>
          <w:highlight w:val="none"/>
          <w:u w:val="single"/>
        </w:rPr>
      </w:pPr>
      <w:r>
        <w:rPr>
          <w:rFonts w:hint="eastAsia" w:ascii="宋体" w:hAnsi="宋体" w:cs="宋体"/>
          <w:color w:val="auto"/>
          <w:sz w:val="24"/>
          <w:szCs w:val="24"/>
          <w:highlight w:val="none"/>
        </w:rPr>
        <w:t>通讯地址：</w:t>
      </w:r>
      <w:r>
        <w:rPr>
          <w:rFonts w:hint="eastAsia" w:ascii="宋体" w:hAnsi="宋体" w:cs="Times New Roman"/>
          <w:color w:val="auto"/>
          <w:highlight w:val="none"/>
          <w:u w:val="single"/>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收件人：</w:t>
      </w:r>
      <w:r>
        <w:rPr>
          <w:rFonts w:hint="eastAsia" w:ascii="宋体" w:hAnsi="宋体" w:cs="宋体"/>
          <w:color w:val="auto"/>
          <w:sz w:val="24"/>
          <w:szCs w:val="24"/>
          <w:highlight w:val="none"/>
          <w:u w:val="single"/>
        </w:rPr>
        <w:t xml:space="preserve">  </w:t>
      </w:r>
      <w:r>
        <w:rPr>
          <w:rFonts w:ascii="宋体" w:hAnsi="宋体" w:cs="宋体"/>
          <w:color w:val="auto"/>
          <w:sz w:val="24"/>
          <w:szCs w:val="24"/>
          <w:highlight w:val="none"/>
          <w:u w:val="single"/>
        </w:rPr>
        <w:t>/</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邮政编码：</w:t>
      </w:r>
      <w:r>
        <w:rPr>
          <w:rFonts w:hint="eastAsia" w:ascii="宋体" w:hAnsi="宋体" w:cs="宋体"/>
          <w:color w:val="auto"/>
          <w:sz w:val="24"/>
          <w:szCs w:val="24"/>
          <w:highlight w:val="none"/>
          <w:u w:val="single"/>
        </w:rPr>
        <w:t xml:space="preserve">  </w:t>
      </w:r>
      <w:r>
        <w:rPr>
          <w:rFonts w:ascii="宋体" w:hAnsi="宋体" w:cs="宋体"/>
          <w:color w:val="auto"/>
          <w:sz w:val="24"/>
          <w:szCs w:val="24"/>
          <w:highlight w:val="none"/>
          <w:u w:val="single"/>
        </w:rPr>
        <w:t>/</w:t>
      </w:r>
      <w:r>
        <w:rPr>
          <w:rFonts w:hint="eastAsia" w:ascii="宋体" w:hAnsi="宋体" w:cs="宋体"/>
          <w:color w:val="auto"/>
          <w:sz w:val="24"/>
          <w:szCs w:val="24"/>
          <w:highlight w:val="none"/>
          <w:u w:val="single"/>
        </w:rPr>
        <w:t xml:space="preserve">               </w:t>
      </w:r>
    </w:p>
    <w:p>
      <w:pPr>
        <w:shd w:val="clear" w:color="000000" w:fill="auto"/>
        <w:spacing w:line="360" w:lineRule="auto"/>
        <w:ind w:firstLine="240" w:firstLineChars="100"/>
        <w:rPr>
          <w:rFonts w:ascii="宋体" w:hAnsi="宋体" w:cs="宋体"/>
          <w:color w:val="auto"/>
          <w:sz w:val="24"/>
          <w:szCs w:val="24"/>
          <w:highlight w:val="none"/>
        </w:rPr>
      </w:pPr>
      <w:r>
        <w:rPr>
          <w:rFonts w:hint="eastAsia" w:ascii="宋体" w:hAnsi="宋体" w:cs="宋体"/>
          <w:color w:val="auto"/>
          <w:sz w:val="24"/>
          <w:szCs w:val="24"/>
          <w:highlight w:val="none"/>
        </w:rPr>
        <w:t xml:space="preserve">工程造价咨询人（如有）：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p>
    <w:p>
      <w:pPr>
        <w:shd w:val="clear" w:color="000000" w:fill="auto"/>
        <w:spacing w:line="360" w:lineRule="auto"/>
        <w:ind w:firstLine="240" w:firstLineChars="100"/>
        <w:rPr>
          <w:rFonts w:ascii="宋体" w:hAnsi="宋体" w:cs="宋体"/>
          <w:color w:val="auto"/>
          <w:sz w:val="24"/>
          <w:szCs w:val="24"/>
          <w:highlight w:val="none"/>
          <w:u w:val="single"/>
        </w:rPr>
      </w:pPr>
      <w:r>
        <w:rPr>
          <w:rFonts w:hint="eastAsia" w:ascii="宋体" w:hAnsi="宋体" w:cs="宋体"/>
          <w:color w:val="auto"/>
          <w:sz w:val="24"/>
          <w:szCs w:val="24"/>
          <w:highlight w:val="none"/>
        </w:rPr>
        <w:t>通讯地址：</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收件人：</w:t>
      </w:r>
      <w:r>
        <w:rPr>
          <w:rFonts w:hint="eastAsia" w:ascii="宋体" w:hAnsi="宋体" w:cs="宋体"/>
          <w:color w:val="auto"/>
          <w:sz w:val="24"/>
          <w:szCs w:val="24"/>
          <w:highlight w:val="none"/>
          <w:u w:val="single"/>
        </w:rPr>
        <w:t xml:space="preserve">    </w:t>
      </w:r>
      <w:r>
        <w:rPr>
          <w:rFonts w:ascii="宋体" w:hAnsi="宋体" w:cs="宋体"/>
          <w:color w:val="auto"/>
          <w:sz w:val="24"/>
          <w:szCs w:val="24"/>
          <w:highlight w:val="none"/>
          <w:u w:val="single"/>
        </w:rPr>
        <w:t>/</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邮政编码：</w:t>
      </w:r>
      <w:r>
        <w:rPr>
          <w:rFonts w:hint="eastAsia" w:ascii="宋体" w:hAnsi="宋体" w:cs="宋体"/>
          <w:color w:val="auto"/>
          <w:sz w:val="24"/>
          <w:szCs w:val="24"/>
          <w:highlight w:val="none"/>
          <w:u w:val="single"/>
        </w:rPr>
        <w:t xml:space="preserve">  </w:t>
      </w:r>
      <w:r>
        <w:rPr>
          <w:rFonts w:ascii="宋体" w:hAnsi="宋体" w:cs="宋体"/>
          <w:color w:val="auto"/>
          <w:sz w:val="24"/>
          <w:szCs w:val="24"/>
          <w:highlight w:val="none"/>
          <w:u w:val="single"/>
        </w:rPr>
        <w:t>/</w:t>
      </w:r>
      <w:r>
        <w:rPr>
          <w:rFonts w:hint="eastAsia" w:ascii="宋体" w:hAnsi="宋体" w:cs="宋体"/>
          <w:color w:val="auto"/>
          <w:sz w:val="24"/>
          <w:szCs w:val="24"/>
          <w:highlight w:val="none"/>
          <w:u w:val="single"/>
        </w:rPr>
        <w:t xml:space="preserve">                 </w:t>
      </w:r>
    </w:p>
    <w:p>
      <w:pPr>
        <w:numPr>
          <w:ilvl w:val="0"/>
          <w:numId w:val="27"/>
        </w:numPr>
        <w:shd w:val="clear" w:color="000000" w:fill="auto"/>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视为送达的其他方式：</w:t>
      </w:r>
      <w:r>
        <w:rPr>
          <w:rFonts w:hint="eastAsia" w:ascii="宋体" w:hAnsi="宋体" w:cs="宋体"/>
          <w:color w:val="auto"/>
          <w:sz w:val="24"/>
          <w:szCs w:val="24"/>
          <w:highlight w:val="none"/>
          <w:u w:val="single"/>
        </w:rPr>
        <w:t xml:space="preserve"> </w:t>
      </w:r>
      <w:r>
        <w:rPr>
          <w:rFonts w:hint="eastAsia" w:ascii="宋体" w:hAnsi="宋体" w:cs="宋体"/>
          <w:color w:val="auto"/>
          <w:kern w:val="0"/>
          <w:sz w:val="24"/>
          <w:szCs w:val="24"/>
          <w:highlight w:val="none"/>
          <w:u w:val="single"/>
        </w:rPr>
        <w:t xml:space="preserve">  无 </w:t>
      </w:r>
      <w:r>
        <w:rPr>
          <w:rFonts w:hint="eastAsia" w:ascii="宋体" w:hAnsi="宋体" w:cs="宋体"/>
          <w:color w:val="auto"/>
          <w:sz w:val="24"/>
          <w:szCs w:val="24"/>
          <w:highlight w:val="none"/>
          <w:u w:val="single"/>
        </w:rPr>
        <w:t xml:space="preserve">  </w:t>
      </w:r>
    </w:p>
    <w:p>
      <w:pPr>
        <w:pStyle w:val="4"/>
        <w:numPr>
          <w:ilvl w:val="0"/>
          <w:numId w:val="0"/>
        </w:numPr>
        <w:shd w:val="clear" w:color="000000" w:fill="auto"/>
        <w:tabs>
          <w:tab w:val="left" w:pos="420"/>
        </w:tabs>
        <w:spacing w:before="0" w:line="360" w:lineRule="auto"/>
        <w:rPr>
          <w:rFonts w:ascii="仿宋" w:hAnsi="仿宋" w:eastAsia="仿宋" w:cs="Times New Roman"/>
          <w:b/>
          <w:bCs/>
          <w:color w:val="auto"/>
          <w:sz w:val="24"/>
          <w:szCs w:val="24"/>
          <w:highlight w:val="none"/>
        </w:rPr>
      </w:pPr>
      <w:bookmarkStart w:id="464" w:name="_Toc10624931"/>
      <w:bookmarkStart w:id="465" w:name="_Toc469384087"/>
      <w:bookmarkStart w:id="466" w:name="_Toc18335"/>
      <w:bookmarkStart w:id="467" w:name="_Toc13905"/>
      <w:r>
        <w:rPr>
          <w:rFonts w:ascii="仿宋" w:hAnsi="仿宋" w:eastAsia="仿宋" w:cs="仿宋"/>
          <w:b/>
          <w:bCs/>
          <w:color w:val="auto"/>
          <w:sz w:val="24"/>
          <w:szCs w:val="24"/>
          <w:highlight w:val="none"/>
        </w:rPr>
        <w:t xml:space="preserve">7. </w:t>
      </w:r>
      <w:r>
        <w:rPr>
          <w:rFonts w:hint="eastAsia" w:ascii="仿宋" w:hAnsi="仿宋" w:eastAsia="仿宋" w:cs="仿宋"/>
          <w:b/>
          <w:bCs/>
          <w:color w:val="auto"/>
          <w:sz w:val="24"/>
          <w:szCs w:val="24"/>
          <w:highlight w:val="none"/>
        </w:rPr>
        <w:t>工程分包</w:t>
      </w:r>
      <w:bookmarkEnd w:id="464"/>
      <w:bookmarkEnd w:id="465"/>
      <w:bookmarkEnd w:id="466"/>
      <w:bookmarkEnd w:id="467"/>
    </w:p>
    <w:p>
      <w:pPr>
        <w:shd w:val="clear" w:color="000000" w:fill="auto"/>
        <w:spacing w:line="360" w:lineRule="auto"/>
        <w:ind w:left="119"/>
        <w:rPr>
          <w:rFonts w:ascii="宋体" w:hAnsi="宋体" w:cs="宋体"/>
          <w:color w:val="auto"/>
          <w:sz w:val="24"/>
          <w:szCs w:val="24"/>
          <w:highlight w:val="none"/>
          <w:u w:val="single"/>
        </w:rPr>
      </w:pPr>
      <w:r>
        <w:rPr>
          <w:rFonts w:hint="eastAsia" w:ascii="宋体" w:hAnsi="宋体" w:cs="宋体"/>
          <w:color w:val="auto"/>
          <w:sz w:val="24"/>
          <w:szCs w:val="24"/>
          <w:highlight w:val="none"/>
        </w:rPr>
        <w:t xml:space="preserve"> 7.2 指定分包工程名称：</w:t>
      </w:r>
      <w:r>
        <w:rPr>
          <w:rFonts w:hint="eastAsia" w:ascii="宋体" w:hAnsi="宋体" w:cs="宋体"/>
          <w:color w:val="auto"/>
          <w:sz w:val="24"/>
          <w:szCs w:val="24"/>
          <w:highlight w:val="none"/>
          <w:u w:val="single"/>
        </w:rPr>
        <w:t xml:space="preserve"> </w:t>
      </w:r>
      <w:r>
        <w:rPr>
          <w:rFonts w:hint="eastAsia" w:ascii="宋体" w:hAnsi="宋体" w:cs="宋体"/>
          <w:color w:val="auto"/>
          <w:kern w:val="0"/>
          <w:sz w:val="24"/>
          <w:szCs w:val="24"/>
          <w:highlight w:val="none"/>
          <w:u w:val="single"/>
        </w:rPr>
        <w:t xml:space="preserve">  无 </w:t>
      </w:r>
      <w:r>
        <w:rPr>
          <w:rFonts w:hint="eastAsia" w:ascii="宋体" w:hAnsi="宋体" w:cs="宋体"/>
          <w:color w:val="auto"/>
          <w:sz w:val="24"/>
          <w:szCs w:val="24"/>
          <w:highlight w:val="none"/>
          <w:u w:val="single"/>
        </w:rPr>
        <w:t xml:space="preserve">  </w:t>
      </w:r>
    </w:p>
    <w:p>
      <w:pPr>
        <w:shd w:val="clear" w:color="000000" w:fill="auto"/>
        <w:spacing w:line="360" w:lineRule="auto"/>
        <w:ind w:left="119"/>
        <w:rPr>
          <w:rFonts w:ascii="宋体" w:hAnsi="宋体" w:cs="宋体"/>
          <w:color w:val="auto"/>
          <w:sz w:val="24"/>
          <w:szCs w:val="24"/>
          <w:highlight w:val="none"/>
          <w:u w:val="single"/>
        </w:rPr>
      </w:pPr>
      <w:r>
        <w:rPr>
          <w:rFonts w:hint="eastAsia" w:ascii="宋体" w:hAnsi="宋体" w:cs="宋体"/>
          <w:color w:val="auto"/>
          <w:sz w:val="24"/>
          <w:szCs w:val="24"/>
          <w:highlight w:val="none"/>
        </w:rPr>
        <w:t>7.4 分包工程款的支付方式：</w:t>
      </w:r>
      <w:r>
        <w:rPr>
          <w:rFonts w:hint="eastAsia" w:ascii="宋体" w:hAnsi="宋体" w:cs="宋体"/>
          <w:color w:val="auto"/>
          <w:sz w:val="24"/>
          <w:szCs w:val="24"/>
          <w:highlight w:val="none"/>
          <w:u w:val="single"/>
        </w:rPr>
        <w:t xml:space="preserve"> </w:t>
      </w:r>
      <w:r>
        <w:rPr>
          <w:rFonts w:hint="eastAsia" w:ascii="宋体" w:hAnsi="宋体" w:cs="宋体"/>
          <w:color w:val="auto"/>
          <w:kern w:val="0"/>
          <w:sz w:val="24"/>
          <w:szCs w:val="24"/>
          <w:highlight w:val="none"/>
          <w:u w:val="single"/>
        </w:rPr>
        <w:t xml:space="preserve">  无 </w:t>
      </w:r>
      <w:r>
        <w:rPr>
          <w:rFonts w:hint="eastAsia" w:ascii="宋体" w:hAnsi="宋体" w:cs="宋体"/>
          <w:color w:val="auto"/>
          <w:sz w:val="24"/>
          <w:szCs w:val="24"/>
          <w:highlight w:val="none"/>
          <w:u w:val="single"/>
        </w:rPr>
        <w:t xml:space="preserve">  </w:t>
      </w:r>
    </w:p>
    <w:p>
      <w:pPr>
        <w:shd w:val="clear" w:color="000000" w:fill="auto"/>
        <w:spacing w:line="360" w:lineRule="auto"/>
        <w:ind w:firstLine="120" w:firstLineChars="50"/>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u w:val="single"/>
        </w:rPr>
        <w:t>将8.1款修改为如下内容：</w:t>
      </w:r>
    </w:p>
    <w:p>
      <w:pPr>
        <w:pStyle w:val="2"/>
        <w:spacing w:line="360" w:lineRule="auto"/>
        <w:ind w:firstLine="480" w:firstLineChars="200"/>
        <w:rPr>
          <w:rFonts w:hAnsi="宋体"/>
          <w:color w:val="auto"/>
          <w:sz w:val="24"/>
          <w:szCs w:val="24"/>
          <w:highlight w:val="none"/>
          <w:u w:val="single"/>
        </w:rPr>
      </w:pPr>
      <w:r>
        <w:rPr>
          <w:rFonts w:hint="eastAsia" w:hAnsi="宋体"/>
          <w:color w:val="auto"/>
          <w:sz w:val="24"/>
          <w:szCs w:val="24"/>
          <w:highlight w:val="none"/>
          <w:u w:val="single"/>
        </w:rPr>
        <w:t>发包人应按照第19.2款第（4）点规定向承包人提供有关资料（如有）。此资料作为招标文件的组成部分，与招标文件一并发布。发包人对其提供的上述资料的真实性、准确性和完整性负责。因发包人提供上述资料错误导致承包人发生损失的，发包人应承担由此增加的费用和（或）延误的工期，并向承包人支付合理成本费用。</w:t>
      </w:r>
    </w:p>
    <w:p>
      <w:pPr>
        <w:pStyle w:val="2"/>
        <w:spacing w:line="360" w:lineRule="auto"/>
        <w:ind w:firstLine="480" w:firstLineChars="200"/>
        <w:rPr>
          <w:rFonts w:hAnsi="宋体"/>
          <w:color w:val="auto"/>
          <w:sz w:val="24"/>
          <w:szCs w:val="24"/>
          <w:highlight w:val="none"/>
          <w:u w:val="single"/>
        </w:rPr>
      </w:pPr>
      <w:r>
        <w:rPr>
          <w:rFonts w:hint="eastAsia" w:hAnsi="宋体"/>
          <w:color w:val="auto"/>
          <w:sz w:val="24"/>
          <w:szCs w:val="24"/>
          <w:highlight w:val="none"/>
          <w:u w:val="single"/>
        </w:rPr>
        <w:t>将通用条款中所有的“合理利润”均修改为“合理成本费用”。</w:t>
      </w:r>
    </w:p>
    <w:p>
      <w:pPr>
        <w:pStyle w:val="4"/>
        <w:numPr>
          <w:ilvl w:val="0"/>
          <w:numId w:val="0"/>
        </w:numPr>
        <w:shd w:val="clear" w:color="000000" w:fill="auto"/>
        <w:tabs>
          <w:tab w:val="left" w:pos="420"/>
        </w:tabs>
        <w:spacing w:before="0" w:line="360" w:lineRule="auto"/>
        <w:rPr>
          <w:rFonts w:ascii="仿宋" w:hAnsi="仿宋" w:eastAsia="仿宋" w:cs="仿宋"/>
          <w:color w:val="auto"/>
          <w:sz w:val="24"/>
          <w:szCs w:val="24"/>
          <w:highlight w:val="none"/>
        </w:rPr>
      </w:pPr>
      <w:bookmarkStart w:id="468" w:name="_Toc5666"/>
      <w:bookmarkStart w:id="469" w:name="_Toc4508"/>
      <w:bookmarkStart w:id="470" w:name="_Toc469384088"/>
      <w:bookmarkStart w:id="471" w:name="_Toc10624932"/>
      <w:r>
        <w:rPr>
          <w:rFonts w:ascii="仿宋" w:hAnsi="仿宋" w:eastAsia="仿宋" w:cs="仿宋"/>
          <w:b/>
          <w:bCs/>
          <w:color w:val="auto"/>
          <w:sz w:val="24"/>
          <w:szCs w:val="24"/>
          <w:highlight w:val="none"/>
        </w:rPr>
        <w:t xml:space="preserve">13. </w:t>
      </w:r>
      <w:r>
        <w:rPr>
          <w:rFonts w:hint="eastAsia" w:ascii="仿宋" w:hAnsi="仿宋" w:eastAsia="仿宋" w:cs="仿宋"/>
          <w:b/>
          <w:bCs/>
          <w:color w:val="auto"/>
          <w:sz w:val="24"/>
          <w:szCs w:val="24"/>
          <w:highlight w:val="none"/>
        </w:rPr>
        <w:t>交通运输</w:t>
      </w:r>
      <w:bookmarkEnd w:id="468"/>
      <w:bookmarkEnd w:id="469"/>
      <w:bookmarkEnd w:id="470"/>
      <w:bookmarkEnd w:id="471"/>
      <w:r>
        <w:rPr>
          <w:rFonts w:ascii="仿宋" w:hAnsi="仿宋" w:eastAsia="仿宋" w:cs="仿宋"/>
          <w:color w:val="auto"/>
          <w:sz w:val="24"/>
          <w:szCs w:val="24"/>
          <w:highlight w:val="none"/>
        </w:rPr>
        <w:t xml:space="preserve"> </w:t>
      </w:r>
    </w:p>
    <w:p>
      <w:pPr>
        <w:shd w:val="clear" w:color="000000" w:fill="auto"/>
        <w:spacing w:line="360" w:lineRule="auto"/>
        <w:ind w:left="119"/>
        <w:rPr>
          <w:rFonts w:ascii="宋体" w:hAnsi="宋体" w:cs="宋体"/>
          <w:color w:val="auto"/>
          <w:sz w:val="24"/>
          <w:szCs w:val="24"/>
          <w:highlight w:val="none"/>
          <w:u w:val="single"/>
        </w:rPr>
      </w:pPr>
      <w:r>
        <w:rPr>
          <w:rFonts w:hint="eastAsia" w:ascii="宋体" w:hAnsi="宋体" w:cs="宋体"/>
          <w:color w:val="auto"/>
          <w:sz w:val="24"/>
          <w:szCs w:val="24"/>
          <w:highlight w:val="none"/>
        </w:rPr>
        <w:t>13.1 办理道路通行权和修建场外设施的费用：</w:t>
      </w:r>
      <w:r>
        <w:rPr>
          <w:rFonts w:hint="eastAsia" w:ascii="宋体" w:hAnsi="宋体"/>
          <w:color w:val="auto"/>
          <w:sz w:val="24"/>
          <w:highlight w:val="none"/>
          <w:u w:val="single"/>
        </w:rPr>
        <w:t xml:space="preserve">承包人自行解决并承担相应费用    </w:t>
      </w:r>
    </w:p>
    <w:p>
      <w:pPr>
        <w:shd w:val="clear" w:color="000000" w:fill="auto"/>
        <w:spacing w:line="360" w:lineRule="auto"/>
        <w:ind w:left="119"/>
        <w:rPr>
          <w:rFonts w:ascii="宋体" w:hAnsi="宋体" w:cs="宋体"/>
          <w:color w:val="auto"/>
          <w:sz w:val="24"/>
          <w:szCs w:val="24"/>
          <w:highlight w:val="none"/>
          <w:u w:val="single"/>
        </w:rPr>
      </w:pPr>
      <w:r>
        <w:rPr>
          <w:rFonts w:hint="eastAsia" w:ascii="宋体" w:hAnsi="宋体" w:cs="宋体"/>
          <w:color w:val="auto"/>
          <w:sz w:val="24"/>
          <w:szCs w:val="24"/>
          <w:highlight w:val="none"/>
        </w:rPr>
        <w:t>13.2 修建场内临时道路和交通设施的费用：</w:t>
      </w:r>
      <w:r>
        <w:rPr>
          <w:rFonts w:hint="eastAsia" w:ascii="宋体" w:hAnsi="宋体"/>
          <w:color w:val="auto"/>
          <w:sz w:val="24"/>
          <w:highlight w:val="none"/>
          <w:u w:val="single"/>
        </w:rPr>
        <w:t xml:space="preserve"> 承包人自行解决并承担相应费用。    </w:t>
      </w:r>
    </w:p>
    <w:p>
      <w:pPr>
        <w:shd w:val="clear" w:color="000000" w:fill="auto"/>
        <w:spacing w:line="360" w:lineRule="auto"/>
        <w:ind w:left="119"/>
        <w:rPr>
          <w:color w:val="auto"/>
          <w:highlight w:val="none"/>
        </w:rPr>
      </w:pPr>
      <w:r>
        <w:rPr>
          <w:rFonts w:hint="eastAsia" w:ascii="宋体" w:hAnsi="宋体" w:cs="宋体"/>
          <w:color w:val="auto"/>
          <w:sz w:val="24"/>
          <w:szCs w:val="24"/>
          <w:highlight w:val="none"/>
        </w:rPr>
        <w:t>13.4 运输超大件和超重件的费用：</w:t>
      </w:r>
      <w:r>
        <w:rPr>
          <w:rFonts w:hint="eastAsia" w:ascii="宋体" w:hAnsi="宋体"/>
          <w:color w:val="auto"/>
          <w:sz w:val="24"/>
          <w:highlight w:val="none"/>
          <w:u w:val="single"/>
        </w:rPr>
        <w:t xml:space="preserve">  承包人自行解决并承担相应费用。    </w:t>
      </w:r>
    </w:p>
    <w:p>
      <w:pPr>
        <w:shd w:val="clear" w:color="000000" w:fill="auto"/>
        <w:spacing w:line="360" w:lineRule="auto"/>
        <w:ind w:left="119"/>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增加13.7款内容如下：</w:t>
      </w:r>
    </w:p>
    <w:p>
      <w:pPr>
        <w:shd w:val="clear" w:color="000000" w:fill="auto"/>
        <w:spacing w:line="360" w:lineRule="auto"/>
        <w:ind w:left="119"/>
        <w:rPr>
          <w:color w:val="auto"/>
          <w:highlight w:val="none"/>
        </w:rPr>
      </w:pPr>
      <w:r>
        <w:rPr>
          <w:rFonts w:hint="eastAsia" w:ascii="宋体" w:hAnsi="宋体" w:cs="宋体"/>
          <w:color w:val="auto"/>
          <w:sz w:val="24"/>
          <w:szCs w:val="24"/>
          <w:highlight w:val="none"/>
          <w:u w:val="single"/>
        </w:rPr>
        <w:t xml:space="preserve">  13.7 除合同另有规定外，施工场地的专用和临时道路的维修保养由承包人负责，费用已包含在投标报价中，发包人不另行计量支付。如承包人未履行职责，则视为违约，发包人根据费用从承包人进度款中相应扣除。</w:t>
      </w:r>
    </w:p>
    <w:p>
      <w:pPr>
        <w:pStyle w:val="4"/>
        <w:numPr>
          <w:ilvl w:val="0"/>
          <w:numId w:val="0"/>
        </w:numPr>
        <w:shd w:val="clear" w:color="000000" w:fill="auto"/>
        <w:tabs>
          <w:tab w:val="left" w:pos="420"/>
        </w:tabs>
        <w:spacing w:before="0" w:line="360" w:lineRule="auto"/>
        <w:rPr>
          <w:rFonts w:ascii="仿宋" w:hAnsi="仿宋" w:eastAsia="仿宋" w:cs="仿宋"/>
          <w:b/>
          <w:bCs/>
          <w:color w:val="auto"/>
          <w:sz w:val="24"/>
          <w:szCs w:val="24"/>
          <w:highlight w:val="none"/>
        </w:rPr>
      </w:pPr>
      <w:bookmarkStart w:id="472" w:name="_Toc10624933"/>
      <w:bookmarkStart w:id="473" w:name="_Toc28297"/>
      <w:bookmarkStart w:id="474" w:name="_Toc22354"/>
      <w:bookmarkStart w:id="475" w:name="_Toc469384089"/>
      <w:r>
        <w:rPr>
          <w:rFonts w:ascii="仿宋" w:hAnsi="仿宋" w:eastAsia="仿宋" w:cs="仿宋"/>
          <w:b/>
          <w:bCs/>
          <w:color w:val="auto"/>
          <w:sz w:val="24"/>
          <w:szCs w:val="24"/>
          <w:highlight w:val="none"/>
        </w:rPr>
        <w:t xml:space="preserve">14. </w:t>
      </w:r>
      <w:r>
        <w:rPr>
          <w:rFonts w:hint="eastAsia" w:ascii="仿宋" w:hAnsi="仿宋" w:eastAsia="仿宋" w:cs="仿宋"/>
          <w:b/>
          <w:bCs/>
          <w:color w:val="auto"/>
          <w:sz w:val="24"/>
          <w:szCs w:val="24"/>
          <w:highlight w:val="none"/>
        </w:rPr>
        <w:t>专项批准事件的签认</w:t>
      </w:r>
      <w:bookmarkEnd w:id="472"/>
      <w:bookmarkEnd w:id="473"/>
      <w:bookmarkEnd w:id="474"/>
      <w:bookmarkEnd w:id="475"/>
    </w:p>
    <w:p>
      <w:pPr>
        <w:shd w:val="clear" w:color="000000" w:fill="auto"/>
        <w:spacing w:line="360" w:lineRule="auto"/>
        <w:ind w:left="120"/>
        <w:rPr>
          <w:rFonts w:ascii="宋体" w:hAnsi="宋体" w:cs="宋体"/>
          <w:color w:val="auto"/>
          <w:sz w:val="24"/>
          <w:szCs w:val="24"/>
          <w:highlight w:val="none"/>
        </w:rPr>
      </w:pPr>
      <w:r>
        <w:rPr>
          <w:rFonts w:hint="eastAsia" w:ascii="宋体" w:hAnsi="宋体" w:cs="宋体"/>
          <w:color w:val="auto"/>
          <w:sz w:val="24"/>
          <w:szCs w:val="24"/>
          <w:highlight w:val="none"/>
        </w:rPr>
        <w:t xml:space="preserve"> 14.2 专项批准事件的签认人选</w:t>
      </w:r>
    </w:p>
    <w:p>
      <w:pPr>
        <w:numPr>
          <w:ilvl w:val="0"/>
          <w:numId w:val="28"/>
        </w:numPr>
        <w:shd w:val="clear" w:color="000000" w:fill="auto"/>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监理工程师：</w:t>
      </w:r>
    </w:p>
    <w:p>
      <w:pPr>
        <w:shd w:val="clear" w:color="000000" w:fill="auto"/>
        <w:spacing w:line="360" w:lineRule="auto"/>
        <w:ind w:left="240"/>
        <w:rPr>
          <w:rFonts w:ascii="宋体" w:hAnsi="宋体" w:cs="宋体"/>
          <w:color w:val="auto"/>
          <w:sz w:val="24"/>
          <w:szCs w:val="24"/>
          <w:highlight w:val="none"/>
          <w:u w:val="single"/>
        </w:rPr>
      </w:pPr>
      <w:r>
        <w:rPr>
          <w:rFonts w:hint="eastAsia" w:ascii="宋体" w:hAnsi="宋体" w:cs="宋体"/>
          <w:color w:val="auto"/>
          <w:sz w:val="24"/>
          <w:szCs w:val="24"/>
          <w:highlight w:val="none"/>
        </w:rPr>
        <w:t xml:space="preserve"> 姓名：</w:t>
      </w:r>
      <w:r>
        <w:rPr>
          <w:rFonts w:hint="eastAsia" w:ascii="宋体" w:hAnsi="宋体" w:cs="宋体"/>
          <w:color w:val="auto"/>
          <w:sz w:val="24"/>
          <w:szCs w:val="24"/>
          <w:highlight w:val="none"/>
          <w:u w:val="single"/>
        </w:rPr>
        <w:t xml:space="preserve">       </w:t>
      </w:r>
      <w:r>
        <w:rPr>
          <w:rFonts w:ascii="宋体" w:hAnsi="宋体" w:cs="宋体"/>
          <w:color w:val="auto"/>
          <w:sz w:val="24"/>
          <w:szCs w:val="24"/>
          <w:highlight w:val="none"/>
          <w:u w:val="single"/>
        </w:rPr>
        <w:t>/</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印章样式： /         签字样式：</w:t>
      </w:r>
      <w:r>
        <w:rPr>
          <w:rFonts w:hint="eastAsia" w:ascii="宋体" w:hAnsi="宋体" w:cs="宋体"/>
          <w:color w:val="auto"/>
          <w:sz w:val="24"/>
          <w:szCs w:val="24"/>
          <w:highlight w:val="none"/>
          <w:u w:val="single"/>
        </w:rPr>
        <w:t xml:space="preserve"> / </w:t>
      </w:r>
    </w:p>
    <w:p>
      <w:pPr>
        <w:numPr>
          <w:ilvl w:val="0"/>
          <w:numId w:val="28"/>
        </w:numPr>
        <w:shd w:val="clear" w:color="000000" w:fill="auto"/>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造价工程师：</w:t>
      </w:r>
    </w:p>
    <w:p>
      <w:pPr>
        <w:shd w:val="clear" w:color="000000" w:fill="auto"/>
        <w:spacing w:line="360" w:lineRule="auto"/>
        <w:ind w:left="239" w:leftChars="114" w:firstLine="120" w:firstLineChars="50"/>
        <w:rPr>
          <w:rFonts w:ascii="宋体" w:hAnsi="宋体" w:cs="宋体"/>
          <w:color w:val="auto"/>
          <w:sz w:val="24"/>
          <w:szCs w:val="24"/>
          <w:highlight w:val="none"/>
          <w:u w:val="single"/>
        </w:rPr>
      </w:pPr>
      <w:r>
        <w:rPr>
          <w:rFonts w:hint="eastAsia" w:ascii="宋体" w:hAnsi="宋体" w:cs="宋体"/>
          <w:color w:val="auto"/>
          <w:sz w:val="24"/>
          <w:szCs w:val="24"/>
          <w:highlight w:val="none"/>
        </w:rPr>
        <w:t>姓名：</w:t>
      </w:r>
      <w:r>
        <w:rPr>
          <w:rFonts w:hint="eastAsia" w:ascii="宋体" w:hAnsi="宋体" w:cs="宋体"/>
          <w:color w:val="auto"/>
          <w:sz w:val="24"/>
          <w:szCs w:val="24"/>
          <w:highlight w:val="none"/>
          <w:u w:val="single"/>
        </w:rPr>
        <w:t xml:space="preserve">      </w:t>
      </w:r>
      <w:r>
        <w:rPr>
          <w:rFonts w:ascii="宋体" w:hAnsi="宋体" w:cs="宋体"/>
          <w:color w:val="auto"/>
          <w:sz w:val="24"/>
          <w:szCs w:val="24"/>
          <w:highlight w:val="none"/>
          <w:u w:val="single"/>
        </w:rPr>
        <w:t>/</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印章样式：  /          签字样式：</w:t>
      </w:r>
      <w:r>
        <w:rPr>
          <w:rFonts w:hint="eastAsia" w:ascii="宋体" w:hAnsi="宋体" w:cs="宋体"/>
          <w:color w:val="auto"/>
          <w:sz w:val="24"/>
          <w:szCs w:val="24"/>
          <w:highlight w:val="none"/>
          <w:u w:val="single"/>
        </w:rPr>
        <w:t xml:space="preserve"> / </w:t>
      </w:r>
    </w:p>
    <w:p>
      <w:pPr>
        <w:numPr>
          <w:ilvl w:val="0"/>
          <w:numId w:val="28"/>
        </w:numPr>
        <w:shd w:val="clear" w:color="000000" w:fill="auto"/>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建造师：</w:t>
      </w:r>
    </w:p>
    <w:p>
      <w:pPr>
        <w:shd w:val="clear" w:color="000000" w:fill="auto"/>
        <w:spacing w:line="360" w:lineRule="auto"/>
        <w:ind w:left="239" w:leftChars="114" w:firstLine="120" w:firstLineChars="50"/>
        <w:rPr>
          <w:rFonts w:ascii="宋体" w:hAnsi="宋体" w:cs="宋体"/>
          <w:color w:val="auto"/>
          <w:sz w:val="24"/>
          <w:szCs w:val="24"/>
          <w:highlight w:val="none"/>
          <w:u w:val="single"/>
        </w:rPr>
      </w:pPr>
      <w:r>
        <w:rPr>
          <w:rFonts w:hint="eastAsia" w:ascii="宋体" w:hAnsi="宋体" w:cs="宋体"/>
          <w:color w:val="auto"/>
          <w:sz w:val="24"/>
          <w:szCs w:val="24"/>
          <w:highlight w:val="none"/>
        </w:rPr>
        <w:t>姓名：</w:t>
      </w:r>
      <w:r>
        <w:rPr>
          <w:rFonts w:hint="eastAsia" w:ascii="宋体" w:hAnsi="宋体" w:cs="宋体"/>
          <w:color w:val="auto"/>
          <w:sz w:val="24"/>
          <w:szCs w:val="24"/>
          <w:highlight w:val="none"/>
          <w:u w:val="single"/>
        </w:rPr>
        <w:t xml:space="preserve">       </w:t>
      </w:r>
      <w:r>
        <w:rPr>
          <w:rFonts w:ascii="宋体" w:hAnsi="宋体" w:cs="宋体"/>
          <w:color w:val="auto"/>
          <w:sz w:val="24"/>
          <w:szCs w:val="24"/>
          <w:highlight w:val="none"/>
          <w:u w:val="single"/>
        </w:rPr>
        <w:t>/</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印章样式：  /          签字样式：</w:t>
      </w:r>
      <w:r>
        <w:rPr>
          <w:rFonts w:hint="eastAsia" w:ascii="宋体" w:hAnsi="宋体" w:cs="宋体"/>
          <w:color w:val="auto"/>
          <w:sz w:val="24"/>
          <w:szCs w:val="24"/>
          <w:highlight w:val="none"/>
          <w:u w:val="single"/>
        </w:rPr>
        <w:t xml:space="preserve"> / </w:t>
      </w:r>
    </w:p>
    <w:p>
      <w:pPr>
        <w:shd w:val="clear" w:color="000000" w:fill="auto"/>
        <w:spacing w:line="360" w:lineRule="auto"/>
        <w:ind w:firstLine="120" w:firstLineChars="50"/>
        <w:rPr>
          <w:rFonts w:ascii="宋体" w:hAnsi="宋体" w:cs="宋体"/>
          <w:color w:val="auto"/>
          <w:kern w:val="0"/>
          <w:sz w:val="24"/>
          <w:szCs w:val="24"/>
          <w:highlight w:val="none"/>
        </w:rPr>
      </w:pPr>
      <w:r>
        <w:rPr>
          <w:rFonts w:hint="eastAsia" w:ascii="宋体" w:hAnsi="宋体" w:cs="宋体"/>
          <w:color w:val="auto"/>
          <w:kern w:val="0"/>
          <w:sz w:val="24"/>
          <w:szCs w:val="24"/>
          <w:highlight w:val="none"/>
        </w:rPr>
        <w:t>将18.3款修改为如下内容：</w:t>
      </w:r>
    </w:p>
    <w:p>
      <w:pPr>
        <w:pStyle w:val="2"/>
        <w:spacing w:line="360" w:lineRule="auto"/>
        <w:ind w:firstLine="480" w:firstLineChars="200"/>
        <w:rPr>
          <w:color w:val="auto"/>
          <w:highlight w:val="none"/>
        </w:rPr>
      </w:pPr>
      <w:r>
        <w:rPr>
          <w:rFonts w:hint="eastAsia" w:hAnsi="宋体"/>
          <w:color w:val="auto"/>
          <w:sz w:val="24"/>
          <w:szCs w:val="24"/>
          <w:highlight w:val="none"/>
          <w:u w:val="single"/>
        </w:rPr>
        <w:t>如果承包人依据第87.4款规定的情形解除合同，则承包人有权要求发包人支付已完工程款，并赔偿因此造成的损失。发包人应为承包人撤出现场提供便利和协助。如发包人未付完相关款项，承包人有权通过法律途径向发包人追索，但不得留置施工现场。</w:t>
      </w:r>
    </w:p>
    <w:p>
      <w:pPr>
        <w:pStyle w:val="4"/>
        <w:numPr>
          <w:ilvl w:val="0"/>
          <w:numId w:val="0"/>
        </w:numPr>
        <w:shd w:val="clear" w:color="000000" w:fill="auto"/>
        <w:tabs>
          <w:tab w:val="left" w:pos="420"/>
        </w:tabs>
        <w:spacing w:before="0" w:line="360" w:lineRule="auto"/>
        <w:rPr>
          <w:rFonts w:ascii="仿宋" w:hAnsi="仿宋" w:eastAsia="仿宋" w:cs="Times New Roman"/>
          <w:b/>
          <w:bCs/>
          <w:color w:val="auto"/>
          <w:sz w:val="24"/>
          <w:szCs w:val="24"/>
          <w:highlight w:val="none"/>
        </w:rPr>
      </w:pPr>
      <w:bookmarkStart w:id="476" w:name="_Toc469384090"/>
      <w:bookmarkStart w:id="477" w:name="_Toc6727"/>
      <w:bookmarkStart w:id="478" w:name="_Toc1100"/>
      <w:bookmarkStart w:id="479" w:name="_Toc10624934"/>
      <w:r>
        <w:rPr>
          <w:rFonts w:ascii="仿宋" w:hAnsi="仿宋" w:eastAsia="仿宋" w:cs="仿宋"/>
          <w:b/>
          <w:bCs/>
          <w:color w:val="auto"/>
          <w:sz w:val="24"/>
          <w:szCs w:val="24"/>
          <w:highlight w:val="none"/>
        </w:rPr>
        <w:t xml:space="preserve">19. </w:t>
      </w:r>
      <w:r>
        <w:rPr>
          <w:rFonts w:hint="eastAsia" w:ascii="仿宋" w:hAnsi="仿宋" w:eastAsia="仿宋" w:cs="仿宋"/>
          <w:b/>
          <w:bCs/>
          <w:color w:val="auto"/>
          <w:sz w:val="24"/>
          <w:szCs w:val="24"/>
          <w:highlight w:val="none"/>
        </w:rPr>
        <w:t>发包人</w:t>
      </w:r>
      <w:bookmarkEnd w:id="476"/>
      <w:bookmarkEnd w:id="477"/>
      <w:bookmarkEnd w:id="478"/>
      <w:bookmarkEnd w:id="479"/>
    </w:p>
    <w:p>
      <w:pPr>
        <w:shd w:val="clear" w:color="000000" w:fill="auto"/>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 19.2 发包人完成下列工作的约定</w:t>
      </w:r>
    </w:p>
    <w:p>
      <w:pPr>
        <w:numPr>
          <w:ilvl w:val="0"/>
          <w:numId w:val="29"/>
        </w:numPr>
        <w:shd w:val="clear" w:color="000000" w:fill="auto"/>
        <w:spacing w:line="360" w:lineRule="auto"/>
        <w:rPr>
          <w:rFonts w:ascii="宋体" w:hAnsi="宋体" w:cs="宋体"/>
          <w:color w:val="auto"/>
          <w:sz w:val="24"/>
          <w:szCs w:val="24"/>
          <w:highlight w:val="none"/>
          <w:u w:val="single"/>
        </w:rPr>
      </w:pPr>
      <w:r>
        <w:rPr>
          <w:rFonts w:hint="eastAsia" w:ascii="宋体" w:hAnsi="宋体" w:cs="宋体"/>
          <w:color w:val="auto"/>
          <w:sz w:val="24"/>
          <w:szCs w:val="24"/>
          <w:highlight w:val="none"/>
        </w:rPr>
        <w:t>办理土地征用、拆迁、平整施工场地等工作的时间：</w:t>
      </w:r>
      <w:r>
        <w:rPr>
          <w:rFonts w:hint="eastAsia" w:ascii="宋体" w:hAnsi="宋体" w:cs="宋体"/>
          <w:color w:val="auto"/>
          <w:sz w:val="24"/>
          <w:szCs w:val="24"/>
          <w:highlight w:val="none"/>
          <w:u w:val="single"/>
        </w:rPr>
        <w:t>本工程开工前，场地清理、平整等工作由承包人负责办理，费用已包含在投标报价中，发包人不另行计量支付。</w:t>
      </w:r>
    </w:p>
    <w:p>
      <w:pPr>
        <w:numPr>
          <w:ilvl w:val="0"/>
          <w:numId w:val="29"/>
        </w:numPr>
        <w:shd w:val="clear" w:color="000000" w:fill="auto"/>
        <w:spacing w:line="360" w:lineRule="auto"/>
        <w:rPr>
          <w:rFonts w:ascii="宋体" w:hAnsi="宋体" w:cs="宋体"/>
          <w:color w:val="auto"/>
          <w:sz w:val="24"/>
          <w:szCs w:val="24"/>
          <w:highlight w:val="none"/>
          <w:u w:val="single"/>
        </w:rPr>
      </w:pPr>
      <w:r>
        <w:rPr>
          <w:rFonts w:hint="eastAsia" w:ascii="宋体" w:hAnsi="宋体" w:cs="宋体"/>
          <w:color w:val="auto"/>
          <w:sz w:val="24"/>
          <w:szCs w:val="24"/>
          <w:highlight w:val="none"/>
        </w:rPr>
        <w:t>完成施工所需水、电、通讯线路接驳的时间及地点：</w:t>
      </w:r>
      <w:r>
        <w:rPr>
          <w:rFonts w:hint="eastAsia" w:ascii="宋体" w:hAnsi="宋体" w:cs="宋体"/>
          <w:color w:val="auto"/>
          <w:sz w:val="24"/>
          <w:szCs w:val="24"/>
          <w:highlight w:val="none"/>
          <w:u w:val="single"/>
        </w:rPr>
        <w:t>本工程施工场地已具备水电条件，发包人按发包人单位或国家、地方有关规定的标准向承包人计取相关费用，通讯设施由承包人自行负责，所有费用已包含在投标报价中，发包人不另行计量支付。</w:t>
      </w:r>
    </w:p>
    <w:p>
      <w:pPr>
        <w:numPr>
          <w:ilvl w:val="0"/>
          <w:numId w:val="29"/>
        </w:numPr>
        <w:shd w:val="clear" w:color="000000" w:fill="auto"/>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开通施工现场与城乡公共道路间的通道的时间：</w:t>
      </w:r>
      <w:r>
        <w:rPr>
          <w:rFonts w:hint="eastAsia" w:ascii="宋体" w:hAnsi="宋体" w:cs="宋体"/>
          <w:color w:val="auto"/>
          <w:sz w:val="24"/>
          <w:szCs w:val="24"/>
          <w:highlight w:val="none"/>
          <w:u w:val="single"/>
          <w:lang w:val="en-US" w:eastAsia="zh-CN"/>
        </w:rPr>
        <w:t>/</w:t>
      </w:r>
    </w:p>
    <w:p>
      <w:pPr>
        <w:numPr>
          <w:ilvl w:val="0"/>
          <w:numId w:val="29"/>
        </w:numPr>
        <w:shd w:val="clear" w:color="000000" w:fill="auto"/>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提供施工所需的有关资料的时间：</w:t>
      </w:r>
      <w:r>
        <w:rPr>
          <w:rFonts w:hint="eastAsia" w:ascii="宋体" w:hAnsi="宋体" w:cs="宋体"/>
          <w:color w:val="auto"/>
          <w:sz w:val="24"/>
          <w:szCs w:val="24"/>
          <w:highlight w:val="none"/>
          <w:u w:val="single"/>
        </w:rPr>
        <w:t>由承包人根据施工的需要确定，相关费用已包含在投标报价中，发包人不另行计量支付。</w:t>
      </w:r>
    </w:p>
    <w:p>
      <w:pPr>
        <w:numPr>
          <w:ilvl w:val="0"/>
          <w:numId w:val="29"/>
        </w:numPr>
        <w:shd w:val="clear" w:color="000000" w:fill="auto"/>
        <w:spacing w:line="360" w:lineRule="auto"/>
        <w:rPr>
          <w:rFonts w:ascii="宋体" w:hAnsi="宋体" w:cs="宋体"/>
          <w:color w:val="auto"/>
          <w:sz w:val="24"/>
          <w:szCs w:val="24"/>
          <w:highlight w:val="none"/>
          <w:u w:val="single"/>
        </w:rPr>
      </w:pPr>
      <w:r>
        <w:rPr>
          <w:rFonts w:hint="eastAsia" w:ascii="宋体" w:hAnsi="宋体" w:cs="宋体"/>
          <w:color w:val="auto"/>
          <w:sz w:val="24"/>
          <w:szCs w:val="24"/>
          <w:highlight w:val="none"/>
        </w:rPr>
        <w:t>办理施工所需的有关证件和批准手续的时间：</w:t>
      </w:r>
      <w:r>
        <w:rPr>
          <w:rFonts w:hint="eastAsia" w:ascii="宋体" w:hAnsi="宋体"/>
          <w:color w:val="auto"/>
          <w:sz w:val="24"/>
          <w:highlight w:val="none"/>
          <w:u w:val="single"/>
        </w:rPr>
        <w:t>有关施工所需证件、文件由承包人办理，同时承包人也应协助发包人办理施工许可证，费用已包含投标报价中。</w:t>
      </w:r>
    </w:p>
    <w:p>
      <w:pPr>
        <w:numPr>
          <w:ilvl w:val="0"/>
          <w:numId w:val="29"/>
        </w:numPr>
        <w:shd w:val="clear" w:color="000000" w:fill="auto"/>
        <w:spacing w:line="360" w:lineRule="auto"/>
        <w:rPr>
          <w:rFonts w:ascii="宋体" w:hAnsi="宋体" w:cs="宋体"/>
          <w:color w:val="auto"/>
          <w:sz w:val="24"/>
          <w:szCs w:val="24"/>
          <w:highlight w:val="none"/>
          <w:u w:val="single"/>
        </w:rPr>
      </w:pPr>
      <w:r>
        <w:rPr>
          <w:rFonts w:hint="eastAsia" w:ascii="宋体" w:hAnsi="宋体" w:cs="宋体"/>
          <w:color w:val="auto"/>
          <w:sz w:val="24"/>
          <w:szCs w:val="24"/>
          <w:highlight w:val="none"/>
        </w:rPr>
        <w:t>现场交验的时间：</w:t>
      </w:r>
      <w:r>
        <w:rPr>
          <w:rFonts w:hint="eastAsia" w:ascii="宋体" w:hAnsi="宋体" w:cs="宋体"/>
          <w:color w:val="auto"/>
          <w:sz w:val="24"/>
          <w:szCs w:val="24"/>
          <w:highlight w:val="none"/>
          <w:u w:val="single"/>
        </w:rPr>
        <w:t>开工前进行，具体时间由发包人以书面形式通知承包人。</w:t>
      </w:r>
    </w:p>
    <w:p>
      <w:pPr>
        <w:numPr>
          <w:ilvl w:val="0"/>
          <w:numId w:val="29"/>
        </w:numPr>
        <w:shd w:val="clear" w:color="000000" w:fill="auto"/>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提供标准与规范的时间：</w:t>
      </w:r>
      <w:r>
        <w:rPr>
          <w:rFonts w:hint="eastAsia" w:ascii="宋体" w:hAnsi="宋体" w:cs="宋体"/>
          <w:color w:val="auto"/>
          <w:sz w:val="24"/>
          <w:szCs w:val="24"/>
          <w:highlight w:val="none"/>
          <w:u w:val="single"/>
        </w:rPr>
        <w:t xml:space="preserve"> 不提供，承包人自备。</w:t>
      </w:r>
    </w:p>
    <w:p>
      <w:pPr>
        <w:numPr>
          <w:ilvl w:val="0"/>
          <w:numId w:val="29"/>
        </w:numPr>
        <w:shd w:val="clear" w:color="000000" w:fill="auto"/>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组织图纸会审和设计交底的时间：</w:t>
      </w:r>
      <w:r>
        <w:rPr>
          <w:rFonts w:hint="eastAsia" w:ascii="宋体" w:hAnsi="宋体" w:cs="宋体"/>
          <w:color w:val="auto"/>
          <w:sz w:val="24"/>
          <w:szCs w:val="24"/>
          <w:highlight w:val="none"/>
          <w:u w:val="single"/>
        </w:rPr>
        <w:t xml:space="preserve">开工前进行，具体时间由发包人以书面形式通知承包人。 </w:t>
      </w:r>
    </w:p>
    <w:p>
      <w:pPr>
        <w:numPr>
          <w:ilvl w:val="0"/>
          <w:numId w:val="29"/>
        </w:numPr>
        <w:shd w:val="clear" w:color="000000" w:fill="auto"/>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协调处理施工周围场地系问题和邻近建筑物等保护工作的约定：</w:t>
      </w:r>
      <w:r>
        <w:rPr>
          <w:rFonts w:hint="eastAsia" w:ascii="宋体" w:hAnsi="宋体" w:cs="宋体"/>
          <w:color w:val="auto"/>
          <w:sz w:val="24"/>
          <w:szCs w:val="24"/>
          <w:highlight w:val="none"/>
          <w:u w:val="single"/>
        </w:rPr>
        <w:t xml:space="preserve">发包人协助承包人做好上述保护工作的协调处理，除文物保护外，其它保护工作费用已包含在承包人的投标报价中。  </w:t>
      </w:r>
      <w:r>
        <w:rPr>
          <w:rFonts w:hint="eastAsia" w:ascii="宋体" w:hAnsi="宋体" w:cs="宋体"/>
          <w:color w:val="auto"/>
          <w:sz w:val="24"/>
          <w:szCs w:val="24"/>
          <w:highlight w:val="none"/>
        </w:rPr>
        <w:t xml:space="preserve">                </w:t>
      </w:r>
    </w:p>
    <w:p>
      <w:pPr>
        <w:shd w:val="clear" w:color="000000" w:fill="auto"/>
        <w:spacing w:line="360" w:lineRule="auto"/>
        <w:ind w:left="120"/>
        <w:rPr>
          <w:rFonts w:ascii="宋体" w:hAnsi="宋体" w:cs="宋体"/>
          <w:color w:val="auto"/>
          <w:sz w:val="24"/>
          <w:szCs w:val="24"/>
          <w:highlight w:val="none"/>
        </w:rPr>
      </w:pPr>
      <w:r>
        <w:rPr>
          <w:rFonts w:hint="eastAsia" w:ascii="宋体" w:hAnsi="宋体" w:cs="宋体"/>
          <w:color w:val="auto"/>
          <w:sz w:val="24"/>
          <w:szCs w:val="24"/>
          <w:highlight w:val="none"/>
        </w:rPr>
        <w:t xml:space="preserve"> 委托承包人办理的工作有：</w:t>
      </w:r>
      <w:r>
        <w:rPr>
          <w:rFonts w:hint="eastAsia" w:ascii="宋体" w:hAnsi="宋体" w:cs="宋体"/>
          <w:color w:val="auto"/>
          <w:sz w:val="24"/>
          <w:szCs w:val="24"/>
          <w:highlight w:val="none"/>
          <w:u w:val="single"/>
        </w:rPr>
        <w:t xml:space="preserve">发包人有权随时根据工程需要将部分工作委托给承包人办理，承包人须接受并积极执行。   </w:t>
      </w:r>
      <w:r>
        <w:rPr>
          <w:rFonts w:hint="eastAsia" w:ascii="宋体" w:hAnsi="宋体" w:cs="宋体"/>
          <w:color w:val="auto"/>
          <w:sz w:val="24"/>
          <w:szCs w:val="24"/>
          <w:highlight w:val="none"/>
        </w:rPr>
        <w:t xml:space="preserve">                  </w:t>
      </w:r>
    </w:p>
    <w:p>
      <w:pPr>
        <w:shd w:val="clear" w:color="000000" w:fill="auto"/>
        <w:spacing w:line="360" w:lineRule="auto"/>
        <w:ind w:left="120"/>
        <w:rPr>
          <w:rFonts w:ascii="宋体" w:hAnsi="宋体" w:cs="宋体"/>
          <w:strike/>
          <w:color w:val="auto"/>
          <w:sz w:val="24"/>
          <w:szCs w:val="24"/>
          <w:highlight w:val="none"/>
          <w:u w:val="single"/>
        </w:rPr>
      </w:pPr>
      <w:r>
        <w:rPr>
          <w:rFonts w:hint="eastAsia" w:ascii="宋体" w:hAnsi="宋体" w:cs="宋体"/>
          <w:color w:val="auto"/>
          <w:sz w:val="24"/>
          <w:szCs w:val="24"/>
          <w:highlight w:val="none"/>
        </w:rPr>
        <w:t>19.3 提供施工场地的时间：</w:t>
      </w:r>
      <w:r>
        <w:rPr>
          <w:rFonts w:hint="eastAsia" w:ascii="宋体" w:hAnsi="宋体" w:cs="宋体"/>
          <w:color w:val="auto"/>
          <w:sz w:val="24"/>
          <w:szCs w:val="24"/>
          <w:highlight w:val="none"/>
          <w:u w:val="single"/>
        </w:rPr>
        <w:t xml:space="preserve"> 发包人根据实际情况，分期移交施工场地给承包人。</w:t>
      </w:r>
    </w:p>
    <w:p>
      <w:pPr>
        <w:shd w:val="clear" w:color="000000" w:fill="auto"/>
        <w:spacing w:line="360" w:lineRule="auto"/>
        <w:ind w:left="120"/>
        <w:rPr>
          <w:rFonts w:ascii="宋体" w:hAnsi="宋体" w:cs="宋体"/>
          <w:color w:val="auto"/>
          <w:sz w:val="24"/>
          <w:szCs w:val="24"/>
          <w:highlight w:val="none"/>
        </w:rPr>
      </w:pPr>
      <w:r>
        <w:rPr>
          <w:rFonts w:hint="eastAsia" w:ascii="宋体" w:hAnsi="宋体" w:cs="宋体"/>
          <w:color w:val="auto"/>
          <w:sz w:val="24"/>
          <w:szCs w:val="24"/>
          <w:highlight w:val="none"/>
        </w:rPr>
        <w:t>19.4 支付款项</w:t>
      </w:r>
    </w:p>
    <w:p>
      <w:pPr>
        <w:shd w:val="clear" w:color="000000" w:fill="auto"/>
        <w:spacing w:line="360" w:lineRule="auto"/>
        <w:ind w:left="120"/>
        <w:rPr>
          <w:rFonts w:ascii="宋体" w:hAnsi="宋体" w:cs="宋体"/>
          <w:color w:val="auto"/>
          <w:sz w:val="24"/>
          <w:szCs w:val="24"/>
          <w:highlight w:val="none"/>
        </w:rPr>
      </w:pPr>
      <w:r>
        <w:rPr>
          <w:rFonts w:hint="eastAsia" w:ascii="宋体" w:hAnsi="宋体" w:cs="宋体"/>
          <w:color w:val="auto"/>
          <w:sz w:val="24"/>
          <w:szCs w:val="24"/>
          <w:highlight w:val="none"/>
        </w:rPr>
        <w:t>（1） 工程款支付期限</w:t>
      </w:r>
    </w:p>
    <w:p>
      <w:pPr>
        <w:shd w:val="clear" w:color="000000" w:fill="auto"/>
        <w:spacing w:line="360" w:lineRule="auto"/>
        <w:ind w:firstLine="240" w:firstLineChars="100"/>
        <w:rPr>
          <w:rFonts w:ascii="宋体" w:hAnsi="宋体" w:cs="宋体"/>
          <w:color w:val="auto"/>
          <w:kern w:val="0"/>
          <w:sz w:val="24"/>
          <w:szCs w:val="24"/>
          <w:highlight w:val="none"/>
        </w:rPr>
      </w:pPr>
      <w:r>
        <w:rPr>
          <w:rFonts w:hint="eastAsia" w:ascii="黑体" w:hAnsi="黑体" w:eastAsia="黑体" w:cs="黑体"/>
          <w:color w:val="auto"/>
          <w:kern w:val="0"/>
          <w:sz w:val="24"/>
          <w:szCs w:val="24"/>
          <w:highlight w:val="none"/>
        </w:rPr>
        <w:t>■</w:t>
      </w:r>
      <w:r>
        <w:rPr>
          <w:rFonts w:hint="eastAsia" w:ascii="宋体" w:hAnsi="宋体" w:cs="宋体"/>
          <w:color w:val="auto"/>
          <w:kern w:val="0"/>
          <w:sz w:val="24"/>
          <w:szCs w:val="24"/>
          <w:highlight w:val="none"/>
        </w:rPr>
        <w:t xml:space="preserve"> 按通用条款第81.3款、第83.3款等规定期限支付。</w:t>
      </w:r>
    </w:p>
    <w:p>
      <w:pPr>
        <w:shd w:val="clear" w:color="000000" w:fill="auto"/>
        <w:spacing w:line="360" w:lineRule="auto"/>
        <w:ind w:firstLine="240" w:firstLineChars="100"/>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 另作约定：</w:t>
      </w:r>
      <w:r>
        <w:rPr>
          <w:rFonts w:hint="eastAsia" w:ascii="宋体" w:hAnsi="宋体" w:cs="宋体"/>
          <w:color w:val="auto"/>
          <w:kern w:val="0"/>
          <w:sz w:val="24"/>
          <w:szCs w:val="24"/>
          <w:highlight w:val="none"/>
          <w:u w:val="single"/>
        </w:rPr>
        <w:t xml:space="preserve">   /        </w:t>
      </w:r>
    </w:p>
    <w:p>
      <w:pPr>
        <w:shd w:val="clear" w:color="000000" w:fill="auto"/>
        <w:spacing w:line="360" w:lineRule="auto"/>
        <w:ind w:firstLine="120" w:firstLineChars="50"/>
        <w:rPr>
          <w:rFonts w:ascii="宋体" w:hAnsi="宋体" w:cs="宋体"/>
          <w:color w:val="auto"/>
          <w:kern w:val="0"/>
          <w:sz w:val="24"/>
          <w:szCs w:val="24"/>
          <w:highlight w:val="none"/>
        </w:rPr>
      </w:pPr>
      <w:r>
        <w:rPr>
          <w:rFonts w:hint="eastAsia" w:ascii="宋体" w:hAnsi="宋体" w:cs="宋体"/>
          <w:color w:val="auto"/>
          <w:kern w:val="0"/>
          <w:sz w:val="24"/>
          <w:szCs w:val="24"/>
          <w:highlight w:val="none"/>
        </w:rPr>
        <w:t>（2） 工程款支付方式</w:t>
      </w:r>
      <w:r>
        <w:rPr>
          <w:rFonts w:hint="eastAsia" w:ascii="宋体" w:hAnsi="宋体" w:cs="宋体"/>
          <w:color w:val="auto"/>
          <w:kern w:val="0"/>
          <w:sz w:val="24"/>
          <w:szCs w:val="24"/>
          <w:highlight w:val="none"/>
        </w:rPr>
        <w:tab/>
      </w:r>
    </w:p>
    <w:p>
      <w:pPr>
        <w:shd w:val="clear" w:color="000000" w:fill="auto"/>
        <w:spacing w:line="360" w:lineRule="auto"/>
        <w:ind w:firstLine="240" w:firstLineChars="100"/>
        <w:rPr>
          <w:rFonts w:ascii="宋体" w:hAnsi="宋体" w:cs="宋体"/>
          <w:color w:val="auto"/>
          <w:kern w:val="0"/>
          <w:sz w:val="24"/>
          <w:szCs w:val="24"/>
          <w:highlight w:val="none"/>
        </w:rPr>
      </w:pPr>
      <w:r>
        <w:rPr>
          <w:rFonts w:hint="eastAsia" w:ascii="黑体" w:hAnsi="黑体" w:eastAsia="黑体" w:cs="黑体"/>
          <w:color w:val="auto"/>
          <w:kern w:val="0"/>
          <w:sz w:val="24"/>
          <w:szCs w:val="24"/>
          <w:highlight w:val="none"/>
        </w:rPr>
        <w:t>■</w:t>
      </w:r>
      <w:r>
        <w:rPr>
          <w:rFonts w:hint="eastAsia" w:ascii="宋体" w:hAnsi="宋体" w:cs="宋体"/>
          <w:color w:val="auto"/>
          <w:kern w:val="0"/>
          <w:sz w:val="24"/>
          <w:szCs w:val="24"/>
          <w:highlight w:val="none"/>
        </w:rPr>
        <w:t xml:space="preserve"> 按协议书所注明的银行账户转账。</w:t>
      </w:r>
    </w:p>
    <w:p>
      <w:pPr>
        <w:shd w:val="clear" w:color="000000" w:fill="auto"/>
        <w:spacing w:line="360" w:lineRule="auto"/>
        <w:ind w:firstLine="240" w:firstLineChars="100"/>
        <w:rPr>
          <w:rFonts w:ascii="宋体" w:hAnsi="宋体" w:cs="宋体"/>
          <w:color w:val="auto"/>
          <w:kern w:val="0"/>
          <w:sz w:val="24"/>
          <w:szCs w:val="24"/>
          <w:highlight w:val="none"/>
        </w:rPr>
      </w:pPr>
      <w:r>
        <w:rPr>
          <w:rFonts w:hint="eastAsia" w:ascii="宋体" w:hAnsi="宋体" w:cs="宋体"/>
          <w:color w:val="auto"/>
          <w:kern w:val="0"/>
          <w:sz w:val="24"/>
          <w:szCs w:val="24"/>
          <w:highlight w:val="none"/>
        </w:rPr>
        <w:t>□ 支票支付。</w:t>
      </w:r>
    </w:p>
    <w:p>
      <w:pPr>
        <w:shd w:val="clear" w:color="000000" w:fill="auto"/>
        <w:spacing w:line="360" w:lineRule="auto"/>
        <w:ind w:firstLine="240" w:firstLineChars="100"/>
        <w:rPr>
          <w:rFonts w:ascii="宋体" w:hAnsi="宋体" w:cs="宋体"/>
          <w:color w:val="auto"/>
          <w:kern w:val="0"/>
          <w:sz w:val="24"/>
          <w:szCs w:val="24"/>
          <w:highlight w:val="none"/>
        </w:rPr>
      </w:pPr>
      <w:r>
        <w:rPr>
          <w:rFonts w:hint="eastAsia" w:ascii="宋体" w:hAnsi="宋体" w:cs="宋体"/>
          <w:color w:val="auto"/>
          <w:kern w:val="0"/>
          <w:sz w:val="24"/>
          <w:szCs w:val="24"/>
          <w:highlight w:val="none"/>
        </w:rPr>
        <w:t>□ 其他方式：</w:t>
      </w:r>
      <w:r>
        <w:rPr>
          <w:rFonts w:hint="eastAsia" w:ascii="宋体" w:hAnsi="宋体" w:cs="宋体"/>
          <w:color w:val="auto"/>
          <w:kern w:val="0"/>
          <w:sz w:val="24"/>
          <w:szCs w:val="24"/>
          <w:highlight w:val="none"/>
          <w:u w:val="single"/>
        </w:rPr>
        <w:t xml:space="preserve">   /        </w:t>
      </w:r>
      <w:r>
        <w:rPr>
          <w:rFonts w:hint="eastAsia" w:ascii="宋体" w:hAnsi="宋体" w:cs="宋体"/>
          <w:color w:val="auto"/>
          <w:kern w:val="0"/>
          <w:sz w:val="24"/>
          <w:szCs w:val="24"/>
          <w:highlight w:val="none"/>
        </w:rPr>
        <w:t xml:space="preserve">            </w:t>
      </w:r>
    </w:p>
    <w:p>
      <w:pPr>
        <w:shd w:val="clear" w:color="000000" w:fill="auto"/>
        <w:spacing w:line="360" w:lineRule="auto"/>
        <w:ind w:firstLine="120" w:firstLineChars="50"/>
        <w:rPr>
          <w:rFonts w:ascii="宋体" w:hAnsi="宋体" w:cs="宋体"/>
          <w:color w:val="auto"/>
          <w:kern w:val="0"/>
          <w:sz w:val="24"/>
          <w:szCs w:val="24"/>
          <w:highlight w:val="none"/>
        </w:rPr>
      </w:pPr>
      <w:r>
        <w:rPr>
          <w:rFonts w:hint="eastAsia" w:ascii="宋体" w:hAnsi="宋体" w:cs="宋体"/>
          <w:color w:val="auto"/>
          <w:kern w:val="0"/>
          <w:sz w:val="24"/>
          <w:szCs w:val="24"/>
          <w:highlight w:val="none"/>
        </w:rPr>
        <w:t>将19.7款修改为如下内容：</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sz w:val="24"/>
          <w:szCs w:val="24"/>
          <w:highlight w:val="none"/>
          <w:u w:val="single"/>
        </w:rPr>
        <w:t>发包人未能正确完成本合同约定的全部义务，导致工期延误,由发包人和承包人双方友好协商后，承包人向发包人提出书面申请，经发包人同意后，工期顺延，费用不予补偿。</w:t>
      </w:r>
    </w:p>
    <w:p>
      <w:pPr>
        <w:pStyle w:val="4"/>
        <w:numPr>
          <w:ilvl w:val="0"/>
          <w:numId w:val="0"/>
        </w:numPr>
        <w:shd w:val="clear" w:color="000000" w:fill="auto"/>
        <w:tabs>
          <w:tab w:val="left" w:pos="420"/>
        </w:tabs>
        <w:spacing w:before="0" w:line="360" w:lineRule="auto"/>
        <w:rPr>
          <w:rFonts w:ascii="仿宋" w:hAnsi="仿宋" w:eastAsia="仿宋" w:cs="Times New Roman"/>
          <w:b/>
          <w:bCs/>
          <w:color w:val="auto"/>
          <w:sz w:val="24"/>
          <w:szCs w:val="24"/>
          <w:highlight w:val="none"/>
        </w:rPr>
      </w:pPr>
      <w:bookmarkStart w:id="480" w:name="_Toc13421"/>
      <w:bookmarkStart w:id="481" w:name="_Toc13802"/>
      <w:bookmarkStart w:id="482" w:name="_Toc10624935"/>
      <w:bookmarkStart w:id="483" w:name="_Toc469384091"/>
      <w:r>
        <w:rPr>
          <w:rFonts w:ascii="仿宋" w:hAnsi="仿宋" w:eastAsia="仿宋" w:cs="仿宋"/>
          <w:b/>
          <w:bCs/>
          <w:color w:val="auto"/>
          <w:sz w:val="24"/>
          <w:szCs w:val="24"/>
          <w:highlight w:val="none"/>
        </w:rPr>
        <w:t xml:space="preserve">20. </w:t>
      </w:r>
      <w:r>
        <w:rPr>
          <w:rFonts w:hint="eastAsia" w:ascii="仿宋" w:hAnsi="仿宋" w:eastAsia="仿宋" w:cs="仿宋"/>
          <w:b/>
          <w:bCs/>
          <w:color w:val="auto"/>
          <w:sz w:val="24"/>
          <w:szCs w:val="24"/>
          <w:highlight w:val="none"/>
        </w:rPr>
        <w:t>承包人</w:t>
      </w:r>
      <w:bookmarkEnd w:id="480"/>
      <w:bookmarkEnd w:id="481"/>
      <w:bookmarkEnd w:id="482"/>
      <w:bookmarkEnd w:id="483"/>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20.1 遵守法律</w:t>
      </w:r>
    </w:p>
    <w:p>
      <w:pPr>
        <w:shd w:val="clear" w:color="000000" w:fill="auto"/>
        <w:spacing w:line="360" w:lineRule="auto"/>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承包人在本项目发包人的工程项目中存在通用条款20.1所列行为的，将被拒绝参与发包人后续工程投标。拒绝投标时限：</w:t>
      </w:r>
      <w:r>
        <w:rPr>
          <w:rFonts w:hint="eastAsia" w:ascii="宋体" w:hAnsi="宋体" w:cs="宋体"/>
          <w:color w:val="auto"/>
          <w:kern w:val="0"/>
          <w:sz w:val="24"/>
          <w:szCs w:val="24"/>
          <w:highlight w:val="none"/>
          <w:u w:val="single"/>
        </w:rPr>
        <w:t xml:space="preserve">  一年 </w:t>
      </w:r>
      <w:r>
        <w:rPr>
          <w:rFonts w:hint="eastAsia" w:ascii="宋体" w:hAnsi="宋体" w:cs="宋体"/>
          <w:color w:val="auto"/>
          <w:kern w:val="0"/>
          <w:sz w:val="24"/>
          <w:szCs w:val="24"/>
          <w:highlight w:val="none"/>
        </w:rPr>
        <w:t xml:space="preserve"> 。</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20.2 承包人完成下列工作的约定</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（3） 提交支付申请和工程款额报告期限</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w:t>
      </w:r>
      <w:r>
        <w:rPr>
          <w:rFonts w:hint="eastAsia" w:ascii="黑体" w:hAnsi="黑体" w:eastAsia="黑体" w:cs="黑体"/>
          <w:color w:val="auto"/>
          <w:kern w:val="0"/>
          <w:sz w:val="24"/>
          <w:szCs w:val="24"/>
          <w:highlight w:val="none"/>
        </w:rPr>
        <w:t xml:space="preserve">■ </w:t>
      </w:r>
      <w:r>
        <w:rPr>
          <w:rFonts w:hint="eastAsia" w:ascii="宋体" w:hAnsi="宋体" w:cs="宋体"/>
          <w:color w:val="auto"/>
          <w:kern w:val="0"/>
          <w:sz w:val="24"/>
          <w:szCs w:val="24"/>
          <w:highlight w:val="none"/>
        </w:rPr>
        <w:t>按通用条款第80.2款、第81.1款、第83.1款等规定期限提交。</w:t>
      </w:r>
    </w:p>
    <w:p>
      <w:pPr>
        <w:shd w:val="clear" w:color="000000" w:fill="auto"/>
        <w:spacing w:line="360" w:lineRule="auto"/>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 xml:space="preserve">  □ 另作约定：</w:t>
      </w:r>
      <w:r>
        <w:rPr>
          <w:rFonts w:hint="eastAsia" w:ascii="宋体" w:hAnsi="宋体" w:cs="宋体"/>
          <w:color w:val="auto"/>
          <w:kern w:val="0"/>
          <w:sz w:val="24"/>
          <w:szCs w:val="24"/>
          <w:highlight w:val="none"/>
          <w:u w:val="single"/>
        </w:rPr>
        <w:t xml:space="preserve">    /          </w:t>
      </w:r>
    </w:p>
    <w:p>
      <w:pPr>
        <w:shd w:val="clear" w:color="000000" w:fill="auto"/>
        <w:spacing w:line="360" w:lineRule="auto"/>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 xml:space="preserve"> （5） 向发包人提供施工场地办公和生活的房屋及设施的数量和时间等要求：</w:t>
      </w:r>
      <w:r>
        <w:rPr>
          <w:rFonts w:hint="eastAsia" w:ascii="宋体" w:hAnsi="宋体" w:cs="宋体"/>
          <w:color w:val="auto"/>
          <w:kern w:val="0"/>
          <w:sz w:val="24"/>
          <w:szCs w:val="24"/>
          <w:highlight w:val="none"/>
          <w:u w:val="single"/>
        </w:rPr>
        <w:t xml:space="preserve"> / </w:t>
      </w:r>
    </w:p>
    <w:p>
      <w:pPr>
        <w:shd w:val="clear" w:color="000000" w:fill="auto"/>
        <w:spacing w:line="360" w:lineRule="auto"/>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 xml:space="preserve"> （6） 办完施工场地交通、环境保护、施工噪声、</w:t>
      </w:r>
      <w:r>
        <w:rPr>
          <w:rFonts w:hint="eastAsia" w:ascii="宋体" w:hAnsi="宋体" w:cs="宋体"/>
          <w:color w:val="auto"/>
          <w:sz w:val="24"/>
          <w:szCs w:val="24"/>
          <w:highlight w:val="none"/>
        </w:rPr>
        <w:t>绿色施工安全防护</w:t>
      </w:r>
      <w:r>
        <w:rPr>
          <w:rFonts w:hint="eastAsia" w:ascii="宋体" w:hAnsi="宋体" w:cs="宋体"/>
          <w:color w:val="auto"/>
          <w:kern w:val="0"/>
          <w:sz w:val="24"/>
          <w:szCs w:val="24"/>
          <w:highlight w:val="none"/>
        </w:rPr>
        <w:t>等手续的时间：</w:t>
      </w:r>
      <w:r>
        <w:rPr>
          <w:rFonts w:hint="eastAsia" w:ascii="宋体" w:hAnsi="宋体" w:cs="宋体"/>
          <w:color w:val="auto"/>
          <w:kern w:val="0"/>
          <w:sz w:val="24"/>
          <w:szCs w:val="24"/>
          <w:highlight w:val="none"/>
          <w:u w:val="single"/>
        </w:rPr>
        <w:t xml:space="preserve">按通用条款执行。 </w:t>
      </w:r>
    </w:p>
    <w:p>
      <w:pPr>
        <w:shd w:val="clear" w:color="000000" w:fill="auto"/>
        <w:spacing w:line="360" w:lineRule="auto"/>
        <w:ind w:firstLine="120" w:firstLineChars="50"/>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（8） 做好施工场地地下管线和邻近建筑物、构筑物（包括文物保护建筑）、古树名木保护工作的约定：</w:t>
      </w:r>
      <w:r>
        <w:rPr>
          <w:rFonts w:hint="eastAsia" w:ascii="宋体" w:hAnsi="宋体" w:cs="宋体"/>
          <w:color w:val="auto"/>
          <w:kern w:val="0"/>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hint="eastAsia" w:ascii="宋体" w:hAnsi="宋体" w:cs="宋体"/>
          <w:color w:val="auto"/>
          <w:kern w:val="0"/>
          <w:sz w:val="24"/>
          <w:szCs w:val="24"/>
          <w:highlight w:val="none"/>
          <w:u w:val="single"/>
        </w:rPr>
        <w:t xml:space="preserve"> </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（9） 保证施工场地的清洁和做好交工前施工现场清理工作的约定：</w:t>
      </w:r>
      <w:r>
        <w:rPr>
          <w:rFonts w:hint="eastAsia" w:ascii="宋体" w:hAnsi="宋体" w:cs="宋体"/>
          <w:color w:val="auto"/>
          <w:sz w:val="24"/>
          <w:szCs w:val="24"/>
          <w:highlight w:val="none"/>
          <w:u w:val="single"/>
        </w:rPr>
        <w:t>承包人应保持现场整洁，保证卫生要求，合理地安排临时设施，存放和处置好设备及材料，及时清运垃圾和余泥，处理好污水、余泥排放。工程完工后，承包人应立即从施工现场搬走或清除承包人的设备、材料、垃圾以及各种临时设施，并保持施工现场和工程清洁整齐，但承包人应保留他为在缺陷责任期内履行其义务而需要的材料、设备和临时设施，其费用已包含在承包人的投标报价中，不另行计量支付</w:t>
      </w:r>
      <w:r>
        <w:rPr>
          <w:rFonts w:hint="eastAsia" w:ascii="宋体" w:hAnsi="宋体" w:cs="宋体"/>
          <w:color w:val="auto"/>
          <w:kern w:val="0"/>
          <w:sz w:val="24"/>
          <w:szCs w:val="24"/>
          <w:highlight w:val="none"/>
          <w:u w:val="single"/>
        </w:rPr>
        <w:t>。</w:t>
      </w:r>
      <w:r>
        <w:rPr>
          <w:rFonts w:hint="eastAsia" w:ascii="宋体" w:hAnsi="宋体" w:cs="宋体"/>
          <w:color w:val="auto"/>
          <w:kern w:val="0"/>
          <w:sz w:val="24"/>
          <w:szCs w:val="24"/>
          <w:highlight w:val="none"/>
        </w:rPr>
        <w:t xml:space="preserve">    </w:t>
      </w:r>
    </w:p>
    <w:p>
      <w:pPr>
        <w:numPr>
          <w:ilvl w:val="0"/>
          <w:numId w:val="29"/>
        </w:num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提交竣工验收申请报告和竣工结算文件</w:t>
      </w:r>
    </w:p>
    <w:p>
      <w:pPr>
        <w:shd w:val="clear" w:color="000000" w:fill="auto"/>
        <w:spacing w:line="360" w:lineRule="auto"/>
        <w:ind w:left="12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w:t>
      </w:r>
      <w:r>
        <w:rPr>
          <w:rFonts w:hint="eastAsia" w:ascii="黑体" w:hAnsi="黑体" w:eastAsia="黑体" w:cs="黑体"/>
          <w:color w:val="auto"/>
          <w:kern w:val="0"/>
          <w:sz w:val="24"/>
          <w:szCs w:val="24"/>
          <w:highlight w:val="none"/>
        </w:rPr>
        <w:t>■</w:t>
      </w:r>
      <w:r>
        <w:rPr>
          <w:rFonts w:hint="eastAsia" w:ascii="Times New Roman" w:hAnsi="Times New Roman" w:eastAsia="黑体" w:cs="Times New Roman"/>
          <w:color w:val="auto"/>
          <w:kern w:val="0"/>
          <w:sz w:val="24"/>
          <w:szCs w:val="24"/>
          <w:highlight w:val="none"/>
        </w:rPr>
        <w:t xml:space="preserve"> </w:t>
      </w:r>
      <w:r>
        <w:rPr>
          <w:rFonts w:hint="eastAsia" w:ascii="宋体" w:hAnsi="宋体" w:cs="宋体"/>
          <w:color w:val="auto"/>
          <w:kern w:val="0"/>
          <w:sz w:val="24"/>
          <w:szCs w:val="24"/>
          <w:highlight w:val="none"/>
        </w:rPr>
        <w:t>按通用条款第82.2款规定提交。</w:t>
      </w:r>
    </w:p>
    <w:p>
      <w:pPr>
        <w:shd w:val="clear" w:color="000000" w:fill="auto"/>
        <w:spacing w:line="360" w:lineRule="auto"/>
        <w:ind w:left="120"/>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 xml:space="preserve"> □ 另作约定：</w:t>
      </w:r>
      <w:r>
        <w:rPr>
          <w:rFonts w:hint="eastAsia" w:ascii="宋体" w:hAnsi="宋体" w:cs="宋体"/>
          <w:color w:val="auto"/>
          <w:kern w:val="0"/>
          <w:sz w:val="24"/>
          <w:szCs w:val="24"/>
          <w:highlight w:val="none"/>
          <w:u w:val="single"/>
        </w:rPr>
        <w:t xml:space="preserve">   /   </w:t>
      </w:r>
    </w:p>
    <w:p>
      <w:pPr>
        <w:shd w:val="clear" w:color="000000" w:fill="auto"/>
        <w:spacing w:line="360" w:lineRule="auto"/>
        <w:ind w:left="120"/>
        <w:rPr>
          <w:rFonts w:ascii="宋体" w:hAnsi="宋体" w:cs="宋体"/>
          <w:color w:val="auto"/>
          <w:kern w:val="0"/>
          <w:sz w:val="24"/>
          <w:szCs w:val="24"/>
          <w:highlight w:val="none"/>
        </w:rPr>
      </w:pPr>
      <w:r>
        <w:rPr>
          <w:rFonts w:hint="eastAsia" w:ascii="宋体" w:hAnsi="宋体" w:cs="宋体"/>
          <w:color w:val="auto"/>
          <w:kern w:val="0"/>
          <w:sz w:val="24"/>
          <w:szCs w:val="24"/>
          <w:highlight w:val="none"/>
        </w:rPr>
        <w:t>增加（11）款内容如下：</w:t>
      </w:r>
    </w:p>
    <w:p>
      <w:pPr>
        <w:shd w:val="clear" w:color="000000" w:fill="auto"/>
        <w:spacing w:line="360" w:lineRule="auto"/>
        <w:ind w:left="120"/>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u w:val="single"/>
        </w:rPr>
        <w:t>（11）</w:t>
      </w:r>
      <w:r>
        <w:rPr>
          <w:rFonts w:hint="eastAsia" w:ascii="宋体" w:hAnsi="宋体" w:cs="宋体"/>
          <w:color w:val="auto"/>
          <w:sz w:val="24"/>
          <w:szCs w:val="24"/>
          <w:highlight w:val="none"/>
          <w:u w:val="single"/>
        </w:rPr>
        <w:t>双方约定承包人应做的其他工作：</w:t>
      </w:r>
    </w:p>
    <w:p>
      <w:pPr>
        <w:shd w:val="clear" w:color="000000" w:fill="auto"/>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lang w:val="en-US" w:eastAsia="zh-CN"/>
        </w:rPr>
        <w:t>A</w:t>
      </w:r>
      <w:r>
        <w:rPr>
          <w:rFonts w:hint="eastAsia" w:ascii="宋体" w:hAnsi="宋体" w:cs="宋体"/>
          <w:color w:val="auto"/>
          <w:sz w:val="24"/>
          <w:szCs w:val="24"/>
          <w:highlight w:val="none"/>
          <w:u w:val="single"/>
        </w:rPr>
        <w:t>、工人工资的支付</w:t>
      </w:r>
    </w:p>
    <w:p>
      <w:pPr>
        <w:shd w:val="clear" w:color="000000" w:fill="auto"/>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1）承包人应当按照依法签订的集体合同或劳动合同约定的标准和日期按月支付工资，并不得低于当地最低工资标准。</w:t>
      </w:r>
    </w:p>
    <w:p>
      <w:pPr>
        <w:shd w:val="clear" w:color="000000" w:fill="auto"/>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2）承包人支付工人工资应编制工资支付表，如实记录支付表，支付时间、支付对象、支付数额等工资支付情况并在工地现场公示，并报发包人备查。</w:t>
      </w:r>
    </w:p>
    <w:p>
      <w:pPr>
        <w:shd w:val="clear" w:color="000000" w:fill="auto"/>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3）承包人应对其专业分包或劳务分包单位工资支付的情况进行监督，督促其依法支付工人工资并承担连带责任。</w:t>
      </w:r>
    </w:p>
    <w:p>
      <w:pPr>
        <w:shd w:val="clear" w:color="000000" w:fill="auto"/>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4）承包人应按国家、省、市有关规定按时支付工人工资，否则，视为违约。</w:t>
      </w:r>
    </w:p>
    <w:p>
      <w:pPr>
        <w:shd w:val="clear" w:color="000000" w:fill="auto"/>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如承包人因拖欠工人工资或材料商材料款而被反映到发包人处，需发包人出面协调，经发包人调查了解属实且确定为承包人责任的，每发生1次，承包人须承担一般违约责任1次；如因上述的拖欠，造成较大社会影响，或确属承包人责任且经发包人出面协调3次以上承包人仍拒不执行的，承包人除必须承担严重违约责任外，发包人还有权将其拖欠的金额从应付工程款中直接支付给被拖欠方。</w:t>
      </w:r>
    </w:p>
    <w:p>
      <w:pPr>
        <w:shd w:val="clear" w:color="000000" w:fill="auto"/>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5）承包人按进度报请工程款时，须将工程款中工人工资单列。</w:t>
      </w:r>
    </w:p>
    <w:p>
      <w:pPr>
        <w:shd w:val="clear" w:color="000000" w:fill="auto"/>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lang w:val="en-US" w:eastAsia="zh-CN"/>
        </w:rPr>
        <w:t>6</w:t>
      </w:r>
      <w:r>
        <w:rPr>
          <w:rFonts w:hint="eastAsia" w:ascii="宋体" w:hAnsi="宋体" w:cs="宋体"/>
          <w:color w:val="auto"/>
          <w:sz w:val="24"/>
          <w:szCs w:val="24"/>
          <w:highlight w:val="none"/>
          <w:u w:val="single"/>
        </w:rPr>
        <w:t>）承包人应当建立用工管理台账，真实、准确记录工人名册、劳动合同、劳务合同、工程进度、工时、劳务承包款和工人工资支付情况等信息，并保存两年以上备查。</w:t>
      </w:r>
    </w:p>
    <w:p>
      <w:pPr>
        <w:shd w:val="clear" w:color="000000" w:fill="auto"/>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lang w:val="en-US" w:eastAsia="zh-CN"/>
        </w:rPr>
        <w:t>B</w:t>
      </w:r>
      <w:r>
        <w:rPr>
          <w:rFonts w:hint="eastAsia" w:ascii="宋体" w:hAnsi="宋体" w:cs="宋体"/>
          <w:color w:val="auto"/>
          <w:sz w:val="24"/>
          <w:szCs w:val="24"/>
          <w:highlight w:val="none"/>
          <w:u w:val="single"/>
        </w:rPr>
        <w:t>、干扰与协调</w:t>
      </w:r>
    </w:p>
    <w:p>
      <w:pPr>
        <w:shd w:val="clear" w:color="000000" w:fill="auto"/>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承包人应当清楚地预计到施工期间对外界可能产生的不可避免的干扰，并为此保证主动努力减少这些干扰对外界的影响。</w:t>
      </w:r>
    </w:p>
    <w:p>
      <w:pPr>
        <w:shd w:val="clear" w:color="000000" w:fill="auto"/>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lang w:val="en-US" w:eastAsia="zh-CN"/>
        </w:rPr>
        <w:t>C</w:t>
      </w:r>
      <w:r>
        <w:rPr>
          <w:rFonts w:hint="eastAsia" w:ascii="宋体" w:hAnsi="宋体" w:cs="宋体"/>
          <w:color w:val="auto"/>
          <w:sz w:val="24"/>
          <w:szCs w:val="24"/>
          <w:highlight w:val="none"/>
          <w:u w:val="single"/>
        </w:rPr>
        <w:t>、其他</w:t>
      </w:r>
    </w:p>
    <w:p>
      <w:pPr>
        <w:shd w:val="clear" w:color="000000" w:fill="auto"/>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1）施工场地临时设施搭拆、使用费、迁移费用、恢复费用由承包人自付，同时承包人应承担场地设施、地下管网的保护和修复费用，相关费用均包含在投标报价中。</w:t>
      </w:r>
    </w:p>
    <w:p>
      <w:pPr>
        <w:shd w:val="clear" w:color="000000" w:fill="auto"/>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2）合同所附格式，先由承包人提出格式建议，经监理单位和发包人调整后按统一格式执行。</w:t>
      </w:r>
    </w:p>
    <w:p>
      <w:pPr>
        <w:shd w:val="clear" w:color="000000" w:fill="auto"/>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3）根据工程需要，承包人提供和维修白天或夜间施工使用的照明、围栏设施，并负责安全保卫。承包人应按照广州市建设委员会制定的《广州市住房和城乡建设局等9部门关于印发广州市建设工程绿色施工围蔽指导图集（V2.0版）的通知》（穗建质【2020】1号）文件的要求对施工现场采取必要的围蔽设施，保持施工现场的文明、有序，同时与周边坏境进行必要的隔离，保证施工人员以及过往行人、车辆的安全，其为履行此项义务而需要的各项材料、设备和临时设施，其费用已包含在中标价格中。若承包人不按规定进行围蔽，则发包人有权扣除围蔽相关费用。若承包人未履行上述义务造成工程、财产、人身损害等，由承包人承担责任及因此所发生的一切费用。</w:t>
      </w:r>
    </w:p>
    <w:p>
      <w:pPr>
        <w:shd w:val="clear" w:color="000000" w:fill="auto"/>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4）根据工程需要，承包人应采用计算机信息管理技术建立相应的信息技术网络，以便与发包人、各有关单位进行数据交换，提高工作效率。承包人应负责将网络终端接至发包人、监理单位。上述所发生的费用，由承包人承担。</w:t>
      </w:r>
    </w:p>
    <w:p>
      <w:pPr>
        <w:shd w:val="clear" w:color="000000" w:fill="auto"/>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lang w:val="en-US" w:eastAsia="zh-CN"/>
        </w:rPr>
        <w:t>5</w:t>
      </w:r>
      <w:r>
        <w:rPr>
          <w:rFonts w:hint="eastAsia" w:ascii="宋体" w:hAnsi="宋体" w:cs="宋体"/>
          <w:color w:val="auto"/>
          <w:sz w:val="24"/>
          <w:szCs w:val="24"/>
          <w:highlight w:val="none"/>
          <w:u w:val="single"/>
        </w:rPr>
        <w:t>）在承包人进场后，承包人应作为本项目施工场地总负责人，负责施工场地安全和文明施工管理，承担一切安全保卫义务，依照《广东省建设厅建筑工程安全防护、文明施工措施费用管理办法》（粤建管[2007]39 号）、《广州市建设工程文明施工管理规定》（2018年广州市人民政府令第158号修）、及《建筑施工安全检查标准》（JGJ59-2011）的有关规定进行施工。</w:t>
      </w:r>
    </w:p>
    <w:p>
      <w:pPr>
        <w:shd w:val="clear" w:color="000000" w:fill="auto"/>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承包人不按文明施工要求和规定进行施工，在发包人发出通知7日内，承包人应按要求进行整改，如承包人不整改或整改后仍达不到要求的，发包人有权委托第三人进行整改，所发生的费用由承包人承担，发包人可在应付的合同费用或履约保证金内直接抵扣，造成发包人损失的，承包人还应赔偿相应的损失。</w:t>
      </w:r>
    </w:p>
    <w:p>
      <w:pPr>
        <w:shd w:val="clear" w:color="000000" w:fill="auto"/>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lang w:val="en-US" w:eastAsia="zh-CN"/>
        </w:rPr>
        <w:t>6</w:t>
      </w:r>
      <w:r>
        <w:rPr>
          <w:rFonts w:hint="eastAsia" w:ascii="宋体" w:hAnsi="宋体" w:cs="宋体"/>
          <w:color w:val="auto"/>
          <w:sz w:val="24"/>
          <w:szCs w:val="24"/>
          <w:highlight w:val="none"/>
          <w:u w:val="single"/>
        </w:rPr>
        <w:t>）施工过程中承包人造价编制、算量（包括抽钢筋、砌筑装修、安装各专业、室外工程等）和审核均应使用正版广联达软件。</w:t>
      </w:r>
    </w:p>
    <w:p>
      <w:pPr>
        <w:shd w:val="clear" w:color="000000" w:fill="auto"/>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lang w:val="en-US" w:eastAsia="zh-CN"/>
        </w:rPr>
        <w:t>7</w:t>
      </w:r>
      <w:r>
        <w:rPr>
          <w:rFonts w:hint="eastAsia" w:ascii="宋体" w:hAnsi="宋体" w:cs="宋体"/>
          <w:color w:val="auto"/>
          <w:sz w:val="24"/>
          <w:szCs w:val="24"/>
          <w:highlight w:val="none"/>
          <w:u w:val="single"/>
        </w:rPr>
        <w:t>）承包人应按本项目绿色建筑标准编制组织方案并负责办理有关手续、标示。</w:t>
      </w:r>
    </w:p>
    <w:p>
      <w:pPr>
        <w:shd w:val="clear" w:color="000000" w:fill="auto"/>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lang w:val="en-US" w:eastAsia="zh-CN"/>
        </w:rPr>
        <w:t>8</w:t>
      </w:r>
      <w:r>
        <w:rPr>
          <w:rFonts w:hint="eastAsia" w:ascii="宋体" w:hAnsi="宋体" w:cs="宋体"/>
          <w:color w:val="auto"/>
          <w:sz w:val="24"/>
          <w:szCs w:val="24"/>
          <w:highlight w:val="none"/>
          <w:u w:val="single"/>
        </w:rPr>
        <w:t>）若需要，承包人应按发包人要求承担本项目需深化设计的工作，提供有关图纸、效果图等供发包人审核，并按审核意见进行修改，所有深化图纸必须满足国家相关规范要求、并能通过相关部门验收要求。深化图纸的费用已包含在投标报价中，发包人不予以计量支付。</w:t>
      </w:r>
    </w:p>
    <w:p>
      <w:pPr>
        <w:shd w:val="clear" w:color="000000" w:fill="auto"/>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lang w:val="en-US" w:eastAsia="zh-CN"/>
        </w:rPr>
        <w:t>9</w:t>
      </w:r>
      <w:r>
        <w:rPr>
          <w:rFonts w:hint="eastAsia" w:ascii="宋体" w:hAnsi="宋体" w:cs="宋体"/>
          <w:color w:val="auto"/>
          <w:sz w:val="24"/>
          <w:szCs w:val="24"/>
          <w:highlight w:val="none"/>
          <w:u w:val="single"/>
        </w:rPr>
        <w:t>）承包人在领取中标通知书之前须向招标代理单位交纳招标代理服务费。招标代理费用以中标价为基数，根据国家计委2002年颁发的《招标代理服务收费管理暂行办法》（计价格【2002】1980号文）及发改价格[2011]534号文的相关规定，按工程招标类型计取。招标代理服务费已包含在投标报价中，发包人不予以计量支付。</w:t>
      </w:r>
    </w:p>
    <w:p>
      <w:pPr>
        <w:shd w:val="clear" w:color="000000" w:fill="auto"/>
        <w:spacing w:line="360" w:lineRule="auto"/>
        <w:ind w:firstLine="480" w:firstLineChars="200"/>
        <w:rPr>
          <w:color w:val="auto"/>
          <w:highlight w:val="none"/>
        </w:rPr>
      </w:pPr>
      <w:r>
        <w:rPr>
          <w:rFonts w:hint="eastAsia" w:ascii="宋体" w:hAnsi="宋体" w:cs="宋体"/>
          <w:color w:val="auto"/>
          <w:sz w:val="24"/>
          <w:szCs w:val="24"/>
          <w:highlight w:val="none"/>
          <w:u w:val="single"/>
          <w:lang w:val="en-US" w:eastAsia="zh-CN"/>
        </w:rPr>
        <w:t>10</w:t>
      </w:r>
      <w:r>
        <w:rPr>
          <w:rFonts w:hint="eastAsia" w:ascii="宋体" w:hAnsi="宋体" w:cs="宋体"/>
          <w:color w:val="auto"/>
          <w:sz w:val="24"/>
          <w:szCs w:val="24"/>
          <w:highlight w:val="none"/>
          <w:u w:val="single"/>
        </w:rPr>
        <w:t>）承包人须严格按照国家、省、市的相关防疫要求执行防疫措施，防疫用品及物资等费用已包含在综合单价中，发包人不再另行支付。如因承包人自身原因导致施工现场受疫情影响无法施工，工期不予顺延。</w:t>
      </w:r>
    </w:p>
    <w:p>
      <w:pPr>
        <w:shd w:val="clear" w:color="000000" w:fill="auto"/>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合同签订并生效后，如政府部门出台疫情防控相关强制性规定或要求，则按照政府规定和要求执行。</w:t>
      </w:r>
    </w:p>
    <w:p>
      <w:pPr>
        <w:pStyle w:val="2"/>
        <w:rPr>
          <w:color w:val="auto"/>
          <w:highlight w:val="none"/>
        </w:rPr>
      </w:pPr>
    </w:p>
    <w:p>
      <w:pPr>
        <w:shd w:val="clear" w:color="000000" w:fill="auto"/>
        <w:spacing w:line="360" w:lineRule="auto"/>
        <w:ind w:left="12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20.4 承包人提供施工所需劳务、材料、国产设备、施工设备和其他物品的约定：</w:t>
      </w:r>
      <w:r>
        <w:rPr>
          <w:rFonts w:hint="eastAsia" w:ascii="宋体" w:hAnsi="宋体" w:cs="宋体"/>
          <w:color w:val="auto"/>
          <w:sz w:val="24"/>
          <w:szCs w:val="24"/>
          <w:highlight w:val="none"/>
          <w:u w:val="single"/>
        </w:rPr>
        <w:t>按通用条款的规定执行</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 xml:space="preserve"> </w:t>
      </w:r>
    </w:p>
    <w:p>
      <w:pPr>
        <w:pStyle w:val="4"/>
        <w:numPr>
          <w:ilvl w:val="0"/>
          <w:numId w:val="0"/>
        </w:numPr>
        <w:shd w:val="clear" w:color="000000" w:fill="auto"/>
        <w:tabs>
          <w:tab w:val="left" w:pos="420"/>
        </w:tabs>
        <w:spacing w:before="0" w:line="360" w:lineRule="auto"/>
        <w:rPr>
          <w:rFonts w:ascii="仿宋" w:hAnsi="仿宋" w:eastAsia="仿宋" w:cs="Times New Roman"/>
          <w:b/>
          <w:bCs/>
          <w:color w:val="auto"/>
          <w:sz w:val="24"/>
          <w:szCs w:val="24"/>
          <w:highlight w:val="none"/>
        </w:rPr>
      </w:pPr>
      <w:bookmarkStart w:id="484" w:name="_Toc9417"/>
      <w:bookmarkStart w:id="485" w:name="_Toc10624936"/>
      <w:bookmarkStart w:id="486" w:name="_Toc469384092"/>
      <w:bookmarkStart w:id="487" w:name="_Toc4893"/>
      <w:r>
        <w:rPr>
          <w:rFonts w:ascii="仿宋" w:hAnsi="仿宋" w:eastAsia="仿宋" w:cs="仿宋"/>
          <w:b/>
          <w:bCs/>
          <w:color w:val="auto"/>
          <w:sz w:val="24"/>
          <w:szCs w:val="24"/>
          <w:highlight w:val="none"/>
        </w:rPr>
        <w:t xml:space="preserve">21. </w:t>
      </w:r>
      <w:r>
        <w:rPr>
          <w:rFonts w:hint="eastAsia" w:ascii="仿宋" w:hAnsi="仿宋" w:eastAsia="仿宋" w:cs="仿宋"/>
          <w:b/>
          <w:bCs/>
          <w:color w:val="auto"/>
          <w:sz w:val="24"/>
          <w:szCs w:val="24"/>
          <w:highlight w:val="none"/>
        </w:rPr>
        <w:t>现场管理人员任命和更换</w:t>
      </w:r>
      <w:bookmarkEnd w:id="484"/>
      <w:bookmarkEnd w:id="485"/>
      <w:bookmarkEnd w:id="486"/>
      <w:bookmarkEnd w:id="487"/>
    </w:p>
    <w:p>
      <w:pPr>
        <w:shd w:val="clear" w:color="000000" w:fill="auto"/>
        <w:spacing w:line="360" w:lineRule="auto"/>
        <w:ind w:left="12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21.1 发包人现场管理人员任命和更换：</w:t>
      </w:r>
      <w:r>
        <w:rPr>
          <w:rFonts w:hint="eastAsia" w:ascii="宋体" w:hAnsi="宋体" w:cs="宋体"/>
          <w:color w:val="auto"/>
          <w:kern w:val="0"/>
          <w:sz w:val="24"/>
          <w:szCs w:val="24"/>
          <w:highlight w:val="none"/>
          <w:u w:val="single"/>
        </w:rPr>
        <w:t xml:space="preserve">  </w:t>
      </w:r>
      <w:r>
        <w:rPr>
          <w:rFonts w:hint="eastAsia" w:ascii="宋体" w:hAnsi="宋体" w:cs="宋体"/>
          <w:color w:val="auto"/>
          <w:sz w:val="24"/>
          <w:szCs w:val="24"/>
          <w:highlight w:val="none"/>
          <w:u w:val="single"/>
        </w:rPr>
        <w:t>按通用条款的规定执行。</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 xml:space="preserve">     </w:t>
      </w:r>
    </w:p>
    <w:p>
      <w:pPr>
        <w:shd w:val="clear" w:color="000000" w:fill="auto"/>
        <w:spacing w:line="360" w:lineRule="auto"/>
        <w:ind w:left="120"/>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 xml:space="preserve"> 21.2 承包人代表任命和更换：</w:t>
      </w:r>
    </w:p>
    <w:p>
      <w:pPr>
        <w:shd w:val="clear" w:color="000000" w:fill="auto"/>
        <w:spacing w:line="360" w:lineRule="auto"/>
        <w:ind w:left="120"/>
        <w:rPr>
          <w:rFonts w:ascii="宋体" w:hAnsi="宋体" w:cs="宋体"/>
          <w:color w:val="auto"/>
          <w:kern w:val="0"/>
          <w:sz w:val="24"/>
          <w:szCs w:val="24"/>
          <w:highlight w:val="none"/>
        </w:rPr>
      </w:pPr>
      <w:r>
        <w:rPr>
          <w:rFonts w:hint="eastAsia" w:ascii="宋体" w:hAnsi="宋体" w:cs="宋体"/>
          <w:color w:val="auto"/>
          <w:kern w:val="0"/>
          <w:sz w:val="24"/>
          <w:szCs w:val="24"/>
          <w:highlight w:val="none"/>
        </w:rPr>
        <w:t>将21.2款修改为如下内容：</w:t>
      </w:r>
    </w:p>
    <w:p>
      <w:pPr>
        <w:shd w:val="clear" w:color="000000" w:fill="auto"/>
        <w:spacing w:line="360" w:lineRule="auto"/>
        <w:ind w:left="120" w:leftChars="57" w:firstLine="120" w:firstLineChars="50"/>
        <w:rPr>
          <w:rFonts w:ascii="宋体" w:hAnsi="宋体" w:cs="宋体"/>
          <w:color w:val="auto"/>
          <w:kern w:val="0"/>
          <w:sz w:val="24"/>
          <w:szCs w:val="24"/>
          <w:highlight w:val="none"/>
        </w:rPr>
      </w:pPr>
      <w:r>
        <w:rPr>
          <w:rFonts w:hint="eastAsia" w:ascii="宋体" w:hAnsi="宋体" w:cs="宋体"/>
          <w:color w:val="auto"/>
          <w:kern w:val="0"/>
          <w:sz w:val="24"/>
          <w:szCs w:val="24"/>
          <w:highlight w:val="none"/>
        </w:rPr>
        <w:t>21.2 承包人代表任命和更换：</w:t>
      </w:r>
    </w:p>
    <w:p>
      <w:pPr>
        <w:shd w:val="clear" w:color="000000" w:fill="auto"/>
        <w:spacing w:line="360" w:lineRule="auto"/>
        <w:ind w:left="120" w:leftChars="57" w:firstLine="120" w:firstLineChars="50"/>
        <w:rPr>
          <w:rFonts w:ascii="宋体" w:hAnsi="宋体" w:cs="宋体"/>
          <w:color w:val="auto"/>
          <w:kern w:val="0"/>
          <w:sz w:val="24"/>
          <w:szCs w:val="24"/>
          <w:highlight w:val="none"/>
        </w:rPr>
      </w:pPr>
      <w:r>
        <w:rPr>
          <w:rFonts w:hint="eastAsia" w:ascii="宋体" w:hAnsi="宋体" w:cs="宋体"/>
          <w:color w:val="auto"/>
          <w:kern w:val="0"/>
          <w:sz w:val="24"/>
          <w:szCs w:val="24"/>
          <w:highlight w:val="none"/>
        </w:rPr>
        <w:t>承包人应任命代表承包人工作的承包人代表，该代表应为投标文件所载明的拟安排于本工程的项目经理及项目技术负责人，并在专用条款中写明，承包人不得弄虚作假，使用仅为挂靠关系不具体履行本工程项下义务的具备注册建造师资质的人员担任承包人代表。</w:t>
      </w:r>
    </w:p>
    <w:p>
      <w:pPr>
        <w:shd w:val="clear" w:color="000000" w:fill="auto"/>
        <w:spacing w:line="360" w:lineRule="auto"/>
        <w:ind w:left="120"/>
        <w:rPr>
          <w:rFonts w:ascii="宋体" w:hAnsi="宋体" w:cs="宋体"/>
          <w:color w:val="auto"/>
          <w:kern w:val="0"/>
          <w:sz w:val="24"/>
          <w:szCs w:val="24"/>
          <w:highlight w:val="none"/>
        </w:rPr>
      </w:pPr>
      <w:r>
        <w:rPr>
          <w:rFonts w:hint="eastAsia" w:ascii="宋体" w:hAnsi="宋体" w:cs="宋体"/>
          <w:color w:val="auto"/>
          <w:kern w:val="0"/>
          <w:sz w:val="24"/>
          <w:szCs w:val="24"/>
          <w:highlight w:val="none"/>
        </w:rPr>
        <w:t>承包人代表除发生下列情形之一外，不得更换：</w:t>
      </w:r>
    </w:p>
    <w:p>
      <w:pPr>
        <w:shd w:val="clear" w:color="000000" w:fill="auto"/>
        <w:spacing w:line="360" w:lineRule="auto"/>
        <w:ind w:left="120" w:leftChars="57" w:firstLine="240" w:firstLineChars="1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 因重病或重伤(持有县、区以上医院证明)两个月以上不能履行职责的；</w:t>
      </w:r>
    </w:p>
    <w:p>
      <w:pPr>
        <w:shd w:val="clear" w:color="000000" w:fill="auto"/>
        <w:spacing w:line="360" w:lineRule="auto"/>
        <w:ind w:left="120" w:leftChars="57" w:firstLine="240" w:firstLineChars="1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 死亡的；</w:t>
      </w:r>
    </w:p>
    <w:p>
      <w:pPr>
        <w:shd w:val="clear" w:color="000000" w:fill="auto"/>
        <w:spacing w:line="360" w:lineRule="auto"/>
        <w:ind w:left="120" w:leftChars="57" w:firstLine="240" w:firstLineChars="1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 主动辞职或调离原工作单位的；</w:t>
      </w:r>
    </w:p>
    <w:p>
      <w:pPr>
        <w:shd w:val="clear" w:color="000000" w:fill="auto"/>
        <w:spacing w:line="360" w:lineRule="auto"/>
        <w:ind w:left="120" w:leftChars="57" w:firstLine="240" w:firstLineChars="1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 因管理原因发生重大工程质量、安全隐患且整改不力，监理人、发包人认为该代表不称职需要更换的；</w:t>
      </w:r>
    </w:p>
    <w:p>
      <w:pPr>
        <w:shd w:val="clear" w:color="000000" w:fill="auto"/>
        <w:spacing w:line="360" w:lineRule="auto"/>
        <w:ind w:left="120" w:leftChars="57" w:firstLine="240" w:firstLineChars="1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 无能力履行合同的责任和义务，造成严重后果，委托人要求更换的；</w:t>
      </w:r>
    </w:p>
    <w:p>
      <w:pPr>
        <w:shd w:val="clear" w:color="000000" w:fill="auto"/>
        <w:spacing w:line="360" w:lineRule="auto"/>
        <w:ind w:left="120" w:leftChars="57" w:firstLine="240" w:firstLineChars="100"/>
        <w:rPr>
          <w:rFonts w:ascii="宋体" w:hAnsi="宋体" w:cs="宋体"/>
          <w:color w:val="auto"/>
          <w:kern w:val="0"/>
          <w:sz w:val="24"/>
          <w:szCs w:val="24"/>
          <w:highlight w:val="none"/>
        </w:rPr>
      </w:pPr>
      <w:r>
        <w:rPr>
          <w:rFonts w:hint="eastAsia" w:ascii="宋体" w:hAnsi="宋体" w:cs="宋体"/>
          <w:color w:val="auto"/>
          <w:kern w:val="0"/>
          <w:sz w:val="24"/>
          <w:szCs w:val="24"/>
          <w:highlight w:val="none"/>
        </w:rPr>
        <w:t>(6) 因违法被责令停止执业的；</w:t>
      </w:r>
    </w:p>
    <w:p>
      <w:pPr>
        <w:shd w:val="clear" w:color="000000" w:fill="auto"/>
        <w:spacing w:line="360" w:lineRule="auto"/>
        <w:ind w:left="120" w:leftChars="57" w:firstLine="240" w:firstLineChars="100"/>
        <w:rPr>
          <w:rFonts w:ascii="宋体" w:hAnsi="宋体" w:cs="宋体"/>
          <w:color w:val="auto"/>
          <w:kern w:val="0"/>
          <w:sz w:val="24"/>
          <w:szCs w:val="24"/>
          <w:highlight w:val="none"/>
        </w:rPr>
      </w:pPr>
      <w:r>
        <w:rPr>
          <w:rFonts w:hint="eastAsia" w:ascii="宋体" w:hAnsi="宋体" w:cs="宋体"/>
          <w:color w:val="auto"/>
          <w:kern w:val="0"/>
          <w:sz w:val="24"/>
          <w:szCs w:val="24"/>
          <w:highlight w:val="none"/>
        </w:rPr>
        <w:t>(7) 被司法机关羁押或判刑的。</w:t>
      </w:r>
    </w:p>
    <w:p>
      <w:pPr>
        <w:shd w:val="clear" w:color="000000" w:fill="auto"/>
        <w:spacing w:line="360" w:lineRule="auto"/>
        <w:ind w:left="120" w:leftChars="57" w:firstLine="240" w:firstLineChars="100"/>
        <w:rPr>
          <w:rFonts w:ascii="宋体" w:hAnsi="宋体" w:cs="宋体"/>
          <w:color w:val="auto"/>
          <w:kern w:val="0"/>
          <w:sz w:val="24"/>
          <w:szCs w:val="24"/>
          <w:highlight w:val="none"/>
        </w:rPr>
      </w:pPr>
      <w:r>
        <w:rPr>
          <w:rFonts w:hint="eastAsia" w:ascii="宋体" w:hAnsi="宋体" w:cs="宋体"/>
          <w:color w:val="auto"/>
          <w:kern w:val="0"/>
          <w:sz w:val="24"/>
          <w:szCs w:val="24"/>
          <w:highlight w:val="none"/>
        </w:rPr>
        <w:t>承包人除发生上述情形外自行更换承包人代表，其更换无效。因上述第（1）点、第(2)点原因更换承包人代表的，发包人不予以追究违约责任；因上述第（3）点、第(4)点原因更换承包人代表的，发包人将扣除工程合同款40万元/次计; 因上述第（5）点、第(6)点、第(7)点原因更换承包人代表的，发包人将扣除工程合同款100万元/次计；款项在工程结算时扣除。</w:t>
      </w:r>
    </w:p>
    <w:p>
      <w:pPr>
        <w:shd w:val="clear" w:color="000000" w:fill="auto"/>
        <w:spacing w:line="360" w:lineRule="auto"/>
        <w:ind w:left="120" w:leftChars="57" w:firstLine="240" w:firstLineChars="100"/>
        <w:rPr>
          <w:rFonts w:ascii="宋体" w:hAnsi="宋体" w:cs="宋体"/>
          <w:color w:val="auto"/>
          <w:kern w:val="0"/>
          <w:sz w:val="24"/>
          <w:szCs w:val="24"/>
          <w:highlight w:val="none"/>
        </w:rPr>
      </w:pPr>
      <w:r>
        <w:rPr>
          <w:rFonts w:hint="eastAsia" w:ascii="宋体" w:hAnsi="宋体" w:cs="宋体"/>
          <w:color w:val="auto"/>
          <w:kern w:val="0"/>
          <w:sz w:val="24"/>
          <w:szCs w:val="24"/>
          <w:highlight w:val="none"/>
        </w:rPr>
        <w:t>承包人如需更换承包人代表，应具备下列条件：</w:t>
      </w:r>
    </w:p>
    <w:p>
      <w:pPr>
        <w:shd w:val="clear" w:color="000000" w:fill="auto"/>
        <w:spacing w:line="360" w:lineRule="auto"/>
        <w:ind w:left="120" w:leftChars="57"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（1）新更换的承包人代表必须与投标时所报承包人代表的专业一致且资格等级一致或高于；</w:t>
      </w:r>
    </w:p>
    <w:p>
      <w:pPr>
        <w:shd w:val="clear" w:color="000000" w:fill="auto"/>
        <w:spacing w:line="360" w:lineRule="auto"/>
        <w:ind w:left="120" w:leftChars="57"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（2）不能同时在其他工程项目中服务；</w:t>
      </w:r>
    </w:p>
    <w:p>
      <w:pPr>
        <w:shd w:val="clear" w:color="000000" w:fill="auto"/>
        <w:spacing w:line="360" w:lineRule="auto"/>
        <w:ind w:left="120" w:leftChars="57" w:firstLine="360" w:firstLineChars="150"/>
        <w:rPr>
          <w:rFonts w:ascii="宋体" w:hAnsi="宋体" w:cs="宋体"/>
          <w:color w:val="auto"/>
          <w:kern w:val="0"/>
          <w:sz w:val="24"/>
          <w:szCs w:val="24"/>
          <w:highlight w:val="none"/>
        </w:rPr>
      </w:pPr>
      <w:r>
        <w:rPr>
          <w:rFonts w:hint="eastAsia" w:ascii="宋体" w:hAnsi="宋体" w:cs="宋体"/>
          <w:color w:val="auto"/>
          <w:kern w:val="0"/>
          <w:sz w:val="24"/>
          <w:szCs w:val="24"/>
          <w:highlight w:val="none"/>
        </w:rPr>
        <w:t>（3）至少提前7天以书面形式通知发包人，并征得发包人书面同意。</w:t>
      </w:r>
    </w:p>
    <w:p>
      <w:pPr>
        <w:shd w:val="clear" w:color="000000" w:fill="auto"/>
        <w:spacing w:line="360" w:lineRule="auto"/>
        <w:ind w:left="120" w:leftChars="57" w:firstLine="360" w:firstLineChars="150"/>
        <w:rPr>
          <w:rFonts w:ascii="宋体" w:hAnsi="宋体" w:cs="宋体"/>
          <w:color w:val="auto"/>
          <w:kern w:val="0"/>
          <w:sz w:val="24"/>
          <w:szCs w:val="24"/>
          <w:highlight w:val="none"/>
        </w:rPr>
      </w:pPr>
      <w:r>
        <w:rPr>
          <w:rFonts w:hint="eastAsia" w:ascii="宋体" w:hAnsi="宋体" w:cs="宋体"/>
          <w:color w:val="auto"/>
          <w:kern w:val="0"/>
          <w:sz w:val="24"/>
          <w:szCs w:val="24"/>
          <w:highlight w:val="none"/>
        </w:rPr>
        <w:t>（4）更换时间超过7天,每超过一天，承包人需向发包人支付违约金人民币10000元。</w:t>
      </w:r>
    </w:p>
    <w:p>
      <w:pPr>
        <w:shd w:val="clear" w:color="000000" w:fill="auto"/>
        <w:spacing w:line="360" w:lineRule="auto"/>
        <w:ind w:left="12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w:t>
      </w:r>
    </w:p>
    <w:p>
      <w:pPr>
        <w:shd w:val="clear" w:color="000000" w:fill="auto"/>
        <w:spacing w:line="360" w:lineRule="auto"/>
        <w:ind w:left="12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21.3 监理工程师代表任命和撤回：</w:t>
      </w:r>
      <w:r>
        <w:rPr>
          <w:rFonts w:hint="eastAsia" w:ascii="宋体" w:hAnsi="宋体" w:cs="宋体"/>
          <w:color w:val="auto"/>
          <w:kern w:val="0"/>
          <w:sz w:val="24"/>
          <w:szCs w:val="24"/>
          <w:highlight w:val="none"/>
          <w:u w:val="single"/>
        </w:rPr>
        <w:t xml:space="preserve"> </w:t>
      </w:r>
      <w:r>
        <w:rPr>
          <w:rFonts w:hint="eastAsia" w:ascii="宋体" w:hAnsi="宋体" w:cs="宋体"/>
          <w:color w:val="auto"/>
          <w:sz w:val="24"/>
          <w:szCs w:val="24"/>
          <w:highlight w:val="none"/>
          <w:u w:val="single"/>
        </w:rPr>
        <w:t>按通用条款的规定执行。</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 xml:space="preserve"> </w:t>
      </w:r>
    </w:p>
    <w:p>
      <w:pPr>
        <w:shd w:val="clear" w:color="000000" w:fill="auto"/>
        <w:spacing w:line="360" w:lineRule="auto"/>
        <w:ind w:left="12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造价工程师代表任命和撤回：</w:t>
      </w:r>
      <w:r>
        <w:rPr>
          <w:rFonts w:hint="eastAsia" w:ascii="宋体" w:hAnsi="宋体" w:cs="宋体"/>
          <w:color w:val="auto"/>
          <w:kern w:val="0"/>
          <w:sz w:val="24"/>
          <w:szCs w:val="24"/>
          <w:highlight w:val="none"/>
          <w:u w:val="single"/>
        </w:rPr>
        <w:t xml:space="preserve">  </w:t>
      </w:r>
      <w:r>
        <w:rPr>
          <w:rFonts w:hint="eastAsia" w:ascii="宋体" w:hAnsi="宋体" w:cs="宋体"/>
          <w:color w:val="auto"/>
          <w:sz w:val="24"/>
          <w:szCs w:val="24"/>
          <w:highlight w:val="none"/>
          <w:u w:val="single"/>
        </w:rPr>
        <w:t>按通用条款的规定执行。</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 xml:space="preserve">   </w:t>
      </w:r>
    </w:p>
    <w:p>
      <w:pPr>
        <w:shd w:val="clear" w:color="000000" w:fill="auto"/>
        <w:spacing w:line="360" w:lineRule="auto"/>
        <w:ind w:left="12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21.4 承包人代表授权人选任命和撤回：</w:t>
      </w:r>
      <w:r>
        <w:rPr>
          <w:rFonts w:hint="eastAsia" w:ascii="宋体" w:hAnsi="宋体" w:cs="宋体"/>
          <w:color w:val="auto"/>
          <w:kern w:val="0"/>
          <w:sz w:val="24"/>
          <w:szCs w:val="24"/>
          <w:highlight w:val="none"/>
          <w:u w:val="single"/>
        </w:rPr>
        <w:t xml:space="preserve">  /       </w:t>
      </w:r>
      <w:r>
        <w:rPr>
          <w:rFonts w:hint="eastAsia" w:ascii="宋体" w:hAnsi="宋体" w:cs="宋体"/>
          <w:color w:val="auto"/>
          <w:kern w:val="0"/>
          <w:sz w:val="24"/>
          <w:szCs w:val="24"/>
          <w:highlight w:val="none"/>
        </w:rPr>
        <w:t xml:space="preserve">   </w:t>
      </w:r>
    </w:p>
    <w:p>
      <w:pPr>
        <w:shd w:val="clear" w:color="000000" w:fill="auto"/>
        <w:spacing w:line="360" w:lineRule="auto"/>
        <w:ind w:left="120"/>
        <w:rPr>
          <w:rFonts w:ascii="宋体" w:hAnsi="宋体" w:cs="宋体"/>
          <w:color w:val="auto"/>
          <w:kern w:val="0"/>
          <w:sz w:val="24"/>
          <w:szCs w:val="24"/>
          <w:highlight w:val="none"/>
        </w:rPr>
      </w:pPr>
      <w:r>
        <w:rPr>
          <w:rFonts w:hint="eastAsia" w:ascii="宋体" w:hAnsi="宋体" w:cs="宋体"/>
          <w:color w:val="auto"/>
          <w:kern w:val="0"/>
          <w:sz w:val="24"/>
          <w:szCs w:val="24"/>
          <w:highlight w:val="none"/>
        </w:rPr>
        <w:t>增加21.5款、21.6款、21.7款、21.8款如下：</w:t>
      </w:r>
    </w:p>
    <w:p>
      <w:pPr>
        <w:shd w:val="clear" w:color="000000" w:fill="auto"/>
        <w:spacing w:line="360" w:lineRule="auto"/>
        <w:ind w:left="120" w:leftChars="57"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21.5 承包人的项目负责人（即项目经理）须每月至少驻场22天指挥及处理工程现场，如若违反，发包人有权追究承包人的违约责任，即驻场每月少于22天的，每少一天（不足一天的按一天计算），承包方应向发包方支付人民币50000元的违约金。</w:t>
      </w:r>
    </w:p>
    <w:p>
      <w:pPr>
        <w:shd w:val="clear" w:color="000000" w:fill="auto"/>
        <w:spacing w:line="360" w:lineRule="auto"/>
        <w:ind w:left="120" w:leftChars="57"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21.6由发包人组织的工程会议或监理组织的每周工地例会，项目经理和项目技术负责人必须出席（经发包人批准除外），每缺席一次扣除合同价款按人民币20000元/人计，发包人作好记录，工程结算时扣除。</w:t>
      </w:r>
    </w:p>
    <w:p>
      <w:pPr>
        <w:shd w:val="clear" w:color="000000" w:fill="auto"/>
        <w:spacing w:line="360" w:lineRule="auto"/>
        <w:ind w:left="120" w:leftChars="57"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21.7若现场管理机构主要部门负责人的实际工作能力和工作表现达不到招标文件明确要求、或工作态度存在严重不足，不适应现场工作需要，发包人有权向承包人提出撤换。承包人可以提出整改意见；如发包人不予接受，则承包人必须在7天内无条件撤换，所调换来人员的资质、资历、学历、职称、业绩、实际工作能力不低于原投标书中所承诺人员的综合素质；每更换一次扣除工程合同款按人民币40万元/次计，发包人将作好记录，工程结算时扣除。</w:t>
      </w:r>
    </w:p>
    <w:p>
      <w:pPr>
        <w:shd w:val="clear" w:color="000000" w:fill="auto"/>
        <w:spacing w:line="360" w:lineRule="auto"/>
        <w:ind w:left="120" w:leftChars="57"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上述人员若是承包人提出更换且发包人同意的，更换一次扣除工程合同款按人民币20万元/次计，发包人将作好记录，工程结算时扣除。</w:t>
      </w:r>
    </w:p>
    <w:p>
      <w:pPr>
        <w:shd w:val="clear" w:color="000000" w:fill="auto"/>
        <w:spacing w:line="360" w:lineRule="auto"/>
        <w:ind w:left="120" w:leftChars="57"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更换时间超过7天,每超过一天，承包人需向发包人支付违约金人民币10000元。</w:t>
      </w:r>
    </w:p>
    <w:p>
      <w:pPr>
        <w:shd w:val="clear" w:color="000000" w:fill="auto"/>
        <w:spacing w:line="360" w:lineRule="auto"/>
        <w:ind w:left="120" w:leftChars="57"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21.8承包人以下人员，经发包人要求，须在48小时内调离本工程范围，同时，承包人应在48小时内用经发包人批准的合格人员代替调离的任何人员。承包人未按发包人要求调离人员的，每天每人次向发包人支付违约金人民币5000元。</w:t>
      </w:r>
    </w:p>
    <w:p>
      <w:pPr>
        <w:shd w:val="clear" w:color="000000" w:fill="auto"/>
        <w:spacing w:line="360" w:lineRule="auto"/>
        <w:ind w:left="120" w:leftChars="57"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（1）发包人确认无法胜任工作者，包括对工程进度及施工质量达不到合同要求负有责任的施工人员、不熟悉熟练本专业工作的施工人员、工作责任心不强的施工人员等；</w:t>
      </w:r>
    </w:p>
    <w:p>
      <w:pPr>
        <w:shd w:val="clear" w:color="000000" w:fill="auto"/>
        <w:spacing w:line="360" w:lineRule="auto"/>
        <w:ind w:left="120" w:leftChars="57"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（2）不能积极配合发包人及监理正常工作（包括领导参观等）者；</w:t>
      </w:r>
    </w:p>
    <w:p>
      <w:pPr>
        <w:shd w:val="clear" w:color="000000" w:fill="auto"/>
        <w:spacing w:line="360" w:lineRule="auto"/>
        <w:ind w:left="120" w:leftChars="57"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（3）违反发包人或承包人工地现场管理规定者；</w:t>
      </w:r>
    </w:p>
    <w:p>
      <w:pPr>
        <w:shd w:val="clear" w:color="000000" w:fill="auto"/>
        <w:spacing w:line="360" w:lineRule="auto"/>
        <w:ind w:left="120" w:leftChars="57"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（4）无证上岗者（适用于按规定必须有上岗证者）；</w:t>
      </w:r>
    </w:p>
    <w:p>
      <w:pPr>
        <w:shd w:val="clear" w:color="000000" w:fill="auto"/>
        <w:spacing w:line="360" w:lineRule="auto"/>
        <w:ind w:left="120" w:leftChars="57"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（5）与本合同规定名册不符者；</w:t>
      </w:r>
    </w:p>
    <w:p>
      <w:pPr>
        <w:shd w:val="clear" w:color="000000" w:fill="auto"/>
        <w:spacing w:line="360" w:lineRule="auto"/>
        <w:ind w:left="120" w:leftChars="57"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（6）与本工程施工无关的人员。</w:t>
      </w:r>
    </w:p>
    <w:p>
      <w:pPr>
        <w:shd w:val="clear" w:color="000000" w:fill="auto"/>
        <w:spacing w:line="360" w:lineRule="auto"/>
        <w:ind w:left="120"/>
        <w:rPr>
          <w:rFonts w:asciiTheme="minorEastAsia" w:hAnsiTheme="minorEastAsia" w:eastAsiaTheme="minorEastAsia" w:cstheme="minorEastAsia"/>
          <w:color w:val="auto"/>
          <w:kern w:val="0"/>
          <w:sz w:val="24"/>
          <w:szCs w:val="24"/>
          <w:highlight w:val="none"/>
        </w:rPr>
      </w:pPr>
    </w:p>
    <w:p>
      <w:pPr>
        <w:pStyle w:val="4"/>
        <w:numPr>
          <w:ilvl w:val="0"/>
          <w:numId w:val="0"/>
        </w:numPr>
        <w:shd w:val="clear" w:color="000000" w:fill="auto"/>
        <w:tabs>
          <w:tab w:val="left" w:pos="420"/>
        </w:tabs>
        <w:spacing w:before="0" w:line="360" w:lineRule="auto"/>
        <w:rPr>
          <w:rFonts w:asciiTheme="minorEastAsia" w:hAnsiTheme="minorEastAsia" w:eastAsiaTheme="minorEastAsia" w:cstheme="minorEastAsia"/>
          <w:b/>
          <w:bCs/>
          <w:color w:val="auto"/>
          <w:sz w:val="24"/>
          <w:szCs w:val="24"/>
          <w:highlight w:val="none"/>
        </w:rPr>
      </w:pPr>
      <w:bookmarkStart w:id="488" w:name="_Toc1307"/>
      <w:bookmarkStart w:id="489" w:name="_Toc10624937"/>
      <w:bookmarkStart w:id="490" w:name="_Toc469384093"/>
      <w:bookmarkStart w:id="491" w:name="_Toc8108"/>
      <w:r>
        <w:rPr>
          <w:rFonts w:hint="eastAsia" w:asciiTheme="minorEastAsia" w:hAnsiTheme="minorEastAsia" w:eastAsiaTheme="minorEastAsia" w:cstheme="minorEastAsia"/>
          <w:b/>
          <w:bCs/>
          <w:color w:val="auto"/>
          <w:sz w:val="24"/>
          <w:szCs w:val="24"/>
          <w:highlight w:val="none"/>
        </w:rPr>
        <w:t>22. 发包人代表</w:t>
      </w:r>
      <w:bookmarkEnd w:id="488"/>
      <w:bookmarkEnd w:id="489"/>
      <w:bookmarkEnd w:id="490"/>
      <w:bookmarkEnd w:id="491"/>
    </w:p>
    <w:p>
      <w:pPr>
        <w:shd w:val="clear" w:color="000000" w:fill="auto"/>
        <w:spacing w:line="360" w:lineRule="auto"/>
        <w:ind w:left="120"/>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 22.1 发包人代表及其权力的限制</w:t>
      </w:r>
    </w:p>
    <w:p>
      <w:pPr>
        <w:shd w:val="clear" w:color="000000" w:fill="auto"/>
        <w:spacing w:line="360" w:lineRule="auto"/>
        <w:ind w:left="120"/>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 （1） 发包人任命（      ）为发包人代表，其通讯方式为</w:t>
      </w:r>
    </w:p>
    <w:p>
      <w:pPr>
        <w:shd w:val="clear" w:color="000000" w:fill="auto"/>
        <w:spacing w:line="360" w:lineRule="auto"/>
        <w:ind w:left="120"/>
        <w:rPr>
          <w:rFonts w:asciiTheme="minorEastAsia" w:hAnsiTheme="minorEastAsia" w:eastAsiaTheme="minorEastAsia" w:cstheme="minorEastAsia"/>
          <w:color w:val="auto"/>
          <w:kern w:val="0"/>
          <w:sz w:val="24"/>
          <w:szCs w:val="24"/>
          <w:highlight w:val="none"/>
          <w:u w:val="single"/>
        </w:rPr>
      </w:pPr>
      <w:r>
        <w:rPr>
          <w:rFonts w:hint="eastAsia" w:asciiTheme="minorEastAsia" w:hAnsiTheme="minorEastAsia" w:eastAsiaTheme="minorEastAsia" w:cstheme="minorEastAsia"/>
          <w:color w:val="auto"/>
          <w:kern w:val="0"/>
          <w:sz w:val="24"/>
          <w:szCs w:val="24"/>
          <w:highlight w:val="none"/>
        </w:rPr>
        <w:t xml:space="preserve">     通讯地址：</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u w:val="single"/>
          <w:lang w:eastAsia="zh-CN"/>
        </w:rPr>
        <w:t>广州市番禺区市良路1342号</w:t>
      </w:r>
      <w:r>
        <w:rPr>
          <w:rFonts w:hint="eastAsia" w:asciiTheme="minorEastAsia" w:hAnsiTheme="minorEastAsia" w:eastAsiaTheme="minorEastAsia" w:cstheme="minorEastAsia"/>
          <w:color w:val="auto"/>
          <w:kern w:val="0"/>
          <w:sz w:val="24"/>
          <w:szCs w:val="24"/>
          <w:highlight w:val="none"/>
        </w:rPr>
        <w:t xml:space="preserve"> 邮政编码：</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r>
        <w:rPr>
          <w:rFonts w:hint="eastAsia" w:asciiTheme="minorEastAsia" w:hAnsiTheme="minorEastAsia" w:eastAsiaTheme="minorEastAsia" w:cstheme="minorEastAsia"/>
          <w:color w:val="auto"/>
          <w:kern w:val="0"/>
          <w:sz w:val="24"/>
          <w:szCs w:val="24"/>
          <w:highlight w:val="none"/>
          <w:u w:val="single"/>
        </w:rPr>
        <w:t xml:space="preserve"> </w:t>
      </w:r>
    </w:p>
    <w:p>
      <w:pPr>
        <w:shd w:val="clear" w:color="000000" w:fill="auto"/>
        <w:spacing w:line="360" w:lineRule="auto"/>
        <w:ind w:firstLine="240" w:firstLineChars="100"/>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 xml:space="preserve">    联系电话：</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传真号码：</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p>
    <w:p>
      <w:pPr>
        <w:shd w:val="clear" w:color="000000" w:fill="auto"/>
        <w:spacing w:line="360" w:lineRule="auto"/>
        <w:ind w:firstLine="240" w:firstLineChars="100"/>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（2） 发包人对发包人代表权力做如下限制：</w:t>
      </w:r>
      <w:r>
        <w:rPr>
          <w:rFonts w:hint="eastAsia" w:asciiTheme="minorEastAsia" w:hAnsiTheme="minorEastAsia" w:eastAsiaTheme="minorEastAsia" w:cstheme="minorEastAsia"/>
          <w:color w:val="auto"/>
          <w:sz w:val="24"/>
          <w:szCs w:val="24"/>
          <w:highlight w:val="none"/>
          <w:u w:val="single"/>
        </w:rPr>
        <w:t xml:space="preserve">  /      </w:t>
      </w:r>
    </w:p>
    <w:p>
      <w:pPr>
        <w:pStyle w:val="4"/>
        <w:numPr>
          <w:ilvl w:val="0"/>
          <w:numId w:val="0"/>
        </w:numPr>
        <w:shd w:val="clear" w:color="000000" w:fill="auto"/>
        <w:tabs>
          <w:tab w:val="left" w:pos="420"/>
        </w:tabs>
        <w:spacing w:before="0" w:line="360" w:lineRule="auto"/>
        <w:rPr>
          <w:rFonts w:ascii="仿宋" w:hAnsi="仿宋" w:eastAsia="仿宋" w:cs="Times New Roman"/>
          <w:b/>
          <w:bCs/>
          <w:color w:val="auto"/>
          <w:sz w:val="24"/>
          <w:szCs w:val="24"/>
          <w:highlight w:val="none"/>
        </w:rPr>
      </w:pPr>
      <w:bookmarkStart w:id="492" w:name="_Toc1165"/>
      <w:bookmarkStart w:id="493" w:name="_Toc8336"/>
      <w:bookmarkStart w:id="494" w:name="_Toc469384094"/>
      <w:bookmarkStart w:id="495" w:name="_Toc10624938"/>
      <w:r>
        <w:rPr>
          <w:rFonts w:ascii="仿宋" w:hAnsi="仿宋" w:eastAsia="仿宋" w:cs="仿宋"/>
          <w:b/>
          <w:bCs/>
          <w:color w:val="auto"/>
          <w:sz w:val="24"/>
          <w:szCs w:val="24"/>
          <w:highlight w:val="none"/>
        </w:rPr>
        <w:t xml:space="preserve">23. </w:t>
      </w:r>
      <w:r>
        <w:rPr>
          <w:rFonts w:hint="eastAsia" w:ascii="仿宋" w:hAnsi="仿宋" w:eastAsia="仿宋" w:cs="仿宋"/>
          <w:b/>
          <w:bCs/>
          <w:color w:val="auto"/>
          <w:sz w:val="24"/>
          <w:szCs w:val="24"/>
          <w:highlight w:val="none"/>
        </w:rPr>
        <w:t>监理工程师</w:t>
      </w:r>
      <w:bookmarkEnd w:id="492"/>
      <w:bookmarkEnd w:id="493"/>
      <w:bookmarkEnd w:id="494"/>
      <w:bookmarkEnd w:id="495"/>
    </w:p>
    <w:p>
      <w:pPr>
        <w:shd w:val="clear" w:color="000000" w:fill="auto"/>
        <w:spacing w:line="360" w:lineRule="auto"/>
        <w:ind w:firstLine="120" w:firstLineChars="50"/>
        <w:rPr>
          <w:rFonts w:ascii="宋体" w:hAnsi="宋体" w:cs="宋体"/>
          <w:color w:val="auto"/>
          <w:sz w:val="24"/>
          <w:szCs w:val="24"/>
          <w:highlight w:val="none"/>
        </w:rPr>
      </w:pPr>
      <w:r>
        <w:rPr>
          <w:rFonts w:hint="eastAsia" w:ascii="宋体" w:hAnsi="宋体" w:cs="宋体"/>
          <w:color w:val="auto"/>
          <w:sz w:val="24"/>
          <w:szCs w:val="24"/>
          <w:highlight w:val="none"/>
        </w:rPr>
        <w:t xml:space="preserve">  23.1 负责合同工程的监理人及任命的监理工程师</w:t>
      </w:r>
    </w:p>
    <w:p>
      <w:pPr>
        <w:shd w:val="clear" w:color="000000" w:fill="auto"/>
        <w:spacing w:line="360" w:lineRule="auto"/>
        <w:ind w:firstLine="360" w:firstLineChars="150"/>
        <w:rPr>
          <w:rFonts w:ascii="宋体" w:hAnsi="宋体" w:cs="宋体"/>
          <w:color w:val="auto"/>
          <w:sz w:val="24"/>
          <w:szCs w:val="24"/>
          <w:highlight w:val="none"/>
          <w:u w:val="single"/>
        </w:rPr>
      </w:pPr>
      <w:r>
        <w:rPr>
          <w:rFonts w:hint="eastAsia" w:ascii="宋体" w:hAnsi="宋体" w:cs="宋体"/>
          <w:color w:val="auto"/>
          <w:sz w:val="24"/>
          <w:szCs w:val="24"/>
          <w:highlight w:val="none"/>
        </w:rPr>
        <w:t>（1） 监理人：</w:t>
      </w:r>
      <w:r>
        <w:rPr>
          <w:rFonts w:hint="eastAsia" w:ascii="宋体" w:hAnsi="宋体" w:cs="宋体"/>
          <w:color w:val="auto"/>
          <w:kern w:val="0"/>
          <w:sz w:val="24"/>
          <w:szCs w:val="24"/>
          <w:highlight w:val="none"/>
          <w:u w:val="single"/>
        </w:rPr>
        <w:t xml:space="preserve">                 </w:t>
      </w:r>
      <w:r>
        <w:rPr>
          <w:rFonts w:hint="eastAsia" w:ascii="宋体" w:hAnsi="宋体" w:cs="宋体"/>
          <w:color w:val="auto"/>
          <w:sz w:val="24"/>
          <w:szCs w:val="24"/>
          <w:highlight w:val="none"/>
        </w:rPr>
        <w:t xml:space="preserve"> 法定代表人：</w:t>
      </w:r>
      <w:r>
        <w:rPr>
          <w:rFonts w:hint="eastAsia" w:ascii="宋体" w:hAnsi="宋体" w:cs="宋体"/>
          <w:color w:val="auto"/>
          <w:kern w:val="0"/>
          <w:sz w:val="24"/>
          <w:szCs w:val="24"/>
          <w:highlight w:val="none"/>
          <w:u w:val="single"/>
        </w:rPr>
        <w:t xml:space="preserve"> </w:t>
      </w:r>
      <w:r>
        <w:rPr>
          <w:rFonts w:hint="eastAsia" w:ascii="宋体" w:hAnsi="宋体" w:cs="宋体"/>
          <w:color w:val="auto"/>
          <w:sz w:val="24"/>
          <w:szCs w:val="24"/>
          <w:highlight w:val="none"/>
          <w:u w:val="single"/>
        </w:rPr>
        <w:t xml:space="preserve">  </w:t>
      </w:r>
    </w:p>
    <w:p>
      <w:pPr>
        <w:shd w:val="clear" w:color="000000" w:fill="auto"/>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 （2） 任命（</w:t>
      </w:r>
      <w:r>
        <w:rPr>
          <w:rFonts w:hint="eastAsia" w:ascii="宋体" w:hAnsi="宋体" w:cs="宋体"/>
          <w:color w:val="auto"/>
          <w:kern w:val="0"/>
          <w:sz w:val="24"/>
          <w:szCs w:val="24"/>
          <w:highlight w:val="none"/>
          <w:u w:val="single"/>
        </w:rPr>
        <w:t xml:space="preserve">   </w:t>
      </w:r>
      <w:r>
        <w:rPr>
          <w:rFonts w:hint="eastAsia" w:ascii="宋体" w:hAnsi="宋体" w:cs="宋体"/>
          <w:color w:val="auto"/>
          <w:sz w:val="24"/>
          <w:szCs w:val="24"/>
          <w:highlight w:val="none"/>
        </w:rPr>
        <w:t>）为监理工程师，其通讯方式为</w:t>
      </w:r>
    </w:p>
    <w:p>
      <w:pPr>
        <w:shd w:val="clear" w:color="000000" w:fill="auto"/>
        <w:spacing w:line="360" w:lineRule="auto"/>
        <w:ind w:left="120"/>
        <w:rPr>
          <w:rFonts w:ascii="宋体" w:hAnsi="宋体" w:cs="宋体"/>
          <w:color w:val="auto"/>
          <w:kern w:val="0"/>
          <w:sz w:val="24"/>
          <w:szCs w:val="24"/>
          <w:highlight w:val="none"/>
          <w:u w:val="single"/>
        </w:rPr>
      </w:pPr>
      <w:r>
        <w:rPr>
          <w:rFonts w:hint="eastAsia" w:ascii="宋体" w:hAnsi="宋体" w:cs="宋体"/>
          <w:color w:val="auto"/>
          <w:sz w:val="24"/>
          <w:szCs w:val="24"/>
          <w:highlight w:val="none"/>
        </w:rPr>
        <w:t xml:space="preserve">     </w:t>
      </w:r>
      <w:r>
        <w:rPr>
          <w:rFonts w:hint="eastAsia" w:ascii="宋体" w:hAnsi="宋体" w:cs="宋体"/>
          <w:color w:val="auto"/>
          <w:kern w:val="0"/>
          <w:sz w:val="24"/>
          <w:szCs w:val="24"/>
          <w:highlight w:val="none"/>
        </w:rPr>
        <w:t>通讯地址：</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 xml:space="preserve"> 邮政编码：</w:t>
      </w:r>
      <w:r>
        <w:rPr>
          <w:rFonts w:hint="eastAsia" w:ascii="宋体" w:hAnsi="宋体" w:cs="宋体"/>
          <w:color w:val="auto"/>
          <w:kern w:val="0"/>
          <w:sz w:val="24"/>
          <w:szCs w:val="24"/>
          <w:highlight w:val="none"/>
          <w:u w:val="single"/>
        </w:rPr>
        <w:t xml:space="preserve">          </w:t>
      </w:r>
    </w:p>
    <w:p>
      <w:pPr>
        <w:shd w:val="clear" w:color="000000" w:fill="auto"/>
        <w:spacing w:line="360" w:lineRule="auto"/>
        <w:ind w:firstLine="240" w:firstLineChars="100"/>
        <w:rPr>
          <w:rFonts w:ascii="宋体" w:hAnsi="宋体" w:cs="宋体"/>
          <w:color w:val="auto"/>
          <w:sz w:val="24"/>
          <w:szCs w:val="24"/>
          <w:highlight w:val="none"/>
          <w:u w:val="single"/>
        </w:rPr>
      </w:pPr>
      <w:r>
        <w:rPr>
          <w:rFonts w:hint="eastAsia" w:ascii="宋体" w:hAnsi="宋体" w:cs="宋体"/>
          <w:color w:val="auto"/>
          <w:sz w:val="24"/>
          <w:szCs w:val="24"/>
          <w:highlight w:val="none"/>
        </w:rPr>
        <w:t xml:space="preserve">    联系电话：</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传真号码：</w:t>
      </w:r>
      <w:r>
        <w:rPr>
          <w:rFonts w:hint="eastAsia" w:ascii="宋体" w:hAnsi="宋体" w:cs="宋体"/>
          <w:color w:val="auto"/>
          <w:sz w:val="24"/>
          <w:szCs w:val="24"/>
          <w:highlight w:val="none"/>
          <w:u w:val="single"/>
        </w:rPr>
        <w:t xml:space="preserve">      /       </w:t>
      </w:r>
    </w:p>
    <w:p>
      <w:pPr>
        <w:shd w:val="clear" w:color="000000" w:fill="auto"/>
        <w:spacing w:line="360" w:lineRule="auto"/>
        <w:ind w:firstLine="120" w:firstLineChars="50"/>
        <w:rPr>
          <w:rFonts w:ascii="宋体" w:hAnsi="宋体" w:cs="宋体"/>
          <w:color w:val="auto"/>
          <w:sz w:val="24"/>
          <w:szCs w:val="24"/>
          <w:highlight w:val="none"/>
          <w:u w:val="single"/>
        </w:rPr>
      </w:pPr>
      <w:r>
        <w:rPr>
          <w:rFonts w:hint="eastAsia" w:ascii="宋体" w:hAnsi="宋体" w:cs="宋体"/>
          <w:color w:val="auto"/>
          <w:sz w:val="24"/>
          <w:szCs w:val="24"/>
          <w:highlight w:val="none"/>
        </w:rPr>
        <w:t xml:space="preserve">  23.3 (12)需要发包人批准的其他事项：</w:t>
      </w:r>
      <w:r>
        <w:rPr>
          <w:rFonts w:hint="eastAsia" w:ascii="宋体" w:hAnsi="宋体" w:cs="宋体"/>
          <w:color w:val="auto"/>
          <w:sz w:val="24"/>
          <w:szCs w:val="24"/>
          <w:highlight w:val="none"/>
          <w:u w:val="single"/>
        </w:rPr>
        <w:t>采取可能会影响发包人或承包人权力和责任的行动时应在合同条款规定内,并兼顾所有条件的情况下，做出公正的处理。任何这种决定、意见、同意、表示满意、批准、确定的价值或采取的行动，均不应损害发包人，承包人的合法权益。</w:t>
      </w:r>
    </w:p>
    <w:p>
      <w:pPr>
        <w:pStyle w:val="4"/>
        <w:numPr>
          <w:ilvl w:val="0"/>
          <w:numId w:val="0"/>
        </w:numPr>
        <w:shd w:val="clear" w:color="000000" w:fill="auto"/>
        <w:tabs>
          <w:tab w:val="left" w:pos="420"/>
        </w:tabs>
        <w:spacing w:before="0"/>
        <w:rPr>
          <w:rFonts w:ascii="仿宋" w:hAnsi="仿宋" w:eastAsia="仿宋" w:cs="Times New Roman"/>
          <w:b/>
          <w:bCs/>
          <w:color w:val="auto"/>
          <w:sz w:val="24"/>
          <w:szCs w:val="24"/>
          <w:highlight w:val="none"/>
        </w:rPr>
      </w:pPr>
      <w:bookmarkStart w:id="496" w:name="_Toc2287"/>
      <w:bookmarkStart w:id="497" w:name="_Toc28516"/>
      <w:bookmarkStart w:id="498" w:name="_Toc10624939"/>
      <w:bookmarkStart w:id="499" w:name="_Toc469384095"/>
      <w:r>
        <w:rPr>
          <w:rFonts w:ascii="仿宋" w:hAnsi="仿宋" w:eastAsia="仿宋" w:cs="仿宋"/>
          <w:b/>
          <w:bCs/>
          <w:color w:val="auto"/>
          <w:sz w:val="24"/>
          <w:szCs w:val="24"/>
          <w:highlight w:val="none"/>
        </w:rPr>
        <w:t xml:space="preserve">24. </w:t>
      </w:r>
      <w:r>
        <w:rPr>
          <w:rFonts w:hint="eastAsia" w:ascii="仿宋" w:hAnsi="仿宋" w:eastAsia="仿宋" w:cs="仿宋"/>
          <w:b/>
          <w:bCs/>
          <w:color w:val="auto"/>
          <w:sz w:val="24"/>
          <w:szCs w:val="24"/>
          <w:highlight w:val="none"/>
        </w:rPr>
        <w:t>造价工程师</w:t>
      </w:r>
      <w:bookmarkEnd w:id="496"/>
      <w:bookmarkEnd w:id="497"/>
      <w:bookmarkEnd w:id="498"/>
      <w:bookmarkEnd w:id="499"/>
    </w:p>
    <w:p>
      <w:pPr>
        <w:shd w:val="clear" w:color="000000" w:fill="auto"/>
        <w:spacing w:line="360" w:lineRule="auto"/>
        <w:ind w:firstLine="120" w:firstLineChars="50"/>
        <w:rPr>
          <w:rFonts w:ascii="宋体" w:hAnsi="宋体" w:cs="宋体"/>
          <w:color w:val="auto"/>
          <w:sz w:val="24"/>
          <w:szCs w:val="24"/>
          <w:highlight w:val="none"/>
        </w:rPr>
      </w:pPr>
      <w:r>
        <w:rPr>
          <w:rFonts w:hint="eastAsia" w:ascii="宋体" w:hAnsi="宋体" w:cs="宋体"/>
          <w:color w:val="auto"/>
          <w:sz w:val="24"/>
          <w:szCs w:val="24"/>
          <w:highlight w:val="none"/>
        </w:rPr>
        <w:t xml:space="preserve">  24.1 负责合同工程的造价咨询单位及任命的造价工程师</w:t>
      </w:r>
    </w:p>
    <w:p>
      <w:pPr>
        <w:shd w:val="clear" w:color="000000" w:fill="auto"/>
        <w:spacing w:line="360" w:lineRule="auto"/>
        <w:ind w:firstLine="120" w:firstLineChars="50"/>
        <w:rPr>
          <w:rFonts w:ascii="宋体" w:hAnsi="宋体" w:cs="宋体"/>
          <w:color w:val="auto"/>
          <w:sz w:val="24"/>
          <w:szCs w:val="24"/>
          <w:highlight w:val="none"/>
          <w:u w:val="single"/>
        </w:rPr>
      </w:pPr>
      <w:r>
        <w:rPr>
          <w:rFonts w:hint="eastAsia" w:ascii="宋体" w:hAnsi="宋体" w:cs="宋体"/>
          <w:color w:val="auto"/>
          <w:sz w:val="24"/>
          <w:szCs w:val="24"/>
          <w:highlight w:val="none"/>
        </w:rPr>
        <w:t xml:space="preserve"> （1） 工程造价咨询人（如有）：</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法定代表人：</w:t>
      </w:r>
      <w:r>
        <w:rPr>
          <w:rFonts w:hint="eastAsia" w:ascii="宋体" w:hAnsi="宋体" w:cs="宋体"/>
          <w:color w:val="auto"/>
          <w:sz w:val="24"/>
          <w:szCs w:val="24"/>
          <w:highlight w:val="none"/>
          <w:u w:val="single"/>
        </w:rPr>
        <w:t xml:space="preserve">      </w:t>
      </w:r>
    </w:p>
    <w:p>
      <w:pPr>
        <w:shd w:val="clear" w:color="000000" w:fill="auto"/>
        <w:spacing w:line="360" w:lineRule="auto"/>
        <w:ind w:firstLine="120" w:firstLineChars="50"/>
        <w:rPr>
          <w:rFonts w:ascii="宋体" w:hAnsi="宋体" w:cs="宋体"/>
          <w:color w:val="auto"/>
          <w:sz w:val="24"/>
          <w:szCs w:val="24"/>
          <w:highlight w:val="none"/>
        </w:rPr>
      </w:pPr>
      <w:r>
        <w:rPr>
          <w:rFonts w:hint="eastAsia" w:ascii="宋体" w:hAnsi="宋体" w:cs="宋体"/>
          <w:color w:val="auto"/>
          <w:sz w:val="24"/>
          <w:szCs w:val="24"/>
          <w:highlight w:val="none"/>
        </w:rPr>
        <w:t xml:space="preserve">  （2） 任命（</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）为造价工程师，其通讯方式为</w:t>
      </w:r>
    </w:p>
    <w:p>
      <w:pPr>
        <w:shd w:val="clear" w:color="000000" w:fill="auto"/>
        <w:spacing w:line="360" w:lineRule="auto"/>
        <w:ind w:left="120"/>
        <w:rPr>
          <w:rFonts w:ascii="宋体" w:hAnsi="宋体" w:cs="宋体"/>
          <w:color w:val="auto"/>
          <w:kern w:val="0"/>
          <w:sz w:val="24"/>
          <w:szCs w:val="24"/>
          <w:highlight w:val="none"/>
          <w:u w:val="single"/>
        </w:rPr>
      </w:pPr>
      <w:r>
        <w:rPr>
          <w:rFonts w:hint="eastAsia" w:ascii="宋体" w:hAnsi="宋体" w:cs="宋体"/>
          <w:color w:val="auto"/>
          <w:sz w:val="24"/>
          <w:szCs w:val="24"/>
          <w:highlight w:val="none"/>
        </w:rPr>
        <w:t xml:space="preserve">      </w:t>
      </w:r>
      <w:r>
        <w:rPr>
          <w:rFonts w:hint="eastAsia" w:ascii="宋体" w:hAnsi="宋体" w:cs="宋体"/>
          <w:color w:val="auto"/>
          <w:kern w:val="0"/>
          <w:sz w:val="24"/>
          <w:szCs w:val="24"/>
          <w:highlight w:val="none"/>
        </w:rPr>
        <w:t>通讯地址：</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 xml:space="preserve"> 邮政编码：</w:t>
      </w:r>
      <w:r>
        <w:rPr>
          <w:rFonts w:hint="eastAsia" w:ascii="宋体" w:hAnsi="宋体" w:cs="宋体"/>
          <w:color w:val="auto"/>
          <w:kern w:val="0"/>
          <w:sz w:val="24"/>
          <w:szCs w:val="24"/>
          <w:highlight w:val="none"/>
          <w:u w:val="single"/>
        </w:rPr>
        <w:t xml:space="preserve">      </w:t>
      </w:r>
      <w:r>
        <w:rPr>
          <w:rFonts w:ascii="宋体" w:hAnsi="宋体" w:cs="宋体"/>
          <w:color w:val="auto"/>
          <w:kern w:val="0"/>
          <w:sz w:val="24"/>
          <w:szCs w:val="24"/>
          <w:highlight w:val="none"/>
          <w:u w:val="single"/>
        </w:rPr>
        <w:t>/</w:t>
      </w:r>
      <w:r>
        <w:rPr>
          <w:rFonts w:hint="eastAsia" w:ascii="宋体" w:hAnsi="宋体" w:cs="宋体"/>
          <w:color w:val="auto"/>
          <w:kern w:val="0"/>
          <w:sz w:val="24"/>
          <w:szCs w:val="24"/>
          <w:highlight w:val="none"/>
          <w:u w:val="single"/>
        </w:rPr>
        <w:t xml:space="preserve">        </w:t>
      </w:r>
    </w:p>
    <w:p>
      <w:pPr>
        <w:shd w:val="clear" w:color="000000" w:fill="auto"/>
        <w:spacing w:line="360" w:lineRule="auto"/>
        <w:ind w:firstLine="120" w:firstLineChars="50"/>
        <w:rPr>
          <w:rFonts w:ascii="宋体" w:hAnsi="宋体" w:cs="宋体"/>
          <w:color w:val="auto"/>
          <w:sz w:val="24"/>
          <w:szCs w:val="24"/>
          <w:highlight w:val="none"/>
          <w:u w:val="single"/>
        </w:rPr>
      </w:pPr>
      <w:r>
        <w:rPr>
          <w:rFonts w:hint="eastAsia" w:ascii="宋体" w:hAnsi="宋体" w:cs="宋体"/>
          <w:color w:val="auto"/>
          <w:sz w:val="24"/>
          <w:szCs w:val="24"/>
          <w:highlight w:val="none"/>
        </w:rPr>
        <w:t xml:space="preserve">      联系电话：</w:t>
      </w:r>
      <w:r>
        <w:rPr>
          <w:rFonts w:hint="eastAsia" w:ascii="宋体" w:hAnsi="宋体" w:cs="宋体"/>
          <w:color w:val="auto"/>
          <w:sz w:val="24"/>
          <w:szCs w:val="24"/>
          <w:highlight w:val="none"/>
          <w:u w:val="single"/>
        </w:rPr>
        <w:t xml:space="preserve">                /                  </w:t>
      </w:r>
      <w:r>
        <w:rPr>
          <w:rFonts w:hint="eastAsia" w:ascii="宋体" w:hAnsi="宋体" w:cs="宋体"/>
          <w:color w:val="auto"/>
          <w:sz w:val="24"/>
          <w:szCs w:val="24"/>
          <w:highlight w:val="none"/>
        </w:rPr>
        <w:t xml:space="preserve"> 传真号码：</w:t>
      </w:r>
      <w:r>
        <w:rPr>
          <w:rFonts w:hint="eastAsia" w:ascii="宋体" w:hAnsi="宋体" w:cs="宋体"/>
          <w:color w:val="auto"/>
          <w:sz w:val="24"/>
          <w:szCs w:val="24"/>
          <w:highlight w:val="none"/>
          <w:u w:val="single"/>
        </w:rPr>
        <w:t xml:space="preserve">      </w:t>
      </w:r>
      <w:r>
        <w:rPr>
          <w:rFonts w:ascii="宋体" w:hAnsi="宋体" w:cs="宋体"/>
          <w:color w:val="auto"/>
          <w:sz w:val="24"/>
          <w:szCs w:val="24"/>
          <w:highlight w:val="none"/>
          <w:u w:val="single"/>
        </w:rPr>
        <w:t>/</w:t>
      </w:r>
      <w:r>
        <w:rPr>
          <w:rFonts w:hint="eastAsia" w:ascii="宋体" w:hAnsi="宋体" w:cs="宋体"/>
          <w:color w:val="auto"/>
          <w:sz w:val="24"/>
          <w:szCs w:val="24"/>
          <w:highlight w:val="none"/>
          <w:u w:val="single"/>
        </w:rPr>
        <w:t xml:space="preserve">        </w:t>
      </w:r>
    </w:p>
    <w:p>
      <w:pPr>
        <w:shd w:val="clear" w:color="000000" w:fill="auto"/>
        <w:spacing w:line="360" w:lineRule="auto"/>
        <w:ind w:firstLine="120" w:firstLineChars="50"/>
        <w:rPr>
          <w:rFonts w:ascii="宋体" w:hAnsi="宋体" w:cs="宋体"/>
          <w:color w:val="auto"/>
          <w:sz w:val="24"/>
          <w:szCs w:val="24"/>
          <w:highlight w:val="none"/>
        </w:rPr>
      </w:pPr>
      <w:r>
        <w:rPr>
          <w:rFonts w:hint="eastAsia" w:ascii="宋体" w:hAnsi="宋体" w:cs="宋体"/>
          <w:color w:val="auto"/>
          <w:sz w:val="24"/>
          <w:szCs w:val="24"/>
          <w:highlight w:val="none"/>
        </w:rPr>
        <w:t xml:space="preserve">  24.3 （7）需要发包人批准的其他事项：</w:t>
      </w:r>
      <w:r>
        <w:rPr>
          <w:rFonts w:hint="eastAsia" w:ascii="宋体" w:hAnsi="宋体" w:cs="宋体"/>
          <w:color w:val="auto"/>
          <w:sz w:val="24"/>
          <w:szCs w:val="24"/>
          <w:highlight w:val="none"/>
          <w:u w:val="single"/>
        </w:rPr>
        <w:t xml:space="preserve">采取可能会影响发包人或承包人权力和责任的行动时应在合同条款规定内,并兼顾所有条件的情况下，做出公正的处理。任何这种决定、意见、同意、表示满意、批准、确定的价值或采取的行动，均不应损害发包人，承包人的合法权益。 </w:t>
      </w:r>
      <w:r>
        <w:rPr>
          <w:rFonts w:hint="eastAsia" w:ascii="宋体" w:hAnsi="宋体" w:cs="宋体"/>
          <w:color w:val="auto"/>
          <w:sz w:val="24"/>
          <w:szCs w:val="24"/>
          <w:highlight w:val="none"/>
        </w:rPr>
        <w:t xml:space="preserve">    </w:t>
      </w:r>
    </w:p>
    <w:p>
      <w:pPr>
        <w:pStyle w:val="4"/>
        <w:numPr>
          <w:ilvl w:val="0"/>
          <w:numId w:val="0"/>
        </w:numPr>
        <w:shd w:val="clear" w:color="000000" w:fill="auto"/>
        <w:tabs>
          <w:tab w:val="left" w:pos="420"/>
        </w:tabs>
        <w:spacing w:before="0"/>
        <w:rPr>
          <w:rFonts w:ascii="仿宋" w:hAnsi="仿宋" w:eastAsia="仿宋" w:cs="Times New Roman"/>
          <w:b/>
          <w:bCs/>
          <w:color w:val="auto"/>
          <w:sz w:val="24"/>
          <w:szCs w:val="24"/>
          <w:highlight w:val="none"/>
        </w:rPr>
      </w:pPr>
      <w:bookmarkStart w:id="500" w:name="_Toc30473"/>
      <w:bookmarkStart w:id="501" w:name="_Toc3998"/>
      <w:bookmarkStart w:id="502" w:name="_Toc10624940"/>
      <w:bookmarkStart w:id="503" w:name="_Toc469384096"/>
      <w:r>
        <w:rPr>
          <w:rFonts w:ascii="仿宋" w:hAnsi="仿宋" w:eastAsia="仿宋" w:cs="仿宋"/>
          <w:b/>
          <w:bCs/>
          <w:color w:val="auto"/>
          <w:sz w:val="24"/>
          <w:szCs w:val="24"/>
          <w:highlight w:val="none"/>
        </w:rPr>
        <w:t xml:space="preserve">25. </w:t>
      </w:r>
      <w:r>
        <w:rPr>
          <w:rFonts w:hint="eastAsia" w:ascii="仿宋" w:hAnsi="仿宋" w:eastAsia="仿宋" w:cs="仿宋"/>
          <w:b/>
          <w:bCs/>
          <w:color w:val="auto"/>
          <w:sz w:val="24"/>
          <w:szCs w:val="24"/>
          <w:highlight w:val="none"/>
        </w:rPr>
        <w:t>承包人代表</w:t>
      </w:r>
      <w:bookmarkEnd w:id="500"/>
      <w:bookmarkEnd w:id="501"/>
      <w:bookmarkEnd w:id="502"/>
      <w:bookmarkEnd w:id="503"/>
    </w:p>
    <w:p>
      <w:pPr>
        <w:shd w:val="clear" w:color="000000" w:fill="auto"/>
        <w:spacing w:line="360" w:lineRule="auto"/>
        <w:ind w:firstLine="120" w:firstLineChars="50"/>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pPr>
        <w:shd w:val="clear" w:color="000000" w:fill="auto"/>
        <w:spacing w:line="360" w:lineRule="auto"/>
        <w:ind w:firstLine="120" w:firstLineChars="50"/>
        <w:rPr>
          <w:rFonts w:ascii="宋体" w:hAnsi="宋体" w:cs="宋体"/>
          <w:color w:val="auto"/>
          <w:sz w:val="24"/>
          <w:szCs w:val="24"/>
          <w:highlight w:val="none"/>
        </w:rPr>
      </w:pPr>
      <w:r>
        <w:rPr>
          <w:rFonts w:hint="eastAsia" w:ascii="宋体" w:hAnsi="宋体" w:cs="宋体"/>
          <w:color w:val="auto"/>
          <w:sz w:val="24"/>
          <w:szCs w:val="24"/>
          <w:highlight w:val="none"/>
        </w:rPr>
        <w:t>25.1 承包人任命（     ）为承包人代表，其通讯方式为</w:t>
      </w:r>
    </w:p>
    <w:p>
      <w:pPr>
        <w:shd w:val="clear" w:color="000000" w:fill="auto"/>
        <w:spacing w:line="360" w:lineRule="auto"/>
        <w:ind w:left="120"/>
        <w:rPr>
          <w:rFonts w:ascii="宋体" w:hAnsi="宋体" w:cs="宋体"/>
          <w:color w:val="auto"/>
          <w:kern w:val="0"/>
          <w:sz w:val="24"/>
          <w:szCs w:val="24"/>
          <w:highlight w:val="none"/>
          <w:u w:val="single"/>
        </w:rPr>
      </w:pPr>
      <w:r>
        <w:rPr>
          <w:rFonts w:hint="eastAsia" w:ascii="宋体" w:hAnsi="宋体" w:cs="宋体"/>
          <w:color w:val="auto"/>
          <w:sz w:val="24"/>
          <w:szCs w:val="24"/>
          <w:highlight w:val="none"/>
        </w:rPr>
        <w:t xml:space="preserve">      </w:t>
      </w:r>
      <w:r>
        <w:rPr>
          <w:rFonts w:hint="eastAsia" w:ascii="宋体" w:hAnsi="宋体" w:cs="宋体"/>
          <w:color w:val="auto"/>
          <w:kern w:val="0"/>
          <w:sz w:val="24"/>
          <w:szCs w:val="24"/>
          <w:highlight w:val="none"/>
        </w:rPr>
        <w:t>通讯地址：</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 xml:space="preserve"> 邮政编码：</w:t>
      </w:r>
      <w:r>
        <w:rPr>
          <w:rFonts w:hint="eastAsia" w:ascii="宋体" w:hAnsi="宋体" w:cs="宋体"/>
          <w:color w:val="auto"/>
          <w:kern w:val="0"/>
          <w:sz w:val="24"/>
          <w:szCs w:val="24"/>
          <w:highlight w:val="none"/>
          <w:u w:val="single"/>
        </w:rPr>
        <w:t xml:space="preserve">              </w:t>
      </w:r>
    </w:p>
    <w:p>
      <w:pPr>
        <w:shd w:val="clear" w:color="000000" w:fill="auto"/>
        <w:spacing w:line="360" w:lineRule="auto"/>
        <w:ind w:firstLine="120" w:firstLineChars="50"/>
        <w:rPr>
          <w:rFonts w:ascii="宋体" w:hAnsi="宋体" w:cs="宋体"/>
          <w:color w:val="auto"/>
          <w:sz w:val="24"/>
          <w:szCs w:val="24"/>
          <w:highlight w:val="none"/>
        </w:rPr>
      </w:pPr>
      <w:r>
        <w:rPr>
          <w:rFonts w:hint="eastAsia" w:ascii="宋体" w:hAnsi="宋体" w:cs="宋体"/>
          <w:color w:val="auto"/>
          <w:sz w:val="24"/>
          <w:szCs w:val="24"/>
          <w:highlight w:val="none"/>
        </w:rPr>
        <w:t xml:space="preserve">      联系电话：</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传真号码：</w:t>
      </w:r>
      <w:r>
        <w:rPr>
          <w:rFonts w:hint="eastAsia" w:ascii="宋体" w:hAnsi="宋体" w:cs="宋体"/>
          <w:color w:val="auto"/>
          <w:sz w:val="24"/>
          <w:szCs w:val="24"/>
          <w:highlight w:val="none"/>
          <w:u w:val="single"/>
        </w:rPr>
        <w:t xml:space="preserve">              </w:t>
      </w:r>
    </w:p>
    <w:p>
      <w:pPr>
        <w:pStyle w:val="4"/>
        <w:numPr>
          <w:ilvl w:val="0"/>
          <w:numId w:val="0"/>
        </w:numPr>
        <w:shd w:val="clear" w:color="000000" w:fill="auto"/>
        <w:tabs>
          <w:tab w:val="left" w:pos="420"/>
        </w:tabs>
        <w:spacing w:before="0"/>
        <w:rPr>
          <w:rFonts w:ascii="仿宋" w:hAnsi="仿宋" w:eastAsia="仿宋" w:cs="Times New Roman"/>
          <w:b/>
          <w:bCs/>
          <w:color w:val="auto"/>
          <w:sz w:val="24"/>
          <w:szCs w:val="24"/>
          <w:highlight w:val="none"/>
        </w:rPr>
      </w:pPr>
      <w:bookmarkStart w:id="504" w:name="_Toc15505"/>
      <w:bookmarkStart w:id="505" w:name="_Toc10624941"/>
      <w:bookmarkStart w:id="506" w:name="_Toc31065"/>
      <w:bookmarkStart w:id="507" w:name="_Toc469384097"/>
      <w:r>
        <w:rPr>
          <w:rFonts w:ascii="仿宋" w:hAnsi="仿宋" w:eastAsia="仿宋" w:cs="仿宋"/>
          <w:b/>
          <w:bCs/>
          <w:color w:val="auto"/>
          <w:sz w:val="24"/>
          <w:szCs w:val="24"/>
          <w:highlight w:val="none"/>
        </w:rPr>
        <w:t xml:space="preserve">26. </w:t>
      </w:r>
      <w:r>
        <w:rPr>
          <w:rFonts w:hint="eastAsia" w:ascii="仿宋" w:hAnsi="仿宋" w:eastAsia="仿宋" w:cs="仿宋"/>
          <w:b/>
          <w:bCs/>
          <w:color w:val="auto"/>
          <w:sz w:val="24"/>
          <w:szCs w:val="24"/>
          <w:highlight w:val="none"/>
        </w:rPr>
        <w:t>指定分包人</w:t>
      </w:r>
      <w:bookmarkEnd w:id="504"/>
      <w:bookmarkEnd w:id="505"/>
      <w:bookmarkEnd w:id="506"/>
      <w:bookmarkEnd w:id="507"/>
    </w:p>
    <w:p>
      <w:pPr>
        <w:shd w:val="clear" w:color="000000" w:fill="auto"/>
        <w:spacing w:line="360" w:lineRule="auto"/>
        <w:ind w:firstLine="120" w:firstLineChars="50"/>
        <w:rPr>
          <w:rFonts w:ascii="宋体" w:hAnsi="宋体" w:cs="宋体"/>
          <w:color w:val="auto"/>
          <w:sz w:val="24"/>
          <w:szCs w:val="24"/>
          <w:highlight w:val="none"/>
        </w:rPr>
      </w:pPr>
      <w:r>
        <w:rPr>
          <w:rFonts w:hint="eastAsia" w:ascii="宋体" w:hAnsi="宋体" w:cs="宋体"/>
          <w:color w:val="auto"/>
          <w:sz w:val="24"/>
          <w:szCs w:val="24"/>
          <w:highlight w:val="none"/>
        </w:rPr>
        <w:t xml:space="preserve">  26.1 依法指定的分包人</w:t>
      </w:r>
    </w:p>
    <w:p>
      <w:pPr>
        <w:shd w:val="clear" w:color="000000" w:fill="auto"/>
        <w:spacing w:line="360" w:lineRule="auto"/>
        <w:ind w:firstLine="120" w:firstLineChars="50"/>
        <w:rPr>
          <w:rFonts w:ascii="宋体" w:hAnsi="宋体" w:cs="宋体"/>
          <w:color w:val="auto"/>
          <w:sz w:val="24"/>
          <w:szCs w:val="24"/>
          <w:highlight w:val="none"/>
        </w:rPr>
      </w:pPr>
      <w:r>
        <w:rPr>
          <w:rFonts w:hint="eastAsia" w:ascii="宋体" w:hAnsi="宋体" w:cs="宋体"/>
          <w:color w:val="auto"/>
          <w:sz w:val="24"/>
          <w:szCs w:val="24"/>
          <w:highlight w:val="none"/>
        </w:rPr>
        <w:t xml:space="preserve">  （1） 实施、完成部分永久工程的分包人：</w:t>
      </w:r>
      <w:r>
        <w:rPr>
          <w:rFonts w:hint="eastAsia" w:ascii="宋体" w:hAnsi="宋体" w:cs="宋体"/>
          <w:color w:val="auto"/>
          <w:sz w:val="24"/>
          <w:szCs w:val="24"/>
          <w:highlight w:val="none"/>
          <w:u w:val="single"/>
        </w:rPr>
        <w:t xml:space="preserve">  无      </w:t>
      </w:r>
      <w:r>
        <w:rPr>
          <w:rFonts w:hint="eastAsia" w:ascii="宋体" w:hAnsi="宋体" w:cs="宋体"/>
          <w:color w:val="auto"/>
          <w:sz w:val="24"/>
          <w:szCs w:val="24"/>
          <w:highlight w:val="none"/>
        </w:rPr>
        <w:t xml:space="preserve"> </w:t>
      </w:r>
    </w:p>
    <w:p>
      <w:pPr>
        <w:shd w:val="clear" w:color="000000" w:fill="auto"/>
        <w:spacing w:line="360" w:lineRule="auto"/>
        <w:ind w:firstLine="120" w:firstLineChars="50"/>
        <w:rPr>
          <w:rFonts w:ascii="宋体" w:hAnsi="宋体" w:cs="宋体"/>
          <w:color w:val="auto"/>
          <w:sz w:val="24"/>
          <w:szCs w:val="24"/>
          <w:highlight w:val="none"/>
        </w:rPr>
      </w:pPr>
      <w:r>
        <w:rPr>
          <w:rFonts w:hint="eastAsia" w:ascii="宋体" w:hAnsi="宋体" w:cs="宋体"/>
          <w:color w:val="auto"/>
          <w:sz w:val="24"/>
          <w:szCs w:val="24"/>
          <w:highlight w:val="none"/>
        </w:rPr>
        <w:t xml:space="preserve">  （2） 提供材料和工程设备、服务的分包人：</w:t>
      </w:r>
      <w:r>
        <w:rPr>
          <w:rFonts w:hint="eastAsia" w:ascii="宋体" w:hAnsi="宋体" w:cs="宋体"/>
          <w:color w:val="auto"/>
          <w:sz w:val="24"/>
          <w:szCs w:val="24"/>
          <w:highlight w:val="none"/>
          <w:u w:val="single"/>
        </w:rPr>
        <w:t xml:space="preserve">  无    </w:t>
      </w:r>
      <w:r>
        <w:rPr>
          <w:rFonts w:hint="eastAsia" w:ascii="宋体" w:hAnsi="宋体" w:cs="宋体"/>
          <w:color w:val="auto"/>
          <w:sz w:val="24"/>
          <w:szCs w:val="24"/>
          <w:highlight w:val="none"/>
        </w:rPr>
        <w:t xml:space="preserve"> </w:t>
      </w:r>
    </w:p>
    <w:p>
      <w:pPr>
        <w:shd w:val="clear" w:color="000000" w:fill="auto"/>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第27.3款增加如下内容：</w:t>
      </w:r>
    </w:p>
    <w:p>
      <w:pPr>
        <w:shd w:val="clear" w:color="000000" w:fill="auto"/>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(7）依据国家相关法律法规应履行的其他相关义务。</w:t>
      </w:r>
    </w:p>
    <w:p>
      <w:pPr>
        <w:pStyle w:val="2"/>
        <w:rPr>
          <w:color w:val="auto"/>
          <w:highlight w:val="none"/>
        </w:rPr>
      </w:pPr>
    </w:p>
    <w:p>
      <w:pPr>
        <w:pStyle w:val="4"/>
        <w:numPr>
          <w:ilvl w:val="0"/>
          <w:numId w:val="0"/>
        </w:numPr>
        <w:shd w:val="clear" w:color="000000" w:fill="auto"/>
        <w:tabs>
          <w:tab w:val="left" w:pos="420"/>
        </w:tabs>
        <w:spacing w:before="0"/>
        <w:rPr>
          <w:rFonts w:ascii="仿宋" w:hAnsi="仿宋" w:eastAsia="仿宋" w:cs="Times New Roman"/>
          <w:b/>
          <w:bCs/>
          <w:color w:val="auto"/>
          <w:sz w:val="24"/>
          <w:szCs w:val="24"/>
          <w:highlight w:val="none"/>
        </w:rPr>
      </w:pPr>
      <w:bookmarkStart w:id="508" w:name="_Toc19265"/>
      <w:bookmarkStart w:id="509" w:name="_Toc30660"/>
      <w:bookmarkStart w:id="510" w:name="_Toc10624942"/>
      <w:bookmarkStart w:id="511" w:name="_Toc469384098"/>
      <w:r>
        <w:rPr>
          <w:rFonts w:ascii="仿宋" w:hAnsi="仿宋" w:eastAsia="仿宋" w:cs="仿宋"/>
          <w:b/>
          <w:bCs/>
          <w:color w:val="auto"/>
          <w:sz w:val="24"/>
          <w:szCs w:val="24"/>
          <w:highlight w:val="none"/>
        </w:rPr>
        <w:t xml:space="preserve">28. </w:t>
      </w:r>
      <w:r>
        <w:rPr>
          <w:rFonts w:hint="eastAsia" w:ascii="仿宋" w:hAnsi="仿宋" w:eastAsia="仿宋" w:cs="仿宋"/>
          <w:b/>
          <w:bCs/>
          <w:color w:val="auto"/>
          <w:sz w:val="24"/>
          <w:szCs w:val="24"/>
          <w:highlight w:val="none"/>
        </w:rPr>
        <w:t>工程担保</w:t>
      </w:r>
      <w:bookmarkEnd w:id="508"/>
      <w:bookmarkEnd w:id="509"/>
      <w:bookmarkEnd w:id="510"/>
      <w:bookmarkEnd w:id="511"/>
    </w:p>
    <w:p>
      <w:pPr>
        <w:shd w:val="clear" w:color="000000" w:fill="auto"/>
        <w:spacing w:line="360" w:lineRule="auto"/>
        <w:ind w:firstLine="120" w:firstLineChars="50"/>
        <w:rPr>
          <w:rFonts w:ascii="宋体" w:hAnsi="宋体" w:cs="宋体"/>
          <w:color w:val="auto"/>
          <w:sz w:val="24"/>
          <w:szCs w:val="24"/>
          <w:highlight w:val="none"/>
        </w:rPr>
      </w:pPr>
      <w:r>
        <w:rPr>
          <w:rFonts w:hint="eastAsia" w:ascii="宋体" w:hAnsi="宋体" w:cs="宋体"/>
          <w:color w:val="auto"/>
          <w:sz w:val="24"/>
          <w:szCs w:val="24"/>
          <w:highlight w:val="none"/>
        </w:rPr>
        <w:t xml:space="preserve">  28.1 承包人提供履约担保的约定</w:t>
      </w:r>
    </w:p>
    <w:p>
      <w:pPr>
        <w:shd w:val="clear" w:color="000000" w:fill="auto"/>
        <w:spacing w:line="360" w:lineRule="auto"/>
        <w:ind w:firstLine="120" w:firstLineChars="50"/>
        <w:rPr>
          <w:rFonts w:ascii="宋体" w:hAnsi="宋体" w:cs="宋体"/>
          <w:color w:val="auto"/>
          <w:sz w:val="24"/>
          <w:szCs w:val="24"/>
          <w:highlight w:val="none"/>
        </w:rPr>
      </w:pPr>
      <w:r>
        <w:rPr>
          <w:rFonts w:hint="eastAsia" w:ascii="宋体" w:hAnsi="宋体" w:cs="宋体"/>
          <w:color w:val="auto"/>
          <w:sz w:val="24"/>
          <w:szCs w:val="24"/>
          <w:highlight w:val="none"/>
        </w:rPr>
        <w:t xml:space="preserve">  （1）履约担保的金额：合同价款的10%</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金额为：</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w:t>
      </w:r>
    </w:p>
    <w:p>
      <w:pPr>
        <w:shd w:val="clear" w:color="000000" w:fill="auto"/>
        <w:spacing w:line="360" w:lineRule="auto"/>
        <w:ind w:firstLine="120" w:firstLineChars="50"/>
        <w:rPr>
          <w:rFonts w:ascii="宋体" w:hAnsi="宋体" w:cs="宋体"/>
          <w:color w:val="auto"/>
          <w:sz w:val="24"/>
          <w:szCs w:val="24"/>
          <w:highlight w:val="none"/>
          <w:u w:val="single"/>
        </w:rPr>
      </w:pPr>
      <w:r>
        <w:rPr>
          <w:rFonts w:hint="eastAsia" w:ascii="宋体" w:hAnsi="宋体" w:cs="宋体"/>
          <w:color w:val="auto"/>
          <w:sz w:val="24"/>
          <w:szCs w:val="24"/>
          <w:highlight w:val="none"/>
        </w:rPr>
        <w:t xml:space="preserve">  （2） 提供履约担保的时间：</w:t>
      </w:r>
    </w:p>
    <w:p>
      <w:pPr>
        <w:shd w:val="clear" w:color="000000" w:fill="auto"/>
        <w:spacing w:line="360" w:lineRule="auto"/>
        <w:ind w:firstLine="120" w:firstLineChars="50"/>
        <w:rPr>
          <w:rFonts w:ascii="宋体" w:hAnsi="宋体" w:cs="宋体"/>
          <w:color w:val="auto"/>
          <w:kern w:val="0"/>
          <w:sz w:val="24"/>
          <w:szCs w:val="24"/>
          <w:highlight w:val="none"/>
        </w:rPr>
      </w:pPr>
      <w:r>
        <w:rPr>
          <w:rFonts w:hint="eastAsia" w:ascii="宋体" w:hAnsi="宋体" w:cs="宋体"/>
          <w:color w:val="auto"/>
          <w:sz w:val="24"/>
          <w:szCs w:val="24"/>
          <w:highlight w:val="none"/>
        </w:rPr>
        <w:t xml:space="preserve">       </w:t>
      </w:r>
      <w:r>
        <w:rPr>
          <w:rFonts w:hint="eastAsia" w:ascii="宋体" w:hAnsi="宋体" w:cs="宋体"/>
          <w:color w:val="auto"/>
          <w:kern w:val="0"/>
          <w:sz w:val="24"/>
          <w:szCs w:val="24"/>
          <w:highlight w:val="none"/>
        </w:rPr>
        <w:sym w:font="Wingdings 2" w:char="00A3"/>
      </w:r>
      <w:r>
        <w:rPr>
          <w:rFonts w:hint="eastAsia" w:ascii="宋体" w:hAnsi="宋体" w:cs="宋体"/>
          <w:color w:val="auto"/>
          <w:kern w:val="0"/>
          <w:sz w:val="24"/>
          <w:szCs w:val="24"/>
          <w:highlight w:val="none"/>
        </w:rPr>
        <w:t xml:space="preserve"> 签订本合同时；</w:t>
      </w:r>
    </w:p>
    <w:p>
      <w:pPr>
        <w:shd w:val="clear" w:color="000000" w:fill="auto"/>
        <w:spacing w:line="360" w:lineRule="auto"/>
        <w:ind w:firstLine="120" w:firstLineChars="5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w:t>
      </w:r>
      <w:r>
        <w:rPr>
          <w:rFonts w:hint="eastAsia" w:ascii="黑体" w:hAnsi="黑体" w:eastAsia="黑体" w:cs="黑体"/>
          <w:color w:val="auto"/>
          <w:kern w:val="0"/>
          <w:sz w:val="24"/>
          <w:szCs w:val="24"/>
          <w:highlight w:val="none"/>
        </w:rPr>
        <w:t>■</w:t>
      </w:r>
      <w:r>
        <w:rPr>
          <w:rFonts w:hint="eastAsia" w:ascii="宋体" w:hAnsi="宋体" w:cs="宋体"/>
          <w:color w:val="auto"/>
          <w:kern w:val="0"/>
          <w:sz w:val="24"/>
          <w:szCs w:val="24"/>
          <w:highlight w:val="none"/>
        </w:rPr>
        <w:t xml:space="preserve"> 另作约定：</w:t>
      </w:r>
      <w:r>
        <w:rPr>
          <w:rFonts w:hint="eastAsia" w:ascii="宋体" w:hAnsi="宋体" w:cs="宋体"/>
          <w:color w:val="auto"/>
          <w:kern w:val="0"/>
          <w:sz w:val="24"/>
          <w:szCs w:val="24"/>
          <w:highlight w:val="none"/>
          <w:u w:val="single"/>
        </w:rPr>
        <w:t xml:space="preserve"> 收到中标通知书后的15日内 </w:t>
      </w:r>
    </w:p>
    <w:p>
      <w:pPr>
        <w:shd w:val="clear" w:color="000000" w:fill="auto"/>
        <w:spacing w:line="360" w:lineRule="auto"/>
        <w:ind w:firstLine="120" w:firstLineChars="50"/>
        <w:rPr>
          <w:rFonts w:ascii="宋体" w:hAnsi="宋体" w:cs="宋体"/>
          <w:color w:val="auto"/>
          <w:sz w:val="24"/>
          <w:szCs w:val="24"/>
          <w:highlight w:val="none"/>
        </w:rPr>
      </w:pPr>
      <w:r>
        <w:rPr>
          <w:rFonts w:hint="eastAsia" w:ascii="宋体" w:hAnsi="宋体" w:cs="宋体"/>
          <w:color w:val="auto"/>
          <w:kern w:val="0"/>
          <w:sz w:val="24"/>
          <w:szCs w:val="24"/>
          <w:highlight w:val="none"/>
        </w:rPr>
        <w:t xml:space="preserve">  （3） </w:t>
      </w:r>
      <w:r>
        <w:rPr>
          <w:rFonts w:hint="eastAsia" w:ascii="黑体" w:hAnsi="黑体" w:eastAsia="黑体" w:cs="黑体"/>
          <w:color w:val="auto"/>
          <w:kern w:val="0"/>
          <w:sz w:val="24"/>
          <w:szCs w:val="24"/>
          <w:highlight w:val="none"/>
        </w:rPr>
        <w:t>■</w:t>
      </w:r>
      <w:r>
        <w:rPr>
          <w:rFonts w:hint="eastAsia" w:ascii="宋体" w:hAnsi="宋体" w:cs="宋体"/>
          <w:color w:val="auto"/>
          <w:kern w:val="0"/>
          <w:sz w:val="24"/>
          <w:szCs w:val="24"/>
          <w:highlight w:val="none"/>
        </w:rPr>
        <w:t xml:space="preserve"> 其它：</w:t>
      </w:r>
      <w:r>
        <w:rPr>
          <w:rFonts w:hint="eastAsia" w:ascii="宋体" w:hAnsi="宋体" w:cs="宋体"/>
          <w:color w:val="auto"/>
          <w:kern w:val="0"/>
          <w:sz w:val="24"/>
          <w:szCs w:val="24"/>
          <w:highlight w:val="none"/>
          <w:u w:val="single"/>
        </w:rPr>
        <w:t xml:space="preserve"> 如果中标人的履约担保是以银行保函的形式提供，则该银行保函应由在中国注册且营业地点在广州行政辖区内的银行开具 </w:t>
      </w:r>
    </w:p>
    <w:p>
      <w:pPr>
        <w:shd w:val="clear" w:color="000000" w:fill="auto"/>
        <w:spacing w:line="360" w:lineRule="auto"/>
        <w:ind w:firstLine="120" w:firstLineChars="50"/>
        <w:rPr>
          <w:rFonts w:ascii="宋体" w:hAnsi="宋体" w:cs="宋体"/>
          <w:color w:val="auto"/>
          <w:sz w:val="24"/>
          <w:szCs w:val="24"/>
          <w:highlight w:val="none"/>
        </w:rPr>
      </w:pPr>
      <w:r>
        <w:rPr>
          <w:rFonts w:hint="eastAsia" w:ascii="宋体" w:hAnsi="宋体" w:cs="宋体"/>
          <w:color w:val="auto"/>
          <w:sz w:val="24"/>
          <w:szCs w:val="24"/>
          <w:highlight w:val="none"/>
        </w:rPr>
        <w:t xml:space="preserve">  28.4 发包人提供支付担保的约定：</w:t>
      </w:r>
      <w:r>
        <w:rPr>
          <w:rFonts w:hint="eastAsia" w:ascii="宋体" w:hAnsi="宋体" w:cs="宋体"/>
          <w:color w:val="auto"/>
          <w:kern w:val="0"/>
          <w:sz w:val="24"/>
          <w:szCs w:val="24"/>
          <w:highlight w:val="none"/>
          <w:u w:val="single"/>
        </w:rPr>
        <w:t>发包人不提供支付担保。</w:t>
      </w:r>
    </w:p>
    <w:p>
      <w:pPr>
        <w:shd w:val="clear" w:color="000000" w:fill="auto"/>
        <w:spacing w:line="360" w:lineRule="auto"/>
        <w:ind w:firstLine="120" w:firstLineChars="5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28.8 担保内容、方式和责任等事项的约定：</w:t>
      </w:r>
      <w:r>
        <w:rPr>
          <w:rFonts w:hint="eastAsia" w:ascii="宋体" w:hAnsi="宋体" w:cs="宋体"/>
          <w:color w:val="auto"/>
          <w:kern w:val="0"/>
          <w:sz w:val="24"/>
          <w:szCs w:val="24"/>
          <w:highlight w:val="none"/>
          <w:u w:val="single"/>
        </w:rPr>
        <w:t xml:space="preserve"> / 。</w:t>
      </w:r>
    </w:p>
    <w:p>
      <w:pPr>
        <w:pStyle w:val="4"/>
        <w:numPr>
          <w:ilvl w:val="0"/>
          <w:numId w:val="0"/>
        </w:numPr>
        <w:shd w:val="clear" w:color="000000" w:fill="auto"/>
        <w:tabs>
          <w:tab w:val="left" w:pos="420"/>
        </w:tabs>
        <w:spacing w:before="0"/>
        <w:rPr>
          <w:rFonts w:ascii="仿宋" w:hAnsi="仿宋" w:eastAsia="仿宋" w:cs="Times New Roman"/>
          <w:b/>
          <w:bCs/>
          <w:color w:val="auto"/>
          <w:sz w:val="24"/>
          <w:szCs w:val="24"/>
          <w:highlight w:val="none"/>
        </w:rPr>
      </w:pPr>
      <w:bookmarkStart w:id="512" w:name="_Toc10624943"/>
      <w:bookmarkStart w:id="513" w:name="_Toc469384099"/>
      <w:bookmarkStart w:id="514" w:name="_Toc20203"/>
      <w:bookmarkStart w:id="515" w:name="_Toc32566"/>
      <w:r>
        <w:rPr>
          <w:rFonts w:ascii="仿宋" w:hAnsi="仿宋" w:eastAsia="仿宋" w:cs="仿宋"/>
          <w:b/>
          <w:bCs/>
          <w:color w:val="auto"/>
          <w:sz w:val="24"/>
          <w:szCs w:val="24"/>
          <w:highlight w:val="none"/>
        </w:rPr>
        <w:t xml:space="preserve">32. </w:t>
      </w:r>
      <w:r>
        <w:rPr>
          <w:rFonts w:hint="eastAsia" w:ascii="仿宋" w:hAnsi="仿宋" w:eastAsia="仿宋" w:cs="仿宋"/>
          <w:b/>
          <w:bCs/>
          <w:color w:val="auto"/>
          <w:sz w:val="24"/>
          <w:szCs w:val="24"/>
          <w:highlight w:val="none"/>
        </w:rPr>
        <w:t>保险</w:t>
      </w:r>
      <w:bookmarkEnd w:id="512"/>
      <w:bookmarkEnd w:id="513"/>
      <w:bookmarkEnd w:id="514"/>
      <w:bookmarkEnd w:id="515"/>
    </w:p>
    <w:p>
      <w:pPr>
        <w:shd w:val="clear" w:color="000000" w:fill="auto"/>
        <w:ind w:firstLine="120" w:firstLineChars="50"/>
        <w:rPr>
          <w:rFonts w:ascii="仿宋" w:hAnsi="仿宋" w:eastAsia="仿宋" w:cs="Times New Roman"/>
          <w:color w:val="auto"/>
          <w:kern w:val="0"/>
          <w:sz w:val="24"/>
          <w:szCs w:val="24"/>
          <w:highlight w:val="none"/>
        </w:rPr>
      </w:pPr>
    </w:p>
    <w:p>
      <w:pPr>
        <w:shd w:val="clear" w:color="000000" w:fill="auto"/>
        <w:spacing w:line="360" w:lineRule="auto"/>
        <w:ind w:firstLine="120" w:firstLineChars="5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32.1 委托承包人办理保险的事项有：</w:t>
      </w:r>
    </w:p>
    <w:p>
      <w:pPr>
        <w:shd w:val="clear" w:color="000000" w:fill="auto"/>
        <w:spacing w:line="360" w:lineRule="auto"/>
        <w:ind w:firstLine="120" w:firstLineChars="5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w:t>
      </w:r>
      <w:r>
        <w:rPr>
          <w:rFonts w:hint="eastAsia" w:ascii="黑体" w:hAnsi="黑体" w:eastAsia="黑体" w:cs="黑体"/>
          <w:color w:val="auto"/>
          <w:kern w:val="0"/>
          <w:sz w:val="24"/>
          <w:szCs w:val="24"/>
          <w:highlight w:val="none"/>
        </w:rPr>
        <w:t>■</w:t>
      </w:r>
      <w:r>
        <w:rPr>
          <w:rFonts w:hint="eastAsia" w:ascii="黑体" w:hAnsi="黑体" w:eastAsia="黑体" w:cs="黑体"/>
          <w:color w:val="auto"/>
          <w:kern w:val="0"/>
          <w:sz w:val="24"/>
          <w:szCs w:val="24"/>
          <w:highlight w:val="none"/>
          <w:lang w:val="en-US" w:eastAsia="zh-CN"/>
        </w:rPr>
        <w:t xml:space="preserve"> </w:t>
      </w:r>
      <w:r>
        <w:rPr>
          <w:rFonts w:hint="eastAsia" w:ascii="宋体" w:hAnsi="宋体" w:cs="宋体"/>
          <w:color w:val="auto"/>
          <w:kern w:val="0"/>
          <w:sz w:val="24"/>
          <w:szCs w:val="24"/>
          <w:highlight w:val="none"/>
        </w:rPr>
        <w:t>通用条款第32.1款的第（1）项；</w:t>
      </w:r>
    </w:p>
    <w:p>
      <w:pPr>
        <w:shd w:val="clear" w:color="000000" w:fill="auto"/>
        <w:spacing w:line="360" w:lineRule="auto"/>
        <w:ind w:firstLine="120" w:firstLineChars="5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 通用条款第32.1款的第（2）项；</w:t>
      </w:r>
    </w:p>
    <w:p>
      <w:pPr>
        <w:shd w:val="clear" w:color="000000" w:fill="auto"/>
        <w:spacing w:line="360" w:lineRule="auto"/>
        <w:ind w:firstLine="120" w:firstLineChars="5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w:t>
      </w:r>
      <w:r>
        <w:rPr>
          <w:rFonts w:hint="eastAsia" w:ascii="黑体" w:hAnsi="黑体" w:eastAsia="黑体" w:cs="黑体"/>
          <w:color w:val="auto"/>
          <w:kern w:val="0"/>
          <w:sz w:val="24"/>
          <w:szCs w:val="24"/>
          <w:highlight w:val="none"/>
        </w:rPr>
        <w:t>■</w:t>
      </w:r>
      <w:r>
        <w:rPr>
          <w:rFonts w:hint="eastAsia" w:ascii="宋体" w:hAnsi="宋体" w:cs="宋体"/>
          <w:color w:val="auto"/>
          <w:kern w:val="0"/>
          <w:sz w:val="24"/>
          <w:szCs w:val="24"/>
          <w:highlight w:val="none"/>
        </w:rPr>
        <w:t xml:space="preserve"> 通用条款第32.1款的第（3）项；</w:t>
      </w:r>
    </w:p>
    <w:p>
      <w:pPr>
        <w:shd w:val="clear" w:color="000000" w:fill="auto"/>
        <w:spacing w:line="360" w:lineRule="auto"/>
        <w:ind w:firstLine="120" w:firstLineChars="5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 通用条款第32.1款的第（4）项。</w:t>
      </w:r>
    </w:p>
    <w:p>
      <w:pPr>
        <w:shd w:val="clear" w:color="000000" w:fill="auto"/>
        <w:spacing w:line="360" w:lineRule="auto"/>
        <w:ind w:firstLine="360" w:firstLineChars="150"/>
        <w:rPr>
          <w:rFonts w:ascii="宋体" w:hAnsi="宋体" w:cs="宋体"/>
          <w:color w:val="auto"/>
          <w:kern w:val="0"/>
          <w:sz w:val="24"/>
          <w:szCs w:val="24"/>
          <w:highlight w:val="none"/>
        </w:rPr>
      </w:pPr>
      <w:r>
        <w:rPr>
          <w:rFonts w:hint="eastAsia" w:ascii="宋体" w:hAnsi="宋体" w:cs="宋体"/>
          <w:color w:val="auto"/>
          <w:kern w:val="0"/>
          <w:sz w:val="24"/>
          <w:szCs w:val="24"/>
          <w:highlight w:val="none"/>
        </w:rPr>
        <w:t>□ 通用条款第32.1款的第（5）项。</w:t>
      </w:r>
    </w:p>
    <w:p>
      <w:pPr>
        <w:shd w:val="clear" w:color="000000" w:fill="auto"/>
        <w:spacing w:line="360" w:lineRule="auto"/>
        <w:ind w:firstLine="120" w:firstLineChars="5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32.8 投保内容、保险金、保险期限和责任等事项的约定：</w:t>
      </w:r>
      <w:r>
        <w:rPr>
          <w:rFonts w:hint="eastAsia" w:ascii="宋体" w:hAnsi="宋体" w:cs="宋体"/>
          <w:color w:val="auto"/>
          <w:kern w:val="0"/>
          <w:sz w:val="24"/>
          <w:szCs w:val="24"/>
          <w:highlight w:val="none"/>
          <w:u w:val="single"/>
        </w:rPr>
        <w:t>承包人应当及时办理自身和代发包人办理的保险事项，除非发包人声明不需要，承包人应当在签署保险合同前，就保险合同的内容须征询发包人的意见。承包人应保证相关保险合同的有效性，否则，由此造成的损失由承包人承担。</w:t>
      </w:r>
    </w:p>
    <w:p>
      <w:pPr>
        <w:pStyle w:val="4"/>
        <w:numPr>
          <w:ilvl w:val="0"/>
          <w:numId w:val="0"/>
        </w:numPr>
        <w:shd w:val="clear" w:color="000000" w:fill="auto"/>
        <w:tabs>
          <w:tab w:val="left" w:pos="420"/>
        </w:tabs>
        <w:spacing w:before="0" w:line="360" w:lineRule="auto"/>
        <w:rPr>
          <w:rFonts w:ascii="仿宋" w:hAnsi="仿宋" w:eastAsia="仿宋" w:cs="Times New Roman"/>
          <w:b/>
          <w:bCs/>
          <w:color w:val="auto"/>
          <w:sz w:val="24"/>
          <w:szCs w:val="24"/>
          <w:highlight w:val="none"/>
        </w:rPr>
      </w:pPr>
      <w:bookmarkStart w:id="516" w:name="_Toc469384100"/>
      <w:bookmarkStart w:id="517" w:name="_Toc9143"/>
      <w:bookmarkStart w:id="518" w:name="_Toc10624944"/>
      <w:bookmarkStart w:id="519" w:name="_Toc26736"/>
      <w:r>
        <w:rPr>
          <w:rFonts w:ascii="仿宋" w:hAnsi="仿宋" w:eastAsia="仿宋" w:cs="仿宋"/>
          <w:b/>
          <w:bCs/>
          <w:color w:val="auto"/>
          <w:sz w:val="24"/>
          <w:szCs w:val="24"/>
          <w:highlight w:val="none"/>
        </w:rPr>
        <w:t xml:space="preserve">33. </w:t>
      </w:r>
      <w:r>
        <w:rPr>
          <w:rFonts w:hint="eastAsia" w:ascii="仿宋" w:hAnsi="仿宋" w:eastAsia="仿宋" w:cs="仿宋"/>
          <w:b/>
          <w:bCs/>
          <w:color w:val="auto"/>
          <w:sz w:val="24"/>
          <w:szCs w:val="24"/>
          <w:highlight w:val="none"/>
        </w:rPr>
        <w:t>进度计划和报告</w:t>
      </w:r>
      <w:bookmarkEnd w:id="516"/>
      <w:bookmarkEnd w:id="517"/>
      <w:bookmarkEnd w:id="518"/>
      <w:bookmarkEnd w:id="519"/>
    </w:p>
    <w:p>
      <w:pPr>
        <w:shd w:val="clear" w:color="000000" w:fill="auto"/>
        <w:spacing w:line="360" w:lineRule="auto"/>
        <w:ind w:firstLine="120" w:firstLineChars="5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33.3 承包人编制月施工进度报告和修订进度计划的约定：</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highlight w:val="none"/>
          <w:u w:val="single"/>
        </w:rPr>
        <w:t>每月20日前向监理单位、发包人申报本月月进度报表和下月“工程进度计划表”。</w:t>
      </w:r>
      <w:r>
        <w:rPr>
          <w:rFonts w:hint="eastAsia" w:ascii="宋体" w:hAnsi="宋体" w:cs="宋体"/>
          <w:color w:val="auto"/>
          <w:kern w:val="0"/>
          <w:sz w:val="24"/>
          <w:szCs w:val="24"/>
          <w:highlight w:val="none"/>
          <w:u w:val="single"/>
        </w:rPr>
        <w:t xml:space="preserve">    </w:t>
      </w:r>
    </w:p>
    <w:p>
      <w:pPr>
        <w:pStyle w:val="4"/>
        <w:numPr>
          <w:ilvl w:val="0"/>
          <w:numId w:val="0"/>
        </w:numPr>
        <w:shd w:val="clear" w:color="000000" w:fill="auto"/>
        <w:tabs>
          <w:tab w:val="left" w:pos="420"/>
        </w:tabs>
        <w:spacing w:before="0" w:line="360" w:lineRule="auto"/>
        <w:rPr>
          <w:rFonts w:ascii="仿宋" w:hAnsi="仿宋" w:eastAsia="仿宋" w:cs="Times New Roman"/>
          <w:b/>
          <w:bCs/>
          <w:color w:val="auto"/>
          <w:sz w:val="24"/>
          <w:szCs w:val="24"/>
          <w:highlight w:val="none"/>
        </w:rPr>
      </w:pPr>
      <w:bookmarkStart w:id="520" w:name="_Toc10624945"/>
      <w:bookmarkStart w:id="521" w:name="_Toc28164"/>
      <w:bookmarkStart w:id="522" w:name="_Toc469384101"/>
      <w:bookmarkStart w:id="523" w:name="_Toc25128"/>
      <w:r>
        <w:rPr>
          <w:rFonts w:ascii="仿宋" w:hAnsi="仿宋" w:eastAsia="仿宋" w:cs="仿宋"/>
          <w:b/>
          <w:bCs/>
          <w:color w:val="auto"/>
          <w:sz w:val="24"/>
          <w:szCs w:val="24"/>
          <w:highlight w:val="none"/>
        </w:rPr>
        <w:t xml:space="preserve">34. </w:t>
      </w:r>
      <w:r>
        <w:rPr>
          <w:rFonts w:hint="eastAsia" w:ascii="仿宋" w:hAnsi="仿宋" w:eastAsia="仿宋" w:cs="仿宋"/>
          <w:b/>
          <w:bCs/>
          <w:color w:val="auto"/>
          <w:sz w:val="24"/>
          <w:szCs w:val="24"/>
          <w:highlight w:val="none"/>
        </w:rPr>
        <w:t>开工</w:t>
      </w:r>
      <w:bookmarkEnd w:id="520"/>
      <w:bookmarkEnd w:id="521"/>
      <w:bookmarkEnd w:id="522"/>
      <w:bookmarkEnd w:id="523"/>
    </w:p>
    <w:p>
      <w:pPr>
        <w:shd w:val="clear" w:color="000000" w:fill="auto"/>
        <w:spacing w:line="360" w:lineRule="auto"/>
        <w:ind w:firstLine="120" w:firstLineChars="5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34.2 监理工程师在本合同签订后的（   </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rPr>
        <w:t xml:space="preserve">   ）天内签发开工令。</w:t>
      </w:r>
    </w:p>
    <w:p>
      <w:pPr>
        <w:shd w:val="clear" w:color="000000" w:fill="auto"/>
        <w:spacing w:line="360" w:lineRule="auto"/>
        <w:ind w:firstLine="120" w:firstLineChars="5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 按通用条款规定的时间。</w:t>
      </w:r>
    </w:p>
    <w:p>
      <w:pPr>
        <w:shd w:val="clear" w:color="000000" w:fill="auto"/>
        <w:spacing w:line="360" w:lineRule="auto"/>
        <w:ind w:firstLine="120" w:firstLineChars="5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w:t>
      </w:r>
      <w:r>
        <w:rPr>
          <w:rFonts w:hint="eastAsia" w:ascii="黑体" w:hAnsi="黑体" w:eastAsia="黑体" w:cs="黑体"/>
          <w:color w:val="auto"/>
          <w:kern w:val="0"/>
          <w:sz w:val="24"/>
          <w:szCs w:val="24"/>
          <w:highlight w:val="none"/>
        </w:rPr>
        <w:t>■</w:t>
      </w:r>
      <w:r>
        <w:rPr>
          <w:rFonts w:hint="eastAsia" w:ascii="宋体" w:hAnsi="宋体" w:cs="宋体"/>
          <w:color w:val="auto"/>
          <w:kern w:val="0"/>
          <w:sz w:val="24"/>
          <w:szCs w:val="24"/>
          <w:highlight w:val="none"/>
        </w:rPr>
        <w:t xml:space="preserve"> 另作约定：</w:t>
      </w:r>
      <w:r>
        <w:rPr>
          <w:rFonts w:hint="eastAsia" w:ascii="宋体" w:hAnsi="宋体" w:cs="宋体"/>
          <w:color w:val="auto"/>
          <w:kern w:val="0"/>
          <w:sz w:val="24"/>
          <w:szCs w:val="24"/>
          <w:highlight w:val="none"/>
          <w:u w:val="single"/>
        </w:rPr>
        <w:t xml:space="preserve">   监理工程师在协议书约定的开工日期签发开工令。       </w:t>
      </w:r>
    </w:p>
    <w:p>
      <w:pPr>
        <w:pStyle w:val="4"/>
        <w:numPr>
          <w:ilvl w:val="0"/>
          <w:numId w:val="0"/>
        </w:numPr>
        <w:shd w:val="clear" w:color="000000" w:fill="auto"/>
        <w:tabs>
          <w:tab w:val="left" w:pos="420"/>
        </w:tabs>
        <w:spacing w:before="0" w:line="360" w:lineRule="auto"/>
        <w:rPr>
          <w:rFonts w:ascii="仿宋" w:hAnsi="仿宋" w:eastAsia="仿宋" w:cs="Times New Roman"/>
          <w:b/>
          <w:bCs/>
          <w:color w:val="auto"/>
          <w:sz w:val="24"/>
          <w:szCs w:val="24"/>
          <w:highlight w:val="none"/>
        </w:rPr>
      </w:pPr>
      <w:bookmarkStart w:id="524" w:name="_Toc7112"/>
      <w:bookmarkStart w:id="525" w:name="_Toc469384102"/>
      <w:bookmarkStart w:id="526" w:name="_Toc10624946"/>
      <w:bookmarkStart w:id="527" w:name="_Toc6576"/>
      <w:r>
        <w:rPr>
          <w:rFonts w:ascii="仿宋" w:hAnsi="仿宋" w:eastAsia="仿宋" w:cs="仿宋"/>
          <w:b/>
          <w:bCs/>
          <w:color w:val="auto"/>
          <w:sz w:val="24"/>
          <w:szCs w:val="24"/>
          <w:highlight w:val="none"/>
        </w:rPr>
        <w:t>35.</w:t>
      </w:r>
      <w:r>
        <w:rPr>
          <w:rFonts w:hint="eastAsia" w:ascii="仿宋" w:hAnsi="仿宋" w:eastAsia="仿宋" w:cs="仿宋"/>
          <w:b/>
          <w:bCs/>
          <w:color w:val="auto"/>
          <w:sz w:val="24"/>
          <w:szCs w:val="24"/>
          <w:highlight w:val="none"/>
        </w:rPr>
        <w:t>暂停施工和复工</w:t>
      </w:r>
      <w:bookmarkEnd w:id="524"/>
      <w:bookmarkEnd w:id="525"/>
      <w:bookmarkEnd w:id="526"/>
      <w:bookmarkEnd w:id="527"/>
    </w:p>
    <w:p>
      <w:pPr>
        <w:shd w:val="clear" w:color="000000" w:fill="auto"/>
        <w:spacing w:line="360" w:lineRule="auto"/>
        <w:ind w:firstLine="120" w:firstLineChars="50"/>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 xml:space="preserve">  35.4 承包人原因造成暂停施工的其他原因：</w:t>
      </w:r>
    </w:p>
    <w:p>
      <w:pPr>
        <w:shd w:val="clear" w:color="000000" w:fill="auto"/>
        <w:spacing w:line="360" w:lineRule="auto"/>
        <w:ind w:firstLine="600" w:firstLineChars="250"/>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u w:val="single"/>
        </w:rPr>
        <w:t>（1）由于工程质量不合格，虽经返工，仍不能保证工程质量而导致的停工整顿；</w:t>
      </w:r>
    </w:p>
    <w:p>
      <w:pPr>
        <w:shd w:val="clear" w:color="000000" w:fill="auto"/>
        <w:spacing w:line="360" w:lineRule="auto"/>
        <w:ind w:firstLine="600" w:firstLineChars="250"/>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u w:val="single"/>
        </w:rPr>
        <w:t>（2）由于工程进度不平衡或管理不善，虽经监理人多次提示而无明显改进，所导致的停工整顿；</w:t>
      </w:r>
    </w:p>
    <w:p>
      <w:pPr>
        <w:shd w:val="clear" w:color="000000" w:fill="auto"/>
        <w:spacing w:line="360" w:lineRule="auto"/>
        <w:ind w:firstLine="600" w:firstLineChars="250"/>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u w:val="single"/>
        </w:rPr>
        <w:t>（3）由于进驻现场的主要人员、重要设备与投标文件不符，而导致的停工；</w:t>
      </w:r>
    </w:p>
    <w:p>
      <w:pPr>
        <w:shd w:val="clear" w:color="000000" w:fill="auto"/>
        <w:spacing w:line="360" w:lineRule="auto"/>
        <w:ind w:firstLine="600" w:firstLineChars="250"/>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u w:val="single"/>
        </w:rPr>
        <w:t>（4）因当地居民与承包人纠纷、投诉或政府指令造成暂停施工。</w:t>
      </w:r>
    </w:p>
    <w:p>
      <w:pPr>
        <w:shd w:val="clear" w:color="000000" w:fill="auto"/>
        <w:spacing w:line="360" w:lineRule="auto"/>
        <w:ind w:firstLine="600" w:firstLineChars="250"/>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u w:val="single"/>
        </w:rPr>
        <w:t>（5）由于重大安全隐患整改措施不落实或落实不彻底，重大安全隐患未彻底整改前所采取的临时保护措施不足等，不能保证工程施工安全而导致的停工整顿。</w:t>
      </w:r>
    </w:p>
    <w:p>
      <w:pPr>
        <w:pStyle w:val="4"/>
        <w:numPr>
          <w:ilvl w:val="0"/>
          <w:numId w:val="0"/>
        </w:numPr>
        <w:shd w:val="clear" w:color="000000" w:fill="auto"/>
        <w:tabs>
          <w:tab w:val="left" w:pos="420"/>
        </w:tabs>
        <w:spacing w:before="0" w:line="360" w:lineRule="auto"/>
        <w:ind w:firstLine="480" w:firstLineChars="200"/>
        <w:rPr>
          <w:rFonts w:hAnsi="宋体"/>
          <w:color w:val="auto"/>
          <w:sz w:val="24"/>
          <w:szCs w:val="24"/>
          <w:highlight w:val="none"/>
          <w:u w:val="single"/>
        </w:rPr>
      </w:pPr>
      <w:bookmarkStart w:id="528" w:name="_Toc25456"/>
      <w:bookmarkStart w:id="529" w:name="_Toc8417"/>
      <w:bookmarkStart w:id="530" w:name="_Toc19903"/>
      <w:bookmarkStart w:id="531" w:name="_Toc5325"/>
      <w:r>
        <w:rPr>
          <w:rFonts w:hint="eastAsia" w:hAnsi="宋体"/>
          <w:color w:val="auto"/>
          <w:sz w:val="24"/>
          <w:szCs w:val="24"/>
          <w:highlight w:val="none"/>
          <w:u w:val="single"/>
        </w:rPr>
        <w:t>（6）当地政府相关管理部门因承包人原因出具的暂</w:t>
      </w:r>
      <w:r>
        <w:rPr>
          <w:rFonts w:hint="eastAsia" w:hAnsi="宋体"/>
          <w:color w:val="auto"/>
          <w:sz w:val="24"/>
          <w:szCs w:val="24"/>
          <w:highlight w:val="none"/>
          <w:u w:val="single"/>
          <w:lang w:val="en-US" w:eastAsia="zh-CN"/>
        </w:rPr>
        <w:t>停</w:t>
      </w:r>
      <w:r>
        <w:rPr>
          <w:rFonts w:hint="eastAsia" w:hAnsi="宋体"/>
          <w:color w:val="auto"/>
          <w:sz w:val="24"/>
          <w:szCs w:val="24"/>
          <w:highlight w:val="none"/>
          <w:u w:val="single"/>
        </w:rPr>
        <w:t>施工文件。</w:t>
      </w:r>
      <w:bookmarkEnd w:id="528"/>
      <w:bookmarkEnd w:id="529"/>
      <w:bookmarkEnd w:id="530"/>
      <w:bookmarkEnd w:id="531"/>
    </w:p>
    <w:p>
      <w:pPr>
        <w:pStyle w:val="4"/>
        <w:numPr>
          <w:ilvl w:val="0"/>
          <w:numId w:val="0"/>
        </w:numPr>
        <w:shd w:val="clear" w:color="000000" w:fill="auto"/>
        <w:tabs>
          <w:tab w:val="left" w:pos="420"/>
        </w:tabs>
        <w:spacing w:before="0" w:line="360" w:lineRule="auto"/>
        <w:ind w:firstLine="480" w:firstLineChars="200"/>
        <w:rPr>
          <w:rFonts w:hAnsi="宋体"/>
          <w:color w:val="auto"/>
          <w:sz w:val="24"/>
          <w:szCs w:val="24"/>
          <w:highlight w:val="none"/>
          <w:u w:val="single"/>
        </w:rPr>
      </w:pPr>
      <w:r>
        <w:rPr>
          <w:rFonts w:hint="eastAsia" w:hAnsi="宋体"/>
          <w:color w:val="auto"/>
          <w:sz w:val="24"/>
          <w:szCs w:val="24"/>
          <w:highlight w:val="none"/>
          <w:u w:val="single"/>
        </w:rPr>
        <w:t>（7）由于承包人员工罢工导致造成暂停施工。</w:t>
      </w:r>
    </w:p>
    <w:p>
      <w:pPr>
        <w:pStyle w:val="4"/>
        <w:numPr>
          <w:ilvl w:val="0"/>
          <w:numId w:val="0"/>
        </w:numPr>
        <w:shd w:val="clear" w:color="000000" w:fill="auto"/>
        <w:tabs>
          <w:tab w:val="left" w:pos="420"/>
        </w:tabs>
        <w:spacing w:before="0" w:line="360" w:lineRule="auto"/>
        <w:ind w:firstLine="480" w:firstLineChars="200"/>
        <w:rPr>
          <w:rFonts w:hAnsi="宋体"/>
          <w:b/>
          <w:bCs/>
          <w:color w:val="auto"/>
          <w:sz w:val="24"/>
          <w:szCs w:val="24"/>
          <w:highlight w:val="none"/>
          <w:u w:val="single"/>
        </w:rPr>
      </w:pPr>
      <w:r>
        <w:rPr>
          <w:rFonts w:hint="eastAsia" w:hAnsi="宋体"/>
          <w:color w:val="auto"/>
          <w:sz w:val="24"/>
          <w:szCs w:val="24"/>
          <w:highlight w:val="none"/>
          <w:u w:val="single"/>
        </w:rPr>
        <w:t>（8）其他可归责于承包人原因导致造成暂停施工。</w:t>
      </w:r>
    </w:p>
    <w:p>
      <w:pPr>
        <w:pStyle w:val="4"/>
        <w:numPr>
          <w:ilvl w:val="0"/>
          <w:numId w:val="0"/>
        </w:numPr>
        <w:shd w:val="clear" w:color="000000" w:fill="auto"/>
        <w:tabs>
          <w:tab w:val="left" w:pos="420"/>
        </w:tabs>
        <w:spacing w:before="0" w:line="360" w:lineRule="auto"/>
        <w:rPr>
          <w:rFonts w:ascii="仿宋" w:hAnsi="仿宋" w:eastAsia="仿宋" w:cs="Times New Roman"/>
          <w:b/>
          <w:bCs/>
          <w:color w:val="auto"/>
          <w:sz w:val="24"/>
          <w:szCs w:val="24"/>
          <w:highlight w:val="none"/>
        </w:rPr>
      </w:pPr>
      <w:bookmarkStart w:id="532" w:name="_Toc469384103"/>
      <w:bookmarkStart w:id="533" w:name="_Toc28255"/>
      <w:bookmarkStart w:id="534" w:name="_Toc8779"/>
      <w:bookmarkStart w:id="535" w:name="_Toc10624947"/>
      <w:r>
        <w:rPr>
          <w:rFonts w:ascii="仿宋" w:hAnsi="仿宋" w:eastAsia="仿宋" w:cs="仿宋"/>
          <w:b/>
          <w:bCs/>
          <w:color w:val="auto"/>
          <w:sz w:val="24"/>
          <w:szCs w:val="24"/>
          <w:highlight w:val="none"/>
        </w:rPr>
        <w:t xml:space="preserve">36. </w:t>
      </w:r>
      <w:r>
        <w:rPr>
          <w:rFonts w:hint="eastAsia" w:ascii="仿宋" w:hAnsi="仿宋" w:eastAsia="仿宋" w:cs="仿宋"/>
          <w:b/>
          <w:bCs/>
          <w:color w:val="auto"/>
          <w:sz w:val="24"/>
          <w:szCs w:val="24"/>
          <w:highlight w:val="none"/>
        </w:rPr>
        <w:t>工期及工期延误</w:t>
      </w:r>
      <w:bookmarkEnd w:id="532"/>
      <w:bookmarkEnd w:id="533"/>
      <w:bookmarkEnd w:id="534"/>
      <w:bookmarkEnd w:id="535"/>
    </w:p>
    <w:p>
      <w:pPr>
        <w:shd w:val="clear" w:color="000000" w:fill="auto"/>
        <w:spacing w:line="360" w:lineRule="auto"/>
        <w:ind w:firstLine="120" w:firstLineChars="50"/>
        <w:rPr>
          <w:rFonts w:ascii="宋体" w:hAnsi="宋体" w:cs="宋体"/>
          <w:color w:val="auto"/>
          <w:sz w:val="24"/>
          <w:szCs w:val="24"/>
          <w:highlight w:val="none"/>
        </w:rPr>
      </w:pPr>
      <w:r>
        <w:rPr>
          <w:rFonts w:hint="eastAsia" w:ascii="宋体" w:hAnsi="宋体" w:cs="宋体"/>
          <w:color w:val="auto"/>
          <w:kern w:val="0"/>
          <w:sz w:val="24"/>
          <w:szCs w:val="24"/>
          <w:highlight w:val="none"/>
        </w:rPr>
        <w:t xml:space="preserve">  36.1 合同工程的工期约定为（</w:t>
      </w:r>
      <w:r>
        <w:rPr>
          <w:rFonts w:hint="eastAsia" w:ascii="宋体" w:hAnsi="宋体" w:cs="宋体"/>
          <w:color w:val="auto"/>
          <w:kern w:val="0"/>
          <w:sz w:val="24"/>
          <w:szCs w:val="24"/>
          <w:highlight w:val="none"/>
          <w:lang w:val="en-US" w:eastAsia="zh-CN"/>
        </w:rPr>
        <w:t xml:space="preserve">    </w:t>
      </w:r>
      <w:r>
        <w:rPr>
          <w:rFonts w:hint="eastAsia" w:ascii="宋体" w:hAnsi="宋体" w:cs="宋体"/>
          <w:color w:val="auto"/>
          <w:kern w:val="0"/>
          <w:sz w:val="24"/>
          <w:szCs w:val="24"/>
          <w:highlight w:val="none"/>
        </w:rPr>
        <w:t>）天。</w:t>
      </w:r>
    </w:p>
    <w:p>
      <w:pPr>
        <w:shd w:val="clear" w:color="000000" w:fill="auto"/>
        <w:spacing w:line="360" w:lineRule="auto"/>
        <w:ind w:firstLine="120" w:firstLineChars="50"/>
        <w:rPr>
          <w:rFonts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color w:val="auto"/>
          <w:kern w:val="0"/>
          <w:sz w:val="24"/>
          <w:szCs w:val="24"/>
          <w:highlight w:val="none"/>
        </w:rPr>
        <w:t>36.9 赶工措施费: （本条不适用）</w:t>
      </w:r>
    </w:p>
    <w:p>
      <w:pPr>
        <w:shd w:val="clear" w:color="000000" w:fill="auto"/>
        <w:spacing w:line="360" w:lineRule="auto"/>
        <w:ind w:left="359" w:leftChars="171"/>
        <w:jc w:val="left"/>
        <w:rPr>
          <w:rFonts w:ascii="宋体" w:hAnsi="宋体" w:cs="宋体"/>
          <w:color w:val="auto"/>
          <w:sz w:val="24"/>
          <w:szCs w:val="24"/>
          <w:highlight w:val="none"/>
        </w:rPr>
      </w:pPr>
      <w:r>
        <w:rPr>
          <w:rFonts w:hint="eastAsia" w:ascii="宋体" w:hAnsi="宋体" w:cs="宋体"/>
          <w:color w:val="auto"/>
          <w:kern w:val="0"/>
          <w:sz w:val="24"/>
          <w:szCs w:val="24"/>
          <w:highlight w:val="none"/>
        </w:rPr>
        <w:t>□</w:t>
      </w:r>
      <w:r>
        <w:rPr>
          <w:rFonts w:hint="eastAsia" w:ascii="宋体" w:hAnsi="宋体" w:cs="宋体"/>
          <w:color w:val="auto"/>
          <w:sz w:val="24"/>
          <w:szCs w:val="24"/>
          <w:highlight w:val="none"/>
        </w:rPr>
        <w:t>发包人要求的合同工程工期小于定额工期的</w:t>
      </w:r>
      <w:r>
        <w:rPr>
          <w:rFonts w:hint="eastAsia" w:ascii="宋体" w:hAnsi="宋体" w:cs="宋体"/>
          <w:color w:val="auto"/>
          <w:sz w:val="24"/>
          <w:szCs w:val="24"/>
          <w:highlight w:val="none"/>
          <w:u w:val="single"/>
        </w:rPr>
        <w:t xml:space="preserve">  /  </w:t>
      </w:r>
      <w:r>
        <w:rPr>
          <w:rFonts w:hint="eastAsia" w:ascii="宋体" w:hAnsi="宋体" w:cs="宋体"/>
          <w:color w:val="auto"/>
          <w:sz w:val="24"/>
          <w:szCs w:val="24"/>
          <w:highlight w:val="none"/>
        </w:rPr>
        <w:t>%时，根据广东省建设工程计价依据规定的赶工措施费率为</w:t>
      </w:r>
      <w:r>
        <w:rPr>
          <w:rFonts w:hint="eastAsia" w:ascii="宋体" w:hAnsi="宋体" w:cs="宋体"/>
          <w:color w:val="auto"/>
          <w:sz w:val="24"/>
          <w:szCs w:val="24"/>
          <w:highlight w:val="none"/>
          <w:u w:val="single"/>
        </w:rPr>
        <w:t xml:space="preserve"> /  </w:t>
      </w:r>
      <w:r>
        <w:rPr>
          <w:rFonts w:hint="eastAsia" w:ascii="宋体" w:hAnsi="宋体" w:cs="宋体"/>
          <w:color w:val="auto"/>
          <w:sz w:val="24"/>
          <w:szCs w:val="24"/>
          <w:highlight w:val="none"/>
        </w:rPr>
        <w:t>%计算</w:t>
      </w:r>
      <w:r>
        <w:rPr>
          <w:rFonts w:hint="eastAsia" w:ascii="宋体" w:hAnsi="宋体" w:cs="宋体"/>
          <w:color w:val="auto"/>
          <w:kern w:val="0"/>
          <w:sz w:val="24"/>
          <w:szCs w:val="24"/>
          <w:highlight w:val="none"/>
        </w:rPr>
        <w:t>；</w:t>
      </w:r>
    </w:p>
    <w:p>
      <w:pPr>
        <w:shd w:val="clear" w:color="000000" w:fill="auto"/>
        <w:spacing w:line="360" w:lineRule="auto"/>
        <w:ind w:left="359" w:leftChars="171"/>
        <w:jc w:val="left"/>
        <w:rPr>
          <w:rFonts w:ascii="宋体" w:hAnsi="宋体" w:cs="宋体"/>
          <w:color w:val="auto"/>
          <w:sz w:val="24"/>
          <w:szCs w:val="24"/>
          <w:highlight w:val="none"/>
        </w:rPr>
      </w:pPr>
      <w:r>
        <w:rPr>
          <w:rFonts w:hint="eastAsia" w:ascii="宋体" w:hAnsi="宋体" w:cs="宋体"/>
          <w:color w:val="auto"/>
          <w:kern w:val="0"/>
          <w:sz w:val="24"/>
          <w:szCs w:val="24"/>
          <w:highlight w:val="none"/>
        </w:rPr>
        <w:t>□</w:t>
      </w:r>
      <w:r>
        <w:rPr>
          <w:rFonts w:hint="eastAsia" w:ascii="宋体" w:hAnsi="宋体" w:cs="宋体"/>
          <w:color w:val="auto"/>
          <w:sz w:val="24"/>
          <w:szCs w:val="24"/>
          <w:highlight w:val="none"/>
        </w:rPr>
        <w:t>发包人要求的合同工程工期小于定额工期的</w:t>
      </w:r>
      <w:r>
        <w:rPr>
          <w:rFonts w:hint="eastAsia" w:ascii="宋体" w:hAnsi="宋体" w:cs="宋体"/>
          <w:color w:val="auto"/>
          <w:sz w:val="24"/>
          <w:szCs w:val="24"/>
          <w:highlight w:val="none"/>
          <w:u w:val="single"/>
        </w:rPr>
        <w:t xml:space="preserve"> /  </w:t>
      </w:r>
      <w:r>
        <w:rPr>
          <w:rFonts w:hint="eastAsia" w:ascii="宋体" w:hAnsi="宋体" w:cs="宋体"/>
          <w:color w:val="auto"/>
          <w:sz w:val="24"/>
          <w:szCs w:val="24"/>
          <w:highlight w:val="none"/>
        </w:rPr>
        <w:t>%时，根据广州市住房和城乡建设局发布的赶工措施费规定的赶工措施费率为</w:t>
      </w:r>
      <w:r>
        <w:rPr>
          <w:rFonts w:hint="eastAsia" w:ascii="宋体" w:hAnsi="宋体" w:cs="宋体"/>
          <w:color w:val="auto"/>
          <w:sz w:val="24"/>
          <w:szCs w:val="24"/>
          <w:highlight w:val="none"/>
          <w:u w:val="single"/>
        </w:rPr>
        <w:t xml:space="preserve">  /  </w:t>
      </w:r>
      <w:r>
        <w:rPr>
          <w:rFonts w:hint="eastAsia" w:ascii="宋体" w:hAnsi="宋体" w:cs="宋体"/>
          <w:color w:val="auto"/>
          <w:sz w:val="24"/>
          <w:szCs w:val="24"/>
          <w:highlight w:val="none"/>
        </w:rPr>
        <w:t>%计算；</w:t>
      </w:r>
    </w:p>
    <w:p>
      <w:pPr>
        <w:shd w:val="clear" w:color="000000" w:fill="auto"/>
        <w:spacing w:line="360" w:lineRule="auto"/>
        <w:ind w:left="359" w:leftChars="171"/>
        <w:jc w:val="left"/>
        <w:rPr>
          <w:rFonts w:ascii="宋体" w:hAnsi="宋体" w:cs="宋体"/>
          <w:color w:val="auto"/>
          <w:sz w:val="24"/>
          <w:szCs w:val="24"/>
          <w:highlight w:val="none"/>
        </w:rPr>
      </w:pPr>
      <w:r>
        <w:rPr>
          <w:rFonts w:hint="eastAsia" w:ascii="宋体" w:hAnsi="宋体" w:cs="宋体"/>
          <w:color w:val="auto"/>
          <w:kern w:val="0"/>
          <w:sz w:val="24"/>
          <w:szCs w:val="24"/>
          <w:highlight w:val="none"/>
        </w:rPr>
        <w:t>□</w:t>
      </w:r>
      <w:r>
        <w:rPr>
          <w:rFonts w:hint="eastAsia" w:ascii="宋体" w:hAnsi="宋体" w:cs="宋体"/>
          <w:color w:val="auto"/>
          <w:sz w:val="24"/>
          <w:szCs w:val="24"/>
          <w:highlight w:val="none"/>
        </w:rPr>
        <w:t>发包人要求的合同工程工期小于定额工期的</w:t>
      </w:r>
      <w:r>
        <w:rPr>
          <w:rFonts w:hint="eastAsia" w:ascii="宋体" w:hAnsi="宋体" w:cs="宋体"/>
          <w:color w:val="auto"/>
          <w:sz w:val="24"/>
          <w:szCs w:val="24"/>
          <w:highlight w:val="none"/>
          <w:u w:val="single"/>
        </w:rPr>
        <w:t xml:space="preserve"> / </w:t>
      </w:r>
      <w:r>
        <w:rPr>
          <w:rFonts w:hint="eastAsia" w:ascii="宋体" w:hAnsi="宋体" w:cs="宋体"/>
          <w:color w:val="auto"/>
          <w:sz w:val="24"/>
          <w:szCs w:val="24"/>
          <w:highlight w:val="none"/>
        </w:rPr>
        <w:t>%时，根据广州市建设工程造价管理站发布的赶工措施费规定的赶工措施费率为</w:t>
      </w:r>
      <w:r>
        <w:rPr>
          <w:rFonts w:hint="eastAsia" w:ascii="宋体" w:hAnsi="宋体" w:cs="宋体"/>
          <w:color w:val="auto"/>
          <w:sz w:val="24"/>
          <w:szCs w:val="24"/>
          <w:highlight w:val="none"/>
          <w:u w:val="single"/>
        </w:rPr>
        <w:t xml:space="preserve">  / </w:t>
      </w:r>
      <w:r>
        <w:rPr>
          <w:rFonts w:hint="eastAsia" w:ascii="宋体" w:hAnsi="宋体" w:cs="宋体"/>
          <w:color w:val="auto"/>
          <w:sz w:val="24"/>
          <w:szCs w:val="24"/>
          <w:highlight w:val="none"/>
        </w:rPr>
        <w:t>%计算</w:t>
      </w:r>
      <w:r>
        <w:rPr>
          <w:rFonts w:hint="eastAsia" w:ascii="宋体" w:hAnsi="宋体" w:cs="宋体"/>
          <w:color w:val="auto"/>
          <w:kern w:val="0"/>
          <w:sz w:val="24"/>
          <w:szCs w:val="24"/>
          <w:highlight w:val="none"/>
        </w:rPr>
        <w:t>；</w:t>
      </w:r>
    </w:p>
    <w:p>
      <w:pPr>
        <w:shd w:val="clear" w:color="000000" w:fill="auto"/>
        <w:spacing w:line="360" w:lineRule="auto"/>
        <w:ind w:left="360" w:leftChars="57" w:hanging="240" w:hangingChars="100"/>
        <w:rPr>
          <w:rFonts w:ascii="宋体" w:hAnsi="宋体" w:cs="宋体"/>
          <w:color w:val="auto"/>
          <w:sz w:val="24"/>
          <w:szCs w:val="24"/>
          <w:highlight w:val="none"/>
        </w:rPr>
      </w:pPr>
      <w:r>
        <w:rPr>
          <w:rFonts w:hint="eastAsia" w:ascii="宋体" w:hAnsi="宋体" w:cs="宋体"/>
          <w:color w:val="auto"/>
          <w:kern w:val="0"/>
          <w:sz w:val="24"/>
          <w:szCs w:val="24"/>
          <w:highlight w:val="none"/>
        </w:rPr>
        <w:t xml:space="preserve">  □</w:t>
      </w:r>
      <w:r>
        <w:rPr>
          <w:rFonts w:hint="eastAsia" w:ascii="宋体" w:hAnsi="宋体" w:cs="宋体"/>
          <w:color w:val="auto"/>
          <w:sz w:val="24"/>
          <w:szCs w:val="24"/>
          <w:highlight w:val="none"/>
        </w:rPr>
        <w:t>发包人要求的合同工程工期小于定额工期的</w:t>
      </w:r>
      <w:r>
        <w:rPr>
          <w:rFonts w:hint="eastAsia" w:ascii="宋体" w:hAnsi="宋体" w:cs="宋体"/>
          <w:color w:val="auto"/>
          <w:sz w:val="24"/>
          <w:szCs w:val="24"/>
          <w:highlight w:val="none"/>
          <w:u w:val="single"/>
        </w:rPr>
        <w:t xml:space="preserve"> / </w:t>
      </w:r>
      <w:r>
        <w:rPr>
          <w:rFonts w:hint="eastAsia" w:ascii="宋体" w:hAnsi="宋体" w:cs="宋体"/>
          <w:color w:val="auto"/>
          <w:sz w:val="24"/>
          <w:szCs w:val="24"/>
          <w:highlight w:val="none"/>
        </w:rPr>
        <w:t>%时，发包人、承包人约定赶工措施费率按</w:t>
      </w:r>
      <w:r>
        <w:rPr>
          <w:rFonts w:hint="eastAsia" w:ascii="宋体" w:hAnsi="宋体" w:cs="宋体"/>
          <w:color w:val="auto"/>
          <w:sz w:val="24"/>
          <w:szCs w:val="24"/>
          <w:highlight w:val="none"/>
          <w:u w:val="single"/>
        </w:rPr>
        <w:t xml:space="preserve"> /  </w:t>
      </w:r>
      <w:r>
        <w:rPr>
          <w:rFonts w:hint="eastAsia" w:ascii="宋体" w:hAnsi="宋体" w:cs="宋体"/>
          <w:color w:val="auto"/>
          <w:sz w:val="24"/>
          <w:szCs w:val="24"/>
          <w:highlight w:val="none"/>
        </w:rPr>
        <w:t>%计算</w:t>
      </w:r>
      <w:r>
        <w:rPr>
          <w:rFonts w:hint="eastAsia" w:ascii="宋体" w:hAnsi="宋体" w:cs="宋体"/>
          <w:color w:val="auto"/>
          <w:kern w:val="0"/>
          <w:sz w:val="24"/>
          <w:szCs w:val="24"/>
          <w:highlight w:val="none"/>
        </w:rPr>
        <w:t>；</w:t>
      </w:r>
      <w:r>
        <w:rPr>
          <w:rFonts w:hint="eastAsia" w:ascii="宋体" w:hAnsi="宋体" w:cs="宋体"/>
          <w:color w:val="auto"/>
          <w:sz w:val="24"/>
          <w:szCs w:val="24"/>
          <w:highlight w:val="none"/>
        </w:rPr>
        <w:t xml:space="preserve"> </w:t>
      </w:r>
    </w:p>
    <w:p>
      <w:pPr>
        <w:pStyle w:val="4"/>
        <w:numPr>
          <w:ilvl w:val="0"/>
          <w:numId w:val="0"/>
        </w:numPr>
        <w:shd w:val="clear" w:color="000000" w:fill="auto"/>
        <w:tabs>
          <w:tab w:val="left" w:pos="420"/>
        </w:tabs>
        <w:spacing w:before="0" w:line="360" w:lineRule="auto"/>
        <w:rPr>
          <w:rFonts w:ascii="仿宋" w:hAnsi="仿宋" w:eastAsia="仿宋" w:cs="Times New Roman"/>
          <w:b/>
          <w:bCs/>
          <w:color w:val="auto"/>
          <w:sz w:val="24"/>
          <w:szCs w:val="24"/>
          <w:highlight w:val="none"/>
        </w:rPr>
      </w:pPr>
      <w:bookmarkStart w:id="536" w:name="_Toc6047"/>
      <w:bookmarkStart w:id="537" w:name="_Toc469384104"/>
      <w:bookmarkStart w:id="538" w:name="_Toc4227"/>
      <w:bookmarkStart w:id="539" w:name="_Toc10624948"/>
      <w:r>
        <w:rPr>
          <w:rFonts w:ascii="仿宋" w:hAnsi="仿宋" w:eastAsia="仿宋" w:cs="仿宋"/>
          <w:b/>
          <w:bCs/>
          <w:color w:val="auto"/>
          <w:sz w:val="24"/>
          <w:szCs w:val="24"/>
          <w:highlight w:val="none"/>
        </w:rPr>
        <w:t xml:space="preserve">38. </w:t>
      </w:r>
      <w:r>
        <w:rPr>
          <w:rFonts w:hint="eastAsia" w:ascii="仿宋" w:hAnsi="仿宋" w:eastAsia="仿宋" w:cs="仿宋"/>
          <w:b/>
          <w:bCs/>
          <w:color w:val="auto"/>
          <w:sz w:val="24"/>
          <w:szCs w:val="24"/>
          <w:highlight w:val="none"/>
        </w:rPr>
        <w:t>竣工日期</w:t>
      </w:r>
      <w:bookmarkEnd w:id="536"/>
      <w:bookmarkEnd w:id="537"/>
      <w:bookmarkEnd w:id="538"/>
      <w:bookmarkEnd w:id="539"/>
    </w:p>
    <w:p>
      <w:pPr>
        <w:shd w:val="clear" w:color="000000" w:fill="auto"/>
        <w:spacing w:line="360" w:lineRule="auto"/>
        <w:ind w:firstLine="120" w:firstLineChars="50"/>
        <w:rPr>
          <w:rFonts w:ascii="仿宋" w:hAnsi="仿宋" w:eastAsia="仿宋" w:cs="仿宋"/>
          <w:color w:val="auto"/>
          <w:sz w:val="24"/>
          <w:szCs w:val="24"/>
          <w:highlight w:val="none"/>
          <w:u w:val="single"/>
        </w:rPr>
      </w:pPr>
      <w:r>
        <w:rPr>
          <w:rFonts w:ascii="仿宋" w:hAnsi="仿宋" w:eastAsia="仿宋" w:cs="仿宋"/>
          <w:color w:val="auto"/>
          <w:sz w:val="24"/>
          <w:szCs w:val="24"/>
          <w:highlight w:val="none"/>
        </w:rPr>
        <w:t xml:space="preserve">   38.1 </w:t>
      </w:r>
      <w:r>
        <w:rPr>
          <w:rFonts w:hint="eastAsia" w:ascii="仿宋" w:hAnsi="仿宋" w:eastAsia="仿宋" w:cs="仿宋"/>
          <w:color w:val="auto"/>
          <w:sz w:val="24"/>
          <w:szCs w:val="24"/>
          <w:highlight w:val="none"/>
        </w:rPr>
        <w:t>计划竣工日期：</w:t>
      </w:r>
      <w:r>
        <w:rPr>
          <w:rFonts w:ascii="仿宋" w:hAnsi="仿宋" w:eastAsia="仿宋" w:cs="仿宋"/>
          <w:color w:val="auto"/>
          <w:sz w:val="24"/>
          <w:szCs w:val="24"/>
          <w:highlight w:val="none"/>
          <w:u w:val="single"/>
        </w:rPr>
        <w:t xml:space="preserve">   20</w:t>
      </w:r>
      <w:r>
        <w:rPr>
          <w:rFonts w:hint="eastAsia" w:ascii="仿宋" w:hAnsi="仿宋" w:eastAsia="仿宋" w:cs="仿宋"/>
          <w:color w:val="auto"/>
          <w:sz w:val="24"/>
          <w:szCs w:val="24"/>
          <w:highlight w:val="none"/>
          <w:u w:val="single"/>
        </w:rPr>
        <w:t xml:space="preserve">  年  月  日</w:t>
      </w:r>
      <w:r>
        <w:rPr>
          <w:rFonts w:ascii="仿宋" w:hAnsi="仿宋" w:eastAsia="仿宋" w:cs="仿宋"/>
          <w:color w:val="auto"/>
          <w:sz w:val="24"/>
          <w:szCs w:val="24"/>
          <w:highlight w:val="none"/>
          <w:u w:val="single"/>
        </w:rPr>
        <w:t xml:space="preserve">                 </w:t>
      </w:r>
    </w:p>
    <w:p>
      <w:pPr>
        <w:pStyle w:val="4"/>
        <w:numPr>
          <w:ilvl w:val="0"/>
          <w:numId w:val="0"/>
        </w:numPr>
        <w:shd w:val="clear" w:color="000000" w:fill="auto"/>
        <w:tabs>
          <w:tab w:val="left" w:pos="420"/>
        </w:tabs>
        <w:spacing w:before="0" w:line="360" w:lineRule="auto"/>
        <w:rPr>
          <w:rFonts w:ascii="仿宋" w:hAnsi="仿宋" w:eastAsia="仿宋" w:cs="Times New Roman"/>
          <w:b/>
          <w:bCs/>
          <w:color w:val="auto"/>
          <w:sz w:val="24"/>
          <w:szCs w:val="24"/>
          <w:highlight w:val="none"/>
        </w:rPr>
      </w:pPr>
      <w:bookmarkStart w:id="540" w:name="_Toc469384105"/>
      <w:bookmarkStart w:id="541" w:name="_Toc30178"/>
      <w:bookmarkStart w:id="542" w:name="_Toc10624949"/>
      <w:bookmarkStart w:id="543" w:name="_Toc16564"/>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42. </w:t>
      </w:r>
      <w:r>
        <w:rPr>
          <w:rFonts w:hint="eastAsia" w:ascii="仿宋" w:hAnsi="仿宋" w:eastAsia="仿宋" w:cs="仿宋"/>
          <w:b/>
          <w:bCs/>
          <w:color w:val="auto"/>
          <w:sz w:val="24"/>
          <w:szCs w:val="24"/>
          <w:highlight w:val="none"/>
        </w:rPr>
        <w:t>质量标准、目标</w:t>
      </w:r>
      <w:bookmarkEnd w:id="540"/>
      <w:bookmarkEnd w:id="541"/>
      <w:bookmarkEnd w:id="542"/>
      <w:bookmarkEnd w:id="543"/>
    </w:p>
    <w:p>
      <w:pPr>
        <w:shd w:val="clear" w:color="000000" w:fill="auto"/>
        <w:spacing w:line="360" w:lineRule="auto"/>
        <w:ind w:firstLine="120" w:firstLineChars="50"/>
        <w:rPr>
          <w:rFonts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b/>
          <w:bCs/>
          <w:color w:val="auto"/>
          <w:sz w:val="24"/>
          <w:szCs w:val="24"/>
          <w:highlight w:val="none"/>
        </w:rPr>
        <w:t>★</w:t>
      </w:r>
      <w:r>
        <w:rPr>
          <w:rFonts w:hint="eastAsia" w:ascii="宋体" w:hAnsi="宋体" w:cs="宋体"/>
          <w:color w:val="auto"/>
          <w:sz w:val="24"/>
          <w:szCs w:val="24"/>
          <w:highlight w:val="none"/>
        </w:rPr>
        <w:t>42.1 约定的工程质量标准</w:t>
      </w:r>
    </w:p>
    <w:p>
      <w:pPr>
        <w:shd w:val="clear" w:color="000000" w:fill="auto"/>
        <w:spacing w:line="360" w:lineRule="auto"/>
        <w:ind w:firstLine="120" w:firstLineChars="50"/>
        <w:rPr>
          <w:rFonts w:ascii="宋体" w:hAnsi="宋体" w:cs="宋体"/>
          <w:color w:val="auto"/>
          <w:sz w:val="24"/>
          <w:szCs w:val="24"/>
          <w:highlight w:val="none"/>
          <w:u w:val="single"/>
        </w:rPr>
      </w:pPr>
      <w:r>
        <w:rPr>
          <w:rFonts w:hint="eastAsia" w:ascii="宋体" w:hAnsi="宋体" w:cs="宋体"/>
          <w:color w:val="auto"/>
          <w:sz w:val="24"/>
          <w:szCs w:val="24"/>
          <w:highlight w:val="none"/>
        </w:rPr>
        <w:t xml:space="preserve">  （1） 合同工程质量标准：</w:t>
      </w:r>
      <w:r>
        <w:rPr>
          <w:rFonts w:hint="eastAsia" w:ascii="宋体" w:hAnsi="宋体" w:cs="宋体"/>
          <w:color w:val="auto"/>
          <w:sz w:val="24"/>
          <w:szCs w:val="24"/>
          <w:highlight w:val="none"/>
          <w:u w:val="single"/>
        </w:rPr>
        <w:t xml:space="preserve">  按协议书第四条约定  </w:t>
      </w:r>
    </w:p>
    <w:p>
      <w:pPr>
        <w:shd w:val="clear" w:color="000000" w:fill="auto"/>
        <w:spacing w:line="360" w:lineRule="auto"/>
        <w:ind w:firstLine="360" w:firstLineChars="150"/>
        <w:rPr>
          <w:rFonts w:ascii="宋体" w:hAnsi="宋体" w:cs="宋体"/>
          <w:color w:val="auto"/>
          <w:sz w:val="24"/>
          <w:szCs w:val="24"/>
          <w:highlight w:val="none"/>
          <w:u w:val="single"/>
        </w:rPr>
      </w:pPr>
      <w:r>
        <w:rPr>
          <w:rFonts w:hint="eastAsia" w:ascii="宋体" w:hAnsi="宋体" w:cs="宋体"/>
          <w:color w:val="auto"/>
          <w:kern w:val="0"/>
          <w:sz w:val="24"/>
          <w:szCs w:val="24"/>
          <w:highlight w:val="none"/>
        </w:rPr>
        <w:t xml:space="preserve">（2） </w:t>
      </w:r>
      <w:r>
        <w:rPr>
          <w:rFonts w:hint="eastAsia" w:ascii="宋体" w:hAnsi="宋体" w:cs="宋体"/>
          <w:color w:val="auto"/>
          <w:sz w:val="24"/>
          <w:szCs w:val="24"/>
          <w:highlight w:val="none"/>
        </w:rPr>
        <w:t>特殊质量标准和要求：</w:t>
      </w:r>
      <w:r>
        <w:rPr>
          <w:rFonts w:hint="eastAsia" w:ascii="宋体" w:hAnsi="宋体" w:cs="宋体"/>
          <w:color w:val="auto"/>
          <w:sz w:val="24"/>
          <w:szCs w:val="24"/>
          <w:highlight w:val="none"/>
          <w:u w:val="single"/>
        </w:rPr>
        <w:t xml:space="preserve">按协议书第四条约定  </w:t>
      </w:r>
    </w:p>
    <w:p>
      <w:pPr>
        <w:shd w:val="clear" w:color="000000" w:fill="auto"/>
        <w:spacing w:line="360" w:lineRule="auto"/>
        <w:ind w:firstLine="120" w:firstLineChars="50"/>
        <w:rPr>
          <w:rFonts w:ascii="宋体" w:hAnsi="宋体" w:cs="宋体"/>
          <w:color w:val="auto"/>
          <w:sz w:val="24"/>
          <w:szCs w:val="24"/>
          <w:highlight w:val="none"/>
          <w:u w:val="single"/>
        </w:rPr>
      </w:pPr>
      <w:r>
        <w:rPr>
          <w:rFonts w:hint="eastAsia" w:ascii="宋体" w:hAnsi="宋体" w:cs="宋体"/>
          <w:color w:val="auto"/>
          <w:sz w:val="24"/>
          <w:szCs w:val="24"/>
          <w:highlight w:val="none"/>
        </w:rPr>
        <w:t xml:space="preserve">  （3） 工程质量验收标准：</w:t>
      </w:r>
      <w:r>
        <w:rPr>
          <w:rFonts w:hint="eastAsia" w:ascii="宋体" w:hAnsi="宋体" w:cs="宋体"/>
          <w:color w:val="auto"/>
          <w:sz w:val="24"/>
          <w:szCs w:val="24"/>
          <w:highlight w:val="none"/>
          <w:u w:val="single"/>
        </w:rPr>
        <w:t xml:space="preserve">  按协议书第四条约定  </w:t>
      </w:r>
    </w:p>
    <w:p>
      <w:pPr>
        <w:shd w:val="clear" w:color="000000" w:fill="auto"/>
        <w:spacing w:line="360" w:lineRule="auto"/>
        <w:ind w:firstLine="120" w:firstLineChars="50"/>
        <w:rPr>
          <w:rFonts w:ascii="宋体" w:hAnsi="宋体" w:cs="宋体"/>
          <w:color w:val="auto"/>
          <w:sz w:val="24"/>
          <w:szCs w:val="24"/>
          <w:highlight w:val="none"/>
        </w:rPr>
      </w:pPr>
      <w:r>
        <w:rPr>
          <w:rFonts w:hint="eastAsia" w:ascii="宋体" w:hAnsi="宋体" w:cs="宋体"/>
          <w:color w:val="auto"/>
          <w:sz w:val="24"/>
          <w:szCs w:val="24"/>
          <w:highlight w:val="none"/>
        </w:rPr>
        <w:t>42.3 质量保证体系</w:t>
      </w:r>
    </w:p>
    <w:p>
      <w:pPr>
        <w:shd w:val="clear" w:color="000000" w:fill="auto"/>
        <w:spacing w:line="360" w:lineRule="auto"/>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承包人应当完善质量管理制度，建立质量控制流程，建立并保持一个有效的工程质量管理体系。</w:t>
      </w:r>
    </w:p>
    <w:p>
      <w:pPr>
        <w:shd w:val="clear" w:color="000000" w:fill="auto"/>
        <w:spacing w:line="360" w:lineRule="auto"/>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1）建立完整的质量体系，委派专人负责工程质量管理，现场管理机构、工区（段）设有专职质检人员，班组设质检员，同时附有项目架构人员名单，各类人员必须持有上岗资格证。承包人还应建立并完善各项目质量管理检查制度及企业质量管理文件等。同时，承包人应积极配合工程质量第三方检测工作，并积极采用新材料、新工艺、新技术。</w:t>
      </w:r>
    </w:p>
    <w:p>
      <w:pPr>
        <w:shd w:val="clear" w:color="000000" w:fill="auto"/>
        <w:spacing w:line="360" w:lineRule="auto"/>
        <w:ind w:firstLine="424" w:firstLineChars="177"/>
        <w:rPr>
          <w:rFonts w:ascii="宋体" w:hAnsi="宋体" w:cs="宋体"/>
          <w:color w:val="auto"/>
          <w:sz w:val="24"/>
          <w:szCs w:val="24"/>
          <w:highlight w:val="none"/>
          <w:u w:val="single"/>
        </w:rPr>
      </w:pPr>
      <w:r>
        <w:rPr>
          <w:rFonts w:hint="eastAsia" w:ascii="宋体" w:hAnsi="宋体" w:cs="宋体"/>
          <w:color w:val="auto"/>
          <w:sz w:val="24"/>
          <w:szCs w:val="24"/>
          <w:highlight w:val="none"/>
        </w:rPr>
        <w:t>（2）承包人提交总监理工程师批准的施工组织设计或者施工方案必须附有完备的工程质量保证措施，包括：</w:t>
      </w:r>
      <w:r>
        <w:rPr>
          <w:rFonts w:hint="eastAsia" w:ascii="宋体" w:hAnsi="宋体" w:cs="宋体"/>
          <w:color w:val="auto"/>
          <w:sz w:val="24"/>
          <w:szCs w:val="24"/>
          <w:highlight w:val="none"/>
          <w:u w:val="single"/>
        </w:rPr>
        <w:t xml:space="preserve">    应符合发包人下发的建设管理制度  。        </w:t>
      </w:r>
    </w:p>
    <w:p>
      <w:pPr>
        <w:shd w:val="clear" w:color="000000" w:fill="auto"/>
        <w:spacing w:line="360" w:lineRule="auto"/>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（3）单项工程开工前，承包人必须按要求对职工分级进行技术交底，组织学习有关规程、标准、规范和工艺要求，在施工中必须按规程及工艺进行操作。</w:t>
      </w:r>
    </w:p>
    <w:p>
      <w:pPr>
        <w:shd w:val="clear" w:color="000000" w:fill="auto"/>
        <w:spacing w:line="360" w:lineRule="auto"/>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4）单项工程和重要部位必须遵循先试验后铺开施工的程序，开工前承包人应熟悉施工图纸和图纸会审、设计变更内容，并完成施工组织设计和必要的施工准备，送总监理工程师审查批准后方可进行实验性施工，完工后由总监理工程师检验，符合要求后才能铺开施工或者批量生产。</w:t>
      </w:r>
    </w:p>
    <w:p>
      <w:pPr>
        <w:pStyle w:val="4"/>
        <w:numPr>
          <w:ilvl w:val="0"/>
          <w:numId w:val="0"/>
        </w:numPr>
        <w:shd w:val="clear" w:color="000000" w:fill="auto"/>
        <w:tabs>
          <w:tab w:val="left" w:pos="420"/>
        </w:tabs>
        <w:spacing w:before="0" w:line="360" w:lineRule="auto"/>
        <w:rPr>
          <w:rFonts w:ascii="仿宋" w:hAnsi="仿宋" w:eastAsia="仿宋" w:cs="Times New Roman"/>
          <w:b/>
          <w:bCs/>
          <w:color w:val="auto"/>
          <w:sz w:val="24"/>
          <w:szCs w:val="24"/>
          <w:highlight w:val="none"/>
        </w:rPr>
      </w:pPr>
      <w:bookmarkStart w:id="544" w:name="_Toc469384106"/>
      <w:bookmarkStart w:id="545" w:name="_Toc17477"/>
      <w:bookmarkStart w:id="546" w:name="_Toc24451"/>
      <w:bookmarkStart w:id="547" w:name="_Toc10624950"/>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45. </w:t>
      </w:r>
      <w:bookmarkEnd w:id="544"/>
      <w:r>
        <w:rPr>
          <w:rFonts w:hint="eastAsia" w:ascii="仿宋" w:hAnsi="仿宋" w:eastAsia="仿宋" w:cs="仿宋"/>
          <w:b/>
          <w:bCs/>
          <w:color w:val="auto"/>
          <w:sz w:val="24"/>
          <w:szCs w:val="24"/>
          <w:highlight w:val="none"/>
        </w:rPr>
        <w:t>绿色施工安全防护</w:t>
      </w:r>
      <w:bookmarkEnd w:id="545"/>
      <w:bookmarkEnd w:id="546"/>
      <w:bookmarkEnd w:id="547"/>
    </w:p>
    <w:p>
      <w:pPr>
        <w:shd w:val="clear" w:color="000000" w:fill="auto"/>
        <w:spacing w:line="360" w:lineRule="auto"/>
        <w:ind w:firstLine="120" w:firstLineChars="50"/>
        <w:rPr>
          <w:rFonts w:ascii="宋体" w:hAnsi="宋体" w:cs="宋体"/>
          <w:color w:val="auto"/>
          <w:sz w:val="24"/>
          <w:szCs w:val="24"/>
          <w:highlight w:val="none"/>
        </w:rPr>
      </w:pPr>
      <w:r>
        <w:rPr>
          <w:rFonts w:hint="eastAsia" w:ascii="宋体" w:hAnsi="宋体" w:cs="宋体"/>
          <w:color w:val="auto"/>
          <w:sz w:val="24"/>
          <w:szCs w:val="24"/>
          <w:highlight w:val="none"/>
        </w:rPr>
        <w:t xml:space="preserve">  45.1绿色施工安全防护的要求：</w:t>
      </w:r>
    </w:p>
    <w:p>
      <w:pPr>
        <w:shd w:val="clear" w:color="000000" w:fill="auto"/>
        <w:spacing w:line="360" w:lineRule="auto"/>
        <w:ind w:firstLine="360" w:firstLineChars="150"/>
        <w:rPr>
          <w:rFonts w:ascii="宋体" w:hAnsi="宋体" w:cs="宋体"/>
          <w:color w:val="auto"/>
          <w:kern w:val="0"/>
          <w:sz w:val="24"/>
          <w:szCs w:val="24"/>
          <w:highlight w:val="none"/>
        </w:rPr>
      </w:pPr>
      <w:r>
        <w:rPr>
          <w:rFonts w:hint="eastAsia" w:ascii="黑体" w:hAnsi="黑体" w:eastAsia="黑体" w:cs="黑体"/>
          <w:color w:val="auto"/>
          <w:kern w:val="0"/>
          <w:sz w:val="24"/>
          <w:szCs w:val="24"/>
          <w:highlight w:val="none"/>
        </w:rPr>
        <w:t>■</w:t>
      </w:r>
      <w:r>
        <w:rPr>
          <w:rFonts w:hint="eastAsia" w:ascii="宋体" w:hAnsi="宋体" w:cs="宋体"/>
          <w:color w:val="auto"/>
          <w:kern w:val="0"/>
          <w:sz w:val="24"/>
          <w:szCs w:val="24"/>
          <w:highlight w:val="none"/>
        </w:rPr>
        <w:t xml:space="preserve"> 按通用条款的规定。</w:t>
      </w:r>
    </w:p>
    <w:p>
      <w:pPr>
        <w:shd w:val="clear" w:color="000000" w:fill="auto"/>
        <w:spacing w:line="360" w:lineRule="auto"/>
        <w:ind w:firstLine="120" w:firstLineChars="50"/>
        <w:rPr>
          <w:rFonts w:ascii="宋体" w:hAnsi="宋体" w:cs="宋体"/>
          <w:color w:val="auto"/>
          <w:sz w:val="24"/>
          <w:szCs w:val="24"/>
          <w:highlight w:val="none"/>
        </w:rPr>
      </w:pPr>
      <w:r>
        <w:rPr>
          <w:rFonts w:hint="eastAsia" w:ascii="宋体" w:hAnsi="宋体" w:cs="宋体"/>
          <w:color w:val="auto"/>
          <w:kern w:val="0"/>
          <w:sz w:val="24"/>
          <w:szCs w:val="24"/>
          <w:highlight w:val="none"/>
        </w:rPr>
        <w:t xml:space="preserve">  □ 另作约定：</w:t>
      </w:r>
      <w:r>
        <w:rPr>
          <w:rFonts w:hint="eastAsia" w:ascii="宋体" w:hAnsi="宋体" w:cs="宋体"/>
          <w:color w:val="auto"/>
          <w:kern w:val="0"/>
          <w:sz w:val="24"/>
          <w:szCs w:val="24"/>
          <w:highlight w:val="none"/>
          <w:u w:val="single"/>
        </w:rPr>
        <w:t xml:space="preserve">    /  </w:t>
      </w:r>
    </w:p>
    <w:p>
      <w:pPr>
        <w:shd w:val="clear" w:color="000000" w:fill="auto"/>
        <w:spacing w:line="360" w:lineRule="auto"/>
        <w:ind w:firstLine="120" w:firstLineChars="50"/>
        <w:rPr>
          <w:rFonts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color w:val="auto"/>
          <w:kern w:val="0"/>
          <w:sz w:val="24"/>
          <w:szCs w:val="24"/>
          <w:highlight w:val="none"/>
        </w:rPr>
        <w:t>其中：</w:t>
      </w:r>
      <w:r>
        <w:rPr>
          <w:rFonts w:hint="eastAsia" w:ascii="宋体" w:hAnsi="宋体" w:cs="宋体"/>
          <w:color w:val="auto"/>
          <w:sz w:val="24"/>
          <w:szCs w:val="24"/>
          <w:highlight w:val="none"/>
        </w:rPr>
        <w:t>施工扬尘污染防治措施：</w:t>
      </w:r>
      <w:r>
        <w:rPr>
          <w:rFonts w:hint="eastAsia" w:ascii="宋体" w:hAnsi="宋体" w:cs="宋体"/>
          <w:color w:val="auto"/>
          <w:kern w:val="0"/>
          <w:sz w:val="24"/>
          <w:szCs w:val="24"/>
          <w:highlight w:val="none"/>
          <w:u w:val="single"/>
        </w:rPr>
        <w:t xml:space="preserve">                /             </w:t>
      </w:r>
    </w:p>
    <w:p>
      <w:pPr>
        <w:shd w:val="clear" w:color="000000" w:fill="auto"/>
        <w:spacing w:line="360" w:lineRule="auto"/>
        <w:ind w:firstLine="1440" w:firstLineChars="600"/>
        <w:rPr>
          <w:rFonts w:ascii="宋体" w:hAnsi="宋体" w:cs="宋体"/>
          <w:color w:val="auto"/>
          <w:kern w:val="0"/>
          <w:sz w:val="24"/>
          <w:szCs w:val="24"/>
          <w:highlight w:val="none"/>
          <w:u w:val="single"/>
        </w:rPr>
      </w:pPr>
      <w:r>
        <w:rPr>
          <w:rFonts w:hint="eastAsia" w:ascii="宋体" w:hAnsi="宋体" w:cs="宋体"/>
          <w:color w:val="auto"/>
          <w:sz w:val="24"/>
          <w:szCs w:val="24"/>
          <w:highlight w:val="none"/>
        </w:rPr>
        <w:t>用工实名管理：</w:t>
      </w:r>
      <w:r>
        <w:rPr>
          <w:rFonts w:hint="eastAsia" w:ascii="宋体" w:hAnsi="宋体" w:cs="宋体"/>
          <w:color w:val="auto"/>
          <w:kern w:val="0"/>
          <w:sz w:val="24"/>
          <w:szCs w:val="24"/>
          <w:highlight w:val="none"/>
          <w:u w:val="single"/>
        </w:rPr>
        <w:t xml:space="preserve">             /               </w:t>
      </w:r>
    </w:p>
    <w:p>
      <w:pPr>
        <w:shd w:val="clear" w:color="000000" w:fill="auto"/>
        <w:spacing w:line="360" w:lineRule="auto"/>
        <w:ind w:firstLine="1440" w:firstLineChars="600"/>
        <w:rPr>
          <w:rFonts w:ascii="宋体" w:hAnsi="宋体" w:cs="宋体"/>
          <w:color w:val="auto"/>
          <w:kern w:val="0"/>
          <w:sz w:val="24"/>
          <w:szCs w:val="24"/>
          <w:highlight w:val="none"/>
          <w:u w:val="single"/>
        </w:rPr>
      </w:pPr>
    </w:p>
    <w:p>
      <w:pPr>
        <w:shd w:val="clear" w:color="000000" w:fill="auto"/>
        <w:spacing w:line="360" w:lineRule="auto"/>
        <w:ind w:firstLine="360" w:firstLineChars="150"/>
        <w:rPr>
          <w:rFonts w:ascii="宋体" w:hAnsi="宋体" w:cs="宋体"/>
          <w:color w:val="auto"/>
          <w:kern w:val="0"/>
          <w:sz w:val="24"/>
          <w:szCs w:val="24"/>
          <w:highlight w:val="none"/>
        </w:rPr>
      </w:pPr>
      <w:r>
        <w:rPr>
          <w:rFonts w:hint="eastAsia" w:ascii="宋体" w:hAnsi="宋体" w:cs="宋体"/>
          <w:color w:val="auto"/>
          <w:sz w:val="24"/>
          <w:szCs w:val="24"/>
          <w:highlight w:val="none"/>
        </w:rPr>
        <w:t>45.2</w:t>
      </w:r>
      <w:r>
        <w:rPr>
          <w:rFonts w:hint="eastAsia" w:ascii="宋体" w:hAnsi="宋体" w:cs="宋体"/>
          <w:color w:val="auto"/>
          <w:kern w:val="0"/>
          <w:sz w:val="24"/>
          <w:szCs w:val="24"/>
          <w:highlight w:val="none"/>
        </w:rPr>
        <w:t>用工实名制、工人工资支付分账管理</w:t>
      </w:r>
    </w:p>
    <w:p>
      <w:pPr>
        <w:shd w:val="clear" w:color="000000" w:fill="auto"/>
        <w:spacing w:line="360" w:lineRule="auto"/>
        <w:ind w:firstLine="360" w:firstLineChars="150"/>
        <w:rPr>
          <w:rFonts w:hint="eastAsia" w:ascii="宋体" w:hAnsi="宋体" w:eastAsia="宋体" w:cs="宋体"/>
          <w:color w:val="auto"/>
          <w:kern w:val="0"/>
          <w:sz w:val="24"/>
          <w:szCs w:val="24"/>
          <w:highlight w:val="none"/>
          <w:lang w:eastAsia="zh-CN"/>
        </w:rPr>
      </w:pPr>
      <w:r>
        <w:rPr>
          <w:rFonts w:hint="eastAsia" w:ascii="黑体" w:hAnsi="黑体" w:eastAsia="黑体" w:cs="黑体"/>
          <w:color w:val="auto"/>
          <w:kern w:val="0"/>
          <w:sz w:val="24"/>
          <w:szCs w:val="24"/>
          <w:highlight w:val="none"/>
        </w:rPr>
        <w:t>■</w:t>
      </w:r>
      <w:r>
        <w:rPr>
          <w:rFonts w:hint="eastAsia" w:ascii="宋体" w:hAnsi="宋体" w:cs="宋体"/>
          <w:color w:val="auto"/>
          <w:kern w:val="0"/>
          <w:sz w:val="24"/>
          <w:szCs w:val="24"/>
          <w:highlight w:val="none"/>
        </w:rPr>
        <w:t xml:space="preserve"> 另作约定：</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按国家、省、市相关规定执行，</w:t>
      </w:r>
      <w:r>
        <w:rPr>
          <w:rFonts w:hint="eastAsia" w:ascii="宋体" w:hAnsi="宋体" w:cs="宋体"/>
          <w:color w:val="auto"/>
          <w:sz w:val="24"/>
          <w:szCs w:val="24"/>
          <w:highlight w:val="none"/>
          <w:u w:val="single"/>
        </w:rPr>
        <w:t>建设期间新颁布的相关管理办法和法律、法规等。各文件内容之间如有矛盾，以最新文件内容执行</w:t>
      </w:r>
      <w:r>
        <w:rPr>
          <w:rFonts w:hint="eastAsia" w:ascii="宋体" w:hAnsi="宋体" w:cs="宋体"/>
          <w:color w:val="auto"/>
          <w:sz w:val="24"/>
          <w:szCs w:val="24"/>
          <w:highlight w:val="none"/>
          <w:u w:val="single"/>
          <w:lang w:eastAsia="zh-CN"/>
        </w:rPr>
        <w:t>。</w:t>
      </w:r>
    </w:p>
    <w:p>
      <w:pPr>
        <w:shd w:val="clear" w:color="000000" w:fill="auto"/>
        <w:spacing w:line="360" w:lineRule="auto"/>
        <w:ind w:firstLine="120" w:firstLineChars="50"/>
        <w:rPr>
          <w:rFonts w:ascii="宋体" w:hAnsi="宋体" w:cs="宋体"/>
          <w:color w:val="auto"/>
          <w:sz w:val="24"/>
          <w:szCs w:val="24"/>
          <w:highlight w:val="none"/>
        </w:rPr>
      </w:pPr>
      <w:r>
        <w:rPr>
          <w:rFonts w:hint="eastAsia" w:ascii="宋体" w:hAnsi="宋体" w:cs="宋体"/>
          <w:color w:val="auto"/>
          <w:sz w:val="24"/>
          <w:szCs w:val="24"/>
          <w:highlight w:val="none"/>
        </w:rPr>
        <w:t xml:space="preserve">   45.6 治安管理：</w:t>
      </w:r>
    </w:p>
    <w:p>
      <w:pPr>
        <w:shd w:val="clear" w:color="000000" w:fill="auto"/>
        <w:spacing w:line="360" w:lineRule="auto"/>
        <w:ind w:firstLine="120" w:firstLineChars="50"/>
        <w:rPr>
          <w:rFonts w:ascii="宋体" w:hAnsi="宋体" w:cs="宋体"/>
          <w:color w:val="auto"/>
          <w:kern w:val="0"/>
          <w:sz w:val="24"/>
          <w:szCs w:val="24"/>
          <w:highlight w:val="none"/>
        </w:rPr>
      </w:pPr>
      <w:r>
        <w:rPr>
          <w:rFonts w:hint="eastAsia" w:ascii="宋体" w:hAnsi="宋体" w:cs="宋体"/>
          <w:color w:val="auto"/>
          <w:sz w:val="24"/>
          <w:szCs w:val="24"/>
          <w:highlight w:val="none"/>
        </w:rPr>
        <w:t xml:space="preserve">  </w:t>
      </w:r>
      <w:r>
        <w:rPr>
          <w:rFonts w:hint="eastAsia" w:ascii="黑体" w:hAnsi="黑体" w:eastAsia="黑体" w:cs="黑体"/>
          <w:color w:val="auto"/>
          <w:kern w:val="0"/>
          <w:sz w:val="24"/>
          <w:szCs w:val="24"/>
          <w:highlight w:val="none"/>
        </w:rPr>
        <w:t>■</w:t>
      </w:r>
      <w:r>
        <w:rPr>
          <w:rFonts w:hint="eastAsia" w:ascii="宋体" w:hAnsi="宋体" w:cs="宋体"/>
          <w:color w:val="auto"/>
          <w:kern w:val="0"/>
          <w:sz w:val="24"/>
          <w:szCs w:val="24"/>
          <w:highlight w:val="none"/>
        </w:rPr>
        <w:t xml:space="preserve"> 按通用条款的规定。</w:t>
      </w:r>
    </w:p>
    <w:p>
      <w:pPr>
        <w:shd w:val="clear" w:color="000000" w:fill="auto"/>
        <w:spacing w:line="360" w:lineRule="auto"/>
        <w:ind w:firstLine="120" w:firstLineChars="5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 另作约定：</w:t>
      </w:r>
      <w:r>
        <w:rPr>
          <w:rFonts w:hint="eastAsia" w:ascii="宋体" w:hAnsi="宋体" w:cs="宋体"/>
          <w:color w:val="auto"/>
          <w:kern w:val="0"/>
          <w:sz w:val="24"/>
          <w:szCs w:val="24"/>
          <w:highlight w:val="none"/>
          <w:u w:val="single"/>
        </w:rPr>
        <w:t xml:space="preserve">     /          </w:t>
      </w:r>
    </w:p>
    <w:p>
      <w:pPr>
        <w:shd w:val="clear" w:color="000000" w:fill="auto"/>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45.8</w:t>
      </w:r>
      <w:r>
        <w:rPr>
          <w:rFonts w:hint="eastAsia" w:ascii="宋体" w:hAnsi="宋体" w:cs="宋体"/>
          <w:color w:val="auto"/>
          <w:kern w:val="0"/>
          <w:sz w:val="24"/>
          <w:szCs w:val="24"/>
          <w:highlight w:val="none"/>
        </w:rPr>
        <w:t>创文明工地目标：</w:t>
      </w:r>
      <w:r>
        <w:rPr>
          <w:rFonts w:hint="eastAsia" w:ascii="宋体" w:hAnsi="宋体" w:cs="宋体"/>
          <w:color w:val="auto"/>
          <w:sz w:val="24"/>
          <w:szCs w:val="24"/>
          <w:highlight w:val="none"/>
          <w:u w:val="single"/>
        </w:rPr>
        <w:t xml:space="preserve">    按协议书第四条约定     </w:t>
      </w:r>
    </w:p>
    <w:p>
      <w:pPr>
        <w:shd w:val="clear" w:color="000000" w:fill="auto"/>
        <w:spacing w:line="360" w:lineRule="auto"/>
        <w:ind w:firstLine="482"/>
        <w:rPr>
          <w:rFonts w:ascii="宋体" w:hAnsi="宋体" w:cs="宋体"/>
          <w:color w:val="auto"/>
          <w:kern w:val="0"/>
          <w:sz w:val="24"/>
          <w:szCs w:val="24"/>
          <w:highlight w:val="none"/>
        </w:rPr>
      </w:pPr>
      <w:r>
        <w:rPr>
          <w:rFonts w:hint="eastAsia" w:ascii="宋体" w:hAnsi="宋体" w:cs="宋体"/>
          <w:color w:val="auto"/>
          <w:sz w:val="24"/>
          <w:szCs w:val="24"/>
          <w:highlight w:val="none"/>
        </w:rPr>
        <w:t>45.9</w:t>
      </w:r>
      <w:r>
        <w:rPr>
          <w:rFonts w:hint="eastAsia" w:ascii="宋体" w:hAnsi="宋体" w:cs="宋体"/>
          <w:color w:val="auto"/>
          <w:kern w:val="0"/>
          <w:sz w:val="24"/>
          <w:szCs w:val="24"/>
          <w:highlight w:val="none"/>
        </w:rPr>
        <w:t>特别安全生产事项</w:t>
      </w:r>
    </w:p>
    <w:p>
      <w:pPr>
        <w:shd w:val="clear" w:color="000000" w:fill="auto"/>
        <w:spacing w:line="360" w:lineRule="auto"/>
        <w:ind w:firstLine="482"/>
        <w:rPr>
          <w:rFonts w:ascii="宋体" w:hAnsi="宋体" w:cs="宋体"/>
          <w:color w:val="auto"/>
          <w:sz w:val="24"/>
          <w:szCs w:val="24"/>
          <w:highlight w:val="none"/>
          <w:u w:val="single"/>
        </w:rPr>
      </w:pPr>
      <w:r>
        <w:rPr>
          <w:rFonts w:hint="eastAsia" w:ascii="宋体" w:hAnsi="宋体" w:cs="宋体"/>
          <w:color w:val="auto"/>
          <w:sz w:val="24"/>
          <w:szCs w:val="24"/>
          <w:highlight w:val="none"/>
        </w:rPr>
        <w:t>危险性较大分部分项专项工程施工技术措施标准、要求：</w:t>
      </w:r>
      <w:r>
        <w:rPr>
          <w:rFonts w:hint="eastAsia" w:ascii="宋体" w:hAnsi="宋体" w:cs="宋体"/>
          <w:color w:val="auto"/>
          <w:sz w:val="24"/>
          <w:szCs w:val="24"/>
          <w:highlight w:val="none"/>
          <w:u w:val="single"/>
        </w:rPr>
        <w:t xml:space="preserve">  按国家、广东省、广州市有关标准执行 </w:t>
      </w:r>
      <w:r>
        <w:rPr>
          <w:rFonts w:hint="eastAsia" w:ascii="宋体" w:hAnsi="宋体" w:cs="宋体"/>
          <w:color w:val="auto"/>
          <w:sz w:val="24"/>
          <w:szCs w:val="24"/>
          <w:highlight w:val="none"/>
        </w:rPr>
        <w:t>；</w:t>
      </w:r>
    </w:p>
    <w:p>
      <w:pPr>
        <w:shd w:val="clear" w:color="000000" w:fill="auto"/>
        <w:spacing w:line="360" w:lineRule="auto"/>
        <w:ind w:firstLine="482"/>
        <w:rPr>
          <w:rFonts w:ascii="宋体" w:hAnsi="宋体" w:cs="宋体"/>
          <w:color w:val="auto"/>
          <w:kern w:val="0"/>
          <w:sz w:val="24"/>
          <w:szCs w:val="24"/>
          <w:highlight w:val="none"/>
          <w:u w:val="single"/>
        </w:rPr>
      </w:pPr>
      <w:r>
        <w:rPr>
          <w:rFonts w:hint="eastAsia" w:ascii="宋体" w:hAnsi="宋体" w:cs="宋体"/>
          <w:color w:val="auto"/>
          <w:sz w:val="24"/>
          <w:szCs w:val="24"/>
          <w:highlight w:val="none"/>
        </w:rPr>
        <w:t>危险性较大分部分项专项工程施工技术措施费：</w:t>
      </w:r>
      <w:r>
        <w:rPr>
          <w:rFonts w:hint="eastAsia" w:ascii="宋体" w:hAnsi="宋体" w:cs="宋体"/>
          <w:color w:val="auto"/>
          <w:sz w:val="24"/>
          <w:szCs w:val="24"/>
          <w:highlight w:val="none"/>
          <w:u w:val="single"/>
        </w:rPr>
        <w:t xml:space="preserve">          </w:t>
      </w:r>
      <w:r>
        <w:rPr>
          <w:rFonts w:ascii="宋体" w:hAnsi="宋体" w:cs="宋体"/>
          <w:color w:val="auto"/>
          <w:sz w:val="24"/>
          <w:szCs w:val="24"/>
          <w:highlight w:val="none"/>
          <w:u w:val="single"/>
        </w:rPr>
        <w:t>/</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元。</w:t>
      </w:r>
    </w:p>
    <w:p>
      <w:pPr>
        <w:pStyle w:val="4"/>
        <w:numPr>
          <w:ilvl w:val="0"/>
          <w:numId w:val="0"/>
        </w:numPr>
        <w:shd w:val="clear" w:color="000000" w:fill="auto"/>
        <w:tabs>
          <w:tab w:val="left" w:pos="420"/>
        </w:tabs>
        <w:spacing w:before="0" w:line="360" w:lineRule="auto"/>
        <w:rPr>
          <w:rFonts w:ascii="仿宋" w:hAnsi="仿宋" w:eastAsia="仿宋" w:cs="Times New Roman"/>
          <w:b/>
          <w:bCs/>
          <w:color w:val="auto"/>
          <w:sz w:val="24"/>
          <w:szCs w:val="24"/>
          <w:highlight w:val="none"/>
        </w:rPr>
      </w:pPr>
      <w:bookmarkStart w:id="548" w:name="_Toc10624951"/>
      <w:bookmarkStart w:id="549" w:name="_Toc469384107"/>
      <w:bookmarkStart w:id="550" w:name="_Toc7698"/>
      <w:bookmarkStart w:id="551" w:name="_Toc12054"/>
      <w:r>
        <w:rPr>
          <w:rFonts w:ascii="仿宋" w:hAnsi="仿宋" w:eastAsia="仿宋" w:cs="仿宋"/>
          <w:b/>
          <w:bCs/>
          <w:color w:val="auto"/>
          <w:sz w:val="24"/>
          <w:szCs w:val="24"/>
          <w:highlight w:val="none"/>
        </w:rPr>
        <w:t xml:space="preserve">46. </w:t>
      </w:r>
      <w:r>
        <w:rPr>
          <w:rFonts w:hint="eastAsia" w:ascii="仿宋" w:hAnsi="仿宋" w:eastAsia="仿宋" w:cs="仿宋"/>
          <w:b/>
          <w:bCs/>
          <w:color w:val="auto"/>
          <w:sz w:val="24"/>
          <w:szCs w:val="24"/>
          <w:highlight w:val="none"/>
        </w:rPr>
        <w:t>测量放线</w:t>
      </w:r>
      <w:bookmarkEnd w:id="548"/>
      <w:bookmarkEnd w:id="549"/>
      <w:bookmarkEnd w:id="550"/>
      <w:bookmarkEnd w:id="551"/>
    </w:p>
    <w:p>
      <w:pPr>
        <w:shd w:val="clear" w:color="000000" w:fill="auto"/>
        <w:spacing w:line="360" w:lineRule="auto"/>
        <w:ind w:firstLine="120" w:firstLineChars="5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46.1 承包人提交施工控制网资料的时间：</w:t>
      </w:r>
      <w:r>
        <w:rPr>
          <w:rFonts w:hint="eastAsia" w:ascii="宋体" w:hAnsi="宋体" w:cs="宋体"/>
          <w:color w:val="auto"/>
          <w:kern w:val="0"/>
          <w:sz w:val="24"/>
          <w:szCs w:val="24"/>
          <w:highlight w:val="none"/>
          <w:u w:val="single"/>
        </w:rPr>
        <w:t>按监理工程师的书面要求。</w:t>
      </w:r>
    </w:p>
    <w:p>
      <w:pPr>
        <w:shd w:val="clear" w:color="000000" w:fill="auto"/>
        <w:spacing w:line="360" w:lineRule="auto"/>
        <w:ind w:firstLine="120" w:firstLineChars="5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46.4 测量放线误差的约定：</w:t>
      </w:r>
      <w:r>
        <w:rPr>
          <w:rFonts w:hint="eastAsia" w:ascii="宋体" w:hAnsi="宋体" w:cs="宋体"/>
          <w:color w:val="auto"/>
          <w:kern w:val="0"/>
          <w:sz w:val="24"/>
          <w:szCs w:val="24"/>
          <w:highlight w:val="none"/>
          <w:u w:val="single"/>
        </w:rPr>
        <w:t>承包人有义务对发包人提供的相关资料进行复核，承包人发现发包人提供的上述基准资料存在明显错误或疏忽的，应及时通知监理人和发包人，否则造成后果由承包人负责。</w:t>
      </w:r>
    </w:p>
    <w:p>
      <w:pPr>
        <w:pStyle w:val="4"/>
        <w:numPr>
          <w:ilvl w:val="0"/>
          <w:numId w:val="0"/>
        </w:numPr>
        <w:shd w:val="clear" w:color="000000" w:fill="auto"/>
        <w:tabs>
          <w:tab w:val="left" w:pos="420"/>
        </w:tabs>
        <w:spacing w:before="0" w:line="360" w:lineRule="auto"/>
        <w:rPr>
          <w:rFonts w:ascii="仿宋" w:hAnsi="仿宋" w:eastAsia="仿宋" w:cs="Times New Roman"/>
          <w:b/>
          <w:bCs/>
          <w:color w:val="auto"/>
          <w:sz w:val="24"/>
          <w:szCs w:val="24"/>
          <w:highlight w:val="none"/>
        </w:rPr>
      </w:pPr>
      <w:bookmarkStart w:id="552" w:name="_Toc5633"/>
      <w:bookmarkStart w:id="553" w:name="_Toc10624952"/>
      <w:bookmarkStart w:id="554" w:name="_Toc469384108"/>
      <w:bookmarkStart w:id="555" w:name="_Toc14404"/>
      <w:r>
        <w:rPr>
          <w:rFonts w:ascii="仿宋" w:hAnsi="仿宋" w:eastAsia="仿宋" w:cs="仿宋"/>
          <w:b/>
          <w:bCs/>
          <w:color w:val="auto"/>
          <w:sz w:val="24"/>
          <w:szCs w:val="24"/>
          <w:highlight w:val="none"/>
        </w:rPr>
        <w:t>48.</w:t>
      </w:r>
      <w:r>
        <w:rPr>
          <w:rFonts w:hint="eastAsia" w:ascii="仿宋" w:hAnsi="仿宋" w:eastAsia="仿宋" w:cs="仿宋"/>
          <w:b/>
          <w:bCs/>
          <w:color w:val="auto"/>
          <w:sz w:val="24"/>
          <w:szCs w:val="24"/>
          <w:highlight w:val="none"/>
        </w:rPr>
        <w:t>发包人供应材料和工程设备</w:t>
      </w:r>
      <w:bookmarkEnd w:id="552"/>
      <w:bookmarkEnd w:id="553"/>
      <w:bookmarkEnd w:id="554"/>
      <w:bookmarkEnd w:id="555"/>
    </w:p>
    <w:p>
      <w:pPr>
        <w:shd w:val="clear" w:color="000000" w:fill="auto"/>
        <w:spacing w:line="360" w:lineRule="auto"/>
        <w:ind w:firstLine="120" w:firstLineChars="5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48.1 约定供应的材料和工程设备</w:t>
      </w:r>
    </w:p>
    <w:p>
      <w:pPr>
        <w:shd w:val="clear" w:color="000000" w:fill="auto"/>
        <w:spacing w:line="360" w:lineRule="auto"/>
        <w:ind w:firstLine="120" w:firstLineChars="5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w:t>
      </w:r>
      <w:r>
        <w:rPr>
          <w:rFonts w:hint="eastAsia" w:ascii="黑体" w:hAnsi="黑体" w:eastAsia="黑体" w:cs="黑体"/>
          <w:color w:val="auto"/>
          <w:kern w:val="0"/>
          <w:sz w:val="24"/>
          <w:szCs w:val="24"/>
          <w:highlight w:val="none"/>
        </w:rPr>
        <w:t>■</w:t>
      </w:r>
      <w:r>
        <w:rPr>
          <w:rFonts w:hint="eastAsia" w:ascii="宋体" w:hAnsi="宋体" w:cs="宋体"/>
          <w:color w:val="auto"/>
          <w:kern w:val="0"/>
          <w:sz w:val="24"/>
          <w:szCs w:val="24"/>
          <w:highlight w:val="none"/>
        </w:rPr>
        <w:t xml:space="preserve"> 发包人不供应材料和工程设备，本条不适用。</w:t>
      </w:r>
    </w:p>
    <w:p>
      <w:pPr>
        <w:shd w:val="clear" w:color="000000" w:fill="auto"/>
        <w:spacing w:line="360" w:lineRule="auto"/>
        <w:ind w:firstLine="120" w:firstLineChars="5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 发包人供应材料和工程设备的，应与承包人约定“发包人供应材料和工程设备一览表”，作为本合同的附件。</w:t>
      </w:r>
    </w:p>
    <w:p>
      <w:pPr>
        <w:shd w:val="clear" w:color="000000" w:fill="auto"/>
        <w:spacing w:line="360" w:lineRule="auto"/>
        <w:ind w:firstLine="120" w:firstLineChars="5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48.8 发包人供应材料和工程设备的结算方式：</w:t>
      </w:r>
      <w:r>
        <w:rPr>
          <w:rFonts w:hint="eastAsia" w:ascii="宋体" w:hAnsi="宋体" w:cs="宋体"/>
          <w:color w:val="auto"/>
          <w:kern w:val="0"/>
          <w:sz w:val="24"/>
          <w:szCs w:val="24"/>
          <w:highlight w:val="none"/>
          <w:u w:val="single"/>
        </w:rPr>
        <w:t xml:space="preserve">   /     </w:t>
      </w:r>
      <w:r>
        <w:rPr>
          <w:rFonts w:hint="eastAsia" w:ascii="宋体" w:hAnsi="宋体" w:cs="宋体"/>
          <w:color w:val="auto"/>
          <w:kern w:val="0"/>
          <w:sz w:val="24"/>
          <w:szCs w:val="24"/>
          <w:highlight w:val="none"/>
        </w:rPr>
        <w:t xml:space="preserve">  </w:t>
      </w:r>
    </w:p>
    <w:p>
      <w:pPr>
        <w:pStyle w:val="4"/>
        <w:numPr>
          <w:ilvl w:val="0"/>
          <w:numId w:val="0"/>
        </w:numPr>
        <w:shd w:val="clear" w:color="000000" w:fill="auto"/>
        <w:tabs>
          <w:tab w:val="left" w:pos="420"/>
        </w:tabs>
        <w:spacing w:before="0" w:line="360" w:lineRule="auto"/>
        <w:rPr>
          <w:rFonts w:ascii="仿宋" w:hAnsi="仿宋" w:eastAsia="仿宋" w:cs="Times New Roman"/>
          <w:b/>
          <w:bCs/>
          <w:color w:val="auto"/>
          <w:sz w:val="24"/>
          <w:szCs w:val="24"/>
          <w:highlight w:val="none"/>
        </w:rPr>
      </w:pPr>
      <w:bookmarkStart w:id="556" w:name="_Toc10624953"/>
      <w:bookmarkStart w:id="557" w:name="_Toc469384109"/>
      <w:bookmarkStart w:id="558" w:name="_Toc24972"/>
      <w:bookmarkStart w:id="559" w:name="_Toc327"/>
      <w:r>
        <w:rPr>
          <w:rFonts w:ascii="仿宋" w:hAnsi="仿宋" w:eastAsia="仿宋" w:cs="仿宋"/>
          <w:b/>
          <w:bCs/>
          <w:color w:val="auto"/>
          <w:sz w:val="24"/>
          <w:szCs w:val="24"/>
          <w:highlight w:val="none"/>
        </w:rPr>
        <w:t xml:space="preserve">49. </w:t>
      </w:r>
      <w:r>
        <w:rPr>
          <w:rFonts w:hint="eastAsia" w:ascii="仿宋" w:hAnsi="仿宋" w:eastAsia="仿宋" w:cs="仿宋"/>
          <w:b/>
          <w:bCs/>
          <w:color w:val="auto"/>
          <w:sz w:val="24"/>
          <w:szCs w:val="24"/>
          <w:highlight w:val="none"/>
        </w:rPr>
        <w:t>承包人采购材料和工程设备</w:t>
      </w:r>
      <w:bookmarkEnd w:id="556"/>
      <w:bookmarkEnd w:id="557"/>
      <w:bookmarkEnd w:id="558"/>
      <w:bookmarkEnd w:id="559"/>
    </w:p>
    <w:p>
      <w:pPr>
        <w:shd w:val="clear" w:color="000000" w:fill="auto"/>
        <w:spacing w:line="360" w:lineRule="auto"/>
        <w:ind w:firstLine="120" w:firstLineChars="5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49.1 承包人采购材料和工程设备</w:t>
      </w:r>
    </w:p>
    <w:p>
      <w:pPr>
        <w:shd w:val="clear" w:color="000000" w:fill="auto"/>
        <w:spacing w:line="360" w:lineRule="auto"/>
        <w:ind w:firstLine="120" w:firstLineChars="5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w:t>
      </w:r>
      <w:r>
        <w:rPr>
          <w:rFonts w:hint="eastAsia" w:ascii="黑体" w:hAnsi="黑体" w:eastAsia="黑体" w:cs="黑体"/>
          <w:color w:val="auto"/>
          <w:kern w:val="0"/>
          <w:sz w:val="24"/>
          <w:szCs w:val="24"/>
          <w:highlight w:val="none"/>
        </w:rPr>
        <w:t>■</w:t>
      </w:r>
      <w:r>
        <w:rPr>
          <w:rFonts w:hint="eastAsia" w:ascii="宋体" w:hAnsi="宋体" w:cs="宋体"/>
          <w:color w:val="auto"/>
          <w:kern w:val="0"/>
          <w:sz w:val="24"/>
          <w:szCs w:val="24"/>
          <w:highlight w:val="none"/>
        </w:rPr>
        <w:t xml:space="preserve"> 按通用条款规定，由承包人负责运输和保管。</w:t>
      </w:r>
    </w:p>
    <w:p>
      <w:pPr>
        <w:shd w:val="clear" w:color="000000" w:fill="auto"/>
        <w:spacing w:line="360" w:lineRule="auto"/>
        <w:ind w:firstLine="120" w:firstLineChars="5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 另作约定：</w:t>
      </w:r>
      <w:r>
        <w:rPr>
          <w:rFonts w:hint="eastAsia" w:ascii="宋体" w:hAnsi="宋体" w:cs="宋体"/>
          <w:color w:val="auto"/>
          <w:kern w:val="0"/>
          <w:sz w:val="24"/>
          <w:szCs w:val="24"/>
          <w:highlight w:val="none"/>
          <w:u w:val="single"/>
        </w:rPr>
        <w:t xml:space="preserve">    /     </w:t>
      </w:r>
      <w:r>
        <w:rPr>
          <w:rFonts w:hint="eastAsia" w:ascii="宋体" w:hAnsi="宋体" w:cs="宋体"/>
          <w:color w:val="auto"/>
          <w:kern w:val="0"/>
          <w:sz w:val="24"/>
          <w:szCs w:val="24"/>
          <w:highlight w:val="none"/>
        </w:rPr>
        <w:t xml:space="preserve">  </w:t>
      </w:r>
    </w:p>
    <w:p>
      <w:pPr>
        <w:shd w:val="clear" w:color="000000" w:fill="auto"/>
        <w:spacing w:line="360" w:lineRule="auto"/>
        <w:ind w:firstLine="120" w:firstLineChars="50"/>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 xml:space="preserve">  49.2 承包人供货要求：</w:t>
      </w:r>
    </w:p>
    <w:p>
      <w:pPr>
        <w:shd w:val="clear" w:color="000000" w:fill="auto"/>
        <w:spacing w:line="360" w:lineRule="auto"/>
        <w:ind w:firstLine="120" w:firstLineChars="50"/>
        <w:rPr>
          <w:rFonts w:ascii="宋体" w:hAnsi="宋体" w:cs="宋体"/>
          <w:color w:val="auto"/>
          <w:kern w:val="0"/>
          <w:sz w:val="24"/>
          <w:szCs w:val="24"/>
          <w:highlight w:val="none"/>
        </w:rPr>
      </w:pPr>
      <w:bookmarkStart w:id="560" w:name="_Toc469384110"/>
      <w:bookmarkStart w:id="561" w:name="_Toc10624954"/>
      <w:bookmarkStart w:id="562" w:name="_Toc29773"/>
      <w:bookmarkStart w:id="563" w:name="_Toc14934"/>
      <w:r>
        <w:rPr>
          <w:rFonts w:hint="eastAsia" w:ascii="宋体" w:hAnsi="宋体" w:cs="宋体"/>
          <w:color w:val="auto"/>
          <w:kern w:val="0"/>
          <w:sz w:val="24"/>
          <w:szCs w:val="24"/>
          <w:highlight w:val="none"/>
        </w:rPr>
        <w:t>（1）订货前，承包人应提供发包方的材料品牌推荐表与品牌、品质一致的材料、设备的合格证书及试验报告及材料样板经发包人及工程监理单位、造价咨询单位确认后使用。</w:t>
      </w:r>
    </w:p>
    <w:p>
      <w:pPr>
        <w:shd w:val="clear" w:color="000000" w:fill="auto"/>
        <w:spacing w:line="360" w:lineRule="auto"/>
        <w:ind w:firstLine="120" w:firstLineChars="50"/>
        <w:rPr>
          <w:rFonts w:ascii="宋体" w:hAnsi="宋体" w:cs="宋体"/>
          <w:color w:val="auto"/>
          <w:kern w:val="0"/>
          <w:sz w:val="24"/>
          <w:szCs w:val="24"/>
          <w:highlight w:val="none"/>
        </w:rPr>
      </w:pPr>
      <w:r>
        <w:rPr>
          <w:rFonts w:hint="eastAsia" w:ascii="宋体" w:hAnsi="宋体" w:cs="宋体"/>
          <w:color w:val="auto"/>
          <w:kern w:val="0"/>
          <w:sz w:val="24"/>
          <w:szCs w:val="24"/>
          <w:highlight w:val="none"/>
        </w:rPr>
        <w:t>（2）如发包</w:t>
      </w:r>
      <w:r>
        <w:rPr>
          <w:rFonts w:hint="eastAsia" w:ascii="宋体" w:hAnsi="宋体" w:cs="宋体"/>
          <w:color w:val="auto"/>
          <w:kern w:val="0"/>
          <w:sz w:val="24"/>
          <w:szCs w:val="24"/>
          <w:highlight w:val="none"/>
          <w:lang w:val="en-US" w:eastAsia="zh-CN"/>
        </w:rPr>
        <w:t>人</w:t>
      </w:r>
      <w:r>
        <w:rPr>
          <w:rFonts w:hint="eastAsia" w:ascii="宋体" w:hAnsi="宋体" w:cs="宋体"/>
          <w:color w:val="auto"/>
          <w:kern w:val="0"/>
          <w:sz w:val="24"/>
          <w:szCs w:val="24"/>
          <w:highlight w:val="none"/>
        </w:rPr>
        <w:t>的材料品牌推荐表中未注明品牌的或承包人应提供的与发包</w:t>
      </w:r>
      <w:r>
        <w:rPr>
          <w:rFonts w:hint="eastAsia" w:ascii="宋体" w:hAnsi="宋体" w:cs="宋体"/>
          <w:color w:val="auto"/>
          <w:kern w:val="0"/>
          <w:sz w:val="24"/>
          <w:szCs w:val="24"/>
          <w:highlight w:val="none"/>
          <w:lang w:val="en-US" w:eastAsia="zh-CN"/>
        </w:rPr>
        <w:t>人</w:t>
      </w:r>
      <w:r>
        <w:rPr>
          <w:rFonts w:hint="eastAsia" w:ascii="宋体" w:hAnsi="宋体" w:cs="宋体"/>
          <w:color w:val="auto"/>
          <w:kern w:val="0"/>
          <w:sz w:val="24"/>
          <w:szCs w:val="24"/>
          <w:highlight w:val="none"/>
        </w:rPr>
        <w:t>的材料品牌推荐表品牌一致的样板不能通过发包人、工程监理单位、造价咨询单位确认，承包人应提供三家以上与发包</w:t>
      </w:r>
      <w:r>
        <w:rPr>
          <w:rFonts w:hint="eastAsia" w:ascii="宋体" w:hAnsi="宋体" w:cs="宋体"/>
          <w:color w:val="auto"/>
          <w:kern w:val="0"/>
          <w:sz w:val="24"/>
          <w:szCs w:val="24"/>
          <w:highlight w:val="none"/>
          <w:lang w:val="en-US" w:eastAsia="zh-CN"/>
        </w:rPr>
        <w:t>人</w:t>
      </w:r>
      <w:r>
        <w:rPr>
          <w:rFonts w:hint="eastAsia" w:ascii="宋体" w:hAnsi="宋体" w:cs="宋体"/>
          <w:color w:val="auto"/>
          <w:kern w:val="0"/>
          <w:sz w:val="24"/>
          <w:szCs w:val="24"/>
          <w:highlight w:val="none"/>
        </w:rPr>
        <w:t>的材料品牌推荐表材料单价±10%范围内生产厂家的合格证书及试验报告及材料样板，经工程监理单位、造价咨询单位及发包人确认后使用，由此增加的价款由承包人承担；由此减少的价款双方议定分享。</w:t>
      </w:r>
    </w:p>
    <w:p>
      <w:pPr>
        <w:shd w:val="clear" w:color="000000" w:fill="auto"/>
        <w:spacing w:line="360" w:lineRule="auto"/>
        <w:ind w:firstLine="120" w:firstLineChars="50"/>
        <w:rPr>
          <w:rFonts w:ascii="宋体" w:hAnsi="宋体" w:cs="宋体"/>
          <w:color w:val="auto"/>
          <w:kern w:val="0"/>
          <w:sz w:val="24"/>
          <w:szCs w:val="24"/>
          <w:highlight w:val="none"/>
        </w:rPr>
      </w:pPr>
      <w:r>
        <w:rPr>
          <w:rFonts w:hint="eastAsia" w:ascii="宋体" w:hAnsi="宋体" w:cs="宋体"/>
          <w:color w:val="auto"/>
          <w:kern w:val="0"/>
          <w:sz w:val="24"/>
          <w:szCs w:val="24"/>
          <w:highlight w:val="none"/>
        </w:rPr>
        <w:t>（3）如承包人拒不提交上述材料、设备的合格证书及试验报告及材料样板，或提交的样板仍不能通过工程监理单位、造价咨询单位及发包人确认，发包人有权自行采购相关材料设备，所需款项在工程款中扣除，承包人不得要求任何费用调整。且由此造成的工期延误、费用增加等一切损失均由承包人承担，</w:t>
      </w:r>
    </w:p>
    <w:p>
      <w:pPr>
        <w:shd w:val="clear" w:color="000000" w:fill="auto"/>
        <w:spacing w:line="360" w:lineRule="auto"/>
        <w:ind w:firstLine="120" w:firstLineChars="50"/>
        <w:rPr>
          <w:rFonts w:ascii="宋体" w:hAnsi="宋体" w:cs="宋体"/>
          <w:color w:val="auto"/>
          <w:kern w:val="0"/>
          <w:sz w:val="24"/>
          <w:szCs w:val="24"/>
          <w:highlight w:val="none"/>
        </w:rPr>
      </w:pPr>
      <w:r>
        <w:rPr>
          <w:rFonts w:hint="eastAsia" w:ascii="宋体" w:hAnsi="宋体" w:cs="宋体"/>
          <w:color w:val="auto"/>
          <w:kern w:val="0"/>
          <w:sz w:val="24"/>
          <w:szCs w:val="24"/>
          <w:highlight w:val="none"/>
        </w:rPr>
        <w:t>（4）发包人对经确认的材料样板进行封板，如发生货不对板，发包人有权拒用，并由承包人承担损失。</w:t>
      </w:r>
    </w:p>
    <w:p>
      <w:pPr>
        <w:shd w:val="clear" w:color="000000" w:fill="auto"/>
        <w:spacing w:line="360" w:lineRule="auto"/>
        <w:ind w:firstLine="120" w:firstLineChars="50"/>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 xml:space="preserve">  49.8 发包人依法指定的生产厂家和供应商：</w:t>
      </w:r>
      <w:r>
        <w:rPr>
          <w:rFonts w:hint="eastAsia" w:ascii="宋体" w:hAnsi="宋体" w:cs="宋体"/>
          <w:color w:val="auto"/>
          <w:kern w:val="0"/>
          <w:sz w:val="24"/>
          <w:szCs w:val="24"/>
          <w:highlight w:val="none"/>
          <w:u w:val="single"/>
        </w:rPr>
        <w:t xml:space="preserve">     /      </w:t>
      </w:r>
    </w:p>
    <w:p>
      <w:pPr>
        <w:shd w:val="clear" w:color="000000" w:fill="auto"/>
        <w:spacing w:line="360" w:lineRule="auto"/>
        <w:ind w:firstLine="120" w:firstLineChars="50"/>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 xml:space="preserve">       发包人要求的材料和工程设备建设标准、质量等级：</w:t>
      </w:r>
      <w:r>
        <w:rPr>
          <w:rFonts w:hint="eastAsia" w:ascii="宋体" w:hAnsi="宋体" w:cs="宋体"/>
          <w:color w:val="auto"/>
          <w:kern w:val="0"/>
          <w:sz w:val="24"/>
          <w:szCs w:val="24"/>
          <w:highlight w:val="none"/>
          <w:u w:val="single"/>
        </w:rPr>
        <w:t xml:space="preserve">   /    </w:t>
      </w:r>
    </w:p>
    <w:p>
      <w:pPr>
        <w:pStyle w:val="4"/>
        <w:numPr>
          <w:ilvl w:val="0"/>
          <w:numId w:val="0"/>
        </w:numPr>
        <w:shd w:val="clear" w:color="000000" w:fill="auto"/>
        <w:tabs>
          <w:tab w:val="left" w:pos="420"/>
        </w:tabs>
        <w:spacing w:before="0" w:line="360" w:lineRule="auto"/>
        <w:rPr>
          <w:rFonts w:ascii="仿宋" w:hAnsi="仿宋" w:eastAsia="仿宋" w:cs="Times New Roman"/>
          <w:b/>
          <w:bCs/>
          <w:color w:val="auto"/>
          <w:sz w:val="24"/>
          <w:szCs w:val="24"/>
          <w:highlight w:val="none"/>
        </w:rPr>
      </w:pPr>
      <w:r>
        <w:rPr>
          <w:rFonts w:ascii="仿宋" w:hAnsi="仿宋" w:eastAsia="仿宋" w:cs="仿宋"/>
          <w:b/>
          <w:bCs/>
          <w:color w:val="auto"/>
          <w:sz w:val="24"/>
          <w:szCs w:val="24"/>
          <w:highlight w:val="none"/>
        </w:rPr>
        <w:t xml:space="preserve">50. </w:t>
      </w:r>
      <w:r>
        <w:rPr>
          <w:rFonts w:hint="eastAsia" w:ascii="仿宋" w:hAnsi="仿宋" w:eastAsia="仿宋" w:cs="仿宋"/>
          <w:b/>
          <w:bCs/>
          <w:color w:val="auto"/>
          <w:sz w:val="24"/>
          <w:szCs w:val="24"/>
          <w:highlight w:val="none"/>
        </w:rPr>
        <w:t>材料和工程设备的检验试验</w:t>
      </w:r>
      <w:bookmarkEnd w:id="560"/>
      <w:bookmarkEnd w:id="561"/>
      <w:bookmarkEnd w:id="562"/>
      <w:bookmarkEnd w:id="563"/>
    </w:p>
    <w:p>
      <w:pPr>
        <w:shd w:val="clear" w:color="000000" w:fill="auto"/>
        <w:spacing w:line="360" w:lineRule="auto"/>
        <w:ind w:firstLine="120" w:firstLineChars="5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50.2 见证取样检验试验的材料和工程设备</w:t>
      </w:r>
    </w:p>
    <w:p>
      <w:pPr>
        <w:shd w:val="clear" w:color="000000" w:fill="auto"/>
        <w:spacing w:line="360" w:lineRule="auto"/>
        <w:ind w:firstLine="120" w:firstLineChars="5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（1） 种类：</w:t>
      </w:r>
      <w:r>
        <w:rPr>
          <w:rFonts w:hint="eastAsia" w:ascii="宋体" w:hAnsi="宋体" w:cs="宋体"/>
          <w:color w:val="auto"/>
          <w:kern w:val="0"/>
          <w:sz w:val="24"/>
          <w:szCs w:val="24"/>
          <w:highlight w:val="none"/>
          <w:u w:val="single"/>
        </w:rPr>
        <w:t xml:space="preserve">     </w:t>
      </w:r>
      <w:r>
        <w:rPr>
          <w:rFonts w:hint="eastAsia" w:ascii="宋体" w:hAnsi="宋体" w:cs="宋体"/>
          <w:color w:val="auto"/>
          <w:sz w:val="24"/>
          <w:szCs w:val="24"/>
          <w:highlight w:val="none"/>
          <w:u w:val="single"/>
        </w:rPr>
        <w:t>标准与规范要求的。</w:t>
      </w:r>
      <w:r>
        <w:rPr>
          <w:rFonts w:hint="eastAsia" w:ascii="宋体" w:hAnsi="宋体" w:cs="宋体"/>
          <w:color w:val="auto"/>
          <w:kern w:val="0"/>
          <w:sz w:val="24"/>
          <w:szCs w:val="24"/>
          <w:highlight w:val="none"/>
          <w:u w:val="single"/>
        </w:rPr>
        <w:t xml:space="preserve">         </w:t>
      </w:r>
    </w:p>
    <w:p>
      <w:pPr>
        <w:shd w:val="clear" w:color="000000" w:fill="auto"/>
        <w:spacing w:line="360" w:lineRule="auto"/>
        <w:ind w:firstLine="120" w:firstLineChars="50"/>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 xml:space="preserve">  （2） 检测机构：</w:t>
      </w:r>
      <w:r>
        <w:rPr>
          <w:rFonts w:hint="eastAsia" w:ascii="宋体" w:hAnsi="宋体" w:cs="宋体"/>
          <w:color w:val="auto"/>
          <w:kern w:val="0"/>
          <w:sz w:val="24"/>
          <w:szCs w:val="24"/>
          <w:highlight w:val="none"/>
          <w:u w:val="single"/>
        </w:rPr>
        <w:t xml:space="preserve">    </w:t>
      </w:r>
      <w:r>
        <w:rPr>
          <w:rFonts w:hint="eastAsia" w:ascii="宋体" w:hAnsi="宋体" w:cs="宋体"/>
          <w:color w:val="auto"/>
          <w:sz w:val="24"/>
          <w:szCs w:val="24"/>
          <w:highlight w:val="none"/>
          <w:u w:val="single"/>
        </w:rPr>
        <w:t>具有相应资质等级的质量检测机构</w:t>
      </w:r>
      <w:r>
        <w:rPr>
          <w:rFonts w:hint="eastAsia" w:ascii="宋体" w:hAnsi="宋体" w:cs="宋体"/>
          <w:color w:val="auto"/>
          <w:kern w:val="0"/>
          <w:sz w:val="24"/>
          <w:szCs w:val="24"/>
          <w:highlight w:val="none"/>
          <w:u w:val="single"/>
        </w:rPr>
        <w:t xml:space="preserve">。      </w:t>
      </w:r>
    </w:p>
    <w:p>
      <w:pPr>
        <w:pStyle w:val="4"/>
        <w:numPr>
          <w:ilvl w:val="0"/>
          <w:numId w:val="0"/>
        </w:numPr>
        <w:shd w:val="clear" w:color="000000" w:fill="auto"/>
        <w:tabs>
          <w:tab w:val="left" w:pos="420"/>
        </w:tabs>
        <w:spacing w:before="0" w:line="360" w:lineRule="auto"/>
        <w:rPr>
          <w:rFonts w:ascii="仿宋" w:hAnsi="仿宋" w:eastAsia="仿宋" w:cs="Times New Roman"/>
          <w:b/>
          <w:bCs/>
          <w:color w:val="auto"/>
          <w:sz w:val="24"/>
          <w:szCs w:val="24"/>
          <w:highlight w:val="none"/>
        </w:rPr>
      </w:pPr>
      <w:bookmarkStart w:id="564" w:name="_Toc15718"/>
      <w:bookmarkStart w:id="565" w:name="_Toc469384111"/>
      <w:bookmarkStart w:id="566" w:name="_Toc10624955"/>
      <w:bookmarkStart w:id="567" w:name="_Toc32255"/>
      <w:r>
        <w:rPr>
          <w:rFonts w:ascii="仿宋" w:hAnsi="仿宋" w:eastAsia="仿宋" w:cs="仿宋"/>
          <w:b/>
          <w:bCs/>
          <w:color w:val="auto"/>
          <w:sz w:val="24"/>
          <w:szCs w:val="24"/>
          <w:highlight w:val="none"/>
        </w:rPr>
        <w:t xml:space="preserve">51. </w:t>
      </w:r>
      <w:r>
        <w:rPr>
          <w:rFonts w:hint="eastAsia" w:ascii="仿宋" w:hAnsi="仿宋" w:eastAsia="仿宋" w:cs="仿宋"/>
          <w:b/>
          <w:bCs/>
          <w:color w:val="auto"/>
          <w:sz w:val="24"/>
          <w:szCs w:val="24"/>
          <w:highlight w:val="none"/>
        </w:rPr>
        <w:t>施工设备和临时设施</w:t>
      </w:r>
      <w:bookmarkEnd w:id="564"/>
      <w:bookmarkEnd w:id="565"/>
      <w:bookmarkEnd w:id="566"/>
      <w:bookmarkEnd w:id="567"/>
    </w:p>
    <w:p>
      <w:pPr>
        <w:shd w:val="clear" w:color="000000" w:fill="auto"/>
        <w:spacing w:line="360" w:lineRule="auto"/>
        <w:ind w:firstLine="120" w:firstLineChars="50"/>
        <w:rPr>
          <w:rFonts w:ascii="宋体" w:hAnsi="宋体" w:cs="宋体"/>
          <w:color w:val="auto"/>
          <w:sz w:val="24"/>
          <w:szCs w:val="24"/>
          <w:highlight w:val="none"/>
        </w:rPr>
      </w:pPr>
      <w:r>
        <w:rPr>
          <w:rFonts w:hint="eastAsia" w:ascii="宋体" w:hAnsi="宋体" w:cs="宋体"/>
          <w:color w:val="auto"/>
          <w:sz w:val="24"/>
          <w:szCs w:val="24"/>
          <w:highlight w:val="none"/>
        </w:rPr>
        <w:t xml:space="preserve">  51.1 承包人配置施工设备和临时设施</w:t>
      </w:r>
    </w:p>
    <w:p>
      <w:pPr>
        <w:shd w:val="clear" w:color="000000" w:fill="auto"/>
        <w:spacing w:line="360" w:lineRule="auto"/>
        <w:ind w:firstLine="120" w:firstLineChars="50"/>
        <w:rPr>
          <w:rFonts w:ascii="宋体" w:hAnsi="宋体" w:cs="宋体"/>
          <w:color w:val="auto"/>
          <w:kern w:val="0"/>
          <w:sz w:val="24"/>
          <w:szCs w:val="24"/>
          <w:highlight w:val="none"/>
        </w:rPr>
      </w:pPr>
      <w:r>
        <w:rPr>
          <w:rFonts w:hint="eastAsia" w:ascii="宋体" w:hAnsi="宋体" w:cs="宋体"/>
          <w:color w:val="auto"/>
          <w:sz w:val="24"/>
          <w:szCs w:val="24"/>
          <w:highlight w:val="none"/>
        </w:rPr>
        <w:t xml:space="preserve">  </w:t>
      </w:r>
      <w:r>
        <w:rPr>
          <w:rFonts w:hint="eastAsia" w:ascii="黑体" w:hAnsi="黑体" w:eastAsia="黑体" w:cs="黑体"/>
          <w:color w:val="auto"/>
          <w:kern w:val="0"/>
          <w:sz w:val="24"/>
          <w:szCs w:val="24"/>
          <w:highlight w:val="none"/>
        </w:rPr>
        <w:t>■</w:t>
      </w:r>
      <w:r>
        <w:rPr>
          <w:rFonts w:hint="eastAsia" w:ascii="宋体" w:hAnsi="宋体" w:cs="宋体"/>
          <w:color w:val="auto"/>
          <w:kern w:val="0"/>
          <w:sz w:val="24"/>
          <w:szCs w:val="24"/>
          <w:highlight w:val="none"/>
        </w:rPr>
        <w:t xml:space="preserve"> 按通用条款规定，承包人承担修建临时设施的费用。</w:t>
      </w:r>
    </w:p>
    <w:p>
      <w:pPr>
        <w:shd w:val="clear" w:color="000000" w:fill="auto"/>
        <w:spacing w:line="360" w:lineRule="auto"/>
        <w:ind w:firstLine="120" w:firstLineChars="5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 另作约定：</w:t>
      </w:r>
      <w:r>
        <w:rPr>
          <w:rFonts w:hint="eastAsia" w:ascii="宋体" w:hAnsi="宋体" w:cs="宋体"/>
          <w:color w:val="auto"/>
          <w:kern w:val="0"/>
          <w:sz w:val="24"/>
          <w:szCs w:val="24"/>
          <w:highlight w:val="none"/>
          <w:u w:val="single"/>
        </w:rPr>
        <w:t xml:space="preserve"> /        </w:t>
      </w:r>
    </w:p>
    <w:p>
      <w:pPr>
        <w:shd w:val="clear" w:color="000000" w:fill="auto"/>
        <w:spacing w:line="360" w:lineRule="auto"/>
        <w:ind w:firstLine="120" w:firstLineChars="50"/>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 xml:space="preserve">  51.2 发包人提供的施工设备和临时设施：</w:t>
      </w:r>
      <w:r>
        <w:rPr>
          <w:rFonts w:hint="eastAsia" w:ascii="宋体" w:hAnsi="宋体" w:cs="宋体"/>
          <w:color w:val="auto"/>
          <w:kern w:val="0"/>
          <w:sz w:val="24"/>
          <w:szCs w:val="24"/>
          <w:highlight w:val="none"/>
          <w:u w:val="single"/>
        </w:rPr>
        <w:t xml:space="preserve">    /        </w:t>
      </w:r>
    </w:p>
    <w:p>
      <w:pPr>
        <w:shd w:val="clear" w:color="000000" w:fill="auto"/>
        <w:spacing w:line="360" w:lineRule="auto"/>
        <w:ind w:firstLine="120" w:firstLineChars="50"/>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u w:val="single"/>
        </w:rPr>
        <w:t>将52.3修改如下内容：</w:t>
      </w:r>
    </w:p>
    <w:p>
      <w:pPr>
        <w:shd w:val="clear" w:color="000000" w:fill="auto"/>
        <w:spacing w:line="360" w:lineRule="auto"/>
        <w:ind w:firstLine="120" w:firstLineChars="50"/>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u w:val="single"/>
        </w:rPr>
        <w:t>发现工程质量达不到合同约定验收标准，承包人应拆除和重新施工，直到符合合同约定验收标准为止，并承担违约赔偿责任，并且发包人有权选择解除合同，承包人除了应退还已收工程款及各项费用外，还应按合同约定承担违约责任，造成发包人损失的，承包人还应赔偿一切经济损失。因承包人的原因达不到合同约定验收标准的，由此增加的费用和（或）延误的工期由承包人承担，并赔偿由此造成的发包人全部损失；因发包人的原因达不到合同约定验收标准的，包括承包人拆除和重新施工费用在内的由此增加的费用和（或）延误的工期由发包人承担，并向承包人支付合理成本费用。</w:t>
      </w:r>
    </w:p>
    <w:p>
      <w:pPr>
        <w:pStyle w:val="2"/>
        <w:rPr>
          <w:color w:val="auto"/>
          <w:highlight w:val="none"/>
        </w:rPr>
      </w:pPr>
    </w:p>
    <w:p>
      <w:pPr>
        <w:pStyle w:val="4"/>
        <w:numPr>
          <w:ilvl w:val="0"/>
          <w:numId w:val="0"/>
        </w:numPr>
        <w:shd w:val="clear" w:color="000000" w:fill="auto"/>
        <w:tabs>
          <w:tab w:val="left" w:pos="420"/>
        </w:tabs>
        <w:spacing w:before="0" w:line="360" w:lineRule="auto"/>
        <w:rPr>
          <w:rFonts w:ascii="仿宋" w:hAnsi="仿宋" w:eastAsia="仿宋" w:cs="Times New Roman"/>
          <w:b/>
          <w:bCs/>
          <w:color w:val="auto"/>
          <w:sz w:val="24"/>
          <w:szCs w:val="24"/>
          <w:highlight w:val="none"/>
        </w:rPr>
      </w:pPr>
      <w:bookmarkStart w:id="568" w:name="_Toc10624956"/>
      <w:bookmarkStart w:id="569" w:name="_Toc4554"/>
      <w:bookmarkStart w:id="570" w:name="_Toc469384112"/>
      <w:bookmarkStart w:id="571" w:name="_Toc3298"/>
      <w:r>
        <w:rPr>
          <w:rFonts w:ascii="仿宋" w:hAnsi="仿宋" w:eastAsia="仿宋" w:cs="仿宋"/>
          <w:b/>
          <w:bCs/>
          <w:color w:val="auto"/>
          <w:sz w:val="24"/>
          <w:szCs w:val="24"/>
          <w:highlight w:val="none"/>
        </w:rPr>
        <w:t xml:space="preserve">53. </w:t>
      </w:r>
      <w:r>
        <w:rPr>
          <w:rFonts w:hint="eastAsia" w:ascii="仿宋" w:hAnsi="仿宋" w:eastAsia="仿宋" w:cs="仿宋"/>
          <w:b/>
          <w:bCs/>
          <w:color w:val="auto"/>
          <w:sz w:val="24"/>
          <w:szCs w:val="24"/>
          <w:highlight w:val="none"/>
        </w:rPr>
        <w:t>隐蔽工程和中间验收</w:t>
      </w:r>
      <w:bookmarkEnd w:id="568"/>
      <w:bookmarkEnd w:id="569"/>
      <w:bookmarkEnd w:id="570"/>
      <w:bookmarkEnd w:id="571"/>
    </w:p>
    <w:p>
      <w:pPr>
        <w:shd w:val="clear" w:color="000000" w:fill="auto"/>
        <w:spacing w:line="360" w:lineRule="auto"/>
        <w:ind w:left="120" w:leftChars="57"/>
        <w:rPr>
          <w:rFonts w:ascii="宋体" w:hAnsi="宋体" w:cs="宋体"/>
          <w:color w:val="auto"/>
          <w:kern w:val="0"/>
          <w:sz w:val="24"/>
          <w:szCs w:val="24"/>
          <w:highlight w:val="none"/>
        </w:rPr>
      </w:pPr>
      <w:r>
        <w:rPr>
          <w:rFonts w:hint="eastAsia" w:ascii="宋体" w:hAnsi="宋体" w:cs="宋体"/>
          <w:color w:val="auto"/>
          <w:kern w:val="0"/>
          <w:sz w:val="24"/>
          <w:szCs w:val="24"/>
          <w:highlight w:val="none"/>
        </w:rPr>
        <w:t>隐蔽工程或中间验收部位未经专业监理工程师验收合格，不得隐蔽或继续施工，否则该部分工程被视为不合格，由此所产生的返工费用由承包人承担。</w:t>
      </w:r>
    </w:p>
    <w:p>
      <w:pPr>
        <w:shd w:val="clear" w:color="000000" w:fill="auto"/>
        <w:spacing w:line="360" w:lineRule="auto"/>
        <w:ind w:firstLine="120" w:firstLineChars="5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53.1 中间验收的部位有：</w:t>
      </w:r>
      <w:r>
        <w:rPr>
          <w:rFonts w:hint="eastAsia" w:ascii="宋体" w:hAnsi="宋体" w:cs="宋体"/>
          <w:color w:val="auto"/>
          <w:kern w:val="0"/>
          <w:sz w:val="24"/>
          <w:szCs w:val="24"/>
          <w:highlight w:val="none"/>
          <w:u w:val="single"/>
        </w:rPr>
        <w:t xml:space="preserve">  按</w:t>
      </w:r>
      <w:r>
        <w:rPr>
          <w:rFonts w:hint="eastAsia" w:ascii="宋体" w:hAnsi="宋体" w:cs="宋体"/>
          <w:color w:val="auto"/>
          <w:sz w:val="24"/>
          <w:szCs w:val="24"/>
          <w:highlight w:val="none"/>
          <w:u w:val="single"/>
        </w:rPr>
        <w:t>标准与规范要求。</w:t>
      </w:r>
      <w:r>
        <w:rPr>
          <w:rFonts w:hint="eastAsia" w:ascii="宋体" w:hAnsi="宋体" w:cs="宋体"/>
          <w:color w:val="auto"/>
          <w:kern w:val="0"/>
          <w:sz w:val="24"/>
          <w:szCs w:val="24"/>
          <w:highlight w:val="none"/>
          <w:u w:val="single"/>
        </w:rPr>
        <w:t xml:space="preserve">       </w:t>
      </w:r>
    </w:p>
    <w:p>
      <w:pPr>
        <w:pStyle w:val="4"/>
        <w:numPr>
          <w:ilvl w:val="0"/>
          <w:numId w:val="0"/>
        </w:numPr>
        <w:shd w:val="clear" w:color="000000" w:fill="auto"/>
        <w:tabs>
          <w:tab w:val="left" w:pos="420"/>
        </w:tabs>
        <w:spacing w:before="0" w:line="360" w:lineRule="auto"/>
        <w:rPr>
          <w:rFonts w:ascii="仿宋" w:hAnsi="仿宋" w:eastAsia="仿宋" w:cs="Times New Roman"/>
          <w:b/>
          <w:bCs/>
          <w:color w:val="auto"/>
          <w:sz w:val="24"/>
          <w:szCs w:val="24"/>
          <w:highlight w:val="none"/>
        </w:rPr>
      </w:pPr>
      <w:bookmarkStart w:id="572" w:name="_Toc469384113"/>
      <w:bookmarkStart w:id="573" w:name="_Toc30772"/>
      <w:bookmarkStart w:id="574" w:name="_Toc20884"/>
      <w:bookmarkStart w:id="575" w:name="_Toc10624957"/>
      <w:r>
        <w:rPr>
          <w:rFonts w:ascii="仿宋" w:hAnsi="仿宋" w:eastAsia="仿宋" w:cs="仿宋"/>
          <w:b/>
          <w:bCs/>
          <w:color w:val="auto"/>
          <w:sz w:val="24"/>
          <w:szCs w:val="24"/>
          <w:highlight w:val="none"/>
        </w:rPr>
        <w:t xml:space="preserve">55. </w:t>
      </w:r>
      <w:r>
        <w:rPr>
          <w:rFonts w:hint="eastAsia" w:ascii="仿宋" w:hAnsi="仿宋" w:eastAsia="仿宋" w:cs="仿宋"/>
          <w:b/>
          <w:bCs/>
          <w:color w:val="auto"/>
          <w:sz w:val="24"/>
          <w:szCs w:val="24"/>
          <w:highlight w:val="none"/>
        </w:rPr>
        <w:t>工程试车</w:t>
      </w:r>
      <w:bookmarkEnd w:id="572"/>
      <w:bookmarkEnd w:id="573"/>
      <w:bookmarkEnd w:id="574"/>
      <w:bookmarkEnd w:id="575"/>
    </w:p>
    <w:p>
      <w:pPr>
        <w:shd w:val="clear" w:color="000000" w:fill="auto"/>
        <w:spacing w:line="360" w:lineRule="auto"/>
        <w:ind w:firstLine="120" w:firstLineChars="5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55.1 试车内容</w:t>
      </w:r>
    </w:p>
    <w:p>
      <w:pPr>
        <w:shd w:val="clear" w:color="000000" w:fill="auto"/>
        <w:spacing w:line="360" w:lineRule="auto"/>
        <w:ind w:firstLine="120" w:firstLineChars="5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w:t>
      </w:r>
      <w:r>
        <w:rPr>
          <w:rFonts w:hint="eastAsia" w:ascii="黑体" w:hAnsi="黑体" w:eastAsia="黑体" w:cs="黑体"/>
          <w:color w:val="auto"/>
          <w:kern w:val="0"/>
          <w:sz w:val="24"/>
          <w:szCs w:val="24"/>
          <w:highlight w:val="none"/>
        </w:rPr>
        <w:t>■</w:t>
      </w:r>
      <w:r>
        <w:rPr>
          <w:rFonts w:hint="eastAsia" w:ascii="宋体" w:hAnsi="宋体" w:cs="宋体"/>
          <w:color w:val="auto"/>
          <w:kern w:val="0"/>
          <w:sz w:val="24"/>
          <w:szCs w:val="24"/>
          <w:highlight w:val="none"/>
        </w:rPr>
        <w:t xml:space="preserve"> 不需要试车的，本条不适用。</w:t>
      </w:r>
    </w:p>
    <w:p>
      <w:pPr>
        <w:shd w:val="clear" w:color="000000" w:fill="auto"/>
        <w:spacing w:line="360" w:lineRule="auto"/>
        <w:ind w:firstLine="120" w:firstLineChars="50"/>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 xml:space="preserve">  □ 需要试车的，试车的内容和要求：</w:t>
      </w:r>
      <w:r>
        <w:rPr>
          <w:rFonts w:hint="eastAsia" w:ascii="宋体" w:hAnsi="宋体" w:cs="宋体"/>
          <w:color w:val="auto"/>
          <w:kern w:val="0"/>
          <w:sz w:val="24"/>
          <w:szCs w:val="24"/>
          <w:highlight w:val="none"/>
          <w:u w:val="single"/>
        </w:rPr>
        <w:t xml:space="preserve">   /       </w:t>
      </w:r>
    </w:p>
    <w:p>
      <w:pPr>
        <w:pStyle w:val="4"/>
        <w:numPr>
          <w:ilvl w:val="0"/>
          <w:numId w:val="0"/>
        </w:numPr>
        <w:shd w:val="clear" w:color="000000" w:fill="auto"/>
        <w:tabs>
          <w:tab w:val="left" w:pos="420"/>
        </w:tabs>
        <w:spacing w:before="0" w:line="360" w:lineRule="auto"/>
        <w:rPr>
          <w:rFonts w:ascii="仿宋" w:hAnsi="仿宋" w:eastAsia="仿宋" w:cs="Times New Roman"/>
          <w:b/>
          <w:bCs/>
          <w:color w:val="auto"/>
          <w:sz w:val="24"/>
          <w:szCs w:val="24"/>
          <w:highlight w:val="none"/>
        </w:rPr>
      </w:pPr>
      <w:bookmarkStart w:id="576" w:name="_Toc10624958"/>
      <w:bookmarkStart w:id="577" w:name="_Toc586"/>
      <w:bookmarkStart w:id="578" w:name="_Toc469384114"/>
      <w:bookmarkStart w:id="579" w:name="_Toc29305"/>
      <w:r>
        <w:rPr>
          <w:rFonts w:ascii="仿宋" w:hAnsi="仿宋" w:eastAsia="仿宋" w:cs="仿宋"/>
          <w:b/>
          <w:bCs/>
          <w:color w:val="auto"/>
          <w:sz w:val="24"/>
          <w:szCs w:val="24"/>
          <w:highlight w:val="none"/>
        </w:rPr>
        <w:t>56</w:t>
      </w:r>
      <w:r>
        <w:rPr>
          <w:rFonts w:hint="eastAsia" w:ascii="仿宋" w:hAnsi="仿宋" w:eastAsia="仿宋" w:cs="仿宋"/>
          <w:b/>
          <w:bCs/>
          <w:color w:val="auto"/>
          <w:sz w:val="24"/>
          <w:szCs w:val="24"/>
          <w:highlight w:val="none"/>
        </w:rPr>
        <w:t>．工程变更</w:t>
      </w:r>
      <w:bookmarkEnd w:id="576"/>
      <w:bookmarkEnd w:id="577"/>
      <w:bookmarkEnd w:id="578"/>
      <w:bookmarkEnd w:id="579"/>
    </w:p>
    <w:p>
      <w:pPr>
        <w:shd w:val="clear" w:color="000000" w:fill="auto"/>
        <w:spacing w:line="360" w:lineRule="auto"/>
        <w:ind w:firstLine="120" w:firstLineChars="5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56.4 承包人提出工程变更建议</w:t>
      </w:r>
    </w:p>
    <w:p>
      <w:pPr>
        <w:shd w:val="clear" w:color="000000" w:fill="auto"/>
        <w:spacing w:line="360" w:lineRule="auto"/>
        <w:ind w:firstLine="120" w:firstLineChars="50"/>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 xml:space="preserve">   发包人采纳承包人建议带来利益的计奖方法：</w:t>
      </w:r>
      <w:r>
        <w:rPr>
          <w:rFonts w:hint="eastAsia" w:ascii="宋体" w:hAnsi="宋体" w:cs="宋体"/>
          <w:color w:val="auto"/>
          <w:kern w:val="0"/>
          <w:sz w:val="24"/>
          <w:szCs w:val="24"/>
          <w:highlight w:val="none"/>
          <w:u w:val="single"/>
        </w:rPr>
        <w:t xml:space="preserve"> /   </w:t>
      </w:r>
    </w:p>
    <w:p>
      <w:pPr>
        <w:pStyle w:val="4"/>
        <w:numPr>
          <w:ilvl w:val="0"/>
          <w:numId w:val="0"/>
        </w:numPr>
        <w:shd w:val="clear" w:color="000000" w:fill="auto"/>
        <w:tabs>
          <w:tab w:val="left" w:pos="420"/>
        </w:tabs>
        <w:spacing w:before="0" w:line="360" w:lineRule="auto"/>
        <w:rPr>
          <w:rFonts w:ascii="仿宋" w:hAnsi="仿宋" w:eastAsia="仿宋" w:cs="Times New Roman"/>
          <w:b/>
          <w:bCs/>
          <w:color w:val="auto"/>
          <w:sz w:val="24"/>
          <w:szCs w:val="24"/>
          <w:highlight w:val="none"/>
        </w:rPr>
      </w:pPr>
      <w:bookmarkStart w:id="580" w:name="_Toc1017"/>
      <w:bookmarkStart w:id="581" w:name="_Toc10624959"/>
      <w:bookmarkStart w:id="582" w:name="_Toc469384115"/>
      <w:bookmarkStart w:id="583" w:name="_Toc27021"/>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58. </w:t>
      </w:r>
      <w:r>
        <w:rPr>
          <w:rFonts w:hint="eastAsia" w:ascii="仿宋" w:hAnsi="仿宋" w:eastAsia="仿宋" w:cs="仿宋"/>
          <w:b/>
          <w:bCs/>
          <w:color w:val="auto"/>
          <w:sz w:val="24"/>
          <w:szCs w:val="24"/>
          <w:highlight w:val="none"/>
        </w:rPr>
        <w:t>竣工验收</w:t>
      </w:r>
      <w:bookmarkEnd w:id="580"/>
      <w:bookmarkEnd w:id="581"/>
      <w:bookmarkEnd w:id="582"/>
      <w:bookmarkEnd w:id="583"/>
    </w:p>
    <w:p>
      <w:pPr>
        <w:shd w:val="clear" w:color="000000" w:fill="auto"/>
        <w:spacing w:line="360" w:lineRule="auto"/>
        <w:ind w:firstLine="120" w:firstLineChars="5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w:t>
      </w:r>
      <w:r>
        <w:rPr>
          <w:rFonts w:hint="eastAsia" w:ascii="宋体" w:hAnsi="宋体" w:cs="宋体"/>
          <w:b/>
          <w:bCs/>
          <w:color w:val="auto"/>
          <w:sz w:val="24"/>
          <w:szCs w:val="24"/>
          <w:highlight w:val="none"/>
        </w:rPr>
        <w:t>★</w:t>
      </w:r>
      <w:r>
        <w:rPr>
          <w:rFonts w:hint="eastAsia" w:ascii="宋体" w:hAnsi="宋体" w:cs="宋体"/>
          <w:color w:val="auto"/>
          <w:kern w:val="0"/>
          <w:sz w:val="24"/>
          <w:szCs w:val="24"/>
          <w:highlight w:val="none"/>
        </w:rPr>
        <w:t xml:space="preserve"> 58.1 竣工验收标准</w:t>
      </w:r>
    </w:p>
    <w:p>
      <w:pPr>
        <w:shd w:val="clear" w:color="000000" w:fill="auto"/>
        <w:spacing w:line="360" w:lineRule="auto"/>
        <w:ind w:firstLine="120" w:firstLineChars="50"/>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 xml:space="preserve">   合同工程竣工验收标准：</w:t>
      </w:r>
      <w:r>
        <w:rPr>
          <w:rFonts w:hint="eastAsia" w:ascii="宋体" w:hAnsi="宋体" w:cs="宋体"/>
          <w:color w:val="auto"/>
          <w:kern w:val="0"/>
          <w:sz w:val="24"/>
          <w:szCs w:val="24"/>
          <w:highlight w:val="none"/>
          <w:u w:val="single"/>
        </w:rPr>
        <w:t xml:space="preserve">  </w:t>
      </w:r>
      <w:r>
        <w:rPr>
          <w:rFonts w:hint="eastAsia" w:ascii="宋体" w:hAnsi="宋体" w:cs="宋体"/>
          <w:color w:val="auto"/>
          <w:sz w:val="24"/>
          <w:szCs w:val="24"/>
          <w:highlight w:val="none"/>
          <w:u w:val="single"/>
        </w:rPr>
        <w:t>国家、地方、行业有关质量验收标准执行（如有新规范标准按新的执行)</w:t>
      </w:r>
      <w:r>
        <w:rPr>
          <w:rFonts w:hint="eastAsia" w:ascii="宋体" w:hAnsi="宋体" w:cs="宋体"/>
          <w:color w:val="auto"/>
          <w:kern w:val="0"/>
          <w:sz w:val="24"/>
          <w:szCs w:val="24"/>
          <w:highlight w:val="none"/>
          <w:u w:val="single"/>
        </w:rPr>
        <w:t xml:space="preserve">。       </w:t>
      </w:r>
    </w:p>
    <w:p>
      <w:pPr>
        <w:shd w:val="clear" w:color="000000" w:fill="auto"/>
        <w:spacing w:line="360" w:lineRule="auto"/>
        <w:ind w:firstLine="120" w:firstLineChars="5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w:t>
      </w:r>
      <w:r>
        <w:rPr>
          <w:rFonts w:hint="eastAsia" w:ascii="宋体" w:hAnsi="宋体" w:cs="宋体"/>
          <w:b/>
          <w:bCs/>
          <w:color w:val="auto"/>
          <w:sz w:val="24"/>
          <w:szCs w:val="24"/>
          <w:highlight w:val="none"/>
        </w:rPr>
        <w:t>★</w:t>
      </w:r>
      <w:r>
        <w:rPr>
          <w:rFonts w:hint="eastAsia" w:ascii="宋体" w:hAnsi="宋体" w:cs="宋体"/>
          <w:color w:val="auto"/>
          <w:kern w:val="0"/>
          <w:sz w:val="24"/>
          <w:szCs w:val="24"/>
          <w:highlight w:val="none"/>
        </w:rPr>
        <w:t>58.8 单位工程和工程部位验收</w:t>
      </w:r>
    </w:p>
    <w:p>
      <w:pPr>
        <w:shd w:val="clear" w:color="000000" w:fill="auto"/>
        <w:spacing w:line="360" w:lineRule="auto"/>
        <w:ind w:firstLine="120" w:firstLineChars="5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w:t>
      </w:r>
      <w:r>
        <w:rPr>
          <w:rFonts w:hint="eastAsia" w:ascii="黑体" w:hAnsi="黑体" w:eastAsia="黑体" w:cs="黑体"/>
          <w:color w:val="auto"/>
          <w:kern w:val="0"/>
          <w:sz w:val="24"/>
          <w:szCs w:val="24"/>
          <w:highlight w:val="none"/>
        </w:rPr>
        <w:t>■</w:t>
      </w:r>
      <w:r>
        <w:rPr>
          <w:rFonts w:hint="eastAsia" w:ascii="宋体" w:hAnsi="宋体" w:cs="宋体"/>
          <w:color w:val="auto"/>
          <w:kern w:val="0"/>
          <w:sz w:val="24"/>
          <w:szCs w:val="24"/>
          <w:highlight w:val="none"/>
        </w:rPr>
        <w:t xml:space="preserve"> 合同工程无单位工程、无工程部位提前验收的，本款不适用。</w:t>
      </w:r>
    </w:p>
    <w:p>
      <w:pPr>
        <w:shd w:val="clear" w:color="000000" w:fill="auto"/>
        <w:spacing w:line="360" w:lineRule="auto"/>
        <w:ind w:firstLine="120" w:firstLineChars="5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 合同工程单位工程或工程部位需提前验收的，各单位工程或工程部位的名称、竣工验收时间和范围如下：</w:t>
      </w:r>
    </w:p>
    <w:p>
      <w:pPr>
        <w:shd w:val="clear" w:color="000000" w:fill="auto"/>
        <w:spacing w:line="360" w:lineRule="auto"/>
        <w:ind w:firstLine="120" w:firstLineChars="50"/>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 xml:space="preserve"> （1）</w:t>
      </w:r>
      <w:r>
        <w:rPr>
          <w:rFonts w:hint="eastAsia" w:ascii="宋体" w:hAnsi="宋体" w:cs="宋体"/>
          <w:color w:val="auto"/>
          <w:kern w:val="0"/>
          <w:sz w:val="24"/>
          <w:szCs w:val="24"/>
          <w:highlight w:val="none"/>
          <w:u w:val="single"/>
        </w:rPr>
        <w:t xml:space="preserve">  / </w:t>
      </w:r>
      <w:r>
        <w:rPr>
          <w:rFonts w:hint="eastAsia" w:ascii="宋体" w:hAnsi="宋体" w:cs="宋体"/>
          <w:color w:val="auto"/>
          <w:kern w:val="0"/>
          <w:sz w:val="24"/>
          <w:szCs w:val="24"/>
          <w:highlight w:val="none"/>
        </w:rPr>
        <w:t xml:space="preserve"> （名称）工程或部位，竣工验收时间为 </w:t>
      </w:r>
      <w:r>
        <w:rPr>
          <w:rFonts w:hint="eastAsia" w:ascii="宋体" w:hAnsi="宋体" w:cs="宋体"/>
          <w:color w:val="auto"/>
          <w:kern w:val="0"/>
          <w:sz w:val="24"/>
          <w:szCs w:val="24"/>
          <w:highlight w:val="none"/>
          <w:u w:val="single"/>
        </w:rPr>
        <w:t xml:space="preserve">    /  </w:t>
      </w:r>
      <w:r>
        <w:rPr>
          <w:rFonts w:hint="eastAsia" w:ascii="宋体" w:hAnsi="宋体" w:cs="宋体"/>
          <w:color w:val="auto"/>
          <w:kern w:val="0"/>
          <w:sz w:val="24"/>
          <w:szCs w:val="24"/>
          <w:highlight w:val="none"/>
        </w:rPr>
        <w:t>，其范围包括：</w:t>
      </w:r>
      <w:r>
        <w:rPr>
          <w:rFonts w:hint="eastAsia" w:ascii="宋体" w:hAnsi="宋体" w:cs="宋体"/>
          <w:color w:val="auto"/>
          <w:kern w:val="0"/>
          <w:sz w:val="24"/>
          <w:szCs w:val="24"/>
          <w:highlight w:val="none"/>
          <w:u w:val="single"/>
        </w:rPr>
        <w:t xml:space="preserve">   /   </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sz w:val="24"/>
          <w:szCs w:val="24"/>
          <w:highlight w:val="none"/>
        </w:rPr>
        <w:t xml:space="preserve">  </w:t>
      </w: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u w:val="single"/>
        </w:rPr>
        <w:t xml:space="preserve"> /  </w:t>
      </w:r>
      <w:r>
        <w:rPr>
          <w:rFonts w:hint="eastAsia" w:ascii="宋体" w:hAnsi="宋体" w:cs="宋体"/>
          <w:color w:val="auto"/>
          <w:kern w:val="0"/>
          <w:sz w:val="24"/>
          <w:szCs w:val="24"/>
          <w:highlight w:val="none"/>
        </w:rPr>
        <w:t xml:space="preserve"> （名称）工程或部位，竣工验收时间为  </w:t>
      </w:r>
      <w:r>
        <w:rPr>
          <w:rFonts w:hint="eastAsia" w:ascii="宋体" w:hAnsi="宋体" w:cs="宋体"/>
          <w:color w:val="auto"/>
          <w:kern w:val="0"/>
          <w:sz w:val="24"/>
          <w:szCs w:val="24"/>
          <w:highlight w:val="none"/>
          <w:u w:val="single"/>
        </w:rPr>
        <w:t xml:space="preserve">   /   </w:t>
      </w:r>
      <w:r>
        <w:rPr>
          <w:rFonts w:hint="eastAsia" w:ascii="宋体" w:hAnsi="宋体" w:cs="宋体"/>
          <w:color w:val="auto"/>
          <w:kern w:val="0"/>
          <w:sz w:val="24"/>
          <w:szCs w:val="24"/>
          <w:highlight w:val="none"/>
        </w:rPr>
        <w:t>，其范围包括：</w:t>
      </w:r>
      <w:r>
        <w:rPr>
          <w:rFonts w:hint="eastAsia" w:ascii="宋体" w:hAnsi="宋体" w:cs="宋体"/>
          <w:color w:val="auto"/>
          <w:kern w:val="0"/>
          <w:sz w:val="24"/>
          <w:szCs w:val="24"/>
          <w:highlight w:val="none"/>
          <w:u w:val="single"/>
        </w:rPr>
        <w:t xml:space="preserve"> /     </w:t>
      </w:r>
      <w:r>
        <w:rPr>
          <w:rFonts w:hint="eastAsia" w:ascii="宋体" w:hAnsi="宋体" w:cs="宋体"/>
          <w:color w:val="auto"/>
          <w:kern w:val="0"/>
          <w:sz w:val="24"/>
          <w:szCs w:val="24"/>
          <w:highlight w:val="none"/>
        </w:rPr>
        <w:t xml:space="preserve">                                 </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58.9 施工期运行</w:t>
      </w:r>
    </w:p>
    <w:p>
      <w:pPr>
        <w:shd w:val="clear" w:color="000000" w:fill="auto"/>
        <w:spacing w:line="360" w:lineRule="auto"/>
        <w:ind w:firstLine="120" w:firstLineChars="5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w:t>
      </w:r>
      <w:r>
        <w:rPr>
          <w:rFonts w:hint="eastAsia" w:ascii="黑体" w:hAnsi="黑体" w:eastAsia="黑体" w:cs="黑体"/>
          <w:color w:val="auto"/>
          <w:kern w:val="0"/>
          <w:sz w:val="24"/>
          <w:szCs w:val="24"/>
          <w:highlight w:val="none"/>
        </w:rPr>
        <w:t>■</w:t>
      </w:r>
      <w:r>
        <w:rPr>
          <w:rFonts w:hint="eastAsia" w:ascii="宋体" w:hAnsi="宋体" w:cs="宋体"/>
          <w:color w:val="auto"/>
          <w:kern w:val="0"/>
          <w:sz w:val="24"/>
          <w:szCs w:val="24"/>
          <w:highlight w:val="none"/>
        </w:rPr>
        <w:t xml:space="preserve"> 合同工程无单位工程、无工程部位在施工期运行的，本款不适用。</w:t>
      </w:r>
    </w:p>
    <w:p>
      <w:pPr>
        <w:shd w:val="clear" w:color="000000" w:fill="auto"/>
        <w:spacing w:line="360" w:lineRule="auto"/>
        <w:ind w:firstLine="120" w:firstLineChars="5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 合同工程单位工程或工程部位需在施工期运行的，各单位工程或工程部位的名称、运行时间如下：</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（1）</w:t>
      </w:r>
      <w:r>
        <w:rPr>
          <w:rFonts w:hint="eastAsia" w:ascii="宋体" w:hAnsi="宋体" w:cs="宋体"/>
          <w:color w:val="auto"/>
          <w:kern w:val="0"/>
          <w:sz w:val="24"/>
          <w:szCs w:val="24"/>
          <w:highlight w:val="none"/>
          <w:u w:val="single"/>
        </w:rPr>
        <w:t xml:space="preserve">              /              </w:t>
      </w:r>
      <w:r>
        <w:rPr>
          <w:rFonts w:hint="eastAsia" w:ascii="宋体" w:hAnsi="宋体" w:cs="宋体"/>
          <w:color w:val="auto"/>
          <w:kern w:val="0"/>
          <w:sz w:val="24"/>
          <w:szCs w:val="24"/>
          <w:highlight w:val="none"/>
        </w:rPr>
        <w:t xml:space="preserve"> （名称）工程或部位，运行时间为</w:t>
      </w:r>
      <w:r>
        <w:rPr>
          <w:rFonts w:hint="eastAsia" w:ascii="宋体" w:hAnsi="宋体" w:cs="宋体"/>
          <w:color w:val="auto"/>
          <w:kern w:val="0"/>
          <w:sz w:val="24"/>
          <w:szCs w:val="24"/>
          <w:highlight w:val="none"/>
          <w:u w:val="single"/>
        </w:rPr>
        <w:t xml:space="preserve">           /          </w:t>
      </w:r>
      <w:r>
        <w:rPr>
          <w:rFonts w:hint="eastAsia" w:ascii="宋体" w:hAnsi="宋体" w:cs="宋体"/>
          <w:color w:val="auto"/>
          <w:kern w:val="0"/>
          <w:sz w:val="24"/>
          <w:szCs w:val="24"/>
          <w:highlight w:val="none"/>
        </w:rPr>
        <w:t>；</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（2）</w:t>
      </w:r>
      <w:r>
        <w:rPr>
          <w:rFonts w:hint="eastAsia" w:ascii="宋体" w:hAnsi="宋体" w:cs="宋体"/>
          <w:color w:val="auto"/>
          <w:kern w:val="0"/>
          <w:sz w:val="24"/>
          <w:szCs w:val="24"/>
          <w:highlight w:val="none"/>
          <w:u w:val="single"/>
        </w:rPr>
        <w:t xml:space="preserve">              /              </w:t>
      </w:r>
      <w:r>
        <w:rPr>
          <w:rFonts w:hint="eastAsia" w:ascii="宋体" w:hAnsi="宋体" w:cs="宋体"/>
          <w:color w:val="auto"/>
          <w:kern w:val="0"/>
          <w:sz w:val="24"/>
          <w:szCs w:val="24"/>
          <w:highlight w:val="none"/>
        </w:rPr>
        <w:t xml:space="preserve"> （名称）工程或部位，运行时间为</w:t>
      </w:r>
      <w:r>
        <w:rPr>
          <w:rFonts w:hint="eastAsia" w:ascii="宋体" w:hAnsi="宋体" w:cs="宋体"/>
          <w:color w:val="auto"/>
          <w:kern w:val="0"/>
          <w:sz w:val="24"/>
          <w:szCs w:val="24"/>
          <w:highlight w:val="none"/>
          <w:u w:val="single"/>
        </w:rPr>
        <w:t xml:space="preserve">           /          </w:t>
      </w:r>
      <w:r>
        <w:rPr>
          <w:rFonts w:hint="eastAsia" w:ascii="宋体" w:hAnsi="宋体" w:cs="宋体"/>
          <w:color w:val="auto"/>
          <w:kern w:val="0"/>
          <w:sz w:val="24"/>
          <w:szCs w:val="24"/>
          <w:highlight w:val="none"/>
        </w:rPr>
        <w:t>。</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58.10 竣工清场</w:t>
      </w:r>
    </w:p>
    <w:p>
      <w:pPr>
        <w:shd w:val="clear" w:color="000000" w:fill="auto"/>
        <w:spacing w:line="360" w:lineRule="auto"/>
        <w:ind w:firstLine="120" w:firstLineChars="5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w:t>
      </w:r>
      <w:r>
        <w:rPr>
          <w:rFonts w:hint="eastAsia" w:ascii="黑体" w:hAnsi="黑体" w:eastAsia="黑体" w:cs="黑体"/>
          <w:color w:val="auto"/>
          <w:kern w:val="0"/>
          <w:sz w:val="24"/>
          <w:szCs w:val="24"/>
          <w:highlight w:val="none"/>
        </w:rPr>
        <w:t>■</w:t>
      </w:r>
      <w:r>
        <w:rPr>
          <w:rFonts w:hint="eastAsia" w:ascii="宋体" w:hAnsi="宋体" w:cs="宋体"/>
          <w:color w:val="auto"/>
          <w:kern w:val="0"/>
          <w:sz w:val="24"/>
          <w:szCs w:val="24"/>
          <w:highlight w:val="none"/>
        </w:rPr>
        <w:t xml:space="preserve"> 按通用条款规定。</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 另作约定： </w:t>
      </w:r>
      <w:r>
        <w:rPr>
          <w:rFonts w:hint="eastAsia" w:ascii="宋体" w:hAnsi="宋体" w:cs="宋体"/>
          <w:color w:val="auto"/>
          <w:kern w:val="0"/>
          <w:sz w:val="24"/>
          <w:szCs w:val="24"/>
          <w:highlight w:val="none"/>
          <w:u w:val="single"/>
        </w:rPr>
        <w:t xml:space="preserve">    /    </w:t>
      </w:r>
      <w:r>
        <w:rPr>
          <w:rFonts w:hint="eastAsia" w:ascii="宋体" w:hAnsi="宋体" w:cs="宋体"/>
          <w:color w:val="auto"/>
          <w:kern w:val="0"/>
          <w:sz w:val="24"/>
          <w:szCs w:val="24"/>
          <w:highlight w:val="none"/>
        </w:rPr>
        <w:t xml:space="preserve">   </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58.11施工队伍的撤离</w:t>
      </w:r>
    </w:p>
    <w:p>
      <w:pPr>
        <w:shd w:val="clear" w:color="000000" w:fill="auto"/>
        <w:spacing w:line="360" w:lineRule="auto"/>
        <w:ind w:firstLine="120" w:firstLineChars="5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w:t>
      </w:r>
      <w:r>
        <w:rPr>
          <w:rFonts w:hint="eastAsia" w:ascii="黑体" w:hAnsi="黑体" w:eastAsia="黑体" w:cs="黑体"/>
          <w:color w:val="auto"/>
          <w:kern w:val="0"/>
          <w:sz w:val="24"/>
          <w:szCs w:val="24"/>
          <w:highlight w:val="none"/>
        </w:rPr>
        <w:t>■</w:t>
      </w:r>
      <w:r>
        <w:rPr>
          <w:rFonts w:hint="eastAsia" w:ascii="宋体" w:hAnsi="宋体" w:cs="宋体"/>
          <w:color w:val="auto"/>
          <w:kern w:val="0"/>
          <w:sz w:val="24"/>
          <w:szCs w:val="24"/>
          <w:highlight w:val="none"/>
        </w:rPr>
        <w:t xml:space="preserve"> 按通用条款规定，承包人的人员和施工设备全部撤离施工现场。</w:t>
      </w:r>
    </w:p>
    <w:p>
      <w:pPr>
        <w:shd w:val="clear" w:color="000000" w:fill="auto"/>
        <w:spacing w:line="360" w:lineRule="auto"/>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 xml:space="preserve">  □ 另作约定：</w:t>
      </w:r>
      <w:r>
        <w:rPr>
          <w:rFonts w:hint="eastAsia" w:ascii="宋体" w:hAnsi="宋体" w:cs="宋体"/>
          <w:color w:val="auto"/>
          <w:kern w:val="0"/>
          <w:sz w:val="24"/>
          <w:szCs w:val="24"/>
          <w:highlight w:val="none"/>
          <w:u w:val="single"/>
        </w:rPr>
        <w:t xml:space="preserve">   /      </w:t>
      </w:r>
    </w:p>
    <w:p>
      <w:pPr>
        <w:pStyle w:val="4"/>
        <w:numPr>
          <w:ilvl w:val="0"/>
          <w:numId w:val="0"/>
        </w:numPr>
        <w:shd w:val="clear" w:color="000000" w:fill="auto"/>
        <w:tabs>
          <w:tab w:val="left" w:pos="420"/>
        </w:tabs>
        <w:spacing w:before="0" w:line="360" w:lineRule="auto"/>
        <w:rPr>
          <w:rFonts w:ascii="仿宋" w:hAnsi="仿宋" w:eastAsia="仿宋" w:cs="Times New Roman"/>
          <w:b/>
          <w:bCs/>
          <w:color w:val="auto"/>
          <w:sz w:val="24"/>
          <w:szCs w:val="24"/>
          <w:highlight w:val="none"/>
        </w:rPr>
      </w:pPr>
      <w:bookmarkStart w:id="584" w:name="_Toc17146"/>
      <w:bookmarkStart w:id="585" w:name="_Toc22347"/>
      <w:bookmarkStart w:id="586" w:name="_Toc10624960"/>
      <w:bookmarkStart w:id="587" w:name="_Toc469384116"/>
      <w:r>
        <w:rPr>
          <w:rFonts w:ascii="仿宋" w:hAnsi="仿宋" w:eastAsia="仿宋" w:cs="仿宋"/>
          <w:b/>
          <w:bCs/>
          <w:color w:val="auto"/>
          <w:sz w:val="24"/>
          <w:szCs w:val="24"/>
          <w:highlight w:val="none"/>
        </w:rPr>
        <w:t xml:space="preserve">59. </w:t>
      </w:r>
      <w:r>
        <w:rPr>
          <w:rFonts w:hint="eastAsia" w:ascii="仿宋" w:hAnsi="仿宋" w:eastAsia="仿宋" w:cs="仿宋"/>
          <w:b/>
          <w:bCs/>
          <w:color w:val="auto"/>
          <w:sz w:val="24"/>
          <w:szCs w:val="24"/>
          <w:highlight w:val="none"/>
        </w:rPr>
        <w:t>缺陷责任与质量保修</w:t>
      </w:r>
      <w:bookmarkEnd w:id="584"/>
      <w:bookmarkEnd w:id="585"/>
      <w:bookmarkEnd w:id="586"/>
      <w:bookmarkEnd w:id="587"/>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59.1 缺陷责任期计算</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缺陷责任期：</w:t>
      </w:r>
      <w:r>
        <w:rPr>
          <w:rFonts w:hint="eastAsia" w:ascii="宋体" w:hAnsi="宋体" w:cs="宋体"/>
          <w:color w:val="auto"/>
          <w:kern w:val="0"/>
          <w:sz w:val="24"/>
          <w:szCs w:val="24"/>
          <w:highlight w:val="none"/>
          <w:u w:val="single"/>
        </w:rPr>
        <w:t xml:space="preserve">   自竣工验收合格之日起24个月。     </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59.8 质量保修期计算</w:t>
      </w:r>
    </w:p>
    <w:p>
      <w:pPr>
        <w:shd w:val="clear" w:color="000000" w:fill="auto"/>
        <w:spacing w:line="360" w:lineRule="auto"/>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 xml:space="preserve">   质量保修期：</w:t>
      </w:r>
      <w:r>
        <w:rPr>
          <w:rFonts w:hint="eastAsia" w:ascii="宋体" w:hAnsi="宋体" w:cs="宋体"/>
          <w:color w:val="auto"/>
          <w:kern w:val="0"/>
          <w:sz w:val="24"/>
          <w:szCs w:val="24"/>
          <w:highlight w:val="none"/>
          <w:u w:val="single"/>
        </w:rPr>
        <w:t xml:space="preserve">  按附件《工程质量保修书》约定执行。      </w:t>
      </w:r>
    </w:p>
    <w:p>
      <w:pPr>
        <w:pStyle w:val="4"/>
        <w:numPr>
          <w:ilvl w:val="0"/>
          <w:numId w:val="0"/>
        </w:numPr>
        <w:shd w:val="clear" w:color="000000" w:fill="auto"/>
        <w:tabs>
          <w:tab w:val="left" w:pos="420"/>
        </w:tabs>
        <w:rPr>
          <w:rFonts w:ascii="仿宋" w:hAnsi="仿宋" w:eastAsia="仿宋" w:cs="Times New Roman"/>
          <w:b/>
          <w:bCs/>
          <w:color w:val="auto"/>
          <w:sz w:val="24"/>
          <w:szCs w:val="24"/>
          <w:highlight w:val="none"/>
        </w:rPr>
      </w:pPr>
      <w:bookmarkStart w:id="588" w:name="_Toc10624961"/>
      <w:bookmarkStart w:id="589" w:name="_Toc27559"/>
      <w:bookmarkStart w:id="590" w:name="_Toc469384117"/>
      <w:bookmarkStart w:id="591" w:name="_Toc22247"/>
      <w:r>
        <w:rPr>
          <w:rFonts w:ascii="仿宋" w:hAnsi="仿宋" w:eastAsia="仿宋" w:cs="仿宋"/>
          <w:b/>
          <w:bCs/>
          <w:color w:val="auto"/>
          <w:sz w:val="24"/>
          <w:szCs w:val="24"/>
          <w:highlight w:val="none"/>
        </w:rPr>
        <w:t xml:space="preserve">61. </w:t>
      </w:r>
      <w:r>
        <w:rPr>
          <w:rFonts w:hint="eastAsia" w:ascii="仿宋" w:hAnsi="仿宋" w:eastAsia="仿宋" w:cs="仿宋"/>
          <w:b/>
          <w:bCs/>
          <w:color w:val="auto"/>
          <w:sz w:val="24"/>
          <w:szCs w:val="24"/>
          <w:highlight w:val="none"/>
        </w:rPr>
        <w:t>工程量</w:t>
      </w:r>
      <w:bookmarkEnd w:id="588"/>
      <w:bookmarkEnd w:id="589"/>
      <w:bookmarkEnd w:id="590"/>
      <w:bookmarkEnd w:id="591"/>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61.1 清单工程量包括的工作内容</w:t>
      </w:r>
    </w:p>
    <w:p>
      <w:pPr>
        <w:shd w:val="clear" w:color="000000" w:fill="auto"/>
        <w:spacing w:line="360" w:lineRule="auto"/>
        <w:ind w:firstLine="120" w:firstLineChars="5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w:t>
      </w:r>
      <w:r>
        <w:rPr>
          <w:rFonts w:hint="eastAsia" w:ascii="黑体" w:hAnsi="黑体" w:eastAsia="黑体" w:cs="黑体"/>
          <w:color w:val="auto"/>
          <w:kern w:val="0"/>
          <w:sz w:val="24"/>
          <w:szCs w:val="24"/>
          <w:highlight w:val="none"/>
        </w:rPr>
        <w:t xml:space="preserve">■ </w:t>
      </w:r>
      <w:r>
        <w:rPr>
          <w:rFonts w:hint="eastAsia" w:ascii="宋体" w:hAnsi="宋体" w:cs="宋体"/>
          <w:color w:val="auto"/>
          <w:kern w:val="0"/>
          <w:sz w:val="24"/>
          <w:szCs w:val="24"/>
          <w:highlight w:val="none"/>
        </w:rPr>
        <w:t>按通用条款规定。</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 另作约定：</w:t>
      </w:r>
      <w:r>
        <w:rPr>
          <w:rFonts w:hint="eastAsia" w:ascii="宋体" w:hAnsi="宋体" w:cs="宋体"/>
          <w:color w:val="auto"/>
          <w:kern w:val="0"/>
          <w:sz w:val="24"/>
          <w:szCs w:val="24"/>
          <w:highlight w:val="none"/>
          <w:u w:val="single"/>
        </w:rPr>
        <w:t xml:space="preserve">   /      </w:t>
      </w:r>
    </w:p>
    <w:p>
      <w:pPr>
        <w:pStyle w:val="4"/>
        <w:numPr>
          <w:ilvl w:val="0"/>
          <w:numId w:val="0"/>
        </w:numPr>
        <w:shd w:val="clear" w:color="000000" w:fill="auto"/>
        <w:tabs>
          <w:tab w:val="left" w:pos="420"/>
        </w:tabs>
        <w:rPr>
          <w:rFonts w:ascii="仿宋" w:hAnsi="仿宋" w:eastAsia="仿宋" w:cs="Times New Roman"/>
          <w:b/>
          <w:bCs/>
          <w:color w:val="auto"/>
          <w:sz w:val="24"/>
          <w:szCs w:val="24"/>
          <w:highlight w:val="none"/>
        </w:rPr>
      </w:pPr>
      <w:bookmarkStart w:id="592" w:name="_Toc10624962"/>
      <w:bookmarkStart w:id="593" w:name="_Toc469384118"/>
      <w:bookmarkStart w:id="594" w:name="_Toc32075"/>
      <w:bookmarkStart w:id="595" w:name="_Toc26099"/>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63. </w:t>
      </w:r>
      <w:r>
        <w:rPr>
          <w:rFonts w:hint="eastAsia" w:ascii="仿宋" w:hAnsi="仿宋" w:eastAsia="仿宋" w:cs="仿宋"/>
          <w:b/>
          <w:bCs/>
          <w:color w:val="auto"/>
          <w:sz w:val="24"/>
          <w:szCs w:val="24"/>
          <w:highlight w:val="none"/>
        </w:rPr>
        <w:t>暂列金额</w:t>
      </w:r>
      <w:bookmarkEnd w:id="592"/>
      <w:bookmarkEnd w:id="593"/>
      <w:bookmarkEnd w:id="594"/>
      <w:bookmarkEnd w:id="595"/>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63.1 合同工程的暂列金额为 </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元。</w:t>
      </w:r>
    </w:p>
    <w:p>
      <w:pPr>
        <w:pStyle w:val="4"/>
        <w:numPr>
          <w:ilvl w:val="0"/>
          <w:numId w:val="0"/>
        </w:numPr>
        <w:shd w:val="clear" w:color="000000" w:fill="auto"/>
        <w:tabs>
          <w:tab w:val="left" w:pos="420"/>
        </w:tabs>
        <w:rPr>
          <w:rFonts w:ascii="仿宋" w:hAnsi="仿宋" w:eastAsia="仿宋" w:cs="Times New Roman"/>
          <w:b/>
          <w:bCs/>
          <w:color w:val="auto"/>
          <w:sz w:val="24"/>
          <w:szCs w:val="24"/>
          <w:highlight w:val="none"/>
        </w:rPr>
      </w:pPr>
      <w:bookmarkStart w:id="596" w:name="_Toc469384119"/>
      <w:bookmarkStart w:id="597" w:name="_Toc12071"/>
      <w:bookmarkStart w:id="598" w:name="_Toc10624963"/>
      <w:bookmarkStart w:id="599" w:name="_Toc5637"/>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65. </w:t>
      </w:r>
      <w:r>
        <w:rPr>
          <w:rFonts w:hint="eastAsia" w:ascii="仿宋" w:hAnsi="仿宋" w:eastAsia="仿宋" w:cs="仿宋"/>
          <w:b/>
          <w:bCs/>
          <w:color w:val="auto"/>
          <w:sz w:val="24"/>
          <w:szCs w:val="24"/>
          <w:highlight w:val="none"/>
        </w:rPr>
        <w:t>暂估价</w:t>
      </w:r>
      <w:bookmarkEnd w:id="596"/>
      <w:bookmarkEnd w:id="597"/>
      <w:bookmarkEnd w:id="598"/>
      <w:bookmarkEnd w:id="599"/>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w:t>
      </w:r>
      <w:r>
        <w:rPr>
          <w:rFonts w:hint="eastAsia" w:ascii="宋体" w:hAnsi="宋体" w:cs="宋体"/>
          <w:b/>
          <w:bCs/>
          <w:color w:val="auto"/>
          <w:sz w:val="24"/>
          <w:szCs w:val="24"/>
          <w:highlight w:val="none"/>
        </w:rPr>
        <w:t>★</w:t>
      </w:r>
      <w:r>
        <w:rPr>
          <w:rFonts w:hint="eastAsia" w:ascii="宋体" w:hAnsi="宋体" w:cs="宋体"/>
          <w:color w:val="auto"/>
          <w:kern w:val="0"/>
          <w:sz w:val="24"/>
          <w:szCs w:val="24"/>
          <w:highlight w:val="none"/>
        </w:rPr>
        <w:t>65.1 招标暂估价项目</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必须招标暂估价项目合同双方当事人的权利、义务</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 材料、工程设备：</w:t>
      </w:r>
      <w:r>
        <w:rPr>
          <w:rFonts w:hint="eastAsia" w:ascii="宋体" w:hAnsi="宋体" w:cs="宋体"/>
          <w:color w:val="auto"/>
          <w:kern w:val="0"/>
          <w:sz w:val="24"/>
          <w:szCs w:val="24"/>
          <w:highlight w:val="none"/>
          <w:u w:val="single"/>
        </w:rPr>
        <w:t xml:space="preserve">      /       </w:t>
      </w:r>
      <w:r>
        <w:rPr>
          <w:rFonts w:hint="eastAsia" w:ascii="宋体" w:hAnsi="宋体" w:cs="宋体"/>
          <w:color w:val="auto"/>
          <w:kern w:val="0"/>
          <w:sz w:val="24"/>
          <w:szCs w:val="24"/>
          <w:highlight w:val="none"/>
        </w:rPr>
        <w:t xml:space="preserve">   </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 专业工程：</w:t>
      </w:r>
      <w:r>
        <w:rPr>
          <w:rFonts w:hint="eastAsia" w:ascii="宋体" w:hAnsi="宋体" w:cs="宋体"/>
          <w:color w:val="auto"/>
          <w:kern w:val="0"/>
          <w:sz w:val="24"/>
          <w:szCs w:val="24"/>
          <w:highlight w:val="none"/>
          <w:u w:val="single"/>
        </w:rPr>
        <w:t xml:space="preserve">    /           </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65.3 非招标专业工程款的确定</w:t>
      </w:r>
    </w:p>
    <w:p>
      <w:pPr>
        <w:shd w:val="clear" w:color="000000" w:fill="auto"/>
        <w:spacing w:line="360" w:lineRule="auto"/>
        <w:ind w:firstLine="120" w:firstLineChars="5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 按通用条款规定，由造价工程师与分包人确定。</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 另作约定：</w:t>
      </w:r>
      <w:r>
        <w:rPr>
          <w:rFonts w:hint="eastAsia" w:ascii="宋体" w:hAnsi="宋体" w:cs="宋体"/>
          <w:color w:val="auto"/>
          <w:kern w:val="0"/>
          <w:sz w:val="24"/>
          <w:szCs w:val="24"/>
          <w:highlight w:val="none"/>
          <w:u w:val="single"/>
        </w:rPr>
        <w:t xml:space="preserve">      /          </w:t>
      </w:r>
    </w:p>
    <w:p>
      <w:pPr>
        <w:pStyle w:val="4"/>
        <w:numPr>
          <w:ilvl w:val="0"/>
          <w:numId w:val="0"/>
        </w:numPr>
        <w:shd w:val="clear" w:color="000000" w:fill="auto"/>
        <w:tabs>
          <w:tab w:val="left" w:pos="420"/>
        </w:tabs>
        <w:spacing w:line="360" w:lineRule="auto"/>
        <w:rPr>
          <w:rFonts w:ascii="仿宋" w:hAnsi="仿宋" w:eastAsia="仿宋" w:cs="仿宋"/>
          <w:b/>
          <w:bCs/>
          <w:color w:val="auto"/>
          <w:sz w:val="24"/>
          <w:szCs w:val="24"/>
          <w:highlight w:val="none"/>
        </w:rPr>
      </w:pPr>
      <w:bookmarkStart w:id="600" w:name="_Toc10624964"/>
      <w:bookmarkStart w:id="601" w:name="_Toc11371"/>
      <w:bookmarkStart w:id="602" w:name="_Toc469384120"/>
      <w:bookmarkStart w:id="603" w:name="_Toc29982"/>
      <w:r>
        <w:rPr>
          <w:rFonts w:hint="eastAsia" w:ascii="仿宋" w:hAnsi="仿宋" w:eastAsia="仿宋" w:cs="仿宋"/>
          <w:b/>
          <w:bCs/>
          <w:color w:val="auto"/>
          <w:sz w:val="24"/>
          <w:szCs w:val="24"/>
          <w:highlight w:val="none"/>
        </w:rPr>
        <w:t>★66. 提前竣工奖与误期赔偿费</w:t>
      </w:r>
      <w:bookmarkEnd w:id="600"/>
      <w:bookmarkEnd w:id="601"/>
      <w:bookmarkEnd w:id="602"/>
      <w:bookmarkEnd w:id="603"/>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66.1 提前竣工奖</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（1） 提前竣工奖额度</w:t>
      </w:r>
    </w:p>
    <w:p>
      <w:pPr>
        <w:shd w:val="clear" w:color="000000" w:fill="auto"/>
        <w:spacing w:line="360" w:lineRule="auto"/>
        <w:ind w:firstLine="120" w:firstLineChars="5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w:t>
      </w:r>
      <w:r>
        <w:rPr>
          <w:rFonts w:hint="eastAsia" w:ascii="宋体" w:hAnsi="宋体" w:cs="宋体"/>
          <w:color w:val="auto"/>
          <w:kern w:val="0"/>
          <w:sz w:val="24"/>
          <w:szCs w:val="24"/>
          <w:highlight w:val="none"/>
        </w:rPr>
        <w:sym w:font="Wingdings 2" w:char="00A3"/>
      </w:r>
      <w:r>
        <w:rPr>
          <w:rFonts w:hint="eastAsia" w:ascii="宋体" w:hAnsi="宋体" w:cs="宋体"/>
          <w:color w:val="auto"/>
          <w:kern w:val="0"/>
          <w:sz w:val="24"/>
          <w:szCs w:val="24"/>
          <w:highlight w:val="none"/>
        </w:rPr>
        <w:t xml:space="preserve"> 没约定提前竣工奖的，本款不适用。</w:t>
      </w:r>
    </w:p>
    <w:p>
      <w:pPr>
        <w:shd w:val="clear" w:color="000000" w:fill="auto"/>
        <w:spacing w:line="360" w:lineRule="auto"/>
        <w:ind w:firstLine="120" w:firstLineChars="5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w:t>
      </w:r>
      <w:r>
        <w:rPr>
          <w:rFonts w:hint="eastAsia" w:ascii="黑体" w:hAnsi="黑体" w:eastAsia="黑体" w:cs="黑体"/>
          <w:color w:val="auto"/>
          <w:kern w:val="0"/>
          <w:sz w:val="24"/>
          <w:szCs w:val="24"/>
          <w:highlight w:val="none"/>
        </w:rPr>
        <w:t>■</w:t>
      </w:r>
      <w:r>
        <w:rPr>
          <w:rFonts w:hint="eastAsia" w:ascii="宋体" w:hAnsi="宋体" w:cs="宋体"/>
          <w:color w:val="auto"/>
          <w:kern w:val="0"/>
          <w:sz w:val="24"/>
          <w:szCs w:val="24"/>
          <w:highlight w:val="none"/>
        </w:rPr>
        <w:t xml:space="preserve"> 不设提前竣工奖，本条不适用。</w:t>
      </w:r>
    </w:p>
    <w:p>
      <w:pPr>
        <w:shd w:val="clear" w:color="000000" w:fill="auto"/>
        <w:spacing w:line="360" w:lineRule="auto"/>
        <w:ind w:firstLine="240" w:firstLineChars="10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约定提前竣工奖的，为 </w:t>
      </w:r>
      <w:r>
        <w:rPr>
          <w:rFonts w:hint="eastAsia" w:ascii="宋体" w:hAnsi="宋体" w:cs="宋体"/>
          <w:color w:val="auto"/>
          <w:kern w:val="0"/>
          <w:sz w:val="24"/>
          <w:szCs w:val="24"/>
          <w:highlight w:val="none"/>
          <w:u w:val="single"/>
        </w:rPr>
        <w:t xml:space="preserve"> /   </w:t>
      </w:r>
      <w:r>
        <w:rPr>
          <w:rFonts w:hint="eastAsia" w:ascii="宋体" w:hAnsi="宋体" w:cs="宋体"/>
          <w:color w:val="auto"/>
          <w:kern w:val="0"/>
          <w:sz w:val="24"/>
          <w:szCs w:val="24"/>
          <w:highlight w:val="none"/>
        </w:rPr>
        <w:t>元。</w:t>
      </w:r>
    </w:p>
    <w:p>
      <w:pPr>
        <w:shd w:val="clear" w:color="000000" w:fill="auto"/>
        <w:spacing w:line="360" w:lineRule="auto"/>
        <w:ind w:firstLine="120" w:firstLineChars="50"/>
        <w:rPr>
          <w:rFonts w:ascii="宋体" w:hAnsi="宋体" w:cs="宋体"/>
          <w:color w:val="auto"/>
          <w:kern w:val="0"/>
          <w:sz w:val="24"/>
          <w:szCs w:val="24"/>
          <w:highlight w:val="none"/>
        </w:rPr>
      </w:pPr>
      <w:r>
        <w:rPr>
          <w:rFonts w:hint="eastAsia" w:ascii="宋体" w:hAnsi="宋体" w:cs="宋体"/>
          <w:color w:val="auto"/>
          <w:kern w:val="0"/>
          <w:sz w:val="24"/>
          <w:szCs w:val="24"/>
          <w:highlight w:val="none"/>
        </w:rPr>
        <w:t>（2） 提前竣工奖的最高限额</w:t>
      </w:r>
    </w:p>
    <w:p>
      <w:pPr>
        <w:shd w:val="clear" w:color="000000" w:fill="auto"/>
        <w:spacing w:line="360" w:lineRule="auto"/>
        <w:ind w:firstLine="120" w:firstLineChars="5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w:t>
      </w:r>
      <w:r>
        <w:rPr>
          <w:rFonts w:hint="eastAsia" w:ascii="宋体" w:hAnsi="宋体" w:cs="宋体"/>
          <w:color w:val="auto"/>
          <w:kern w:val="0"/>
          <w:sz w:val="24"/>
          <w:szCs w:val="24"/>
          <w:highlight w:val="none"/>
        </w:rPr>
        <w:sym w:font="Wingdings 2" w:char="00A3"/>
      </w:r>
      <w:r>
        <w:rPr>
          <w:rFonts w:hint="eastAsia" w:ascii="宋体" w:hAnsi="宋体" w:cs="宋体"/>
          <w:color w:val="auto"/>
          <w:kern w:val="0"/>
          <w:sz w:val="24"/>
          <w:szCs w:val="24"/>
          <w:highlight w:val="none"/>
        </w:rPr>
        <w:t xml:space="preserve"> 按通用条款规定为合同价款的5%。</w:t>
      </w:r>
    </w:p>
    <w:p>
      <w:pPr>
        <w:shd w:val="clear" w:color="000000" w:fill="auto"/>
        <w:spacing w:line="360" w:lineRule="auto"/>
        <w:ind w:firstLine="120" w:firstLineChars="50"/>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 xml:space="preserve"> </w:t>
      </w:r>
      <w:r>
        <w:rPr>
          <w:rFonts w:hint="eastAsia" w:ascii="黑体" w:hAnsi="黑体" w:eastAsia="黑体" w:cs="黑体"/>
          <w:color w:val="auto"/>
          <w:kern w:val="0"/>
          <w:sz w:val="24"/>
          <w:szCs w:val="24"/>
          <w:highlight w:val="none"/>
        </w:rPr>
        <w:t>■</w:t>
      </w:r>
      <w:r>
        <w:rPr>
          <w:rFonts w:hint="eastAsia" w:ascii="宋体" w:hAnsi="宋体" w:cs="宋体"/>
          <w:color w:val="auto"/>
          <w:kern w:val="0"/>
          <w:sz w:val="24"/>
          <w:szCs w:val="24"/>
          <w:highlight w:val="none"/>
        </w:rPr>
        <w:t xml:space="preserve"> 另作约定：</w:t>
      </w:r>
      <w:r>
        <w:rPr>
          <w:rFonts w:hint="eastAsia" w:ascii="宋体" w:hAnsi="宋体" w:cs="宋体"/>
          <w:color w:val="auto"/>
          <w:kern w:val="0"/>
          <w:sz w:val="24"/>
          <w:szCs w:val="24"/>
          <w:highlight w:val="none"/>
          <w:u w:val="single"/>
        </w:rPr>
        <w:t>/</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66.2 误期赔偿费</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（1） 每日历天应赔偿额度为</w:t>
      </w:r>
      <w:r>
        <w:rPr>
          <w:rFonts w:hint="eastAsia" w:ascii="宋体" w:hAnsi="宋体" w:cs="宋体"/>
          <w:color w:val="auto"/>
          <w:kern w:val="0"/>
          <w:sz w:val="24"/>
          <w:szCs w:val="24"/>
          <w:highlight w:val="none"/>
          <w:u w:val="single"/>
        </w:rPr>
        <w:t xml:space="preserve"> </w:t>
      </w:r>
      <w:r>
        <w:rPr>
          <w:rFonts w:hint="eastAsia" w:ascii="宋体" w:hAnsi="宋体" w:cs="宋体"/>
          <w:color w:val="auto"/>
          <w:sz w:val="24"/>
          <w:szCs w:val="24"/>
          <w:highlight w:val="none"/>
          <w:u w:val="single"/>
        </w:rPr>
        <w:t>本工程合同价款的</w:t>
      </w:r>
      <w:r>
        <w:rPr>
          <w:rFonts w:hint="eastAsia" w:ascii="宋体" w:hAnsi="宋体" w:cs="宋体"/>
          <w:color w:val="auto"/>
          <w:sz w:val="24"/>
          <w:szCs w:val="24"/>
          <w:highlight w:val="none"/>
          <w:u w:val="single"/>
          <w:lang w:val="en-US" w:eastAsia="zh-CN"/>
        </w:rPr>
        <w:t>0.5</w:t>
      </w:r>
      <w:r>
        <w:rPr>
          <w:rFonts w:hint="eastAsia" w:ascii="宋体" w:hAnsi="宋体" w:cs="宋体"/>
          <w:color w:val="auto"/>
          <w:sz w:val="24"/>
          <w:szCs w:val="24"/>
          <w:highlight w:val="none"/>
          <w:u w:val="single"/>
        </w:rPr>
        <w:t>‰作为违约金</w:t>
      </w:r>
      <w:r>
        <w:rPr>
          <w:rFonts w:hint="eastAsia" w:ascii="宋体" w:hAnsi="宋体" w:cs="宋体"/>
          <w:color w:val="auto"/>
          <w:kern w:val="0"/>
          <w:sz w:val="24"/>
          <w:szCs w:val="24"/>
          <w:highlight w:val="none"/>
        </w:rPr>
        <w:t>。</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（2） 误期赔偿费的最高限额</w:t>
      </w:r>
    </w:p>
    <w:p>
      <w:pPr>
        <w:shd w:val="clear" w:color="000000" w:fill="auto"/>
        <w:spacing w:line="360" w:lineRule="auto"/>
        <w:ind w:firstLine="120" w:firstLineChars="5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 按通用条款规定为合同价款的5%，即</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元。</w:t>
      </w:r>
    </w:p>
    <w:p>
      <w:pPr>
        <w:shd w:val="clear" w:color="000000" w:fill="auto"/>
        <w:spacing w:line="360" w:lineRule="auto"/>
        <w:ind w:firstLine="120" w:firstLineChars="50"/>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 xml:space="preserve"> □ 另作约定：</w:t>
      </w:r>
      <w:r>
        <w:rPr>
          <w:rFonts w:hint="eastAsia" w:ascii="宋体" w:hAnsi="宋体" w:cs="宋体"/>
          <w:color w:val="auto"/>
          <w:kern w:val="0"/>
          <w:sz w:val="24"/>
          <w:szCs w:val="24"/>
          <w:highlight w:val="none"/>
          <w:u w:val="single"/>
          <w:lang w:val="en-US" w:eastAsia="zh-CN"/>
        </w:rPr>
        <w:t>/</w:t>
      </w:r>
      <w:r>
        <w:rPr>
          <w:rFonts w:hint="eastAsia" w:ascii="宋体" w:hAnsi="宋体" w:cs="宋体"/>
          <w:color w:val="auto"/>
          <w:kern w:val="0"/>
          <w:sz w:val="24"/>
          <w:szCs w:val="24"/>
          <w:highlight w:val="none"/>
          <w:u w:val="single"/>
        </w:rPr>
        <w:t>。</w:t>
      </w:r>
    </w:p>
    <w:p>
      <w:pPr>
        <w:pStyle w:val="4"/>
        <w:numPr>
          <w:ilvl w:val="0"/>
          <w:numId w:val="0"/>
        </w:numPr>
        <w:shd w:val="clear" w:color="000000" w:fill="auto"/>
        <w:tabs>
          <w:tab w:val="left" w:pos="420"/>
        </w:tabs>
        <w:spacing w:before="0" w:line="360" w:lineRule="auto"/>
        <w:rPr>
          <w:rFonts w:ascii="仿宋" w:hAnsi="仿宋" w:eastAsia="仿宋" w:cs="Times New Roman"/>
          <w:b/>
          <w:bCs/>
          <w:color w:val="auto"/>
          <w:sz w:val="24"/>
          <w:szCs w:val="24"/>
          <w:highlight w:val="none"/>
        </w:rPr>
      </w:pPr>
      <w:bookmarkStart w:id="604" w:name="_Toc13584"/>
      <w:bookmarkStart w:id="605" w:name="_Toc469384121"/>
      <w:bookmarkStart w:id="606" w:name="_Toc26246"/>
      <w:bookmarkStart w:id="607" w:name="_Toc10624965"/>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67. </w:t>
      </w:r>
      <w:r>
        <w:rPr>
          <w:rFonts w:hint="eastAsia" w:ascii="仿宋" w:hAnsi="仿宋" w:eastAsia="仿宋" w:cs="仿宋"/>
          <w:b/>
          <w:bCs/>
          <w:color w:val="auto"/>
          <w:sz w:val="24"/>
          <w:szCs w:val="24"/>
          <w:highlight w:val="none"/>
        </w:rPr>
        <w:t>工程优质费、工程建设标准费用</w:t>
      </w:r>
      <w:bookmarkEnd w:id="604"/>
      <w:bookmarkEnd w:id="605"/>
      <w:bookmarkEnd w:id="606"/>
      <w:bookmarkEnd w:id="607"/>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67.1 工程优质费的计算方法</w:t>
      </w:r>
    </w:p>
    <w:p>
      <w:pPr>
        <w:shd w:val="clear" w:color="000000" w:fill="auto"/>
        <w:spacing w:line="360" w:lineRule="auto"/>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 xml:space="preserve">  □ 约定工程优质费的，其计算方法：</w:t>
      </w:r>
      <w:r>
        <w:rPr>
          <w:rFonts w:hint="eastAsia" w:ascii="宋体" w:hAnsi="宋体" w:cs="宋体"/>
          <w:color w:val="auto"/>
          <w:kern w:val="0"/>
          <w:sz w:val="24"/>
          <w:szCs w:val="24"/>
          <w:highlight w:val="none"/>
          <w:u w:val="single"/>
        </w:rPr>
        <w:t xml:space="preserve">    /          </w:t>
      </w:r>
    </w:p>
    <w:p>
      <w:pPr>
        <w:shd w:val="clear" w:color="000000" w:fill="auto"/>
        <w:spacing w:line="360" w:lineRule="auto"/>
        <w:ind w:firstLine="240" w:firstLineChars="100"/>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 按分部分项工程费为基础计算：</w:t>
      </w:r>
      <w:r>
        <w:rPr>
          <w:rFonts w:hint="eastAsia" w:ascii="宋体" w:hAnsi="宋体" w:cs="宋体"/>
          <w:color w:val="auto"/>
          <w:kern w:val="0"/>
          <w:sz w:val="24"/>
          <w:szCs w:val="24"/>
          <w:highlight w:val="none"/>
          <w:u w:val="single"/>
        </w:rPr>
        <w:t xml:space="preserve">    /    </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w:t>
      </w:r>
      <w:r>
        <w:rPr>
          <w:rFonts w:hint="eastAsia" w:ascii="宋体" w:hAnsi="宋体" w:cs="宋体"/>
          <w:b/>
          <w:bCs/>
          <w:color w:val="auto"/>
          <w:sz w:val="24"/>
          <w:szCs w:val="24"/>
          <w:highlight w:val="none"/>
        </w:rPr>
        <w:t>★</w:t>
      </w:r>
      <w:r>
        <w:rPr>
          <w:rFonts w:hint="eastAsia" w:ascii="宋体" w:hAnsi="宋体" w:cs="宋体"/>
          <w:color w:val="auto"/>
          <w:kern w:val="0"/>
          <w:sz w:val="24"/>
          <w:szCs w:val="24"/>
          <w:highlight w:val="none"/>
        </w:rPr>
        <w:t>67.2 工程优质费的计算额度：</w:t>
      </w:r>
    </w:p>
    <w:p>
      <w:pPr>
        <w:shd w:val="clear" w:color="000000" w:fill="auto"/>
        <w:spacing w:line="360" w:lineRule="auto"/>
        <w:ind w:firstLine="120" w:firstLineChars="5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 按通用条款规定计算。</w:t>
      </w:r>
    </w:p>
    <w:p>
      <w:pPr>
        <w:shd w:val="clear" w:color="000000" w:fill="auto"/>
        <w:spacing w:line="360" w:lineRule="auto"/>
        <w:ind w:left="240" w:hanging="240" w:hangingChars="10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 另作约定（工程优质费率参考广东省建设工程计价依据工程优质费、广州市住房和城乡建设局发布的工程优质费率；合同工程同时获得下列多个奖项的，只按最高奖项的额度计算。）：</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国家级质量奖，工程优质费</w:t>
      </w:r>
      <w:r>
        <w:rPr>
          <w:rFonts w:hint="eastAsia" w:ascii="宋体" w:hAnsi="宋体" w:cs="宋体"/>
          <w:color w:val="auto"/>
          <w:kern w:val="0"/>
          <w:sz w:val="24"/>
          <w:szCs w:val="24"/>
          <w:highlight w:val="none"/>
          <w:u w:val="single"/>
        </w:rPr>
        <w:t xml:space="preserve">  /   </w:t>
      </w:r>
      <w:r>
        <w:rPr>
          <w:rFonts w:hint="eastAsia" w:ascii="宋体" w:hAnsi="宋体" w:cs="宋体"/>
          <w:color w:val="auto"/>
          <w:kern w:val="0"/>
          <w:sz w:val="24"/>
          <w:szCs w:val="24"/>
          <w:highlight w:val="none"/>
        </w:rPr>
        <w:t xml:space="preserve"> %；</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省级质量奖，工程优质费</w:t>
      </w:r>
      <w:r>
        <w:rPr>
          <w:rFonts w:hint="eastAsia" w:ascii="宋体" w:hAnsi="宋体" w:cs="宋体"/>
          <w:color w:val="auto"/>
          <w:kern w:val="0"/>
          <w:sz w:val="24"/>
          <w:szCs w:val="24"/>
          <w:highlight w:val="none"/>
          <w:u w:val="single"/>
        </w:rPr>
        <w:t xml:space="preserve">   /   </w:t>
      </w:r>
      <w:r>
        <w:rPr>
          <w:rFonts w:hint="eastAsia" w:ascii="宋体" w:hAnsi="宋体" w:cs="宋体"/>
          <w:color w:val="auto"/>
          <w:kern w:val="0"/>
          <w:sz w:val="24"/>
          <w:szCs w:val="24"/>
          <w:highlight w:val="none"/>
        </w:rPr>
        <w:t>%；</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市级质量奖，工程优质费</w:t>
      </w:r>
      <w:r>
        <w:rPr>
          <w:rFonts w:hint="eastAsia" w:ascii="宋体" w:hAnsi="宋体" w:cs="宋体"/>
          <w:color w:val="auto"/>
          <w:kern w:val="0"/>
          <w:sz w:val="24"/>
          <w:szCs w:val="24"/>
          <w:highlight w:val="none"/>
          <w:u w:val="single"/>
        </w:rPr>
        <w:t xml:space="preserve">    /    </w:t>
      </w:r>
      <w:r>
        <w:rPr>
          <w:rFonts w:hint="eastAsia" w:ascii="宋体" w:hAnsi="宋体" w:cs="宋体"/>
          <w:color w:val="auto"/>
          <w:kern w:val="0"/>
          <w:sz w:val="24"/>
          <w:szCs w:val="24"/>
          <w:highlight w:val="none"/>
        </w:rPr>
        <w:t xml:space="preserve"> %。</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其它</w:t>
      </w:r>
      <w:r>
        <w:rPr>
          <w:rFonts w:hint="eastAsia" w:ascii="宋体" w:hAnsi="宋体" w:cs="宋体"/>
          <w:color w:val="auto"/>
          <w:kern w:val="0"/>
          <w:sz w:val="24"/>
          <w:szCs w:val="24"/>
          <w:highlight w:val="none"/>
          <w:u w:val="single"/>
        </w:rPr>
        <w:t xml:space="preserve">   /   </w:t>
      </w:r>
      <w:r>
        <w:rPr>
          <w:rFonts w:hint="eastAsia" w:ascii="宋体" w:hAnsi="宋体" w:cs="宋体"/>
          <w:color w:val="auto"/>
          <w:kern w:val="0"/>
          <w:sz w:val="24"/>
          <w:szCs w:val="24"/>
          <w:highlight w:val="none"/>
        </w:rPr>
        <w:t>，工程优质费</w:t>
      </w:r>
      <w:r>
        <w:rPr>
          <w:rFonts w:hint="eastAsia" w:ascii="宋体" w:hAnsi="宋体" w:cs="宋体"/>
          <w:color w:val="auto"/>
          <w:kern w:val="0"/>
          <w:sz w:val="24"/>
          <w:szCs w:val="24"/>
          <w:highlight w:val="none"/>
          <w:u w:val="single"/>
        </w:rPr>
        <w:t xml:space="preserve">    /  </w:t>
      </w:r>
      <w:r>
        <w:rPr>
          <w:rFonts w:hint="eastAsia" w:ascii="宋体" w:hAnsi="宋体" w:cs="宋体"/>
          <w:color w:val="auto"/>
          <w:kern w:val="0"/>
          <w:sz w:val="24"/>
          <w:szCs w:val="24"/>
          <w:highlight w:val="none"/>
        </w:rPr>
        <w:t xml:space="preserve"> %。</w:t>
      </w:r>
    </w:p>
    <w:p>
      <w:pPr>
        <w:pStyle w:val="4"/>
        <w:numPr>
          <w:ilvl w:val="0"/>
          <w:numId w:val="0"/>
        </w:numPr>
        <w:shd w:val="clear" w:color="000000" w:fill="auto"/>
        <w:tabs>
          <w:tab w:val="left" w:pos="420"/>
        </w:tabs>
        <w:spacing w:before="0" w:line="360" w:lineRule="auto"/>
        <w:ind w:left="575" w:leftChars="57" w:hanging="455" w:hangingChars="189"/>
        <w:rPr>
          <w:rFonts w:ascii="仿宋" w:hAnsi="仿宋" w:eastAsia="仿宋" w:cs="Times New Roman"/>
          <w:b/>
          <w:bCs/>
          <w:color w:val="auto"/>
          <w:sz w:val="24"/>
          <w:szCs w:val="24"/>
          <w:highlight w:val="none"/>
        </w:rPr>
      </w:pPr>
      <w:bookmarkStart w:id="608" w:name="_Toc469384122"/>
      <w:bookmarkStart w:id="609" w:name="_Toc7157"/>
      <w:bookmarkStart w:id="610" w:name="_Toc10624966"/>
      <w:bookmarkStart w:id="611" w:name="_Toc9005"/>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68. </w:t>
      </w:r>
      <w:r>
        <w:rPr>
          <w:rFonts w:hint="eastAsia" w:ascii="仿宋" w:hAnsi="仿宋" w:eastAsia="仿宋" w:cs="仿宋"/>
          <w:b/>
          <w:bCs/>
          <w:color w:val="auto"/>
          <w:sz w:val="24"/>
          <w:szCs w:val="24"/>
          <w:highlight w:val="none"/>
        </w:rPr>
        <w:t>合同价款的约定与调整</w:t>
      </w:r>
      <w:bookmarkEnd w:id="608"/>
      <w:bookmarkEnd w:id="609"/>
      <w:bookmarkEnd w:id="610"/>
      <w:bookmarkEnd w:id="611"/>
    </w:p>
    <w:p>
      <w:pPr>
        <w:shd w:val="clear" w:color="000000" w:fill="auto"/>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68.2合同价款的方式</w:t>
      </w:r>
    </w:p>
    <w:p>
      <w:pPr>
        <w:shd w:val="clear" w:color="000000" w:fill="auto"/>
        <w:spacing w:line="360" w:lineRule="auto"/>
        <w:ind w:firstLine="240" w:firstLineChars="1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□总价合同。</w:t>
      </w:r>
    </w:p>
    <w:p>
      <w:pPr>
        <w:shd w:val="clear" w:color="000000" w:fill="auto"/>
        <w:spacing w:line="360" w:lineRule="auto"/>
        <w:ind w:left="239" w:leftChars="114"/>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本合同项目的工程承包价是由承包人按招标文件图纸的承包内容、承包范围和工程量以及招标文件的而规定，采用</w:t>
      </w:r>
      <w:r>
        <w:rPr>
          <w:rFonts w:hint="eastAsia" w:ascii="宋体" w:hAnsi="宋体" w:cs="宋体"/>
          <w:color w:val="auto"/>
          <w:kern w:val="0"/>
          <w:sz w:val="24"/>
          <w:szCs w:val="24"/>
          <w:highlight w:val="none"/>
          <w:u w:val="single"/>
        </w:rPr>
        <w:t xml:space="preserve">         </w:t>
      </w:r>
      <w:r>
        <w:rPr>
          <w:rFonts w:ascii="宋体" w:hAnsi="宋体" w:cs="宋体"/>
          <w:color w:val="auto"/>
          <w:kern w:val="0"/>
          <w:sz w:val="24"/>
          <w:szCs w:val="24"/>
          <w:highlight w:val="none"/>
          <w:u w:val="single"/>
        </w:rPr>
        <w:t>/</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计价方法，根据承包人自身的条件和能力，结合工程现场实际情况，考虑风险后编制的，除发包人对原设计要求或同意变更外，承包人必须按本承包价进行按图包工、包料、包质量、包安全、包工期、包文明施工、包</w:t>
      </w:r>
      <w:r>
        <w:rPr>
          <w:rFonts w:hint="eastAsia" w:ascii="宋体" w:hAnsi="宋体" w:cs="宋体"/>
          <w:color w:val="auto"/>
          <w:kern w:val="0"/>
          <w:sz w:val="24"/>
          <w:szCs w:val="24"/>
          <w:highlight w:val="none"/>
          <w:u w:val="single"/>
        </w:rPr>
        <w:t xml:space="preserve">     </w:t>
      </w:r>
      <w:r>
        <w:rPr>
          <w:rFonts w:ascii="宋体" w:hAnsi="宋体" w:cs="宋体"/>
          <w:color w:val="auto"/>
          <w:kern w:val="0"/>
          <w:sz w:val="24"/>
          <w:szCs w:val="24"/>
          <w:highlight w:val="none"/>
          <w:u w:val="single"/>
        </w:rPr>
        <w:t>/</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等总价包干。</w:t>
      </w:r>
    </w:p>
    <w:p>
      <w:pPr>
        <w:shd w:val="clear" w:color="000000" w:fill="auto"/>
        <w:spacing w:line="360" w:lineRule="auto"/>
        <w:ind w:firstLine="240" w:firstLineChars="100"/>
        <w:jc w:val="left"/>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合同总价中包括的风险范围：</w:t>
      </w:r>
      <w:r>
        <w:rPr>
          <w:rFonts w:hint="eastAsia" w:ascii="宋体" w:hAnsi="宋体" w:cs="宋体"/>
          <w:color w:val="auto"/>
          <w:kern w:val="0"/>
          <w:sz w:val="24"/>
          <w:szCs w:val="24"/>
          <w:highlight w:val="none"/>
          <w:u w:val="single"/>
        </w:rPr>
        <w:t xml:space="preserve">             </w:t>
      </w:r>
      <w:r>
        <w:rPr>
          <w:rFonts w:ascii="宋体" w:hAnsi="宋体" w:cs="宋体"/>
          <w:color w:val="auto"/>
          <w:kern w:val="0"/>
          <w:sz w:val="24"/>
          <w:szCs w:val="24"/>
          <w:highlight w:val="none"/>
          <w:u w:val="single"/>
        </w:rPr>
        <w:t>/</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w:t>
      </w:r>
    </w:p>
    <w:p>
      <w:pPr>
        <w:shd w:val="clear" w:color="000000" w:fill="auto"/>
        <w:spacing w:line="360" w:lineRule="auto"/>
        <w:ind w:firstLine="240" w:firstLineChars="100"/>
        <w:jc w:val="left"/>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风险费用的计算方法：</w:t>
      </w:r>
      <w:r>
        <w:rPr>
          <w:rFonts w:hint="eastAsia" w:ascii="宋体" w:hAnsi="宋体" w:cs="宋体"/>
          <w:color w:val="auto"/>
          <w:kern w:val="0"/>
          <w:sz w:val="24"/>
          <w:szCs w:val="24"/>
          <w:highlight w:val="none"/>
          <w:u w:val="single"/>
        </w:rPr>
        <w:t xml:space="preserve">                    </w:t>
      </w:r>
      <w:r>
        <w:rPr>
          <w:rFonts w:ascii="宋体" w:hAnsi="宋体" w:cs="宋体"/>
          <w:color w:val="auto"/>
          <w:kern w:val="0"/>
          <w:sz w:val="24"/>
          <w:szCs w:val="24"/>
          <w:highlight w:val="none"/>
          <w:u w:val="single"/>
        </w:rPr>
        <w:t>/</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 xml:space="preserve"> ；</w:t>
      </w:r>
    </w:p>
    <w:p>
      <w:pPr>
        <w:shd w:val="clear" w:color="000000" w:fill="auto"/>
        <w:spacing w:line="360" w:lineRule="auto"/>
        <w:ind w:firstLine="240" w:firstLineChars="100"/>
        <w:jc w:val="left"/>
        <w:rPr>
          <w:rFonts w:ascii="宋体" w:hAnsi="宋体" w:cs="宋体"/>
          <w:color w:val="auto"/>
          <w:sz w:val="24"/>
          <w:szCs w:val="24"/>
          <w:highlight w:val="none"/>
        </w:rPr>
      </w:pPr>
      <w:r>
        <w:rPr>
          <w:rFonts w:hint="eastAsia" w:ascii="宋体" w:hAnsi="宋体" w:cs="宋体"/>
          <w:color w:val="auto"/>
          <w:kern w:val="0"/>
          <w:sz w:val="24"/>
          <w:szCs w:val="24"/>
          <w:highlight w:val="none"/>
        </w:rPr>
        <w:t>风险范围以外合同价款调整方法：</w:t>
      </w:r>
      <w:r>
        <w:rPr>
          <w:rFonts w:hint="eastAsia" w:ascii="宋体" w:hAnsi="宋体" w:cs="宋体"/>
          <w:color w:val="auto"/>
          <w:sz w:val="24"/>
          <w:szCs w:val="24"/>
          <w:highlight w:val="none"/>
          <w:u w:val="single"/>
        </w:rPr>
        <w:t xml:space="preserve">          </w:t>
      </w:r>
      <w:r>
        <w:rPr>
          <w:rFonts w:ascii="宋体" w:hAnsi="宋体" w:cs="宋体"/>
          <w:color w:val="auto"/>
          <w:sz w:val="24"/>
          <w:szCs w:val="24"/>
          <w:highlight w:val="none"/>
          <w:u w:val="single"/>
        </w:rPr>
        <w:t>/</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hd w:val="clear" w:color="000000" w:fill="auto"/>
        <w:spacing w:line="360" w:lineRule="auto"/>
        <w:ind w:left="178" w:leftChars="85" w:firstLine="57" w:firstLineChars="24"/>
        <w:jc w:val="left"/>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 xml:space="preserve">    本合同项目的承包范围、承包内容为总价包干，当原承包范围、承包内容出现经发包人批准的设计变更（包括超出本合同的承包范围、承包内容的设计变更项目）以及</w:t>
      </w:r>
      <w:r>
        <w:rPr>
          <w:rFonts w:hint="eastAsia" w:ascii="宋体" w:hAnsi="宋体" w:cs="宋体"/>
          <w:color w:val="auto"/>
          <w:kern w:val="0"/>
          <w:sz w:val="24"/>
          <w:szCs w:val="24"/>
          <w:highlight w:val="none"/>
          <w:u w:val="single"/>
        </w:rPr>
        <w:t xml:space="preserve">          </w:t>
      </w:r>
      <w:r>
        <w:rPr>
          <w:rFonts w:ascii="宋体" w:hAnsi="宋体" w:cs="宋体"/>
          <w:color w:val="auto"/>
          <w:kern w:val="0"/>
          <w:sz w:val="24"/>
          <w:szCs w:val="24"/>
          <w:highlight w:val="none"/>
          <w:u w:val="single"/>
        </w:rPr>
        <w:t>/</w:t>
      </w:r>
      <w:r>
        <w:rPr>
          <w:rFonts w:hint="eastAsia" w:ascii="宋体" w:hAnsi="宋体" w:cs="宋体"/>
          <w:color w:val="auto"/>
          <w:kern w:val="0"/>
          <w:sz w:val="24"/>
          <w:szCs w:val="24"/>
          <w:highlight w:val="none"/>
          <w:u w:val="single"/>
        </w:rPr>
        <w:t xml:space="preserve">           </w:t>
      </w:r>
    </w:p>
    <w:p>
      <w:pPr>
        <w:shd w:val="clear" w:color="000000" w:fill="auto"/>
        <w:spacing w:line="360" w:lineRule="auto"/>
        <w:ind w:left="178" w:leftChars="85" w:firstLine="2"/>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时，变更项目的工程造价采用</w:t>
      </w:r>
      <w:r>
        <w:rPr>
          <w:rFonts w:hint="eastAsia" w:ascii="宋体" w:hAnsi="宋体" w:cs="宋体"/>
          <w:color w:val="auto"/>
          <w:kern w:val="0"/>
          <w:sz w:val="24"/>
          <w:szCs w:val="24"/>
          <w:highlight w:val="none"/>
          <w:u w:val="single"/>
        </w:rPr>
        <w:t xml:space="preserve">          </w:t>
      </w:r>
      <w:r>
        <w:rPr>
          <w:rFonts w:ascii="宋体" w:hAnsi="宋体" w:cs="宋体"/>
          <w:color w:val="auto"/>
          <w:kern w:val="0"/>
          <w:sz w:val="24"/>
          <w:szCs w:val="24"/>
          <w:highlight w:val="none"/>
          <w:u w:val="single"/>
        </w:rPr>
        <w:t>/</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计价方法进行计价，并按照国家、省、市有关规范、规定以及计价办法、工程量计算规则执行，工程量按</w:t>
      </w:r>
      <w:r>
        <w:rPr>
          <w:rFonts w:hint="eastAsia" w:ascii="宋体" w:hAnsi="宋体" w:cs="宋体"/>
          <w:color w:val="auto"/>
          <w:kern w:val="0"/>
          <w:sz w:val="24"/>
          <w:szCs w:val="24"/>
          <w:highlight w:val="none"/>
          <w:u w:val="single"/>
        </w:rPr>
        <w:t xml:space="preserve">      </w:t>
      </w:r>
      <w:r>
        <w:rPr>
          <w:rFonts w:ascii="宋体" w:hAnsi="宋体" w:cs="宋体"/>
          <w:color w:val="auto"/>
          <w:kern w:val="0"/>
          <w:sz w:val="24"/>
          <w:szCs w:val="24"/>
          <w:highlight w:val="none"/>
          <w:u w:val="single"/>
        </w:rPr>
        <w:t>/</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计价方法计算，其中的人工、材料、机械台班价格按实际施工期间建设行政主管部门发布的</w:t>
      </w:r>
      <w:r>
        <w:rPr>
          <w:rFonts w:hint="eastAsia" w:ascii="宋体" w:hAnsi="宋体" w:cs="宋体"/>
          <w:color w:val="auto"/>
          <w:kern w:val="0"/>
          <w:sz w:val="24"/>
          <w:szCs w:val="24"/>
          <w:highlight w:val="none"/>
          <w:u w:val="single"/>
        </w:rPr>
        <w:t xml:space="preserve"> </w:t>
      </w:r>
      <w:r>
        <w:rPr>
          <w:rFonts w:ascii="宋体" w:hAnsi="宋体" w:cs="宋体"/>
          <w:color w:val="auto"/>
          <w:kern w:val="0"/>
          <w:sz w:val="24"/>
          <w:szCs w:val="24"/>
          <w:highlight w:val="none"/>
          <w:u w:val="single"/>
        </w:rPr>
        <w:t>/</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规定执行，建设行政主管部门没有发布的某些内容、品种由发包人和承包人约定按</w:t>
      </w:r>
      <w:r>
        <w:rPr>
          <w:rFonts w:hint="eastAsia" w:ascii="宋体" w:hAnsi="宋体" w:cs="宋体"/>
          <w:color w:val="auto"/>
          <w:kern w:val="0"/>
          <w:sz w:val="24"/>
          <w:szCs w:val="24"/>
          <w:highlight w:val="none"/>
          <w:u w:val="single"/>
        </w:rPr>
        <w:t xml:space="preserve">     </w:t>
      </w:r>
      <w:r>
        <w:rPr>
          <w:rFonts w:ascii="宋体" w:hAnsi="宋体" w:cs="宋体"/>
          <w:color w:val="auto"/>
          <w:kern w:val="0"/>
          <w:sz w:val="24"/>
          <w:szCs w:val="24"/>
          <w:highlight w:val="none"/>
          <w:u w:val="single"/>
        </w:rPr>
        <w:t>/</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计算；或由发包人和承包人约定人工、材料、机械台班价格根据建设标准要求按</w:t>
      </w:r>
      <w:r>
        <w:rPr>
          <w:rFonts w:hint="eastAsia" w:ascii="宋体" w:hAnsi="宋体" w:cs="宋体"/>
          <w:color w:val="auto"/>
          <w:kern w:val="0"/>
          <w:sz w:val="24"/>
          <w:szCs w:val="24"/>
          <w:highlight w:val="none"/>
          <w:u w:val="single"/>
        </w:rPr>
        <w:t xml:space="preserve">        </w:t>
      </w:r>
      <w:r>
        <w:rPr>
          <w:rFonts w:ascii="宋体" w:hAnsi="宋体" w:cs="宋体"/>
          <w:color w:val="auto"/>
          <w:kern w:val="0"/>
          <w:sz w:val="24"/>
          <w:szCs w:val="24"/>
          <w:highlight w:val="none"/>
          <w:u w:val="single"/>
        </w:rPr>
        <w:t>/</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计算。如变更项目采用定额计价的，造价的确定依据广东省计价依据、广东省相关定额、广州市补充定额，若个别项目没有定额可套用，由发包人和承包人根据实际情况签订补充合同或协议作出约定；若项目实施期间定额更新，建设行政主管部门对新旧定额的使用办法有规定的从其规定，没有规定或规定不明确的，由发包人和承包人根据实际情况签订补充合同或协议作出约定。</w:t>
      </w:r>
    </w:p>
    <w:p>
      <w:pPr>
        <w:shd w:val="clear" w:color="000000" w:fill="auto"/>
        <w:spacing w:line="360" w:lineRule="auto"/>
        <w:ind w:left="178" w:leftChars="85" w:firstLine="417" w:firstLineChars="174"/>
        <w:jc w:val="left"/>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措施项目费、其他项目费的调整：□按通用条款规定的调整事件内容调整；□按广东省定额规定计算；□由发包人和承包人根据实际情况约定按</w:t>
      </w:r>
      <w:r>
        <w:rPr>
          <w:rFonts w:hint="eastAsia" w:ascii="宋体" w:hAnsi="宋体" w:cs="宋体"/>
          <w:color w:val="auto"/>
          <w:kern w:val="0"/>
          <w:sz w:val="24"/>
          <w:szCs w:val="24"/>
          <w:highlight w:val="none"/>
          <w:u w:val="single"/>
        </w:rPr>
        <w:t xml:space="preserve">          </w:t>
      </w:r>
      <w:r>
        <w:rPr>
          <w:rFonts w:ascii="宋体" w:hAnsi="宋体" w:cs="宋体"/>
          <w:color w:val="auto"/>
          <w:kern w:val="0"/>
          <w:sz w:val="24"/>
          <w:szCs w:val="24"/>
          <w:highlight w:val="none"/>
          <w:u w:val="single"/>
        </w:rPr>
        <w:t>/</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调整。</w:t>
      </w:r>
    </w:p>
    <w:p>
      <w:pPr>
        <w:shd w:val="clear" w:color="000000" w:fill="auto"/>
        <w:spacing w:line="360" w:lineRule="auto"/>
        <w:ind w:left="120" w:leftChars="57"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其它调整内容：</w:t>
      </w:r>
      <w:r>
        <w:rPr>
          <w:rFonts w:hint="eastAsia" w:ascii="宋体" w:hAnsi="宋体" w:cs="宋体"/>
          <w:color w:val="auto"/>
          <w:kern w:val="0"/>
          <w:sz w:val="24"/>
          <w:szCs w:val="24"/>
          <w:highlight w:val="none"/>
          <w:u w:val="single"/>
        </w:rPr>
        <w:t xml:space="preserve">                      </w:t>
      </w:r>
      <w:r>
        <w:rPr>
          <w:rFonts w:ascii="宋体" w:hAnsi="宋体" w:cs="宋体"/>
          <w:color w:val="auto"/>
          <w:kern w:val="0"/>
          <w:sz w:val="24"/>
          <w:szCs w:val="24"/>
          <w:highlight w:val="none"/>
          <w:u w:val="single"/>
        </w:rPr>
        <w:t>/</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w:t>
      </w:r>
    </w:p>
    <w:p>
      <w:pPr>
        <w:shd w:val="clear" w:color="000000" w:fill="auto"/>
        <w:spacing w:line="360" w:lineRule="auto"/>
        <w:ind w:firstLine="600" w:firstLineChars="25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本合同项目的结算造价确定方式：</w:t>
      </w:r>
      <w:r>
        <w:rPr>
          <w:rFonts w:hint="eastAsia" w:ascii="宋体" w:hAnsi="宋体" w:cs="宋体"/>
          <w:color w:val="auto"/>
          <w:kern w:val="0"/>
          <w:sz w:val="24"/>
          <w:szCs w:val="24"/>
          <w:highlight w:val="none"/>
          <w:u w:val="single"/>
        </w:rPr>
        <w:t xml:space="preserve">                </w:t>
      </w:r>
      <w:r>
        <w:rPr>
          <w:rFonts w:ascii="宋体" w:hAnsi="宋体" w:cs="宋体"/>
          <w:color w:val="auto"/>
          <w:kern w:val="0"/>
          <w:sz w:val="24"/>
          <w:szCs w:val="24"/>
          <w:highlight w:val="none"/>
          <w:u w:val="single"/>
        </w:rPr>
        <w:t>/</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w:t>
      </w:r>
    </w:p>
    <w:p>
      <w:pPr>
        <w:shd w:val="clear" w:color="000000" w:fill="auto"/>
        <w:spacing w:line="360" w:lineRule="auto"/>
        <w:jc w:val="left"/>
        <w:rPr>
          <w:rFonts w:ascii="宋体" w:hAnsi="宋体" w:cs="宋体"/>
          <w:color w:val="auto"/>
          <w:kern w:val="0"/>
          <w:sz w:val="24"/>
          <w:szCs w:val="24"/>
          <w:highlight w:val="none"/>
        </w:rPr>
      </w:pPr>
    </w:p>
    <w:p>
      <w:pPr>
        <w:shd w:val="clear" w:color="000000" w:fill="auto"/>
        <w:spacing w:line="360" w:lineRule="auto"/>
        <w:ind w:firstLine="360" w:firstLineChars="150"/>
        <w:jc w:val="left"/>
        <w:rPr>
          <w:rFonts w:ascii="宋体" w:hAnsi="宋体" w:cs="宋体"/>
          <w:color w:val="auto"/>
          <w:kern w:val="0"/>
          <w:sz w:val="24"/>
          <w:szCs w:val="24"/>
          <w:highlight w:val="none"/>
        </w:rPr>
      </w:pPr>
      <w:r>
        <w:rPr>
          <w:rFonts w:hint="eastAsia" w:ascii="黑体" w:hAnsi="黑体" w:eastAsia="黑体" w:cs="黑体"/>
          <w:color w:val="auto"/>
          <w:kern w:val="0"/>
          <w:sz w:val="24"/>
          <w:szCs w:val="24"/>
          <w:highlight w:val="none"/>
        </w:rPr>
        <w:t>■</w:t>
      </w:r>
      <w:r>
        <w:rPr>
          <w:rFonts w:hint="eastAsia" w:ascii="Times New Roman" w:hAnsi="Times New Roman" w:eastAsia="黑体" w:cs="Times New Roman"/>
          <w:color w:val="auto"/>
          <w:kern w:val="0"/>
          <w:sz w:val="24"/>
          <w:szCs w:val="24"/>
          <w:highlight w:val="none"/>
        </w:rPr>
        <w:t xml:space="preserve"> </w:t>
      </w:r>
      <w:r>
        <w:rPr>
          <w:rFonts w:hint="eastAsia" w:ascii="宋体" w:hAnsi="宋体" w:cs="宋体"/>
          <w:color w:val="auto"/>
          <w:kern w:val="0"/>
          <w:sz w:val="24"/>
          <w:szCs w:val="24"/>
          <w:highlight w:val="none"/>
        </w:rPr>
        <w:t>单价合同</w:t>
      </w:r>
    </w:p>
    <w:p>
      <w:pPr>
        <w:shd w:val="clear" w:color="000000" w:fill="auto"/>
        <w:spacing w:line="360" w:lineRule="auto"/>
        <w:ind w:left="239" w:leftChars="114" w:firstLine="600" w:firstLineChars="25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本合同项目的工程承包价是由承包人以招标文件以及招标文件的图纸为依据，采用工程量清单计价方法，根据国家标准</w:t>
      </w:r>
      <w:r>
        <w:rPr>
          <w:rFonts w:hint="eastAsia" w:ascii="宋体" w:hAnsi="宋体" w:cs="宋体"/>
          <w:color w:val="auto"/>
          <w:kern w:val="0"/>
          <w:sz w:val="24"/>
          <w:szCs w:val="24"/>
          <w:highlight w:val="none"/>
          <w:u w:val="single"/>
        </w:rPr>
        <w:t xml:space="preserve">  </w:t>
      </w:r>
      <w:r>
        <w:rPr>
          <w:rFonts w:hint="eastAsia" w:ascii="宋体" w:hAnsi="宋体" w:cs="宋体"/>
          <w:color w:val="auto"/>
          <w:sz w:val="24"/>
          <w:szCs w:val="24"/>
          <w:highlight w:val="none"/>
          <w:u w:val="single"/>
        </w:rPr>
        <w:t>《建设工程工程量清单计价规范》（GBGB50500-2013</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以及</w:t>
      </w:r>
      <w:r>
        <w:rPr>
          <w:rFonts w:hint="eastAsia" w:ascii="宋体" w:hAnsi="宋体" w:cs="宋体"/>
          <w:color w:val="auto"/>
          <w:kern w:val="0"/>
          <w:sz w:val="24"/>
          <w:szCs w:val="24"/>
          <w:highlight w:val="none"/>
          <w:u w:val="single"/>
        </w:rPr>
        <w:t xml:space="preserve"> 广东省建设工程计价依据     </w:t>
      </w:r>
      <w:r>
        <w:rPr>
          <w:rFonts w:hint="eastAsia" w:ascii="宋体" w:hAnsi="宋体" w:cs="宋体"/>
          <w:color w:val="auto"/>
          <w:kern w:val="0"/>
          <w:sz w:val="24"/>
          <w:szCs w:val="24"/>
          <w:highlight w:val="none"/>
        </w:rPr>
        <w:t>计价办法，按照招标文件中工程量清单所开列的工作内容和估计工程量填报相应的综合单价后并累计合价，再加上措施项目费、其他项目费、规费和税金以及</w:t>
      </w:r>
      <w:r>
        <w:rPr>
          <w:rFonts w:hint="eastAsia" w:ascii="宋体" w:hAnsi="宋体" w:cs="宋体"/>
          <w:color w:val="auto"/>
          <w:kern w:val="0"/>
          <w:sz w:val="24"/>
          <w:szCs w:val="24"/>
          <w:highlight w:val="none"/>
          <w:u w:val="single"/>
        </w:rPr>
        <w:t xml:space="preserve">  / </w:t>
      </w:r>
      <w:r>
        <w:rPr>
          <w:rFonts w:hint="eastAsia" w:ascii="宋体" w:hAnsi="宋体" w:cs="宋体"/>
          <w:color w:val="auto"/>
          <w:kern w:val="0"/>
          <w:sz w:val="24"/>
          <w:szCs w:val="24"/>
          <w:highlight w:val="none"/>
        </w:rPr>
        <w:t>等计算的合同价。结算时发包人依据中华人民共和国国家标准</w:t>
      </w:r>
      <w:r>
        <w:rPr>
          <w:rFonts w:hint="eastAsia" w:ascii="宋体" w:hAnsi="宋体" w:cs="宋体"/>
          <w:color w:val="auto"/>
          <w:kern w:val="0"/>
          <w:sz w:val="24"/>
          <w:szCs w:val="24"/>
          <w:highlight w:val="none"/>
          <w:u w:val="single"/>
        </w:rPr>
        <w:t xml:space="preserve">  </w:t>
      </w:r>
      <w:r>
        <w:rPr>
          <w:rFonts w:hint="eastAsia" w:ascii="宋体" w:hAnsi="宋体" w:cs="宋体"/>
          <w:color w:val="auto"/>
          <w:sz w:val="24"/>
          <w:szCs w:val="24"/>
          <w:highlight w:val="none"/>
          <w:u w:val="single"/>
        </w:rPr>
        <w:t>《建设工程工程量清单计价规范》（ GBGB50500-2013）</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和</w:t>
      </w:r>
      <w:r>
        <w:rPr>
          <w:rFonts w:hint="eastAsia" w:ascii="宋体" w:hAnsi="宋体" w:cs="宋体"/>
          <w:color w:val="auto"/>
          <w:kern w:val="0"/>
          <w:sz w:val="24"/>
          <w:szCs w:val="24"/>
          <w:highlight w:val="none"/>
          <w:u w:val="single"/>
        </w:rPr>
        <w:t xml:space="preserve"> </w:t>
      </w:r>
      <w:r>
        <w:rPr>
          <w:rFonts w:hint="eastAsia" w:ascii="宋体" w:hAnsi="宋体" w:cs="宋体"/>
          <w:color w:val="auto"/>
          <w:sz w:val="24"/>
          <w:szCs w:val="24"/>
          <w:highlight w:val="none"/>
          <w:u w:val="single"/>
        </w:rPr>
        <w:t xml:space="preserve">广东省建设工程计价依据 </w:t>
      </w:r>
      <w:r>
        <w:rPr>
          <w:rFonts w:hint="eastAsia" w:ascii="宋体" w:hAnsi="宋体" w:cs="宋体"/>
          <w:color w:val="auto"/>
          <w:kern w:val="0"/>
          <w:sz w:val="24"/>
          <w:szCs w:val="24"/>
          <w:highlight w:val="none"/>
        </w:rPr>
        <w:t>计价办法，以及图纸、</w:t>
      </w:r>
      <w:r>
        <w:rPr>
          <w:rFonts w:hint="eastAsia" w:ascii="宋体" w:hAnsi="宋体" w:cs="宋体"/>
          <w:color w:val="auto"/>
          <w:kern w:val="0"/>
          <w:sz w:val="24"/>
          <w:szCs w:val="24"/>
          <w:highlight w:val="none"/>
          <w:u w:val="single"/>
        </w:rPr>
        <w:t xml:space="preserve"> /  </w:t>
      </w:r>
      <w:r>
        <w:rPr>
          <w:rFonts w:hint="eastAsia" w:ascii="宋体" w:hAnsi="宋体" w:cs="宋体"/>
          <w:color w:val="auto"/>
          <w:kern w:val="0"/>
          <w:sz w:val="24"/>
          <w:szCs w:val="24"/>
          <w:highlight w:val="none"/>
        </w:rPr>
        <w:t>等规定计量确认的实际工程量乘以中标的综合单价，再加上措施项目费、其他项目费、规费、税金以及</w:t>
      </w:r>
      <w:r>
        <w:rPr>
          <w:rFonts w:hint="eastAsia" w:ascii="宋体" w:hAnsi="宋体" w:cs="宋体"/>
          <w:color w:val="auto"/>
          <w:kern w:val="0"/>
          <w:sz w:val="24"/>
          <w:szCs w:val="24"/>
          <w:highlight w:val="none"/>
          <w:u w:val="single"/>
        </w:rPr>
        <w:t xml:space="preserve">  / </w:t>
      </w:r>
      <w:r>
        <w:rPr>
          <w:rFonts w:hint="eastAsia" w:ascii="宋体" w:hAnsi="宋体" w:cs="宋体"/>
          <w:color w:val="auto"/>
          <w:kern w:val="0"/>
          <w:sz w:val="24"/>
          <w:szCs w:val="24"/>
          <w:highlight w:val="none"/>
        </w:rPr>
        <w:t>等计算的结算造价。</w:t>
      </w:r>
    </w:p>
    <w:p>
      <w:pPr>
        <w:shd w:val="clear" w:color="000000" w:fill="auto"/>
        <w:spacing w:line="360" w:lineRule="auto"/>
        <w:ind w:firstLine="849" w:firstLineChars="354"/>
        <w:jc w:val="left"/>
        <w:rPr>
          <w:rFonts w:ascii="宋体" w:hAnsi="宋体" w:cs="宋体"/>
          <w:color w:val="auto"/>
          <w:sz w:val="24"/>
          <w:szCs w:val="24"/>
          <w:highlight w:val="none"/>
          <w:u w:val="single"/>
        </w:rPr>
      </w:pPr>
      <w:r>
        <w:rPr>
          <w:rFonts w:hint="eastAsia" w:ascii="宋体" w:hAnsi="宋体" w:cs="宋体"/>
          <w:color w:val="auto"/>
          <w:kern w:val="0"/>
          <w:sz w:val="24"/>
          <w:szCs w:val="24"/>
          <w:highlight w:val="none"/>
        </w:rPr>
        <w:t>综合单价包含的风险范围：</w:t>
      </w:r>
      <w:r>
        <w:rPr>
          <w:rFonts w:hint="eastAsia" w:ascii="宋体" w:hAnsi="宋体" w:cs="宋体"/>
          <w:color w:val="auto"/>
          <w:kern w:val="0"/>
          <w:sz w:val="24"/>
          <w:szCs w:val="24"/>
          <w:highlight w:val="none"/>
          <w:u w:val="single"/>
        </w:rPr>
        <w:t xml:space="preserve">    /  </w:t>
      </w:r>
      <w:r>
        <w:rPr>
          <w:rFonts w:hint="eastAsia" w:ascii="宋体" w:hAnsi="宋体" w:cs="宋体"/>
          <w:color w:val="auto"/>
          <w:kern w:val="0"/>
          <w:sz w:val="24"/>
          <w:szCs w:val="24"/>
          <w:highlight w:val="none"/>
        </w:rPr>
        <w:t>。</w:t>
      </w:r>
    </w:p>
    <w:p>
      <w:pPr>
        <w:shd w:val="clear" w:color="000000" w:fill="auto"/>
        <w:spacing w:line="360" w:lineRule="auto"/>
        <w:ind w:firstLine="849" w:firstLineChars="354"/>
        <w:jc w:val="left"/>
        <w:rPr>
          <w:rFonts w:ascii="宋体" w:hAnsi="宋体" w:cs="宋体"/>
          <w:color w:val="auto"/>
          <w:sz w:val="24"/>
          <w:szCs w:val="24"/>
          <w:highlight w:val="none"/>
          <w:u w:val="single"/>
        </w:rPr>
      </w:pPr>
      <w:r>
        <w:rPr>
          <w:rFonts w:hint="eastAsia" w:ascii="宋体" w:hAnsi="宋体" w:cs="宋体"/>
          <w:color w:val="auto"/>
          <w:kern w:val="0"/>
          <w:sz w:val="24"/>
          <w:szCs w:val="24"/>
          <w:highlight w:val="none"/>
        </w:rPr>
        <w:t>风险费用的计算方法：</w:t>
      </w:r>
      <w:r>
        <w:rPr>
          <w:rFonts w:hint="eastAsia" w:ascii="宋体" w:hAnsi="宋体" w:cs="宋体"/>
          <w:color w:val="auto"/>
          <w:kern w:val="0"/>
          <w:sz w:val="24"/>
          <w:szCs w:val="24"/>
          <w:highlight w:val="none"/>
          <w:u w:val="single"/>
        </w:rPr>
        <w:t xml:space="preserve">   / </w:t>
      </w:r>
      <w:r>
        <w:rPr>
          <w:rFonts w:hint="eastAsia" w:ascii="宋体" w:hAnsi="宋体" w:cs="宋体"/>
          <w:color w:val="auto"/>
          <w:kern w:val="0"/>
          <w:sz w:val="24"/>
          <w:szCs w:val="24"/>
          <w:highlight w:val="none"/>
        </w:rPr>
        <w:t>。</w:t>
      </w:r>
    </w:p>
    <w:p>
      <w:pPr>
        <w:shd w:val="clear" w:color="000000" w:fill="auto"/>
        <w:spacing w:line="360" w:lineRule="auto"/>
        <w:ind w:firstLine="849" w:firstLineChars="354"/>
        <w:jc w:val="left"/>
        <w:rPr>
          <w:rFonts w:ascii="宋体" w:hAnsi="宋体" w:cs="宋体"/>
          <w:color w:val="auto"/>
          <w:sz w:val="24"/>
          <w:szCs w:val="24"/>
          <w:highlight w:val="none"/>
        </w:rPr>
      </w:pPr>
      <w:r>
        <w:rPr>
          <w:rFonts w:hint="eastAsia" w:ascii="宋体" w:hAnsi="宋体" w:cs="宋体"/>
          <w:color w:val="auto"/>
          <w:kern w:val="0"/>
          <w:sz w:val="24"/>
          <w:szCs w:val="24"/>
          <w:highlight w:val="none"/>
        </w:rPr>
        <w:t>风险范围以外合同价格的调整方法：</w:t>
      </w:r>
      <w:r>
        <w:rPr>
          <w:rFonts w:hint="eastAsia" w:ascii="宋体" w:hAnsi="宋体" w:cs="宋体"/>
          <w:color w:val="auto"/>
          <w:sz w:val="24"/>
          <w:szCs w:val="24"/>
          <w:highlight w:val="none"/>
          <w:u w:val="single"/>
        </w:rPr>
        <w:t xml:space="preserve"> /  </w:t>
      </w:r>
      <w:r>
        <w:rPr>
          <w:rFonts w:hint="eastAsia" w:ascii="宋体" w:hAnsi="宋体" w:cs="宋体"/>
          <w:color w:val="auto"/>
          <w:sz w:val="24"/>
          <w:szCs w:val="24"/>
          <w:highlight w:val="none"/>
        </w:rPr>
        <w:t xml:space="preserve">。 </w:t>
      </w:r>
    </w:p>
    <w:p>
      <w:pPr>
        <w:shd w:val="clear" w:color="000000" w:fill="auto"/>
        <w:spacing w:line="360" w:lineRule="auto"/>
        <w:ind w:left="239" w:leftChars="114"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在项目实施期间，招标文件工程量清单漏项的项目、设计变更的项目，经发包人审批确认后，按下列办法进行工程量及综合单价的计算：工程量依据国家标准</w:t>
      </w:r>
      <w:r>
        <w:rPr>
          <w:rFonts w:hint="eastAsia" w:ascii="宋体" w:hAnsi="宋体" w:cs="宋体"/>
          <w:color w:val="auto"/>
          <w:kern w:val="0"/>
          <w:sz w:val="24"/>
          <w:szCs w:val="24"/>
          <w:highlight w:val="none"/>
          <w:u w:val="single"/>
        </w:rPr>
        <w:t xml:space="preserve"> </w:t>
      </w:r>
      <w:r>
        <w:rPr>
          <w:rFonts w:hint="eastAsia" w:ascii="宋体" w:hAnsi="宋体" w:cs="宋体"/>
          <w:color w:val="auto"/>
          <w:sz w:val="24"/>
          <w:szCs w:val="24"/>
          <w:highlight w:val="none"/>
          <w:u w:val="single"/>
        </w:rPr>
        <w:t xml:space="preserve">《建设工程工程量清单计价规范》（ GBGB50500-2013） </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以及</w:t>
      </w:r>
      <w:r>
        <w:rPr>
          <w:rFonts w:hint="eastAsia" w:ascii="宋体" w:hAnsi="宋体" w:cs="宋体"/>
          <w:color w:val="auto"/>
          <w:kern w:val="0"/>
          <w:sz w:val="24"/>
          <w:szCs w:val="24"/>
          <w:highlight w:val="none"/>
          <w:u w:val="single"/>
        </w:rPr>
        <w:t xml:space="preserve"> </w:t>
      </w:r>
      <w:r>
        <w:rPr>
          <w:rFonts w:hint="eastAsia" w:ascii="宋体" w:hAnsi="宋体" w:cs="宋体"/>
          <w:color w:val="auto"/>
          <w:sz w:val="24"/>
          <w:szCs w:val="24"/>
          <w:highlight w:val="none"/>
          <w:u w:val="single"/>
        </w:rPr>
        <w:t>广东省建设工程计价依据</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计价办法，以及图纸、</w:t>
      </w:r>
      <w:r>
        <w:rPr>
          <w:rFonts w:hint="eastAsia" w:ascii="宋体" w:hAnsi="宋体" w:cs="宋体"/>
          <w:color w:val="auto"/>
          <w:kern w:val="0"/>
          <w:sz w:val="24"/>
          <w:szCs w:val="24"/>
          <w:highlight w:val="none"/>
          <w:u w:val="single"/>
        </w:rPr>
        <w:t xml:space="preserve">  / </w:t>
      </w:r>
      <w:r>
        <w:rPr>
          <w:rFonts w:hint="eastAsia" w:ascii="宋体" w:hAnsi="宋体" w:cs="宋体"/>
          <w:color w:val="auto"/>
          <w:kern w:val="0"/>
          <w:sz w:val="24"/>
          <w:szCs w:val="24"/>
          <w:highlight w:val="none"/>
        </w:rPr>
        <w:t>等规定计量确认的实际工程量为准；综合单价计算方法为：</w:t>
      </w:r>
    </w:p>
    <w:p>
      <w:pPr>
        <w:shd w:val="clear" w:color="000000" w:fill="auto"/>
        <w:spacing w:line="360" w:lineRule="auto"/>
        <w:ind w:left="239" w:leftChars="114"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1、中标的工程量清单中已有相同项目的综合单价，则沿用该综合单价。</w:t>
      </w:r>
    </w:p>
    <w:p>
      <w:pPr>
        <w:shd w:val="clear" w:color="000000" w:fill="auto"/>
        <w:spacing w:line="360" w:lineRule="auto"/>
        <w:ind w:left="239" w:leftChars="114"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中标的工程量清单中的项目与清单漏项的项目、设计变更的项目，两者只存在项目中材料费最高的材料的材质、型号、规格不同时，则新的综合单价只换算原清单项目综合单价中材料费最高的材料单价，其它不变。</w:t>
      </w:r>
    </w:p>
    <w:p>
      <w:pPr>
        <w:shd w:val="clear" w:color="000000" w:fill="auto"/>
        <w:spacing w:line="360" w:lineRule="auto"/>
        <w:ind w:left="239" w:leftChars="114"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3、中标的工程量清单中没有相同项目的，则作为新增项目，采用定额计价办法，依据广东省计价依据、广东省相关定额和广州市补充定额，以及所有定额对应的计价办法进行计价，工程量按</w:t>
      </w:r>
      <w:r>
        <w:rPr>
          <w:rFonts w:hint="eastAsia" w:ascii="宋体" w:hAnsi="宋体" w:cs="宋体"/>
          <w:color w:val="auto"/>
          <w:kern w:val="0"/>
          <w:sz w:val="24"/>
          <w:szCs w:val="24"/>
          <w:highlight w:val="none"/>
          <w:u w:val="single"/>
        </w:rPr>
        <w:t xml:space="preserve"> </w:t>
      </w:r>
      <w:r>
        <w:rPr>
          <w:rFonts w:hint="eastAsia" w:ascii="宋体" w:hAnsi="宋体" w:cs="宋体"/>
          <w:color w:val="auto"/>
          <w:sz w:val="24"/>
          <w:szCs w:val="24"/>
          <w:highlight w:val="none"/>
          <w:u w:val="single"/>
        </w:rPr>
        <w:t>《建设工程工程量清单计价规范》（</w:t>
      </w:r>
      <w:r>
        <w:rPr>
          <w:rFonts w:hint="eastAsia" w:ascii="宋体" w:hAnsi="宋体" w:cs="宋体"/>
          <w:color w:val="auto"/>
          <w:kern w:val="0"/>
          <w:sz w:val="24"/>
          <w:szCs w:val="24"/>
          <w:highlight w:val="none"/>
          <w:u w:val="single"/>
        </w:rPr>
        <w:t xml:space="preserve"> </w:t>
      </w:r>
      <w:r>
        <w:rPr>
          <w:rFonts w:hint="eastAsia" w:ascii="宋体" w:hAnsi="宋体" w:cs="宋体"/>
          <w:color w:val="auto"/>
          <w:sz w:val="24"/>
          <w:szCs w:val="24"/>
          <w:highlight w:val="none"/>
          <w:u w:val="single"/>
        </w:rPr>
        <w:t>GBGB50500-2013）</w:t>
      </w:r>
      <w:r>
        <w:rPr>
          <w:rFonts w:hint="eastAsia" w:ascii="宋体" w:hAnsi="宋体" w:cs="宋体"/>
          <w:color w:val="auto"/>
          <w:kern w:val="0"/>
          <w:sz w:val="24"/>
          <w:szCs w:val="24"/>
          <w:highlight w:val="none"/>
        </w:rPr>
        <w:t>以及</w:t>
      </w:r>
      <w:r>
        <w:rPr>
          <w:rFonts w:hint="eastAsia" w:ascii="宋体" w:hAnsi="宋体" w:cs="宋体"/>
          <w:color w:val="auto"/>
          <w:sz w:val="24"/>
          <w:szCs w:val="24"/>
          <w:highlight w:val="none"/>
          <w:u w:val="single"/>
        </w:rPr>
        <w:t>广东省建设工程计价依据</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计价方法计算，其中的人工、材料、机械台班价格按实际施工期间建设行政主管部门发布的</w:t>
      </w:r>
      <w:r>
        <w:rPr>
          <w:rFonts w:hint="eastAsia" w:ascii="宋体" w:hAnsi="宋体" w:cs="宋体"/>
          <w:color w:val="auto"/>
          <w:kern w:val="0"/>
          <w:sz w:val="24"/>
          <w:szCs w:val="24"/>
          <w:highlight w:val="none"/>
          <w:u w:val="single"/>
        </w:rPr>
        <w:t xml:space="preserve">《广州地区建设工程常用材料综合价格》   </w:t>
      </w:r>
      <w:r>
        <w:rPr>
          <w:rFonts w:hint="eastAsia" w:ascii="宋体" w:hAnsi="宋体" w:cs="宋体"/>
          <w:color w:val="auto"/>
          <w:kern w:val="0"/>
          <w:sz w:val="24"/>
          <w:szCs w:val="24"/>
          <w:highlight w:val="none"/>
        </w:rPr>
        <w:t>规定执行，建设行政主管部门没有发布的某些内容、品种由发包人和承包人约定按</w:t>
      </w:r>
      <w:r>
        <w:rPr>
          <w:rFonts w:hint="eastAsia" w:ascii="宋体" w:hAnsi="宋体" w:cs="宋体"/>
          <w:color w:val="auto"/>
          <w:kern w:val="0"/>
          <w:sz w:val="24"/>
          <w:szCs w:val="24"/>
          <w:highlight w:val="none"/>
          <w:u w:val="single"/>
        </w:rPr>
        <w:t xml:space="preserve"> 由承包人提供价格依据，监理及发包人询价后，三方协商并签字确认后确定 </w:t>
      </w:r>
      <w:r>
        <w:rPr>
          <w:rFonts w:hint="eastAsia" w:ascii="宋体" w:hAnsi="宋体" w:cs="宋体"/>
          <w:color w:val="auto"/>
          <w:kern w:val="0"/>
          <w:sz w:val="24"/>
          <w:szCs w:val="24"/>
          <w:highlight w:val="none"/>
        </w:rPr>
        <w:t>计算；或由发包人和承包人约定人工、材料、机械台班价格根据建设标准要求按</w:t>
      </w:r>
      <w:r>
        <w:rPr>
          <w:rFonts w:hint="eastAsia" w:ascii="宋体" w:hAnsi="宋体" w:cs="宋体"/>
          <w:color w:val="auto"/>
          <w:kern w:val="0"/>
          <w:sz w:val="24"/>
          <w:szCs w:val="24"/>
          <w:highlight w:val="none"/>
          <w:u w:val="single"/>
        </w:rPr>
        <w:t xml:space="preserve">  /  </w:t>
      </w:r>
      <w:r>
        <w:rPr>
          <w:rFonts w:hint="eastAsia" w:ascii="宋体" w:hAnsi="宋体" w:cs="宋体"/>
          <w:color w:val="auto"/>
          <w:kern w:val="0"/>
          <w:sz w:val="24"/>
          <w:szCs w:val="24"/>
          <w:highlight w:val="none"/>
        </w:rPr>
        <w:t>计算。若个别项目没有定额可套用，由发包人和承包人根据实际情况签订补充合同或协议作出约定；若项目实施期间定额更新，建设行政主管部门对新旧定额的使用办法有规定的从其规定，没有规定或规定不明确的，由发包人和承包人根据实际情况签订补充合同或协议作出约定。</w:t>
      </w:r>
    </w:p>
    <w:p>
      <w:pPr>
        <w:shd w:val="clear" w:color="000000" w:fill="auto"/>
        <w:spacing w:line="360" w:lineRule="auto"/>
        <w:ind w:left="238" w:leftChars="86" w:hanging="57" w:hangingChars="24"/>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中标的投标报价相对于招标文件工程量清单有漏项或未填报综合单价项目，此项目的费用</w:t>
      </w:r>
      <w:r>
        <w:rPr>
          <w:rFonts w:hint="eastAsia" w:ascii="宋体" w:hAnsi="宋体" w:cs="宋体"/>
          <w:color w:val="auto"/>
          <w:kern w:val="0"/>
          <w:sz w:val="24"/>
          <w:szCs w:val="24"/>
          <w:highlight w:val="none"/>
          <w:u w:val="single"/>
        </w:rPr>
        <w:t xml:space="preserve"> 视为已包括在中标的投标报价的其他单价和合价中  </w:t>
      </w:r>
      <w:r>
        <w:rPr>
          <w:rFonts w:hint="eastAsia" w:ascii="宋体" w:hAnsi="宋体" w:cs="宋体"/>
          <w:color w:val="auto"/>
          <w:kern w:val="0"/>
          <w:sz w:val="24"/>
          <w:szCs w:val="24"/>
          <w:highlight w:val="none"/>
        </w:rPr>
        <w:t>。</w:t>
      </w:r>
    </w:p>
    <w:p>
      <w:pPr>
        <w:shd w:val="clear" w:color="000000" w:fill="auto"/>
        <w:spacing w:line="360" w:lineRule="auto"/>
        <w:ind w:left="239" w:leftChars="114" w:firstLine="360" w:firstLineChars="150"/>
        <w:jc w:val="left"/>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招标文件工程量清单中的项目在实际施工中没有做的项目，此项目的费用</w:t>
      </w:r>
      <w:r>
        <w:rPr>
          <w:rFonts w:hint="eastAsia" w:ascii="宋体" w:hAnsi="宋体" w:cs="宋体"/>
          <w:color w:val="auto"/>
          <w:kern w:val="0"/>
          <w:sz w:val="24"/>
          <w:szCs w:val="24"/>
          <w:highlight w:val="none"/>
          <w:u w:val="single"/>
        </w:rPr>
        <w:t xml:space="preserve"> 应扣除不予支付  </w:t>
      </w:r>
      <w:r>
        <w:rPr>
          <w:rFonts w:hint="eastAsia" w:ascii="宋体" w:hAnsi="宋体" w:cs="宋体"/>
          <w:color w:val="auto"/>
          <w:kern w:val="0"/>
          <w:sz w:val="24"/>
          <w:szCs w:val="24"/>
          <w:highlight w:val="none"/>
        </w:rPr>
        <w:t>。</w:t>
      </w:r>
    </w:p>
    <w:p>
      <w:pPr>
        <w:shd w:val="clear" w:color="000000" w:fill="auto"/>
        <w:spacing w:line="360" w:lineRule="auto"/>
        <w:ind w:left="239" w:leftChars="114" w:firstLine="360" w:firstLineChars="15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措施项目费、其他项目费的调整：</w:t>
      </w:r>
    </w:p>
    <w:p>
      <w:pPr>
        <w:shd w:val="clear" w:color="000000" w:fill="auto"/>
        <w:spacing w:line="360" w:lineRule="auto"/>
        <w:ind w:left="239" w:leftChars="114" w:firstLine="360" w:firstLineChars="15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□按通用条款规定的调整事件内容调整；</w:t>
      </w:r>
    </w:p>
    <w:p>
      <w:pPr>
        <w:shd w:val="clear" w:color="000000" w:fill="auto"/>
        <w:spacing w:line="360" w:lineRule="auto"/>
        <w:ind w:left="239" w:leftChars="114" w:firstLine="360" w:firstLineChars="15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□按广东省定额规定计算；</w:t>
      </w:r>
    </w:p>
    <w:p>
      <w:pPr>
        <w:shd w:val="clear" w:color="000000" w:fill="auto"/>
        <w:spacing w:line="360" w:lineRule="auto"/>
        <w:ind w:left="239" w:leftChars="114" w:firstLine="360" w:firstLineChars="150"/>
        <w:jc w:val="left"/>
        <w:rPr>
          <w:rFonts w:ascii="宋体" w:hAnsi="宋体" w:cs="宋体"/>
          <w:color w:val="auto"/>
          <w:kern w:val="0"/>
          <w:sz w:val="24"/>
          <w:szCs w:val="24"/>
          <w:highlight w:val="none"/>
          <w:u w:val="single"/>
        </w:rPr>
      </w:pPr>
      <w:r>
        <w:rPr>
          <w:rFonts w:hint="eastAsia" w:ascii="黑体" w:hAnsi="黑体" w:eastAsia="黑体" w:cs="黑体"/>
          <w:color w:val="auto"/>
          <w:kern w:val="0"/>
          <w:sz w:val="24"/>
          <w:szCs w:val="24"/>
          <w:highlight w:val="none"/>
        </w:rPr>
        <w:t>■</w:t>
      </w:r>
      <w:r>
        <w:rPr>
          <w:rFonts w:hint="eastAsia" w:ascii="宋体" w:hAnsi="宋体" w:cs="宋体"/>
          <w:color w:val="auto"/>
          <w:kern w:val="0"/>
          <w:sz w:val="24"/>
          <w:szCs w:val="24"/>
          <w:highlight w:val="none"/>
        </w:rPr>
        <w:t>由发包人和承包人根据实际情况约定按</w:t>
      </w:r>
      <w:r>
        <w:rPr>
          <w:rFonts w:hint="eastAsia" w:ascii="宋体" w:hAnsi="宋体" w:cs="宋体"/>
          <w:color w:val="auto"/>
          <w:kern w:val="0"/>
          <w:sz w:val="24"/>
          <w:szCs w:val="24"/>
          <w:highlight w:val="none"/>
          <w:u w:val="single"/>
        </w:rPr>
        <w:t xml:space="preserve"> 按</w:t>
      </w:r>
      <w:r>
        <w:rPr>
          <w:rFonts w:hint="eastAsia" w:ascii="宋体" w:hAnsi="宋体" w:cs="宋体"/>
          <w:color w:val="auto"/>
          <w:sz w:val="24"/>
          <w:szCs w:val="24"/>
          <w:highlight w:val="none"/>
          <w:u w:val="single"/>
        </w:rPr>
        <w:t>广东省建设工程计价依据及专用合同条款相关规定计算</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调整。</w:t>
      </w:r>
    </w:p>
    <w:p>
      <w:pPr>
        <w:shd w:val="clear" w:color="000000" w:fill="auto"/>
        <w:spacing w:line="360" w:lineRule="auto"/>
        <w:ind w:firstLine="600" w:firstLineChars="25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其它调整内容：</w:t>
      </w:r>
      <w:r>
        <w:rPr>
          <w:rFonts w:hint="eastAsia" w:ascii="宋体" w:hAnsi="宋体" w:cs="宋体"/>
          <w:color w:val="auto"/>
          <w:kern w:val="0"/>
          <w:sz w:val="24"/>
          <w:szCs w:val="24"/>
          <w:highlight w:val="none"/>
          <w:u w:val="single"/>
        </w:rPr>
        <w:t xml:space="preserve">  /  </w:t>
      </w:r>
      <w:r>
        <w:rPr>
          <w:rFonts w:hint="eastAsia" w:ascii="宋体" w:hAnsi="宋体" w:cs="宋体"/>
          <w:color w:val="auto"/>
          <w:kern w:val="0"/>
          <w:sz w:val="24"/>
          <w:szCs w:val="24"/>
          <w:highlight w:val="none"/>
        </w:rPr>
        <w:t>。</w:t>
      </w:r>
    </w:p>
    <w:p>
      <w:pPr>
        <w:shd w:val="clear" w:color="000000" w:fill="auto"/>
        <w:spacing w:line="360" w:lineRule="auto"/>
        <w:ind w:firstLine="600" w:firstLineChars="25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本合同项目的结算造价确定方式：</w:t>
      </w:r>
      <w:r>
        <w:rPr>
          <w:rFonts w:hint="eastAsia" w:ascii="宋体" w:hAnsi="宋体" w:cs="宋体"/>
          <w:color w:val="auto"/>
          <w:kern w:val="0"/>
          <w:sz w:val="24"/>
          <w:szCs w:val="24"/>
          <w:highlight w:val="none"/>
          <w:u w:val="single"/>
        </w:rPr>
        <w:t xml:space="preserve">  经业主委托的第三方机构审核确定  </w:t>
      </w:r>
      <w:r>
        <w:rPr>
          <w:rFonts w:hint="eastAsia" w:ascii="宋体" w:hAnsi="宋体" w:cs="宋体"/>
          <w:color w:val="auto"/>
          <w:kern w:val="0"/>
          <w:sz w:val="24"/>
          <w:szCs w:val="24"/>
          <w:highlight w:val="none"/>
        </w:rPr>
        <w:t>。</w:t>
      </w:r>
    </w:p>
    <w:p>
      <w:pPr>
        <w:shd w:val="clear" w:color="000000" w:fill="auto"/>
        <w:spacing w:line="360" w:lineRule="auto"/>
        <w:ind w:firstLine="240" w:firstLineChars="1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按实结算合同。</w:t>
      </w:r>
    </w:p>
    <w:p>
      <w:pPr>
        <w:pStyle w:val="2"/>
        <w:shd w:val="clear" w:color="000000" w:fill="auto"/>
        <w:adjustRightInd w:val="0"/>
        <w:snapToGrid w:val="0"/>
        <w:spacing w:line="360" w:lineRule="auto"/>
        <w:ind w:left="178" w:leftChars="85" w:firstLine="477" w:firstLineChars="199"/>
        <w:jc w:val="left"/>
        <w:rPr>
          <w:rFonts w:hAnsi="宋体"/>
          <w:color w:val="auto"/>
          <w:kern w:val="0"/>
          <w:sz w:val="24"/>
          <w:szCs w:val="24"/>
          <w:highlight w:val="none"/>
        </w:rPr>
      </w:pPr>
      <w:r>
        <w:rPr>
          <w:rFonts w:hint="eastAsia" w:hAnsi="宋体"/>
          <w:color w:val="auto"/>
          <w:kern w:val="0"/>
          <w:sz w:val="24"/>
          <w:szCs w:val="24"/>
          <w:highlight w:val="none"/>
        </w:rPr>
        <w:t>本合同项目的工程承包价（暂定合同价）由承包人按发包人提供的图纸、勘察资料、工期、质量要求、保养期要求、</w:t>
      </w:r>
      <w:r>
        <w:rPr>
          <w:rFonts w:hint="eastAsia" w:hAnsi="宋体"/>
          <w:color w:val="auto"/>
          <w:kern w:val="0"/>
          <w:sz w:val="24"/>
          <w:szCs w:val="24"/>
          <w:highlight w:val="none"/>
          <w:u w:val="single"/>
        </w:rPr>
        <w:t xml:space="preserve">    </w:t>
      </w:r>
      <w:r>
        <w:rPr>
          <w:rFonts w:hAnsi="宋体"/>
          <w:color w:val="auto"/>
          <w:kern w:val="0"/>
          <w:sz w:val="24"/>
          <w:szCs w:val="24"/>
          <w:highlight w:val="none"/>
          <w:u w:val="single"/>
        </w:rPr>
        <w:t>/</w:t>
      </w:r>
      <w:r>
        <w:rPr>
          <w:rFonts w:hint="eastAsia" w:hAnsi="宋体"/>
          <w:color w:val="auto"/>
          <w:kern w:val="0"/>
          <w:sz w:val="24"/>
          <w:szCs w:val="24"/>
          <w:highlight w:val="none"/>
          <w:u w:val="single"/>
        </w:rPr>
        <w:t xml:space="preserve">     </w:t>
      </w:r>
      <w:r>
        <w:rPr>
          <w:rFonts w:hint="eastAsia" w:hAnsi="宋体"/>
          <w:color w:val="auto"/>
          <w:kern w:val="0"/>
          <w:sz w:val="24"/>
          <w:szCs w:val="24"/>
          <w:highlight w:val="none"/>
        </w:rPr>
        <w:t>等，结合施工现场实际情况制定的施工方案、施工组织设计，依据有关规范、规定，采用</w:t>
      </w:r>
      <w:r>
        <w:rPr>
          <w:rFonts w:hint="eastAsia" w:hAnsi="宋体"/>
          <w:color w:val="auto"/>
          <w:kern w:val="0"/>
          <w:sz w:val="24"/>
          <w:szCs w:val="24"/>
          <w:highlight w:val="none"/>
          <w:u w:val="single"/>
        </w:rPr>
        <w:t xml:space="preserve">          </w:t>
      </w:r>
      <w:r>
        <w:rPr>
          <w:rFonts w:hAnsi="宋体"/>
          <w:color w:val="auto"/>
          <w:kern w:val="0"/>
          <w:sz w:val="24"/>
          <w:szCs w:val="24"/>
          <w:highlight w:val="none"/>
          <w:u w:val="single"/>
        </w:rPr>
        <w:t>/</w:t>
      </w:r>
      <w:r>
        <w:rPr>
          <w:rFonts w:hint="eastAsia" w:hAnsi="宋体"/>
          <w:color w:val="auto"/>
          <w:kern w:val="0"/>
          <w:sz w:val="24"/>
          <w:szCs w:val="24"/>
          <w:highlight w:val="none"/>
          <w:u w:val="single"/>
        </w:rPr>
        <w:t xml:space="preserve">            </w:t>
      </w:r>
      <w:r>
        <w:rPr>
          <w:rFonts w:hint="eastAsia" w:hAnsi="宋体"/>
          <w:color w:val="auto"/>
          <w:kern w:val="0"/>
          <w:sz w:val="24"/>
          <w:szCs w:val="24"/>
          <w:highlight w:val="none"/>
        </w:rPr>
        <w:t>计价方法编制的预算价，经监理单位、建设管理单位、发包人、</w:t>
      </w:r>
      <w:r>
        <w:rPr>
          <w:rFonts w:hint="eastAsia" w:hAnsi="宋体"/>
          <w:color w:val="auto"/>
          <w:kern w:val="0"/>
          <w:sz w:val="24"/>
          <w:szCs w:val="24"/>
          <w:highlight w:val="none"/>
          <w:u w:val="single"/>
        </w:rPr>
        <w:t xml:space="preserve">     </w:t>
      </w:r>
      <w:r>
        <w:rPr>
          <w:rFonts w:hAnsi="宋体"/>
          <w:color w:val="auto"/>
          <w:kern w:val="0"/>
          <w:sz w:val="24"/>
          <w:szCs w:val="24"/>
          <w:highlight w:val="none"/>
          <w:u w:val="single"/>
        </w:rPr>
        <w:t>/</w:t>
      </w:r>
      <w:r>
        <w:rPr>
          <w:rFonts w:hint="eastAsia" w:hAnsi="宋体"/>
          <w:color w:val="auto"/>
          <w:kern w:val="0"/>
          <w:sz w:val="24"/>
          <w:szCs w:val="24"/>
          <w:highlight w:val="none"/>
          <w:u w:val="single"/>
        </w:rPr>
        <w:t xml:space="preserve">     </w:t>
      </w:r>
      <w:r>
        <w:rPr>
          <w:rFonts w:hint="eastAsia" w:hAnsi="宋体"/>
          <w:color w:val="auto"/>
          <w:kern w:val="0"/>
          <w:sz w:val="24"/>
          <w:szCs w:val="24"/>
          <w:highlight w:val="none"/>
        </w:rPr>
        <w:t>审核后，按审核价</w:t>
      </w:r>
      <w:r>
        <w:rPr>
          <w:rFonts w:hint="eastAsia" w:hAnsi="宋体"/>
          <w:color w:val="auto"/>
          <w:kern w:val="0"/>
          <w:sz w:val="24"/>
          <w:szCs w:val="24"/>
          <w:highlight w:val="none"/>
          <w:u w:val="single"/>
        </w:rPr>
        <w:t xml:space="preserve">    </w:t>
      </w:r>
      <w:r>
        <w:rPr>
          <w:rFonts w:hAnsi="宋体"/>
          <w:color w:val="auto"/>
          <w:kern w:val="0"/>
          <w:sz w:val="24"/>
          <w:szCs w:val="24"/>
          <w:highlight w:val="none"/>
          <w:u w:val="single"/>
        </w:rPr>
        <w:t>/</w:t>
      </w:r>
      <w:r>
        <w:rPr>
          <w:rFonts w:hint="eastAsia" w:hAnsi="宋体"/>
          <w:color w:val="auto"/>
          <w:kern w:val="0"/>
          <w:sz w:val="24"/>
          <w:szCs w:val="24"/>
          <w:highlight w:val="none"/>
          <w:u w:val="single"/>
        </w:rPr>
        <w:t xml:space="preserve">    </w:t>
      </w:r>
      <w:r>
        <w:rPr>
          <w:rFonts w:hint="eastAsia" w:hAnsi="宋体"/>
          <w:color w:val="auto"/>
          <w:kern w:val="0"/>
          <w:sz w:val="24"/>
          <w:szCs w:val="24"/>
          <w:highlight w:val="none"/>
        </w:rPr>
        <w:t>形成的承包价（暂定合同价）。</w:t>
      </w:r>
    </w:p>
    <w:p>
      <w:pPr>
        <w:pStyle w:val="2"/>
        <w:shd w:val="clear" w:color="000000" w:fill="auto"/>
        <w:adjustRightInd w:val="0"/>
        <w:snapToGrid w:val="0"/>
        <w:spacing w:line="360" w:lineRule="auto"/>
        <w:ind w:left="178" w:leftChars="85" w:firstLine="477" w:firstLineChars="199"/>
        <w:jc w:val="left"/>
        <w:rPr>
          <w:rFonts w:hAnsi="宋体"/>
          <w:color w:val="auto"/>
          <w:kern w:val="0"/>
          <w:sz w:val="24"/>
          <w:szCs w:val="24"/>
          <w:highlight w:val="none"/>
        </w:rPr>
      </w:pPr>
      <w:r>
        <w:rPr>
          <w:rFonts w:hint="eastAsia" w:hAnsi="宋体"/>
          <w:color w:val="auto"/>
          <w:kern w:val="0"/>
          <w:sz w:val="24"/>
          <w:szCs w:val="24"/>
          <w:highlight w:val="none"/>
        </w:rPr>
        <w:t>本合同项目结算时，项目的结算造价采用</w:t>
      </w:r>
      <w:r>
        <w:rPr>
          <w:rFonts w:hint="eastAsia" w:hAnsi="宋体"/>
          <w:color w:val="auto"/>
          <w:kern w:val="0"/>
          <w:sz w:val="24"/>
          <w:szCs w:val="24"/>
          <w:highlight w:val="none"/>
          <w:u w:val="single"/>
        </w:rPr>
        <w:t xml:space="preserve">         </w:t>
      </w:r>
      <w:r>
        <w:rPr>
          <w:rFonts w:hAnsi="宋体"/>
          <w:color w:val="auto"/>
          <w:kern w:val="0"/>
          <w:sz w:val="24"/>
          <w:szCs w:val="24"/>
          <w:highlight w:val="none"/>
          <w:u w:val="single"/>
        </w:rPr>
        <w:t>/</w:t>
      </w:r>
      <w:r>
        <w:rPr>
          <w:rFonts w:hint="eastAsia" w:hAnsi="宋体"/>
          <w:color w:val="auto"/>
          <w:kern w:val="0"/>
          <w:sz w:val="24"/>
          <w:szCs w:val="24"/>
          <w:highlight w:val="none"/>
          <w:u w:val="single"/>
        </w:rPr>
        <w:t xml:space="preserve">         </w:t>
      </w:r>
      <w:r>
        <w:rPr>
          <w:rFonts w:hint="eastAsia" w:hAnsi="宋体"/>
          <w:color w:val="auto"/>
          <w:kern w:val="0"/>
          <w:sz w:val="24"/>
          <w:szCs w:val="24"/>
          <w:highlight w:val="none"/>
        </w:rPr>
        <w:t>计价方法进行计价。并按照国家、省、市有关规范、规定以及计价办法、工程量计算规则执行，工程量按</w:t>
      </w:r>
      <w:r>
        <w:rPr>
          <w:rFonts w:hint="eastAsia" w:hAnsi="宋体"/>
          <w:color w:val="auto"/>
          <w:kern w:val="0"/>
          <w:sz w:val="24"/>
          <w:szCs w:val="24"/>
          <w:highlight w:val="none"/>
          <w:u w:val="single"/>
        </w:rPr>
        <w:t xml:space="preserve">        </w:t>
      </w:r>
      <w:r>
        <w:rPr>
          <w:rFonts w:hAnsi="宋体"/>
          <w:color w:val="auto"/>
          <w:kern w:val="0"/>
          <w:sz w:val="24"/>
          <w:szCs w:val="24"/>
          <w:highlight w:val="none"/>
          <w:u w:val="single"/>
        </w:rPr>
        <w:t>/</w:t>
      </w:r>
      <w:r>
        <w:rPr>
          <w:rFonts w:hint="eastAsia" w:hAnsi="宋体"/>
          <w:color w:val="auto"/>
          <w:kern w:val="0"/>
          <w:sz w:val="24"/>
          <w:szCs w:val="24"/>
          <w:highlight w:val="none"/>
          <w:u w:val="single"/>
        </w:rPr>
        <w:t xml:space="preserve">             </w:t>
      </w:r>
      <w:r>
        <w:rPr>
          <w:rFonts w:hint="eastAsia" w:hAnsi="宋体"/>
          <w:color w:val="auto"/>
          <w:kern w:val="0"/>
          <w:sz w:val="24"/>
          <w:szCs w:val="24"/>
          <w:highlight w:val="none"/>
        </w:rPr>
        <w:t>计价方法计算，其中的人工、材料、机械台班价格按实际施工期间建设行政主管部门发布的</w:t>
      </w:r>
      <w:r>
        <w:rPr>
          <w:rFonts w:hint="eastAsia" w:hAnsi="宋体"/>
          <w:color w:val="auto"/>
          <w:kern w:val="0"/>
          <w:sz w:val="24"/>
          <w:szCs w:val="24"/>
          <w:highlight w:val="none"/>
          <w:u w:val="single"/>
        </w:rPr>
        <w:t xml:space="preserve"> </w:t>
      </w:r>
      <w:r>
        <w:rPr>
          <w:rFonts w:hAnsi="宋体"/>
          <w:color w:val="auto"/>
          <w:kern w:val="0"/>
          <w:sz w:val="24"/>
          <w:szCs w:val="24"/>
          <w:highlight w:val="none"/>
          <w:u w:val="single"/>
        </w:rPr>
        <w:t>/</w:t>
      </w:r>
      <w:r>
        <w:rPr>
          <w:rFonts w:hint="eastAsia" w:hAnsi="宋体"/>
          <w:color w:val="auto"/>
          <w:kern w:val="0"/>
          <w:sz w:val="24"/>
          <w:szCs w:val="24"/>
          <w:highlight w:val="none"/>
          <w:u w:val="single"/>
        </w:rPr>
        <w:t xml:space="preserve">         </w:t>
      </w:r>
      <w:r>
        <w:rPr>
          <w:rFonts w:hint="eastAsia" w:hAnsi="宋体"/>
          <w:color w:val="auto"/>
          <w:kern w:val="0"/>
          <w:sz w:val="24"/>
          <w:szCs w:val="24"/>
          <w:highlight w:val="none"/>
        </w:rPr>
        <w:t>规定执行，建设行政主管部门没有发布的某些内容、品种由发包人和承包人约定按</w:t>
      </w:r>
      <w:r>
        <w:rPr>
          <w:rFonts w:hint="eastAsia" w:hAnsi="宋体"/>
          <w:color w:val="auto"/>
          <w:kern w:val="0"/>
          <w:sz w:val="24"/>
          <w:szCs w:val="24"/>
          <w:highlight w:val="none"/>
          <w:u w:val="single"/>
        </w:rPr>
        <w:t xml:space="preserve">       </w:t>
      </w:r>
      <w:r>
        <w:rPr>
          <w:rFonts w:hAnsi="宋体"/>
          <w:color w:val="auto"/>
          <w:kern w:val="0"/>
          <w:sz w:val="24"/>
          <w:szCs w:val="24"/>
          <w:highlight w:val="none"/>
          <w:u w:val="single"/>
        </w:rPr>
        <w:t>/</w:t>
      </w:r>
      <w:r>
        <w:rPr>
          <w:rFonts w:hint="eastAsia" w:hAnsi="宋体"/>
          <w:color w:val="auto"/>
          <w:kern w:val="0"/>
          <w:sz w:val="24"/>
          <w:szCs w:val="24"/>
          <w:highlight w:val="none"/>
          <w:u w:val="single"/>
        </w:rPr>
        <w:t xml:space="preserve">              </w:t>
      </w:r>
      <w:r>
        <w:rPr>
          <w:rFonts w:hint="eastAsia" w:hAnsi="宋体"/>
          <w:color w:val="auto"/>
          <w:kern w:val="0"/>
          <w:sz w:val="24"/>
          <w:szCs w:val="24"/>
          <w:highlight w:val="none"/>
        </w:rPr>
        <w:t>计算；或由发包人和承包人约定人工、材料、机械台班价格根据建设标准要求按</w:t>
      </w:r>
      <w:r>
        <w:rPr>
          <w:rFonts w:hint="eastAsia" w:hAnsi="宋体"/>
          <w:color w:val="auto"/>
          <w:kern w:val="0"/>
          <w:sz w:val="24"/>
          <w:szCs w:val="24"/>
          <w:highlight w:val="none"/>
          <w:u w:val="single"/>
        </w:rPr>
        <w:t xml:space="preserve">      </w:t>
      </w:r>
      <w:r>
        <w:rPr>
          <w:rFonts w:hAnsi="宋体"/>
          <w:color w:val="auto"/>
          <w:kern w:val="0"/>
          <w:sz w:val="24"/>
          <w:szCs w:val="24"/>
          <w:highlight w:val="none"/>
          <w:u w:val="single"/>
        </w:rPr>
        <w:t>/</w:t>
      </w:r>
      <w:r>
        <w:rPr>
          <w:rFonts w:hint="eastAsia" w:hAnsi="宋体"/>
          <w:color w:val="auto"/>
          <w:kern w:val="0"/>
          <w:sz w:val="24"/>
          <w:szCs w:val="24"/>
          <w:highlight w:val="none"/>
          <w:u w:val="single"/>
        </w:rPr>
        <w:t xml:space="preserve">                </w:t>
      </w:r>
      <w:r>
        <w:rPr>
          <w:rFonts w:hint="eastAsia" w:hAnsi="宋体"/>
          <w:color w:val="auto"/>
          <w:kern w:val="0"/>
          <w:sz w:val="24"/>
          <w:szCs w:val="24"/>
          <w:highlight w:val="none"/>
        </w:rPr>
        <w:t>计算。如采用定额计价的，造价的确定依据广东省计价依据、广东省相关定额、广州市补充定额，若个别项目没有定额可套用，由发包人和承包人根据实际情况签订补充合同或协议作出约定；若项目实施期间定额更新，建设行政主管部门对新旧定额的使用办法有规定的从其规定，没有规定或规定不明确的，由发包人和承包人根据实际情况签订补充合同或协议作出约定。</w:t>
      </w:r>
    </w:p>
    <w:p>
      <w:pPr>
        <w:pStyle w:val="2"/>
        <w:shd w:val="clear" w:color="000000" w:fill="auto"/>
        <w:adjustRightInd w:val="0"/>
        <w:snapToGrid w:val="0"/>
        <w:spacing w:line="360" w:lineRule="auto"/>
        <w:ind w:left="178" w:leftChars="85" w:firstLine="477" w:firstLineChars="199"/>
        <w:jc w:val="left"/>
        <w:rPr>
          <w:rFonts w:hAnsi="宋体"/>
          <w:color w:val="auto"/>
          <w:kern w:val="0"/>
          <w:sz w:val="24"/>
          <w:szCs w:val="24"/>
          <w:highlight w:val="none"/>
        </w:rPr>
      </w:pPr>
      <w:r>
        <w:rPr>
          <w:rFonts w:hint="eastAsia" w:hAnsi="宋体"/>
          <w:color w:val="auto"/>
          <w:kern w:val="0"/>
          <w:sz w:val="24"/>
          <w:szCs w:val="24"/>
          <w:highlight w:val="none"/>
        </w:rPr>
        <w:t>其它调整内：</w:t>
      </w:r>
      <w:r>
        <w:rPr>
          <w:rFonts w:hint="eastAsia" w:hAnsi="宋体"/>
          <w:color w:val="auto"/>
          <w:kern w:val="0"/>
          <w:sz w:val="24"/>
          <w:szCs w:val="24"/>
          <w:highlight w:val="none"/>
          <w:u w:val="single"/>
        </w:rPr>
        <w:t xml:space="preserve">                          </w:t>
      </w:r>
      <w:r>
        <w:rPr>
          <w:rFonts w:hAnsi="宋体"/>
          <w:color w:val="auto"/>
          <w:kern w:val="0"/>
          <w:sz w:val="24"/>
          <w:szCs w:val="24"/>
          <w:highlight w:val="none"/>
          <w:u w:val="single"/>
        </w:rPr>
        <w:t>/</w:t>
      </w:r>
      <w:r>
        <w:rPr>
          <w:rFonts w:hint="eastAsia" w:hAnsi="宋体"/>
          <w:color w:val="auto"/>
          <w:kern w:val="0"/>
          <w:sz w:val="24"/>
          <w:szCs w:val="24"/>
          <w:highlight w:val="none"/>
          <w:u w:val="single"/>
        </w:rPr>
        <w:t xml:space="preserve">                                 </w:t>
      </w:r>
      <w:r>
        <w:rPr>
          <w:rFonts w:hint="eastAsia" w:hAnsi="宋体"/>
          <w:color w:val="auto"/>
          <w:kern w:val="0"/>
          <w:sz w:val="24"/>
          <w:szCs w:val="24"/>
          <w:highlight w:val="none"/>
        </w:rPr>
        <w:t>。</w:t>
      </w:r>
    </w:p>
    <w:p>
      <w:pPr>
        <w:pStyle w:val="2"/>
        <w:shd w:val="clear" w:color="000000" w:fill="auto"/>
        <w:adjustRightInd w:val="0"/>
        <w:snapToGrid w:val="0"/>
        <w:spacing w:line="360" w:lineRule="auto"/>
        <w:ind w:left="178" w:leftChars="85" w:firstLine="477" w:firstLineChars="199"/>
        <w:jc w:val="left"/>
        <w:rPr>
          <w:rFonts w:hAnsi="宋体"/>
          <w:color w:val="auto"/>
          <w:kern w:val="0"/>
          <w:sz w:val="24"/>
          <w:szCs w:val="24"/>
          <w:highlight w:val="none"/>
        </w:rPr>
      </w:pPr>
      <w:r>
        <w:rPr>
          <w:rFonts w:hint="eastAsia" w:hAnsi="宋体"/>
          <w:color w:val="auto"/>
          <w:kern w:val="0"/>
          <w:sz w:val="24"/>
          <w:szCs w:val="24"/>
          <w:highlight w:val="none"/>
        </w:rPr>
        <w:t>本合同项目的结算造价确定方式：</w:t>
      </w:r>
      <w:r>
        <w:rPr>
          <w:rFonts w:hint="eastAsia" w:hAnsi="宋体"/>
          <w:color w:val="auto"/>
          <w:kern w:val="0"/>
          <w:sz w:val="24"/>
          <w:szCs w:val="24"/>
          <w:highlight w:val="none"/>
          <w:u w:val="single"/>
        </w:rPr>
        <w:t xml:space="preserve">             </w:t>
      </w:r>
      <w:r>
        <w:rPr>
          <w:rFonts w:hAnsi="宋体"/>
          <w:color w:val="auto"/>
          <w:kern w:val="0"/>
          <w:sz w:val="24"/>
          <w:szCs w:val="24"/>
          <w:highlight w:val="none"/>
          <w:u w:val="single"/>
        </w:rPr>
        <w:t>/</w:t>
      </w:r>
      <w:r>
        <w:rPr>
          <w:rFonts w:hint="eastAsia" w:hAnsi="宋体"/>
          <w:color w:val="auto"/>
          <w:kern w:val="0"/>
          <w:sz w:val="24"/>
          <w:szCs w:val="24"/>
          <w:highlight w:val="none"/>
          <w:u w:val="single"/>
        </w:rPr>
        <w:t xml:space="preserve">                            </w:t>
      </w:r>
      <w:r>
        <w:rPr>
          <w:rFonts w:hint="eastAsia" w:hAnsi="宋体"/>
          <w:color w:val="auto"/>
          <w:kern w:val="0"/>
          <w:sz w:val="24"/>
          <w:szCs w:val="24"/>
          <w:highlight w:val="none"/>
        </w:rPr>
        <w:t>。</w:t>
      </w:r>
    </w:p>
    <w:p>
      <w:pPr>
        <w:numPr>
          <w:ilvl w:val="0"/>
          <w:numId w:val="30"/>
        </w:numPr>
        <w:shd w:val="clear" w:color="000000" w:fill="auto"/>
        <w:spacing w:line="360" w:lineRule="auto"/>
        <w:jc w:val="left"/>
        <w:rPr>
          <w:rFonts w:ascii="宋体" w:hAnsi="宋体" w:cs="宋体"/>
          <w:color w:val="auto"/>
          <w:kern w:val="0"/>
          <w:sz w:val="24"/>
          <w:szCs w:val="24"/>
          <w:highlight w:val="none"/>
          <w:u w:val="single"/>
        </w:rPr>
      </w:pPr>
      <w:r>
        <w:rPr>
          <w:rFonts w:hint="eastAsia" w:ascii="宋体" w:hAnsi="宋体" w:cs="宋体"/>
          <w:color w:val="auto"/>
          <w:sz w:val="24"/>
          <w:szCs w:val="24"/>
          <w:highlight w:val="none"/>
        </w:rPr>
        <w:t>其它价格形式</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u w:val="single"/>
        </w:rPr>
        <w:t xml:space="preserve">                              </w:t>
      </w:r>
      <w:r>
        <w:rPr>
          <w:rFonts w:ascii="宋体" w:hAnsi="宋体" w:cs="宋体"/>
          <w:color w:val="auto"/>
          <w:kern w:val="0"/>
          <w:sz w:val="24"/>
          <w:szCs w:val="24"/>
          <w:highlight w:val="none"/>
          <w:u w:val="single"/>
        </w:rPr>
        <w:t>/</w:t>
      </w:r>
      <w:r>
        <w:rPr>
          <w:rFonts w:hint="eastAsia" w:ascii="宋体" w:hAnsi="宋体" w:cs="宋体"/>
          <w:color w:val="auto"/>
          <w:kern w:val="0"/>
          <w:sz w:val="24"/>
          <w:szCs w:val="24"/>
          <w:highlight w:val="none"/>
          <w:u w:val="single"/>
        </w:rPr>
        <w:t xml:space="preserve">                                </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68.3 合同价款的调整事件</w:t>
      </w:r>
    </w:p>
    <w:p>
      <w:pPr>
        <w:shd w:val="clear" w:color="000000" w:fill="auto"/>
        <w:spacing w:line="360" w:lineRule="auto"/>
        <w:ind w:firstLine="120" w:firstLineChars="5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w:t>
      </w:r>
      <w:r>
        <w:rPr>
          <w:rFonts w:hint="eastAsia" w:ascii="黑体" w:hAnsi="黑体" w:eastAsia="黑体" w:cs="黑体"/>
          <w:color w:val="auto"/>
          <w:kern w:val="0"/>
          <w:sz w:val="24"/>
          <w:szCs w:val="24"/>
          <w:highlight w:val="none"/>
        </w:rPr>
        <w:t>■</w:t>
      </w:r>
      <w:r>
        <w:rPr>
          <w:rFonts w:hint="eastAsia" w:ascii="宋体" w:hAnsi="宋体" w:cs="宋体"/>
          <w:color w:val="auto"/>
          <w:kern w:val="0"/>
          <w:sz w:val="24"/>
          <w:szCs w:val="24"/>
          <w:highlight w:val="none"/>
        </w:rPr>
        <w:t xml:space="preserve"> 按通用条款规定的调整事件。</w:t>
      </w:r>
    </w:p>
    <w:p>
      <w:pPr>
        <w:shd w:val="clear" w:color="000000" w:fill="auto"/>
        <w:spacing w:line="360" w:lineRule="auto"/>
        <w:ind w:firstLine="120" w:firstLineChars="5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 另作约定：</w:t>
      </w:r>
      <w:r>
        <w:rPr>
          <w:rFonts w:hint="eastAsia" w:ascii="宋体" w:hAnsi="宋体" w:cs="宋体"/>
          <w:color w:val="auto"/>
          <w:kern w:val="0"/>
          <w:sz w:val="24"/>
          <w:szCs w:val="24"/>
          <w:highlight w:val="none"/>
          <w:u w:val="single"/>
        </w:rPr>
        <w:t xml:space="preserve">                       /                                                     </w:t>
      </w:r>
      <w:r>
        <w:rPr>
          <w:rFonts w:hint="eastAsia" w:ascii="宋体" w:hAnsi="宋体" w:cs="宋体"/>
          <w:color w:val="auto"/>
          <w:kern w:val="0"/>
          <w:sz w:val="24"/>
          <w:szCs w:val="24"/>
          <w:highlight w:val="none"/>
        </w:rPr>
        <w:t xml:space="preserve">     </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68.3（9）调整合同价款的其他事件：</w:t>
      </w:r>
      <w:r>
        <w:rPr>
          <w:rFonts w:hint="eastAsia" w:ascii="宋体" w:hAnsi="宋体" w:cs="宋体"/>
          <w:color w:val="auto"/>
          <w:kern w:val="0"/>
          <w:sz w:val="24"/>
          <w:szCs w:val="24"/>
          <w:highlight w:val="none"/>
          <w:u w:val="single"/>
        </w:rPr>
        <w:t xml:space="preserve">   /   </w:t>
      </w:r>
      <w:r>
        <w:rPr>
          <w:rFonts w:hint="eastAsia" w:ascii="宋体" w:hAnsi="宋体" w:cs="宋体"/>
          <w:color w:val="auto"/>
          <w:kern w:val="0"/>
          <w:sz w:val="24"/>
          <w:szCs w:val="24"/>
          <w:highlight w:val="none"/>
        </w:rPr>
        <w:t xml:space="preserve">  </w:t>
      </w:r>
    </w:p>
    <w:p>
      <w:pPr>
        <w:pStyle w:val="4"/>
        <w:numPr>
          <w:ilvl w:val="0"/>
          <w:numId w:val="0"/>
        </w:numPr>
        <w:shd w:val="clear" w:color="000000" w:fill="auto"/>
        <w:tabs>
          <w:tab w:val="left" w:pos="420"/>
        </w:tabs>
        <w:spacing w:before="0" w:line="360" w:lineRule="auto"/>
        <w:rPr>
          <w:rFonts w:ascii="仿宋" w:hAnsi="仿宋" w:eastAsia="仿宋" w:cs="Times New Roman"/>
          <w:b/>
          <w:bCs/>
          <w:color w:val="auto"/>
          <w:sz w:val="24"/>
          <w:szCs w:val="24"/>
          <w:highlight w:val="none"/>
        </w:rPr>
      </w:pPr>
      <w:bookmarkStart w:id="612" w:name="_Toc30667"/>
      <w:bookmarkStart w:id="613" w:name="_Toc469384123"/>
      <w:bookmarkStart w:id="614" w:name="_Toc27203"/>
      <w:bookmarkStart w:id="615" w:name="_Toc10624967"/>
      <w:r>
        <w:rPr>
          <w:rFonts w:ascii="仿宋" w:hAnsi="仿宋" w:eastAsia="仿宋" w:cs="仿宋"/>
          <w:b/>
          <w:bCs/>
          <w:color w:val="auto"/>
          <w:sz w:val="24"/>
          <w:szCs w:val="24"/>
          <w:highlight w:val="none"/>
        </w:rPr>
        <w:t xml:space="preserve">72. </w:t>
      </w:r>
      <w:r>
        <w:rPr>
          <w:rFonts w:hint="eastAsia" w:ascii="仿宋" w:hAnsi="仿宋" w:eastAsia="仿宋" w:cs="仿宋"/>
          <w:b/>
          <w:bCs/>
          <w:color w:val="auto"/>
          <w:sz w:val="24"/>
          <w:szCs w:val="24"/>
          <w:highlight w:val="none"/>
        </w:rPr>
        <w:t>工程变更事件</w:t>
      </w:r>
      <w:bookmarkEnd w:id="612"/>
      <w:bookmarkEnd w:id="613"/>
      <w:bookmarkEnd w:id="614"/>
      <w:bookmarkEnd w:id="615"/>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72.4 调整承包人报价偏差的方法</w:t>
      </w:r>
    </w:p>
    <w:p>
      <w:pPr>
        <w:shd w:val="clear" w:color="000000" w:fill="auto"/>
        <w:spacing w:line="360" w:lineRule="auto"/>
        <w:ind w:firstLine="120" w:firstLineChars="5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 按通用条款的规定调整。</w:t>
      </w:r>
    </w:p>
    <w:p>
      <w:pPr>
        <w:shd w:val="clear" w:color="000000" w:fill="auto"/>
        <w:spacing w:line="360" w:lineRule="auto"/>
        <w:ind w:firstLine="120" w:firstLineChars="50"/>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 xml:space="preserve"> </w:t>
      </w:r>
      <w:r>
        <w:rPr>
          <w:rFonts w:hint="eastAsia" w:ascii="黑体" w:hAnsi="黑体" w:eastAsia="黑体" w:cs="黑体"/>
          <w:color w:val="auto"/>
          <w:kern w:val="0"/>
          <w:sz w:val="24"/>
          <w:szCs w:val="24"/>
          <w:highlight w:val="none"/>
        </w:rPr>
        <w:t>■</w:t>
      </w:r>
      <w:r>
        <w:rPr>
          <w:rFonts w:hint="eastAsia" w:ascii="宋体" w:hAnsi="宋体" w:cs="宋体"/>
          <w:color w:val="auto"/>
          <w:kern w:val="0"/>
          <w:sz w:val="24"/>
          <w:szCs w:val="24"/>
          <w:highlight w:val="none"/>
        </w:rPr>
        <w:t xml:space="preserve"> 按照下列方法调整：</w:t>
      </w:r>
      <w:r>
        <w:rPr>
          <w:rFonts w:hint="eastAsia" w:ascii="宋体" w:hAnsi="宋体" w:cs="宋体"/>
          <w:color w:val="auto"/>
          <w:kern w:val="0"/>
          <w:sz w:val="24"/>
          <w:szCs w:val="24"/>
          <w:highlight w:val="none"/>
          <w:u w:val="single"/>
        </w:rPr>
        <w:t xml:space="preserve">  按专用条款第68.2执行。  </w:t>
      </w:r>
    </w:p>
    <w:p>
      <w:pPr>
        <w:pStyle w:val="4"/>
        <w:numPr>
          <w:ilvl w:val="0"/>
          <w:numId w:val="0"/>
        </w:numPr>
        <w:shd w:val="clear" w:color="000000" w:fill="auto"/>
        <w:tabs>
          <w:tab w:val="left" w:pos="420"/>
        </w:tabs>
        <w:spacing w:before="0" w:line="360" w:lineRule="auto"/>
        <w:rPr>
          <w:rFonts w:ascii="仿宋" w:hAnsi="仿宋" w:eastAsia="仿宋" w:cs="Times New Roman"/>
          <w:b/>
          <w:bCs/>
          <w:color w:val="auto"/>
          <w:sz w:val="24"/>
          <w:szCs w:val="24"/>
          <w:highlight w:val="none"/>
        </w:rPr>
      </w:pPr>
      <w:bookmarkStart w:id="616" w:name="_Toc9230"/>
      <w:bookmarkStart w:id="617" w:name="_Toc10624968"/>
      <w:bookmarkStart w:id="618" w:name="_Toc469384124"/>
      <w:bookmarkStart w:id="619" w:name="_Toc25773"/>
      <w:r>
        <w:rPr>
          <w:rFonts w:ascii="仿宋" w:hAnsi="仿宋" w:eastAsia="仿宋" w:cs="仿宋"/>
          <w:b/>
          <w:bCs/>
          <w:color w:val="auto"/>
          <w:sz w:val="24"/>
          <w:szCs w:val="24"/>
          <w:highlight w:val="none"/>
        </w:rPr>
        <w:t xml:space="preserve">73. </w:t>
      </w:r>
      <w:r>
        <w:rPr>
          <w:rFonts w:hint="eastAsia" w:ascii="仿宋" w:hAnsi="仿宋" w:eastAsia="仿宋" w:cs="仿宋"/>
          <w:b/>
          <w:bCs/>
          <w:color w:val="auto"/>
          <w:sz w:val="24"/>
          <w:szCs w:val="24"/>
          <w:highlight w:val="none"/>
        </w:rPr>
        <w:t>工程量偏差事件</w:t>
      </w:r>
      <w:bookmarkEnd w:id="616"/>
      <w:bookmarkEnd w:id="617"/>
      <w:bookmarkEnd w:id="618"/>
      <w:bookmarkEnd w:id="619"/>
    </w:p>
    <w:p>
      <w:pPr>
        <w:shd w:val="clear" w:color="000000" w:fill="auto"/>
        <w:spacing w:line="360" w:lineRule="auto"/>
        <w:rPr>
          <w:rFonts w:ascii="宋体" w:hAnsi="宋体" w:cs="宋体"/>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宋体" w:hAnsi="宋体" w:cs="宋体"/>
          <w:color w:val="auto"/>
          <w:kern w:val="0"/>
          <w:sz w:val="24"/>
          <w:szCs w:val="24"/>
          <w:highlight w:val="none"/>
        </w:rPr>
        <w:t xml:space="preserve">  73.2 调整分部分项工程费的方法</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调整结算分部分项工程费：</w:t>
      </w:r>
    </w:p>
    <w:p>
      <w:pPr>
        <w:shd w:val="clear" w:color="000000" w:fill="auto"/>
        <w:spacing w:line="360" w:lineRule="auto"/>
        <w:ind w:firstLine="120" w:firstLineChars="5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 按通用条款的规定调整。</w:t>
      </w:r>
    </w:p>
    <w:p>
      <w:pPr>
        <w:shd w:val="clear" w:color="000000" w:fill="auto"/>
        <w:spacing w:line="360" w:lineRule="auto"/>
        <w:ind w:firstLine="120" w:firstLineChars="50"/>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 xml:space="preserve"> </w:t>
      </w:r>
      <w:r>
        <w:rPr>
          <w:rFonts w:hint="eastAsia" w:ascii="黑体" w:hAnsi="黑体" w:eastAsia="黑体" w:cs="黑体"/>
          <w:color w:val="auto"/>
          <w:kern w:val="0"/>
          <w:sz w:val="24"/>
          <w:szCs w:val="24"/>
          <w:highlight w:val="none"/>
        </w:rPr>
        <w:t>■</w:t>
      </w:r>
      <w:r>
        <w:rPr>
          <w:rFonts w:hint="eastAsia" w:ascii="宋体" w:hAnsi="宋体" w:cs="宋体"/>
          <w:color w:val="auto"/>
          <w:kern w:val="0"/>
          <w:sz w:val="24"/>
          <w:szCs w:val="24"/>
          <w:highlight w:val="none"/>
        </w:rPr>
        <w:t xml:space="preserve"> 按照下列方法调整：</w:t>
      </w:r>
      <w:r>
        <w:rPr>
          <w:rFonts w:hint="eastAsia" w:ascii="宋体" w:hAnsi="宋体" w:cs="宋体"/>
          <w:color w:val="auto"/>
          <w:kern w:val="0"/>
          <w:sz w:val="24"/>
          <w:szCs w:val="24"/>
          <w:highlight w:val="none"/>
          <w:u w:val="single"/>
        </w:rPr>
        <w:t xml:space="preserve"> </w:t>
      </w:r>
      <w:r>
        <w:rPr>
          <w:rFonts w:hint="eastAsia" w:ascii="宋体" w:hAnsi="宋体" w:cs="宋体"/>
          <w:color w:val="auto"/>
          <w:sz w:val="24"/>
          <w:szCs w:val="24"/>
          <w:highlight w:val="none"/>
          <w:u w:val="single"/>
        </w:rPr>
        <w:t>按专用条款第68.2执行。</w:t>
      </w:r>
      <w:r>
        <w:rPr>
          <w:rFonts w:hint="eastAsia" w:ascii="宋体" w:hAnsi="宋体" w:cs="宋体"/>
          <w:color w:val="auto"/>
          <w:kern w:val="0"/>
          <w:sz w:val="24"/>
          <w:szCs w:val="24"/>
          <w:highlight w:val="none"/>
          <w:u w:val="single"/>
        </w:rPr>
        <w:t xml:space="preserve"> </w:t>
      </w:r>
    </w:p>
    <w:p>
      <w:pPr>
        <w:shd w:val="clear" w:color="000000" w:fill="auto"/>
        <w:spacing w:line="360" w:lineRule="auto"/>
        <w:ind w:firstLine="120" w:firstLineChars="5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73.3 调整措施项目费的方法</w:t>
      </w:r>
    </w:p>
    <w:p>
      <w:pPr>
        <w:shd w:val="clear" w:color="000000" w:fill="auto"/>
        <w:spacing w:line="360" w:lineRule="auto"/>
        <w:ind w:firstLine="120" w:firstLineChars="5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调整结算措施项目费：</w:t>
      </w:r>
    </w:p>
    <w:p>
      <w:pPr>
        <w:shd w:val="clear" w:color="000000" w:fill="auto"/>
        <w:spacing w:line="360" w:lineRule="auto"/>
        <w:ind w:firstLine="120" w:firstLineChars="5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 按通用条款的规定调整。</w:t>
      </w:r>
    </w:p>
    <w:p>
      <w:pPr>
        <w:shd w:val="clear" w:color="000000" w:fill="auto"/>
        <w:spacing w:line="360" w:lineRule="auto"/>
        <w:ind w:firstLine="120" w:firstLineChars="5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w:t>
      </w:r>
      <w:r>
        <w:rPr>
          <w:rFonts w:hint="eastAsia" w:ascii="黑体" w:hAnsi="黑体" w:eastAsia="黑体" w:cs="黑体"/>
          <w:color w:val="auto"/>
          <w:kern w:val="0"/>
          <w:sz w:val="24"/>
          <w:szCs w:val="24"/>
          <w:highlight w:val="none"/>
        </w:rPr>
        <w:t>■</w:t>
      </w:r>
      <w:r>
        <w:rPr>
          <w:rFonts w:hint="eastAsia" w:ascii="宋体" w:hAnsi="宋体" w:cs="宋体"/>
          <w:color w:val="auto"/>
          <w:kern w:val="0"/>
          <w:sz w:val="24"/>
          <w:szCs w:val="24"/>
          <w:highlight w:val="none"/>
        </w:rPr>
        <w:t xml:space="preserve"> 按照下列方法调整：</w:t>
      </w:r>
      <w:r>
        <w:rPr>
          <w:rFonts w:hint="eastAsia" w:ascii="宋体" w:hAnsi="宋体" w:cs="宋体"/>
          <w:color w:val="auto"/>
          <w:kern w:val="0"/>
          <w:sz w:val="24"/>
          <w:szCs w:val="24"/>
          <w:highlight w:val="none"/>
          <w:u w:val="single"/>
        </w:rPr>
        <w:t xml:space="preserve"> </w:t>
      </w:r>
      <w:r>
        <w:rPr>
          <w:rFonts w:hint="eastAsia" w:ascii="宋体" w:hAnsi="宋体" w:cs="宋体"/>
          <w:color w:val="auto"/>
          <w:sz w:val="24"/>
          <w:szCs w:val="24"/>
          <w:highlight w:val="none"/>
          <w:u w:val="single"/>
        </w:rPr>
        <w:t>不予调整。</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 xml:space="preserve"> </w:t>
      </w:r>
    </w:p>
    <w:p>
      <w:pPr>
        <w:pStyle w:val="4"/>
        <w:numPr>
          <w:ilvl w:val="0"/>
          <w:numId w:val="0"/>
        </w:numPr>
        <w:shd w:val="clear" w:color="000000" w:fill="auto"/>
        <w:tabs>
          <w:tab w:val="left" w:pos="420"/>
        </w:tabs>
        <w:spacing w:before="0" w:line="360" w:lineRule="auto"/>
        <w:rPr>
          <w:rFonts w:ascii="仿宋" w:hAnsi="仿宋" w:eastAsia="仿宋" w:cs="Times New Roman"/>
          <w:b/>
          <w:bCs/>
          <w:color w:val="auto"/>
          <w:sz w:val="24"/>
          <w:szCs w:val="24"/>
          <w:highlight w:val="none"/>
        </w:rPr>
      </w:pPr>
      <w:bookmarkStart w:id="620" w:name="_Toc18185"/>
      <w:bookmarkStart w:id="621" w:name="_Toc469384125"/>
      <w:bookmarkStart w:id="622" w:name="_Toc30454"/>
      <w:bookmarkStart w:id="623" w:name="_Toc10624969"/>
      <w:r>
        <w:rPr>
          <w:rFonts w:ascii="仿宋" w:hAnsi="仿宋" w:eastAsia="仿宋" w:cs="仿宋"/>
          <w:b/>
          <w:bCs/>
          <w:color w:val="auto"/>
          <w:sz w:val="24"/>
          <w:szCs w:val="24"/>
          <w:highlight w:val="none"/>
        </w:rPr>
        <w:t xml:space="preserve">75. </w:t>
      </w:r>
      <w:r>
        <w:rPr>
          <w:rFonts w:hint="eastAsia" w:ascii="仿宋" w:hAnsi="仿宋" w:eastAsia="仿宋" w:cs="仿宋"/>
          <w:b/>
          <w:bCs/>
          <w:color w:val="auto"/>
          <w:sz w:val="24"/>
          <w:szCs w:val="24"/>
          <w:highlight w:val="none"/>
        </w:rPr>
        <w:t>现场签证事件</w:t>
      </w:r>
      <w:bookmarkEnd w:id="620"/>
      <w:bookmarkEnd w:id="621"/>
      <w:bookmarkEnd w:id="622"/>
      <w:bookmarkEnd w:id="623"/>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75.3 现场签证报告的确认</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提交现场签证报告的时间：</w:t>
      </w:r>
    </w:p>
    <w:p>
      <w:pPr>
        <w:shd w:val="clear" w:color="000000" w:fill="auto"/>
        <w:spacing w:line="360" w:lineRule="auto"/>
        <w:ind w:firstLine="120" w:firstLineChars="5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w:t>
      </w:r>
      <w:r>
        <w:rPr>
          <w:rFonts w:hint="eastAsia" w:ascii="黑体" w:hAnsi="黑体" w:eastAsia="黑体" w:cs="黑体"/>
          <w:color w:val="auto"/>
          <w:kern w:val="0"/>
          <w:sz w:val="24"/>
          <w:szCs w:val="24"/>
          <w:highlight w:val="none"/>
        </w:rPr>
        <w:t>■</w:t>
      </w:r>
      <w:r>
        <w:rPr>
          <w:rFonts w:hint="eastAsia" w:ascii="宋体" w:hAnsi="宋体" w:cs="宋体"/>
          <w:color w:val="auto"/>
          <w:kern w:val="0"/>
          <w:sz w:val="24"/>
          <w:szCs w:val="24"/>
          <w:highlight w:val="none"/>
        </w:rPr>
        <w:t xml:space="preserve"> 按通用条款的规定的时间提交。</w:t>
      </w:r>
    </w:p>
    <w:p>
      <w:pPr>
        <w:shd w:val="clear" w:color="000000" w:fill="auto"/>
        <w:spacing w:line="360" w:lineRule="auto"/>
        <w:ind w:firstLine="120" w:firstLineChars="5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 另作约定：</w:t>
      </w:r>
      <w:r>
        <w:rPr>
          <w:rFonts w:hint="eastAsia" w:ascii="宋体" w:hAnsi="宋体" w:cs="宋体"/>
          <w:color w:val="auto"/>
          <w:kern w:val="0"/>
          <w:sz w:val="24"/>
          <w:szCs w:val="24"/>
          <w:highlight w:val="none"/>
          <w:u w:val="single"/>
        </w:rPr>
        <w:t xml:space="preserve">   /       </w:t>
      </w:r>
      <w:r>
        <w:rPr>
          <w:rFonts w:hint="eastAsia" w:ascii="宋体" w:hAnsi="宋体" w:cs="宋体"/>
          <w:color w:val="auto"/>
          <w:kern w:val="0"/>
          <w:sz w:val="24"/>
          <w:szCs w:val="24"/>
          <w:highlight w:val="none"/>
        </w:rPr>
        <w:t xml:space="preserve">            </w:t>
      </w:r>
    </w:p>
    <w:p>
      <w:pPr>
        <w:pStyle w:val="4"/>
        <w:numPr>
          <w:ilvl w:val="0"/>
          <w:numId w:val="0"/>
        </w:numPr>
        <w:shd w:val="clear" w:color="000000" w:fill="auto"/>
        <w:tabs>
          <w:tab w:val="left" w:pos="420"/>
        </w:tabs>
        <w:spacing w:before="0" w:line="360" w:lineRule="auto"/>
        <w:rPr>
          <w:rFonts w:ascii="仿宋" w:hAnsi="仿宋" w:eastAsia="仿宋" w:cs="Times New Roman"/>
          <w:b/>
          <w:bCs/>
          <w:color w:val="auto"/>
          <w:sz w:val="24"/>
          <w:szCs w:val="24"/>
          <w:highlight w:val="none"/>
        </w:rPr>
      </w:pPr>
      <w:bookmarkStart w:id="624" w:name="_Toc10624970"/>
      <w:bookmarkStart w:id="625" w:name="_Toc13583"/>
      <w:bookmarkStart w:id="626" w:name="_Toc469384126"/>
      <w:bookmarkStart w:id="627" w:name="_Toc26207"/>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76. </w:t>
      </w:r>
      <w:r>
        <w:rPr>
          <w:rFonts w:hint="eastAsia" w:ascii="仿宋" w:hAnsi="仿宋" w:eastAsia="仿宋" w:cs="仿宋"/>
          <w:b/>
          <w:bCs/>
          <w:color w:val="auto"/>
          <w:sz w:val="24"/>
          <w:szCs w:val="24"/>
          <w:highlight w:val="none"/>
        </w:rPr>
        <w:t>物价涨落事件</w:t>
      </w:r>
      <w:bookmarkEnd w:id="624"/>
      <w:bookmarkEnd w:id="625"/>
      <w:bookmarkEnd w:id="626"/>
      <w:bookmarkEnd w:id="627"/>
    </w:p>
    <w:p>
      <w:pPr>
        <w:shd w:val="clear" w:color="000000" w:fill="auto"/>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kern w:val="0"/>
          <w:sz w:val="24"/>
          <w:szCs w:val="24"/>
          <w:highlight w:val="none"/>
        </w:rPr>
        <w:t>市场价格波动是否调整合同价格的约定：</w:t>
      </w:r>
      <w:r>
        <w:rPr>
          <w:rFonts w:hint="eastAsia" w:ascii="宋体" w:hAnsi="宋体" w:cs="宋体"/>
          <w:color w:val="auto"/>
          <w:sz w:val="24"/>
          <w:szCs w:val="24"/>
          <w:highlight w:val="none"/>
          <w:u w:val="single"/>
        </w:rPr>
        <w:t xml:space="preserve">  否   </w:t>
      </w:r>
      <w:r>
        <w:rPr>
          <w:rFonts w:hint="eastAsia" w:ascii="宋体" w:hAnsi="宋体" w:cs="宋体"/>
          <w:color w:val="auto"/>
          <w:sz w:val="24"/>
          <w:szCs w:val="24"/>
          <w:highlight w:val="none"/>
        </w:rPr>
        <w:t>。</w:t>
      </w:r>
    </w:p>
    <w:p>
      <w:pPr>
        <w:shd w:val="clear" w:color="000000" w:fill="auto"/>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因市场价格波动调整合同价格，采用以下第</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hint="eastAsia" w:ascii="宋体" w:hAnsi="宋体" w:cs="宋体"/>
          <w:color w:val="auto"/>
          <w:sz w:val="24"/>
          <w:szCs w:val="24"/>
          <w:highlight w:val="none"/>
          <w:u w:val="single"/>
        </w:rPr>
        <w:t xml:space="preserve"> </w:t>
      </w:r>
      <w:r>
        <w:rPr>
          <w:rFonts w:hint="eastAsia" w:ascii="宋体" w:hAnsi="宋体" w:cs="宋体"/>
          <w:color w:val="auto"/>
          <w:kern w:val="0"/>
          <w:sz w:val="24"/>
          <w:szCs w:val="24"/>
          <w:highlight w:val="none"/>
        </w:rPr>
        <w:t>种方式对合同价格进行调整：</w:t>
      </w:r>
    </w:p>
    <w:p>
      <w:pPr>
        <w:shd w:val="clear" w:color="000000" w:fill="auto"/>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kern w:val="0"/>
          <w:sz w:val="24"/>
          <w:szCs w:val="24"/>
          <w:highlight w:val="none"/>
        </w:rPr>
        <w:t>第1种方式：采用造价信息进行价格调整。</w:t>
      </w:r>
    </w:p>
    <w:p>
      <w:pPr>
        <w:shd w:val="clear" w:color="000000" w:fill="auto"/>
        <w:spacing w:line="360" w:lineRule="auto"/>
        <w:ind w:firstLine="480" w:firstLineChars="200"/>
        <w:jc w:val="left"/>
        <w:rPr>
          <w:rFonts w:ascii="宋体" w:hAnsi="宋体" w:cs="宋体"/>
          <w:color w:val="auto"/>
          <w:sz w:val="24"/>
          <w:szCs w:val="24"/>
          <w:highlight w:val="none"/>
          <w:u w:val="single"/>
        </w:rPr>
      </w:pPr>
      <w:r>
        <w:rPr>
          <w:rFonts w:hint="eastAsia" w:ascii="宋体" w:hAnsi="宋体" w:cs="宋体"/>
          <w:color w:val="auto"/>
          <w:kern w:val="0"/>
          <w:sz w:val="24"/>
          <w:szCs w:val="24"/>
          <w:highlight w:val="none"/>
        </w:rPr>
        <w:t>（1）关于基准价格的约定：</w:t>
      </w:r>
      <w:r>
        <w:rPr>
          <w:rFonts w:hint="eastAsia" w:ascii="宋体" w:hAnsi="宋体" w:cs="宋体"/>
          <w:color w:val="auto"/>
          <w:sz w:val="24"/>
          <w:szCs w:val="24"/>
          <w:highlight w:val="none"/>
          <w:u w:val="single"/>
        </w:rPr>
        <w:t>/。</w:t>
      </w:r>
    </w:p>
    <w:p>
      <w:pPr>
        <w:shd w:val="clear" w:color="000000" w:fill="auto"/>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sym w:font="Times New Roman" w:char="0000"/>
      </w:r>
      <w:r>
        <w:rPr>
          <w:rFonts w:hint="eastAsia" w:ascii="宋体" w:hAnsi="宋体" w:cs="宋体"/>
          <w:color w:val="auto"/>
          <w:kern w:val="0"/>
          <w:sz w:val="24"/>
          <w:szCs w:val="24"/>
          <w:highlight w:val="none"/>
        </w:rPr>
        <w:t xml:space="preserve"> ①承包人在已标价工程量清单或预算书中载明的材料单价低于基准价格的：专用合同条款合同履行期间材料单价涨幅以基准价格为基础超过</w:t>
      </w:r>
      <w:r>
        <w:rPr>
          <w:rFonts w:hint="eastAsia" w:ascii="宋体" w:hAnsi="宋体" w:cs="宋体"/>
          <w:color w:val="auto"/>
          <w:sz w:val="24"/>
          <w:szCs w:val="24"/>
          <w:highlight w:val="none"/>
          <w:u w:val="single"/>
        </w:rPr>
        <w:t xml:space="preserve">  /  </w:t>
      </w:r>
      <w:r>
        <w:rPr>
          <w:rFonts w:hint="eastAsia" w:ascii="宋体" w:hAnsi="宋体" w:cs="宋体"/>
          <w:color w:val="auto"/>
          <w:kern w:val="0"/>
          <w:sz w:val="24"/>
          <w:szCs w:val="24"/>
          <w:highlight w:val="none"/>
        </w:rPr>
        <w:t>%时，或材料单价跌幅以已标价工程量清单或预算书中载明材料单价为基础超过</w:t>
      </w:r>
      <w:r>
        <w:rPr>
          <w:rFonts w:hint="eastAsia" w:ascii="宋体" w:hAnsi="宋体" w:cs="宋体"/>
          <w:color w:val="auto"/>
          <w:sz w:val="24"/>
          <w:szCs w:val="24"/>
          <w:highlight w:val="none"/>
          <w:u w:val="single"/>
        </w:rPr>
        <w:t xml:space="preserve">  /  </w:t>
      </w:r>
      <w:r>
        <w:rPr>
          <w:rFonts w:hint="eastAsia" w:ascii="宋体" w:hAnsi="宋体" w:cs="宋体"/>
          <w:color w:val="auto"/>
          <w:kern w:val="0"/>
          <w:sz w:val="24"/>
          <w:szCs w:val="24"/>
          <w:highlight w:val="none"/>
        </w:rPr>
        <w:t>%时，其超过部分据实调整。</w:t>
      </w:r>
    </w:p>
    <w:p>
      <w:pPr>
        <w:shd w:val="clear" w:color="000000" w:fill="auto"/>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kern w:val="0"/>
          <w:sz w:val="24"/>
          <w:szCs w:val="24"/>
          <w:highlight w:val="none"/>
        </w:rPr>
        <w:t xml:space="preserve">  调整价格的材料品种：</w:t>
      </w:r>
      <w:r>
        <w:rPr>
          <w:rFonts w:hint="eastAsia" w:ascii="宋体" w:hAnsi="宋体" w:cs="宋体"/>
          <w:color w:val="auto"/>
          <w:sz w:val="24"/>
          <w:szCs w:val="24"/>
          <w:highlight w:val="none"/>
          <w:u w:val="single"/>
        </w:rPr>
        <w:t>/。</w:t>
      </w:r>
    </w:p>
    <w:p>
      <w:pPr>
        <w:shd w:val="clear" w:color="000000" w:fill="auto"/>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sym w:font="Times New Roman" w:char="0000"/>
      </w:r>
      <w:r>
        <w:rPr>
          <w:rFonts w:hint="eastAsia" w:ascii="宋体" w:hAnsi="宋体" w:cs="宋体"/>
          <w:color w:val="auto"/>
          <w:kern w:val="0"/>
          <w:sz w:val="24"/>
          <w:szCs w:val="24"/>
          <w:highlight w:val="none"/>
        </w:rPr>
        <w:t xml:space="preserve"> ②承包人在已标价工程量清单或预算书中载明的材料单价高于基准价格的：专用合同条款合同履行期间材料单价跌幅以基准价格为基础超过</w:t>
      </w:r>
      <w:r>
        <w:rPr>
          <w:rFonts w:hint="eastAsia" w:ascii="宋体" w:hAnsi="宋体" w:cs="宋体"/>
          <w:color w:val="auto"/>
          <w:sz w:val="24"/>
          <w:szCs w:val="24"/>
          <w:highlight w:val="none"/>
          <w:u w:val="single"/>
        </w:rPr>
        <w:t xml:space="preserve">  /  </w:t>
      </w:r>
      <w:r>
        <w:rPr>
          <w:rFonts w:hint="eastAsia" w:ascii="宋体" w:hAnsi="宋体" w:cs="宋体"/>
          <w:color w:val="auto"/>
          <w:kern w:val="0"/>
          <w:sz w:val="24"/>
          <w:szCs w:val="24"/>
          <w:highlight w:val="none"/>
        </w:rPr>
        <w:t>%时，材料单价涨幅以已标价工程量清单或预算书中载明材料单价为基础超过</w:t>
      </w:r>
      <w:r>
        <w:rPr>
          <w:rFonts w:hint="eastAsia" w:ascii="宋体" w:hAnsi="宋体" w:cs="宋体"/>
          <w:color w:val="auto"/>
          <w:sz w:val="24"/>
          <w:szCs w:val="24"/>
          <w:highlight w:val="none"/>
          <w:u w:val="single"/>
        </w:rPr>
        <w:t xml:space="preserve">  /  </w:t>
      </w:r>
      <w:r>
        <w:rPr>
          <w:rFonts w:hint="eastAsia" w:ascii="宋体" w:hAnsi="宋体" w:cs="宋体"/>
          <w:color w:val="auto"/>
          <w:kern w:val="0"/>
          <w:sz w:val="24"/>
          <w:szCs w:val="24"/>
          <w:highlight w:val="none"/>
        </w:rPr>
        <w:t>%时，其超过部分据实调整。</w:t>
      </w:r>
    </w:p>
    <w:p>
      <w:pPr>
        <w:shd w:val="clear" w:color="000000" w:fill="auto"/>
        <w:spacing w:line="360" w:lineRule="auto"/>
        <w:ind w:firstLine="708" w:firstLineChars="295"/>
        <w:jc w:val="left"/>
        <w:rPr>
          <w:rFonts w:ascii="宋体" w:hAnsi="宋体" w:cs="宋体"/>
          <w:color w:val="auto"/>
          <w:sz w:val="24"/>
          <w:szCs w:val="24"/>
          <w:highlight w:val="none"/>
        </w:rPr>
      </w:pPr>
      <w:r>
        <w:rPr>
          <w:rFonts w:hint="eastAsia" w:ascii="宋体" w:hAnsi="宋体" w:cs="宋体"/>
          <w:color w:val="auto"/>
          <w:kern w:val="0"/>
          <w:sz w:val="24"/>
          <w:szCs w:val="24"/>
          <w:highlight w:val="none"/>
        </w:rPr>
        <w:t>调整价格的材料品种：</w:t>
      </w:r>
      <w:r>
        <w:rPr>
          <w:rFonts w:hint="eastAsia" w:ascii="宋体" w:hAnsi="宋体" w:cs="宋体"/>
          <w:color w:val="auto"/>
          <w:sz w:val="24"/>
          <w:szCs w:val="24"/>
          <w:highlight w:val="none"/>
          <w:u w:val="single"/>
        </w:rPr>
        <w:t xml:space="preserve">/ </w:t>
      </w:r>
    </w:p>
    <w:p>
      <w:pPr>
        <w:shd w:val="clear" w:color="000000" w:fill="auto"/>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sym w:font="Times New Roman" w:char="0000"/>
      </w:r>
      <w:r>
        <w:rPr>
          <w:rFonts w:hint="eastAsia" w:ascii="宋体" w:hAnsi="宋体" w:cs="宋体"/>
          <w:color w:val="auto"/>
          <w:kern w:val="0"/>
          <w:sz w:val="24"/>
          <w:szCs w:val="24"/>
          <w:highlight w:val="none"/>
        </w:rPr>
        <w:t xml:space="preserve"> ③承包人在已标价工程量清单或预算书中载明的材料单价等于基准单价的：专用合同条款合同履行期间材料单价涨跌幅以基准单价为基础超过±</w:t>
      </w:r>
      <w:r>
        <w:rPr>
          <w:rFonts w:hint="eastAsia" w:ascii="宋体" w:hAnsi="宋体" w:cs="宋体"/>
          <w:color w:val="auto"/>
          <w:sz w:val="24"/>
          <w:szCs w:val="24"/>
          <w:highlight w:val="none"/>
          <w:u w:val="single"/>
        </w:rPr>
        <w:t xml:space="preserve">  /  </w:t>
      </w:r>
      <w:r>
        <w:rPr>
          <w:rFonts w:hint="eastAsia" w:ascii="宋体" w:hAnsi="宋体" w:cs="宋体"/>
          <w:color w:val="auto"/>
          <w:kern w:val="0"/>
          <w:sz w:val="24"/>
          <w:szCs w:val="24"/>
          <w:highlight w:val="none"/>
        </w:rPr>
        <w:t>%时，其超过部分据实调整。</w:t>
      </w:r>
    </w:p>
    <w:p>
      <w:pPr>
        <w:shd w:val="clear" w:color="000000" w:fill="auto"/>
        <w:spacing w:line="360" w:lineRule="auto"/>
        <w:ind w:firstLine="708" w:firstLineChars="295"/>
        <w:jc w:val="left"/>
        <w:rPr>
          <w:rFonts w:ascii="宋体" w:hAnsi="宋体" w:cs="宋体"/>
          <w:color w:val="auto"/>
          <w:sz w:val="24"/>
          <w:szCs w:val="24"/>
          <w:highlight w:val="none"/>
        </w:rPr>
      </w:pPr>
      <w:r>
        <w:rPr>
          <w:rFonts w:hint="eastAsia" w:ascii="宋体" w:hAnsi="宋体" w:cs="宋体"/>
          <w:color w:val="auto"/>
          <w:kern w:val="0"/>
          <w:sz w:val="24"/>
          <w:szCs w:val="24"/>
          <w:highlight w:val="none"/>
        </w:rPr>
        <w:t>调整价格的材料品种：</w:t>
      </w:r>
      <w:r>
        <w:rPr>
          <w:rFonts w:hint="eastAsia" w:ascii="宋体" w:hAnsi="宋体" w:cs="宋体"/>
          <w:color w:val="auto"/>
          <w:sz w:val="24"/>
          <w:szCs w:val="24"/>
          <w:highlight w:val="none"/>
          <w:u w:val="single"/>
        </w:rPr>
        <w:t>/。</w:t>
      </w:r>
    </w:p>
    <w:p>
      <w:pPr>
        <w:shd w:val="clear" w:color="000000" w:fill="auto"/>
        <w:spacing w:line="360" w:lineRule="auto"/>
        <w:jc w:val="left"/>
        <w:rPr>
          <w:rFonts w:ascii="宋体" w:hAnsi="宋体" w:cs="宋体"/>
          <w:color w:val="auto"/>
          <w:sz w:val="24"/>
          <w:szCs w:val="24"/>
          <w:highlight w:val="none"/>
        </w:rPr>
      </w:pPr>
      <w:r>
        <w:rPr>
          <w:rFonts w:hint="eastAsia" w:ascii="宋体" w:hAnsi="宋体" w:cs="宋体"/>
          <w:color w:val="auto"/>
          <w:kern w:val="0"/>
          <w:sz w:val="24"/>
          <w:szCs w:val="24"/>
          <w:highlight w:val="none"/>
        </w:rPr>
        <w:t>第2种方式：其他价格调整方式：</w:t>
      </w:r>
      <w:r>
        <w:rPr>
          <w:rFonts w:hint="eastAsia" w:ascii="宋体" w:hAnsi="宋体" w:cs="宋体"/>
          <w:color w:val="auto"/>
          <w:sz w:val="24"/>
          <w:szCs w:val="24"/>
          <w:highlight w:val="none"/>
          <w:u w:val="single"/>
        </w:rPr>
        <w:t xml:space="preserve"> / </w:t>
      </w:r>
      <w:r>
        <w:rPr>
          <w:rFonts w:hint="eastAsia" w:ascii="宋体" w:hAnsi="宋体" w:cs="宋体"/>
          <w:color w:val="auto"/>
          <w:sz w:val="24"/>
          <w:szCs w:val="24"/>
          <w:highlight w:val="none"/>
        </w:rPr>
        <w:t>。</w:t>
      </w:r>
    </w:p>
    <w:p>
      <w:pPr>
        <w:pStyle w:val="4"/>
        <w:numPr>
          <w:ilvl w:val="0"/>
          <w:numId w:val="0"/>
        </w:numPr>
        <w:shd w:val="clear" w:color="000000" w:fill="auto"/>
        <w:tabs>
          <w:tab w:val="left" w:pos="420"/>
        </w:tabs>
        <w:spacing w:before="0" w:line="360" w:lineRule="auto"/>
        <w:rPr>
          <w:rFonts w:ascii="仿宋" w:hAnsi="仿宋" w:eastAsia="仿宋" w:cs="Times New Roman"/>
          <w:b/>
          <w:bCs/>
          <w:color w:val="auto"/>
          <w:sz w:val="24"/>
          <w:szCs w:val="24"/>
          <w:highlight w:val="none"/>
        </w:rPr>
      </w:pPr>
      <w:bookmarkStart w:id="628" w:name="_Toc10624971"/>
      <w:bookmarkStart w:id="629" w:name="_Toc28480"/>
      <w:bookmarkStart w:id="630" w:name="_Toc12492"/>
      <w:bookmarkStart w:id="631" w:name="_Toc469384127"/>
      <w:r>
        <w:rPr>
          <w:rFonts w:ascii="仿宋" w:hAnsi="仿宋" w:eastAsia="仿宋" w:cs="仿宋"/>
          <w:b/>
          <w:bCs/>
          <w:color w:val="auto"/>
          <w:sz w:val="24"/>
          <w:szCs w:val="24"/>
          <w:highlight w:val="none"/>
        </w:rPr>
        <w:t xml:space="preserve">78. </w:t>
      </w:r>
      <w:r>
        <w:rPr>
          <w:rFonts w:hint="eastAsia" w:ascii="仿宋" w:hAnsi="仿宋" w:eastAsia="仿宋" w:cs="仿宋"/>
          <w:b/>
          <w:bCs/>
          <w:color w:val="auto"/>
          <w:sz w:val="24"/>
          <w:szCs w:val="24"/>
          <w:highlight w:val="none"/>
        </w:rPr>
        <w:t>支付事项</w:t>
      </w:r>
      <w:bookmarkEnd w:id="628"/>
      <w:bookmarkEnd w:id="629"/>
      <w:bookmarkEnd w:id="630"/>
      <w:bookmarkEnd w:id="631"/>
    </w:p>
    <w:p>
      <w:pPr>
        <w:shd w:val="clear" w:color="000000" w:fill="auto"/>
        <w:spacing w:line="360" w:lineRule="auto"/>
        <w:ind w:firstLine="240" w:firstLineChars="100"/>
        <w:rPr>
          <w:rFonts w:ascii="宋体" w:hAnsi="宋体" w:cs="宋体"/>
          <w:color w:val="auto"/>
          <w:kern w:val="0"/>
          <w:sz w:val="24"/>
          <w:szCs w:val="24"/>
          <w:highlight w:val="none"/>
        </w:rPr>
      </w:pPr>
      <w:r>
        <w:rPr>
          <w:rFonts w:hint="eastAsia" w:ascii="宋体" w:hAnsi="宋体" w:cs="宋体"/>
          <w:color w:val="auto"/>
          <w:kern w:val="0"/>
          <w:sz w:val="24"/>
          <w:szCs w:val="24"/>
          <w:highlight w:val="none"/>
        </w:rPr>
        <w:t>78.2 计算利息的利率</w:t>
      </w:r>
    </w:p>
    <w:p>
      <w:pPr>
        <w:shd w:val="clear" w:color="000000" w:fill="auto"/>
        <w:spacing w:line="360" w:lineRule="auto"/>
        <w:ind w:firstLine="120" w:firstLineChars="5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 按照中国人民银行发布的同期同类贷款利率。</w:t>
      </w:r>
    </w:p>
    <w:p>
      <w:pPr>
        <w:shd w:val="clear" w:color="000000" w:fill="auto"/>
        <w:spacing w:line="360" w:lineRule="auto"/>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 xml:space="preserve">  </w:t>
      </w:r>
      <w:r>
        <w:rPr>
          <w:rFonts w:hint="eastAsia" w:ascii="黑体" w:hAnsi="黑体" w:eastAsia="黑体" w:cs="黑体"/>
          <w:color w:val="auto"/>
          <w:kern w:val="0"/>
          <w:sz w:val="24"/>
          <w:szCs w:val="24"/>
          <w:highlight w:val="none"/>
        </w:rPr>
        <w:t>■</w:t>
      </w:r>
      <w:r>
        <w:rPr>
          <w:rFonts w:hint="eastAsia" w:ascii="宋体" w:hAnsi="宋体" w:cs="宋体"/>
          <w:color w:val="auto"/>
          <w:kern w:val="0"/>
          <w:sz w:val="24"/>
          <w:szCs w:val="24"/>
          <w:highlight w:val="none"/>
        </w:rPr>
        <w:t xml:space="preserve"> 另作约定：</w:t>
      </w:r>
      <w:r>
        <w:rPr>
          <w:rFonts w:hint="eastAsia" w:ascii="宋体" w:hAnsi="宋体" w:cs="宋体"/>
          <w:color w:val="auto"/>
          <w:kern w:val="0"/>
          <w:sz w:val="24"/>
          <w:szCs w:val="24"/>
          <w:highlight w:val="none"/>
          <w:u w:val="single"/>
        </w:rPr>
        <w:t xml:space="preserve">   不计算利息 。</w:t>
      </w:r>
    </w:p>
    <w:p>
      <w:pPr>
        <w:pStyle w:val="4"/>
        <w:numPr>
          <w:ilvl w:val="0"/>
          <w:numId w:val="0"/>
        </w:numPr>
        <w:shd w:val="clear" w:color="000000" w:fill="auto"/>
        <w:tabs>
          <w:tab w:val="left" w:pos="420"/>
        </w:tabs>
        <w:spacing w:before="0" w:line="360" w:lineRule="auto"/>
        <w:rPr>
          <w:rFonts w:ascii="仿宋" w:hAnsi="仿宋" w:eastAsia="仿宋" w:cs="Times New Roman"/>
          <w:b/>
          <w:bCs/>
          <w:color w:val="auto"/>
          <w:sz w:val="24"/>
          <w:szCs w:val="24"/>
          <w:highlight w:val="none"/>
        </w:rPr>
      </w:pPr>
      <w:bookmarkStart w:id="632" w:name="_Toc10624972"/>
      <w:bookmarkStart w:id="633" w:name="_Toc22635"/>
      <w:bookmarkStart w:id="634" w:name="_Toc469384128"/>
      <w:bookmarkStart w:id="635" w:name="_Toc9514"/>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79. </w:t>
      </w:r>
      <w:r>
        <w:rPr>
          <w:rFonts w:hint="eastAsia" w:ascii="仿宋" w:hAnsi="仿宋" w:eastAsia="仿宋" w:cs="仿宋"/>
          <w:b/>
          <w:bCs/>
          <w:color w:val="auto"/>
          <w:sz w:val="24"/>
          <w:szCs w:val="24"/>
          <w:highlight w:val="none"/>
        </w:rPr>
        <w:t>预付款</w:t>
      </w:r>
      <w:bookmarkEnd w:id="632"/>
      <w:bookmarkEnd w:id="633"/>
      <w:bookmarkEnd w:id="634"/>
      <w:bookmarkEnd w:id="635"/>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79.1 预付款的约定及管理</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（1） 预付款的约定</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w:t>
      </w:r>
      <w:r>
        <w:rPr>
          <w:rFonts w:hint="eastAsia" w:ascii="黑体" w:hAnsi="黑体" w:eastAsia="黑体" w:cs="黑体"/>
          <w:color w:val="auto"/>
          <w:kern w:val="0"/>
          <w:sz w:val="24"/>
          <w:szCs w:val="24"/>
          <w:highlight w:val="none"/>
        </w:rPr>
        <w:t>■</w:t>
      </w:r>
      <w:r>
        <w:rPr>
          <w:rFonts w:hint="eastAsia" w:ascii="宋体" w:hAnsi="宋体" w:cs="宋体"/>
          <w:color w:val="auto"/>
          <w:kern w:val="0"/>
          <w:sz w:val="24"/>
          <w:szCs w:val="24"/>
          <w:highlight w:val="none"/>
        </w:rPr>
        <w:t xml:space="preserve"> 没约定预付款的，本条不适用。</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w:t>
      </w:r>
      <w:r>
        <w:rPr>
          <w:rFonts w:hint="eastAsia" w:hAnsi="宋体"/>
          <w:color w:val="auto"/>
          <w:kern w:val="0"/>
          <w:sz w:val="24"/>
          <w:szCs w:val="24"/>
          <w:highlight w:val="none"/>
        </w:rPr>
        <w:t>□</w:t>
      </w:r>
      <w:r>
        <w:rPr>
          <w:rFonts w:hint="eastAsia" w:ascii="宋体" w:hAnsi="宋体" w:cs="宋体"/>
          <w:color w:val="auto"/>
          <w:kern w:val="0"/>
          <w:sz w:val="24"/>
          <w:szCs w:val="24"/>
          <w:highlight w:val="none"/>
        </w:rPr>
        <w:t xml:space="preserve"> 约定预付款的，预付款的金额为</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元，其支付办法和抵扣方式，按本条有关专用条款的约定。</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（2） 预付款的最高限额</w:t>
      </w:r>
    </w:p>
    <w:p>
      <w:pPr>
        <w:pStyle w:val="2"/>
        <w:shd w:val="clear" w:color="000000" w:fill="auto"/>
        <w:adjustRightInd w:val="0"/>
        <w:snapToGrid w:val="0"/>
        <w:spacing w:line="360" w:lineRule="auto"/>
        <w:rPr>
          <w:rFonts w:hAnsi="宋体"/>
          <w:color w:val="auto"/>
          <w:kern w:val="0"/>
          <w:sz w:val="24"/>
          <w:szCs w:val="24"/>
          <w:highlight w:val="none"/>
        </w:rPr>
      </w:pPr>
      <w:r>
        <w:rPr>
          <w:rFonts w:hint="eastAsia" w:hAnsi="宋体"/>
          <w:color w:val="auto"/>
          <w:kern w:val="0"/>
          <w:sz w:val="24"/>
          <w:szCs w:val="24"/>
          <w:highlight w:val="none"/>
        </w:rPr>
        <w:t xml:space="preserve">  □ 预付比例不低于合同价款（扣除暂列金额）的10%，不高于合同价款（扣除暂列金额）的30%</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，即 </w:t>
      </w:r>
      <w:r>
        <w:rPr>
          <w:rFonts w:hint="eastAsia" w:ascii="宋体" w:hAnsi="宋体" w:cs="宋体"/>
          <w:color w:val="auto"/>
          <w:kern w:val="0"/>
          <w:sz w:val="24"/>
          <w:szCs w:val="24"/>
          <w:highlight w:val="none"/>
          <w:u w:val="single"/>
        </w:rPr>
        <w:t xml:space="preserve"> </w:t>
      </w:r>
      <w:r>
        <w:rPr>
          <w:rFonts w:ascii="宋体" w:hAnsi="宋体" w:cs="宋体"/>
          <w:color w:val="auto"/>
          <w:kern w:val="0"/>
          <w:sz w:val="24"/>
          <w:szCs w:val="24"/>
          <w:highlight w:val="none"/>
          <w:u w:val="single"/>
        </w:rPr>
        <w:t>/</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 xml:space="preserve">%，即  </w:t>
      </w:r>
      <w:r>
        <w:rPr>
          <w:rFonts w:hint="eastAsia" w:ascii="宋体" w:hAnsi="宋体" w:cs="宋体"/>
          <w:color w:val="auto"/>
          <w:kern w:val="0"/>
          <w:sz w:val="24"/>
          <w:szCs w:val="24"/>
          <w:highlight w:val="none"/>
          <w:u w:val="single"/>
        </w:rPr>
        <w:t xml:space="preserve">        </w:t>
      </w:r>
      <w:r>
        <w:rPr>
          <w:rFonts w:ascii="宋体" w:hAnsi="宋体" w:cs="宋体"/>
          <w:color w:val="auto"/>
          <w:kern w:val="0"/>
          <w:sz w:val="24"/>
          <w:szCs w:val="24"/>
          <w:highlight w:val="none"/>
          <w:u w:val="single"/>
        </w:rPr>
        <w:t>/</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元。</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w:t>
      </w:r>
      <w:r>
        <w:rPr>
          <w:rFonts w:hint="eastAsia" w:hAnsi="宋体"/>
          <w:color w:val="auto"/>
          <w:kern w:val="0"/>
          <w:sz w:val="24"/>
          <w:szCs w:val="24"/>
          <w:highlight w:val="none"/>
        </w:rPr>
        <w:t>□</w:t>
      </w:r>
      <w:r>
        <w:rPr>
          <w:rFonts w:hint="eastAsia" w:ascii="宋体" w:hAnsi="宋体" w:cs="宋体"/>
          <w:color w:val="auto"/>
          <w:kern w:val="0"/>
          <w:sz w:val="24"/>
          <w:szCs w:val="24"/>
          <w:highlight w:val="none"/>
        </w:rPr>
        <w:t xml:space="preserve"> 另作约定：</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w:t>
      </w:r>
      <w:r>
        <w:rPr>
          <w:rFonts w:hint="eastAsia" w:ascii="宋体" w:hAnsi="宋体" w:cs="宋体"/>
          <w:color w:val="auto"/>
          <w:kern w:val="0"/>
          <w:sz w:val="24"/>
          <w:szCs w:val="24"/>
          <w:highlight w:val="none"/>
          <w:u w:val="single"/>
        </w:rPr>
        <w:t xml:space="preserve"> </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79.2 提交预付款支付申请期限：</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w:t>
      </w:r>
      <w:r>
        <w:rPr>
          <w:rFonts w:hint="eastAsia" w:hAnsi="宋体"/>
          <w:color w:val="auto"/>
          <w:kern w:val="0"/>
          <w:sz w:val="24"/>
          <w:szCs w:val="24"/>
          <w:highlight w:val="none"/>
        </w:rPr>
        <w:t>□</w:t>
      </w:r>
      <w:r>
        <w:rPr>
          <w:rFonts w:hint="eastAsia" w:ascii="宋体" w:hAnsi="宋体" w:cs="宋体"/>
          <w:color w:val="auto"/>
          <w:kern w:val="0"/>
          <w:sz w:val="24"/>
          <w:szCs w:val="24"/>
          <w:highlight w:val="none"/>
        </w:rPr>
        <w:t xml:space="preserve"> 按承包人在完成本款三项工作后的7天内。</w:t>
      </w:r>
    </w:p>
    <w:p>
      <w:pPr>
        <w:shd w:val="clear" w:color="000000" w:fill="auto"/>
        <w:spacing w:line="360" w:lineRule="auto"/>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 xml:space="preserve">  □ 另作约定：</w:t>
      </w:r>
      <w:r>
        <w:rPr>
          <w:rFonts w:hint="eastAsia" w:ascii="宋体" w:hAnsi="宋体" w:cs="宋体"/>
          <w:color w:val="auto"/>
          <w:kern w:val="0"/>
          <w:sz w:val="24"/>
          <w:szCs w:val="24"/>
          <w:highlight w:val="none"/>
          <w:u w:val="single"/>
        </w:rPr>
        <w:t xml:space="preserve">      /                    </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79.4 预付款抵扣方式</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 预付款按照期中应支付工程款的</w:t>
      </w:r>
      <w:r>
        <w:rPr>
          <w:rFonts w:hint="eastAsia" w:ascii="宋体" w:hAnsi="宋体" w:cs="宋体"/>
          <w:color w:val="auto"/>
          <w:kern w:val="0"/>
          <w:sz w:val="24"/>
          <w:szCs w:val="24"/>
          <w:highlight w:val="none"/>
          <w:u w:val="single"/>
        </w:rPr>
        <w:t xml:space="preserve">   /    </w:t>
      </w:r>
      <w:r>
        <w:rPr>
          <w:rFonts w:hint="eastAsia" w:ascii="宋体" w:hAnsi="宋体" w:cs="宋体"/>
          <w:color w:val="auto"/>
          <w:kern w:val="0"/>
          <w:sz w:val="24"/>
          <w:szCs w:val="24"/>
          <w:highlight w:val="none"/>
        </w:rPr>
        <w:t>%扣回，直到扣完为止。</w:t>
      </w:r>
    </w:p>
    <w:p>
      <w:pPr>
        <w:shd w:val="clear" w:color="000000" w:fill="auto"/>
        <w:spacing w:line="360" w:lineRule="auto"/>
        <w:rPr>
          <w:rFonts w:hint="eastAsia" w:ascii="宋体" w:hAnsi="宋体" w:eastAsia="宋体"/>
          <w:color w:val="auto"/>
          <w:kern w:val="0"/>
          <w:highlight w:val="none"/>
          <w:lang w:eastAsia="zh-CN"/>
        </w:rPr>
      </w:pPr>
      <w:r>
        <w:rPr>
          <w:rFonts w:hint="eastAsia" w:ascii="宋体" w:hAnsi="宋体" w:cs="宋体"/>
          <w:color w:val="auto"/>
          <w:kern w:val="0"/>
          <w:sz w:val="24"/>
          <w:szCs w:val="24"/>
          <w:highlight w:val="none"/>
        </w:rPr>
        <w:t xml:space="preserve">  </w:t>
      </w:r>
      <w:r>
        <w:rPr>
          <w:rFonts w:hint="eastAsia" w:hAnsi="宋体"/>
          <w:color w:val="auto"/>
          <w:kern w:val="0"/>
          <w:sz w:val="24"/>
          <w:szCs w:val="24"/>
          <w:highlight w:val="none"/>
        </w:rPr>
        <w:t>□</w:t>
      </w:r>
      <w:r>
        <w:rPr>
          <w:rFonts w:hint="eastAsia" w:ascii="宋体" w:hAnsi="宋体" w:cs="宋体"/>
          <w:color w:val="auto"/>
          <w:kern w:val="0"/>
          <w:sz w:val="24"/>
          <w:szCs w:val="24"/>
          <w:highlight w:val="none"/>
        </w:rPr>
        <w:t xml:space="preserve"> 其它方式：</w:t>
      </w:r>
      <w:r>
        <w:rPr>
          <w:rFonts w:hint="eastAsia" w:ascii="宋体" w:hAnsi="宋体" w:cs="宋体"/>
          <w:color w:val="auto"/>
          <w:sz w:val="24"/>
          <w:szCs w:val="24"/>
          <w:highlight w:val="none"/>
          <w:u w:val="single"/>
          <w:lang w:val="en-US" w:eastAsia="zh-CN"/>
        </w:rPr>
        <w:t>/</w:t>
      </w:r>
    </w:p>
    <w:p>
      <w:pPr>
        <w:pStyle w:val="4"/>
        <w:numPr>
          <w:ilvl w:val="0"/>
          <w:numId w:val="0"/>
        </w:numPr>
        <w:shd w:val="clear" w:color="000000" w:fill="auto"/>
        <w:tabs>
          <w:tab w:val="left" w:pos="420"/>
        </w:tabs>
        <w:spacing w:before="0" w:line="360" w:lineRule="auto"/>
        <w:rPr>
          <w:rFonts w:ascii="仿宋" w:hAnsi="仿宋" w:eastAsia="仿宋" w:cs="Times New Roman"/>
          <w:b/>
          <w:bCs/>
          <w:color w:val="auto"/>
          <w:sz w:val="24"/>
          <w:szCs w:val="24"/>
          <w:highlight w:val="none"/>
        </w:rPr>
      </w:pPr>
      <w:bookmarkStart w:id="636" w:name="_Toc10624973"/>
      <w:bookmarkStart w:id="637" w:name="_Toc469384129"/>
      <w:bookmarkStart w:id="638" w:name="_Toc28679"/>
      <w:bookmarkStart w:id="639" w:name="_Toc15494"/>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80. </w:t>
      </w:r>
      <w:r>
        <w:rPr>
          <w:rFonts w:hint="eastAsia" w:ascii="仿宋" w:hAnsi="仿宋" w:eastAsia="仿宋" w:cs="仿宋"/>
          <w:b/>
          <w:bCs/>
          <w:color w:val="auto"/>
          <w:sz w:val="24"/>
          <w:szCs w:val="24"/>
          <w:highlight w:val="none"/>
        </w:rPr>
        <w:t>绿色施工安全防护费</w:t>
      </w:r>
      <w:bookmarkEnd w:id="636"/>
      <w:bookmarkEnd w:id="637"/>
      <w:bookmarkEnd w:id="638"/>
      <w:bookmarkEnd w:id="639"/>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w:t>
      </w:r>
      <w:r>
        <w:rPr>
          <w:rFonts w:hint="eastAsia" w:ascii="宋体" w:hAnsi="宋体" w:cs="宋体"/>
          <w:b/>
          <w:bCs/>
          <w:color w:val="auto"/>
          <w:sz w:val="24"/>
          <w:szCs w:val="24"/>
          <w:highlight w:val="none"/>
        </w:rPr>
        <w:t>★</w:t>
      </w:r>
      <w:r>
        <w:rPr>
          <w:rFonts w:hint="eastAsia" w:ascii="宋体" w:hAnsi="宋体" w:cs="宋体"/>
          <w:color w:val="auto"/>
          <w:kern w:val="0"/>
          <w:sz w:val="24"/>
          <w:szCs w:val="24"/>
          <w:highlight w:val="none"/>
        </w:rPr>
        <w:t xml:space="preserve">80.1 </w:t>
      </w:r>
      <w:r>
        <w:rPr>
          <w:rFonts w:hint="eastAsia" w:ascii="宋体" w:hAnsi="宋体" w:cs="宋体"/>
          <w:color w:val="auto"/>
          <w:sz w:val="24"/>
          <w:szCs w:val="24"/>
          <w:highlight w:val="none"/>
        </w:rPr>
        <w:t>绿色施工安全防护</w:t>
      </w:r>
      <w:r>
        <w:rPr>
          <w:rFonts w:hint="eastAsia" w:ascii="宋体" w:hAnsi="宋体" w:cs="宋体"/>
          <w:color w:val="auto"/>
          <w:kern w:val="0"/>
          <w:sz w:val="24"/>
          <w:szCs w:val="24"/>
          <w:highlight w:val="none"/>
        </w:rPr>
        <w:t>费的内容、范围和金额</w:t>
      </w:r>
    </w:p>
    <w:p>
      <w:pPr>
        <w:shd w:val="clear" w:color="000000" w:fill="auto"/>
        <w:spacing w:line="360" w:lineRule="auto"/>
        <w:outlineLvl w:val="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w:t>
      </w:r>
      <w:bookmarkStart w:id="640" w:name="_Toc27690"/>
      <w:bookmarkStart w:id="641" w:name="_Toc11566"/>
      <w:bookmarkStart w:id="642" w:name="_Toc20380"/>
      <w:bookmarkStart w:id="643" w:name="_Toc15509"/>
      <w:r>
        <w:rPr>
          <w:rFonts w:hint="eastAsia" w:ascii="宋体" w:hAnsi="宋体" w:cs="宋体"/>
          <w:color w:val="auto"/>
          <w:kern w:val="0"/>
          <w:sz w:val="24"/>
          <w:szCs w:val="24"/>
          <w:highlight w:val="none"/>
        </w:rPr>
        <w:t>（1） 内容和范围</w:t>
      </w:r>
      <w:bookmarkEnd w:id="640"/>
      <w:bookmarkEnd w:id="641"/>
      <w:bookmarkEnd w:id="642"/>
      <w:bookmarkEnd w:id="643"/>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w:t>
      </w:r>
      <w:r>
        <w:rPr>
          <w:rFonts w:hint="eastAsia" w:ascii="黑体" w:hAnsi="黑体" w:eastAsia="黑体" w:cs="黑体"/>
          <w:color w:val="auto"/>
          <w:kern w:val="0"/>
          <w:sz w:val="24"/>
          <w:szCs w:val="24"/>
          <w:highlight w:val="none"/>
        </w:rPr>
        <w:t>■</w:t>
      </w:r>
      <w:r>
        <w:rPr>
          <w:rFonts w:hint="eastAsia" w:ascii="宋体" w:hAnsi="宋体" w:cs="宋体"/>
          <w:color w:val="auto"/>
          <w:kern w:val="0"/>
          <w:sz w:val="24"/>
          <w:szCs w:val="24"/>
          <w:highlight w:val="none"/>
        </w:rPr>
        <w:t xml:space="preserve"> 按通用条款的规定，以现行广东省统一工程计价依据规定、</w:t>
      </w:r>
      <w:r>
        <w:rPr>
          <w:rFonts w:hint="eastAsia" w:ascii="宋体" w:hAnsi="宋体" w:cs="宋体"/>
          <w:color w:val="auto"/>
          <w:sz w:val="24"/>
          <w:szCs w:val="24"/>
          <w:highlight w:val="none"/>
        </w:rPr>
        <w:t>省市造价管理部门发布管理文件</w:t>
      </w:r>
      <w:r>
        <w:rPr>
          <w:rFonts w:hint="eastAsia" w:ascii="宋体" w:hAnsi="宋体" w:cs="宋体"/>
          <w:color w:val="auto"/>
          <w:kern w:val="0"/>
          <w:sz w:val="24"/>
          <w:szCs w:val="24"/>
          <w:highlight w:val="none"/>
        </w:rPr>
        <w:t>为准。</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 另作约定：</w:t>
      </w:r>
      <w:r>
        <w:rPr>
          <w:rFonts w:hint="eastAsia" w:ascii="宋体" w:hAnsi="宋体" w:cs="宋体"/>
          <w:color w:val="auto"/>
          <w:kern w:val="0"/>
          <w:sz w:val="24"/>
          <w:szCs w:val="24"/>
          <w:highlight w:val="none"/>
          <w:u w:val="single"/>
        </w:rPr>
        <w:t xml:space="preserve">     /           </w:t>
      </w:r>
      <w:r>
        <w:rPr>
          <w:rFonts w:hint="eastAsia" w:ascii="宋体" w:hAnsi="宋体" w:cs="宋体"/>
          <w:color w:val="auto"/>
          <w:kern w:val="0"/>
          <w:sz w:val="24"/>
          <w:szCs w:val="24"/>
          <w:highlight w:val="none"/>
        </w:rPr>
        <w:t xml:space="preserve">        </w:t>
      </w:r>
    </w:p>
    <w:p>
      <w:pPr>
        <w:shd w:val="clear" w:color="000000" w:fill="auto"/>
        <w:spacing w:line="360" w:lineRule="auto"/>
        <w:outlineLvl w:val="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w:t>
      </w:r>
      <w:bookmarkStart w:id="644" w:name="_Toc982"/>
      <w:bookmarkStart w:id="645" w:name="_Toc18787"/>
      <w:bookmarkStart w:id="646" w:name="_Toc23274"/>
      <w:bookmarkStart w:id="647" w:name="_Toc27946"/>
      <w:r>
        <w:rPr>
          <w:rFonts w:hint="eastAsia" w:ascii="宋体" w:hAnsi="宋体" w:cs="宋体"/>
          <w:color w:val="auto"/>
          <w:kern w:val="0"/>
          <w:sz w:val="24"/>
          <w:szCs w:val="24"/>
          <w:highlight w:val="none"/>
        </w:rPr>
        <w:t xml:space="preserve">（2） </w:t>
      </w:r>
      <w:r>
        <w:rPr>
          <w:rFonts w:hint="eastAsia" w:ascii="宋体" w:hAnsi="宋体" w:cs="宋体"/>
          <w:color w:val="auto"/>
          <w:sz w:val="24"/>
          <w:szCs w:val="24"/>
          <w:highlight w:val="none"/>
        </w:rPr>
        <w:t>绿色施工安全防护</w:t>
      </w:r>
      <w:r>
        <w:rPr>
          <w:rFonts w:hint="eastAsia" w:ascii="宋体" w:hAnsi="宋体" w:cs="宋体"/>
          <w:color w:val="auto"/>
          <w:kern w:val="0"/>
          <w:sz w:val="24"/>
          <w:szCs w:val="24"/>
          <w:highlight w:val="none"/>
        </w:rPr>
        <w:t>费的总金额为</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元；</w:t>
      </w:r>
      <w:bookmarkEnd w:id="644"/>
      <w:bookmarkEnd w:id="645"/>
      <w:bookmarkEnd w:id="646"/>
      <w:bookmarkEnd w:id="647"/>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其中：施工扬尘污染防治措施费为</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元；</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用工实名管理费为</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元。</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危大工程安全防护文明施工措施费</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元。</w:t>
      </w:r>
    </w:p>
    <w:p>
      <w:pPr>
        <w:shd w:val="clear" w:color="000000" w:fill="auto"/>
        <w:spacing w:line="360" w:lineRule="auto"/>
        <w:outlineLvl w:val="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w:t>
      </w:r>
      <w:bookmarkStart w:id="648" w:name="_Toc19286"/>
      <w:bookmarkStart w:id="649" w:name="_Toc19044"/>
      <w:bookmarkStart w:id="650" w:name="_Toc18494"/>
      <w:bookmarkStart w:id="651" w:name="_Toc32056"/>
      <w:r>
        <w:rPr>
          <w:rFonts w:hint="eastAsia" w:ascii="宋体" w:hAnsi="宋体" w:cs="宋体"/>
          <w:color w:val="auto"/>
          <w:kern w:val="0"/>
          <w:sz w:val="24"/>
          <w:szCs w:val="24"/>
          <w:highlight w:val="none"/>
        </w:rPr>
        <w:t>80.2 支付申请的提交与核实</w:t>
      </w:r>
      <w:bookmarkEnd w:id="648"/>
      <w:bookmarkEnd w:id="649"/>
      <w:bookmarkEnd w:id="650"/>
      <w:bookmarkEnd w:id="651"/>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w:t>
      </w:r>
      <w:r>
        <w:rPr>
          <w:rFonts w:hint="eastAsia" w:ascii="黑体" w:hAnsi="黑体" w:eastAsia="黑体" w:cs="黑体"/>
          <w:color w:val="auto"/>
          <w:kern w:val="0"/>
          <w:sz w:val="24"/>
          <w:szCs w:val="24"/>
          <w:highlight w:val="none"/>
        </w:rPr>
        <w:t>■</w:t>
      </w:r>
      <w:r>
        <w:rPr>
          <w:rFonts w:hint="eastAsia" w:ascii="宋体" w:hAnsi="宋体" w:cs="宋体"/>
          <w:color w:val="auto"/>
          <w:kern w:val="0"/>
          <w:sz w:val="24"/>
          <w:szCs w:val="24"/>
          <w:highlight w:val="none"/>
        </w:rPr>
        <w:t xml:space="preserve"> 按通用条款的规定。</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 另作约定：</w:t>
      </w:r>
      <w:r>
        <w:rPr>
          <w:rFonts w:hint="eastAsia" w:ascii="宋体" w:hAnsi="宋体" w:cs="宋体"/>
          <w:color w:val="auto"/>
          <w:kern w:val="0"/>
          <w:sz w:val="24"/>
          <w:szCs w:val="24"/>
          <w:highlight w:val="none"/>
          <w:u w:val="single"/>
        </w:rPr>
        <w:t xml:space="preserve">    /            </w:t>
      </w:r>
      <w:r>
        <w:rPr>
          <w:rFonts w:hint="eastAsia" w:ascii="宋体" w:hAnsi="宋体" w:cs="宋体"/>
          <w:color w:val="auto"/>
          <w:kern w:val="0"/>
          <w:sz w:val="24"/>
          <w:szCs w:val="24"/>
          <w:highlight w:val="none"/>
        </w:rPr>
        <w:t xml:space="preserve">       </w:t>
      </w:r>
    </w:p>
    <w:p>
      <w:pPr>
        <w:shd w:val="clear" w:color="000000" w:fill="auto"/>
        <w:spacing w:line="360" w:lineRule="auto"/>
        <w:outlineLvl w:val="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w:t>
      </w:r>
      <w:bookmarkStart w:id="652" w:name="_Toc32275"/>
      <w:bookmarkStart w:id="653" w:name="_Toc13108"/>
      <w:bookmarkStart w:id="654" w:name="_Toc13559"/>
      <w:bookmarkStart w:id="655" w:name="_Toc2483"/>
      <w:r>
        <w:rPr>
          <w:rFonts w:hint="eastAsia" w:ascii="宋体" w:hAnsi="宋体" w:cs="宋体"/>
          <w:color w:val="auto"/>
          <w:kern w:val="0"/>
          <w:sz w:val="24"/>
          <w:szCs w:val="24"/>
          <w:highlight w:val="none"/>
        </w:rPr>
        <w:t>80.3 费用支付</w:t>
      </w:r>
      <w:bookmarkEnd w:id="652"/>
      <w:bookmarkEnd w:id="653"/>
      <w:bookmarkEnd w:id="654"/>
      <w:bookmarkEnd w:id="655"/>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w:t>
      </w:r>
      <w:r>
        <w:rPr>
          <w:rFonts w:hint="eastAsia" w:ascii="宋体" w:hAnsi="宋体" w:cs="宋体"/>
          <w:color w:val="auto"/>
          <w:sz w:val="24"/>
          <w:szCs w:val="24"/>
          <w:highlight w:val="none"/>
        </w:rPr>
        <w:t>绿色施工安全防护</w:t>
      </w:r>
      <w:r>
        <w:rPr>
          <w:rFonts w:hint="eastAsia" w:ascii="宋体" w:hAnsi="宋体" w:cs="宋体"/>
          <w:color w:val="auto"/>
          <w:kern w:val="0"/>
          <w:sz w:val="24"/>
          <w:szCs w:val="24"/>
          <w:highlight w:val="none"/>
        </w:rPr>
        <w:t>费的支付办法和抵扣方式：</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w:t>
      </w:r>
      <w:r>
        <w:rPr>
          <w:rFonts w:hint="eastAsia" w:ascii="黑体" w:hAnsi="黑体" w:eastAsia="黑体" w:cs="黑体"/>
          <w:color w:val="auto"/>
          <w:kern w:val="0"/>
          <w:sz w:val="24"/>
          <w:szCs w:val="24"/>
          <w:highlight w:val="none"/>
        </w:rPr>
        <w:t>■</w:t>
      </w:r>
      <w:r>
        <w:rPr>
          <w:rFonts w:hint="eastAsia" w:ascii="宋体" w:hAnsi="宋体" w:cs="宋体"/>
          <w:color w:val="auto"/>
          <w:kern w:val="0"/>
          <w:sz w:val="24"/>
          <w:szCs w:val="24"/>
          <w:highlight w:val="none"/>
        </w:rPr>
        <w:t xml:space="preserve"> 按通用条款的规定。</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 另作约定：</w:t>
      </w:r>
      <w:r>
        <w:rPr>
          <w:rFonts w:hint="eastAsia" w:ascii="宋体" w:hAnsi="宋体" w:cs="宋体"/>
          <w:color w:val="auto"/>
          <w:kern w:val="0"/>
          <w:sz w:val="24"/>
          <w:szCs w:val="24"/>
          <w:highlight w:val="none"/>
          <w:u w:val="single"/>
          <w:lang w:val="en-US" w:eastAsia="zh-CN"/>
        </w:rPr>
        <w:t>/</w:t>
      </w:r>
      <w:r>
        <w:rPr>
          <w:rFonts w:hint="eastAsia" w:ascii="宋体" w:hAnsi="宋体" w:cs="宋体"/>
          <w:color w:val="auto"/>
          <w:kern w:val="0"/>
          <w:sz w:val="24"/>
          <w:szCs w:val="24"/>
          <w:highlight w:val="none"/>
          <w:u w:val="single"/>
          <w:lang w:eastAsia="zh-CN"/>
        </w:rPr>
        <w:t>。</w:t>
      </w:r>
      <w:r>
        <w:rPr>
          <w:rFonts w:hint="eastAsia" w:ascii="宋体" w:hAnsi="宋体" w:cs="宋体"/>
          <w:color w:val="auto"/>
          <w:kern w:val="0"/>
          <w:sz w:val="24"/>
          <w:szCs w:val="24"/>
          <w:highlight w:val="none"/>
        </w:rPr>
        <w:t xml:space="preserve"> </w:t>
      </w:r>
    </w:p>
    <w:p>
      <w:pPr>
        <w:shd w:val="clear" w:color="000000" w:fill="auto"/>
        <w:spacing w:line="360" w:lineRule="auto"/>
        <w:ind w:firstLine="241" w:firstLineChars="100"/>
        <w:rPr>
          <w:rFonts w:ascii="宋体" w:hAnsi="宋体" w:cs="宋体"/>
          <w:b/>
          <w:bCs/>
          <w:color w:val="auto"/>
          <w:kern w:val="0"/>
          <w:sz w:val="24"/>
          <w:szCs w:val="24"/>
          <w:highlight w:val="none"/>
        </w:rPr>
      </w:pPr>
      <w:r>
        <w:rPr>
          <w:rFonts w:hint="eastAsia" w:ascii="宋体" w:hAnsi="宋体" w:cs="宋体"/>
          <w:b/>
          <w:bCs/>
          <w:color w:val="auto"/>
          <w:sz w:val="24"/>
          <w:szCs w:val="24"/>
          <w:highlight w:val="none"/>
        </w:rPr>
        <w:t>★</w:t>
      </w:r>
      <w:r>
        <w:rPr>
          <w:rFonts w:hint="eastAsia" w:ascii="宋体" w:hAnsi="宋体" w:cs="宋体"/>
          <w:color w:val="auto"/>
          <w:kern w:val="0"/>
          <w:sz w:val="24"/>
          <w:szCs w:val="24"/>
          <w:highlight w:val="none"/>
        </w:rPr>
        <w:t>80.6 文明工地增加费</w:t>
      </w:r>
    </w:p>
    <w:p>
      <w:pPr>
        <w:shd w:val="clear" w:color="000000" w:fill="auto"/>
        <w:spacing w:line="360" w:lineRule="auto"/>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 xml:space="preserve">       文明工地增加费的计算额度：</w:t>
      </w:r>
      <w:r>
        <w:rPr>
          <w:rFonts w:hint="eastAsia" w:ascii="宋体" w:hAnsi="宋体" w:cs="宋体"/>
          <w:color w:val="auto"/>
          <w:kern w:val="0"/>
          <w:sz w:val="24"/>
          <w:szCs w:val="24"/>
          <w:highlight w:val="none"/>
          <w:u w:val="single"/>
        </w:rPr>
        <w:t xml:space="preserve">  / </w:t>
      </w:r>
    </w:p>
    <w:p>
      <w:pPr>
        <w:shd w:val="clear" w:color="000000" w:fill="auto"/>
        <w:spacing w:line="360" w:lineRule="auto"/>
        <w:ind w:firstLine="120" w:firstLineChars="5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 按通用条款规定计算。</w:t>
      </w:r>
    </w:p>
    <w:p>
      <w:pPr>
        <w:shd w:val="clear" w:color="000000" w:fill="auto"/>
        <w:spacing w:line="360" w:lineRule="auto"/>
        <w:ind w:firstLine="240" w:firstLineChars="100"/>
        <w:rPr>
          <w:rFonts w:ascii="宋体" w:hAnsi="宋体" w:cs="宋体"/>
          <w:color w:val="auto"/>
          <w:kern w:val="0"/>
          <w:sz w:val="24"/>
          <w:szCs w:val="24"/>
          <w:highlight w:val="none"/>
        </w:rPr>
      </w:pPr>
      <w:r>
        <w:rPr>
          <w:rFonts w:hint="eastAsia" w:ascii="宋体" w:hAnsi="宋体" w:cs="宋体"/>
          <w:color w:val="auto"/>
          <w:kern w:val="0"/>
          <w:sz w:val="24"/>
          <w:szCs w:val="24"/>
          <w:highlight w:val="none"/>
        </w:rPr>
        <w:t>□ 按分部分项工程费为基础计算。</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 另作约定（文明工地增加费率参考广东省建设工程计价依据文明工地增加费、广州市住房和城乡建设局发布的文明工地增加费；合同工程同时获得下列多个奖项的，只按最高奖项的额度计算。）：</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w:t>
      </w:r>
      <w:r>
        <w:rPr>
          <w:rFonts w:hint="eastAsia" w:ascii="宋体" w:hAnsi="宋体" w:cs="宋体"/>
          <w:color w:val="auto"/>
          <w:sz w:val="24"/>
          <w:szCs w:val="24"/>
          <w:highlight w:val="none"/>
        </w:rPr>
        <w:t>市级安全文明工地</w:t>
      </w:r>
      <w:r>
        <w:rPr>
          <w:rFonts w:hint="eastAsia" w:ascii="宋体" w:hAnsi="宋体" w:cs="宋体"/>
          <w:color w:val="auto"/>
          <w:kern w:val="0"/>
          <w:sz w:val="24"/>
          <w:szCs w:val="24"/>
          <w:highlight w:val="none"/>
        </w:rPr>
        <w:t>增加费</w:t>
      </w:r>
      <w:r>
        <w:rPr>
          <w:rFonts w:hint="eastAsia" w:ascii="宋体" w:hAnsi="宋体" w:cs="宋体"/>
          <w:color w:val="auto"/>
          <w:kern w:val="0"/>
          <w:sz w:val="24"/>
          <w:szCs w:val="24"/>
          <w:highlight w:val="none"/>
          <w:u w:val="single"/>
        </w:rPr>
        <w:t xml:space="preserve"> /  </w:t>
      </w:r>
      <w:r>
        <w:rPr>
          <w:rFonts w:hint="eastAsia" w:ascii="宋体" w:hAnsi="宋体" w:cs="宋体"/>
          <w:color w:val="auto"/>
          <w:kern w:val="0"/>
          <w:sz w:val="24"/>
          <w:szCs w:val="24"/>
          <w:highlight w:val="none"/>
        </w:rPr>
        <w:t xml:space="preserve"> %；</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w:t>
      </w:r>
      <w:r>
        <w:rPr>
          <w:rFonts w:hint="eastAsia" w:ascii="宋体" w:hAnsi="宋体" w:cs="宋体"/>
          <w:color w:val="auto"/>
          <w:sz w:val="24"/>
          <w:szCs w:val="24"/>
          <w:highlight w:val="none"/>
        </w:rPr>
        <w:t>省级安全文明工地</w:t>
      </w:r>
      <w:r>
        <w:rPr>
          <w:rFonts w:hint="eastAsia" w:ascii="宋体" w:hAnsi="宋体" w:cs="宋体"/>
          <w:color w:val="auto"/>
          <w:kern w:val="0"/>
          <w:sz w:val="24"/>
          <w:szCs w:val="24"/>
          <w:highlight w:val="none"/>
        </w:rPr>
        <w:t>增加费</w:t>
      </w:r>
      <w:r>
        <w:rPr>
          <w:rFonts w:hint="eastAsia" w:ascii="宋体" w:hAnsi="宋体" w:cs="宋体"/>
          <w:color w:val="auto"/>
          <w:kern w:val="0"/>
          <w:sz w:val="24"/>
          <w:szCs w:val="24"/>
          <w:highlight w:val="none"/>
          <w:u w:val="single"/>
        </w:rPr>
        <w:t xml:space="preserve">  /  </w:t>
      </w:r>
      <w:r>
        <w:rPr>
          <w:rFonts w:hint="eastAsia" w:ascii="宋体" w:hAnsi="宋体" w:cs="宋体"/>
          <w:color w:val="auto"/>
          <w:kern w:val="0"/>
          <w:sz w:val="24"/>
          <w:szCs w:val="24"/>
          <w:highlight w:val="none"/>
        </w:rPr>
        <w:t>%；</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w:t>
      </w:r>
      <w:r>
        <w:rPr>
          <w:rFonts w:hint="eastAsia" w:ascii="宋体" w:hAnsi="宋体" w:cs="宋体"/>
          <w:color w:val="auto"/>
          <w:sz w:val="24"/>
          <w:szCs w:val="24"/>
          <w:highlight w:val="none"/>
        </w:rPr>
        <w:t>国家级安全文明工地</w:t>
      </w:r>
      <w:r>
        <w:rPr>
          <w:rFonts w:hint="eastAsia" w:ascii="宋体" w:hAnsi="宋体" w:cs="宋体"/>
          <w:color w:val="auto"/>
          <w:kern w:val="0"/>
          <w:sz w:val="24"/>
          <w:szCs w:val="24"/>
          <w:highlight w:val="none"/>
        </w:rPr>
        <w:t>增加费</w:t>
      </w:r>
      <w:r>
        <w:rPr>
          <w:rFonts w:hint="eastAsia" w:ascii="宋体" w:hAnsi="宋体" w:cs="宋体"/>
          <w:color w:val="auto"/>
          <w:kern w:val="0"/>
          <w:sz w:val="24"/>
          <w:szCs w:val="24"/>
          <w:highlight w:val="none"/>
          <w:u w:val="single"/>
        </w:rPr>
        <w:t xml:space="preserve">   /  </w:t>
      </w:r>
      <w:r>
        <w:rPr>
          <w:rFonts w:hint="eastAsia" w:ascii="宋体" w:hAnsi="宋体" w:cs="宋体"/>
          <w:color w:val="auto"/>
          <w:kern w:val="0"/>
          <w:sz w:val="24"/>
          <w:szCs w:val="24"/>
          <w:highlight w:val="none"/>
        </w:rPr>
        <w:t>%；</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其它</w:t>
      </w:r>
      <w:r>
        <w:rPr>
          <w:rFonts w:hint="eastAsia" w:ascii="宋体" w:hAnsi="宋体" w:cs="宋体"/>
          <w:color w:val="auto"/>
          <w:kern w:val="0"/>
          <w:sz w:val="24"/>
          <w:szCs w:val="24"/>
          <w:highlight w:val="none"/>
          <w:u w:val="single"/>
        </w:rPr>
        <w:t xml:space="preserve">  /  </w:t>
      </w:r>
      <w:r>
        <w:rPr>
          <w:rFonts w:hint="eastAsia" w:ascii="宋体" w:hAnsi="宋体" w:cs="宋体"/>
          <w:color w:val="auto"/>
          <w:kern w:val="0"/>
          <w:sz w:val="24"/>
          <w:szCs w:val="24"/>
          <w:highlight w:val="none"/>
        </w:rPr>
        <w:t>，文明工地增加费</w:t>
      </w:r>
      <w:r>
        <w:rPr>
          <w:rFonts w:hint="eastAsia" w:ascii="宋体" w:hAnsi="宋体" w:cs="宋体"/>
          <w:color w:val="auto"/>
          <w:kern w:val="0"/>
          <w:sz w:val="24"/>
          <w:szCs w:val="24"/>
          <w:highlight w:val="none"/>
          <w:u w:val="single"/>
        </w:rPr>
        <w:t xml:space="preserve">  /  </w:t>
      </w:r>
      <w:r>
        <w:rPr>
          <w:rFonts w:hint="eastAsia" w:ascii="宋体" w:hAnsi="宋体" w:cs="宋体"/>
          <w:color w:val="auto"/>
          <w:kern w:val="0"/>
          <w:sz w:val="24"/>
          <w:szCs w:val="24"/>
          <w:highlight w:val="none"/>
        </w:rPr>
        <w:t xml:space="preserve"> %。</w:t>
      </w:r>
    </w:p>
    <w:p>
      <w:pPr>
        <w:pStyle w:val="4"/>
        <w:numPr>
          <w:ilvl w:val="0"/>
          <w:numId w:val="0"/>
        </w:numPr>
        <w:shd w:val="clear" w:color="000000" w:fill="auto"/>
        <w:tabs>
          <w:tab w:val="left" w:pos="420"/>
        </w:tabs>
        <w:spacing w:before="0" w:line="360" w:lineRule="auto"/>
        <w:rPr>
          <w:rFonts w:ascii="仿宋" w:hAnsi="仿宋" w:eastAsia="仿宋" w:cs="Times New Roman"/>
          <w:b/>
          <w:bCs/>
          <w:color w:val="auto"/>
          <w:sz w:val="24"/>
          <w:szCs w:val="24"/>
          <w:highlight w:val="none"/>
        </w:rPr>
      </w:pPr>
      <w:bookmarkStart w:id="656" w:name="_Toc469384130"/>
      <w:bookmarkStart w:id="657" w:name="_Toc30570"/>
      <w:bookmarkStart w:id="658" w:name="_Toc17759"/>
      <w:bookmarkStart w:id="659" w:name="_Toc10624974"/>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81. </w:t>
      </w:r>
      <w:r>
        <w:rPr>
          <w:rFonts w:hint="eastAsia" w:ascii="仿宋" w:hAnsi="仿宋" w:eastAsia="仿宋" w:cs="仿宋"/>
          <w:b/>
          <w:bCs/>
          <w:color w:val="auto"/>
          <w:sz w:val="24"/>
          <w:szCs w:val="24"/>
          <w:highlight w:val="none"/>
        </w:rPr>
        <w:t>进度款</w:t>
      </w:r>
      <w:bookmarkEnd w:id="656"/>
      <w:bookmarkEnd w:id="657"/>
      <w:bookmarkEnd w:id="658"/>
      <w:bookmarkEnd w:id="659"/>
    </w:p>
    <w:p>
      <w:pPr>
        <w:shd w:val="clear" w:color="000000" w:fill="auto"/>
        <w:spacing w:line="360" w:lineRule="auto"/>
        <w:outlineLvl w:val="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w:t>
      </w:r>
      <w:bookmarkStart w:id="660" w:name="_Toc28443"/>
      <w:bookmarkStart w:id="661" w:name="_Toc10789"/>
      <w:bookmarkStart w:id="662" w:name="_Toc29968"/>
      <w:bookmarkStart w:id="663" w:name="_Toc28273"/>
      <w:r>
        <w:rPr>
          <w:rFonts w:hint="eastAsia" w:ascii="宋体" w:hAnsi="宋体" w:cs="宋体"/>
          <w:color w:val="auto"/>
          <w:kern w:val="0"/>
          <w:sz w:val="24"/>
          <w:szCs w:val="24"/>
          <w:highlight w:val="none"/>
        </w:rPr>
        <w:t>81.1 约定支付期限和提交支付申请</w:t>
      </w:r>
      <w:bookmarkEnd w:id="660"/>
      <w:bookmarkEnd w:id="661"/>
      <w:bookmarkEnd w:id="662"/>
      <w:bookmarkEnd w:id="663"/>
    </w:p>
    <w:p>
      <w:pPr>
        <w:shd w:val="clear" w:color="000000" w:fill="auto"/>
        <w:spacing w:line="360" w:lineRule="auto"/>
        <w:outlineLvl w:val="1"/>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w:t>
      </w:r>
      <w:bookmarkStart w:id="664" w:name="_Toc1429"/>
      <w:bookmarkStart w:id="665" w:name="_Toc27571"/>
      <w:bookmarkStart w:id="666" w:name="_Toc23330"/>
      <w:bookmarkStart w:id="667" w:name="_Toc3076"/>
      <w:r>
        <w:rPr>
          <w:rFonts w:hint="eastAsia" w:ascii="宋体" w:hAnsi="宋体" w:cs="宋体"/>
          <w:color w:val="auto"/>
          <w:kern w:val="0"/>
          <w:sz w:val="24"/>
          <w:szCs w:val="24"/>
          <w:highlight w:val="none"/>
        </w:rPr>
        <w:t>（1） 支付期限、比例</w:t>
      </w:r>
      <w:bookmarkEnd w:id="664"/>
      <w:bookmarkEnd w:id="665"/>
      <w:bookmarkEnd w:id="666"/>
      <w:bookmarkEnd w:id="667"/>
    </w:p>
    <w:p>
      <w:pPr>
        <w:keepNext w:val="0"/>
        <w:keepLines w:val="0"/>
        <w:pageBreakBefore w:val="0"/>
        <w:widowControl w:val="0"/>
        <w:shd w:val="clear" w:color="000000" w:fill="auto"/>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①合同签订、承包人进场施工后10个工作日内，发包人向承包人预付合同价（合同价-暂列金额）10%；</w:t>
      </w:r>
    </w:p>
    <w:p>
      <w:pPr>
        <w:keepNext w:val="0"/>
        <w:keepLines w:val="0"/>
        <w:pageBreakBefore w:val="0"/>
        <w:widowControl w:val="0"/>
        <w:shd w:val="clear" w:color="000000" w:fill="auto"/>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②工程进度达到50%</w:t>
      </w:r>
      <w:r>
        <w:rPr>
          <w:rFonts w:hint="eastAsia" w:ascii="宋体" w:hAnsi="宋体" w:cs="宋体"/>
          <w:color w:val="auto"/>
          <w:kern w:val="0"/>
          <w:sz w:val="24"/>
          <w:szCs w:val="24"/>
          <w:highlight w:val="none"/>
          <w:lang w:val="en-US" w:eastAsia="zh-CN"/>
        </w:rPr>
        <w:t>后，</w:t>
      </w:r>
      <w:r>
        <w:rPr>
          <w:rFonts w:hint="eastAsia" w:ascii="宋体" w:hAnsi="宋体" w:cs="宋体"/>
          <w:color w:val="auto"/>
          <w:kern w:val="0"/>
          <w:sz w:val="24"/>
          <w:szCs w:val="24"/>
          <w:highlight w:val="none"/>
        </w:rPr>
        <w:t>待专项资金到账</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支付至合同价的（合同价-暂列金额）</w:t>
      </w:r>
      <w:r>
        <w:rPr>
          <w:rFonts w:hint="eastAsia" w:ascii="宋体" w:hAnsi="宋体" w:cs="宋体"/>
          <w:color w:val="auto"/>
          <w:kern w:val="0"/>
          <w:sz w:val="24"/>
          <w:szCs w:val="24"/>
          <w:highlight w:val="none"/>
          <w:lang w:val="en-US" w:eastAsia="zh-CN"/>
        </w:rPr>
        <w:t>的</w:t>
      </w:r>
      <w:r>
        <w:rPr>
          <w:rFonts w:hint="eastAsia" w:ascii="宋体" w:hAnsi="宋体" w:cs="宋体"/>
          <w:color w:val="auto"/>
          <w:kern w:val="0"/>
          <w:sz w:val="24"/>
          <w:szCs w:val="24"/>
          <w:highlight w:val="none"/>
        </w:rPr>
        <w:t>30%；</w:t>
      </w:r>
    </w:p>
    <w:p>
      <w:pPr>
        <w:keepNext w:val="0"/>
        <w:keepLines w:val="0"/>
        <w:pageBreakBefore w:val="0"/>
        <w:widowControl w:val="0"/>
        <w:shd w:val="clear" w:color="000000" w:fill="auto"/>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③工程进度达到</w:t>
      </w:r>
      <w:r>
        <w:rPr>
          <w:rFonts w:hint="eastAsia" w:ascii="宋体" w:hAnsi="宋体" w:cs="宋体"/>
          <w:color w:val="auto"/>
          <w:kern w:val="0"/>
          <w:sz w:val="24"/>
          <w:szCs w:val="24"/>
          <w:highlight w:val="none"/>
          <w:lang w:val="en-US" w:eastAsia="zh-CN"/>
        </w:rPr>
        <w:t>70</w:t>
      </w:r>
      <w:r>
        <w:rPr>
          <w:rFonts w:hint="eastAsia" w:ascii="宋体" w:hAnsi="宋体" w:cs="宋体"/>
          <w:color w:val="auto"/>
          <w:kern w:val="0"/>
          <w:sz w:val="24"/>
          <w:szCs w:val="24"/>
          <w:highlight w:val="none"/>
        </w:rPr>
        <w:t>%后，待专项资金到账，支付至合同价的（合同价-暂列金额）的</w:t>
      </w:r>
      <w:r>
        <w:rPr>
          <w:rFonts w:hint="eastAsia" w:ascii="宋体" w:hAnsi="宋体" w:cs="宋体"/>
          <w:color w:val="auto"/>
          <w:kern w:val="0"/>
          <w:sz w:val="24"/>
          <w:szCs w:val="24"/>
          <w:highlight w:val="none"/>
          <w:lang w:val="en-US" w:eastAsia="zh-CN"/>
        </w:rPr>
        <w:t>55</w:t>
      </w:r>
      <w:r>
        <w:rPr>
          <w:rFonts w:hint="eastAsia" w:ascii="宋体" w:hAnsi="宋体" w:cs="宋体"/>
          <w:color w:val="auto"/>
          <w:kern w:val="0"/>
          <w:sz w:val="24"/>
          <w:szCs w:val="24"/>
          <w:highlight w:val="none"/>
        </w:rPr>
        <w:t>%；</w:t>
      </w:r>
    </w:p>
    <w:p>
      <w:pPr>
        <w:keepNext w:val="0"/>
        <w:keepLines w:val="0"/>
        <w:pageBreakBefore w:val="0"/>
        <w:widowControl w:val="0"/>
        <w:shd w:val="clear" w:color="000000" w:fill="auto"/>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④工程进度达到100%通过验收</w:t>
      </w:r>
      <w:r>
        <w:rPr>
          <w:rFonts w:hint="eastAsia" w:ascii="宋体" w:hAnsi="宋体" w:cs="宋体"/>
          <w:color w:val="auto"/>
          <w:kern w:val="0"/>
          <w:sz w:val="24"/>
          <w:szCs w:val="24"/>
          <w:highlight w:val="none"/>
          <w:lang w:val="en-US" w:eastAsia="zh-CN"/>
        </w:rPr>
        <w:t>后</w:t>
      </w:r>
      <w:r>
        <w:rPr>
          <w:rFonts w:hint="eastAsia" w:ascii="宋体" w:hAnsi="宋体" w:cs="宋体"/>
          <w:color w:val="auto"/>
          <w:kern w:val="0"/>
          <w:sz w:val="24"/>
          <w:szCs w:val="24"/>
          <w:highlight w:val="none"/>
        </w:rPr>
        <w:t>，待专项资金到账，支付至合同价的（合同价-暂列金额）的</w:t>
      </w:r>
      <w:r>
        <w:rPr>
          <w:rFonts w:hint="eastAsia" w:ascii="宋体" w:hAnsi="宋体" w:cs="宋体"/>
          <w:color w:val="auto"/>
          <w:kern w:val="0"/>
          <w:sz w:val="24"/>
          <w:szCs w:val="24"/>
          <w:highlight w:val="none"/>
          <w:lang w:val="en-US" w:eastAsia="zh-CN"/>
        </w:rPr>
        <w:t>85</w:t>
      </w:r>
      <w:r>
        <w:rPr>
          <w:rFonts w:hint="eastAsia" w:ascii="宋体" w:hAnsi="宋体" w:cs="宋体"/>
          <w:color w:val="auto"/>
          <w:kern w:val="0"/>
          <w:sz w:val="24"/>
          <w:szCs w:val="24"/>
          <w:highlight w:val="none"/>
        </w:rPr>
        <w:t>%；</w:t>
      </w:r>
    </w:p>
    <w:p>
      <w:pPr>
        <w:keepNext w:val="0"/>
        <w:keepLines w:val="0"/>
        <w:pageBreakBefore w:val="0"/>
        <w:widowControl w:val="0"/>
        <w:shd w:val="clear" w:color="000000" w:fill="auto"/>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⑤</w:t>
      </w:r>
      <w:r>
        <w:rPr>
          <w:rFonts w:hint="eastAsia" w:ascii="宋体" w:hAnsi="宋体" w:cs="宋体"/>
          <w:color w:val="auto"/>
          <w:kern w:val="0"/>
          <w:sz w:val="24"/>
          <w:szCs w:val="24"/>
          <w:highlight w:val="none"/>
          <w:lang w:val="en-US" w:eastAsia="zh-CN"/>
        </w:rPr>
        <w:t>待</w:t>
      </w:r>
      <w:r>
        <w:rPr>
          <w:rFonts w:hint="eastAsia" w:ascii="宋体" w:hAnsi="宋体" w:cs="宋体"/>
          <w:color w:val="auto"/>
          <w:kern w:val="0"/>
          <w:sz w:val="24"/>
          <w:szCs w:val="24"/>
          <w:highlight w:val="none"/>
        </w:rPr>
        <w:t>工程结算</w:t>
      </w:r>
      <w:r>
        <w:rPr>
          <w:rFonts w:hint="eastAsia" w:ascii="宋体" w:hAnsi="宋体" w:cs="宋体"/>
          <w:color w:val="auto"/>
          <w:kern w:val="0"/>
          <w:sz w:val="24"/>
          <w:szCs w:val="24"/>
          <w:highlight w:val="none"/>
          <w:lang w:val="en-US" w:eastAsia="zh-CN"/>
        </w:rPr>
        <w:t>并</w:t>
      </w:r>
      <w:r>
        <w:rPr>
          <w:rFonts w:hint="eastAsia" w:ascii="宋体" w:hAnsi="宋体" w:cs="宋体"/>
          <w:color w:val="auto"/>
          <w:kern w:val="0"/>
          <w:sz w:val="24"/>
          <w:szCs w:val="24"/>
          <w:highlight w:val="none"/>
        </w:rPr>
        <w:t>经广州市财政投资评审中心评审通过后,支付至结算总价的97%</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剩余3%的工程款作为质量保证金</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待竣工验收合格满二年且完成全部保修项目后一个月内无息付清</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若承包人的质量保证金采用银行保函形式的，发包人在</w:t>
      </w:r>
      <w:r>
        <w:rPr>
          <w:rFonts w:hint="eastAsia" w:ascii="宋体" w:hAnsi="宋体" w:cs="宋体"/>
          <w:color w:val="auto"/>
          <w:kern w:val="0"/>
          <w:sz w:val="24"/>
          <w:szCs w:val="24"/>
          <w:highlight w:val="none"/>
          <w:lang w:eastAsia="zh-CN"/>
        </w:rPr>
        <w:t>收到3%的质保金银行保函后支付至审定结算工程总价款的100%</w:t>
      </w:r>
      <w:r>
        <w:rPr>
          <w:rFonts w:hint="eastAsia" w:ascii="宋体" w:hAnsi="宋体" w:cs="宋体"/>
          <w:color w:val="auto"/>
          <w:kern w:val="0"/>
          <w:sz w:val="24"/>
          <w:szCs w:val="24"/>
          <w:highlight w:val="none"/>
        </w:rPr>
        <w:t>。</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 以季度为单位，支付比例：</w:t>
      </w:r>
      <w:r>
        <w:rPr>
          <w:rFonts w:hint="eastAsia" w:ascii="宋体" w:hAnsi="宋体" w:cs="宋体"/>
          <w:color w:val="auto"/>
          <w:kern w:val="0"/>
          <w:sz w:val="24"/>
          <w:szCs w:val="24"/>
          <w:highlight w:val="none"/>
          <w:u w:val="single"/>
        </w:rPr>
        <w:t xml:space="preserve">       /      </w:t>
      </w:r>
      <w:r>
        <w:rPr>
          <w:rFonts w:hint="eastAsia" w:ascii="宋体" w:hAnsi="宋体" w:cs="宋体"/>
          <w:color w:val="auto"/>
          <w:kern w:val="0"/>
          <w:sz w:val="24"/>
          <w:szCs w:val="24"/>
          <w:highlight w:val="none"/>
        </w:rPr>
        <w:t>。</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 以形象进度为准，具体为：</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1）</w:t>
      </w:r>
      <w:r>
        <w:rPr>
          <w:rFonts w:hint="eastAsia" w:ascii="宋体" w:hAnsi="宋体" w:cs="宋体"/>
          <w:color w:val="auto"/>
          <w:kern w:val="0"/>
          <w:sz w:val="24"/>
          <w:szCs w:val="24"/>
          <w:highlight w:val="none"/>
          <w:u w:val="single"/>
        </w:rPr>
        <w:t xml:space="preserve">          /                     </w:t>
      </w:r>
      <w:r>
        <w:rPr>
          <w:rFonts w:hint="eastAsia" w:ascii="宋体" w:hAnsi="宋体" w:cs="宋体"/>
          <w:color w:val="auto"/>
          <w:kern w:val="0"/>
          <w:sz w:val="24"/>
          <w:szCs w:val="24"/>
          <w:highlight w:val="none"/>
        </w:rPr>
        <w:t xml:space="preserve">  </w:t>
      </w:r>
    </w:p>
    <w:p>
      <w:pPr>
        <w:shd w:val="clear" w:color="000000" w:fill="auto"/>
        <w:spacing w:line="360" w:lineRule="auto"/>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 xml:space="preserve">   2）</w:t>
      </w:r>
      <w:r>
        <w:rPr>
          <w:rFonts w:hint="eastAsia" w:ascii="宋体" w:hAnsi="宋体" w:cs="宋体"/>
          <w:color w:val="auto"/>
          <w:kern w:val="0"/>
          <w:sz w:val="24"/>
          <w:szCs w:val="24"/>
          <w:highlight w:val="none"/>
          <w:u w:val="single"/>
        </w:rPr>
        <w:t xml:space="preserve">         /          </w:t>
      </w:r>
    </w:p>
    <w:p>
      <w:pPr>
        <w:shd w:val="clear" w:color="000000" w:fill="auto"/>
        <w:spacing w:line="360" w:lineRule="auto"/>
        <w:ind w:firstLine="240" w:firstLineChars="100"/>
        <w:rPr>
          <w:rFonts w:ascii="宋体" w:hAnsi="宋体" w:cs="宋体"/>
          <w:color w:val="auto"/>
          <w:kern w:val="0"/>
          <w:sz w:val="24"/>
          <w:szCs w:val="24"/>
          <w:highlight w:val="none"/>
        </w:rPr>
      </w:pPr>
      <w:r>
        <w:rPr>
          <w:rFonts w:hint="eastAsia" w:ascii="宋体" w:hAnsi="宋体" w:cs="宋体"/>
          <w:color w:val="auto"/>
          <w:kern w:val="0"/>
          <w:sz w:val="24"/>
          <w:szCs w:val="24"/>
          <w:highlight w:val="none"/>
        </w:rPr>
        <w:t>□实施施工过程结算方式，具体为：</w:t>
      </w:r>
      <w:r>
        <w:rPr>
          <w:rFonts w:hint="eastAsia" w:ascii="宋体" w:hAnsi="宋体" w:cs="宋体"/>
          <w:color w:val="auto"/>
          <w:kern w:val="0"/>
          <w:sz w:val="24"/>
          <w:szCs w:val="24"/>
          <w:highlight w:val="none"/>
          <w:u w:val="single"/>
        </w:rPr>
        <w:t xml:space="preserve">        /          </w:t>
      </w:r>
    </w:p>
    <w:p>
      <w:pPr>
        <w:shd w:val="clear" w:color="000000" w:fill="auto"/>
        <w:spacing w:line="360" w:lineRule="auto"/>
        <w:ind w:firstLine="240" w:firstLineChars="100"/>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 其它方式：</w:t>
      </w:r>
      <w:r>
        <w:rPr>
          <w:rFonts w:hint="eastAsia" w:ascii="宋体" w:hAnsi="宋体" w:cs="宋体"/>
          <w:color w:val="auto"/>
          <w:kern w:val="0"/>
          <w:sz w:val="24"/>
          <w:szCs w:val="24"/>
          <w:highlight w:val="none"/>
          <w:u w:val="single"/>
        </w:rPr>
        <w:t xml:space="preserve">       /     </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81.1 （11）本期间应支付或扣留（回）的其他款项：</w:t>
      </w:r>
      <w:r>
        <w:rPr>
          <w:rFonts w:hint="eastAsia" w:ascii="宋体" w:hAnsi="宋体" w:cs="宋体"/>
          <w:color w:val="auto"/>
          <w:kern w:val="0"/>
          <w:sz w:val="24"/>
          <w:szCs w:val="24"/>
          <w:highlight w:val="none"/>
          <w:u w:val="single"/>
        </w:rPr>
        <w:t xml:space="preserve">  按合同约定 </w:t>
      </w:r>
    </w:p>
    <w:p>
      <w:pPr>
        <w:shd w:val="clear" w:color="000000" w:fill="auto"/>
        <w:spacing w:line="360" w:lineRule="auto"/>
        <w:outlineLvl w:val="1"/>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w:t>
      </w:r>
      <w:bookmarkStart w:id="668" w:name="_Toc28448"/>
      <w:bookmarkStart w:id="669" w:name="_Toc11527"/>
      <w:bookmarkStart w:id="670" w:name="_Toc29523"/>
      <w:bookmarkStart w:id="671" w:name="_Toc13809"/>
      <w:r>
        <w:rPr>
          <w:rFonts w:hint="eastAsia" w:ascii="宋体" w:hAnsi="宋体" w:cs="宋体"/>
          <w:color w:val="auto"/>
          <w:kern w:val="0"/>
          <w:sz w:val="24"/>
          <w:szCs w:val="24"/>
          <w:highlight w:val="none"/>
        </w:rPr>
        <w:t>（2） 政府资金投资工程的支付期、支付办法</w:t>
      </w:r>
      <w:bookmarkEnd w:id="668"/>
      <w:bookmarkEnd w:id="669"/>
      <w:bookmarkEnd w:id="670"/>
      <w:bookmarkEnd w:id="671"/>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 按通用条款的规定。</w:t>
      </w:r>
    </w:p>
    <w:p>
      <w:pPr>
        <w:shd w:val="clear" w:color="000000" w:fill="auto"/>
        <w:spacing w:line="360" w:lineRule="auto"/>
        <w:ind w:firstLine="240" w:firstLineChars="100"/>
        <w:rPr>
          <w:rFonts w:ascii="宋体" w:hAnsi="宋体" w:cs="宋体"/>
          <w:color w:val="auto"/>
          <w:kern w:val="0"/>
          <w:sz w:val="24"/>
          <w:szCs w:val="24"/>
          <w:highlight w:val="none"/>
        </w:rPr>
      </w:pPr>
      <w:r>
        <w:rPr>
          <w:rFonts w:hint="eastAsia" w:ascii="宋体" w:hAnsi="宋体" w:cs="宋体"/>
          <w:color w:val="auto"/>
          <w:kern w:val="0"/>
          <w:sz w:val="24"/>
          <w:szCs w:val="24"/>
          <w:highlight w:val="none"/>
        </w:rPr>
        <w:t>□ 实施施工过程结算方式：</w:t>
      </w:r>
      <w:r>
        <w:rPr>
          <w:rFonts w:hint="eastAsia" w:ascii="宋体" w:hAnsi="宋体" w:cs="宋体"/>
          <w:color w:val="auto"/>
          <w:kern w:val="0"/>
          <w:sz w:val="24"/>
          <w:szCs w:val="24"/>
          <w:highlight w:val="none"/>
          <w:u w:val="single"/>
        </w:rPr>
        <w:t xml:space="preserve">     /              </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 其它方式：</w:t>
      </w:r>
      <w:r>
        <w:rPr>
          <w:rFonts w:hint="eastAsia" w:ascii="宋体" w:hAnsi="宋体" w:cs="宋体"/>
          <w:color w:val="auto"/>
          <w:kern w:val="0"/>
          <w:sz w:val="24"/>
          <w:szCs w:val="24"/>
          <w:highlight w:val="none"/>
          <w:u w:val="single"/>
        </w:rPr>
        <w:t xml:space="preserve">   /                  </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81.2 期中支付的最低限额为</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元。</w:t>
      </w:r>
    </w:p>
    <w:p>
      <w:pPr>
        <w:shd w:val="clear" w:color="000000" w:fill="auto"/>
        <w:spacing w:line="360" w:lineRule="auto"/>
        <w:ind w:firstLine="240" w:firstLineChars="100"/>
        <w:rPr>
          <w:rFonts w:ascii="宋体" w:hAnsi="宋体" w:cs="宋体"/>
          <w:color w:val="auto"/>
          <w:kern w:val="0"/>
          <w:sz w:val="24"/>
          <w:szCs w:val="24"/>
          <w:highlight w:val="none"/>
        </w:rPr>
      </w:pPr>
      <w:r>
        <w:rPr>
          <w:rFonts w:hint="eastAsia" w:ascii="宋体" w:hAnsi="宋体" w:cs="宋体"/>
          <w:color w:val="auto"/>
          <w:kern w:val="0"/>
          <w:sz w:val="24"/>
          <w:szCs w:val="24"/>
          <w:highlight w:val="none"/>
        </w:rPr>
        <w:t>8</w:t>
      </w:r>
      <w:r>
        <w:rPr>
          <w:rFonts w:ascii="宋体" w:hAnsi="宋体" w:cs="宋体"/>
          <w:color w:val="auto"/>
          <w:kern w:val="0"/>
          <w:sz w:val="24"/>
          <w:szCs w:val="24"/>
          <w:highlight w:val="none"/>
        </w:rPr>
        <w:t xml:space="preserve">1.3 </w:t>
      </w:r>
      <w:r>
        <w:rPr>
          <w:rFonts w:hint="eastAsia" w:ascii="宋体" w:hAnsi="宋体" w:cs="宋体"/>
          <w:color w:val="auto"/>
          <w:kern w:val="0"/>
          <w:sz w:val="24"/>
          <w:szCs w:val="24"/>
          <w:highlight w:val="none"/>
        </w:rPr>
        <w:t>进度款支付 ：发包人应在造价工程师签发期中支付证书后的14天内，承包人提供增值税专用发票，按照期中支付证书列明的金额向承包人支付进度款，并通知造价工程师。</w:t>
      </w:r>
    </w:p>
    <w:p>
      <w:pPr>
        <w:pStyle w:val="4"/>
        <w:numPr>
          <w:ilvl w:val="0"/>
          <w:numId w:val="0"/>
        </w:numPr>
        <w:shd w:val="clear" w:color="000000" w:fill="auto"/>
        <w:tabs>
          <w:tab w:val="left" w:pos="420"/>
        </w:tabs>
        <w:spacing w:before="0" w:line="360" w:lineRule="auto"/>
        <w:rPr>
          <w:rFonts w:ascii="仿宋" w:hAnsi="仿宋" w:eastAsia="仿宋" w:cs="Times New Roman"/>
          <w:b/>
          <w:bCs/>
          <w:color w:val="auto"/>
          <w:sz w:val="24"/>
          <w:szCs w:val="24"/>
          <w:highlight w:val="none"/>
        </w:rPr>
      </w:pPr>
      <w:bookmarkStart w:id="672" w:name="_Toc31902"/>
      <w:bookmarkStart w:id="673" w:name="_Toc10624975"/>
      <w:bookmarkStart w:id="674" w:name="_Toc17460"/>
      <w:bookmarkStart w:id="675" w:name="_Toc469384131"/>
      <w:bookmarkStart w:id="676" w:name="_Toc25544"/>
      <w:r>
        <w:rPr>
          <w:rFonts w:ascii="仿宋" w:hAnsi="仿宋" w:eastAsia="仿宋" w:cs="仿宋"/>
          <w:b/>
          <w:bCs/>
          <w:color w:val="auto"/>
          <w:sz w:val="24"/>
          <w:szCs w:val="24"/>
          <w:highlight w:val="none"/>
        </w:rPr>
        <w:t xml:space="preserve">82. </w:t>
      </w:r>
      <w:r>
        <w:rPr>
          <w:rFonts w:hint="eastAsia" w:ascii="仿宋" w:hAnsi="仿宋" w:eastAsia="仿宋" w:cs="仿宋"/>
          <w:b/>
          <w:bCs/>
          <w:color w:val="auto"/>
          <w:sz w:val="24"/>
          <w:szCs w:val="24"/>
          <w:highlight w:val="none"/>
        </w:rPr>
        <w:t>竣工结算</w:t>
      </w:r>
      <w:bookmarkEnd w:id="672"/>
      <w:bookmarkEnd w:id="673"/>
      <w:bookmarkEnd w:id="674"/>
      <w:bookmarkEnd w:id="675"/>
      <w:bookmarkEnd w:id="676"/>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82.1 </w:t>
      </w:r>
    </w:p>
    <w:p>
      <w:pPr>
        <w:shd w:val="clear" w:color="000000" w:fill="auto"/>
        <w:spacing w:line="360" w:lineRule="auto"/>
        <w:ind w:firstLine="141" w:firstLineChars="59"/>
        <w:rPr>
          <w:rFonts w:ascii="宋体" w:hAnsi="宋体" w:cs="宋体"/>
          <w:color w:val="auto"/>
          <w:kern w:val="0"/>
          <w:sz w:val="24"/>
          <w:szCs w:val="24"/>
          <w:highlight w:val="none"/>
        </w:rPr>
      </w:pPr>
      <w:r>
        <w:rPr>
          <w:rFonts w:hint="eastAsia" w:ascii="宋体" w:hAnsi="宋体" w:cs="宋体"/>
          <w:color w:val="auto"/>
          <w:kern w:val="0"/>
          <w:sz w:val="24"/>
          <w:szCs w:val="24"/>
          <w:highlight w:val="none"/>
        </w:rPr>
        <w:t>（1）竣工结算的程序和时限：</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 按通用条款的规定办理。</w:t>
      </w:r>
    </w:p>
    <w:p>
      <w:pPr>
        <w:shd w:val="clear" w:color="000000" w:fill="auto"/>
        <w:spacing w:line="360" w:lineRule="auto"/>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 xml:space="preserve">  </w:t>
      </w:r>
      <w:r>
        <w:rPr>
          <w:rFonts w:hint="eastAsia" w:ascii="黑体" w:hAnsi="黑体" w:eastAsia="黑体" w:cs="黑体"/>
          <w:color w:val="auto"/>
          <w:kern w:val="0"/>
          <w:sz w:val="24"/>
          <w:szCs w:val="24"/>
          <w:highlight w:val="none"/>
        </w:rPr>
        <w:t>■</w:t>
      </w:r>
      <w:r>
        <w:rPr>
          <w:rFonts w:hint="eastAsia" w:ascii="宋体" w:hAnsi="宋体" w:cs="宋体"/>
          <w:color w:val="auto"/>
          <w:kern w:val="0"/>
          <w:sz w:val="24"/>
          <w:szCs w:val="24"/>
          <w:highlight w:val="none"/>
        </w:rPr>
        <w:t xml:space="preserve"> 另作约定：</w:t>
      </w:r>
    </w:p>
    <w:p>
      <w:pPr>
        <w:shd w:val="clear" w:color="000000" w:fill="auto"/>
        <w:autoSpaceDE w:val="0"/>
        <w:autoSpaceDN w:val="0"/>
        <w:adjustRightInd w:val="0"/>
        <w:spacing w:line="360" w:lineRule="auto"/>
        <w:ind w:firstLine="480" w:firstLineChars="200"/>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u w:val="single"/>
        </w:rPr>
        <w:t>办理结算程序和时限为：在工程通过竣工验收后，承包人在30天内提交合格完整的竣工资料</w:t>
      </w:r>
      <w:r>
        <w:rPr>
          <w:rFonts w:hint="eastAsia" w:ascii="宋体" w:hAnsi="宋体" w:cs="宋体"/>
          <w:color w:val="auto"/>
          <w:kern w:val="0"/>
          <w:sz w:val="24"/>
          <w:szCs w:val="24"/>
          <w:highlight w:val="none"/>
          <w:u w:val="single"/>
          <w:lang w:val="en-US" w:eastAsia="zh-CN"/>
        </w:rPr>
        <w:t>2套</w:t>
      </w:r>
      <w:r>
        <w:rPr>
          <w:rFonts w:hint="eastAsia" w:ascii="宋体" w:hAnsi="宋体" w:cs="宋体"/>
          <w:color w:val="auto"/>
          <w:kern w:val="0"/>
          <w:sz w:val="24"/>
          <w:szCs w:val="24"/>
          <w:highlight w:val="none"/>
          <w:u w:val="single"/>
        </w:rPr>
        <w:t>，发包人在收齐承包人有关结算资料后，经各方审计确定工程结算款。</w:t>
      </w:r>
    </w:p>
    <w:p>
      <w:pPr>
        <w:shd w:val="clear" w:color="000000" w:fill="auto"/>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a.承包人必须对其所报竣工结算的准确性负责。</w:t>
      </w:r>
    </w:p>
    <w:p>
      <w:pPr>
        <w:shd w:val="clear" w:color="000000" w:fill="auto"/>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b.发包人以最终审计确认的工程结算款作为结算付款依据，结算审定后，发包人发现工程款超付，则承包人必须在收到发包人的通知后15天内无条件退还发包人，若承包人迟延退还工程款，除向发包人退还超付工程款，还应向发包人支付该超付工程款的利息，该利息以银行同期贷款利率的2倍计算。</w:t>
      </w:r>
    </w:p>
    <w:p>
      <w:pPr>
        <w:shd w:val="clear" w:color="000000" w:fill="auto"/>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c.承包人有义务按d条《工程结算评审资料送审要求》完成相关资料的搜集、整理，直至符合有关部门的要求。</w:t>
      </w:r>
    </w:p>
    <w:p>
      <w:pPr>
        <w:shd w:val="clear" w:color="000000" w:fill="auto"/>
        <w:spacing w:line="360" w:lineRule="auto"/>
        <w:ind w:firstLine="480" w:firstLineChars="200"/>
        <w:outlineLvl w:val="0"/>
        <w:rPr>
          <w:rFonts w:ascii="宋体" w:hAnsi="宋体" w:cs="宋体"/>
          <w:color w:val="auto"/>
          <w:sz w:val="24"/>
          <w:szCs w:val="24"/>
          <w:highlight w:val="none"/>
          <w:u w:val="single"/>
        </w:rPr>
      </w:pPr>
      <w:bookmarkStart w:id="677" w:name="_Toc26737"/>
      <w:bookmarkStart w:id="678" w:name="_Toc8990"/>
      <w:bookmarkStart w:id="679" w:name="_Toc31064"/>
      <w:bookmarkStart w:id="680" w:name="_Toc24224"/>
      <w:r>
        <w:rPr>
          <w:rFonts w:hint="eastAsia" w:ascii="宋体" w:hAnsi="宋体" w:cs="宋体"/>
          <w:color w:val="auto"/>
          <w:sz w:val="24"/>
          <w:szCs w:val="24"/>
          <w:highlight w:val="none"/>
          <w:u w:val="single"/>
        </w:rPr>
        <w:t>d.工程结算资料送审要求</w:t>
      </w:r>
      <w:bookmarkEnd w:id="677"/>
      <w:bookmarkEnd w:id="678"/>
      <w:bookmarkEnd w:id="679"/>
      <w:bookmarkEnd w:id="680"/>
    </w:p>
    <w:p>
      <w:pPr>
        <w:shd w:val="clear" w:color="000000" w:fill="auto"/>
        <w:spacing w:line="360" w:lineRule="auto"/>
        <w:ind w:firstLine="480" w:firstLineChars="200"/>
        <w:outlineLvl w:val="0"/>
        <w:rPr>
          <w:rFonts w:ascii="宋体" w:hAnsi="宋体" w:cs="宋体"/>
          <w:color w:val="auto"/>
          <w:sz w:val="24"/>
          <w:szCs w:val="24"/>
          <w:highlight w:val="none"/>
          <w:u w:val="single"/>
        </w:rPr>
      </w:pPr>
      <w:bookmarkStart w:id="681" w:name="_Toc24257"/>
      <w:bookmarkStart w:id="682" w:name="_Toc8928"/>
      <w:bookmarkStart w:id="683" w:name="_Toc16472"/>
      <w:bookmarkStart w:id="684" w:name="_Toc21983"/>
      <w:r>
        <w:rPr>
          <w:rFonts w:hint="eastAsia" w:ascii="宋体" w:hAnsi="宋体" w:cs="宋体"/>
          <w:color w:val="auto"/>
          <w:sz w:val="24"/>
          <w:szCs w:val="24"/>
          <w:highlight w:val="none"/>
          <w:u w:val="single"/>
        </w:rPr>
        <w:t>（一）需要提供的结算资料：</w:t>
      </w:r>
      <w:bookmarkEnd w:id="681"/>
      <w:bookmarkEnd w:id="682"/>
      <w:bookmarkEnd w:id="683"/>
      <w:bookmarkEnd w:id="684"/>
    </w:p>
    <w:p>
      <w:pPr>
        <w:shd w:val="clear" w:color="000000" w:fill="auto"/>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（1）工程结算书：</w:t>
      </w:r>
    </w:p>
    <w:p>
      <w:pPr>
        <w:shd w:val="clear" w:color="000000" w:fill="auto"/>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（2）工程量计算书；</w:t>
      </w:r>
    </w:p>
    <w:p>
      <w:pPr>
        <w:shd w:val="clear" w:color="000000" w:fill="auto"/>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（3）钢筋抽料表（土建专业适用）：</w:t>
      </w:r>
    </w:p>
    <w:p>
      <w:pPr>
        <w:shd w:val="clear" w:color="000000" w:fill="auto"/>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（4）工程承包合同;</w:t>
      </w:r>
    </w:p>
    <w:p>
      <w:pPr>
        <w:shd w:val="clear" w:color="000000" w:fill="auto"/>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（5）工程竣工图；</w:t>
      </w:r>
    </w:p>
    <w:p>
      <w:pPr>
        <w:shd w:val="clear" w:color="000000" w:fill="auto"/>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（6）工程竣工资料；</w:t>
      </w:r>
    </w:p>
    <w:p>
      <w:pPr>
        <w:shd w:val="clear" w:color="000000" w:fill="auto"/>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（7）图纸会审纪录：</w:t>
      </w:r>
    </w:p>
    <w:p>
      <w:pPr>
        <w:shd w:val="clear" w:color="000000" w:fill="auto"/>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（8）设计变更单：</w:t>
      </w:r>
    </w:p>
    <w:p>
      <w:pPr>
        <w:shd w:val="clear" w:color="000000" w:fill="auto"/>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（9）工程洽商记录；</w:t>
      </w:r>
    </w:p>
    <w:p>
      <w:pPr>
        <w:shd w:val="clear" w:color="000000" w:fill="auto"/>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（10）监理工程师通知或业主施工指令;</w:t>
      </w:r>
    </w:p>
    <w:p>
      <w:pPr>
        <w:shd w:val="clear" w:color="000000" w:fill="auto"/>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（11）会议纪要；</w:t>
      </w:r>
    </w:p>
    <w:p>
      <w:pPr>
        <w:shd w:val="clear" w:color="000000" w:fill="auto"/>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（12）现场签证单：</w:t>
      </w:r>
    </w:p>
    <w:p>
      <w:pPr>
        <w:shd w:val="clear" w:color="000000" w:fill="auto"/>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（13）材料设备单价呈批审核单；</w:t>
      </w:r>
    </w:p>
    <w:p>
      <w:pPr>
        <w:shd w:val="clear" w:color="000000" w:fill="auto"/>
        <w:spacing w:line="360" w:lineRule="auto"/>
        <w:ind w:firstLine="480" w:firstLineChars="200"/>
        <w:outlineLvl w:val="0"/>
        <w:rPr>
          <w:rFonts w:ascii="宋体" w:hAnsi="宋体" w:cs="宋体"/>
          <w:color w:val="auto"/>
          <w:sz w:val="24"/>
          <w:szCs w:val="24"/>
          <w:highlight w:val="none"/>
          <w:u w:val="single"/>
        </w:rPr>
      </w:pPr>
      <w:bookmarkStart w:id="685" w:name="_Toc25985"/>
      <w:bookmarkStart w:id="686" w:name="_Toc2616"/>
      <w:bookmarkStart w:id="687" w:name="_Toc11125"/>
      <w:bookmarkStart w:id="688" w:name="_Toc5234"/>
      <w:r>
        <w:rPr>
          <w:rFonts w:hint="eastAsia" w:ascii="宋体" w:hAnsi="宋体" w:cs="宋体"/>
          <w:color w:val="auto"/>
          <w:sz w:val="24"/>
          <w:szCs w:val="24"/>
          <w:highlight w:val="none"/>
          <w:u w:val="single"/>
        </w:rPr>
        <w:t>（14）综合单价呈批审核单；</w:t>
      </w:r>
      <w:bookmarkEnd w:id="685"/>
      <w:bookmarkEnd w:id="686"/>
      <w:bookmarkEnd w:id="687"/>
      <w:bookmarkEnd w:id="688"/>
    </w:p>
    <w:p>
      <w:pPr>
        <w:shd w:val="clear" w:color="000000" w:fill="auto"/>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（15）招标文件；</w:t>
      </w:r>
    </w:p>
    <w:p>
      <w:pPr>
        <w:shd w:val="clear" w:color="000000" w:fill="auto"/>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（16）投标文件、中标通知书；</w:t>
      </w:r>
    </w:p>
    <w:p>
      <w:pPr>
        <w:shd w:val="clear" w:color="000000" w:fill="auto"/>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（17）甲供材料收货验收签收单；</w:t>
      </w:r>
    </w:p>
    <w:p>
      <w:pPr>
        <w:shd w:val="clear" w:color="000000" w:fill="auto"/>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（18）其他结算资料：</w:t>
      </w:r>
    </w:p>
    <w:p>
      <w:pPr>
        <w:shd w:val="clear" w:color="000000" w:fill="auto"/>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（19）资料签收表。</w:t>
      </w:r>
    </w:p>
    <w:p>
      <w:pPr>
        <w:shd w:val="clear" w:color="000000" w:fill="auto"/>
        <w:spacing w:line="360" w:lineRule="auto"/>
        <w:ind w:firstLine="480" w:firstLineChars="200"/>
        <w:outlineLvl w:val="0"/>
        <w:rPr>
          <w:rFonts w:ascii="宋体" w:hAnsi="宋体" w:cs="宋体"/>
          <w:color w:val="auto"/>
          <w:sz w:val="24"/>
          <w:szCs w:val="24"/>
          <w:highlight w:val="none"/>
          <w:u w:val="single"/>
        </w:rPr>
      </w:pPr>
      <w:bookmarkStart w:id="689" w:name="_Toc30377"/>
      <w:bookmarkStart w:id="690" w:name="_Toc16183"/>
      <w:bookmarkStart w:id="691" w:name="_Toc8590"/>
      <w:bookmarkStart w:id="692" w:name="_Toc22495"/>
      <w:r>
        <w:rPr>
          <w:rFonts w:hint="eastAsia" w:ascii="宋体" w:hAnsi="宋体" w:cs="宋体"/>
          <w:color w:val="auto"/>
          <w:sz w:val="24"/>
          <w:szCs w:val="24"/>
          <w:highlight w:val="none"/>
          <w:u w:val="single"/>
        </w:rPr>
        <w:t>（二）对送审结算资料的具体要求</w:t>
      </w:r>
      <w:bookmarkEnd w:id="689"/>
      <w:bookmarkEnd w:id="690"/>
      <w:bookmarkEnd w:id="691"/>
      <w:bookmarkEnd w:id="692"/>
    </w:p>
    <w:p>
      <w:pPr>
        <w:shd w:val="clear" w:color="000000" w:fill="auto"/>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1）结算书：每项工程的结算书要求分两部分组成：第一部分是竣工图部分，要求以竣工图纸、投标中标价构成的内容为主要部分，包括图纸会审记录、设计变更、监理工程师通知或业主施工指令等；第二部分由现场签证、工程洽商记录以及其他有关费用组成。上述两部分不应有重复列项的内容，用电脑编制的结算书要求提供相应的拷贝磁盘；</w:t>
      </w:r>
    </w:p>
    <w:p>
      <w:pPr>
        <w:shd w:val="clear" w:color="000000" w:fill="auto"/>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2）工程量计算书：工程量计算书应由工程量汇总表和详细的工程量计算式组成，工程量应有详细的计算表达式，施工图、图纸会审记录、设计变更、工程洽商记录、现场签证单、监理工程师通知或业主施工指令等部分的内容应在工程量计算式中一次计算。用电脑编制的工程量计算书应提供相应的拷贝磁盘；</w:t>
      </w:r>
    </w:p>
    <w:p>
      <w:pPr>
        <w:shd w:val="clear" w:color="000000" w:fill="auto"/>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3）钢筋抽料表（土建专业适用）：用电脑抽料的钢筋用量表要求提供相应的拷贝磁盘，用手工抽料的钢筋用量表要求提供详细的抽料表和明细汇总表，详细的抽料表应注明钢筋所在构件名称、施工部位、钢筋编号等；</w:t>
      </w:r>
    </w:p>
    <w:p>
      <w:pPr>
        <w:shd w:val="clear" w:color="000000" w:fill="auto"/>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（4）工程承包合同：包括业主与承包商签订的工程承发包合同、经甲方确认的乙方与第三方签订的分包合同、各类补充合同、合同附件等，要求将上述合同文件列出总目录按顺序整理装订成册；</w:t>
      </w:r>
    </w:p>
    <w:p>
      <w:pPr>
        <w:shd w:val="clear" w:color="000000" w:fill="auto"/>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（5）竣工图：承包人负责编制并提供</w:t>
      </w:r>
      <w:r>
        <w:rPr>
          <w:rFonts w:hint="eastAsia" w:ascii="宋体" w:hAnsi="宋体" w:cs="宋体"/>
          <w:color w:val="auto"/>
          <w:sz w:val="24"/>
          <w:szCs w:val="24"/>
          <w:highlight w:val="none"/>
          <w:u w:val="single"/>
          <w:lang w:val="en-US" w:eastAsia="zh-CN"/>
        </w:rPr>
        <w:t>2</w:t>
      </w:r>
      <w:r>
        <w:rPr>
          <w:rFonts w:hint="eastAsia" w:ascii="宋体" w:hAnsi="宋体" w:cs="宋体"/>
          <w:color w:val="auto"/>
          <w:sz w:val="24"/>
          <w:szCs w:val="24"/>
          <w:highlight w:val="none"/>
          <w:u w:val="single"/>
        </w:rPr>
        <w:t>套竣工图。用于结算的竣工图必须有施工单位竣工图专用章及其相关人员签字，同时要求有监理单位和业主的审核人签字和单位盖章确认。经业主、设计、监理等单位确认的图纸会审记录、设计变更、工程洽商记录、监理工程师通知或业主施工指令等内容均应反映在相应的竣工图上。对未在竣工图上反映的图纸会审记录、设计变更和工程洽商记录等，其费用的增减，在结算评审中不予考虑；</w:t>
      </w:r>
    </w:p>
    <w:p>
      <w:pPr>
        <w:shd w:val="clear" w:color="000000" w:fill="auto"/>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（6）竣工资料：指在进行工程竣工验收和资料归档时所需的资料</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需提供2套</w:t>
      </w:r>
      <w:r>
        <w:rPr>
          <w:rFonts w:hint="eastAsia" w:ascii="宋体" w:hAnsi="宋体" w:cs="宋体"/>
          <w:color w:val="auto"/>
          <w:sz w:val="24"/>
          <w:szCs w:val="24"/>
          <w:highlight w:val="none"/>
          <w:u w:val="single"/>
        </w:rPr>
        <w:t>。具体包括开工报告、竣工报告、工程质量验收评定证书、材料检验报告、产品质量合格证、经业主批准的施工组织设计或施工方案、隐蔽工程验收记录、安装工程的调试方案和调试记录等。竣工资料要求监理单位和业主在确认表上盖章确认，以证明竣工资料上的相关内容与该项目送审资料的实际内容相一致。整理装订成册的竣工资料需编制总目录，并在每一页的下方统一编号，以便于查找；</w:t>
      </w:r>
    </w:p>
    <w:p>
      <w:pPr>
        <w:shd w:val="clear" w:color="000000" w:fill="auto"/>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（7）图纸会审记录：要求按图纸会审的时间先后整理装订成册，图纸会审记录须有各单位参加会审人员签字及会审单位盖章确认；</w:t>
      </w:r>
    </w:p>
    <w:p>
      <w:pPr>
        <w:shd w:val="clear" w:color="000000" w:fill="auto"/>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8）设计变更单：要求按设计变更的时间先后整理（安装工程要分专业）装订成册。设计变更单要求有设计人员的签名及设计单位的盖章，同时要求有监理单位和业主同意按相关的设计变更进行施工的签认意见和单位盖章确认；</w:t>
      </w:r>
    </w:p>
    <w:p>
      <w:pPr>
        <w:shd w:val="clear" w:color="000000" w:fill="auto"/>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（9）工程洽商记录：要求根据工程洽商记录的时间先后整理装订成册，然后在每一页的下方统一编号，以便于查找。工程洽商记录要求有监理单位和业主相关人员的签字和单位盖章确认；</w:t>
      </w:r>
    </w:p>
    <w:p>
      <w:pPr>
        <w:shd w:val="clear" w:color="000000" w:fill="auto"/>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10）监理工程师通知或业主施工指令：要求根据监理工程师通知或业主施工指令的时间先后整理装订成册，然后在每一页的下方统一编号。监理工程师通知或业主施工指令要求有监理单位和业主相关人员的签字和单位盖章确认；</w:t>
      </w:r>
    </w:p>
    <w:p>
      <w:pPr>
        <w:shd w:val="clear" w:color="000000" w:fill="auto"/>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11）会议纪要：指工程质量、安全、技术、经济等现场协调会会议纪要等。要求根据会议纪要的时间先后整理装订成册，然后在每一页的下方统一编号。会议纪要要求有参与会议的各方代表签字，监理单位和业主盖章确认；</w:t>
      </w:r>
    </w:p>
    <w:p>
      <w:pPr>
        <w:shd w:val="clear" w:color="000000" w:fill="auto"/>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12）现场签证单：要求根据现场签证单的时间先后整理装订成册，然后在每一页的下方统一编号，现场签证单上应有工程数量的计算过程和施工简图，并有监理单位和业主相关人员签字和单位盖章确认，并且有上述单位的造价工程师对工程造价进行审核的签字和盖章；</w:t>
      </w:r>
    </w:p>
    <w:p>
      <w:pPr>
        <w:shd w:val="clear" w:color="000000" w:fill="auto"/>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13）材料设备单价呈批审核单：凡在工程招标文件或工程承包合同中未明确的主要材料设备单价，要求根据材料设备单价呈批审核单的编号顺序整理装订成册。每项审核单应附有相关的资料或注明相关资料在送审结算资料的哪一部分和哪一页位置上，要求有使用该材料设备的专题会议纪录、材料发票、购买合同等有效材料设备价格凭证等。每份审核单手续必需完备，要求有监理单位和业主相关人员的签字和单位盖章确认；</w:t>
      </w:r>
    </w:p>
    <w:p>
      <w:pPr>
        <w:shd w:val="clear" w:color="000000" w:fill="auto"/>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14）综合单价呈批审核单：在作为合同附件之一的工程量清单中未列但在施工过程中发生的项目，应由施工单位编制单价分析表，报监理单位和业主审核综合单价。在结算资料送审时，要求按综合单价呈批审核单的编号顺序整理装订成册。每项审核单应附有相关的资料或注明相关资料在送审结算资料的哪一部分和哪一页位置上，如材料设备专题会议纪录、设计变更、工程洽商记录、监理工程师通知等；</w:t>
      </w:r>
    </w:p>
    <w:p>
      <w:pPr>
        <w:shd w:val="clear" w:color="000000" w:fill="auto"/>
        <w:spacing w:line="360" w:lineRule="auto"/>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每份综合单价呈批审核单手续必需完备，要求有监理单位和业主相关人员的签字和单位盖章确认，并且有造价工程师对综合单价进行审核的签字和盖章；</w:t>
      </w:r>
    </w:p>
    <w:p>
      <w:pPr>
        <w:shd w:val="clear" w:color="000000" w:fill="auto"/>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（15）招标文件：招标文件包括招标图纸、合同条件、技术规范、招标工程量清单、投标须知、招标补遗书、招标答疑纪要等。招标文件应整理装订成册；</w:t>
      </w:r>
    </w:p>
    <w:p>
      <w:pPr>
        <w:shd w:val="clear" w:color="000000" w:fill="auto"/>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（16）投标文件、中标通知书：包括技术标、经济标、投标承诺书、投标补充函、中标通知书；</w:t>
      </w:r>
    </w:p>
    <w:p>
      <w:pPr>
        <w:shd w:val="clear" w:color="000000" w:fill="auto"/>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（17）甲供材料收货验收签收单：按甲供材料收货验收签收单的编号顺序及不同材料分类整理装订成册。要求甲供材料收货验收签收单上有施工单位、材料供货单位、监理单位、业主代表签字和单位盖章确认；</w:t>
      </w:r>
    </w:p>
    <w:p>
      <w:pPr>
        <w:shd w:val="clear" w:color="000000" w:fill="auto"/>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18）其他结算资料：凡上述未提及而在结算评审中需要的资料均需提供，例如：施工日记、地质勘察报告、非常用的标准图集、应由施工单位承担而由建设单位支付的费用证明如甲方代缴施工水电费票据、余泥排放费证明等；</w:t>
      </w:r>
    </w:p>
    <w:p>
      <w:pPr>
        <w:shd w:val="clear" w:color="000000" w:fill="auto"/>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19）资料签收表：按送审结算资料的内容列表，以便资料的移交和管理。资料签收表上应注明资料内容、份数和页数（标注页码），并且对所有复印资料的真实性进行确认。资料签收表一式两份，由资料移交人和接收人分别签名，必要时加盖双方单位的印章。</w:t>
      </w:r>
    </w:p>
    <w:p>
      <w:pPr>
        <w:shd w:val="clear" w:color="000000" w:fill="auto"/>
        <w:spacing w:line="360" w:lineRule="auto"/>
        <w:rPr>
          <w:rFonts w:ascii="宋体" w:hAnsi="宋体" w:cs="宋体"/>
          <w:color w:val="auto"/>
          <w:kern w:val="0"/>
          <w:sz w:val="24"/>
          <w:szCs w:val="24"/>
          <w:highlight w:val="none"/>
        </w:rPr>
      </w:pPr>
    </w:p>
    <w:p>
      <w:pPr>
        <w:shd w:val="clear" w:color="000000" w:fill="auto"/>
        <w:spacing w:line="360" w:lineRule="auto"/>
        <w:ind w:firstLine="141" w:firstLineChars="59"/>
        <w:rPr>
          <w:rFonts w:ascii="宋体" w:hAnsi="宋体" w:cs="宋体"/>
          <w:color w:val="auto"/>
          <w:kern w:val="0"/>
          <w:sz w:val="24"/>
          <w:szCs w:val="24"/>
          <w:highlight w:val="none"/>
        </w:rPr>
      </w:pPr>
      <w:r>
        <w:rPr>
          <w:rFonts w:hint="eastAsia" w:ascii="宋体" w:hAnsi="宋体" w:cs="宋体"/>
          <w:color w:val="auto"/>
          <w:sz w:val="24"/>
          <w:szCs w:val="24"/>
          <w:highlight w:val="none"/>
        </w:rPr>
        <w:t>（2）施工过程结算约定：</w:t>
      </w:r>
    </w:p>
    <w:p>
      <w:pPr>
        <w:shd w:val="clear" w:color="000000" w:fill="auto"/>
        <w:spacing w:line="360" w:lineRule="auto"/>
        <w:ind w:firstLine="240" w:firstLineChars="100"/>
        <w:rPr>
          <w:rFonts w:ascii="宋体" w:hAnsi="宋体" w:cs="宋体"/>
          <w:color w:val="auto"/>
          <w:sz w:val="24"/>
          <w:szCs w:val="24"/>
          <w:highlight w:val="none"/>
        </w:rPr>
      </w:pPr>
      <w:r>
        <w:rPr>
          <w:rFonts w:hint="eastAsia" w:ascii="宋体" w:hAnsi="宋体" w:cs="宋体"/>
          <w:color w:val="auto"/>
          <w:sz w:val="24"/>
          <w:szCs w:val="24"/>
          <w:highlight w:val="none"/>
        </w:rPr>
        <w:t>1、施工过程结算的程序</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u w:val="single"/>
        </w:rPr>
        <w:t xml:space="preserve">   /        </w:t>
      </w:r>
    </w:p>
    <w:p>
      <w:pPr>
        <w:shd w:val="clear" w:color="000000" w:fill="auto"/>
        <w:spacing w:line="360" w:lineRule="auto"/>
        <w:ind w:firstLine="240" w:firstLineChars="1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sz w:val="24"/>
          <w:szCs w:val="24"/>
          <w:highlight w:val="none"/>
        </w:rPr>
        <w:t>施工过程结算节点：</w:t>
      </w:r>
    </w:p>
    <w:p>
      <w:pPr>
        <w:shd w:val="clear" w:color="000000" w:fill="auto"/>
        <w:spacing w:line="360" w:lineRule="auto"/>
        <w:ind w:firstLine="240" w:firstLineChars="100"/>
        <w:rPr>
          <w:rFonts w:ascii="宋体" w:hAnsi="宋体" w:cs="宋体"/>
          <w:color w:val="auto"/>
          <w:sz w:val="24"/>
          <w:szCs w:val="24"/>
          <w:highlight w:val="none"/>
        </w:rPr>
      </w:pPr>
      <w:r>
        <w:rPr>
          <w:rFonts w:hint="eastAsia" w:ascii="宋体" w:hAnsi="宋体" w:cs="宋体"/>
          <w:color w:val="auto"/>
          <w:kern w:val="0"/>
          <w:sz w:val="24"/>
          <w:szCs w:val="24"/>
          <w:highlight w:val="none"/>
        </w:rPr>
        <w:t>□</w:t>
      </w:r>
      <w:r>
        <w:rPr>
          <w:rFonts w:hint="eastAsia" w:ascii="宋体" w:hAnsi="宋体" w:cs="宋体"/>
          <w:color w:val="auto"/>
          <w:sz w:val="24"/>
          <w:szCs w:val="24"/>
          <w:highlight w:val="none"/>
        </w:rPr>
        <w:t>工程分标段施工的，以标段完成后作为施工过程结算节点：</w:t>
      </w:r>
      <w:r>
        <w:rPr>
          <w:rFonts w:hint="eastAsia" w:ascii="宋体" w:hAnsi="宋体" w:cs="宋体"/>
          <w:color w:val="auto"/>
          <w:kern w:val="0"/>
          <w:sz w:val="24"/>
          <w:szCs w:val="24"/>
          <w:highlight w:val="none"/>
          <w:u w:val="single"/>
        </w:rPr>
        <w:t xml:space="preserve">  /   </w:t>
      </w:r>
    </w:p>
    <w:p>
      <w:pPr>
        <w:shd w:val="clear" w:color="000000" w:fill="auto"/>
        <w:spacing w:line="360" w:lineRule="auto"/>
        <w:ind w:firstLine="240" w:firstLineChars="100"/>
        <w:rPr>
          <w:rFonts w:ascii="宋体" w:hAnsi="宋体" w:cs="宋体"/>
          <w:color w:val="auto"/>
          <w:sz w:val="24"/>
          <w:szCs w:val="24"/>
          <w:highlight w:val="none"/>
        </w:rPr>
      </w:pPr>
      <w:r>
        <w:rPr>
          <w:rFonts w:hint="eastAsia" w:ascii="宋体" w:hAnsi="宋体" w:cs="宋体"/>
          <w:color w:val="auto"/>
          <w:kern w:val="0"/>
          <w:sz w:val="24"/>
          <w:szCs w:val="24"/>
          <w:highlight w:val="none"/>
        </w:rPr>
        <w:t>□</w:t>
      </w:r>
      <w:r>
        <w:rPr>
          <w:rFonts w:hint="eastAsia" w:ascii="宋体" w:hAnsi="宋体" w:cs="宋体"/>
          <w:color w:val="auto"/>
          <w:sz w:val="24"/>
          <w:szCs w:val="24"/>
          <w:highlight w:val="none"/>
        </w:rPr>
        <w:t>以完成单项工程、单位工程、分部工程作为施工过程结算节点：</w:t>
      </w:r>
      <w:r>
        <w:rPr>
          <w:rFonts w:hint="eastAsia" w:ascii="宋体" w:hAnsi="宋体" w:cs="宋体"/>
          <w:color w:val="auto"/>
          <w:kern w:val="0"/>
          <w:sz w:val="24"/>
          <w:szCs w:val="24"/>
          <w:highlight w:val="none"/>
          <w:u w:val="single"/>
        </w:rPr>
        <w:t xml:space="preserve"> /  </w:t>
      </w:r>
    </w:p>
    <w:p>
      <w:pPr>
        <w:shd w:val="clear" w:color="000000" w:fill="auto"/>
        <w:spacing w:line="360" w:lineRule="auto"/>
        <w:ind w:firstLine="240" w:firstLineChars="100"/>
        <w:rPr>
          <w:rFonts w:ascii="宋体" w:hAnsi="宋体" w:cs="宋体"/>
          <w:color w:val="auto"/>
          <w:sz w:val="24"/>
          <w:szCs w:val="24"/>
          <w:highlight w:val="none"/>
        </w:rPr>
      </w:pPr>
      <w:r>
        <w:rPr>
          <w:rFonts w:hint="eastAsia" w:ascii="宋体" w:hAnsi="宋体" w:cs="宋体"/>
          <w:color w:val="auto"/>
          <w:kern w:val="0"/>
          <w:sz w:val="24"/>
          <w:szCs w:val="24"/>
          <w:highlight w:val="none"/>
        </w:rPr>
        <w:t>□</w:t>
      </w:r>
      <w:r>
        <w:rPr>
          <w:rFonts w:hint="eastAsia" w:ascii="宋体" w:hAnsi="宋体" w:cs="宋体"/>
          <w:color w:val="auto"/>
          <w:sz w:val="24"/>
          <w:szCs w:val="24"/>
          <w:highlight w:val="none"/>
        </w:rPr>
        <w:t>规模较大的分部工程或分部工程计划完成时间一年以上的，以完成分部工程的进度节点或时间（季、年等）节点作为施工过程结算节点：</w:t>
      </w:r>
      <w:r>
        <w:rPr>
          <w:rFonts w:hint="eastAsia" w:ascii="宋体" w:hAnsi="宋体" w:cs="宋体"/>
          <w:color w:val="auto"/>
          <w:kern w:val="0"/>
          <w:sz w:val="24"/>
          <w:szCs w:val="24"/>
          <w:highlight w:val="none"/>
          <w:u w:val="single"/>
        </w:rPr>
        <w:t xml:space="preserve">   /         </w:t>
      </w:r>
    </w:p>
    <w:p>
      <w:pPr>
        <w:shd w:val="clear" w:color="000000" w:fill="auto"/>
        <w:spacing w:line="360" w:lineRule="auto"/>
        <w:ind w:firstLine="240" w:firstLineChars="100"/>
        <w:rPr>
          <w:rFonts w:ascii="宋体" w:hAnsi="宋体" w:cs="宋体"/>
          <w:color w:val="auto"/>
          <w:sz w:val="24"/>
          <w:szCs w:val="24"/>
          <w:highlight w:val="none"/>
        </w:rPr>
      </w:pPr>
      <w:r>
        <w:rPr>
          <w:rFonts w:hint="eastAsia" w:ascii="宋体" w:hAnsi="宋体" w:cs="宋体"/>
          <w:color w:val="auto"/>
          <w:kern w:val="0"/>
          <w:sz w:val="24"/>
          <w:szCs w:val="24"/>
          <w:highlight w:val="none"/>
        </w:rPr>
        <w:t>□</w:t>
      </w:r>
      <w:r>
        <w:rPr>
          <w:rFonts w:hint="eastAsia" w:ascii="宋体" w:hAnsi="宋体" w:cs="宋体"/>
          <w:color w:val="auto"/>
          <w:sz w:val="24"/>
          <w:szCs w:val="24"/>
          <w:highlight w:val="none"/>
        </w:rPr>
        <w:t>以完成工程功能内容或专业工程作为施工过程结算节点：</w:t>
      </w:r>
      <w:r>
        <w:rPr>
          <w:rFonts w:hint="eastAsia" w:ascii="宋体" w:hAnsi="宋体" w:cs="宋体"/>
          <w:color w:val="auto"/>
          <w:kern w:val="0"/>
          <w:sz w:val="24"/>
          <w:szCs w:val="24"/>
          <w:highlight w:val="none"/>
          <w:u w:val="single"/>
        </w:rPr>
        <w:t xml:space="preserve">   /     </w:t>
      </w:r>
    </w:p>
    <w:p>
      <w:pPr>
        <w:shd w:val="clear" w:color="000000" w:fill="auto"/>
        <w:spacing w:line="360" w:lineRule="auto"/>
        <w:ind w:firstLine="240" w:firstLineChars="100"/>
        <w:rPr>
          <w:rFonts w:ascii="宋体" w:hAnsi="宋体" w:cs="宋体"/>
          <w:color w:val="auto"/>
          <w:kern w:val="0"/>
          <w:sz w:val="24"/>
          <w:szCs w:val="24"/>
          <w:highlight w:val="none"/>
        </w:rPr>
      </w:pPr>
      <w:r>
        <w:rPr>
          <w:rFonts w:hint="eastAsia" w:ascii="宋体" w:hAnsi="宋体" w:cs="宋体"/>
          <w:color w:val="auto"/>
          <w:kern w:val="0"/>
          <w:sz w:val="24"/>
          <w:szCs w:val="24"/>
          <w:highlight w:val="none"/>
        </w:rPr>
        <w:t>□其它：</w:t>
      </w:r>
      <w:r>
        <w:rPr>
          <w:rFonts w:hint="eastAsia" w:ascii="宋体" w:hAnsi="宋体" w:cs="宋体"/>
          <w:color w:val="auto"/>
          <w:kern w:val="0"/>
          <w:sz w:val="24"/>
          <w:szCs w:val="24"/>
          <w:highlight w:val="none"/>
          <w:u w:val="single"/>
        </w:rPr>
        <w:t xml:space="preserve">    /        </w:t>
      </w:r>
    </w:p>
    <w:p>
      <w:pPr>
        <w:shd w:val="clear" w:color="000000" w:fill="auto"/>
        <w:spacing w:line="360" w:lineRule="auto"/>
        <w:ind w:firstLine="240" w:firstLineChars="100"/>
        <w:rPr>
          <w:rFonts w:ascii="宋体" w:hAnsi="宋体" w:cs="宋体"/>
          <w:color w:val="auto"/>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sz w:val="24"/>
          <w:szCs w:val="24"/>
          <w:highlight w:val="none"/>
        </w:rPr>
        <w:t>施工过程结算价款的编制与核对：</w:t>
      </w:r>
      <w:r>
        <w:rPr>
          <w:rFonts w:hint="eastAsia" w:ascii="宋体" w:hAnsi="宋体" w:cs="宋体"/>
          <w:color w:val="auto"/>
          <w:kern w:val="0"/>
          <w:sz w:val="24"/>
          <w:szCs w:val="24"/>
          <w:highlight w:val="none"/>
          <w:u w:val="single"/>
        </w:rPr>
        <w:t xml:space="preserve">    /         </w:t>
      </w:r>
    </w:p>
    <w:p>
      <w:pPr>
        <w:shd w:val="clear" w:color="000000" w:fill="auto"/>
        <w:spacing w:line="360" w:lineRule="auto"/>
        <w:ind w:firstLine="240" w:firstLineChars="100"/>
        <w:rPr>
          <w:rFonts w:ascii="宋体" w:hAnsi="宋体" w:cs="宋体"/>
          <w:color w:val="auto"/>
          <w:sz w:val="24"/>
          <w:szCs w:val="24"/>
          <w:highlight w:val="none"/>
        </w:rPr>
      </w:pPr>
      <w:r>
        <w:rPr>
          <w:rFonts w:hint="eastAsia" w:ascii="宋体" w:hAnsi="宋体" w:cs="宋体"/>
          <w:color w:val="auto"/>
          <w:sz w:val="24"/>
          <w:szCs w:val="24"/>
          <w:highlight w:val="none"/>
        </w:rPr>
        <w:t>4、采用施工过程结算方法时竣工结算价款的编制与核对：</w:t>
      </w:r>
      <w:r>
        <w:rPr>
          <w:rFonts w:hint="eastAsia" w:ascii="宋体" w:hAnsi="宋体" w:cs="宋体"/>
          <w:color w:val="auto"/>
          <w:kern w:val="0"/>
          <w:sz w:val="24"/>
          <w:szCs w:val="24"/>
          <w:highlight w:val="none"/>
          <w:u w:val="single"/>
        </w:rPr>
        <w:t xml:space="preserve">      /     </w:t>
      </w:r>
    </w:p>
    <w:p>
      <w:pPr>
        <w:shd w:val="clear" w:color="000000" w:fill="auto"/>
        <w:spacing w:line="360" w:lineRule="auto"/>
        <w:ind w:firstLine="240" w:firstLineChars="100"/>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5、</w:t>
      </w:r>
      <w:r>
        <w:rPr>
          <w:rFonts w:hint="eastAsia" w:ascii="宋体" w:hAnsi="宋体" w:cs="宋体"/>
          <w:color w:val="auto"/>
          <w:sz w:val="24"/>
          <w:szCs w:val="24"/>
          <w:highlight w:val="none"/>
        </w:rPr>
        <w:t>施工过程结算支付时限</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u w:val="single"/>
        </w:rPr>
        <w:t xml:space="preserve">    /          </w:t>
      </w:r>
    </w:p>
    <w:p>
      <w:pPr>
        <w:shd w:val="clear" w:color="000000" w:fill="auto"/>
        <w:spacing w:line="360" w:lineRule="auto"/>
        <w:ind w:firstLine="240" w:firstLineChars="100"/>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6、</w:t>
      </w:r>
      <w:r>
        <w:rPr>
          <w:rFonts w:hint="eastAsia" w:ascii="宋体" w:hAnsi="宋体" w:cs="宋体"/>
          <w:color w:val="auto"/>
          <w:sz w:val="24"/>
          <w:szCs w:val="24"/>
          <w:highlight w:val="none"/>
        </w:rPr>
        <w:t>分段结算的其他约定</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u w:val="single"/>
        </w:rPr>
        <w:t xml:space="preserve">     /   。</w:t>
      </w:r>
    </w:p>
    <w:p>
      <w:pPr>
        <w:shd w:val="clear" w:color="000000" w:fill="auto"/>
        <w:spacing w:line="360" w:lineRule="auto"/>
        <w:ind w:firstLine="240" w:firstLineChars="100"/>
        <w:rPr>
          <w:rFonts w:ascii="宋体" w:hAnsi="宋体" w:cs="宋体"/>
          <w:color w:val="auto"/>
          <w:kern w:val="0"/>
          <w:sz w:val="24"/>
          <w:szCs w:val="24"/>
          <w:highlight w:val="none"/>
        </w:rPr>
      </w:pPr>
      <w:r>
        <w:rPr>
          <w:rFonts w:hint="eastAsia" w:ascii="宋体" w:hAnsi="宋体" w:cs="宋体"/>
          <w:color w:val="auto"/>
          <w:kern w:val="0"/>
          <w:sz w:val="24"/>
          <w:szCs w:val="24"/>
          <w:highlight w:val="none"/>
        </w:rPr>
        <w:t>82.2</w:t>
      </w:r>
    </w:p>
    <w:p>
      <w:pPr>
        <w:shd w:val="clear" w:color="000000" w:fill="auto"/>
        <w:spacing w:line="360" w:lineRule="auto"/>
        <w:ind w:firstLine="240" w:firstLineChars="100"/>
        <w:rPr>
          <w:rFonts w:ascii="宋体" w:hAnsi="宋体" w:cs="宋体"/>
          <w:color w:val="auto"/>
          <w:sz w:val="24"/>
          <w:szCs w:val="24"/>
          <w:highlight w:val="none"/>
        </w:rPr>
      </w:pPr>
      <w:r>
        <w:rPr>
          <w:rFonts w:hint="eastAsia" w:ascii="宋体" w:hAnsi="宋体" w:cs="宋体"/>
          <w:color w:val="auto"/>
          <w:sz w:val="24"/>
          <w:szCs w:val="24"/>
          <w:highlight w:val="none"/>
        </w:rPr>
        <w:t>（1）竣工结算文件清单：</w:t>
      </w:r>
    </w:p>
    <w:p>
      <w:pPr>
        <w:shd w:val="clear" w:color="000000" w:fill="auto"/>
        <w:spacing w:line="360" w:lineRule="auto"/>
        <w:ind w:firstLine="480" w:firstLineChars="200"/>
        <w:jc w:val="left"/>
        <w:rPr>
          <w:rFonts w:ascii="宋体" w:hAnsi="宋体" w:cs="宋体"/>
          <w:color w:val="auto"/>
          <w:sz w:val="24"/>
          <w:szCs w:val="24"/>
          <w:highlight w:val="none"/>
        </w:rPr>
      </w:pPr>
      <w:r>
        <w:rPr>
          <w:rFonts w:hint="eastAsia" w:ascii="黑体" w:hAnsi="黑体" w:eastAsia="黑体" w:cs="黑体"/>
          <w:color w:val="auto"/>
          <w:kern w:val="0"/>
          <w:sz w:val="24"/>
          <w:szCs w:val="24"/>
          <w:highlight w:val="none"/>
        </w:rPr>
        <w:t>■</w:t>
      </w:r>
      <w:r>
        <w:rPr>
          <w:rFonts w:hint="eastAsia" w:ascii="宋体" w:hAnsi="宋体" w:cs="宋体"/>
          <w:color w:val="auto"/>
          <w:sz w:val="24"/>
          <w:szCs w:val="24"/>
          <w:highlight w:val="none"/>
        </w:rPr>
        <w:t>（1）工程结算书</w:t>
      </w:r>
    </w:p>
    <w:p>
      <w:pPr>
        <w:shd w:val="clear" w:color="000000" w:fill="auto"/>
        <w:spacing w:line="360" w:lineRule="auto"/>
        <w:ind w:firstLine="480" w:firstLineChars="200"/>
        <w:jc w:val="left"/>
        <w:rPr>
          <w:rFonts w:ascii="宋体" w:hAnsi="宋体" w:cs="宋体"/>
          <w:color w:val="auto"/>
          <w:sz w:val="24"/>
          <w:szCs w:val="24"/>
          <w:highlight w:val="none"/>
        </w:rPr>
      </w:pPr>
      <w:r>
        <w:rPr>
          <w:rFonts w:hint="eastAsia" w:ascii="黑体" w:hAnsi="黑体" w:eastAsia="黑体" w:cs="黑体"/>
          <w:color w:val="auto"/>
          <w:kern w:val="0"/>
          <w:sz w:val="24"/>
          <w:szCs w:val="24"/>
          <w:highlight w:val="none"/>
        </w:rPr>
        <w:t>■</w:t>
      </w:r>
      <w:r>
        <w:rPr>
          <w:rFonts w:hint="eastAsia" w:ascii="宋体" w:hAnsi="宋体" w:cs="宋体"/>
          <w:color w:val="auto"/>
          <w:sz w:val="24"/>
          <w:szCs w:val="24"/>
          <w:highlight w:val="none"/>
        </w:rPr>
        <w:t>（2）工程量计算书</w:t>
      </w:r>
    </w:p>
    <w:p>
      <w:pPr>
        <w:shd w:val="clear" w:color="000000" w:fill="auto"/>
        <w:spacing w:line="360" w:lineRule="auto"/>
        <w:ind w:firstLine="480" w:firstLineChars="200"/>
        <w:jc w:val="left"/>
        <w:rPr>
          <w:rFonts w:ascii="宋体" w:hAnsi="宋体" w:cs="宋体"/>
          <w:color w:val="auto"/>
          <w:sz w:val="24"/>
          <w:szCs w:val="24"/>
          <w:highlight w:val="none"/>
        </w:rPr>
      </w:pPr>
      <w:r>
        <w:rPr>
          <w:rFonts w:hint="eastAsia" w:ascii="黑体" w:hAnsi="黑体" w:eastAsia="黑体" w:cs="黑体"/>
          <w:color w:val="auto"/>
          <w:kern w:val="0"/>
          <w:sz w:val="24"/>
          <w:szCs w:val="24"/>
          <w:highlight w:val="none"/>
        </w:rPr>
        <w:t>■</w:t>
      </w:r>
      <w:r>
        <w:rPr>
          <w:rFonts w:hint="eastAsia" w:ascii="宋体" w:hAnsi="宋体" w:cs="宋体"/>
          <w:color w:val="auto"/>
          <w:sz w:val="24"/>
          <w:szCs w:val="24"/>
          <w:highlight w:val="none"/>
        </w:rPr>
        <w:t>（3）钢筋抽料表（如有）</w:t>
      </w:r>
    </w:p>
    <w:p>
      <w:pPr>
        <w:shd w:val="clear" w:color="000000" w:fill="auto"/>
        <w:spacing w:line="360" w:lineRule="auto"/>
        <w:ind w:firstLine="480" w:firstLineChars="200"/>
        <w:jc w:val="left"/>
        <w:rPr>
          <w:rFonts w:ascii="宋体" w:hAnsi="宋体" w:cs="宋体"/>
          <w:color w:val="auto"/>
          <w:sz w:val="24"/>
          <w:szCs w:val="24"/>
          <w:highlight w:val="none"/>
        </w:rPr>
      </w:pPr>
      <w:r>
        <w:rPr>
          <w:rFonts w:hint="eastAsia" w:ascii="黑体" w:hAnsi="黑体" w:eastAsia="黑体" w:cs="黑体"/>
          <w:color w:val="auto"/>
          <w:kern w:val="0"/>
          <w:sz w:val="24"/>
          <w:szCs w:val="24"/>
          <w:highlight w:val="none"/>
        </w:rPr>
        <w:t>■</w:t>
      </w:r>
      <w:r>
        <w:rPr>
          <w:rFonts w:hint="eastAsia" w:ascii="宋体" w:hAnsi="宋体" w:cs="宋体"/>
          <w:color w:val="auto"/>
          <w:sz w:val="24"/>
          <w:szCs w:val="24"/>
          <w:highlight w:val="none"/>
        </w:rPr>
        <w:t>（4）工程承包合同</w:t>
      </w:r>
    </w:p>
    <w:p>
      <w:pPr>
        <w:shd w:val="clear" w:color="000000" w:fill="auto"/>
        <w:spacing w:line="360" w:lineRule="auto"/>
        <w:ind w:firstLine="480" w:firstLineChars="200"/>
        <w:jc w:val="left"/>
        <w:rPr>
          <w:rFonts w:ascii="宋体" w:hAnsi="宋体" w:cs="宋体"/>
          <w:color w:val="auto"/>
          <w:sz w:val="24"/>
          <w:szCs w:val="24"/>
          <w:highlight w:val="none"/>
        </w:rPr>
      </w:pPr>
      <w:r>
        <w:rPr>
          <w:rFonts w:hint="eastAsia" w:ascii="黑体" w:hAnsi="黑体" w:eastAsia="黑体" w:cs="黑体"/>
          <w:color w:val="auto"/>
          <w:kern w:val="0"/>
          <w:sz w:val="24"/>
          <w:szCs w:val="24"/>
          <w:highlight w:val="none"/>
        </w:rPr>
        <w:t>■</w:t>
      </w:r>
      <w:r>
        <w:rPr>
          <w:rFonts w:hint="eastAsia" w:ascii="宋体" w:hAnsi="宋体" w:cs="宋体"/>
          <w:color w:val="auto"/>
          <w:sz w:val="24"/>
          <w:szCs w:val="24"/>
          <w:highlight w:val="none"/>
        </w:rPr>
        <w:t>（5）工程竣工图（含电子版和相关部门要求的专用软件版本）</w:t>
      </w:r>
    </w:p>
    <w:p>
      <w:pPr>
        <w:shd w:val="clear" w:color="000000" w:fill="auto"/>
        <w:spacing w:line="360" w:lineRule="auto"/>
        <w:ind w:left="599" w:leftChars="228" w:hanging="120" w:hangingChars="50"/>
        <w:jc w:val="left"/>
        <w:rPr>
          <w:rFonts w:ascii="宋体" w:hAnsi="宋体" w:cs="宋体"/>
          <w:color w:val="auto"/>
          <w:sz w:val="24"/>
          <w:szCs w:val="24"/>
          <w:highlight w:val="none"/>
        </w:rPr>
      </w:pPr>
      <w:r>
        <w:rPr>
          <w:rFonts w:hint="eastAsia" w:ascii="黑体" w:hAnsi="黑体" w:eastAsia="黑体" w:cs="黑体"/>
          <w:color w:val="auto"/>
          <w:kern w:val="0"/>
          <w:sz w:val="24"/>
          <w:szCs w:val="24"/>
          <w:highlight w:val="none"/>
        </w:rPr>
        <w:t>■</w:t>
      </w:r>
      <w:r>
        <w:rPr>
          <w:rFonts w:hint="eastAsia" w:ascii="宋体" w:hAnsi="宋体" w:cs="宋体"/>
          <w:color w:val="auto"/>
          <w:sz w:val="24"/>
          <w:szCs w:val="24"/>
          <w:highlight w:val="none"/>
        </w:rPr>
        <w:t>（6）工程竣工资料（含电子版及相关部门要求的专用软件版本、单位工程开工申请报告、单位工程工程竣工验收报告）</w:t>
      </w:r>
    </w:p>
    <w:p>
      <w:pPr>
        <w:shd w:val="clear" w:color="000000" w:fill="auto"/>
        <w:spacing w:line="360" w:lineRule="auto"/>
        <w:ind w:firstLine="480" w:firstLineChars="200"/>
        <w:jc w:val="left"/>
        <w:rPr>
          <w:rFonts w:ascii="宋体" w:hAnsi="宋体" w:cs="宋体"/>
          <w:color w:val="auto"/>
          <w:sz w:val="24"/>
          <w:szCs w:val="24"/>
          <w:highlight w:val="none"/>
        </w:rPr>
      </w:pPr>
      <w:r>
        <w:rPr>
          <w:rFonts w:hint="eastAsia" w:ascii="黑体" w:hAnsi="黑体" w:eastAsia="黑体" w:cs="黑体"/>
          <w:color w:val="auto"/>
          <w:kern w:val="0"/>
          <w:sz w:val="24"/>
          <w:szCs w:val="24"/>
          <w:highlight w:val="none"/>
        </w:rPr>
        <w:t>■</w:t>
      </w:r>
      <w:r>
        <w:rPr>
          <w:rFonts w:hint="eastAsia" w:ascii="宋体" w:hAnsi="宋体" w:cs="宋体"/>
          <w:color w:val="auto"/>
          <w:sz w:val="24"/>
          <w:szCs w:val="24"/>
          <w:highlight w:val="none"/>
        </w:rPr>
        <w:t>（7）图纸会审记录</w:t>
      </w:r>
    </w:p>
    <w:p>
      <w:pPr>
        <w:shd w:val="clear" w:color="000000" w:fill="auto"/>
        <w:spacing w:line="360" w:lineRule="auto"/>
        <w:ind w:firstLine="480" w:firstLineChars="200"/>
        <w:jc w:val="left"/>
        <w:rPr>
          <w:rFonts w:ascii="宋体" w:hAnsi="宋体" w:cs="宋体"/>
          <w:color w:val="auto"/>
          <w:sz w:val="24"/>
          <w:szCs w:val="24"/>
          <w:highlight w:val="none"/>
        </w:rPr>
      </w:pPr>
      <w:r>
        <w:rPr>
          <w:rFonts w:hint="eastAsia" w:ascii="黑体" w:hAnsi="黑体" w:eastAsia="黑体" w:cs="黑体"/>
          <w:color w:val="auto"/>
          <w:kern w:val="0"/>
          <w:sz w:val="24"/>
          <w:szCs w:val="24"/>
          <w:highlight w:val="none"/>
        </w:rPr>
        <w:t>■</w:t>
      </w:r>
      <w:r>
        <w:rPr>
          <w:rFonts w:hint="eastAsia" w:ascii="宋体" w:hAnsi="宋体" w:cs="宋体"/>
          <w:color w:val="auto"/>
          <w:sz w:val="24"/>
          <w:szCs w:val="24"/>
          <w:highlight w:val="none"/>
        </w:rPr>
        <w:t>（8）设计变更单</w:t>
      </w:r>
    </w:p>
    <w:p>
      <w:pPr>
        <w:shd w:val="clear" w:color="000000" w:fill="auto"/>
        <w:spacing w:line="360" w:lineRule="auto"/>
        <w:ind w:firstLine="480" w:firstLineChars="200"/>
        <w:jc w:val="left"/>
        <w:rPr>
          <w:rFonts w:ascii="宋体" w:hAnsi="宋体" w:cs="宋体"/>
          <w:color w:val="auto"/>
          <w:sz w:val="24"/>
          <w:szCs w:val="24"/>
          <w:highlight w:val="none"/>
        </w:rPr>
      </w:pPr>
      <w:r>
        <w:rPr>
          <w:rFonts w:hint="eastAsia" w:ascii="黑体" w:hAnsi="黑体" w:eastAsia="黑体" w:cs="黑体"/>
          <w:color w:val="auto"/>
          <w:kern w:val="0"/>
          <w:sz w:val="24"/>
          <w:szCs w:val="24"/>
          <w:highlight w:val="none"/>
        </w:rPr>
        <w:t>■</w:t>
      </w:r>
      <w:r>
        <w:rPr>
          <w:rFonts w:hint="eastAsia" w:ascii="宋体" w:hAnsi="宋体" w:cs="宋体"/>
          <w:color w:val="auto"/>
          <w:sz w:val="24"/>
          <w:szCs w:val="24"/>
          <w:highlight w:val="none"/>
        </w:rPr>
        <w:t>（9）工程洽商记录</w:t>
      </w:r>
    </w:p>
    <w:p>
      <w:pPr>
        <w:shd w:val="clear" w:color="000000" w:fill="auto"/>
        <w:spacing w:line="360" w:lineRule="auto"/>
        <w:ind w:firstLine="480" w:firstLineChars="200"/>
        <w:jc w:val="left"/>
        <w:rPr>
          <w:rFonts w:ascii="宋体" w:hAnsi="宋体" w:cs="宋体"/>
          <w:color w:val="auto"/>
          <w:sz w:val="24"/>
          <w:szCs w:val="24"/>
          <w:highlight w:val="none"/>
        </w:rPr>
      </w:pPr>
      <w:r>
        <w:rPr>
          <w:rFonts w:hint="eastAsia" w:ascii="黑体" w:hAnsi="黑体" w:eastAsia="黑体" w:cs="黑体"/>
          <w:color w:val="auto"/>
          <w:kern w:val="0"/>
          <w:sz w:val="24"/>
          <w:szCs w:val="24"/>
          <w:highlight w:val="none"/>
        </w:rPr>
        <w:t>■</w:t>
      </w:r>
      <w:r>
        <w:rPr>
          <w:rFonts w:hint="eastAsia" w:ascii="宋体" w:hAnsi="宋体" w:cs="宋体"/>
          <w:color w:val="auto"/>
          <w:sz w:val="24"/>
          <w:szCs w:val="24"/>
          <w:highlight w:val="none"/>
        </w:rPr>
        <w:t>（10）监理工程师通知或发包人施工指令</w:t>
      </w:r>
    </w:p>
    <w:p>
      <w:pPr>
        <w:shd w:val="clear" w:color="000000" w:fill="auto"/>
        <w:spacing w:line="360" w:lineRule="auto"/>
        <w:ind w:firstLine="480" w:firstLineChars="200"/>
        <w:jc w:val="left"/>
        <w:rPr>
          <w:rFonts w:ascii="宋体" w:hAnsi="宋体" w:cs="宋体"/>
          <w:color w:val="auto"/>
          <w:sz w:val="24"/>
          <w:szCs w:val="24"/>
          <w:highlight w:val="none"/>
        </w:rPr>
      </w:pPr>
      <w:r>
        <w:rPr>
          <w:rFonts w:hint="eastAsia" w:ascii="黑体" w:hAnsi="黑体" w:eastAsia="黑体" w:cs="黑体"/>
          <w:color w:val="auto"/>
          <w:kern w:val="0"/>
          <w:sz w:val="24"/>
          <w:szCs w:val="24"/>
          <w:highlight w:val="none"/>
        </w:rPr>
        <w:t>■</w:t>
      </w:r>
      <w:r>
        <w:rPr>
          <w:rFonts w:hint="eastAsia" w:ascii="宋体" w:hAnsi="宋体" w:cs="宋体"/>
          <w:color w:val="auto"/>
          <w:sz w:val="24"/>
          <w:szCs w:val="24"/>
          <w:highlight w:val="none"/>
        </w:rPr>
        <w:t>（11）会议纪要</w:t>
      </w:r>
    </w:p>
    <w:p>
      <w:pPr>
        <w:shd w:val="clear" w:color="000000" w:fill="auto"/>
        <w:spacing w:line="360" w:lineRule="auto"/>
        <w:ind w:firstLine="480" w:firstLineChars="200"/>
        <w:jc w:val="left"/>
        <w:rPr>
          <w:rFonts w:ascii="宋体" w:hAnsi="宋体" w:cs="宋体"/>
          <w:color w:val="auto"/>
          <w:sz w:val="24"/>
          <w:szCs w:val="24"/>
          <w:highlight w:val="none"/>
        </w:rPr>
      </w:pPr>
      <w:r>
        <w:rPr>
          <w:rFonts w:hint="eastAsia" w:ascii="黑体" w:hAnsi="黑体" w:eastAsia="黑体" w:cs="黑体"/>
          <w:color w:val="auto"/>
          <w:kern w:val="0"/>
          <w:sz w:val="24"/>
          <w:szCs w:val="24"/>
          <w:highlight w:val="none"/>
        </w:rPr>
        <w:t>■</w:t>
      </w:r>
      <w:r>
        <w:rPr>
          <w:rFonts w:hint="eastAsia" w:ascii="宋体" w:hAnsi="宋体" w:cs="宋体"/>
          <w:color w:val="auto"/>
          <w:sz w:val="24"/>
          <w:szCs w:val="24"/>
          <w:highlight w:val="none"/>
        </w:rPr>
        <w:t>（12）现场签证单</w:t>
      </w:r>
    </w:p>
    <w:p>
      <w:pPr>
        <w:shd w:val="clear" w:color="000000" w:fill="auto"/>
        <w:spacing w:line="360" w:lineRule="auto"/>
        <w:ind w:firstLine="480" w:firstLineChars="200"/>
        <w:jc w:val="left"/>
        <w:rPr>
          <w:rFonts w:ascii="宋体" w:hAnsi="宋体" w:cs="宋体"/>
          <w:color w:val="auto"/>
          <w:sz w:val="24"/>
          <w:szCs w:val="24"/>
          <w:highlight w:val="none"/>
        </w:rPr>
      </w:pPr>
      <w:r>
        <w:rPr>
          <w:rFonts w:hint="eastAsia" w:ascii="黑体" w:hAnsi="黑体" w:eastAsia="黑体" w:cs="黑体"/>
          <w:color w:val="auto"/>
          <w:kern w:val="0"/>
          <w:sz w:val="24"/>
          <w:szCs w:val="24"/>
          <w:highlight w:val="none"/>
        </w:rPr>
        <w:t>■</w:t>
      </w:r>
      <w:r>
        <w:rPr>
          <w:rFonts w:hint="eastAsia" w:ascii="宋体" w:hAnsi="宋体" w:cs="宋体"/>
          <w:color w:val="auto"/>
          <w:sz w:val="24"/>
          <w:szCs w:val="24"/>
          <w:highlight w:val="none"/>
        </w:rPr>
        <w:t>（13）材料设备单价呈批审核单</w:t>
      </w:r>
    </w:p>
    <w:p>
      <w:pPr>
        <w:shd w:val="clear" w:color="000000" w:fill="auto"/>
        <w:spacing w:line="360" w:lineRule="auto"/>
        <w:ind w:firstLine="480" w:firstLineChars="200"/>
        <w:jc w:val="left"/>
        <w:rPr>
          <w:rFonts w:ascii="宋体" w:hAnsi="宋体" w:cs="宋体"/>
          <w:color w:val="auto"/>
          <w:sz w:val="24"/>
          <w:szCs w:val="24"/>
          <w:highlight w:val="none"/>
        </w:rPr>
      </w:pPr>
      <w:r>
        <w:rPr>
          <w:rFonts w:hint="eastAsia" w:ascii="黑体" w:hAnsi="黑体" w:eastAsia="黑体" w:cs="黑体"/>
          <w:color w:val="auto"/>
          <w:kern w:val="0"/>
          <w:sz w:val="24"/>
          <w:szCs w:val="24"/>
          <w:highlight w:val="none"/>
        </w:rPr>
        <w:t>■</w:t>
      </w:r>
      <w:r>
        <w:rPr>
          <w:rFonts w:hint="eastAsia" w:ascii="宋体" w:hAnsi="宋体" w:cs="宋体"/>
          <w:color w:val="auto"/>
          <w:sz w:val="24"/>
          <w:szCs w:val="24"/>
          <w:highlight w:val="none"/>
        </w:rPr>
        <w:t>（14）综合单价呈批审核单</w:t>
      </w:r>
    </w:p>
    <w:p>
      <w:pPr>
        <w:shd w:val="clear" w:color="000000" w:fill="auto"/>
        <w:spacing w:line="360" w:lineRule="auto"/>
        <w:ind w:firstLine="480" w:firstLineChars="200"/>
        <w:jc w:val="left"/>
        <w:rPr>
          <w:rFonts w:ascii="宋体" w:hAnsi="宋体" w:cs="宋体"/>
          <w:color w:val="auto"/>
          <w:sz w:val="24"/>
          <w:szCs w:val="24"/>
          <w:highlight w:val="none"/>
        </w:rPr>
      </w:pPr>
      <w:r>
        <w:rPr>
          <w:rFonts w:hint="eastAsia" w:ascii="黑体" w:hAnsi="黑体" w:eastAsia="黑体" w:cs="黑体"/>
          <w:color w:val="auto"/>
          <w:kern w:val="0"/>
          <w:sz w:val="24"/>
          <w:szCs w:val="24"/>
          <w:highlight w:val="none"/>
        </w:rPr>
        <w:t>■</w:t>
      </w:r>
      <w:r>
        <w:rPr>
          <w:rFonts w:hint="eastAsia" w:ascii="宋体" w:hAnsi="宋体" w:cs="宋体"/>
          <w:color w:val="auto"/>
          <w:sz w:val="24"/>
          <w:szCs w:val="24"/>
          <w:highlight w:val="none"/>
        </w:rPr>
        <w:t>（15）招标文件、答疑纪要</w:t>
      </w:r>
    </w:p>
    <w:p>
      <w:pPr>
        <w:shd w:val="clear" w:color="000000" w:fill="auto"/>
        <w:spacing w:line="360" w:lineRule="auto"/>
        <w:ind w:firstLine="480" w:firstLineChars="200"/>
        <w:jc w:val="left"/>
        <w:rPr>
          <w:rFonts w:ascii="宋体" w:hAnsi="宋体" w:cs="宋体"/>
          <w:color w:val="auto"/>
          <w:sz w:val="24"/>
          <w:szCs w:val="24"/>
          <w:highlight w:val="none"/>
        </w:rPr>
      </w:pPr>
      <w:r>
        <w:rPr>
          <w:rFonts w:hint="eastAsia" w:ascii="黑体" w:hAnsi="黑体" w:eastAsia="黑体" w:cs="黑体"/>
          <w:color w:val="auto"/>
          <w:kern w:val="0"/>
          <w:sz w:val="24"/>
          <w:szCs w:val="24"/>
          <w:highlight w:val="none"/>
        </w:rPr>
        <w:t>■</w:t>
      </w:r>
      <w:r>
        <w:rPr>
          <w:rFonts w:hint="eastAsia" w:ascii="宋体" w:hAnsi="宋体" w:cs="宋体"/>
          <w:color w:val="auto"/>
          <w:sz w:val="24"/>
          <w:szCs w:val="24"/>
          <w:highlight w:val="none"/>
        </w:rPr>
        <w:t>（16）投标文件（含经济标软件版）、中标通知书</w:t>
      </w:r>
    </w:p>
    <w:p>
      <w:pPr>
        <w:shd w:val="clear" w:color="000000" w:fill="auto"/>
        <w:spacing w:line="360" w:lineRule="auto"/>
        <w:ind w:firstLine="480" w:firstLineChars="200"/>
        <w:jc w:val="left"/>
        <w:rPr>
          <w:rFonts w:ascii="宋体" w:hAnsi="宋体" w:cs="宋体"/>
          <w:color w:val="auto"/>
          <w:sz w:val="24"/>
          <w:szCs w:val="24"/>
          <w:highlight w:val="none"/>
        </w:rPr>
      </w:pPr>
      <w:r>
        <w:rPr>
          <w:rFonts w:hint="eastAsia" w:ascii="黑体" w:hAnsi="黑体" w:eastAsia="黑体" w:cs="黑体"/>
          <w:color w:val="auto"/>
          <w:kern w:val="0"/>
          <w:sz w:val="24"/>
          <w:szCs w:val="24"/>
          <w:highlight w:val="none"/>
        </w:rPr>
        <w:t>■</w:t>
      </w:r>
      <w:r>
        <w:rPr>
          <w:rFonts w:hint="eastAsia" w:ascii="宋体" w:hAnsi="宋体" w:cs="宋体"/>
          <w:color w:val="auto"/>
          <w:sz w:val="24"/>
          <w:szCs w:val="24"/>
          <w:highlight w:val="none"/>
        </w:rPr>
        <w:t>（17）发包人供应材料收货验收签收单</w:t>
      </w:r>
    </w:p>
    <w:p>
      <w:pPr>
        <w:shd w:val="clear" w:color="000000" w:fill="auto"/>
        <w:spacing w:line="360" w:lineRule="auto"/>
        <w:ind w:firstLine="480" w:firstLineChars="200"/>
        <w:jc w:val="left"/>
        <w:rPr>
          <w:rFonts w:ascii="宋体" w:hAnsi="宋体" w:cs="宋体"/>
          <w:color w:val="auto"/>
          <w:sz w:val="24"/>
          <w:szCs w:val="24"/>
          <w:highlight w:val="none"/>
        </w:rPr>
      </w:pPr>
      <w:r>
        <w:rPr>
          <w:rFonts w:hint="eastAsia" w:ascii="黑体" w:hAnsi="黑体" w:eastAsia="黑体" w:cs="黑体"/>
          <w:color w:val="auto"/>
          <w:kern w:val="0"/>
          <w:sz w:val="24"/>
          <w:szCs w:val="24"/>
          <w:highlight w:val="none"/>
        </w:rPr>
        <w:t>■</w:t>
      </w:r>
      <w:r>
        <w:rPr>
          <w:rFonts w:hint="eastAsia" w:ascii="宋体" w:hAnsi="宋体" w:cs="宋体"/>
          <w:color w:val="auto"/>
          <w:sz w:val="24"/>
          <w:szCs w:val="24"/>
          <w:highlight w:val="none"/>
        </w:rPr>
        <w:t>（18）其他结算资料</w:t>
      </w:r>
    </w:p>
    <w:p>
      <w:pPr>
        <w:shd w:val="clear" w:color="000000" w:fill="auto"/>
        <w:spacing w:line="360" w:lineRule="auto"/>
        <w:ind w:firstLine="480" w:firstLineChars="200"/>
        <w:jc w:val="left"/>
        <w:rPr>
          <w:rFonts w:ascii="宋体" w:hAnsi="宋体" w:cs="宋体"/>
          <w:color w:val="auto"/>
          <w:sz w:val="24"/>
          <w:szCs w:val="24"/>
          <w:highlight w:val="none"/>
        </w:rPr>
      </w:pPr>
      <w:r>
        <w:rPr>
          <w:rFonts w:hint="eastAsia" w:ascii="黑体" w:hAnsi="黑体" w:eastAsia="黑体" w:cs="黑体"/>
          <w:color w:val="auto"/>
          <w:kern w:val="0"/>
          <w:sz w:val="24"/>
          <w:szCs w:val="24"/>
          <w:highlight w:val="none"/>
        </w:rPr>
        <w:t>■</w:t>
      </w:r>
      <w:r>
        <w:rPr>
          <w:rFonts w:hint="eastAsia" w:ascii="宋体" w:hAnsi="宋体" w:cs="宋体"/>
          <w:color w:val="auto"/>
          <w:sz w:val="24"/>
          <w:szCs w:val="24"/>
          <w:highlight w:val="none"/>
        </w:rPr>
        <w:t>（19）工期履行审核表</w:t>
      </w:r>
    </w:p>
    <w:p>
      <w:pPr>
        <w:shd w:val="clear" w:color="000000" w:fill="auto"/>
        <w:spacing w:line="360" w:lineRule="auto"/>
        <w:ind w:firstLine="480" w:firstLineChars="200"/>
        <w:jc w:val="left"/>
        <w:rPr>
          <w:rFonts w:ascii="宋体" w:hAnsi="宋体" w:cs="宋体"/>
          <w:color w:val="auto"/>
          <w:sz w:val="24"/>
          <w:szCs w:val="24"/>
          <w:highlight w:val="none"/>
          <w:u w:val="single"/>
        </w:rPr>
      </w:pPr>
      <w:r>
        <w:rPr>
          <w:rFonts w:hint="eastAsia" w:ascii="黑体" w:hAnsi="黑体" w:eastAsia="黑体" w:cs="黑体"/>
          <w:color w:val="auto"/>
          <w:kern w:val="0"/>
          <w:sz w:val="24"/>
          <w:szCs w:val="24"/>
          <w:highlight w:val="none"/>
        </w:rPr>
        <w:t>■</w:t>
      </w:r>
      <w:r>
        <w:rPr>
          <w:rFonts w:hint="eastAsia" w:ascii="宋体" w:hAnsi="宋体" w:cs="宋体"/>
          <w:color w:val="auto"/>
          <w:sz w:val="24"/>
          <w:szCs w:val="24"/>
          <w:highlight w:val="none"/>
        </w:rPr>
        <w:t>（20）移交资料签收表</w:t>
      </w:r>
    </w:p>
    <w:p>
      <w:pPr>
        <w:shd w:val="clear" w:color="000000" w:fill="auto"/>
        <w:spacing w:line="360" w:lineRule="auto"/>
        <w:ind w:firstLine="480" w:firstLineChars="200"/>
        <w:jc w:val="left"/>
        <w:rPr>
          <w:rFonts w:ascii="宋体" w:hAnsi="宋体" w:cs="宋体"/>
          <w:color w:val="auto"/>
          <w:sz w:val="24"/>
          <w:szCs w:val="24"/>
          <w:highlight w:val="none"/>
          <w:u w:val="single"/>
        </w:rPr>
      </w:pPr>
      <w:r>
        <w:rPr>
          <w:rFonts w:hint="eastAsia" w:ascii="黑体" w:hAnsi="黑体" w:eastAsia="黑体" w:cs="黑体"/>
          <w:color w:val="auto"/>
          <w:kern w:val="0"/>
          <w:sz w:val="24"/>
          <w:szCs w:val="24"/>
          <w:highlight w:val="none"/>
        </w:rPr>
        <w:t>■</w:t>
      </w:r>
      <w:r>
        <w:rPr>
          <w:rFonts w:hint="eastAsia" w:ascii="宋体" w:hAnsi="宋体" w:cs="宋体"/>
          <w:color w:val="auto"/>
          <w:sz w:val="24"/>
          <w:szCs w:val="24"/>
          <w:highlight w:val="none"/>
        </w:rPr>
        <w:t>（21）其它:</w:t>
      </w:r>
      <w:r>
        <w:rPr>
          <w:rFonts w:hint="eastAsia" w:ascii="宋体" w:hAnsi="宋体" w:cs="宋体"/>
          <w:color w:val="auto"/>
          <w:sz w:val="24"/>
          <w:szCs w:val="24"/>
          <w:highlight w:val="none"/>
          <w:u w:val="single"/>
        </w:rPr>
        <w:t>满足广州市财政管理部门及发包人有关工程结算管理相关规定的要求。</w:t>
      </w:r>
    </w:p>
    <w:p>
      <w:pPr>
        <w:shd w:val="clear" w:color="000000" w:fill="auto"/>
        <w:spacing w:line="360" w:lineRule="auto"/>
        <w:ind w:firstLine="480" w:firstLineChars="200"/>
        <w:jc w:val="left"/>
        <w:rPr>
          <w:rFonts w:ascii="宋体" w:hAnsi="宋体" w:cs="宋体"/>
          <w:color w:val="auto"/>
          <w:sz w:val="24"/>
          <w:szCs w:val="24"/>
          <w:highlight w:val="none"/>
          <w:u w:val="single"/>
        </w:rPr>
      </w:pPr>
      <w:r>
        <w:rPr>
          <w:rFonts w:hint="eastAsia" w:ascii="宋体" w:hAnsi="宋体" w:cs="宋体"/>
          <w:color w:val="auto"/>
          <w:kern w:val="0"/>
          <w:sz w:val="24"/>
          <w:szCs w:val="24"/>
          <w:highlight w:val="none"/>
        </w:rPr>
        <w:t>（2）发包人对送审结算资料的具体要求：</w:t>
      </w:r>
      <w:r>
        <w:rPr>
          <w:rFonts w:hint="eastAsia" w:ascii="宋体" w:hAnsi="宋体" w:cs="宋体"/>
          <w:color w:val="auto"/>
          <w:sz w:val="24"/>
          <w:szCs w:val="24"/>
          <w:highlight w:val="none"/>
          <w:u w:val="single"/>
        </w:rPr>
        <w:t xml:space="preserve"> 承包人按广州市财政管理部门及发包人有关工程结算管理相关规定提交结算资料。 </w:t>
      </w:r>
    </w:p>
    <w:p>
      <w:pPr>
        <w:shd w:val="clear" w:color="000000" w:fill="auto"/>
        <w:spacing w:line="360" w:lineRule="auto"/>
        <w:ind w:firstLine="480" w:firstLineChars="200"/>
        <w:jc w:val="left"/>
        <w:rPr>
          <w:rFonts w:ascii="宋体" w:hAnsi="宋体" w:cs="宋体"/>
          <w:color w:val="auto"/>
          <w:sz w:val="24"/>
          <w:szCs w:val="24"/>
          <w:highlight w:val="none"/>
          <w:u w:val="single"/>
        </w:rPr>
      </w:pPr>
    </w:p>
    <w:p>
      <w:pPr>
        <w:pStyle w:val="4"/>
        <w:numPr>
          <w:ilvl w:val="0"/>
          <w:numId w:val="0"/>
        </w:numPr>
        <w:shd w:val="clear" w:color="000000" w:fill="auto"/>
        <w:tabs>
          <w:tab w:val="left" w:pos="420"/>
        </w:tabs>
        <w:spacing w:before="0" w:line="360" w:lineRule="auto"/>
        <w:rPr>
          <w:rFonts w:ascii="仿宋" w:hAnsi="仿宋" w:eastAsia="仿宋" w:cs="Times New Roman"/>
          <w:b/>
          <w:bCs/>
          <w:color w:val="auto"/>
          <w:sz w:val="24"/>
          <w:szCs w:val="24"/>
          <w:highlight w:val="none"/>
        </w:rPr>
      </w:pPr>
      <w:bookmarkStart w:id="693" w:name="_Toc30564"/>
      <w:bookmarkStart w:id="694" w:name="_Toc10624976"/>
      <w:bookmarkStart w:id="695" w:name="_Toc28530"/>
      <w:bookmarkStart w:id="696" w:name="_Toc469384132"/>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83. </w:t>
      </w:r>
      <w:r>
        <w:rPr>
          <w:rFonts w:hint="eastAsia" w:ascii="仿宋" w:hAnsi="仿宋" w:eastAsia="仿宋" w:cs="仿宋"/>
          <w:b/>
          <w:bCs/>
          <w:color w:val="auto"/>
          <w:sz w:val="24"/>
          <w:szCs w:val="24"/>
          <w:highlight w:val="none"/>
        </w:rPr>
        <w:t>结算款</w:t>
      </w:r>
      <w:bookmarkEnd w:id="693"/>
      <w:bookmarkEnd w:id="694"/>
      <w:bookmarkEnd w:id="695"/>
      <w:bookmarkEnd w:id="696"/>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83.1 提交竣工支付申请</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（1） 竣工支付期限</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w:t>
      </w:r>
      <w:r>
        <w:rPr>
          <w:rFonts w:hint="eastAsia" w:ascii="黑体" w:hAnsi="黑体" w:eastAsia="黑体" w:cs="黑体"/>
          <w:color w:val="auto"/>
          <w:kern w:val="0"/>
          <w:sz w:val="24"/>
          <w:szCs w:val="24"/>
          <w:highlight w:val="none"/>
        </w:rPr>
        <w:t>■</w:t>
      </w:r>
      <w:r>
        <w:rPr>
          <w:rFonts w:hint="eastAsia" w:ascii="宋体" w:hAnsi="宋体" w:cs="宋体"/>
          <w:color w:val="auto"/>
          <w:kern w:val="0"/>
          <w:sz w:val="24"/>
          <w:szCs w:val="24"/>
          <w:highlight w:val="none"/>
        </w:rPr>
        <w:t xml:space="preserve"> 按通用条款的规定，在造价工程师签发竣工结算支付证书后的28天内。</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 另有约定：</w:t>
      </w:r>
      <w:r>
        <w:rPr>
          <w:rFonts w:hint="eastAsia" w:ascii="宋体" w:hAnsi="宋体" w:cs="宋体"/>
          <w:color w:val="auto"/>
          <w:kern w:val="0"/>
          <w:sz w:val="24"/>
          <w:szCs w:val="24"/>
          <w:highlight w:val="none"/>
          <w:u w:val="single"/>
        </w:rPr>
        <w:t xml:space="preserve">   / </w:t>
      </w:r>
      <w:r>
        <w:rPr>
          <w:rFonts w:hint="eastAsia" w:ascii="宋体" w:hAnsi="宋体" w:cs="宋体"/>
          <w:color w:val="auto"/>
          <w:kern w:val="0"/>
          <w:sz w:val="24"/>
          <w:szCs w:val="24"/>
          <w:highlight w:val="none"/>
        </w:rPr>
        <w:t>。</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（2） 政府资金投资工程的支付期、支付办法</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w:t>
      </w:r>
      <w:r>
        <w:rPr>
          <w:rFonts w:hint="eastAsia" w:ascii="黑体" w:hAnsi="黑体" w:eastAsia="黑体" w:cs="黑体"/>
          <w:color w:val="auto"/>
          <w:kern w:val="0"/>
          <w:sz w:val="24"/>
          <w:szCs w:val="24"/>
          <w:highlight w:val="none"/>
        </w:rPr>
        <w:t>■</w:t>
      </w:r>
      <w:r>
        <w:rPr>
          <w:rFonts w:hint="eastAsia" w:ascii="宋体" w:hAnsi="宋体" w:cs="宋体"/>
          <w:color w:val="auto"/>
          <w:kern w:val="0"/>
          <w:sz w:val="24"/>
          <w:szCs w:val="24"/>
          <w:highlight w:val="none"/>
        </w:rPr>
        <w:t xml:space="preserve"> 按通用条款的规定。</w:t>
      </w:r>
    </w:p>
    <w:p>
      <w:pPr>
        <w:shd w:val="clear" w:color="000000" w:fill="auto"/>
        <w:spacing w:line="360" w:lineRule="auto"/>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 xml:space="preserve">  □ 另作约定：</w:t>
      </w:r>
      <w:r>
        <w:rPr>
          <w:rFonts w:hint="eastAsia" w:ascii="宋体" w:hAnsi="宋体" w:cs="宋体"/>
          <w:color w:val="auto"/>
          <w:kern w:val="0"/>
          <w:sz w:val="24"/>
          <w:szCs w:val="24"/>
          <w:highlight w:val="none"/>
          <w:u w:val="single"/>
        </w:rPr>
        <w:t xml:space="preserve">   /      </w:t>
      </w:r>
    </w:p>
    <w:p>
      <w:pPr>
        <w:shd w:val="clear" w:color="000000" w:fill="auto"/>
        <w:spacing w:line="360" w:lineRule="auto"/>
        <w:ind w:firstLine="120" w:firstLineChars="50"/>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(3) 实施</w:t>
      </w:r>
      <w:r>
        <w:rPr>
          <w:rFonts w:hint="eastAsia" w:ascii="宋体" w:hAnsi="宋体" w:cs="宋体"/>
          <w:color w:val="auto"/>
          <w:sz w:val="24"/>
          <w:szCs w:val="24"/>
          <w:highlight w:val="none"/>
        </w:rPr>
        <w:t>施工过程结算</w:t>
      </w:r>
      <w:r>
        <w:rPr>
          <w:rFonts w:hint="eastAsia" w:ascii="宋体" w:hAnsi="宋体" w:cs="宋体"/>
          <w:color w:val="auto"/>
          <w:kern w:val="0"/>
          <w:sz w:val="24"/>
          <w:szCs w:val="24"/>
          <w:highlight w:val="none"/>
        </w:rPr>
        <w:t>的，其竣工结算支付方法：</w:t>
      </w:r>
      <w:r>
        <w:rPr>
          <w:rFonts w:hint="eastAsia" w:ascii="宋体" w:hAnsi="宋体" w:cs="宋体"/>
          <w:color w:val="auto"/>
          <w:kern w:val="0"/>
          <w:sz w:val="24"/>
          <w:szCs w:val="24"/>
          <w:highlight w:val="none"/>
          <w:u w:val="single"/>
        </w:rPr>
        <w:t xml:space="preserve">  /     </w:t>
      </w:r>
    </w:p>
    <w:p>
      <w:pPr>
        <w:pStyle w:val="4"/>
        <w:numPr>
          <w:ilvl w:val="0"/>
          <w:numId w:val="0"/>
        </w:numPr>
        <w:shd w:val="clear" w:color="000000" w:fill="auto"/>
        <w:tabs>
          <w:tab w:val="left" w:pos="420"/>
        </w:tabs>
        <w:spacing w:before="0" w:line="360" w:lineRule="auto"/>
        <w:rPr>
          <w:rFonts w:ascii="仿宋" w:hAnsi="仿宋" w:eastAsia="仿宋" w:cs="Times New Roman"/>
          <w:b/>
          <w:bCs/>
          <w:color w:val="auto"/>
          <w:sz w:val="24"/>
          <w:szCs w:val="24"/>
          <w:highlight w:val="none"/>
        </w:rPr>
      </w:pPr>
      <w:bookmarkStart w:id="697" w:name="_Toc469384133"/>
      <w:bookmarkStart w:id="698" w:name="_Toc10624977"/>
      <w:bookmarkStart w:id="699" w:name="_Toc7135"/>
      <w:bookmarkStart w:id="700" w:name="_Toc23195"/>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84. </w:t>
      </w:r>
      <w:r>
        <w:rPr>
          <w:rFonts w:hint="eastAsia" w:ascii="仿宋" w:hAnsi="仿宋" w:eastAsia="仿宋" w:cs="仿宋"/>
          <w:b/>
          <w:bCs/>
          <w:color w:val="auto"/>
          <w:sz w:val="24"/>
          <w:szCs w:val="24"/>
          <w:highlight w:val="none"/>
        </w:rPr>
        <w:t>质量保证金</w:t>
      </w:r>
      <w:bookmarkEnd w:id="697"/>
      <w:bookmarkEnd w:id="698"/>
      <w:bookmarkEnd w:id="699"/>
      <w:bookmarkEnd w:id="700"/>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84.2 质量保证金的约定与扣留</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（1） 质量保证金的约定</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w:t>
      </w:r>
      <w:r>
        <w:rPr>
          <w:rFonts w:hint="eastAsia" w:ascii="黑体" w:hAnsi="黑体" w:eastAsia="黑体" w:cs="黑体"/>
          <w:color w:val="auto"/>
          <w:kern w:val="0"/>
          <w:sz w:val="24"/>
          <w:szCs w:val="24"/>
          <w:highlight w:val="none"/>
        </w:rPr>
        <w:t>■</w:t>
      </w:r>
      <w:r>
        <w:rPr>
          <w:rFonts w:hint="eastAsia" w:ascii="宋体" w:hAnsi="宋体" w:cs="宋体"/>
          <w:color w:val="auto"/>
          <w:kern w:val="0"/>
          <w:sz w:val="24"/>
          <w:szCs w:val="24"/>
          <w:highlight w:val="none"/>
        </w:rPr>
        <w:t xml:space="preserve"> 按通用条款规定为合同条款的3%(采用银行保函)，即 </w:t>
      </w:r>
      <w:r>
        <w:rPr>
          <w:rFonts w:hint="eastAsia" w:ascii="宋体" w:hAnsi="宋体" w:cs="宋体"/>
          <w:color w:val="auto"/>
          <w:kern w:val="0"/>
          <w:sz w:val="24"/>
          <w:szCs w:val="24"/>
          <w:highlight w:val="none"/>
          <w:u w:val="single"/>
        </w:rPr>
        <w:t xml:space="preserve">        </w:t>
      </w:r>
      <w:r>
        <w:rPr>
          <w:rFonts w:ascii="宋体" w:hAnsi="宋体" w:cs="宋体"/>
          <w:color w:val="auto"/>
          <w:kern w:val="0"/>
          <w:sz w:val="24"/>
          <w:szCs w:val="24"/>
          <w:highlight w:val="none"/>
          <w:u w:val="single"/>
        </w:rPr>
        <w:t>/</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元。</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 另有约定：</w:t>
      </w:r>
      <w:r>
        <w:rPr>
          <w:rFonts w:hint="eastAsia" w:ascii="宋体" w:hAnsi="宋体" w:cs="宋体"/>
          <w:color w:val="auto"/>
          <w:kern w:val="0"/>
          <w:sz w:val="24"/>
          <w:szCs w:val="24"/>
          <w:highlight w:val="none"/>
          <w:u w:val="single"/>
        </w:rPr>
        <w:t xml:space="preserve">   /      </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（2） 质量保证金的扣留</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w:t>
      </w:r>
      <w:r>
        <w:rPr>
          <w:rFonts w:hint="eastAsia" w:ascii="黑体" w:hAnsi="黑体" w:eastAsia="黑体" w:cs="黑体"/>
          <w:color w:val="auto"/>
          <w:kern w:val="0"/>
          <w:sz w:val="24"/>
          <w:szCs w:val="24"/>
          <w:highlight w:val="none"/>
        </w:rPr>
        <w:t>■</w:t>
      </w:r>
      <w:r>
        <w:rPr>
          <w:rFonts w:hint="eastAsia" w:ascii="宋体" w:hAnsi="宋体" w:cs="宋体"/>
          <w:color w:val="auto"/>
          <w:kern w:val="0"/>
          <w:sz w:val="24"/>
          <w:szCs w:val="24"/>
          <w:highlight w:val="none"/>
        </w:rPr>
        <w:t xml:space="preserve"> 按通用条款的规定，按每支付期应支付给承包人的进度款和结算款的3%扣留。</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 另有约定：</w:t>
      </w:r>
      <w:r>
        <w:rPr>
          <w:rFonts w:hint="eastAsia" w:ascii="宋体" w:hAnsi="宋体" w:cs="宋体"/>
          <w:color w:val="auto"/>
          <w:kern w:val="0"/>
          <w:sz w:val="24"/>
          <w:szCs w:val="24"/>
          <w:highlight w:val="none"/>
          <w:u w:val="single"/>
        </w:rPr>
        <w:t xml:space="preserve">    /         </w:t>
      </w:r>
      <w:r>
        <w:rPr>
          <w:rFonts w:hint="eastAsia" w:ascii="宋体" w:hAnsi="宋体" w:cs="宋体"/>
          <w:color w:val="auto"/>
          <w:kern w:val="0"/>
          <w:sz w:val="24"/>
          <w:szCs w:val="24"/>
          <w:highlight w:val="none"/>
        </w:rPr>
        <w:t xml:space="preserve">    </w:t>
      </w:r>
    </w:p>
    <w:p>
      <w:pPr>
        <w:pStyle w:val="4"/>
        <w:numPr>
          <w:ilvl w:val="0"/>
          <w:numId w:val="0"/>
        </w:numPr>
        <w:shd w:val="clear" w:color="000000" w:fill="auto"/>
        <w:tabs>
          <w:tab w:val="left" w:pos="420"/>
        </w:tabs>
        <w:spacing w:before="0" w:line="360" w:lineRule="auto"/>
        <w:rPr>
          <w:rFonts w:ascii="仿宋" w:hAnsi="仿宋" w:eastAsia="仿宋" w:cs="Times New Roman"/>
          <w:b/>
          <w:bCs/>
          <w:color w:val="auto"/>
          <w:sz w:val="24"/>
          <w:szCs w:val="24"/>
          <w:highlight w:val="none"/>
        </w:rPr>
      </w:pPr>
      <w:bookmarkStart w:id="701" w:name="_Toc16302"/>
      <w:bookmarkStart w:id="702" w:name="_Toc469384134"/>
      <w:bookmarkStart w:id="703" w:name="_Toc7024"/>
      <w:bookmarkStart w:id="704" w:name="_Toc10624978"/>
      <w:r>
        <w:rPr>
          <w:rFonts w:ascii="仿宋" w:hAnsi="仿宋" w:eastAsia="仿宋" w:cs="仿宋"/>
          <w:b/>
          <w:bCs/>
          <w:color w:val="auto"/>
          <w:sz w:val="24"/>
          <w:szCs w:val="24"/>
          <w:highlight w:val="none"/>
        </w:rPr>
        <w:t xml:space="preserve">85. </w:t>
      </w:r>
      <w:r>
        <w:rPr>
          <w:rFonts w:hint="eastAsia" w:ascii="仿宋" w:hAnsi="仿宋" w:eastAsia="仿宋" w:cs="仿宋"/>
          <w:b/>
          <w:bCs/>
          <w:color w:val="auto"/>
          <w:sz w:val="24"/>
          <w:szCs w:val="24"/>
          <w:highlight w:val="none"/>
        </w:rPr>
        <w:t>最终清算款</w:t>
      </w:r>
      <w:bookmarkEnd w:id="701"/>
      <w:bookmarkEnd w:id="702"/>
      <w:bookmarkEnd w:id="703"/>
      <w:bookmarkEnd w:id="704"/>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85.1 提交最终清算支付申请</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（1） 最终清算支付申请</w:t>
      </w:r>
    </w:p>
    <w:p>
      <w:pPr>
        <w:shd w:val="clear" w:color="000000" w:fill="auto"/>
        <w:spacing w:line="360" w:lineRule="auto"/>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提交份数：</w:t>
      </w:r>
      <w:r>
        <w:rPr>
          <w:rFonts w:hint="eastAsia" w:ascii="宋体" w:hAnsi="宋体" w:cs="宋体"/>
          <w:color w:val="auto"/>
          <w:kern w:val="0"/>
          <w:sz w:val="24"/>
          <w:szCs w:val="24"/>
          <w:highlight w:val="none"/>
          <w:u w:val="single"/>
        </w:rPr>
        <w:t xml:space="preserve"> 按发包人要求 </w:t>
      </w:r>
    </w:p>
    <w:p>
      <w:pPr>
        <w:shd w:val="clear" w:color="000000" w:fill="auto"/>
        <w:spacing w:line="360" w:lineRule="auto"/>
        <w:ind w:firstLine="480"/>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提交期限：</w:t>
      </w:r>
      <w:r>
        <w:rPr>
          <w:rFonts w:hint="eastAsia" w:ascii="宋体" w:hAnsi="宋体" w:cs="宋体"/>
          <w:color w:val="auto"/>
          <w:kern w:val="0"/>
          <w:sz w:val="24"/>
          <w:szCs w:val="24"/>
          <w:highlight w:val="none"/>
          <w:u w:val="single"/>
        </w:rPr>
        <w:t xml:space="preserve"> 按发包人要求</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(2)  最终清算支付时限</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 按通用条款的规定，在造价工程师签发最终清算支付证书后的14天内。</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w:t>
      </w:r>
      <w:r>
        <w:rPr>
          <w:rFonts w:hint="eastAsia" w:ascii="黑体" w:hAnsi="黑体" w:eastAsia="黑体" w:cs="黑体"/>
          <w:color w:val="auto"/>
          <w:kern w:val="0"/>
          <w:sz w:val="24"/>
          <w:szCs w:val="24"/>
          <w:highlight w:val="none"/>
        </w:rPr>
        <w:t>■</w:t>
      </w:r>
      <w:r>
        <w:rPr>
          <w:rFonts w:hint="eastAsia" w:ascii="宋体" w:hAnsi="宋体" w:cs="宋体"/>
          <w:color w:val="auto"/>
          <w:kern w:val="0"/>
          <w:sz w:val="24"/>
          <w:szCs w:val="24"/>
          <w:highlight w:val="none"/>
        </w:rPr>
        <w:t xml:space="preserve"> 另有约定：</w:t>
      </w:r>
      <w:r>
        <w:rPr>
          <w:rFonts w:hint="eastAsia" w:ascii="宋体" w:hAnsi="宋体" w:cs="宋体"/>
          <w:color w:val="auto"/>
          <w:kern w:val="0"/>
          <w:sz w:val="24"/>
          <w:szCs w:val="24"/>
          <w:highlight w:val="none"/>
          <w:u w:val="single"/>
        </w:rPr>
        <w:t xml:space="preserve">    按本合同约定。         </w:t>
      </w:r>
      <w:r>
        <w:rPr>
          <w:rFonts w:hint="eastAsia" w:ascii="宋体" w:hAnsi="宋体" w:cs="宋体"/>
          <w:color w:val="auto"/>
          <w:kern w:val="0"/>
          <w:sz w:val="24"/>
          <w:szCs w:val="24"/>
          <w:highlight w:val="none"/>
        </w:rPr>
        <w:t xml:space="preserve">             </w:t>
      </w:r>
    </w:p>
    <w:p>
      <w:pPr>
        <w:pStyle w:val="4"/>
        <w:numPr>
          <w:ilvl w:val="0"/>
          <w:numId w:val="0"/>
        </w:numPr>
        <w:shd w:val="clear" w:color="000000" w:fill="auto"/>
        <w:tabs>
          <w:tab w:val="left" w:pos="420"/>
        </w:tabs>
        <w:spacing w:before="0" w:line="360" w:lineRule="auto"/>
        <w:rPr>
          <w:rFonts w:ascii="仿宋" w:hAnsi="仿宋" w:eastAsia="仿宋" w:cs="Times New Roman"/>
          <w:b/>
          <w:bCs/>
          <w:color w:val="auto"/>
          <w:sz w:val="24"/>
          <w:szCs w:val="24"/>
          <w:highlight w:val="none"/>
        </w:rPr>
      </w:pPr>
      <w:bookmarkStart w:id="705" w:name="_Toc2417"/>
      <w:bookmarkStart w:id="706" w:name="_Toc469384135"/>
      <w:bookmarkStart w:id="707" w:name="_Toc10624979"/>
      <w:bookmarkStart w:id="708" w:name="_Toc30634"/>
      <w:r>
        <w:rPr>
          <w:rFonts w:ascii="仿宋" w:hAnsi="仿宋" w:eastAsia="仿宋" w:cs="仿宋"/>
          <w:b/>
          <w:bCs/>
          <w:color w:val="auto"/>
          <w:sz w:val="24"/>
          <w:szCs w:val="24"/>
          <w:highlight w:val="none"/>
        </w:rPr>
        <w:t xml:space="preserve">86. </w:t>
      </w:r>
      <w:r>
        <w:rPr>
          <w:rFonts w:hint="eastAsia" w:ascii="仿宋" w:hAnsi="仿宋" w:eastAsia="仿宋" w:cs="仿宋"/>
          <w:b/>
          <w:bCs/>
          <w:color w:val="auto"/>
          <w:sz w:val="24"/>
          <w:szCs w:val="24"/>
          <w:highlight w:val="none"/>
        </w:rPr>
        <w:t>合同争议</w:t>
      </w:r>
      <w:bookmarkEnd w:id="705"/>
      <w:bookmarkEnd w:id="706"/>
      <w:bookmarkEnd w:id="707"/>
      <w:bookmarkEnd w:id="708"/>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86.4 调解或认定</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争议调解或认定机构：</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w:t>
      </w:r>
      <w:r>
        <w:rPr>
          <w:rFonts w:hint="eastAsia" w:ascii="黑体" w:hAnsi="黑体" w:eastAsia="黑体" w:cs="黑体"/>
          <w:color w:val="auto"/>
          <w:kern w:val="0"/>
          <w:sz w:val="24"/>
          <w:szCs w:val="24"/>
          <w:highlight w:val="none"/>
        </w:rPr>
        <w:t>■</w:t>
      </w:r>
      <w:r>
        <w:rPr>
          <w:rFonts w:hint="eastAsia" w:ascii="宋体" w:hAnsi="宋体" w:cs="宋体"/>
          <w:color w:val="auto"/>
          <w:kern w:val="0"/>
          <w:sz w:val="24"/>
          <w:szCs w:val="24"/>
          <w:highlight w:val="none"/>
        </w:rPr>
        <w:t xml:space="preserve"> 按通用条款的规定。</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 另有约定：</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（1）</w:t>
      </w:r>
      <w:r>
        <w:rPr>
          <w:rFonts w:hint="eastAsia" w:ascii="宋体" w:hAnsi="宋体" w:cs="宋体"/>
          <w:color w:val="auto"/>
          <w:kern w:val="0"/>
          <w:sz w:val="24"/>
          <w:szCs w:val="24"/>
          <w:highlight w:val="none"/>
          <w:u w:val="single"/>
        </w:rPr>
        <w:t xml:space="preserve">     /           </w:t>
      </w:r>
      <w:r>
        <w:rPr>
          <w:rFonts w:hint="eastAsia" w:ascii="宋体" w:hAnsi="宋体" w:cs="宋体"/>
          <w:color w:val="auto"/>
          <w:kern w:val="0"/>
          <w:sz w:val="24"/>
          <w:szCs w:val="24"/>
          <w:highlight w:val="none"/>
        </w:rPr>
        <w:t xml:space="preserve">         </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（2）</w:t>
      </w:r>
      <w:r>
        <w:rPr>
          <w:rFonts w:hint="eastAsia" w:ascii="宋体" w:hAnsi="宋体" w:cs="宋体"/>
          <w:color w:val="auto"/>
          <w:kern w:val="0"/>
          <w:sz w:val="24"/>
          <w:szCs w:val="24"/>
          <w:highlight w:val="none"/>
          <w:u w:val="single"/>
        </w:rPr>
        <w:t xml:space="preserve">    /     </w:t>
      </w:r>
      <w:r>
        <w:rPr>
          <w:rFonts w:hint="eastAsia" w:ascii="宋体" w:hAnsi="宋体" w:cs="宋体"/>
          <w:color w:val="auto"/>
          <w:kern w:val="0"/>
          <w:sz w:val="24"/>
          <w:szCs w:val="24"/>
          <w:highlight w:val="none"/>
        </w:rPr>
        <w:t xml:space="preserve">            </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（3）</w:t>
      </w:r>
      <w:r>
        <w:rPr>
          <w:rFonts w:hint="eastAsia" w:ascii="宋体" w:hAnsi="宋体" w:cs="宋体"/>
          <w:color w:val="auto"/>
          <w:kern w:val="0"/>
          <w:sz w:val="24"/>
          <w:szCs w:val="24"/>
          <w:highlight w:val="none"/>
          <w:u w:val="single"/>
        </w:rPr>
        <w:t xml:space="preserve">      /    </w:t>
      </w:r>
      <w:r>
        <w:rPr>
          <w:rFonts w:hint="eastAsia" w:ascii="宋体" w:hAnsi="宋体" w:cs="宋体"/>
          <w:color w:val="auto"/>
          <w:kern w:val="0"/>
          <w:sz w:val="24"/>
          <w:szCs w:val="24"/>
          <w:highlight w:val="none"/>
        </w:rPr>
        <w:t xml:space="preserve">           </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86.6 仲裁或诉讼</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解决争议的最终方式：</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 向中国广州仲裁委员会申请仲裁。</w:t>
      </w:r>
    </w:p>
    <w:p>
      <w:pPr>
        <w:shd w:val="clear" w:color="000000" w:fill="auto"/>
        <w:spacing w:line="360" w:lineRule="auto"/>
        <w:ind w:firstLine="120" w:firstLineChars="5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w:t>
      </w:r>
      <w:r>
        <w:rPr>
          <w:rFonts w:hint="eastAsia" w:ascii="黑体" w:hAnsi="黑体" w:eastAsia="黑体" w:cs="黑体"/>
          <w:color w:val="auto"/>
          <w:kern w:val="0"/>
          <w:sz w:val="24"/>
          <w:szCs w:val="24"/>
          <w:highlight w:val="none"/>
        </w:rPr>
        <w:t>■</w:t>
      </w:r>
      <w:r>
        <w:rPr>
          <w:rFonts w:hint="eastAsia" w:ascii="宋体" w:hAnsi="宋体" w:cs="宋体"/>
          <w:color w:val="auto"/>
          <w:kern w:val="0"/>
          <w:sz w:val="24"/>
          <w:szCs w:val="24"/>
          <w:highlight w:val="none"/>
        </w:rPr>
        <w:t xml:space="preserve"> 向对发包人有管辖权的人民法院提起诉讼。</w:t>
      </w:r>
    </w:p>
    <w:p>
      <w:pPr>
        <w:shd w:val="clear" w:color="000000" w:fill="auto"/>
        <w:spacing w:line="360" w:lineRule="auto"/>
        <w:ind w:firstLine="120" w:firstLineChars="50"/>
        <w:rPr>
          <w:rFonts w:ascii="宋体" w:hAnsi="宋体" w:cs="宋体"/>
          <w:color w:val="auto"/>
          <w:kern w:val="0"/>
          <w:sz w:val="24"/>
          <w:szCs w:val="24"/>
          <w:highlight w:val="none"/>
          <w:u w:val="single"/>
        </w:rPr>
      </w:pPr>
    </w:p>
    <w:p>
      <w:pPr>
        <w:shd w:val="clear" w:color="000000" w:fill="auto"/>
        <w:spacing w:line="360" w:lineRule="auto"/>
        <w:ind w:firstLine="480" w:firstLineChars="200"/>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u w:val="single"/>
        </w:rPr>
        <w:t>将90.1修改如下内容：</w:t>
      </w:r>
    </w:p>
    <w:p>
      <w:pPr>
        <w:shd w:val="clear" w:color="000000" w:fill="auto"/>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u w:val="single"/>
        </w:rPr>
        <w:t>因承包人违反本合同约定给发包人造成损失的，承包人应当赔偿发包人损失，包括发包人所支付的诉讼、鉴定、评估、公证、律师费等合理的维权费用。</w:t>
      </w:r>
    </w:p>
    <w:p>
      <w:pPr>
        <w:pStyle w:val="4"/>
        <w:numPr>
          <w:ilvl w:val="0"/>
          <w:numId w:val="0"/>
        </w:numPr>
        <w:shd w:val="clear" w:color="000000" w:fill="auto"/>
        <w:tabs>
          <w:tab w:val="left" w:pos="420"/>
        </w:tabs>
        <w:spacing w:before="0" w:line="360" w:lineRule="auto"/>
        <w:rPr>
          <w:rFonts w:ascii="仿宋" w:hAnsi="仿宋" w:eastAsia="仿宋" w:cs="Times New Roman"/>
          <w:b/>
          <w:bCs/>
          <w:color w:val="auto"/>
          <w:sz w:val="24"/>
          <w:szCs w:val="24"/>
          <w:highlight w:val="none"/>
        </w:rPr>
      </w:pPr>
      <w:bookmarkStart w:id="709" w:name="_Toc10624980"/>
      <w:bookmarkStart w:id="710" w:name="_Toc7716"/>
      <w:bookmarkStart w:id="711" w:name="_Toc18798"/>
      <w:bookmarkStart w:id="712" w:name="_Toc469384136"/>
      <w:r>
        <w:rPr>
          <w:rFonts w:ascii="仿宋" w:hAnsi="仿宋" w:eastAsia="仿宋" w:cs="仿宋"/>
          <w:b/>
          <w:bCs/>
          <w:color w:val="auto"/>
          <w:sz w:val="24"/>
          <w:szCs w:val="24"/>
          <w:highlight w:val="none"/>
        </w:rPr>
        <w:t xml:space="preserve">94. </w:t>
      </w:r>
      <w:r>
        <w:rPr>
          <w:rFonts w:hint="eastAsia" w:ascii="仿宋" w:hAnsi="仿宋" w:eastAsia="仿宋" w:cs="仿宋"/>
          <w:b/>
          <w:bCs/>
          <w:color w:val="auto"/>
          <w:sz w:val="24"/>
          <w:szCs w:val="24"/>
          <w:highlight w:val="none"/>
        </w:rPr>
        <w:t>保密要求</w:t>
      </w:r>
      <w:bookmarkEnd w:id="709"/>
      <w:bookmarkEnd w:id="710"/>
      <w:bookmarkEnd w:id="711"/>
      <w:bookmarkEnd w:id="712"/>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94.1 提供保密信息的期限：</w:t>
      </w:r>
      <w:r>
        <w:rPr>
          <w:rFonts w:hint="eastAsia" w:ascii="宋体" w:hAnsi="宋体" w:cs="宋体"/>
          <w:color w:val="auto"/>
          <w:kern w:val="0"/>
          <w:sz w:val="24"/>
          <w:szCs w:val="24"/>
          <w:highlight w:val="none"/>
          <w:u w:val="single"/>
        </w:rPr>
        <w:t>按国家规定执行。</w:t>
      </w:r>
    </w:p>
    <w:p>
      <w:pPr>
        <w:pStyle w:val="4"/>
        <w:numPr>
          <w:ilvl w:val="0"/>
          <w:numId w:val="0"/>
        </w:numPr>
        <w:shd w:val="clear" w:color="000000" w:fill="auto"/>
        <w:tabs>
          <w:tab w:val="left" w:pos="420"/>
        </w:tabs>
        <w:spacing w:before="0" w:line="360" w:lineRule="auto"/>
        <w:rPr>
          <w:rFonts w:ascii="仿宋" w:hAnsi="仿宋" w:eastAsia="仿宋" w:cs="Times New Roman"/>
          <w:b/>
          <w:bCs/>
          <w:color w:val="auto"/>
          <w:sz w:val="24"/>
          <w:szCs w:val="24"/>
          <w:highlight w:val="none"/>
        </w:rPr>
      </w:pPr>
      <w:bookmarkStart w:id="713" w:name="_Toc13146"/>
      <w:bookmarkStart w:id="714" w:name="_Toc469384137"/>
      <w:bookmarkStart w:id="715" w:name="_Toc10624981"/>
      <w:bookmarkStart w:id="716" w:name="_Toc31530"/>
      <w:r>
        <w:rPr>
          <w:rFonts w:ascii="仿宋" w:hAnsi="仿宋" w:eastAsia="仿宋" w:cs="仿宋"/>
          <w:b/>
          <w:bCs/>
          <w:color w:val="auto"/>
          <w:sz w:val="24"/>
          <w:szCs w:val="24"/>
          <w:highlight w:val="none"/>
        </w:rPr>
        <w:t xml:space="preserve">97. </w:t>
      </w:r>
      <w:r>
        <w:rPr>
          <w:rFonts w:hint="eastAsia" w:ascii="仿宋" w:hAnsi="仿宋" w:eastAsia="仿宋" w:cs="仿宋"/>
          <w:b/>
          <w:bCs/>
          <w:color w:val="auto"/>
          <w:sz w:val="24"/>
          <w:szCs w:val="24"/>
          <w:highlight w:val="none"/>
        </w:rPr>
        <w:t>合同份数</w:t>
      </w:r>
      <w:bookmarkEnd w:id="713"/>
      <w:bookmarkEnd w:id="714"/>
      <w:bookmarkEnd w:id="715"/>
      <w:bookmarkEnd w:id="716"/>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94.1 约定提供合同文件</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提供合同文本：</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w:t>
      </w:r>
      <w:r>
        <w:rPr>
          <w:rFonts w:hint="eastAsia" w:ascii="黑体" w:hAnsi="黑体" w:eastAsia="黑体" w:cs="黑体"/>
          <w:color w:val="auto"/>
          <w:kern w:val="0"/>
          <w:sz w:val="24"/>
          <w:szCs w:val="24"/>
          <w:highlight w:val="none"/>
        </w:rPr>
        <w:t>■</w:t>
      </w:r>
      <w:r>
        <w:rPr>
          <w:rFonts w:hint="eastAsia" w:ascii="宋体" w:hAnsi="宋体" w:cs="宋体"/>
          <w:color w:val="auto"/>
          <w:kern w:val="0"/>
          <w:sz w:val="24"/>
          <w:szCs w:val="24"/>
          <w:highlight w:val="none"/>
        </w:rPr>
        <w:t xml:space="preserve"> 按通用条款的规定，由发包人向承包人提供。</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 另有约定：</w:t>
      </w:r>
      <w:r>
        <w:rPr>
          <w:rFonts w:hint="eastAsia" w:ascii="宋体" w:hAnsi="宋体" w:cs="宋体"/>
          <w:color w:val="auto"/>
          <w:kern w:val="0"/>
          <w:sz w:val="24"/>
          <w:szCs w:val="24"/>
          <w:highlight w:val="none"/>
          <w:u w:val="single"/>
        </w:rPr>
        <w:t xml:space="preserve">    /    </w:t>
      </w:r>
      <w:r>
        <w:rPr>
          <w:rFonts w:hint="eastAsia" w:ascii="宋体" w:hAnsi="宋体" w:cs="宋体"/>
          <w:color w:val="auto"/>
          <w:kern w:val="0"/>
          <w:sz w:val="24"/>
          <w:szCs w:val="24"/>
          <w:highlight w:val="none"/>
        </w:rPr>
        <w:t xml:space="preserve">           </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94.2 正副本效力</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合同的份数：</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正本</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份，副本</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份。</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其中：发包人正本</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 xml:space="preserve">份，副本 </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份；</w:t>
      </w:r>
    </w:p>
    <w:p>
      <w:pPr>
        <w:shd w:val="clear" w:color="000000" w:fill="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承包人正本</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 xml:space="preserve">份，副本 </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份。</w:t>
      </w:r>
    </w:p>
    <w:p>
      <w:pPr>
        <w:shd w:val="clear" w:color="000000" w:fill="auto"/>
        <w:spacing w:line="360" w:lineRule="auto"/>
        <w:rPr>
          <w:rFonts w:ascii="宋体" w:hAnsi="宋体"/>
          <w:color w:val="auto"/>
          <w:kern w:val="0"/>
          <w:sz w:val="24"/>
          <w:szCs w:val="24"/>
          <w:highlight w:val="none"/>
        </w:rPr>
      </w:pPr>
    </w:p>
    <w:p>
      <w:pPr>
        <w:pStyle w:val="3"/>
        <w:shd w:val="clear" w:color="000000" w:fill="auto"/>
        <w:tabs>
          <w:tab w:val="left" w:pos="420"/>
          <w:tab w:val="clear" w:pos="432"/>
        </w:tabs>
        <w:ind w:left="0" w:firstLine="0"/>
        <w:rPr>
          <w:rFonts w:hAnsi="宋体" w:cs="Times New Roman"/>
          <w:b/>
          <w:bCs/>
          <w:color w:val="auto"/>
          <w:sz w:val="36"/>
          <w:szCs w:val="36"/>
          <w:highlight w:val="none"/>
        </w:rPr>
      </w:pPr>
      <w:bookmarkStart w:id="717" w:name="_Toc10624982"/>
      <w:bookmarkStart w:id="718" w:name="_Toc469384138"/>
      <w:bookmarkStart w:id="719" w:name="_Toc266892922"/>
      <w:r>
        <w:rPr>
          <w:rFonts w:hint="eastAsia" w:hAnsi="宋体"/>
          <w:b/>
          <w:bCs/>
          <w:color w:val="auto"/>
          <w:sz w:val="36"/>
          <w:szCs w:val="36"/>
          <w:highlight w:val="none"/>
        </w:rPr>
        <w:br w:type="page"/>
      </w:r>
      <w:bookmarkStart w:id="720" w:name="_Toc29768"/>
      <w:bookmarkStart w:id="721" w:name="_Toc27509"/>
      <w:r>
        <w:rPr>
          <w:rFonts w:hint="eastAsia" w:hAnsi="宋体"/>
          <w:b/>
          <w:bCs/>
          <w:color w:val="auto"/>
          <w:sz w:val="36"/>
          <w:szCs w:val="36"/>
          <w:highlight w:val="none"/>
        </w:rPr>
        <w:t>第四部分</w:t>
      </w:r>
      <w:r>
        <w:rPr>
          <w:rFonts w:hAnsi="宋体"/>
          <w:b/>
          <w:bCs/>
          <w:color w:val="auto"/>
          <w:sz w:val="36"/>
          <w:szCs w:val="36"/>
          <w:highlight w:val="none"/>
        </w:rPr>
        <w:t xml:space="preserve">  </w:t>
      </w:r>
      <w:r>
        <w:rPr>
          <w:rFonts w:hint="eastAsia" w:hAnsi="宋体"/>
          <w:b/>
          <w:bCs/>
          <w:color w:val="auto"/>
          <w:sz w:val="36"/>
          <w:szCs w:val="36"/>
          <w:highlight w:val="none"/>
        </w:rPr>
        <w:t>附件与格式</w:t>
      </w:r>
      <w:bookmarkEnd w:id="717"/>
      <w:bookmarkEnd w:id="718"/>
      <w:bookmarkEnd w:id="719"/>
      <w:bookmarkEnd w:id="720"/>
      <w:bookmarkEnd w:id="721"/>
    </w:p>
    <w:p>
      <w:pPr>
        <w:shd w:val="clear" w:color="000000" w:fill="auto"/>
        <w:spacing w:line="360" w:lineRule="auto"/>
        <w:jc w:val="left"/>
        <w:outlineLvl w:val="0"/>
        <w:rPr>
          <w:rFonts w:hint="eastAsia" w:ascii="仿宋" w:hAnsi="仿宋" w:eastAsia="仿宋" w:cs="仿宋"/>
          <w:b/>
          <w:bCs/>
          <w:sz w:val="24"/>
          <w:szCs w:val="24"/>
        </w:rPr>
      </w:pPr>
      <w:bookmarkStart w:id="722" w:name="_Toc5035"/>
      <w:bookmarkStart w:id="723" w:name="_Toc18140"/>
      <w:bookmarkStart w:id="724" w:name="_Toc469384141"/>
      <w:bookmarkStart w:id="725" w:name="_Toc10624985"/>
      <w:bookmarkStart w:id="726" w:name="_Toc266892925"/>
      <w:r>
        <w:rPr>
          <w:rFonts w:hint="eastAsia" w:ascii="仿宋" w:hAnsi="仿宋" w:eastAsia="仿宋" w:cs="仿宋"/>
          <w:b/>
          <w:bCs/>
          <w:sz w:val="24"/>
          <w:szCs w:val="24"/>
        </w:rPr>
        <w:t>附件一</w:t>
      </w:r>
      <w:bookmarkEnd w:id="722"/>
      <w:r>
        <w:rPr>
          <w:rFonts w:hint="eastAsia" w:ascii="仿宋" w:hAnsi="仿宋" w:eastAsia="仿宋" w:cs="仿宋"/>
          <w:b/>
          <w:bCs/>
          <w:sz w:val="24"/>
          <w:szCs w:val="24"/>
        </w:rPr>
        <w:t>：品牌推荐表</w:t>
      </w:r>
      <w:bookmarkEnd w:id="723"/>
    </w:p>
    <w:p>
      <w:pPr>
        <w:shd w:val="clear" w:color="000000" w:fill="auto"/>
        <w:spacing w:line="360" w:lineRule="auto"/>
        <w:jc w:val="center"/>
        <w:outlineLvl w:val="1"/>
        <w:rPr>
          <w:rFonts w:ascii="仿宋" w:hAnsi="仿宋" w:eastAsia="仿宋" w:cs="仿宋"/>
          <w:b/>
          <w:bCs/>
          <w:color w:val="auto"/>
          <w:spacing w:val="32"/>
          <w:kern w:val="36"/>
          <w:sz w:val="36"/>
          <w:szCs w:val="36"/>
          <w:highlight w:val="none"/>
        </w:rPr>
      </w:pPr>
      <w:bookmarkStart w:id="727" w:name="_Toc10422"/>
      <w:bookmarkStart w:id="728" w:name="_Toc8667"/>
      <w:bookmarkStart w:id="729" w:name="_Toc13375"/>
      <w:r>
        <w:rPr>
          <w:rFonts w:hint="eastAsia" w:ascii="仿宋" w:hAnsi="仿宋" w:eastAsia="仿宋" w:cs="仿宋"/>
          <w:b/>
          <w:bCs/>
          <w:color w:val="auto"/>
          <w:spacing w:val="32"/>
          <w:kern w:val="36"/>
          <w:sz w:val="24"/>
          <w:szCs w:val="24"/>
          <w:highlight w:val="none"/>
        </w:rPr>
        <w:t>品牌推荐表</w:t>
      </w:r>
      <w:bookmarkEnd w:id="727"/>
      <w:bookmarkEnd w:id="728"/>
      <w:bookmarkEnd w:id="729"/>
    </w:p>
    <w:tbl>
      <w:tblPr>
        <w:tblStyle w:val="40"/>
        <w:tblW w:w="998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99"/>
        <w:gridCol w:w="1191"/>
        <w:gridCol w:w="6664"/>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99"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191"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6664" w:type="dxa"/>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技术参数</w:t>
            </w:r>
            <w:r>
              <w:rPr>
                <w:rFonts w:hint="eastAsia" w:ascii="宋体" w:hAnsi="宋体" w:cs="宋体"/>
                <w:b/>
                <w:bCs/>
                <w:i w:val="0"/>
                <w:iCs w:val="0"/>
                <w:color w:val="000000"/>
                <w:kern w:val="0"/>
                <w:sz w:val="24"/>
                <w:szCs w:val="24"/>
                <w:u w:val="none"/>
                <w:lang w:val="en-US" w:eastAsia="zh-CN" w:bidi="ar"/>
              </w:rPr>
              <w:t>要求</w:t>
            </w:r>
          </w:p>
        </w:tc>
        <w:tc>
          <w:tcPr>
            <w:tcW w:w="1526" w:type="dxa"/>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本次招标要求的生产厂家或品牌选择范围不低于以下要求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rPr>
        <w:tc>
          <w:tcPr>
            <w:tcW w:w="5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9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42U机柜</w:t>
            </w:r>
          </w:p>
        </w:tc>
        <w:tc>
          <w:tcPr>
            <w:tcW w:w="6664" w:type="dxa"/>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1.材质：冷轧钢板，前门钢化玻璃，后门钣金门。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2.规格：42U，约W600× D1000× H2000mm，内置不少于3块托盘。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3.安装方式：落地式。</w:t>
            </w:r>
          </w:p>
        </w:tc>
        <w:tc>
          <w:tcPr>
            <w:tcW w:w="1526"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图腾、大唐、欢联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rPr>
        <w:tc>
          <w:tcPr>
            <w:tcW w:w="5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9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22U弱电间机柜</w:t>
            </w:r>
          </w:p>
        </w:tc>
        <w:tc>
          <w:tcPr>
            <w:tcW w:w="6664" w:type="dxa"/>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1.材质：冷轧钢板，前门钢化玻璃，后门钣金门。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2.规格：22U，约W600× D600× H1200mm，内置不少于1块托盘。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3.安装方式：落地式。</w:t>
            </w:r>
          </w:p>
        </w:tc>
        <w:tc>
          <w:tcPr>
            <w:tcW w:w="152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图腾、大唐、欢联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0" w:hRule="atLeast"/>
        </w:trPr>
        <w:tc>
          <w:tcPr>
            <w:tcW w:w="5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19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机柜pdu电源</w:t>
            </w:r>
          </w:p>
        </w:tc>
        <w:tc>
          <w:tcPr>
            <w:tcW w:w="6664" w:type="dxa"/>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1.外壳材质：接地铝合金外壳；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2.适用于标准机柜安装；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3.插座位：≥8位；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4.功率：≥2500W；</w:t>
            </w:r>
          </w:p>
        </w:tc>
        <w:tc>
          <w:tcPr>
            <w:tcW w:w="1526"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公牛、天诚、一舟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rPr>
        <w:tc>
          <w:tcPr>
            <w:tcW w:w="5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19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核心交换机</w:t>
            </w:r>
          </w:p>
        </w:tc>
        <w:tc>
          <w:tcPr>
            <w:tcW w:w="6664" w:type="dxa"/>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1.端口：≥24个千兆SFP端口,≥8个千兆电口,≥4个万兆SFP+；</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2.交换容量：≥6.72Tbps，包转率：≥120Mpps；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3.额定电压：100-240V AC,50/60Hz。</w:t>
            </w:r>
          </w:p>
        </w:tc>
        <w:tc>
          <w:tcPr>
            <w:tcW w:w="1526"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华为、新华三、锐捷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5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9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千兆光模块</w:t>
            </w:r>
          </w:p>
        </w:tc>
        <w:tc>
          <w:tcPr>
            <w:tcW w:w="6664" w:type="dxa"/>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1.千兆光模块，单模双纤；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2.中心波长;1310,传输距离≥10km。</w:t>
            </w:r>
          </w:p>
        </w:tc>
        <w:tc>
          <w:tcPr>
            <w:tcW w:w="152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华为、新华三、锐捷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5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19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万兆光模块</w:t>
            </w:r>
          </w:p>
        </w:tc>
        <w:tc>
          <w:tcPr>
            <w:tcW w:w="6664" w:type="dxa"/>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1.万兆光模块，单模双纤；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2.中心波长;1310,传输距离≥10km。</w:t>
            </w:r>
          </w:p>
        </w:tc>
        <w:tc>
          <w:tcPr>
            <w:tcW w:w="152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华为、新华三、锐捷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0" w:hRule="atLeast"/>
        </w:trPr>
        <w:tc>
          <w:tcPr>
            <w:tcW w:w="5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19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不间断电源设备</w:t>
            </w:r>
          </w:p>
        </w:tc>
        <w:tc>
          <w:tcPr>
            <w:tcW w:w="6664" w:type="dxa"/>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1.额定容量：≥6kVA；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2.制式：单进单出；输入：单相三线；输出：单相三线；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3.配置：外接电池箱，断电续航≥60min；</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4.含机架式电池包、导轨。</w:t>
            </w:r>
          </w:p>
        </w:tc>
        <w:tc>
          <w:tcPr>
            <w:tcW w:w="1526"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华为、科士达、科华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rPr>
        <w:tc>
          <w:tcPr>
            <w:tcW w:w="5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19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24口ODF配线架</w:t>
            </w:r>
          </w:p>
        </w:tc>
        <w:tc>
          <w:tcPr>
            <w:tcW w:w="6664" w:type="dxa"/>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1.24口ODF光纤配线架；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2.接口：单模LC接口；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3.含≥2束12芯束状尾纤、≥24个耦合器、裸纤管、热缩管等配件。</w:t>
            </w:r>
          </w:p>
        </w:tc>
        <w:tc>
          <w:tcPr>
            <w:tcW w:w="1526"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博扬、海乐、烽火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rPr>
        <w:tc>
          <w:tcPr>
            <w:tcW w:w="5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19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48口ODF配线架</w:t>
            </w:r>
          </w:p>
        </w:tc>
        <w:tc>
          <w:tcPr>
            <w:tcW w:w="6664" w:type="dxa"/>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1.48口ODF光纤配线架；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2.接口：单模LC接口；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3.含≥4束12芯束状尾纤、≥48个耦合器、裸纤管、热缩管等配件。</w:t>
            </w:r>
          </w:p>
        </w:tc>
        <w:tc>
          <w:tcPr>
            <w:tcW w:w="152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博扬、海乐、烽火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0" w:hRule="atLeast"/>
        </w:trPr>
        <w:tc>
          <w:tcPr>
            <w:tcW w:w="5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19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48口千兆接入交换机</w:t>
            </w:r>
          </w:p>
        </w:tc>
        <w:tc>
          <w:tcPr>
            <w:tcW w:w="6664" w:type="dxa"/>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1、千兆web管理交换机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2、19英寸1U标准机架，金属外壳；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3、端口：≥48个10/100/1000BASE-T以太网端口,≥4个千兆光口；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4、包转发率≥78Mpps，交换容量≥432Gbps；</w:t>
            </w:r>
          </w:p>
        </w:tc>
        <w:tc>
          <w:tcPr>
            <w:tcW w:w="152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华为、新华三、锐捷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0" w:hRule="atLeast"/>
        </w:trPr>
        <w:tc>
          <w:tcPr>
            <w:tcW w:w="5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19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六类网络双绞线</w:t>
            </w:r>
          </w:p>
        </w:tc>
        <w:tc>
          <w:tcPr>
            <w:tcW w:w="6664" w:type="dxa"/>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1、线缆中心采用十字骨架；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2、带宽：满足250MHz测试符合最新六类标准；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3、导体：23AWG，实芯裸铜导线；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4、外护套采用阻燃PVC材料；</w:t>
            </w:r>
          </w:p>
        </w:tc>
        <w:tc>
          <w:tcPr>
            <w:tcW w:w="1526"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天诚、一舟、易初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5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19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六类网络跳线</w:t>
            </w:r>
          </w:p>
        </w:tc>
        <w:tc>
          <w:tcPr>
            <w:tcW w:w="6664" w:type="dxa"/>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1.六类网络跳线；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2.长度：≥2米。</w:t>
            </w:r>
          </w:p>
        </w:tc>
        <w:tc>
          <w:tcPr>
            <w:tcW w:w="152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天诚、一舟、易初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60" w:hRule="atLeast"/>
        </w:trPr>
        <w:tc>
          <w:tcPr>
            <w:tcW w:w="5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19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AC管理器</w:t>
            </w:r>
          </w:p>
        </w:tc>
        <w:tc>
          <w:tcPr>
            <w:tcW w:w="6664" w:type="dxa"/>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1、最大管理AP数量:≥128，支持≥128个AP授权管理许可；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2、最大接入用户数量≥1K；</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3、转发能力≥4Gbps；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4、接口≥2个10GE光口,≥10个GE电口；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5、包含≥32个AP管理授权；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6、支持基于802.11k和802.11v协议的智能漫游，使低漫游灵敏度的客户端能漫游到最佳AP；</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7、支持CLI、SNMPV1/V2/V3，支持WEB管理、SSH管理；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8、提供整体无线网络性能监控，支持对AC/AP/射频/终端的性能监控；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9、支持可视化故障诊断，对用户、AP、AC的故障呈现故障根因和处理建议。</w:t>
            </w:r>
          </w:p>
        </w:tc>
        <w:tc>
          <w:tcPr>
            <w:tcW w:w="152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华为、新华三、锐捷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0" w:hRule="atLeast"/>
        </w:trPr>
        <w:tc>
          <w:tcPr>
            <w:tcW w:w="5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19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吸顶AP</w:t>
            </w:r>
          </w:p>
        </w:tc>
        <w:tc>
          <w:tcPr>
            <w:tcW w:w="6664" w:type="dxa"/>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1、支持802.11ax标准；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2、2.4GHz和5GHz双频段支持MU-MIMO；</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3、支持整机速率≥2.9Gbps；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4、支持总空间流数≥4；</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5、支持业务数据的隧道转发和直接转发两种方式；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6、支持蓝牙5.0串口远距无线运维；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7、支持DTLS硬件加密，保证接入AP 的合法性，提高无线网络安全；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8、支持telemetry，配合服务器可以高速采集Wi-Fi的数据；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9、支持AP零配置，AP可以通过DHCP、DNS方式自动注册到无线控制器AC；</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10、支持云管理模式，在不更换硬件的情况下，可支持切换到云模式。</w:t>
            </w:r>
          </w:p>
        </w:tc>
        <w:tc>
          <w:tcPr>
            <w:tcW w:w="152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华为、新华三、锐捷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0" w:hRule="atLeast"/>
        </w:trPr>
        <w:tc>
          <w:tcPr>
            <w:tcW w:w="5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19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24口POE交换机</w:t>
            </w:r>
          </w:p>
        </w:tc>
        <w:tc>
          <w:tcPr>
            <w:tcW w:w="6664" w:type="dxa"/>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1、19英寸1U标准机架，金属外壳；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2、端口：≥24个千兆POE端口,≥4个千兆光口；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3、包转发率：≥42Mpps，交换容量：≥336Gbps；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4、POE+输出功率：≥380W。</w:t>
            </w:r>
          </w:p>
        </w:tc>
        <w:tc>
          <w:tcPr>
            <w:tcW w:w="152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华为、新华三、锐捷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00" w:hRule="atLeast"/>
        </w:trPr>
        <w:tc>
          <w:tcPr>
            <w:tcW w:w="5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19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半球形网络摄像机</w:t>
            </w:r>
          </w:p>
        </w:tc>
        <w:tc>
          <w:tcPr>
            <w:tcW w:w="6664" w:type="dxa"/>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1.不少于400万1/1.8'CMOS全彩半球型网络摄像机；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2.最低照度彩色≤0.0005 lx，黑白≤0.0001 lx；</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3.红外补光距离≥30米；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4.支持双码流技术，主码流≥2560x1440@25fps，子码流≥640x480@25fps；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5.供电方式：支持DC12V或POE（802.3af，36V-57V）。</w:t>
            </w:r>
          </w:p>
        </w:tc>
        <w:tc>
          <w:tcPr>
            <w:tcW w:w="1526"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海康威视、大华、宇视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00" w:hRule="atLeast"/>
        </w:trPr>
        <w:tc>
          <w:tcPr>
            <w:tcW w:w="5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19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筒型网络摄像机</w:t>
            </w:r>
          </w:p>
        </w:tc>
        <w:tc>
          <w:tcPr>
            <w:tcW w:w="6664" w:type="dxa"/>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1.不少于400万1/1.8'CMOS全彩筒型网络摄像机；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2.最低照度彩色≤0.0005 lx，黑白≤0.0001 lx；</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3.红外补光距离≥30米；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4.支持双码流技术，主码流≥2560x1440@25fps，子码流≥640x480@25fps；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5.供电方式：支持DC12V或POE（802.3af，36V-57V）。</w:t>
            </w:r>
          </w:p>
        </w:tc>
        <w:tc>
          <w:tcPr>
            <w:tcW w:w="152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海康威视、大华、宇视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0" w:hRule="atLeast"/>
        </w:trPr>
        <w:tc>
          <w:tcPr>
            <w:tcW w:w="5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19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管理工作站</w:t>
            </w:r>
          </w:p>
        </w:tc>
        <w:tc>
          <w:tcPr>
            <w:tcW w:w="6664" w:type="dxa"/>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1.CPU：核心≥4颗，≥8线程，频率≥3.3Hz；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2.内存：≥8G，SSD硬盘≥1T；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3.液晶显示器≥23.8寸；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4.配置鼠标键盘套装。</w:t>
            </w:r>
          </w:p>
        </w:tc>
        <w:tc>
          <w:tcPr>
            <w:tcW w:w="1526"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联想、华为、华硕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00" w:hRule="atLeast"/>
        </w:trPr>
        <w:tc>
          <w:tcPr>
            <w:tcW w:w="5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19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监控录像机</w:t>
            </w:r>
          </w:p>
        </w:tc>
        <w:tc>
          <w:tcPr>
            <w:tcW w:w="6664" w:type="dxa"/>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1.网络视频输入：≥32路视频；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2.存储：支持≥8块8T硬盘；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支持越界、进入区域、离开区域、区域入侵、徘徊、人员聚焦、快速移动、非法停车、物品遗留、物品拿取、人脸、车牌、音频输入异常、声强突变、虚焦以及场景变更等多种智能侦测接入与联动，支持智能搜索、回放及备份功能。</w:t>
            </w:r>
          </w:p>
        </w:tc>
        <w:tc>
          <w:tcPr>
            <w:tcW w:w="152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海康威视、大华、宇视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5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19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监控硬盘</w:t>
            </w:r>
          </w:p>
        </w:tc>
        <w:tc>
          <w:tcPr>
            <w:tcW w:w="6664" w:type="dxa"/>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1.不低于6T监控专用硬盘；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2.转速≥5400转。</w:t>
            </w:r>
          </w:p>
        </w:tc>
        <w:tc>
          <w:tcPr>
            <w:tcW w:w="152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海康威视、大华、宇视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0" w:hRule="atLeast"/>
        </w:trPr>
        <w:tc>
          <w:tcPr>
            <w:tcW w:w="5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19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KVM切换器</w:t>
            </w:r>
          </w:p>
        </w:tc>
        <w:tc>
          <w:tcPr>
            <w:tcW w:w="6664" w:type="dxa"/>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1.LCD KVM切换器，机架式安装；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2.屏幕尺寸：≥19寸显示屏；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3.分辨率≥1280*1024；</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4.不少于8路信号源接入。</w:t>
            </w:r>
          </w:p>
        </w:tc>
        <w:tc>
          <w:tcPr>
            <w:tcW w:w="1526"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迈拓维矩、麦森特、戴尔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0" w:hRule="atLeast"/>
        </w:trPr>
        <w:tc>
          <w:tcPr>
            <w:tcW w:w="5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19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门禁控制主机</w:t>
            </w:r>
          </w:p>
        </w:tc>
        <w:tc>
          <w:tcPr>
            <w:tcW w:w="6664" w:type="dxa"/>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1.可管理≥1路门禁；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2.支持韦根W26/27/34/35等读卡器类型；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3.发卡量：≥10000；时间记录：≥50000；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4.通信方式：支持TCP/IP。</w:t>
            </w:r>
          </w:p>
        </w:tc>
        <w:tc>
          <w:tcPr>
            <w:tcW w:w="152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海康威视、大华、中控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0" w:hRule="atLeast"/>
        </w:trPr>
        <w:tc>
          <w:tcPr>
            <w:tcW w:w="5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19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门禁读卡器</w:t>
            </w:r>
          </w:p>
        </w:tc>
        <w:tc>
          <w:tcPr>
            <w:tcW w:w="6664" w:type="dxa"/>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1.设备外观：采用不低于7英寸LCD触摸显示屏，不少于200万像素双目摄像头，面部识别距离0.2-3m，支持照片视频防假；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2.设备容量：支持≥50000张人脸白名单，1：N人脸比对时间＜0.2S/人，支持≥50000张卡片，≥100000条记录；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3.认证方式：支持人脸、刷卡、密码（超级密码）及其组合的认证方式；可读取Mifare卡（IC卡）、CPU卡序列号/内容、身份证序列号；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4.通讯方式：上行通讯为TCP/IP；支持外接RS485，Wiegand副读卡器；基线支持标准韦根34/26；</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5.视频对讲：支持与云端、管理平台客户端、主副室内分机、管理机的视频对讲功能；支持远程视频预览功能，可以通过RTSP协议输出视频码流，编码格式H.264；</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6.输入接口：支持LAN、RS485、wiegand、USB、门磁、报警输入；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7.输出接口：支持电锁，报警输出。</w:t>
            </w:r>
          </w:p>
        </w:tc>
        <w:tc>
          <w:tcPr>
            <w:tcW w:w="152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海康威视、大华、中控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60" w:hRule="atLeast"/>
        </w:trPr>
        <w:tc>
          <w:tcPr>
            <w:tcW w:w="5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19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磁力锁</w:t>
            </w:r>
          </w:p>
        </w:tc>
        <w:tc>
          <w:tcPr>
            <w:tcW w:w="6664" w:type="dxa"/>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1.带指示灯及信号反馈；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2.适用门型：木门、铁门、有框玻璃门等；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3.电压：DC12V；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4.电流：500mA；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5.开锁时间：≤1s；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6.吸力：≥280KG直线拉力；</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7.LED灯，铝合金材质，常开常闭信号；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8.延时上锁：0-9秒可调；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9.延时开锁：0-25秒可调；</w:t>
            </w:r>
          </w:p>
        </w:tc>
        <w:tc>
          <w:tcPr>
            <w:tcW w:w="152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海康威视、大华、中控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60" w:hRule="atLeast"/>
        </w:trPr>
        <w:tc>
          <w:tcPr>
            <w:tcW w:w="5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19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双门磁力锁</w:t>
            </w:r>
          </w:p>
        </w:tc>
        <w:tc>
          <w:tcPr>
            <w:tcW w:w="6664" w:type="dxa"/>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1.带指示灯及信号反馈；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2.适用门型：双开木门、双开铁门、双开有框玻璃门等；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3.电压：DC12V；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4.电流：500mA；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5.开锁时间：≤1s；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6.吸力：≥280KG直线拉力；</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7.LED灯，铝合金材质，常开常闭信号；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8.延时上锁：0-9秒可调；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9.延时开锁：0-25秒可调；</w:t>
            </w:r>
          </w:p>
        </w:tc>
        <w:tc>
          <w:tcPr>
            <w:tcW w:w="152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海康威视、大华、中控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5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119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RFID发卡器</w:t>
            </w:r>
          </w:p>
        </w:tc>
        <w:tc>
          <w:tcPr>
            <w:tcW w:w="6664" w:type="dxa"/>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1.一卡通取电系统，有效管理设备使用，写卡器，USB接口；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2.尺寸110mm*70mm。读写距离：小于10cm；</w:t>
            </w:r>
          </w:p>
        </w:tc>
        <w:tc>
          <w:tcPr>
            <w:tcW w:w="152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海康威视、大华、中控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rPr>
        <w:tc>
          <w:tcPr>
            <w:tcW w:w="5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119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门禁控制线1</w:t>
            </w:r>
          </w:p>
        </w:tc>
        <w:tc>
          <w:tcPr>
            <w:tcW w:w="6664" w:type="dxa"/>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1.名称：聚氯乙烯护套线；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2.线芯：无氧纯铜；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3.规格：4*1.0.</w:t>
            </w:r>
          </w:p>
        </w:tc>
        <w:tc>
          <w:tcPr>
            <w:tcW w:w="152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海康威视、大华、中控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rPr>
        <w:tc>
          <w:tcPr>
            <w:tcW w:w="5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119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门禁控制线2</w:t>
            </w:r>
          </w:p>
        </w:tc>
        <w:tc>
          <w:tcPr>
            <w:tcW w:w="6664" w:type="dxa"/>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1.名称：聚氯乙烯护套线；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2.线芯：无氧纯铜；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3.规格：6*1.0.</w:t>
            </w:r>
          </w:p>
        </w:tc>
        <w:tc>
          <w:tcPr>
            <w:tcW w:w="152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海康威视、大华、中控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rPr>
        <w:tc>
          <w:tcPr>
            <w:tcW w:w="5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119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电源线</w:t>
            </w:r>
          </w:p>
        </w:tc>
        <w:tc>
          <w:tcPr>
            <w:tcW w:w="6664" w:type="dxa"/>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1.名称：聚氯乙烯护套线；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2.线芯：无氧纯铜；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3.规格：3*1.5.</w:t>
            </w:r>
          </w:p>
        </w:tc>
        <w:tc>
          <w:tcPr>
            <w:tcW w:w="1526"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天诚、讯诚、珠江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68" w:hRule="atLeast"/>
        </w:trPr>
        <w:tc>
          <w:tcPr>
            <w:tcW w:w="5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19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广播系统控制中心设备</w:t>
            </w:r>
          </w:p>
        </w:tc>
        <w:tc>
          <w:tcPr>
            <w:tcW w:w="6664" w:type="dxa"/>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1.采用工业级工控机机箱设计，工业一体化键盘鼠标；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2.采用不小于17.3英寸显示屏，触摸屏操控；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3.系统具备多套定时任务管理方案，支持定时任务多模式运作，定时任务可按星期循环控制，也可指定日期执行定时任务，通过灵活的定时任务配置；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系统提供灵活的终端点播管理功能，具有丰富的点播节目库，供终端点播灵活选择，具备音频媒体点播服务.计划任务处理。终端管理和权限管理等功能；管理节目库资源，为所有广播系统设备提供定时播放和实时点播媒体服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▲5.支持AUTO IP功能，DHCP模式下自动获取IP地址，兼容路由器、交换机、网关、Intelnet、组播、单播等任意网络结构，并实现多网合一传输；（提供第三方检测报告复印件并加盖厂家公章）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支持全数字化传输，服务器以独立的固定IP地址以互联网或者本地局域网为主要传输，手机APP支持移动网络4G、5G、WIFI等网络模式，可控制终端，停止/播放，音量大小，单曲播放，单曲循环，循环播放，顺序播放，随机播放，喊话等远程控制模式；（提供第三方检测报告复印件并加盖厂家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智能音频终端支持逻辑分区，可任意选择，图形化状态显示，工作状态一目了然，直观明了；支持快捷播放操作，快捷播放任意音源；所有网络数字音频设备自动发现，自动监测状态变化，方便管理；（提供第三方检测报告复印件并加盖厂家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8.支持广播系统系统管理软件API开发包系统嵌入式开发，可提供广播系统系统管理软件API标准开发协议；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9.支持7×24小时不间断运行；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10.硬件：不低于I5十代处理器，不小于8G内存，不小于240G固态硬盘。</w:t>
            </w:r>
          </w:p>
        </w:tc>
        <w:tc>
          <w:tcPr>
            <w:tcW w:w="1526"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佳比、德物、厚德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38" w:hRule="atLeast"/>
        </w:trPr>
        <w:tc>
          <w:tcPr>
            <w:tcW w:w="5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119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广播系统数字音频播控台</w:t>
            </w:r>
          </w:p>
        </w:tc>
        <w:tc>
          <w:tcPr>
            <w:tcW w:w="6664" w:type="dxa"/>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1.标准机柜设计，采用触控真彩显示屏，主页终端状态显示功能，可直接触控终端发出指令呼叫指定区域；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▲2.系统采用Ai智能识别技术，具备数字音频智能绑定功能，智慧终端在系统主页面自动显示状态，无需添加；（提供第三方检测报告复印件并加盖厂家公章）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数字播控台自动跟随主服务器平台，图形化界面、状态信息显示一目了然，操作简单便捷，具有一键全区广播，一键紧急广播；支持直接操作呼叫任意智慧音频终端；（提供第三方检测报告复印件并加盖厂家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▲4.支持服务器媒体库音乐点播功能，支持分区广播、分组广播、全区广播，支持点播任意终端，可单曲播放；单曲循环；顺序播放；循环播放以及随机播放；（提供第三方检测报告复印件并加盖厂家公章）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▲5.自带回声消除模块，内置数字音频通道自适应参量均衡算法，多频段动态范围调节，且具有回声啸叫抑制功能；（提供第三方检测报告复印件并加盖厂家公章）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6.具有紧急时一键操作，支持多路模拟音源混音功能；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7.具有无声音输入时自动关闭功能，并可设定自动关闭时间；具有手动打开/关闭静音功能；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8.具有一键紧急功能，LED自然跟随，紧急时一键触发告警，带防护盖，防止误操作；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9.支持用户名和登陆密码与广播系统平台管理软件统一管理，支持系统用户同时登录.支持分控管理账号登录，实现远程节目播放管理；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▲10.支持背景音讲话，有效解决IP数字系统定时程序播音时由于数字信号无法与话筒讲话等模拟信号进行混音的难题；（提供第三方检测报告复印件并加盖厂家公章）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具有脱机运行功能，可直接接入校园局域网使用，寻呼时无需服务器的支撑，数字音频播控台具备服务器断网后仍然能够进行混音广播，支持多路音频混音功能，可将外部音频输入采集并播放到指定网络终端；（提供第三方检测报告复印件并加盖厂家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12.支持DHCP、兼容路由器、交换机、Intelnet、4G、5G、组播、单播等任意网络结构、支持互联网和本地局域网；（提供第三方检测报告复印件并加盖厂家公章）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13.音频接口：不少于6路单声道MIC输入，不少于4路立体声输入，不少于1路紧急按钮，不少于1路寻呼功能键，不少于1路USB输入，不少于1路混合母线输出，不少于2路AUX输出；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14.支持单声道输入通道带48V幻像供电，嵌入式开关设计。</w:t>
            </w:r>
          </w:p>
        </w:tc>
        <w:tc>
          <w:tcPr>
            <w:tcW w:w="152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佳比、德物、厚德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8" w:hRule="atLeast"/>
        </w:trPr>
        <w:tc>
          <w:tcPr>
            <w:tcW w:w="5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119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广播系统语音播控台</w:t>
            </w:r>
          </w:p>
        </w:tc>
        <w:tc>
          <w:tcPr>
            <w:tcW w:w="6664" w:type="dxa"/>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1.采用金属面板，全金属机身，采用触摸真彩显示屏，内置终端图形化状态主页显示功能，可直接触控终端发出指令呼叫指定区域；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2.系统采用Ai智能识别技术，具备数字音频智能绑定功能，智慧终端在系统主页面自动显示状态，无需添加；（提供第三方检测报告复印件并加盖厂家公章）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3.系统支持DHCP，也可以直接在设备上配置静态IP地址；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数字播控台自动跟随主服务器平台，图形化界面、状态信息显示一目了然，操作简单便捷，具有一键全区广播，一键紧急广播；支持直接操作呼叫任意智能音频终端；（提供第三方检测报告复印件并加盖厂家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支持用户名和登陆密码与广播系统平台管理软件统一管理，支持系统用户同时登录、支持分控管理账号登录，实现远程节目播放管理；支持服务器媒体库音乐点播功能，支持分区广播、分组广播、全区广播，支持点播任意终端，可单曲播放、单曲循环、顺序播放、循环播放以及随机播放；（提供第三方检测报告复印件并加盖厂家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6.具有全双工双向功能，根据网络环境自动调整动态网络延时，支持直接操作，可呼叫、点播歌曲给任意终端；具有对分区/分组/全区节目源点播控制功能；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7.具有无声音输入时自动关闭功能，并可设定自动关闭时间；具有手动打开/关闭静音功能；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▲8.一键紧急功能：LED自然跟随，紧急时一键触发告警，带防护盖，防止误操作；（提供第三方检测报告复印件并加盖厂家公章）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▲9.自带回声消除模块，内置数字音频通道自适应参量均衡算法(QOS)，多频段动态范围调节，且具有回声啸叫抑制功能；（提供第三方检测报告复印件并加盖厂家公章）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▲10.支持背景音讲话，有效解决IP数字系统定时程序播音时由于数字信号无法与话筒讲话等模拟信号进行混音的难题；（提供第三方检测报告复印件并加盖厂家公章）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具有脱机运行功能，可直接接入校园局域网使用，寻呼时无需服务器的支撑，语音播控台具备服务器断网后仍然能够进行广播（校园局域网），支持音频混音功能，可将外部音频输入采集并播放到指定网络终端； （提供第三方检测报告复印件并加盖厂家公章）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12.支持DHCP，兼容路由器、交换机、Intelnet、4G、5G、组播、单播等任意网络结构、支持互联网和本地局域网；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13.报警触发短路输出，报警触发短路输入，级联外扩警示设备或控制门禁；可触发预置语音提示（或报警），亦可用于控制门禁联动输入短路信号；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14.内置全频高保真扬声器输出，可监听网络双向通话和对讲；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15.启动设备时，具有手动打开/关闭静音功能。</w:t>
            </w:r>
          </w:p>
        </w:tc>
        <w:tc>
          <w:tcPr>
            <w:tcW w:w="152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佳比、德物、厚德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0" w:hRule="atLeast"/>
        </w:trPr>
        <w:tc>
          <w:tcPr>
            <w:tcW w:w="5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119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广播系统电源管理器</w:t>
            </w:r>
          </w:p>
        </w:tc>
        <w:tc>
          <w:tcPr>
            <w:tcW w:w="6664" w:type="dxa"/>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1.采用金属面板，标准机柜式设计，基于TCP/IP传输协议的全数字化的信号处理器，由广播系统智能控制，接受来自广播系统控制平台的控制指令；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2.系统采用Ai智能识别技术，具备数字终端智能绑定功能，智慧电源管理器在系统自动显示状态，无需添加；（提供第三方检测报告复印件并加盖厂家公章）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接受广播系统平台的控制，内置控制模组，系统可远程控制电源管理器开启/关闭；接受系统定时任务预约开启功能可单路，多路；设备具有智能跟随功能，智能检测系统手动播放任务时自动开启电源输出；定时任务前15秒智能开启，单路/多路/全开；（提供第三方检测报告复印件并加盖厂家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4.支持系统远程对本机进行设置与管理；日期时间，通道开关状态，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▲5.支持系统手动控制任意通道电源的接通或断开；可顺序开启，单路开启，时间200ms-1000ms秒可调节；（提供第三方检测报告复印件并加盖厂家公章）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6.具有智能信号检测功能；智能检测播控台及消防信号任务功能，具有智能跟随功能，自动开启电源所有电源输出；（提供第三方检测报告复印件并加盖厂家公章）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▲7.接收系统指令和控制信号，可多台电源管理器集联接入；每通道可以独立手动设置开启/关闭，方便设备灵活使用；（提供第三方检测报告复印件并加盖厂家公章）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支持系统对本机进行设置与管理；支持Web客户端.服务端，支持系统对本机远程升级功能；有自动检测，信号接收；智能检测系统平台的日期时间定时任务自动开启/关闭每一通道；（提供第三方检测报告复印件并加盖厂家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9.支持DHCP，兼容路由器、交换机、Intelnet、4G、5G、组播、单播等任意网络结构；（提供第三方检测报告复印件并加盖厂家公章）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设备主显示屏与服务器状态显示同步，设备名称，IP地址/即时输入电压显示，具有自动/手动模式显示，有播放任务显示单路开启状态，具有智能检测功能，设备智能开启，面板集成状态指示灯，网络连接状态显示，具有市电电压监测，市电电压显示、控制信号状态显示、过压状态显示；（提供第三方检测报告复印件并加盖厂家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11.支持该设备固件版本号显示，机器SN码显示，更方便检索设备的主要信息；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12.插座总容量不小于6KVA，220V；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13.单个插座最大输出电流不小于10A；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14.不少于16路受控电源输出；两级电源滤波；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15.支持受控信号输入；支持控制信号输出；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16.不少于12路国标三插输出；不少于4路国标两插输出。</w:t>
            </w:r>
          </w:p>
        </w:tc>
        <w:tc>
          <w:tcPr>
            <w:tcW w:w="152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佳比、德物、厚德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0" w:hRule="atLeast"/>
        </w:trPr>
        <w:tc>
          <w:tcPr>
            <w:tcW w:w="5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119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广播系统功率放大器</w:t>
            </w:r>
          </w:p>
        </w:tc>
        <w:tc>
          <w:tcPr>
            <w:tcW w:w="6664" w:type="dxa"/>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1.采用金属面板设计，全数字化的解码处理器，由广播系统智能控制，接受来自广播系统平台的背景音乐节目、定时节目，紧急寻呼、告警信号等；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2.系统采用Ai智能识别技术，具备数字音频智能绑定功能，智慧终端在系统主页面自动显示状态，无需添加；（提供第三方检测报告复印件并加盖厂家公章）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内置DSP数字音频通道自适应参量均衡算法，多频段动态范围调节，十段参量DSP音效处理，登陆系统即可调节终端音效，流行、舞曲、摇滚以及自定义10段均衡器调节；支持终端设备在现场使用环境不同而调节修饰音效；（提供第三方检测报告复印件并加盖厂家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▲4.支持蓝牙5.0终端加密设置，支持设备固件版本在线升级，支持服务器版本在线升级，监控摄像头绑定功能； （提供第三方检测报告佐证并加盖厂家公章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5.支持移动手机网络4G、5G、WIFI点播、广播、喊话功能，兼容Android系统；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▲6.局域网内可脱离服务器接受寻呼广播、紧急报警，音量自动调节到呼叫设备设定值；（提供第三方检测报告复印件并加盖厂家公章）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7.可以关联摄像头，通过登录系统平台实时查看摄像头内容；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▲8.兼容路由器、交换机、Intelnet、4G、5G、组播、单播等任意网络结构；（提供第三方检测报告复印件并加盖厂家公章）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9.支持设备在线分区设置，通过web页面后台或分控客户端均可轻松设置分区；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10.内置不低于120W高效率数字功放，70V/100V定压输出及4-16Ω，效率高达90%以上；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主显示屏与服务器状态显示同步，设备名称，IP地址/当前任务状态显示，音量值显示，有播放任务显示音频频谱；通过频谱，音高线等实时变化的视图，可以更直观的判断声音的音调，借助频谱图，可以让声音可视化；面板集成状态指示灯，网络连接状态显示，信号状态显示；过载保护显示，过温保护显示；（提供第三方检测报告复印件并加盖厂家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12.接受系统在线分组，按系统分组定时，只需添加分组名称即可；支持系统平台设备主音量播放一致的同时还可以调节此设备子音量；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13.支持话筒输入音量独立调节；支持线路输入音量独立调节；具有线路输入音量与广播系统音量跟随设置；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14.支持设备固件版本号显示，机器SN码显示。</w:t>
            </w:r>
          </w:p>
        </w:tc>
        <w:tc>
          <w:tcPr>
            <w:tcW w:w="152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佳比、德物、厚德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rPr>
        <w:tc>
          <w:tcPr>
            <w:tcW w:w="5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19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千兆交换机</w:t>
            </w:r>
          </w:p>
        </w:tc>
        <w:tc>
          <w:tcPr>
            <w:tcW w:w="6664" w:type="dxa"/>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1、千兆无管理交换机，金属外壳；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2、接口≥16个千兆电口；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3、包转发率≥23.74Mpps，交换容量≥32Gbps，MAC：≥8K。</w:t>
            </w:r>
          </w:p>
        </w:tc>
        <w:tc>
          <w:tcPr>
            <w:tcW w:w="152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华为、新华三、锐捷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20" w:hRule="atLeast"/>
        </w:trPr>
        <w:tc>
          <w:tcPr>
            <w:tcW w:w="5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119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壁挂音箱</w:t>
            </w:r>
          </w:p>
        </w:tc>
        <w:tc>
          <w:tcPr>
            <w:tcW w:w="6664"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1、采用全频单元，塑料外壳，金属网罩；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2、喇叭单元：≥1"×1喇叭；≥4"×1喇叭；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3、额定功率：≥20W；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4、最大功率：≥40W；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5、额定阻抗：8欧；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6、灵敏度：≥(1m,1W)89dB；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7、最大声压级：≥(1m) 103dB；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8、频率响应：80-16kHz。</w:t>
            </w:r>
          </w:p>
        </w:tc>
        <w:tc>
          <w:tcPr>
            <w:tcW w:w="152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佳比、德物、厚德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75" w:hRule="atLeast"/>
        </w:trPr>
        <w:tc>
          <w:tcPr>
            <w:tcW w:w="5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119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无线话筒</w:t>
            </w:r>
          </w:p>
        </w:tc>
        <w:tc>
          <w:tcPr>
            <w:tcW w:w="6664"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▲1、使用距离：200米以上，空阔空间约达200-300米；（提供第三方检测报告复印件并加盖厂家公章）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▲2、双通道接收信号，采用微电脑双CPU控制；（提供第三方检测报告复印件并加盖厂家公章）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3、各通道配备独有的ID号，增强抗干扰功能，支持不低于8台叠机使用；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4、音头: 动圈式；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5、综合频率响应：50Hz--18KHz±3dB；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6、输出接口：XLR平衡式以及不平衡式插口；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▲7、载波频段:UHF 620-820MHz；（提供第三方检测报告复印件并加盖厂家公章）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8、振荡方式：PLL锁相环频率合成技术, 红外线对频；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9、功率输出：不小于30mW；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10、频率响应：50Hz--18KHz；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11、最大输入声压：不低于130dB SPL。</w:t>
            </w:r>
          </w:p>
        </w:tc>
        <w:tc>
          <w:tcPr>
            <w:tcW w:w="152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佳比、德物、厚德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119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水晶头</w:t>
            </w:r>
          </w:p>
        </w:tc>
        <w:tc>
          <w:tcPr>
            <w:tcW w:w="6664"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六类水晶头，不少于100个/盒。</w:t>
            </w:r>
          </w:p>
        </w:tc>
        <w:tc>
          <w:tcPr>
            <w:tcW w:w="152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天诚、一舟、海康威视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0" w:hRule="atLeast"/>
        </w:trPr>
        <w:tc>
          <w:tcPr>
            <w:tcW w:w="5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119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6.5单声道转卡侬公信号线（1.5米）</w:t>
            </w:r>
          </w:p>
        </w:tc>
        <w:tc>
          <w:tcPr>
            <w:tcW w:w="6664"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1、产品规格：不少于1.5米，OD不少于6mm；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2、产品接头：3.5立体声转双莲花(RCA)；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3、产品用途：适用于计算机、MP3、DVD、电视机、收音机、电脑、CD机与功放机、音箱之间的连接并传输他们的音频信号。</w:t>
            </w:r>
          </w:p>
        </w:tc>
        <w:tc>
          <w:tcPr>
            <w:tcW w:w="152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佳比、德物、厚德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0" w:hRule="atLeast"/>
        </w:trPr>
        <w:tc>
          <w:tcPr>
            <w:tcW w:w="5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19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双莲花转双莲花信号线（1.5米）</w:t>
            </w:r>
          </w:p>
        </w:tc>
        <w:tc>
          <w:tcPr>
            <w:tcW w:w="6664"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1、产品规格：不少于1.5米，OD不少于6mm；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2、产品接头：3.5立体声转双莲花(RCA)；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3、产品用途：适用于计算机、MP3、DVD、电视机、收音机、电脑、CD机与功放机、音箱之间的连接并传输他们的音频信号。</w:t>
            </w:r>
          </w:p>
        </w:tc>
        <w:tc>
          <w:tcPr>
            <w:tcW w:w="152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佳比、德物、厚德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0" w:hRule="atLeast"/>
        </w:trPr>
        <w:tc>
          <w:tcPr>
            <w:tcW w:w="5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119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3.5转双莲花信号线（5米）</w:t>
            </w:r>
          </w:p>
        </w:tc>
        <w:tc>
          <w:tcPr>
            <w:tcW w:w="6664"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1、产品规格：不少于5米，OD不少于6mm；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2、产品接头：3.5立体声转双莲花(RCA)；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3、产品用途：适用于计算机、MP3、DVD、电视机、收音机、电脑、CD机与功放机、音箱之间的连接并传输他们的音频信号。</w:t>
            </w:r>
          </w:p>
        </w:tc>
        <w:tc>
          <w:tcPr>
            <w:tcW w:w="152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佳比、德物、厚德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119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6U挂墙机柜</w:t>
            </w:r>
          </w:p>
        </w:tc>
        <w:tc>
          <w:tcPr>
            <w:tcW w:w="6664"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标准19英寸6U挂墙机柜，前玻璃门。</w:t>
            </w:r>
          </w:p>
        </w:tc>
        <w:tc>
          <w:tcPr>
            <w:tcW w:w="152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图腾、大唐、欢联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65" w:hRule="atLeast"/>
        </w:trPr>
        <w:tc>
          <w:tcPr>
            <w:tcW w:w="5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119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LED防眩平板灯</w:t>
            </w:r>
          </w:p>
        </w:tc>
        <w:tc>
          <w:tcPr>
            <w:tcW w:w="6664"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106"/>
                <w:rFonts w:hint="eastAsia" w:ascii="宋体" w:hAnsi="宋体" w:eastAsia="宋体" w:cs="宋体"/>
                <w:sz w:val="24"/>
                <w:szCs w:val="24"/>
                <w:lang w:val="en-US" w:eastAsia="zh-CN" w:bidi="ar"/>
              </w:rPr>
              <w:t>1、采用高端品牌灯珠，应用RG0无蓝光封装技术，直下式设计，产品光频闪无危害；</w:t>
            </w:r>
            <w:r>
              <w:rPr>
                <w:rStyle w:val="106"/>
                <w:rFonts w:hint="eastAsia" w:ascii="宋体" w:hAnsi="宋体" w:eastAsia="宋体" w:cs="宋体"/>
                <w:sz w:val="24"/>
                <w:szCs w:val="24"/>
                <w:lang w:val="en-US" w:eastAsia="zh-CN" w:bidi="ar"/>
              </w:rPr>
              <w:br w:type="textWrapping"/>
            </w:r>
            <w:r>
              <w:rPr>
                <w:rStyle w:val="106"/>
                <w:rFonts w:hint="eastAsia" w:ascii="宋体" w:hAnsi="宋体" w:eastAsia="宋体" w:cs="宋体"/>
                <w:sz w:val="24"/>
                <w:szCs w:val="24"/>
                <w:lang w:val="en-US" w:eastAsia="zh-CN" w:bidi="ar"/>
              </w:rPr>
              <w:t>2、LED教室灯采用光学防眩设计（UGR&lt;16），不直射不伤眼；</w:t>
            </w:r>
            <w:r>
              <w:rPr>
                <w:rStyle w:val="106"/>
                <w:rFonts w:hint="eastAsia" w:ascii="宋体" w:hAnsi="宋体" w:eastAsia="宋体" w:cs="宋体"/>
                <w:sz w:val="24"/>
                <w:szCs w:val="24"/>
                <w:lang w:val="en-US" w:eastAsia="zh-CN" w:bidi="ar"/>
              </w:rPr>
              <w:br w:type="textWrapping"/>
            </w:r>
            <w:r>
              <w:rPr>
                <w:rStyle w:val="106"/>
                <w:rFonts w:hint="eastAsia" w:ascii="宋体" w:hAnsi="宋体" w:eastAsia="宋体" w:cs="宋体"/>
                <w:sz w:val="24"/>
                <w:szCs w:val="24"/>
                <w:lang w:val="en-US" w:eastAsia="zh-CN" w:bidi="ar"/>
              </w:rPr>
              <w:t>3、功率：40W±5%；（提供具有ilac-MRA、CNAS及CMA标志的检验报告复印件并加盖厂家公章）</w:t>
            </w:r>
            <w:r>
              <w:rPr>
                <w:rStyle w:val="106"/>
                <w:rFonts w:hint="eastAsia" w:ascii="宋体" w:hAnsi="宋体" w:eastAsia="宋体" w:cs="宋体"/>
                <w:sz w:val="24"/>
                <w:szCs w:val="24"/>
                <w:lang w:val="en-US" w:eastAsia="zh-CN" w:bidi="ar"/>
              </w:rPr>
              <w:br w:type="textWrapping"/>
            </w:r>
            <w:r>
              <w:rPr>
                <w:rStyle w:val="106"/>
                <w:rFonts w:hint="eastAsia" w:ascii="宋体" w:hAnsi="宋体" w:eastAsia="宋体" w:cs="宋体"/>
                <w:sz w:val="24"/>
                <w:szCs w:val="24"/>
                <w:lang w:val="en-US" w:eastAsia="zh-CN" w:bidi="ar"/>
              </w:rPr>
              <w:t>▲4、效率因数：&gt;0.95；（提供具有ilac-MRA、CNAS及CMA标志的检验报告复印件并加盖厂家公章）</w:t>
            </w:r>
            <w:r>
              <w:rPr>
                <w:rStyle w:val="106"/>
                <w:rFonts w:hint="eastAsia" w:ascii="宋体" w:hAnsi="宋体" w:eastAsia="宋体" w:cs="宋体"/>
                <w:sz w:val="24"/>
                <w:szCs w:val="24"/>
                <w:lang w:val="en-US" w:eastAsia="zh-CN" w:bidi="ar"/>
              </w:rPr>
              <w:br w:type="textWrapping"/>
            </w:r>
            <w:r>
              <w:rPr>
                <w:rStyle w:val="106"/>
                <w:rFonts w:hint="eastAsia" w:ascii="宋体" w:hAnsi="宋体" w:eastAsia="宋体" w:cs="宋体"/>
                <w:sz w:val="24"/>
                <w:szCs w:val="24"/>
                <w:lang w:val="en-US" w:eastAsia="zh-CN" w:bidi="ar"/>
              </w:rPr>
              <w:t>5、波动深度：&lt;3%；</w:t>
            </w:r>
            <w:r>
              <w:rPr>
                <w:rStyle w:val="106"/>
                <w:rFonts w:hint="eastAsia" w:ascii="宋体" w:hAnsi="宋体" w:eastAsia="宋体" w:cs="宋体"/>
                <w:sz w:val="24"/>
                <w:szCs w:val="24"/>
                <w:lang w:val="en-US" w:eastAsia="zh-CN" w:bidi="ar"/>
              </w:rPr>
              <w:br w:type="textWrapping"/>
            </w:r>
            <w:r>
              <w:rPr>
                <w:rStyle w:val="106"/>
                <w:rFonts w:hint="eastAsia" w:ascii="宋体" w:hAnsi="宋体" w:eastAsia="宋体" w:cs="宋体"/>
                <w:sz w:val="24"/>
                <w:szCs w:val="24"/>
                <w:lang w:val="en-US" w:eastAsia="zh-CN" w:bidi="ar"/>
              </w:rPr>
              <w:t>▲6、光通量：≥3538lm；（提供具有ilac-MRA、CNAS及CMA标志的检验报告复印件并加盖厂家公章）</w:t>
            </w:r>
            <w:r>
              <w:rPr>
                <w:rStyle w:val="106"/>
                <w:rFonts w:hint="eastAsia" w:ascii="宋体" w:hAnsi="宋体" w:eastAsia="宋体" w:cs="宋体"/>
                <w:sz w:val="24"/>
                <w:szCs w:val="24"/>
                <w:lang w:val="en-US" w:eastAsia="zh-CN" w:bidi="ar"/>
              </w:rPr>
              <w:br w:type="textWrapping"/>
            </w:r>
            <w:r>
              <w:rPr>
                <w:rStyle w:val="106"/>
                <w:rFonts w:hint="eastAsia" w:ascii="宋体" w:hAnsi="宋体" w:eastAsia="宋体" w:cs="宋体"/>
                <w:sz w:val="24"/>
                <w:szCs w:val="24"/>
                <w:lang w:val="en-US" w:eastAsia="zh-CN" w:bidi="ar"/>
              </w:rPr>
              <w:t>7、色 温：≥4860K；（提供具有ilac-MRA、CNAS及CMA标志的检验报告复印件并加盖厂家公章）</w:t>
            </w:r>
            <w:r>
              <w:rPr>
                <w:rStyle w:val="106"/>
                <w:rFonts w:hint="eastAsia" w:ascii="宋体" w:hAnsi="宋体" w:eastAsia="宋体" w:cs="宋体"/>
                <w:sz w:val="24"/>
                <w:szCs w:val="24"/>
                <w:lang w:val="en-US" w:eastAsia="zh-CN" w:bidi="ar"/>
              </w:rPr>
              <w:br w:type="textWrapping"/>
            </w:r>
            <w:r>
              <w:rPr>
                <w:rStyle w:val="106"/>
                <w:rFonts w:hint="eastAsia" w:ascii="宋体" w:hAnsi="宋体" w:eastAsia="宋体" w:cs="宋体"/>
                <w:sz w:val="24"/>
                <w:szCs w:val="24"/>
                <w:lang w:val="en-US" w:eastAsia="zh-CN" w:bidi="ar"/>
              </w:rPr>
              <w:t>▲8、显色指数;Ra&gt;90；（提供具有ilac-MRA、CNAS及CMA标志的检验报告复印件并加盖厂家公章）</w:t>
            </w:r>
            <w:r>
              <w:rPr>
                <w:rStyle w:val="106"/>
                <w:rFonts w:hint="eastAsia" w:ascii="宋体" w:hAnsi="宋体" w:eastAsia="宋体" w:cs="宋体"/>
                <w:sz w:val="24"/>
                <w:szCs w:val="24"/>
                <w:lang w:val="en-US" w:eastAsia="zh-CN" w:bidi="ar"/>
              </w:rPr>
              <w:br w:type="textWrapping"/>
            </w:r>
            <w:r>
              <w:rPr>
                <w:rStyle w:val="106"/>
                <w:rFonts w:hint="eastAsia" w:ascii="宋体" w:hAnsi="宋体" w:eastAsia="宋体" w:cs="宋体"/>
                <w:sz w:val="24"/>
                <w:szCs w:val="24"/>
                <w:lang w:val="en-US" w:eastAsia="zh-CN" w:bidi="ar"/>
              </w:rPr>
              <w:t>▲9、最大光强：≥1480cd；（提供具有ilac-MRA、CNAS及CMA标志的检验报告复印件并加盖厂家公章）</w:t>
            </w:r>
            <w:r>
              <w:rPr>
                <w:rStyle w:val="106"/>
                <w:rFonts w:hint="eastAsia" w:ascii="宋体" w:hAnsi="宋体" w:eastAsia="宋体" w:cs="宋体"/>
                <w:sz w:val="24"/>
                <w:szCs w:val="24"/>
                <w:lang w:val="en-US" w:eastAsia="zh-CN" w:bidi="ar"/>
              </w:rPr>
              <w:br w:type="textWrapping"/>
            </w:r>
            <w:r>
              <w:rPr>
                <w:rStyle w:val="106"/>
                <w:rFonts w:hint="eastAsia" w:ascii="宋体" w:hAnsi="宋体" w:eastAsia="宋体" w:cs="宋体"/>
                <w:sz w:val="24"/>
                <w:szCs w:val="24"/>
                <w:lang w:val="en-US" w:eastAsia="zh-CN" w:bidi="ar"/>
              </w:rPr>
              <w:t xml:space="preserve">10、最大光强角度：C:202.5° </w:t>
            </w:r>
            <w:r>
              <w:rPr>
                <w:rStyle w:val="107"/>
                <w:rFonts w:hint="eastAsia" w:ascii="宋体" w:hAnsi="宋体" w:eastAsia="宋体" w:cs="宋体"/>
                <w:sz w:val="24"/>
                <w:szCs w:val="24"/>
                <w:lang w:val="en-US" w:eastAsia="zh-CN" w:bidi="ar"/>
              </w:rPr>
              <w:t>γ</w:t>
            </w:r>
            <w:r>
              <w:rPr>
                <w:rStyle w:val="106"/>
                <w:rFonts w:hint="eastAsia" w:ascii="宋体" w:hAnsi="宋体" w:eastAsia="宋体" w:cs="宋体"/>
                <w:sz w:val="24"/>
                <w:szCs w:val="24"/>
                <w:lang w:val="en-US" w:eastAsia="zh-CN" w:bidi="ar"/>
              </w:rPr>
              <w:t>:1.0°；</w:t>
            </w:r>
            <w:r>
              <w:rPr>
                <w:rStyle w:val="106"/>
                <w:rFonts w:hint="eastAsia" w:ascii="宋体" w:hAnsi="宋体" w:eastAsia="宋体" w:cs="宋体"/>
                <w:sz w:val="24"/>
                <w:szCs w:val="24"/>
                <w:lang w:val="en-US" w:eastAsia="zh-CN" w:bidi="ar"/>
              </w:rPr>
              <w:br w:type="textWrapping"/>
            </w:r>
            <w:r>
              <w:rPr>
                <w:rStyle w:val="106"/>
                <w:rFonts w:hint="eastAsia" w:ascii="宋体" w:hAnsi="宋体" w:eastAsia="宋体" w:cs="宋体"/>
                <w:sz w:val="24"/>
                <w:szCs w:val="24"/>
                <w:lang w:val="en-US" w:eastAsia="zh-CN" w:bidi="ar"/>
              </w:rPr>
              <w:t>11、输入电压：AC220-240V 50/60Hz；</w:t>
            </w:r>
            <w:r>
              <w:rPr>
                <w:rStyle w:val="106"/>
                <w:rFonts w:hint="eastAsia" w:ascii="宋体" w:hAnsi="宋体" w:eastAsia="宋体" w:cs="宋体"/>
                <w:sz w:val="24"/>
                <w:szCs w:val="24"/>
                <w:lang w:val="en-US" w:eastAsia="zh-CN" w:bidi="ar"/>
              </w:rPr>
              <w:br w:type="textWrapping"/>
            </w:r>
            <w:r>
              <w:rPr>
                <w:rStyle w:val="106"/>
                <w:rFonts w:hint="eastAsia" w:ascii="宋体" w:hAnsi="宋体" w:eastAsia="宋体" w:cs="宋体"/>
                <w:sz w:val="24"/>
                <w:szCs w:val="24"/>
                <w:lang w:val="en-US" w:eastAsia="zh-CN" w:bidi="ar"/>
              </w:rPr>
              <w:t>12、电路保护:短路保护，过流保护， 过电压保护，抗浪涌，过温保护；</w:t>
            </w:r>
            <w:r>
              <w:rPr>
                <w:rStyle w:val="106"/>
                <w:rFonts w:hint="eastAsia" w:ascii="宋体" w:hAnsi="宋体" w:eastAsia="宋体" w:cs="宋体"/>
                <w:sz w:val="24"/>
                <w:szCs w:val="24"/>
                <w:lang w:val="en-US" w:eastAsia="zh-CN" w:bidi="ar"/>
              </w:rPr>
              <w:br w:type="textWrapping"/>
            </w:r>
            <w:r>
              <w:rPr>
                <w:rStyle w:val="106"/>
                <w:rFonts w:hint="eastAsia" w:ascii="宋体" w:hAnsi="宋体" w:eastAsia="宋体" w:cs="宋体"/>
                <w:sz w:val="24"/>
                <w:szCs w:val="24"/>
                <w:lang w:val="en-US" w:eastAsia="zh-CN" w:bidi="ar"/>
              </w:rPr>
              <w:t>▲13、通过国家强制性CCC认证，产品型号与CCC证书标注型号一致。（提供CCC认证证书复印件并加盖厂家公章）</w:t>
            </w:r>
          </w:p>
        </w:tc>
        <w:tc>
          <w:tcPr>
            <w:tcW w:w="152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佳比、</w:t>
            </w:r>
            <w:r>
              <w:rPr>
                <w:rFonts w:hint="eastAsia" w:ascii="宋体" w:hAnsi="宋体" w:eastAsia="宋体" w:cs="宋体"/>
                <w:i w:val="0"/>
                <w:iCs w:val="0"/>
                <w:color w:val="000000"/>
                <w:sz w:val="24"/>
                <w:szCs w:val="24"/>
                <w:u w:val="none"/>
              </w:rPr>
              <w:t>节能通</w:t>
            </w:r>
            <w:r>
              <w:rPr>
                <w:rFonts w:hint="eastAsia" w:ascii="宋体" w:hAnsi="宋体" w:eastAsia="宋体" w:cs="宋体"/>
                <w:i w:val="0"/>
                <w:iCs w:val="0"/>
                <w:color w:val="000000"/>
                <w:sz w:val="24"/>
                <w:szCs w:val="24"/>
                <w:u w:val="none"/>
                <w:lang w:eastAsia="zh-CN"/>
              </w:rPr>
              <w:t>、</w:t>
            </w:r>
            <w:r>
              <w:rPr>
                <w:rFonts w:hint="eastAsia" w:ascii="宋体" w:hAnsi="宋体" w:eastAsia="宋体" w:cs="宋体"/>
                <w:i w:val="0"/>
                <w:iCs w:val="0"/>
                <w:color w:val="000000"/>
                <w:sz w:val="24"/>
                <w:szCs w:val="24"/>
                <w:u w:val="none"/>
              </w:rPr>
              <w:t>立达信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48" w:hRule="atLeast"/>
        </w:trPr>
        <w:tc>
          <w:tcPr>
            <w:tcW w:w="5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119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校园AI实验室管控中心设备</w:t>
            </w:r>
          </w:p>
        </w:tc>
        <w:tc>
          <w:tcPr>
            <w:tcW w:w="6664"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1、CPU：不低于10代酷睿I7处理器，≥8核16线程,主频≥2.9G-4.8G；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2、内存：≥32G DDR4，最大支持128GB DDR4 2933/2666/2333Mhz内存；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3、网口：1个板载RJ-45千兆网口，可按需添加1-3个RJ-45千兆网口；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4、硬盘：≥1T SSD，最大支持6块3.5寸硬盘或6块2.5寸硬盘，支持≥1个2280 PCIE M.2 SSD。</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5、实验室使用情况总览：支持按楼宇筛选查看实验室的使用情况，包括正常上课信息、预约使用信息等。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6、▲实验室预约：支持通过Web端或微信小程序进行教室预约，学生/老师可提前预约使用实验工位，管理员可审核预约，预约成功后可与教室设备联动。（提供系统功能界面截图并加盖原厂公章）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7、实验室动态：支持查看最近一周的实验室动态，包括预约情况、使用情况等，对接物联网管控中心可将异常情况报警并突出显示。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8、设备资产管理：支持对接校园资产管理子系统，实现对实验室资产管理。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9、实验室档案管理：支持对接智慧校园数字化档案管理系统，实现实验室基础信息档案管理。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10、实验室管控：支持对接物联网管控中心子系统，实现对实验室外设（灯光、窗帘、插座）管控和获取实验室传感器（光照、温湿度、PM2.5、烟雾、可燃气体）数据，可查看信息详情并对异常数据报警。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11、实验室班牌：支持对接智慧班牌系统，在实验室模式下可实现班牌管理、设置实验室简介、设备图片、联系人等信息，支持实验室班牌刷卡、刷脸认证、开启门禁功能。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12、实验室考勤：支持对接智能考勤系统，实现实验课堂的学生考勤。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13、▲实验室门禁：支持对接智能门禁系统，可根据实验室的课表安排或者预约情况实现提前开启门禁；（提供系统功能界面截图并加盖原厂公章）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14、▲与校园物联网管控中心、校园信息管理中心和智慧教室门禁、考勤中心实现一体化建设，系统之间数据互联互通。（提供系统功能界面截图并加盖原厂公章）</w:t>
            </w:r>
          </w:p>
        </w:tc>
        <w:tc>
          <w:tcPr>
            <w:tcW w:w="152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rPr>
              <w:t>蓝鸽</w:t>
            </w:r>
            <w:r>
              <w:rPr>
                <w:rFonts w:hint="eastAsia" w:ascii="宋体" w:hAnsi="宋体" w:eastAsia="宋体" w:cs="宋体"/>
                <w:i w:val="0"/>
                <w:iCs w:val="0"/>
                <w:color w:val="000000"/>
                <w:sz w:val="24"/>
                <w:szCs w:val="24"/>
                <w:u w:val="none"/>
                <w:lang w:eastAsia="zh-CN"/>
              </w:rPr>
              <w:t>、成都叠创科技有限公司、浙江海云天科技有限公司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18" w:hRule="atLeast"/>
        </w:trPr>
        <w:tc>
          <w:tcPr>
            <w:tcW w:w="5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119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校园物联网管控中心设备</w:t>
            </w:r>
          </w:p>
        </w:tc>
        <w:tc>
          <w:tcPr>
            <w:tcW w:w="6664"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1、CPU：不低于10代酷睿I7处理器，≥8核16线程,主频≥2.9G-4.8G；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2、内存：≥32G DDR4，最大支持128GB DDR4 2933/2666/2333Mhz内存；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3、网口：1个板载RJ-45千兆网口，可按需添加1-3个RJ-45千兆网口；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4、硬盘：≥1T SSD，最大支持6块3.5寸硬盘或6块2.5寸硬盘，支持≥1个2280 PCIE M.2 SSD。</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设备远程统一控制：支持根据课表安排，通过PC、移动设备（Android、IOS）课前或考前对多媒体教室设备进行即时管控，或根据课表信息定时智能启停，可显示教室状态、教室监控，支持控制空气开关、灯光、窗帘、插座、风扇、新风机、空调、投影仪、投影幕、信号源切换、班牌开关、门禁开关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6、智能光感调节：支持通过设置光感调节时间段、光照阈值等参数，可实现自适应开关灯光。（需配套硬件光照传感器）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7、智能温控调节：支持通过设置温度调节时间段、温度阈值等参数，可实现自适应开启、关闭空调、设置温度（需配套硬件温度传感器）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8、▲教室预约：支持移动端或Web端、微信小程序进行教室预约，学生/老师可提前预约使用教室，管理员可审核预约，预约成功后可与教室设备联动。（提供系统功能界面截图并加盖原厂公章）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9、教室应用场景设置：支持对教室设置不同的应用场景，如教学、考试等，可根据场景自适应开关教室不同的物联网设备。也支持设置统一关机时间。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10、系统联动管控：支持通过课程表设置，提前开启教室、课后关闭教室；支持在未购买一卡通情况下，可通过Excel导入管理员/教师用户的卡片信息，实现刷卡取电，结合应用场景的设置联动上电的设备。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故障自动检测：支持根据课表安排安排，课前对多媒体教室与功能房间（考场、自习室、实验室、实训室等）的门禁、班牌、物联网外设（音频系统、视频系统、灯光、窗帘、插座、风扇、新风机、摄像头、空调、插座）进行故障检测，检测记录可生成检测报告。（提供系统功能界面截图并加盖原厂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12、维修通知：支持操作“通知维修”并选择维修人员后，将通知信息推送至该人员的消息中心及绑定的微信公众号。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13、故障总览：支持预览设备总数、未处理故障数、已处理故障数等数据，并支持按天或按周查看故障处理曲线图。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14、故障档案：支持查询故障记录，包括检测对象、故障级别、故障描述、告警时间、故障状态、已通知的维修人员信息等，并可对故障状态进行更改。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15、检测设置：支持对需要检测的对象进行配置，包括教师机（网络、系统、鼠标、键盘）、物联网外设（音频系统、视频系统、灯光、窗帘、插座、风扇、新风机、摄像头、空调、插座）。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16、▲与校园AI实验室管控中心、校园信息管理中心和智慧教室门禁、考勤中心实现一体化建设，系统之间数据互联互通。（提供系统功能界面截图并加盖原厂公章）</w:t>
            </w:r>
          </w:p>
        </w:tc>
        <w:tc>
          <w:tcPr>
            <w:tcW w:w="152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蓝鸽</w:t>
            </w:r>
            <w:r>
              <w:rPr>
                <w:rFonts w:hint="eastAsia" w:ascii="宋体" w:hAnsi="宋体" w:eastAsia="宋体" w:cs="宋体"/>
                <w:i w:val="0"/>
                <w:iCs w:val="0"/>
                <w:color w:val="000000"/>
                <w:sz w:val="24"/>
                <w:szCs w:val="24"/>
                <w:u w:val="none"/>
                <w:lang w:eastAsia="zh-CN"/>
              </w:rPr>
              <w:t>、成都叠创科技有限公司、浙江海云天科技有限公司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01" w:hRule="atLeast"/>
        </w:trPr>
        <w:tc>
          <w:tcPr>
            <w:tcW w:w="5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119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校园信息管理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中心设备</w:t>
            </w:r>
          </w:p>
        </w:tc>
        <w:tc>
          <w:tcPr>
            <w:tcW w:w="6664"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1、CPU：不低于Intel至强银牌服务器处理器，≥10核20线程,主频≥2.2G-3.2G；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2、内存：≥64G DDR4，支持2933MHz DDR4的RDIMM内存，最大支持2TB；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3、网口：集成≥2个千兆GE网口，可选配增加1个双千兆数据OCP网口模块，或1个双万兆数据OCP网口模块；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4、电源：≥2个550W白金牌效率电源，支持1+1冗余；电源电压：输入电压：100-240V 47Hz-63Hz，输出电压：+12v，+5v_SB；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5、硬盘：≥240G SSD+2*2T SSD(Raid1)，最大支持前置8块3.5/2.5寸SATA硬盘，支持≥1个2280 PCIE M.2 SSD。</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统一身份认证：支持单点登录、一体化认证，平台各应用系统之间可共享认证信息；PC端可通过智慧校园通app扫码登录或QQ、微博、微信小程序和钉钉进行第三方认证，移动端通过手机免密登录。（提供相关功能截图和第三方检测报告佐证并加盖厂家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7、个人账号管理：支持对个人账号的基础信息、人脸照片信息、安全信息及账号绑定信息进行管理，可通过密保问题/密保邮箱的方式找回密码。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用户档案管理：支持单个和批量录入学生/老师等用户的基础档案信息，并可对接现有教务系统用户数据，具有对学校师生档案进行统计及修改/删除等操作、对毕业生档案进行管理、审核老师/学生账号的自主注册信息、跟踪查看用户档案的变更记录、支持同步用户基础数据至平台各应用系统等功能。（提供相关功能截图和第三方检测报告佐证并加盖厂家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用户账号管理：支持对学生/老师/家长/管理员等不同身份的用户账号进行管理，具有账号查询、密码重置、禁用/启用账号、新增普通管理员等功能。（提供相关功能截图和第三方检测报告佐证并加盖厂家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用户权限管理：支持对各类用户身份及其访问权限进行查看与管理，并支持自定义用户身份，实现不同用户身份权限的一体化控制，支持用户创建自定义身份，给下级用户进行身份授权设置，分派相应入口权限。（提供相关功能截图和第三方检测报告佐证并加盖厂家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11、班级管理：支持添加及管理行政班、设置各班班主任及班长。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12、学科管理：支持初始化学科信息、添加默认学科、自定义或导入学科。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13、教学班管理：支持查看和管理教学班级信息，支持走班及常规教学；支持按年级/学科查看教学班的统计信息。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课程安排管理：支持批量导入课程表安排，并可对接排课系统课程表信息；管理员和教师可按需调课（添加临时课程/停课/调整老师/调整时间/调整教室等）；管理员可查看历次的调课日志，支持多种课时方案及节假日设置；老师及学生可查看个人课表及班级课表；管理员可从老师/班级/教室等角度查看课表并支持导出课表。（提供相关功能截图和第三方检测报告佐证并加盖厂家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15、基础信息设置：支持设置学年学期信息，并可实现数据自动备份；设置学校基础信息，设置节假日信息。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16、在线用户管理：支持学校管理员查看在线的师生统计信息及详细名单，可对指定用户执行“即时下线”操作。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17、网络访问统计：支持学校管理员查看各类用户上机统计信息、各类终端使用统计信息及登录异常日志。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18、▲人脸数据采集及管理：支持学生/教师/管理员从本地电脑上传个人头像，管理员可利用人脸采集摄像头实时采集人脸图像并入库，可导出用户信息及人脸库图片，并可对人脸图片进行查询、修改、删除等操作。（提供相关功能截图和第三方检测报告佐证并加盖厂家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19、组织结构设置：支持管理员对校内各级部门、部门岗位及岗位人员信息等进行统一管理。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应用资源一体化管理：支持对接智慧校园中的各应用系统和资源库，将不同用户身份的应用、资源一体化设计并分类呈现，用户可单点登录个人应用桌面中的各应用系统以及资源库，支持关键字模糊搜索平台内可用的系统功能模块入口。支持接入第三方入口。（提供相关功能截图和第三方检测报告佐证并加盖厂家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21、▲用户应用桌面管理：（提供相关功能截图和第三方检测报告佐证并加盖厂家公章）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（1）固定菜单设置：系统根据用户身份初始化配置应用桌面模块入口；支持管理员对平台集成的应用系统及其功能模块进行集中统一管理。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个性化菜单定制：支持学校管理员对各类身份用户可访问的应用模块分组以及分组下的模块重新定制，包括新增、重命名、重新排序、删除等；用户可根据自身需求定制桌面各分组下的系统模块和学科资源入口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22.楼宇/区域档案管理：支持新建、编辑、删除楼宇/区域；支持通过Excel一键导入/导出楼宇/区域信息；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▲23.构建校园平面图：支持设定楼宇/区域大小、手动拖动构建校园平面图。（提供相关功能截图和第三方检测报告佐证并加盖厂家公章）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24.教室/场所档案管理：支持AI智慧教室、传统多媒体教室、实验室、操场等各种类型教室/场所新建、编辑、删除、查询；支持通过Excel一键导入/导出教室/场所档案信息。（提供相关功能截图和第三方检测报告佐证并加盖厂家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25.设备清单管理：支持查看主要设备资产详细信息，包括设备清单、使用次数、设备厂家、型号、责任人等，支持日志筛查和导出。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26.操作日志管理：支持对所有身份人员的档案操作行为进行记录，并可对日志信息查询、导出等。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27、▲与校园AI实验室管控中心、校园物联网管控中心设备和智慧教室门禁、考勤中心实现一体化建设，系统之间数据互联互通。（提供系统功能界面截图并加盖原厂公章）</w:t>
            </w:r>
          </w:p>
        </w:tc>
        <w:tc>
          <w:tcPr>
            <w:tcW w:w="152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蓝鸽</w:t>
            </w:r>
            <w:r>
              <w:rPr>
                <w:rFonts w:hint="eastAsia" w:ascii="宋体" w:hAnsi="宋体" w:eastAsia="宋体" w:cs="宋体"/>
                <w:i w:val="0"/>
                <w:iCs w:val="0"/>
                <w:color w:val="000000"/>
                <w:sz w:val="24"/>
                <w:szCs w:val="24"/>
                <w:u w:val="none"/>
                <w:lang w:eastAsia="zh-CN"/>
              </w:rPr>
              <w:t>、成都叠创科技有限公司、浙江海云天科技有限公司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0" w:hRule="atLeast"/>
        </w:trPr>
        <w:tc>
          <w:tcPr>
            <w:tcW w:w="5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119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智慧教室门禁、考勤中心设备</w:t>
            </w:r>
          </w:p>
        </w:tc>
        <w:tc>
          <w:tcPr>
            <w:tcW w:w="6664" w:type="dxa"/>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1、CPU：不低于10代酷睿I7处理器，≥8核16线程,主频≥2.9G-4.8G；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2、内存：≥32G DDR4，最大支持128GB DDR4 2933/2666/2333Mhz内存；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3、显卡：≥4G显存半高独立显卡；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4、网口：≥1个板载RJ-45千兆网口；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5、电源：额定功率≥300W，输入电压：100-240V/7A-3.5A/50Hz-60Hz；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6、硬盘：≥1T SSD，最大支持6块3.5寸硬盘或6块2.5寸硬盘，支持≥1个PCIE M.2 SSD。</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7、▲课表联动开关：支持根据学校课程表定时开关教室门禁，即在上课当天上下午第一节课前打开对应门禁、最后一节课后关闭对应门禁。（提供相关功能截图和第三方检测报告佐证并加盖厂家公章）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8、多模式验证通行：支持IC卡验证、人脸验证、密码验证、远程开关、定时开关等多种通行方式。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9、消防门禁模式：支持管理员设置是否开启消防门禁常开模式，开启后打开教室门禁，且其他控制方式不可关闭该门禁；断电自动打开门禁、闸机自动开闸。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10、设备自检及异常上报：可监控设备异常状态，并可将异常信息报送至校园大数据中心。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11、▲离线开门：支持断网情况下，IC卡验证或密码验证打开教室门禁；同时支持同网段电子班牌设备IC卡验证打开教室门禁。（提供相关功能截图和第三方检测报告佐证并加盖厂家公章）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12、状态监控与管理：支持远程控制校门、楼宇、教室等各单位的门禁，可根据课表联动或门禁页面管理控制门禁，页面显示门禁状态。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13、▲通行记录查询：支持管理员查看指定教室门禁或闸机开启记录，包括用户账号、用户姓名、开门方式、开门时间等信息。（提供相关功能截图和第三方检测报告佐证并加盖厂家公章）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14、权限管理：支持管理员单个或批量导入用户门禁权限信息；管理员可添加、修改、删除校领导、管理员、教师、学生门禁权限的有效时间、开启指定教室权限。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15、用户管理：支持云平台用户、人脸库、一卡通或物联网管控中心的IC卡信息等信息同步，同时支持人脸信息、用户权限信息的信息导入。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登记部署：支持系统管理员管理门禁设备与管控区域（教室、校园等）的对应关系表，可进行增加、删除、按楼宇查询等操作，实现管控区域与门禁设备对应，便于远程管控门禁和闸机。（提供相关功能截图和第三方检测报告佐证并加盖厂家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17、设备设置管理：支持设置门禁控制方式（如课表联动、班牌联动）、延时关门时间、开门密码等多种设置。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18、▲电子班牌联动：支持管理员设置电子班牌是否开启联动，开启后可使用电子班牌刷卡、人脸识别打开门禁；关闭则不可使用电子班牌打开门禁。（提供相关功能截图和第三方检测报告佐证并加盖厂家公章）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19、▲班牌考勤：（提供相关功能截图和第三方检测报告佐证并加盖厂家公章）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（1）实时考勤：支持电子班牌考勤数据的接入、汇总、统计等管理功能。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（2）设备注册：支持通过校园智能考勤和电子班牌系统完成考勤设备注册。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20、各模式考勤信息总览：查看校门口出入考勤、课堂考勤、上下班考勤今日应出勤总数、已出勤总数、请假人数、迟到人次、早退人次、缺勤人次；查看最新考勤申诉和异常考勤提醒。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考勤申诉管理：支持学生针对自己考勤结果存在异议的数据进行申诉，更改考勤状态并写明申诉原因后提交，教师核实后可针对申诉请求驳回或同意，学生端实时反馈教师审批结果；管理员查看全校用户考勤申诉、考勤异常和体温异常记录；可批量审核考勤申诉和向用户推送考勤异常记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22、考勤记录：可查看学生、教师、管理员的详细考勤记录；且能进行新增、删除、修改、导出以及批量导入等管理。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23、▲考勤日报：可按时间段查看每日校门口、课堂、上下班的考勤详情，可导出考勤日报；可按日期查看各师生考勤结果，支持单条和批量修改考勤记录。（提供相关功能截图和第三方检测报告佐证并加盖厂家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24、考勤月报：支持自动按月汇总上个月的考勤日报结果；可按时间段查看每月校门口、课堂、上下班的考勤详情；支持导出考勤月报。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25、考勤安排：可按条件查询全校师生近期的应出勤安排，支持导出、导入和调整出勤安排；支持新增考勤分组，可设置对应的考勤日历及考勤时间段，且能删除、编辑分组；支持更新考勤表功能。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26、系统设置：支持按周、月、无固定休息日、是否同步节假日等新增考勤日历，支持修改、删除日历；可设置各考勤时间段的打卡时间及打卡类型；支持添加或调整节假日时间；可设置免考勤人员及各用户每天最多申诉次数等考勤规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27、系统日志：支持系统管理员查看、删除单条用户操作日志或批量操作日志。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28、▲与校园AI实验室管控中心、校园物联网管控中心设备和校园信息管理中心设备实现一体化建设，系统之间数据互联互通。（提供系统功能界面截图并加盖原厂公章）</w:t>
            </w:r>
          </w:p>
        </w:tc>
        <w:tc>
          <w:tcPr>
            <w:tcW w:w="152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蓝鸽</w:t>
            </w:r>
            <w:r>
              <w:rPr>
                <w:rFonts w:hint="eastAsia" w:ascii="宋体" w:hAnsi="宋体" w:eastAsia="宋体" w:cs="宋体"/>
                <w:i w:val="0"/>
                <w:iCs w:val="0"/>
                <w:color w:val="000000"/>
                <w:sz w:val="24"/>
                <w:szCs w:val="24"/>
                <w:u w:val="none"/>
                <w:lang w:eastAsia="zh-CN"/>
              </w:rPr>
              <w:t>、成都叠创科技有限公司、浙江海云天科技有限公司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0" w:hRule="atLeast"/>
        </w:trPr>
        <w:tc>
          <w:tcPr>
            <w:tcW w:w="5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119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24口千兆交换机</w:t>
            </w:r>
          </w:p>
        </w:tc>
        <w:tc>
          <w:tcPr>
            <w:tcW w:w="6664" w:type="dxa"/>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1、千兆web管理交换机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2、19英寸1U标准机架，金属外壳；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3、端口：≥24个10/100/1000BASE-T以太网端口,≥4个千兆光口；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4、包转发率≥42Mpps，交换容量≥336Gbps；</w:t>
            </w:r>
          </w:p>
        </w:tc>
        <w:tc>
          <w:tcPr>
            <w:tcW w:w="152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华为、新华三、锐捷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48" w:hRule="atLeast"/>
        </w:trPr>
        <w:tc>
          <w:tcPr>
            <w:tcW w:w="5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119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多媒体智慧教室控制主机</w:t>
            </w:r>
          </w:p>
        </w:tc>
        <w:tc>
          <w:tcPr>
            <w:tcW w:w="6664" w:type="dxa"/>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1、教学电脑采用不低于intel 酷睿第8代高性能处理器，可支持≥8G DDR4内存、≥240G SSD固态硬盘。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2、内置的高清编码模块，可实时采集录制教学画面，最大支持1920*1080P@25Hz，采用H.264编码，支持RTSP/RTMP。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3、内置2+4全千兆交换机，提供≥2路标准PoE接口，≥4路标准以太网接口。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4、标配高清电容式触控面板，采用G+G全贴合工艺，≥60Hz刷新频率；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5、支持物联网管控，搭配物联网网关，轻松组网、配置，在触摸屏上对灯光、窗帘、幕布控制器、PM2.5等物联网统一管控。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6、采用不低于500万高清人脸识别模块，具有环境光线检测、活体检测等特点，可实现老师面部识别开机等操作。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7、内置三切一的HDMI信号切换分配器，提供≥2路HDMI信号输出，≥1路HDMI信号输入。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8、提供≥3路3.5mm音频输出，≥4路3.5mm音频输入（1路为幻象电源供电鹅颈话咪接口），≥1路功放输出（功率为≥2*30W/8欧，失真度 ≤1%，信噪比≥70dB(A计权)）。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9、专属界面定制：支持教师操作界面个性化定制，教师用户设定课程名称、资料显示背景、工具条展示位置，支持管理员设置登录方式。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10、统一身份认证：支持在当前系统登录后,无需再次认证可进入其他对接系统。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11、学生点名：支持教师设置点名方式，包括移动点名和手动点名。移动点名方式是根据学生进入系统时记录签到信息，系统自动匹配出勤信息；手动点名方式，教师可手动设置记录学生出勤状态。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资料展示及讲解：支持从不同资料来源选用各种类型的教学资料，支持PPT分页展示和音视频播放控制，支持手势放大缩小文本文字，支持图片旋转、手势放大缩小、位置拖动等功能。（提供相关功能截图和第三方检测报告佐证并加盖厂家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13、资料共享：支持教师将共享资料上传至系统，文件格式包括音视频、文档、图片等，学生可通过移动端下载学习。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14、课堂教学工具：提供计时器、人工考勤、放大镜、量角器、直尺、资料共享、学生提问、信号源切换等特色工具。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15、视频展台：支持打开外置的USB视频展台，支持画笔标注、画面放大缩小、旋转、分辨率切换、亮度调节等功能，同时可以支持视频资料拍照并一键进入上课功能。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16、▲电子黑板：提供黑板书写、橡皮擦、撤回、恢复功能，可以新建多个黑板进行书写，提供黑板切换、板书内容保存功能。（提供相关功能截图和第三方检测报告佐证并加盖厂家公章）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17、互联网链接：支持教师打开互联网功能，截取屏幕内容进行上课。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18、▲电子画笔：提供电子画笔工具，包含截图、画笔、橡皮擦、撤销、清屏等功能。（提供相关功能截图和第三方检测报告佐证并加盖厂家公章）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19、▲平板教学：支持教师使用移动设备下载教学助手APP进行平板教学，提供无线投屏、课件演示、拍照上传、移动白板功能。（提供相关功能截图和第三方检测报告佐证并加盖厂家公章）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20、移动听课：支持学生使用移动设备下载智慧课堂学生端APP进行移动听课，支持课堂接入、上课资料显示、共享资料下载、学生提问、点名认证等功能。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21、随堂反馈测试：支持学生在听课端以文字、图片等形式进行提问，教师可查看提问内容。教师制作课堂测试内容，提供选择、抢答、问答等作答方式，系统自动评估且可视化呈现结果。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22、课堂录制：支持对接课堂录播软件，具有课堂录播功能，可实现自动录制（关联课程表信息）和手动录制（未关联课程表信息）两种方式，录制内容包括教师上课、学生听课、电脑屏幕三路画面；录制资源自动保存到录播资源中心，教师可选择相关视频资源上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23、设备管理：支持对接设备管控软件，教师可集中控制教室内外设设备状态，包括灯光、窗帘、投影仪、投影幕等。</w:t>
            </w:r>
          </w:p>
        </w:tc>
        <w:tc>
          <w:tcPr>
            <w:tcW w:w="152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蓝鸽</w:t>
            </w:r>
            <w:r>
              <w:rPr>
                <w:rFonts w:hint="eastAsia" w:ascii="宋体" w:hAnsi="宋体" w:eastAsia="宋体" w:cs="宋体"/>
                <w:i w:val="0"/>
                <w:iCs w:val="0"/>
                <w:color w:val="000000"/>
                <w:sz w:val="24"/>
                <w:szCs w:val="24"/>
                <w:u w:val="none"/>
                <w:lang w:eastAsia="zh-CN"/>
              </w:rPr>
              <w:t>、成都叠创科技有限公司、浙江海云天科技有限公司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2" w:hRule="atLeast"/>
        </w:trPr>
        <w:tc>
          <w:tcPr>
            <w:tcW w:w="5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19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智慧黑板</w:t>
            </w:r>
          </w:p>
        </w:tc>
        <w:tc>
          <w:tcPr>
            <w:tcW w:w="6664"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1、整机采用三拼接平面一体化设计，无推拉式结构及外露连接线，外观简洁。整机均支持普通粉笔、液体粉笔、水溶性粉笔进行板书书写黑板副板厚度≤4cm。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2、整机屏幕采用不低于86英寸 UHD超高清LED 液晶屏，显示比例16:9。</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3、显示部分的钢化玻璃与液晶屏之间完全贴合，侧视角（水平视角）≥178°。（提供封面具有CNAS标志的权威检测机构的检测报告复印件加盖原厂公章）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4、整机可设置触摸及按键自动锁定，需要使用时只需插入USBKey即可解锁。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5、▲中间屏幕对比度≥6000:1（提供封面具有CNAS标志的权威检测机构的检测报告复印件加盖原厂公章）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内置触摸中控菜单，将信号源通道切换、亮度对比度调节、声音图像调节等整合到同一菜单下，无须实体按键，在任意显示通道下均可通过手势在屏幕上调取该触摸菜单，方便快捷。（提供封面具有CNAS标志的权威检测机构的检测报告复印件加盖原厂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外接电脑设备时，如整机处于关机上电状态，则接上外接电脑后自动开机。如整机处于正常使用状态，则设备能自动识别并切换到对应的信号源通道，且断开后能回到上一通道。自动跳转前支持选择确认，待确认后再跳转。</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8、▲整机无故障运行时间≥120000小时。（提供权威机构出具的检测报告复印件加盖原厂红色公章）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9、整机需包含以下接口：TV，HDMI，YPbPr-IN，VGA，AV-IN等视频输入接口；LINE-IN等音频输入接口；LINE-OUT、SPDIF-OUT等音频输出接口；USB、Multi  USB、Touch-USB、RS232等存储控制接口，前置双系统USB接口不少于3个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10、触控方案：上下两条红外框形成红外触控方案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11、整机天线支持wifi 2.4GHz频段的station功能（上网），2.4&amp;5GHz的AP功能（分享热点）。station 模式，无干扰环境，通信距离≥10米；AP模式，无干扰环境，通信距离≥10米。（提供封面具有CNAS标志的权威检测机构的检测报告复印件加盖原厂公章）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12、具备良好的色彩显示效果，通过色域覆盖率检测，色域覆盖值≥130%。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13、支持一键除蓝光进入护眼模式，通过蓝光危害检测，无蓝光危害，蓝光透过率≤70%，并提供莱英低蓝光认证证书（提供封面具有CNAS标志的权威检测机构的检测报告复印件加盖原厂公章）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14、智慧黑板触控玻璃具有碎片状态、耐热冲击性，具有玻璃外观质量、弯曲度、玻璃表面应力、抗冲击、霰弹袋冲击性。（提供权威机构出具的检测报告复印件加盖原厂红色公章）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15、嵌入式系统版本不低于Android 8.0，内存RAM≥3GB，存储ROM≥8GB（提供封面具有CNAS标志的权威检测机构的检测报告复印件加盖原厂公章）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支持在系统中配置前置物理按键功能。如用户可以设置按键功能为短按或者长按响应，响应的功能是一键开关ops、ops一键还原、一键除蓝光（提供封面具有CNAS标志的权威检测机构的检测报告复印件加盖原厂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17、▲Android系统自带的白板软件，内容支持通过移动端扫描二维码或邮件的方式实现文件共享及板书内容共享，并支持以设备内置的文件的格式、PDF、图片的格式进行本地存储及再次编辑。（提供封面具有CNAS标志的权威检测机构的检测报告复印件加盖原厂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18、多点触控：设备支持双系统下20点同时书写触控功能。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19、支持一键自检：无需借助PC，整机可一键进行硬件自检，可对系统版本、内外部存储、网络状态、热点、背光、温度、PC模块、光感系统等模块进行监测，并针对不同模块给出问题原因提示，支持通过扫描界面二维码方式提交维修申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20、▲双网口：设备支持双网口网络交换的功能（提供封面具有CNAS标志的权威检测机构的检测报告复印件加盖原厂公章）</w:t>
            </w:r>
          </w:p>
        </w:tc>
        <w:tc>
          <w:tcPr>
            <w:tcW w:w="1526"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海康威视、文香、希沃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0" w:hRule="atLeast"/>
        </w:trPr>
        <w:tc>
          <w:tcPr>
            <w:tcW w:w="5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119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物联网网关</w:t>
            </w:r>
          </w:p>
        </w:tc>
        <w:tc>
          <w:tcPr>
            <w:tcW w:w="6664"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1、输入电压：DC 5V，功耗&lt;2W；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2、工作环境：温度0℃～50℃，空气相对湿度≤ 95%（不凝露），海拔≤2000m；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3、有线网络接口：10/100Base-TX自适应网络；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4、RS232接口：Microusb接口，≥2路串口，支持可编程波特率，最大115200bps，通讯距离＜20m；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5、通信协议：支持ZigBee HA 频段：2405~2480MHz；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6、无障碍通讯距离：≥100m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7、接收灵敏度：≥-97dBm 最大发射功率：≥20dBm。</w:t>
            </w:r>
          </w:p>
        </w:tc>
        <w:tc>
          <w:tcPr>
            <w:tcW w:w="152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蓝鸽</w:t>
            </w:r>
            <w:r>
              <w:rPr>
                <w:rFonts w:hint="eastAsia" w:ascii="宋体" w:hAnsi="宋体" w:eastAsia="宋体" w:cs="宋体"/>
                <w:i w:val="0"/>
                <w:iCs w:val="0"/>
                <w:color w:val="000000"/>
                <w:sz w:val="24"/>
                <w:szCs w:val="24"/>
                <w:u w:val="none"/>
                <w:lang w:eastAsia="zh-CN"/>
              </w:rPr>
              <w:t>、成都叠创科技有限公司、浙江海云天科技有限公司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rPr>
        <w:tc>
          <w:tcPr>
            <w:tcW w:w="5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119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无线控制插座（10A）</w:t>
            </w:r>
          </w:p>
        </w:tc>
        <w:tc>
          <w:tcPr>
            <w:tcW w:w="6664"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1、输入电压：100-250VAC；平均功耗：≤0.5W；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2、功率范围：＜2000W；电压范围：AC100-240V；电流范围：＜10A；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3、联网方式：支持Zigbee HA；组网距离：≤100m；工作温度：-10℃~+50℃。</w:t>
            </w:r>
          </w:p>
        </w:tc>
        <w:tc>
          <w:tcPr>
            <w:tcW w:w="1526"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rPr>
              <w:t>蓝鸽</w:t>
            </w:r>
            <w:r>
              <w:rPr>
                <w:rFonts w:hint="eastAsia" w:ascii="宋体" w:hAnsi="宋体" w:eastAsia="宋体" w:cs="宋体"/>
                <w:i w:val="0"/>
                <w:iCs w:val="0"/>
                <w:color w:val="000000"/>
                <w:sz w:val="24"/>
                <w:szCs w:val="24"/>
                <w:u w:val="none"/>
                <w:lang w:eastAsia="zh-CN"/>
              </w:rPr>
              <w:t>、</w:t>
            </w:r>
            <w:r>
              <w:rPr>
                <w:rFonts w:hint="eastAsia" w:ascii="宋体" w:hAnsi="宋体" w:eastAsia="宋体" w:cs="宋体"/>
                <w:i w:val="0"/>
                <w:iCs w:val="0"/>
                <w:color w:val="000000"/>
                <w:sz w:val="24"/>
                <w:szCs w:val="24"/>
                <w:u w:val="none"/>
                <w:lang w:val="en-US" w:eastAsia="zh-CN"/>
              </w:rPr>
              <w:t>公牛、亿佰特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00" w:hRule="atLeast"/>
        </w:trPr>
        <w:tc>
          <w:tcPr>
            <w:tcW w:w="5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c>
          <w:tcPr>
            <w:tcW w:w="119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灯光控制器</w:t>
            </w:r>
          </w:p>
        </w:tc>
        <w:tc>
          <w:tcPr>
            <w:tcW w:w="6664"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1、输入电压: 110～260 VAC 50/60Hz。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2、通讯协议：Zigbee 3.0/HA；工作频率：2405-2480MHz；工作温度：-10~+50℃；控制距离：≥30m。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3、接线方式：零火线。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4、负载功率：≥600W/路。</w:t>
            </w:r>
          </w:p>
        </w:tc>
        <w:tc>
          <w:tcPr>
            <w:tcW w:w="1526"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rPr>
              <w:t>蓝鸽</w:t>
            </w:r>
            <w:r>
              <w:rPr>
                <w:rFonts w:hint="eastAsia" w:ascii="宋体" w:hAnsi="宋体" w:eastAsia="宋体" w:cs="宋体"/>
                <w:i w:val="0"/>
                <w:iCs w:val="0"/>
                <w:color w:val="000000"/>
                <w:sz w:val="24"/>
                <w:szCs w:val="24"/>
                <w:u w:val="none"/>
                <w:lang w:eastAsia="zh-CN"/>
              </w:rPr>
              <w:t>、</w:t>
            </w:r>
            <w:r>
              <w:rPr>
                <w:rFonts w:hint="eastAsia" w:ascii="宋体" w:hAnsi="宋体" w:eastAsia="宋体" w:cs="宋体"/>
                <w:i w:val="0"/>
                <w:iCs w:val="0"/>
                <w:color w:val="000000"/>
                <w:sz w:val="24"/>
                <w:szCs w:val="24"/>
                <w:u w:val="none"/>
                <w:lang w:val="en-US" w:eastAsia="zh-CN"/>
              </w:rPr>
              <w:t>峰辉电气、凤忠意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60" w:hRule="atLeast"/>
        </w:trPr>
        <w:tc>
          <w:tcPr>
            <w:tcW w:w="5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c>
          <w:tcPr>
            <w:tcW w:w="119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窗帘电机套装</w:t>
            </w:r>
          </w:p>
        </w:tc>
        <w:tc>
          <w:tcPr>
            <w:tcW w:w="6664"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1、含窗帘电机和导轨；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2、长度尺寸：2.2米-8.2米。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3、窗帘电机额定电压：100-240VAC 50/60HZ。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4、窗帘电机额定功率：≥72W；运行速度：约0.16m/s；额定扭矩：≥1N·m。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5、窗帘电机通讯协议：支持Zigbee HA；工作频率：2405-2480MHz。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6、导轨材质：铝型材。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7、导轨表面处理：电泳银色。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8、导轨轨道尺寸：约41.50mm(宽)*16.90mm(高)*实际选择长度。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9、导轨系统称重：最大35公斤（8m以内）；最大50公斤（4m以内）。</w:t>
            </w:r>
          </w:p>
        </w:tc>
        <w:tc>
          <w:tcPr>
            <w:tcW w:w="152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rPr>
              <w:t>蓝鸽</w:t>
            </w:r>
            <w:r>
              <w:rPr>
                <w:rFonts w:hint="eastAsia" w:ascii="宋体" w:hAnsi="宋体" w:eastAsia="宋体" w:cs="宋体"/>
                <w:i w:val="0"/>
                <w:iCs w:val="0"/>
                <w:color w:val="000000"/>
                <w:sz w:val="24"/>
                <w:szCs w:val="24"/>
                <w:u w:val="none"/>
                <w:lang w:eastAsia="zh-CN"/>
              </w:rPr>
              <w:t>、欧瑞博、绿创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0" w:hRule="atLeast"/>
        </w:trPr>
        <w:tc>
          <w:tcPr>
            <w:tcW w:w="5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119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空调红外转发器</w:t>
            </w:r>
          </w:p>
        </w:tc>
        <w:tc>
          <w:tcPr>
            <w:tcW w:w="6664"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1、工作电压功率：DC 5V，功率≥0.75W；工作频段：2405~2480MHZ。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2、无障碍通讯距离：≥100m；无障碍组网距离：≥50m。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3、接收灵敏度：≥-95dBm；无线输出功率：≥10dBm；联网方式：支持Zigbee HA；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4、红外控制距离：≥6m。</w:t>
            </w:r>
          </w:p>
        </w:tc>
        <w:tc>
          <w:tcPr>
            <w:tcW w:w="152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rPr>
              <w:t>蓝鸽</w:t>
            </w:r>
            <w:r>
              <w:rPr>
                <w:rFonts w:hint="eastAsia" w:ascii="宋体" w:hAnsi="宋体" w:eastAsia="宋体" w:cs="宋体"/>
                <w:i w:val="0"/>
                <w:iCs w:val="0"/>
                <w:color w:val="000000"/>
                <w:sz w:val="24"/>
                <w:szCs w:val="24"/>
                <w:u w:val="none"/>
                <w:lang w:eastAsia="zh-CN"/>
              </w:rPr>
              <w:t>、派谷、诚强光电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2" w:hRule="atLeast"/>
        </w:trPr>
        <w:tc>
          <w:tcPr>
            <w:tcW w:w="5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c>
          <w:tcPr>
            <w:tcW w:w="119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PM2.5、温湿度监测仪</w:t>
            </w:r>
          </w:p>
        </w:tc>
        <w:tc>
          <w:tcPr>
            <w:tcW w:w="6664"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1、PM1.0质量浓度量程：0 - 500ug/m²；PM2.5精度：±10%；PM10分辨率：1ug/m²。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2、温度量程：-10 - 50℃，精度：±2℃；湿度量程：＜90%RH，精度：±5%RH。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3、通讯方式：支持Zigbee HA；工作频段：2405~2480MHZ；显示功能：不等于2.4英寸LCD液晶显示；电池：3.7V（可充电）/1800mAH。</w:t>
            </w:r>
          </w:p>
        </w:tc>
        <w:tc>
          <w:tcPr>
            <w:tcW w:w="152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rPr>
              <w:t>蓝鸽</w:t>
            </w:r>
            <w:r>
              <w:rPr>
                <w:rFonts w:hint="eastAsia" w:ascii="宋体" w:hAnsi="宋体" w:eastAsia="宋体" w:cs="宋体"/>
                <w:i w:val="0"/>
                <w:iCs w:val="0"/>
                <w:color w:val="000000"/>
                <w:sz w:val="24"/>
                <w:szCs w:val="24"/>
                <w:u w:val="none"/>
                <w:lang w:eastAsia="zh-CN"/>
              </w:rPr>
              <w:t>、腾星凌科、建大仁科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0" w:hRule="atLeast"/>
        </w:trPr>
        <w:tc>
          <w:tcPr>
            <w:tcW w:w="5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w:t>
            </w:r>
          </w:p>
        </w:tc>
        <w:tc>
          <w:tcPr>
            <w:tcW w:w="119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光照仪</w:t>
            </w:r>
          </w:p>
        </w:tc>
        <w:tc>
          <w:tcPr>
            <w:tcW w:w="6664"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1、额定电压：≥3V，待机功耗：＜10uA。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2、光照度分辨率范围：1~83k lux，光谱范围：400~700（nm）可见光。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3、工作温度范围：-25℃~+85℃，工作频段：2405-2480MHz，通讯距离：≥200m，组网距离：≥100m。</w:t>
            </w:r>
          </w:p>
        </w:tc>
        <w:tc>
          <w:tcPr>
            <w:tcW w:w="152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rPr>
              <w:t>蓝鸽</w:t>
            </w:r>
            <w:r>
              <w:rPr>
                <w:rFonts w:hint="eastAsia" w:ascii="宋体" w:hAnsi="宋体" w:eastAsia="宋体" w:cs="宋体"/>
                <w:i w:val="0"/>
                <w:iCs w:val="0"/>
                <w:color w:val="000000"/>
                <w:sz w:val="24"/>
                <w:szCs w:val="24"/>
                <w:u w:val="none"/>
                <w:lang w:eastAsia="zh-CN"/>
              </w:rPr>
              <w:t>、建大仁科、威盟士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49" w:hRule="atLeast"/>
        </w:trPr>
        <w:tc>
          <w:tcPr>
            <w:tcW w:w="5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w:t>
            </w:r>
          </w:p>
        </w:tc>
        <w:tc>
          <w:tcPr>
            <w:tcW w:w="119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电子班牌</w:t>
            </w:r>
          </w:p>
        </w:tc>
        <w:tc>
          <w:tcPr>
            <w:tcW w:w="6664"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1、外壳：金属边框，钣金后壳，边框四角圆角处理，防误碰误伤；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2、横屏≥21.5寸电容式触摸屏，≥10点触控，分辨率≥1920*1080，显示比例16:9，亮度≥350cd/m2；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3、屏幕可视角度：89/89/89/89 (Typ.)(CR≥10)(左/右/上/下)；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4、内置电源板，支持上方/正中间/下方出线，方便走线和安装；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5、四核CPU，≥1.8GHz主频，内存/硬盘：≥2G/16G，内置Android操作系统；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6、内置不少于200万像素单目宽动态摄像头，居于底部；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7、纯平电容屏，正面与侧面全防水设计，防护等级不低于IP65；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8、具有内置IC卡刷卡器；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9、支持门禁模块，支持至少2个电磁锁。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信息显示与管理：支持多种应用模式下的信息分类显示及管理，包括重大公告、课程预告、本周课表、本周值日、班级风采、校园活动、失物招领、办公室资讯、宿舍资讯、宿舍管理规范等；支持管理员通过“班牌管理系统”添加、修改、查询、删除显示信息。（提供相关功能截图和第三方检测报告佐证并加盖厂家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环境信息显示：支持通过对接智慧教室物联网管控软件，在多种应用模式下实时显示本地当前的天气信息，非上课时间显示教室内环境信息，如温度、湿度、PM2.5、光照等。（提供相关功能截图和第三方检测报告佐证并加盖厂家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教学班牌：支持班牌显示课堂直播画面、学生考勤、同步课表信息联动，显示调课公告；支持班牌会议模式，自动显示会议相关信息，可切换会议考勤签到，参会人员可打卡认证或人脸识别认证；支持班牌考试模式，可显示考试信息、切换进行考试认证签到、查看考试实时监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13、办公室牌：支持教师预约，数据对接至智慧校园用户桌面（雨）管理平台，可接收预约通知；支持教师考勤。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14、宿舍楼宇牌：支持来访信息登记、调宿申请（对接宿舍管理系统）和资产报修（对接资产管理系统）。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15、实验室牌：支持实验室概况设置、安全须知和规章制度内容设置。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个人中心：支持不同用户采用刷卡认证、账户认证、人脸认证等方式进行认证登录，学生认证后，可查看个人考勤、个人课表，开关门禁、学生请假。教师认证后，可查看班级考勤、个人考勤，可以开关门禁、开关教室、资产报修。管理员认证后，可查看个人考勤、开关门禁、开关教室、资产报修。（提供相关功能截图和第三方检测报告佐证并加盖厂家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17、智慧校园通APP班牌应用：支持对接智慧校园通APP，可实现全校师生在班牌上应用。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18、远程控制及离线开门：支持通过“班牌管理系统”远程开启、关闭指定班牌，并可以设置所有班牌按照预设的开关时间定时开启关闭；支持班牌离线情况下刷卡开门。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19、显示牌多媒体广播：支持指定的显示牌在指定时间内全屏播放多媒体广播内容，内容支持：图片、文字、文本、视频、音频等多媒体资料。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人脸数据采集及管理：支持学生/教师/管理员从本地电脑上传个人头像，管理员可利用人脸采集摄像头实时采集人脸图像并入库，可导出用户信息及人脸库图片，并对人脸图片进行查询、修改、删除等操作。（提供相关功能截图和第三方检测报告佐证并加盖厂家公章）</w:t>
            </w:r>
          </w:p>
        </w:tc>
        <w:tc>
          <w:tcPr>
            <w:tcW w:w="1526"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rPr>
              <w:t>触沃</w:t>
            </w:r>
            <w:r>
              <w:rPr>
                <w:rFonts w:hint="eastAsia" w:ascii="宋体" w:hAnsi="宋体" w:eastAsia="宋体" w:cs="宋体"/>
                <w:i w:val="0"/>
                <w:iCs w:val="0"/>
                <w:color w:val="000000"/>
                <w:sz w:val="24"/>
                <w:szCs w:val="24"/>
                <w:u w:val="none"/>
                <w:lang w:eastAsia="zh-CN"/>
              </w:rPr>
              <w:t>、</w:t>
            </w:r>
            <w:r>
              <w:rPr>
                <w:rFonts w:hint="eastAsia" w:ascii="宋体" w:hAnsi="宋体" w:eastAsia="宋体" w:cs="宋体"/>
                <w:i w:val="0"/>
                <w:iCs w:val="0"/>
                <w:color w:val="000000"/>
                <w:sz w:val="24"/>
                <w:szCs w:val="24"/>
                <w:u w:val="none"/>
                <w:lang w:val="en-US" w:eastAsia="zh-CN"/>
              </w:rPr>
              <w:t>希沃、鸿合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80" w:hRule="atLeast"/>
        </w:trPr>
        <w:tc>
          <w:tcPr>
            <w:tcW w:w="5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w:t>
            </w:r>
          </w:p>
        </w:tc>
        <w:tc>
          <w:tcPr>
            <w:tcW w:w="119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物联网串口服务器</w:t>
            </w:r>
          </w:p>
        </w:tc>
        <w:tc>
          <w:tcPr>
            <w:tcW w:w="6664"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1、输入电压：DC5V，功耗&lt;1W；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2、工作环境：温度0℃～40℃，空气相对湿度≤95%（不凝露）；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3、网络接口：支持10/100Base-TX自适应网络，RJ45接口，带收发数据指示；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4、网络协议：支持TCP、UDP、DHCP等，支持网络固件升级；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5、RS485接口：4P-3.81mm端子，支持可编程波特率,最大115200bps，连接数量＜32个，通讯距离＜300m；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6、RS232接口：DB9接口，支持可编程波特率，最大115200bps，通讯距离＜20m。</w:t>
            </w:r>
          </w:p>
        </w:tc>
        <w:tc>
          <w:tcPr>
            <w:tcW w:w="1526"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rPr>
              <w:t>蓝鸽</w:t>
            </w:r>
            <w:r>
              <w:rPr>
                <w:rFonts w:hint="eastAsia" w:ascii="宋体" w:hAnsi="宋体" w:eastAsia="宋体" w:cs="宋体"/>
                <w:i w:val="0"/>
                <w:iCs w:val="0"/>
                <w:color w:val="000000"/>
                <w:sz w:val="24"/>
                <w:szCs w:val="24"/>
                <w:u w:val="none"/>
                <w:lang w:eastAsia="zh-CN"/>
              </w:rPr>
              <w:t>、</w:t>
            </w:r>
            <w:r>
              <w:rPr>
                <w:rFonts w:hint="eastAsia" w:ascii="宋体" w:hAnsi="宋体" w:eastAsia="宋体" w:cs="宋体"/>
                <w:i w:val="0"/>
                <w:iCs w:val="0"/>
                <w:color w:val="000000"/>
                <w:sz w:val="24"/>
                <w:szCs w:val="24"/>
                <w:u w:val="none"/>
                <w:lang w:val="en-US" w:eastAsia="zh-CN"/>
              </w:rPr>
              <w:t>慧谷、亿佰特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40" w:hRule="atLeast"/>
        </w:trPr>
        <w:tc>
          <w:tcPr>
            <w:tcW w:w="5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19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空开电源模组</w:t>
            </w:r>
          </w:p>
        </w:tc>
        <w:tc>
          <w:tcPr>
            <w:tcW w:w="6664"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1、额定输入电压：AC100V~265V；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2、额定输出电压：DC12V；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3、额定输出电流：MAX DC2A；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4、防雷击浪涌保护最大泄放电流：20KA；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5、环境温度：-15℃～40℃；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6、空气相对湿度：≤ 95%（不凝露）,海拔≤ 2000m。</w:t>
            </w:r>
          </w:p>
        </w:tc>
        <w:tc>
          <w:tcPr>
            <w:tcW w:w="1526"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rPr>
              <w:t>曼顿</w:t>
            </w:r>
            <w:r>
              <w:rPr>
                <w:rFonts w:hint="eastAsia" w:ascii="宋体" w:hAnsi="宋体" w:eastAsia="宋体" w:cs="宋体"/>
                <w:i w:val="0"/>
                <w:iCs w:val="0"/>
                <w:color w:val="000000"/>
                <w:sz w:val="24"/>
                <w:szCs w:val="24"/>
                <w:u w:val="none"/>
                <w:lang w:eastAsia="zh-CN"/>
              </w:rPr>
              <w:t>、</w:t>
            </w:r>
            <w:r>
              <w:rPr>
                <w:rFonts w:hint="eastAsia" w:ascii="宋体" w:hAnsi="宋体" w:eastAsia="宋体" w:cs="宋体"/>
                <w:i w:val="0"/>
                <w:iCs w:val="0"/>
                <w:color w:val="000000"/>
                <w:sz w:val="24"/>
                <w:szCs w:val="24"/>
                <w:u w:val="none"/>
                <w:lang w:val="en-US" w:eastAsia="zh-CN"/>
              </w:rPr>
              <w:t>万联、安科瑞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0" w:hRule="atLeast"/>
        </w:trPr>
        <w:tc>
          <w:tcPr>
            <w:tcW w:w="5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w:t>
            </w:r>
          </w:p>
        </w:tc>
        <w:tc>
          <w:tcPr>
            <w:tcW w:w="119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空开通讯模组</w:t>
            </w:r>
          </w:p>
        </w:tc>
        <w:tc>
          <w:tcPr>
            <w:tcW w:w="6664"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1、额定输入电压：DC12V；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2、通讯方式：RS485；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3、环境温度：-15℃～40℃；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4、空气相对湿度：≤ 95%（不凝露）,海拔≤ 2000m；</w:t>
            </w:r>
          </w:p>
        </w:tc>
        <w:tc>
          <w:tcPr>
            <w:tcW w:w="152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曼顿</w:t>
            </w:r>
            <w:r>
              <w:rPr>
                <w:rFonts w:hint="eastAsia" w:ascii="宋体" w:hAnsi="宋体" w:eastAsia="宋体" w:cs="宋体"/>
                <w:i w:val="0"/>
                <w:iCs w:val="0"/>
                <w:color w:val="000000"/>
                <w:sz w:val="24"/>
                <w:szCs w:val="24"/>
                <w:u w:val="none"/>
                <w:lang w:eastAsia="zh-CN"/>
              </w:rPr>
              <w:t>、</w:t>
            </w:r>
            <w:r>
              <w:rPr>
                <w:rFonts w:hint="eastAsia" w:ascii="宋体" w:hAnsi="宋体" w:eastAsia="宋体" w:cs="宋体"/>
                <w:i w:val="0"/>
                <w:iCs w:val="0"/>
                <w:color w:val="000000"/>
                <w:sz w:val="24"/>
                <w:szCs w:val="24"/>
                <w:u w:val="none"/>
                <w:lang w:val="en-US" w:eastAsia="zh-CN"/>
              </w:rPr>
              <w:t>万联、安科瑞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60" w:hRule="atLeast"/>
        </w:trPr>
        <w:tc>
          <w:tcPr>
            <w:tcW w:w="5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w:t>
            </w:r>
          </w:p>
        </w:tc>
        <w:tc>
          <w:tcPr>
            <w:tcW w:w="119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3P微型断路器</w:t>
            </w:r>
          </w:p>
        </w:tc>
        <w:tc>
          <w:tcPr>
            <w:tcW w:w="6664"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1、额定电压：AC380V；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2、额定电流：单相32A；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3、接线能力：25mm2及以下导线；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4、过压保护：入户电压超过456V，10s内断路保护。超过430V预警，低于320V预警；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5、功率限定：达到限定功率，5s后断路，漏电保护功能；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短路保护：线路短路时，断路器0.04s断电保护；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6、分断电流：lcs = lcn ≥ 6000A；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7、环境温度：-15℃～40℃；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8、空气相对湿度：≤ 95%（不凝露）；海拔≤ 2000m。</w:t>
            </w:r>
          </w:p>
        </w:tc>
        <w:tc>
          <w:tcPr>
            <w:tcW w:w="152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曼顿</w:t>
            </w:r>
            <w:r>
              <w:rPr>
                <w:rFonts w:hint="eastAsia" w:ascii="宋体" w:hAnsi="宋体" w:eastAsia="宋体" w:cs="宋体"/>
                <w:i w:val="0"/>
                <w:iCs w:val="0"/>
                <w:color w:val="000000"/>
                <w:sz w:val="24"/>
                <w:szCs w:val="24"/>
                <w:u w:val="none"/>
                <w:lang w:eastAsia="zh-CN"/>
              </w:rPr>
              <w:t>、</w:t>
            </w:r>
            <w:r>
              <w:rPr>
                <w:rFonts w:hint="eastAsia" w:ascii="宋体" w:hAnsi="宋体" w:eastAsia="宋体" w:cs="宋体"/>
                <w:i w:val="0"/>
                <w:iCs w:val="0"/>
                <w:color w:val="000000"/>
                <w:sz w:val="24"/>
                <w:szCs w:val="24"/>
                <w:u w:val="none"/>
                <w:lang w:val="en-US" w:eastAsia="zh-CN"/>
              </w:rPr>
              <w:t>万联、正泰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31" w:hRule="atLeast"/>
        </w:trPr>
        <w:tc>
          <w:tcPr>
            <w:tcW w:w="5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w:t>
            </w:r>
          </w:p>
        </w:tc>
        <w:tc>
          <w:tcPr>
            <w:tcW w:w="119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3P微型断路器</w:t>
            </w:r>
          </w:p>
        </w:tc>
        <w:tc>
          <w:tcPr>
            <w:tcW w:w="6664"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1、额定电压：AC380V；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2、额定电流：单相63A；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3、接线能力：25mm2及以下导线；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4、过压保护：入户电压超过456V，10s内断路保护。超过430V预警，低于320V预警；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5、功率限定：达到限定功率，5s后断路；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短路保护：线路短路时，断路器0.04s断电保护；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6、分断电流：lcs = lcn ≥ 6000A；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7、环境温度：-15℃～ 40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8、空气相对湿度：≤95%（不凝露）；海拔≤ 2000m。</w:t>
            </w:r>
          </w:p>
        </w:tc>
        <w:tc>
          <w:tcPr>
            <w:tcW w:w="152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曼顿</w:t>
            </w:r>
            <w:r>
              <w:rPr>
                <w:rFonts w:hint="eastAsia" w:ascii="宋体" w:hAnsi="宋体" w:eastAsia="宋体" w:cs="宋体"/>
                <w:i w:val="0"/>
                <w:iCs w:val="0"/>
                <w:color w:val="000000"/>
                <w:sz w:val="24"/>
                <w:szCs w:val="24"/>
                <w:u w:val="none"/>
                <w:lang w:eastAsia="zh-CN"/>
              </w:rPr>
              <w:t>、</w:t>
            </w:r>
            <w:r>
              <w:rPr>
                <w:rFonts w:hint="eastAsia" w:ascii="宋体" w:hAnsi="宋体" w:eastAsia="宋体" w:cs="宋体"/>
                <w:i w:val="0"/>
                <w:iCs w:val="0"/>
                <w:color w:val="000000"/>
                <w:sz w:val="24"/>
                <w:szCs w:val="24"/>
                <w:u w:val="none"/>
                <w:lang w:val="en-US" w:eastAsia="zh-CN"/>
              </w:rPr>
              <w:t>万联、正泰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60" w:hRule="atLeast"/>
        </w:trPr>
        <w:tc>
          <w:tcPr>
            <w:tcW w:w="5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c>
          <w:tcPr>
            <w:tcW w:w="119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3P智慧微型断路器</w:t>
            </w:r>
          </w:p>
        </w:tc>
        <w:tc>
          <w:tcPr>
            <w:tcW w:w="6664"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1、额定电压：AC380V；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2、额定电流：单相80A；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3、接线能力：25mm2及以下导线；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4、过压保护：入户电压超过456V，10s内断路保护。超过430V预警，低于320V预警；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5、功率限定：达到限定功率，5s后断路，漏电保护功能；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短路保护：线路短路时，断路器0.04s断电保护；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6、分断电流：lcs = lcn ≥ 6000A；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7、环境温度：-15℃～40℃；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8、空气相对湿度：≤ 95%（不凝露）；海拔≤ 2000m。</w:t>
            </w:r>
          </w:p>
        </w:tc>
        <w:tc>
          <w:tcPr>
            <w:tcW w:w="152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曼顿</w:t>
            </w:r>
            <w:r>
              <w:rPr>
                <w:rFonts w:hint="eastAsia" w:ascii="宋体" w:hAnsi="宋体" w:eastAsia="宋体" w:cs="宋体"/>
                <w:i w:val="0"/>
                <w:iCs w:val="0"/>
                <w:color w:val="000000"/>
                <w:sz w:val="24"/>
                <w:szCs w:val="24"/>
                <w:u w:val="none"/>
                <w:lang w:eastAsia="zh-CN"/>
              </w:rPr>
              <w:t>、</w:t>
            </w:r>
            <w:r>
              <w:rPr>
                <w:rFonts w:hint="eastAsia" w:ascii="宋体" w:hAnsi="宋体" w:eastAsia="宋体" w:cs="宋体"/>
                <w:i w:val="0"/>
                <w:iCs w:val="0"/>
                <w:color w:val="000000"/>
                <w:sz w:val="24"/>
                <w:szCs w:val="24"/>
                <w:u w:val="none"/>
                <w:lang w:val="en-US" w:eastAsia="zh-CN"/>
              </w:rPr>
              <w:t>万联、正泰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0" w:hRule="atLeast"/>
        </w:trPr>
        <w:tc>
          <w:tcPr>
            <w:tcW w:w="5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65</w:t>
            </w:r>
          </w:p>
        </w:tc>
        <w:tc>
          <w:tcPr>
            <w:tcW w:w="119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电缆、电线</w:t>
            </w:r>
          </w:p>
        </w:tc>
        <w:tc>
          <w:tcPr>
            <w:tcW w:w="6664"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w:t>
            </w:r>
          </w:p>
        </w:tc>
        <w:tc>
          <w:tcPr>
            <w:tcW w:w="152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rPr>
              <w:t xml:space="preserve">广州电缆厂 </w:t>
            </w:r>
            <w:r>
              <w:rPr>
                <w:rFonts w:hint="eastAsia" w:ascii="宋体" w:hAnsi="宋体" w:eastAsia="宋体" w:cs="宋体"/>
                <w:i w:val="0"/>
                <w:iCs w:val="0"/>
                <w:color w:val="000000"/>
                <w:sz w:val="24"/>
                <w:szCs w:val="24"/>
                <w:u w:val="none"/>
                <w:lang w:eastAsia="zh-CN"/>
              </w:rPr>
              <w:t>、番禺电缆厂、庆丰电缆厂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5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66</w:t>
            </w:r>
          </w:p>
        </w:tc>
        <w:tc>
          <w:tcPr>
            <w:tcW w:w="119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插座面板　</w:t>
            </w:r>
          </w:p>
        </w:tc>
        <w:tc>
          <w:tcPr>
            <w:tcW w:w="6664"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w:t>
            </w:r>
          </w:p>
        </w:tc>
        <w:tc>
          <w:tcPr>
            <w:tcW w:w="152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rPr>
              <w:t>广东松本</w:t>
            </w:r>
            <w:r>
              <w:rPr>
                <w:rFonts w:hint="eastAsia" w:ascii="宋体" w:hAnsi="宋体" w:eastAsia="宋体" w:cs="宋体"/>
                <w:i w:val="0"/>
                <w:iCs w:val="0"/>
                <w:color w:val="000000"/>
                <w:sz w:val="24"/>
                <w:szCs w:val="24"/>
                <w:u w:val="none"/>
                <w:lang w:eastAsia="zh-CN"/>
              </w:rPr>
              <w:t>、TCL－罗格朗、宁波公牛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0" w:hRule="atLeast"/>
        </w:trPr>
        <w:tc>
          <w:tcPr>
            <w:tcW w:w="5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67</w:t>
            </w:r>
          </w:p>
        </w:tc>
        <w:tc>
          <w:tcPr>
            <w:tcW w:w="119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灯具</w:t>
            </w:r>
          </w:p>
        </w:tc>
        <w:tc>
          <w:tcPr>
            <w:tcW w:w="6664"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w:t>
            </w:r>
          </w:p>
        </w:tc>
        <w:tc>
          <w:tcPr>
            <w:tcW w:w="152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rPr>
              <w:t>佛山照明</w:t>
            </w:r>
            <w:r>
              <w:rPr>
                <w:rFonts w:hint="eastAsia" w:ascii="宋体" w:hAnsi="宋体" w:eastAsia="宋体" w:cs="宋体"/>
                <w:i w:val="0"/>
                <w:iCs w:val="0"/>
                <w:color w:val="000000"/>
                <w:sz w:val="24"/>
                <w:szCs w:val="24"/>
                <w:u w:val="none"/>
                <w:lang w:eastAsia="zh-CN"/>
              </w:rPr>
              <w:t>、欧普照明 、三雄极光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0" w:hRule="atLeast"/>
        </w:trPr>
        <w:tc>
          <w:tcPr>
            <w:tcW w:w="5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68</w:t>
            </w:r>
          </w:p>
        </w:tc>
        <w:tc>
          <w:tcPr>
            <w:tcW w:w="119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应急灯、疏散指示灯</w:t>
            </w:r>
          </w:p>
        </w:tc>
        <w:tc>
          <w:tcPr>
            <w:tcW w:w="6664"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w:t>
            </w:r>
          </w:p>
        </w:tc>
        <w:tc>
          <w:tcPr>
            <w:tcW w:w="152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rPr>
              <w:t>海湾</w:t>
            </w:r>
            <w:r>
              <w:rPr>
                <w:rFonts w:hint="eastAsia" w:ascii="宋体" w:hAnsi="宋体" w:eastAsia="宋体" w:cs="宋体"/>
                <w:i w:val="0"/>
                <w:iCs w:val="0"/>
                <w:color w:val="000000"/>
                <w:sz w:val="24"/>
                <w:szCs w:val="24"/>
                <w:u w:val="none"/>
                <w:lang w:eastAsia="zh-CN"/>
              </w:rPr>
              <w:t>、雷士、广东松本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69</w:t>
            </w:r>
          </w:p>
        </w:tc>
        <w:tc>
          <w:tcPr>
            <w:tcW w:w="119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铝合金门窗型材、铝合金纱窗</w:t>
            </w:r>
          </w:p>
        </w:tc>
        <w:tc>
          <w:tcPr>
            <w:tcW w:w="6664"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w:t>
            </w:r>
          </w:p>
        </w:tc>
        <w:tc>
          <w:tcPr>
            <w:tcW w:w="152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rPr>
              <w:t>广铝</w:t>
            </w:r>
            <w:r>
              <w:rPr>
                <w:rFonts w:hint="eastAsia" w:ascii="宋体" w:hAnsi="宋体" w:eastAsia="宋体" w:cs="宋体"/>
                <w:i w:val="0"/>
                <w:iCs w:val="0"/>
                <w:color w:val="000000"/>
                <w:sz w:val="24"/>
                <w:szCs w:val="24"/>
                <w:u w:val="none"/>
                <w:lang w:eastAsia="zh-CN"/>
              </w:rPr>
              <w:t>、凤铝、广东坚美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0" w:hRule="atLeast"/>
        </w:trPr>
        <w:tc>
          <w:tcPr>
            <w:tcW w:w="5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70</w:t>
            </w:r>
          </w:p>
        </w:tc>
        <w:tc>
          <w:tcPr>
            <w:tcW w:w="119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乳胶漆</w:t>
            </w:r>
          </w:p>
        </w:tc>
        <w:tc>
          <w:tcPr>
            <w:tcW w:w="6664"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w:t>
            </w:r>
          </w:p>
        </w:tc>
        <w:tc>
          <w:tcPr>
            <w:tcW w:w="152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rPr>
              <w:t>多乐士</w:t>
            </w:r>
            <w:r>
              <w:rPr>
                <w:rFonts w:hint="eastAsia" w:ascii="宋体" w:hAnsi="宋体" w:eastAsia="宋体" w:cs="宋体"/>
                <w:i w:val="0"/>
                <w:iCs w:val="0"/>
                <w:color w:val="000000"/>
                <w:sz w:val="24"/>
                <w:szCs w:val="24"/>
                <w:u w:val="none"/>
                <w:lang w:eastAsia="zh-CN"/>
              </w:rPr>
              <w:t>、立邦、广东美涂士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0" w:hRule="atLeast"/>
        </w:trPr>
        <w:tc>
          <w:tcPr>
            <w:tcW w:w="5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71</w:t>
            </w:r>
          </w:p>
        </w:tc>
        <w:tc>
          <w:tcPr>
            <w:tcW w:w="119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配电箱</w:t>
            </w:r>
          </w:p>
        </w:tc>
        <w:tc>
          <w:tcPr>
            <w:tcW w:w="6664"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w:t>
            </w:r>
          </w:p>
        </w:tc>
        <w:tc>
          <w:tcPr>
            <w:tcW w:w="152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rPr>
              <w:t>东莞基业</w:t>
            </w:r>
            <w:r>
              <w:rPr>
                <w:rFonts w:hint="eastAsia" w:ascii="宋体" w:hAnsi="宋体" w:eastAsia="宋体" w:cs="宋体"/>
                <w:i w:val="0"/>
                <w:iCs w:val="0"/>
                <w:color w:val="000000"/>
                <w:sz w:val="24"/>
                <w:szCs w:val="24"/>
                <w:u w:val="none"/>
                <w:lang w:eastAsia="zh-CN"/>
              </w:rPr>
              <w:t>、</w:t>
            </w:r>
            <w:r>
              <w:rPr>
                <w:rFonts w:hint="eastAsia" w:ascii="宋体" w:hAnsi="宋体" w:eastAsia="宋体" w:cs="宋体"/>
                <w:i w:val="0"/>
                <w:iCs w:val="0"/>
                <w:color w:val="000000"/>
                <w:sz w:val="24"/>
                <w:szCs w:val="24"/>
                <w:u w:val="none"/>
              </w:rPr>
              <w:t>番禺宏达</w:t>
            </w:r>
            <w:r>
              <w:rPr>
                <w:rFonts w:hint="eastAsia" w:ascii="宋体" w:hAnsi="宋体" w:eastAsia="宋体" w:cs="宋体"/>
                <w:i w:val="0"/>
                <w:iCs w:val="0"/>
                <w:color w:val="000000"/>
                <w:sz w:val="24"/>
                <w:szCs w:val="24"/>
                <w:u w:val="none"/>
                <w:lang w:eastAsia="zh-CN"/>
              </w:rPr>
              <w:t>、广东松本、俊朗松田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0" w:hRule="atLeast"/>
        </w:trPr>
        <w:tc>
          <w:tcPr>
            <w:tcW w:w="5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72</w:t>
            </w:r>
          </w:p>
        </w:tc>
        <w:tc>
          <w:tcPr>
            <w:tcW w:w="119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配电箱元器件</w:t>
            </w:r>
          </w:p>
        </w:tc>
        <w:tc>
          <w:tcPr>
            <w:tcW w:w="6664"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w:t>
            </w:r>
          </w:p>
        </w:tc>
        <w:tc>
          <w:tcPr>
            <w:tcW w:w="152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rPr>
              <w:t>广东松本</w:t>
            </w:r>
            <w:r>
              <w:rPr>
                <w:rFonts w:hint="eastAsia" w:ascii="宋体" w:hAnsi="宋体" w:eastAsia="宋体" w:cs="宋体"/>
                <w:i w:val="0"/>
                <w:iCs w:val="0"/>
                <w:color w:val="000000"/>
                <w:sz w:val="24"/>
                <w:szCs w:val="24"/>
                <w:u w:val="none"/>
                <w:lang w:eastAsia="zh-CN"/>
              </w:rPr>
              <w:t>、广东珠江、正泰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73</w:t>
            </w:r>
          </w:p>
        </w:tc>
        <w:tc>
          <w:tcPr>
            <w:tcW w:w="119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防滑砖、抛光砖、釉面砖、耐磨砖、瓷砖</w:t>
            </w:r>
          </w:p>
        </w:tc>
        <w:tc>
          <w:tcPr>
            <w:tcW w:w="6664"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w:t>
            </w:r>
          </w:p>
        </w:tc>
        <w:tc>
          <w:tcPr>
            <w:tcW w:w="152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rPr>
              <w:t>冠珠</w:t>
            </w:r>
            <w:r>
              <w:rPr>
                <w:rFonts w:hint="eastAsia" w:ascii="宋体" w:hAnsi="宋体" w:eastAsia="宋体" w:cs="宋体"/>
                <w:i w:val="0"/>
                <w:iCs w:val="0"/>
                <w:color w:val="000000"/>
                <w:sz w:val="24"/>
                <w:szCs w:val="24"/>
                <w:u w:val="none"/>
                <w:lang w:eastAsia="zh-CN"/>
              </w:rPr>
              <w:t>、东鹏、鹰牌、白兔</w:t>
            </w:r>
          </w:p>
        </w:tc>
      </w:tr>
    </w:tbl>
    <w:p>
      <w:pPr>
        <w:shd w:val="clear" w:color="000000" w:fill="auto"/>
        <w:spacing w:line="360" w:lineRule="auto"/>
        <w:jc w:val="left"/>
        <w:outlineLvl w:val="0"/>
        <w:rPr>
          <w:rFonts w:ascii="仿宋" w:hAnsi="仿宋" w:eastAsia="仿宋" w:cs="仿宋"/>
          <w:color w:val="auto"/>
          <w:sz w:val="24"/>
          <w:szCs w:val="24"/>
          <w:highlight w:val="none"/>
        </w:rPr>
      </w:pPr>
      <w:r>
        <w:rPr>
          <w:rFonts w:hint="eastAsia" w:ascii="仿宋" w:hAnsi="仿宋" w:eastAsia="仿宋" w:cs="仿宋"/>
          <w:b/>
          <w:bCs/>
          <w:color w:val="auto"/>
          <w:sz w:val="24"/>
          <w:szCs w:val="24"/>
          <w:highlight w:val="none"/>
        </w:rPr>
        <w:br w:type="page"/>
      </w:r>
      <w:bookmarkStart w:id="730" w:name="_Toc14710"/>
      <w:bookmarkStart w:id="731" w:name="_Toc26990"/>
      <w:r>
        <w:rPr>
          <w:rFonts w:hint="eastAsia" w:ascii="仿宋" w:hAnsi="仿宋" w:eastAsia="仿宋" w:cs="仿宋"/>
          <w:b/>
          <w:bCs/>
          <w:sz w:val="24"/>
          <w:szCs w:val="24"/>
        </w:rPr>
        <w:t>附件</w:t>
      </w:r>
      <w:bookmarkEnd w:id="724"/>
      <w:bookmarkEnd w:id="725"/>
      <w:bookmarkEnd w:id="726"/>
      <w:r>
        <w:rPr>
          <w:rFonts w:hint="eastAsia" w:ascii="仿宋" w:hAnsi="仿宋" w:eastAsia="仿宋" w:cs="仿宋"/>
          <w:b/>
          <w:bCs/>
          <w:sz w:val="24"/>
          <w:szCs w:val="24"/>
        </w:rPr>
        <w:t>二</w:t>
      </w:r>
      <w:bookmarkEnd w:id="730"/>
      <w:r>
        <w:rPr>
          <w:rFonts w:hint="eastAsia" w:ascii="仿宋" w:hAnsi="仿宋" w:eastAsia="仿宋" w:cs="仿宋"/>
          <w:b/>
          <w:bCs/>
          <w:sz w:val="24"/>
          <w:szCs w:val="24"/>
        </w:rPr>
        <w:t>：工程质量保修书</w:t>
      </w:r>
      <w:bookmarkEnd w:id="731"/>
    </w:p>
    <w:p>
      <w:pPr>
        <w:shd w:val="clear" w:color="000000" w:fill="auto"/>
        <w:spacing w:line="360" w:lineRule="auto"/>
        <w:rPr>
          <w:rFonts w:ascii="仿宋" w:hAnsi="仿宋" w:eastAsia="仿宋" w:cs="Times New Roman"/>
          <w:color w:val="auto"/>
          <w:sz w:val="24"/>
          <w:szCs w:val="24"/>
          <w:highlight w:val="none"/>
        </w:rPr>
      </w:pPr>
    </w:p>
    <w:p>
      <w:pPr>
        <w:shd w:val="clear" w:color="000000" w:fill="auto"/>
        <w:adjustRightInd w:val="0"/>
        <w:snapToGrid w:val="0"/>
        <w:spacing w:line="360" w:lineRule="auto"/>
        <w:jc w:val="center"/>
        <w:rPr>
          <w:rFonts w:ascii="仿宋" w:hAnsi="仿宋" w:eastAsia="仿宋" w:cs="Times New Roman"/>
          <w:b/>
          <w:bCs/>
          <w:color w:val="auto"/>
          <w:spacing w:val="32"/>
          <w:sz w:val="24"/>
          <w:szCs w:val="24"/>
          <w:highlight w:val="none"/>
        </w:rPr>
      </w:pPr>
      <w:r>
        <w:rPr>
          <w:rFonts w:hint="eastAsia" w:ascii="仿宋" w:hAnsi="仿宋" w:eastAsia="仿宋" w:cs="仿宋"/>
          <w:b/>
          <w:bCs/>
          <w:color w:val="auto"/>
          <w:spacing w:val="32"/>
          <w:sz w:val="24"/>
          <w:szCs w:val="24"/>
          <w:highlight w:val="none"/>
        </w:rPr>
        <w:t>工程质量保修书</w:t>
      </w:r>
    </w:p>
    <w:p>
      <w:pPr>
        <w:shd w:val="clear" w:color="000000" w:fill="auto"/>
        <w:adjustRightInd w:val="0"/>
        <w:snapToGrid w:val="0"/>
        <w:spacing w:line="400" w:lineRule="exact"/>
        <w:rPr>
          <w:rFonts w:ascii="仿宋" w:hAnsi="仿宋" w:eastAsia="仿宋" w:cs="Times New Roman"/>
          <w:color w:val="auto"/>
          <w:highlight w:val="none"/>
        </w:rPr>
      </w:pPr>
    </w:p>
    <w:p>
      <w:pPr>
        <w:shd w:val="clear" w:color="000000" w:fill="auto"/>
        <w:adjustRightInd w:val="0"/>
        <w:snapToGrid w:val="0"/>
        <w:spacing w:line="400" w:lineRule="exact"/>
        <w:ind w:firstLine="420" w:firstLineChars="200"/>
        <w:rPr>
          <w:rFonts w:ascii="仿宋" w:hAnsi="仿宋" w:eastAsia="仿宋" w:cs="Times New Roman"/>
          <w:color w:val="auto"/>
          <w:highlight w:val="none"/>
        </w:rPr>
      </w:pPr>
      <w:r>
        <w:rPr>
          <w:rFonts w:hint="eastAsia" w:ascii="仿宋" w:hAnsi="仿宋" w:eastAsia="仿宋" w:cs="仿宋"/>
          <w:color w:val="auto"/>
          <w:highlight w:val="none"/>
        </w:rPr>
        <w:t>发包人：（全称）</w:t>
      </w:r>
      <w:r>
        <w:rPr>
          <w:rFonts w:hint="eastAsia" w:ascii="仿宋" w:hAnsi="仿宋" w:eastAsia="仿宋" w:cs="仿宋"/>
          <w:color w:val="auto"/>
          <w:highlight w:val="none"/>
          <w:u w:val="single"/>
          <w:lang w:eastAsia="zh-CN"/>
        </w:rPr>
        <w:t>广州番禺职业技术学院</w:t>
      </w:r>
      <w:r>
        <w:rPr>
          <w:rFonts w:ascii="仿宋" w:hAnsi="仿宋" w:eastAsia="仿宋" w:cs="仿宋"/>
          <w:color w:val="auto"/>
          <w:highlight w:val="none"/>
          <w:u w:val="single"/>
        </w:rPr>
        <w:t xml:space="preserve">   </w:t>
      </w:r>
    </w:p>
    <w:p>
      <w:pPr>
        <w:shd w:val="clear" w:color="000000" w:fill="auto"/>
        <w:adjustRightInd w:val="0"/>
        <w:snapToGrid w:val="0"/>
        <w:spacing w:line="400" w:lineRule="exact"/>
        <w:ind w:firstLine="420" w:firstLineChars="200"/>
        <w:rPr>
          <w:rFonts w:ascii="仿宋" w:hAnsi="仿宋" w:eastAsia="仿宋" w:cs="Times New Roman"/>
          <w:color w:val="auto"/>
          <w:highlight w:val="none"/>
        </w:rPr>
      </w:pPr>
      <w:r>
        <w:rPr>
          <w:rFonts w:hint="eastAsia" w:ascii="仿宋" w:hAnsi="仿宋" w:eastAsia="仿宋" w:cs="仿宋"/>
          <w:color w:val="auto"/>
          <w:highlight w:val="none"/>
        </w:rPr>
        <w:t>承包人：（全称）</w:t>
      </w:r>
      <w:r>
        <w:rPr>
          <w:rFonts w:ascii="仿宋" w:hAnsi="仿宋" w:eastAsia="仿宋" w:cs="仿宋"/>
          <w:color w:val="auto"/>
          <w:highlight w:val="none"/>
          <w:u w:val="single"/>
        </w:rPr>
        <w:t xml:space="preserve">   </w:t>
      </w:r>
      <w:r>
        <w:rPr>
          <w:rFonts w:hint="eastAsia" w:ascii="仿宋" w:hAnsi="仿宋" w:eastAsia="仿宋" w:cs="仿宋"/>
          <w:color w:val="auto"/>
          <w:highlight w:val="none"/>
          <w:u w:val="single"/>
        </w:rPr>
        <w:t xml:space="preserve">                           </w:t>
      </w:r>
      <w:r>
        <w:rPr>
          <w:rFonts w:ascii="仿宋" w:hAnsi="仿宋" w:eastAsia="仿宋" w:cs="仿宋"/>
          <w:color w:val="auto"/>
          <w:highlight w:val="none"/>
          <w:u w:val="single"/>
        </w:rPr>
        <w:t xml:space="preserve"> </w:t>
      </w:r>
    </w:p>
    <w:p>
      <w:pPr>
        <w:pStyle w:val="6"/>
        <w:numPr>
          <w:ilvl w:val="0"/>
          <w:numId w:val="0"/>
        </w:numPr>
        <w:spacing w:before="0" w:after="0" w:line="400" w:lineRule="exact"/>
        <w:ind w:left="184" w:right="184" w:firstLine="210" w:firstLineChars="100"/>
        <w:rPr>
          <w:rFonts w:ascii="仿宋" w:hAnsi="仿宋" w:eastAsia="仿宋" w:cs="仿宋"/>
          <w:b w:val="0"/>
          <w:bCs w:val="0"/>
          <w:color w:val="auto"/>
          <w:kern w:val="2"/>
          <w:sz w:val="21"/>
          <w:szCs w:val="21"/>
          <w:highlight w:val="none"/>
        </w:rPr>
      </w:pPr>
      <w:r>
        <w:rPr>
          <w:rFonts w:hint="eastAsia" w:ascii="仿宋" w:hAnsi="仿宋" w:eastAsia="仿宋" w:cs="仿宋"/>
          <w:b w:val="0"/>
          <w:bCs w:val="0"/>
          <w:color w:val="auto"/>
          <w:kern w:val="2"/>
          <w:sz w:val="21"/>
          <w:szCs w:val="21"/>
          <w:highlight w:val="none"/>
        </w:rPr>
        <w:t>为保证</w:t>
      </w:r>
      <w:r>
        <w:rPr>
          <w:rFonts w:ascii="仿宋" w:hAnsi="仿宋" w:eastAsia="仿宋" w:cs="仿宋"/>
          <w:b w:val="0"/>
          <w:bCs w:val="0"/>
          <w:color w:val="auto"/>
          <w:kern w:val="2"/>
          <w:sz w:val="21"/>
          <w:szCs w:val="21"/>
          <w:highlight w:val="none"/>
        </w:rPr>
        <w:t xml:space="preserve"> </w:t>
      </w:r>
      <w:r>
        <w:rPr>
          <w:rFonts w:hint="eastAsia" w:ascii="仿宋" w:hAnsi="仿宋" w:eastAsia="仿宋" w:cs="仿宋"/>
          <w:b w:val="0"/>
          <w:bCs w:val="0"/>
          <w:color w:val="auto"/>
          <w:kern w:val="2"/>
          <w:sz w:val="21"/>
          <w:szCs w:val="21"/>
          <w:highlight w:val="none"/>
          <w:u w:val="single"/>
        </w:rPr>
        <w:t xml:space="preserve"> </w:t>
      </w:r>
      <w:r>
        <w:rPr>
          <w:rFonts w:hint="eastAsia" w:ascii="仿宋" w:hAnsi="仿宋" w:eastAsia="仿宋" w:cs="仿宋"/>
          <w:b w:val="0"/>
          <w:bCs w:val="0"/>
          <w:color w:val="auto"/>
          <w:kern w:val="2"/>
          <w:sz w:val="21"/>
          <w:szCs w:val="21"/>
          <w:highlight w:val="none"/>
          <w:u w:val="single"/>
          <w:lang w:val="en-US" w:eastAsia="zh-CN"/>
        </w:rPr>
        <w:t xml:space="preserve">                        </w:t>
      </w:r>
      <w:r>
        <w:rPr>
          <w:rFonts w:hint="eastAsia" w:ascii="仿宋" w:hAnsi="仿宋" w:eastAsia="仿宋" w:cs="仿宋"/>
          <w:b w:val="0"/>
          <w:bCs w:val="0"/>
          <w:color w:val="auto"/>
          <w:kern w:val="2"/>
          <w:sz w:val="21"/>
          <w:szCs w:val="21"/>
          <w:highlight w:val="none"/>
        </w:rPr>
        <w:t>（工程名称）在合理使用期限内正常使用，合同双方当事人根据《中华人民共和国建筑法》、《建设工程质量管理条例》和《房屋建筑工程质量保修办法》等规定，经协商一致，订立本质量保修书。</w:t>
      </w:r>
    </w:p>
    <w:p>
      <w:pPr>
        <w:shd w:val="clear" w:color="000000" w:fill="auto"/>
        <w:adjustRightInd w:val="0"/>
        <w:snapToGrid w:val="0"/>
        <w:spacing w:line="400" w:lineRule="exact"/>
        <w:ind w:firstLine="420" w:firstLineChars="200"/>
        <w:rPr>
          <w:rFonts w:ascii="仿宋" w:hAnsi="仿宋" w:eastAsia="仿宋" w:cs="Times New Roman"/>
          <w:color w:val="auto"/>
          <w:highlight w:val="none"/>
        </w:rPr>
      </w:pPr>
    </w:p>
    <w:p>
      <w:pPr>
        <w:numPr>
          <w:ilvl w:val="0"/>
          <w:numId w:val="31"/>
        </w:numPr>
        <w:shd w:val="clear" w:color="000000" w:fill="auto"/>
        <w:adjustRightInd w:val="0"/>
        <w:snapToGrid w:val="0"/>
        <w:spacing w:line="400" w:lineRule="exact"/>
        <w:ind w:left="842" w:leftChars="200" w:hanging="422" w:hangingChars="200"/>
        <w:rPr>
          <w:rFonts w:ascii="仿宋" w:hAnsi="仿宋" w:eastAsia="仿宋" w:cs="Times New Roman"/>
          <w:b/>
          <w:bCs/>
          <w:color w:val="auto"/>
          <w:highlight w:val="none"/>
        </w:rPr>
      </w:pPr>
      <w:r>
        <w:rPr>
          <w:rFonts w:hint="eastAsia" w:ascii="仿宋" w:hAnsi="仿宋" w:eastAsia="仿宋" w:cs="仿宋"/>
          <w:b/>
          <w:bCs/>
          <w:color w:val="auto"/>
          <w:highlight w:val="none"/>
        </w:rPr>
        <w:t>质量保修范围</w:t>
      </w:r>
    </w:p>
    <w:p>
      <w:pPr>
        <w:shd w:val="clear" w:color="000000" w:fill="auto"/>
        <w:adjustRightInd w:val="0"/>
        <w:snapToGrid w:val="0"/>
        <w:spacing w:line="400" w:lineRule="exact"/>
        <w:rPr>
          <w:rFonts w:ascii="仿宋" w:hAnsi="仿宋" w:eastAsia="仿宋" w:cs="Times New Roman"/>
          <w:color w:val="auto"/>
          <w:highlight w:val="none"/>
        </w:rPr>
      </w:pPr>
    </w:p>
    <w:p>
      <w:pPr>
        <w:shd w:val="clear" w:color="000000" w:fill="auto"/>
        <w:adjustRightInd w:val="0"/>
        <w:snapToGrid w:val="0"/>
        <w:spacing w:line="400" w:lineRule="exact"/>
        <w:ind w:firstLine="420" w:firstLineChars="200"/>
        <w:rPr>
          <w:rFonts w:ascii="仿宋" w:hAnsi="仿宋" w:eastAsia="仿宋" w:cs="仿宋"/>
          <w:color w:val="auto"/>
          <w:highlight w:val="none"/>
        </w:rPr>
      </w:pPr>
      <w:r>
        <w:rPr>
          <w:rFonts w:hint="eastAsia" w:ascii="仿宋" w:hAnsi="仿宋" w:eastAsia="仿宋" w:cs="仿宋"/>
          <w:color w:val="auto"/>
          <w:highlight w:val="none"/>
        </w:rPr>
        <w:t>质量保修范围包括地基基础工程、主体结构工程、屋面防水工程、有防水要求的卫生间、房间、外墙面的防渗漏工程、电气管线工程、给排水管道工程、设备安装工程、供热、供冷系统工程、装饰装修工程以及双方约定其他项目。具体质量保修范围，合同双方当事人约定如下：合同中所签订的承包人所承包的全部内容。</w:t>
      </w:r>
      <w:r>
        <w:rPr>
          <w:rFonts w:ascii="仿宋" w:hAnsi="仿宋" w:eastAsia="仿宋" w:cs="仿宋"/>
          <w:color w:val="auto"/>
          <w:highlight w:val="none"/>
        </w:rPr>
        <w:t xml:space="preserve">  </w:t>
      </w:r>
    </w:p>
    <w:p>
      <w:pPr>
        <w:shd w:val="clear" w:color="000000" w:fill="auto"/>
        <w:adjustRightInd w:val="0"/>
        <w:snapToGrid w:val="0"/>
        <w:spacing w:line="400" w:lineRule="exact"/>
        <w:ind w:firstLine="420" w:firstLineChars="200"/>
        <w:rPr>
          <w:rFonts w:ascii="仿宋" w:hAnsi="仿宋" w:eastAsia="仿宋" w:cs="仿宋"/>
          <w:color w:val="auto"/>
          <w:highlight w:val="none"/>
        </w:rPr>
      </w:pPr>
      <w:r>
        <w:rPr>
          <w:rFonts w:ascii="仿宋" w:hAnsi="仿宋" w:eastAsia="仿宋" w:cs="仿宋"/>
          <w:color w:val="auto"/>
          <w:highlight w:val="none"/>
        </w:rPr>
        <w:t xml:space="preserve">                                                                                 </w:t>
      </w:r>
    </w:p>
    <w:p>
      <w:pPr>
        <w:numPr>
          <w:ilvl w:val="0"/>
          <w:numId w:val="31"/>
        </w:numPr>
        <w:shd w:val="clear" w:color="000000" w:fill="auto"/>
        <w:adjustRightInd w:val="0"/>
        <w:snapToGrid w:val="0"/>
        <w:spacing w:line="400" w:lineRule="exact"/>
        <w:ind w:left="842" w:leftChars="200" w:hanging="422" w:hangingChars="200"/>
        <w:rPr>
          <w:rFonts w:ascii="仿宋" w:hAnsi="仿宋" w:eastAsia="仿宋" w:cs="Times New Roman"/>
          <w:b/>
          <w:bCs/>
          <w:color w:val="auto"/>
          <w:highlight w:val="none"/>
        </w:rPr>
      </w:pPr>
      <w:r>
        <w:rPr>
          <w:rFonts w:hint="eastAsia" w:ascii="仿宋" w:hAnsi="仿宋" w:eastAsia="仿宋" w:cs="仿宋"/>
          <w:b/>
          <w:bCs/>
          <w:color w:val="auto"/>
          <w:highlight w:val="none"/>
        </w:rPr>
        <w:t>质量保修期</w:t>
      </w:r>
    </w:p>
    <w:p>
      <w:pPr>
        <w:shd w:val="clear" w:color="000000" w:fill="auto"/>
        <w:adjustRightInd w:val="0"/>
        <w:snapToGrid w:val="0"/>
        <w:spacing w:line="400" w:lineRule="exact"/>
        <w:ind w:firstLine="420" w:firstLineChars="200"/>
        <w:rPr>
          <w:rFonts w:ascii="仿宋" w:hAnsi="仿宋" w:eastAsia="仿宋" w:cs="Times New Roman"/>
          <w:color w:val="auto"/>
          <w:highlight w:val="none"/>
        </w:rPr>
      </w:pPr>
    </w:p>
    <w:p>
      <w:pPr>
        <w:shd w:val="clear" w:color="000000" w:fill="auto"/>
        <w:adjustRightInd w:val="0"/>
        <w:snapToGrid w:val="0"/>
        <w:spacing w:line="400" w:lineRule="exact"/>
        <w:ind w:firstLine="420" w:firstLineChars="200"/>
        <w:rPr>
          <w:rFonts w:ascii="仿宋" w:hAnsi="仿宋" w:eastAsia="仿宋" w:cs="Times New Roman"/>
          <w:color w:val="auto"/>
          <w:highlight w:val="none"/>
        </w:rPr>
      </w:pPr>
      <w:r>
        <w:rPr>
          <w:rFonts w:ascii="仿宋" w:hAnsi="仿宋" w:eastAsia="仿宋" w:cs="仿宋"/>
          <w:color w:val="auto"/>
          <w:highlight w:val="none"/>
        </w:rPr>
        <w:t xml:space="preserve">2.1 </w:t>
      </w:r>
      <w:r>
        <w:rPr>
          <w:rFonts w:hint="eastAsia" w:ascii="仿宋" w:hAnsi="仿宋" w:eastAsia="仿宋" w:cs="仿宋"/>
          <w:color w:val="auto"/>
          <w:highlight w:val="none"/>
        </w:rPr>
        <w:t>质量保修期从工程实际竣工之日算起。单项竣工验收的工程，按单项工程分别计算质量保修期。</w:t>
      </w:r>
    </w:p>
    <w:p>
      <w:pPr>
        <w:shd w:val="clear" w:color="000000" w:fill="auto"/>
        <w:adjustRightInd w:val="0"/>
        <w:snapToGrid w:val="0"/>
        <w:spacing w:line="400" w:lineRule="exact"/>
        <w:ind w:firstLine="420" w:firstLineChars="200"/>
        <w:rPr>
          <w:rFonts w:ascii="仿宋" w:hAnsi="仿宋" w:eastAsia="仿宋" w:cs="Times New Roman"/>
          <w:color w:val="auto"/>
          <w:highlight w:val="none"/>
        </w:rPr>
      </w:pPr>
      <w:r>
        <w:rPr>
          <w:rFonts w:ascii="仿宋" w:hAnsi="仿宋" w:eastAsia="仿宋" w:cs="仿宋"/>
          <w:color w:val="auto"/>
          <w:highlight w:val="none"/>
        </w:rPr>
        <w:t xml:space="preserve">2.2 </w:t>
      </w:r>
      <w:r>
        <w:rPr>
          <w:rFonts w:hint="eastAsia" w:ascii="仿宋" w:hAnsi="仿宋" w:eastAsia="仿宋" w:cs="仿宋"/>
          <w:color w:val="auto"/>
          <w:kern w:val="0"/>
          <w:highlight w:val="none"/>
          <w:lang w:val="zh-CN"/>
        </w:rPr>
        <w:t>合同工程质量保修期，合同双方当事人约定如下</w:t>
      </w: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本项目保修期为二年</w:t>
      </w:r>
      <w:r>
        <w:rPr>
          <w:rFonts w:hint="eastAsia" w:ascii="仿宋" w:hAnsi="仿宋" w:eastAsia="仿宋" w:cs="仿宋"/>
          <w:color w:val="auto"/>
          <w:highlight w:val="none"/>
        </w:rPr>
        <w:t>。</w:t>
      </w:r>
    </w:p>
    <w:p>
      <w:pPr>
        <w:shd w:val="clear" w:color="000000" w:fill="auto"/>
        <w:adjustRightInd w:val="0"/>
        <w:snapToGrid w:val="0"/>
        <w:spacing w:line="400" w:lineRule="exact"/>
        <w:ind w:firstLine="420" w:firstLineChars="200"/>
        <w:rPr>
          <w:rFonts w:ascii="仿宋" w:hAnsi="仿宋" w:eastAsia="仿宋" w:cs="Times New Roman"/>
          <w:color w:val="auto"/>
          <w:highlight w:val="none"/>
        </w:rPr>
      </w:pPr>
    </w:p>
    <w:p>
      <w:pPr>
        <w:shd w:val="clear" w:color="000000" w:fill="auto"/>
        <w:adjustRightInd w:val="0"/>
        <w:snapToGrid w:val="0"/>
        <w:spacing w:line="400" w:lineRule="exact"/>
        <w:ind w:left="480"/>
        <w:rPr>
          <w:rFonts w:ascii="仿宋" w:hAnsi="仿宋" w:eastAsia="仿宋" w:cs="Times New Roman"/>
          <w:color w:val="auto"/>
          <w:highlight w:val="none"/>
        </w:rPr>
      </w:pPr>
      <w:r>
        <w:rPr>
          <w:rFonts w:ascii="仿宋" w:hAnsi="仿宋" w:eastAsia="仿宋" w:cs="仿宋"/>
          <w:color w:val="auto"/>
          <w:highlight w:val="none"/>
        </w:rPr>
        <w:t>3</w:t>
      </w:r>
      <w:r>
        <w:rPr>
          <w:rFonts w:hint="eastAsia" w:ascii="仿宋" w:hAnsi="仿宋" w:eastAsia="仿宋" w:cs="仿宋"/>
          <w:color w:val="auto"/>
          <w:highlight w:val="none"/>
        </w:rPr>
        <w:t>．</w:t>
      </w:r>
      <w:r>
        <w:rPr>
          <w:rFonts w:ascii="仿宋" w:hAnsi="仿宋" w:eastAsia="仿宋" w:cs="仿宋"/>
          <w:color w:val="auto"/>
          <w:highlight w:val="none"/>
        </w:rPr>
        <w:t xml:space="preserve"> </w:t>
      </w:r>
      <w:r>
        <w:rPr>
          <w:rFonts w:hint="eastAsia" w:ascii="仿宋" w:hAnsi="仿宋" w:eastAsia="仿宋" w:cs="仿宋"/>
          <w:b/>
          <w:bCs/>
          <w:color w:val="auto"/>
          <w:highlight w:val="none"/>
        </w:rPr>
        <w:t>质量保修责任</w:t>
      </w:r>
    </w:p>
    <w:p>
      <w:pPr>
        <w:shd w:val="clear" w:color="000000" w:fill="auto"/>
        <w:adjustRightInd w:val="0"/>
        <w:snapToGrid w:val="0"/>
        <w:spacing w:line="400" w:lineRule="exact"/>
        <w:ind w:firstLine="420" w:firstLineChars="200"/>
        <w:rPr>
          <w:rFonts w:ascii="仿宋" w:hAnsi="仿宋" w:eastAsia="仿宋" w:cs="Times New Roman"/>
          <w:color w:val="auto"/>
          <w:highlight w:val="none"/>
        </w:rPr>
      </w:pPr>
    </w:p>
    <w:p>
      <w:pPr>
        <w:shd w:val="clear" w:color="000000" w:fill="auto"/>
        <w:adjustRightInd w:val="0"/>
        <w:snapToGrid w:val="0"/>
        <w:spacing w:line="400" w:lineRule="exact"/>
        <w:ind w:firstLine="420" w:firstLineChars="200"/>
        <w:rPr>
          <w:rFonts w:ascii="仿宋" w:hAnsi="仿宋" w:eastAsia="仿宋" w:cs="Times New Roman"/>
          <w:color w:val="auto"/>
          <w:highlight w:val="none"/>
        </w:rPr>
      </w:pPr>
      <w:r>
        <w:rPr>
          <w:rFonts w:ascii="仿宋" w:hAnsi="仿宋" w:eastAsia="仿宋" w:cs="仿宋"/>
          <w:color w:val="auto"/>
          <w:highlight w:val="none"/>
        </w:rPr>
        <w:t xml:space="preserve">3.1  </w:t>
      </w:r>
      <w:r>
        <w:rPr>
          <w:rFonts w:hint="eastAsia" w:ascii="仿宋" w:hAnsi="仿宋" w:eastAsia="仿宋" w:cs="仿宋"/>
          <w:color w:val="auto"/>
          <w:kern w:val="0"/>
          <w:highlight w:val="none"/>
          <w:lang w:val="zh-CN"/>
        </w:rPr>
        <w:t>属于保修范围的项目，承包人应在接到发包人通知后的</w:t>
      </w:r>
      <w:r>
        <w:rPr>
          <w:rFonts w:ascii="仿宋" w:hAnsi="仿宋" w:eastAsia="仿宋" w:cs="仿宋"/>
          <w:color w:val="auto"/>
          <w:kern w:val="0"/>
          <w:highlight w:val="none"/>
        </w:rPr>
        <w:t xml:space="preserve"> 7 </w:t>
      </w:r>
      <w:r>
        <w:rPr>
          <w:rFonts w:hint="eastAsia" w:ascii="仿宋" w:hAnsi="仿宋" w:eastAsia="仿宋" w:cs="仿宋"/>
          <w:color w:val="auto"/>
          <w:kern w:val="0"/>
          <w:highlight w:val="none"/>
          <w:lang w:val="zh-CN"/>
        </w:rPr>
        <w:t>天内派人保修。承包人未能</w:t>
      </w:r>
      <w:r>
        <w:rPr>
          <w:rFonts w:ascii="仿宋" w:hAnsi="仿宋" w:eastAsia="仿宋" w:cs="仿宋"/>
          <w:color w:val="auto"/>
          <w:kern w:val="0"/>
          <w:highlight w:val="none"/>
        </w:rPr>
        <w:t xml:space="preserve"> </w:t>
      </w:r>
      <w:r>
        <w:rPr>
          <w:rFonts w:hint="eastAsia" w:ascii="仿宋" w:hAnsi="仿宋" w:eastAsia="仿宋" w:cs="仿宋"/>
          <w:color w:val="auto"/>
          <w:kern w:val="0"/>
          <w:highlight w:val="none"/>
          <w:lang w:val="zh-CN"/>
        </w:rPr>
        <w:t>在规定时间内派人保修的，发包人可自行或委托第三方保修</w:t>
      </w:r>
      <w:r>
        <w:rPr>
          <w:rFonts w:hint="eastAsia" w:ascii="仿宋" w:hAnsi="仿宋" w:eastAsia="仿宋" w:cs="仿宋"/>
          <w:color w:val="auto"/>
          <w:highlight w:val="none"/>
        </w:rPr>
        <w:t>。</w:t>
      </w:r>
    </w:p>
    <w:p>
      <w:pPr>
        <w:shd w:val="clear" w:color="000000" w:fill="auto"/>
        <w:adjustRightInd w:val="0"/>
        <w:snapToGrid w:val="0"/>
        <w:spacing w:line="400" w:lineRule="exact"/>
        <w:ind w:firstLine="420" w:firstLineChars="200"/>
        <w:rPr>
          <w:rFonts w:ascii="仿宋" w:hAnsi="仿宋" w:eastAsia="仿宋" w:cs="Times New Roman"/>
          <w:color w:val="auto"/>
          <w:highlight w:val="none"/>
        </w:rPr>
      </w:pPr>
      <w:r>
        <w:rPr>
          <w:rFonts w:ascii="仿宋" w:hAnsi="仿宋" w:eastAsia="仿宋" w:cs="仿宋"/>
          <w:color w:val="auto"/>
          <w:highlight w:val="none"/>
        </w:rPr>
        <w:t xml:space="preserve">3.2  </w:t>
      </w:r>
      <w:r>
        <w:rPr>
          <w:rFonts w:hint="eastAsia" w:ascii="仿宋" w:hAnsi="仿宋" w:eastAsia="仿宋" w:cs="仿宋"/>
          <w:color w:val="auto"/>
          <w:highlight w:val="none"/>
        </w:rPr>
        <w:t>发生紧急抢修事故的，承包人在接到通知后，应立即到达事故现场抢修。</w:t>
      </w:r>
    </w:p>
    <w:p>
      <w:pPr>
        <w:shd w:val="clear" w:color="000000" w:fill="auto"/>
        <w:adjustRightInd w:val="0"/>
        <w:snapToGrid w:val="0"/>
        <w:spacing w:line="400" w:lineRule="exact"/>
        <w:ind w:firstLine="420" w:firstLineChars="200"/>
        <w:rPr>
          <w:rFonts w:ascii="仿宋" w:hAnsi="仿宋" w:eastAsia="仿宋" w:cs="Times New Roman"/>
          <w:color w:val="auto"/>
          <w:highlight w:val="none"/>
        </w:rPr>
      </w:pPr>
      <w:r>
        <w:rPr>
          <w:rFonts w:ascii="仿宋" w:hAnsi="仿宋" w:eastAsia="仿宋" w:cs="仿宋"/>
          <w:color w:val="auto"/>
          <w:highlight w:val="none"/>
        </w:rPr>
        <w:t xml:space="preserve">3.3  </w:t>
      </w:r>
      <w:r>
        <w:rPr>
          <w:rFonts w:hint="eastAsia" w:ascii="仿宋" w:hAnsi="仿宋" w:eastAsia="仿宋" w:cs="仿宋"/>
          <w:color w:val="auto"/>
          <w:highlight w:val="none"/>
        </w:rPr>
        <w:t>在国家规定的工程合理使用期限内，承包人应确保地基基础工程和主体结构的质量和安全。凡出现其质量问题，应立即报告当地建设行政主管部门，经设计人提出保修方案后，承包人应立即实施保修。</w:t>
      </w:r>
    </w:p>
    <w:p>
      <w:pPr>
        <w:shd w:val="clear" w:color="000000" w:fill="auto"/>
        <w:adjustRightInd w:val="0"/>
        <w:snapToGrid w:val="0"/>
        <w:spacing w:line="400" w:lineRule="exact"/>
        <w:ind w:firstLine="420" w:firstLineChars="200"/>
        <w:rPr>
          <w:rFonts w:ascii="仿宋" w:hAnsi="仿宋" w:eastAsia="仿宋" w:cs="Times New Roman"/>
          <w:color w:val="auto"/>
          <w:highlight w:val="none"/>
        </w:rPr>
      </w:pPr>
      <w:r>
        <w:rPr>
          <w:rFonts w:ascii="仿宋" w:hAnsi="仿宋" w:eastAsia="仿宋" w:cs="仿宋"/>
          <w:color w:val="auto"/>
          <w:highlight w:val="none"/>
        </w:rPr>
        <w:t xml:space="preserve">3.4  </w:t>
      </w:r>
      <w:r>
        <w:rPr>
          <w:rFonts w:hint="eastAsia" w:ascii="仿宋" w:hAnsi="仿宋" w:eastAsia="仿宋" w:cs="仿宋"/>
          <w:color w:val="auto"/>
          <w:highlight w:val="none"/>
        </w:rPr>
        <w:t>质量保修完成后，由发包人组织验收。</w:t>
      </w:r>
    </w:p>
    <w:p>
      <w:pPr>
        <w:shd w:val="clear" w:color="000000" w:fill="auto"/>
        <w:adjustRightInd w:val="0"/>
        <w:snapToGrid w:val="0"/>
        <w:spacing w:line="400" w:lineRule="exact"/>
        <w:rPr>
          <w:rFonts w:ascii="仿宋" w:hAnsi="仿宋" w:eastAsia="仿宋" w:cs="Times New Roman"/>
          <w:color w:val="auto"/>
          <w:highlight w:val="none"/>
        </w:rPr>
      </w:pPr>
    </w:p>
    <w:p>
      <w:pPr>
        <w:shd w:val="clear" w:color="000000" w:fill="auto"/>
        <w:adjustRightInd w:val="0"/>
        <w:snapToGrid w:val="0"/>
        <w:spacing w:line="400" w:lineRule="exact"/>
        <w:ind w:left="480"/>
        <w:rPr>
          <w:rFonts w:ascii="仿宋" w:hAnsi="仿宋" w:eastAsia="仿宋" w:cs="Times New Roman"/>
          <w:color w:val="auto"/>
          <w:highlight w:val="none"/>
        </w:rPr>
      </w:pPr>
      <w:r>
        <w:rPr>
          <w:rFonts w:ascii="仿宋" w:hAnsi="仿宋" w:eastAsia="仿宋" w:cs="仿宋"/>
          <w:color w:val="auto"/>
          <w:highlight w:val="none"/>
        </w:rPr>
        <w:t>4</w:t>
      </w:r>
      <w:r>
        <w:rPr>
          <w:rFonts w:hint="eastAsia" w:ascii="仿宋" w:hAnsi="仿宋" w:eastAsia="仿宋" w:cs="仿宋"/>
          <w:color w:val="auto"/>
          <w:highlight w:val="none"/>
        </w:rPr>
        <w:t>．</w:t>
      </w:r>
      <w:r>
        <w:rPr>
          <w:rFonts w:hint="eastAsia" w:ascii="仿宋" w:hAnsi="仿宋" w:eastAsia="仿宋" w:cs="仿宋"/>
          <w:b/>
          <w:bCs/>
          <w:color w:val="auto"/>
          <w:highlight w:val="none"/>
        </w:rPr>
        <w:t>质量保修费用</w:t>
      </w:r>
    </w:p>
    <w:p>
      <w:pPr>
        <w:shd w:val="clear" w:color="000000" w:fill="auto"/>
        <w:adjustRightInd w:val="0"/>
        <w:snapToGrid w:val="0"/>
        <w:spacing w:line="400" w:lineRule="exact"/>
        <w:ind w:firstLine="420" w:firstLineChars="200"/>
        <w:rPr>
          <w:rFonts w:ascii="仿宋" w:hAnsi="仿宋" w:eastAsia="仿宋" w:cs="Times New Roman"/>
          <w:color w:val="auto"/>
          <w:highlight w:val="none"/>
        </w:rPr>
      </w:pPr>
    </w:p>
    <w:p>
      <w:pPr>
        <w:shd w:val="clear" w:color="000000" w:fill="auto"/>
        <w:adjustRightInd w:val="0"/>
        <w:snapToGrid w:val="0"/>
        <w:spacing w:line="400" w:lineRule="exact"/>
        <w:ind w:firstLine="420" w:firstLineChars="200"/>
        <w:rPr>
          <w:rFonts w:ascii="仿宋" w:hAnsi="仿宋" w:eastAsia="仿宋" w:cs="Times New Roman"/>
          <w:color w:val="auto"/>
          <w:highlight w:val="none"/>
        </w:rPr>
      </w:pPr>
      <w:r>
        <w:rPr>
          <w:rFonts w:hint="eastAsia" w:ascii="仿宋" w:hAnsi="仿宋" w:eastAsia="仿宋" w:cs="仿宋"/>
          <w:color w:val="auto"/>
          <w:kern w:val="0"/>
          <w:highlight w:val="none"/>
          <w:lang w:val="zh-CN"/>
        </w:rPr>
        <w:t>质量保修等费用，由责任方承担</w:t>
      </w:r>
      <w:r>
        <w:rPr>
          <w:rFonts w:hint="eastAsia" w:ascii="仿宋" w:hAnsi="仿宋" w:eastAsia="仿宋" w:cs="仿宋"/>
          <w:color w:val="auto"/>
          <w:highlight w:val="none"/>
        </w:rPr>
        <w:t>。</w:t>
      </w:r>
    </w:p>
    <w:p>
      <w:pPr>
        <w:shd w:val="clear" w:color="000000" w:fill="auto"/>
        <w:adjustRightInd w:val="0"/>
        <w:snapToGrid w:val="0"/>
        <w:spacing w:line="400" w:lineRule="exact"/>
        <w:ind w:firstLine="420" w:firstLineChars="200"/>
        <w:rPr>
          <w:rFonts w:ascii="仿宋" w:hAnsi="仿宋" w:eastAsia="仿宋" w:cs="Times New Roman"/>
          <w:color w:val="auto"/>
          <w:highlight w:val="none"/>
        </w:rPr>
      </w:pPr>
    </w:p>
    <w:p>
      <w:pPr>
        <w:shd w:val="clear" w:color="000000" w:fill="auto"/>
        <w:adjustRightInd w:val="0"/>
        <w:snapToGrid w:val="0"/>
        <w:spacing w:line="400" w:lineRule="exact"/>
        <w:ind w:firstLine="420" w:firstLineChars="200"/>
        <w:rPr>
          <w:rFonts w:ascii="仿宋" w:hAnsi="仿宋" w:eastAsia="仿宋" w:cs="Times New Roman"/>
          <w:color w:val="auto"/>
          <w:highlight w:val="none"/>
        </w:rPr>
      </w:pPr>
      <w:r>
        <w:rPr>
          <w:rFonts w:ascii="仿宋" w:hAnsi="仿宋" w:eastAsia="仿宋" w:cs="仿宋"/>
          <w:color w:val="auto"/>
          <w:highlight w:val="none"/>
        </w:rPr>
        <w:t>5</w:t>
      </w:r>
      <w:r>
        <w:rPr>
          <w:rFonts w:hint="eastAsia" w:ascii="仿宋" w:hAnsi="仿宋" w:eastAsia="仿宋" w:cs="仿宋"/>
          <w:color w:val="auto"/>
          <w:highlight w:val="none"/>
        </w:rPr>
        <w:t>．</w:t>
      </w:r>
      <w:r>
        <w:rPr>
          <w:rFonts w:hint="eastAsia" w:ascii="仿宋" w:hAnsi="仿宋" w:eastAsia="仿宋" w:cs="仿宋"/>
          <w:b/>
          <w:bCs/>
          <w:color w:val="auto"/>
          <w:highlight w:val="none"/>
        </w:rPr>
        <w:t>质量保证金</w:t>
      </w:r>
    </w:p>
    <w:p>
      <w:pPr>
        <w:shd w:val="clear" w:color="000000" w:fill="auto"/>
        <w:adjustRightInd w:val="0"/>
        <w:snapToGrid w:val="0"/>
        <w:spacing w:line="400" w:lineRule="exact"/>
        <w:ind w:firstLine="420" w:firstLineChars="200"/>
        <w:rPr>
          <w:rFonts w:ascii="仿宋" w:hAnsi="仿宋" w:eastAsia="仿宋" w:cs="Times New Roman"/>
          <w:color w:val="auto"/>
          <w:highlight w:val="none"/>
        </w:rPr>
      </w:pPr>
    </w:p>
    <w:p>
      <w:pPr>
        <w:shd w:val="clear" w:color="000000" w:fill="auto"/>
        <w:adjustRightInd w:val="0"/>
        <w:snapToGrid w:val="0"/>
        <w:spacing w:line="400" w:lineRule="exact"/>
        <w:ind w:firstLine="420" w:firstLineChars="200"/>
        <w:rPr>
          <w:rFonts w:ascii="仿宋" w:hAnsi="仿宋" w:eastAsia="仿宋" w:cs="Times New Roman"/>
          <w:color w:val="auto"/>
          <w:highlight w:val="none"/>
        </w:rPr>
      </w:pPr>
      <w:r>
        <w:rPr>
          <w:rFonts w:hint="eastAsia" w:ascii="仿宋" w:hAnsi="仿宋" w:eastAsia="仿宋" w:cs="仿宋"/>
          <w:color w:val="auto"/>
          <w:kern w:val="0"/>
          <w:highlight w:val="none"/>
          <w:lang w:val="zh-CN"/>
        </w:rPr>
        <w:t>质量保证金的约定、支付和使用与本合同第二部分《通用条款》第</w:t>
      </w:r>
      <w:r>
        <w:rPr>
          <w:rFonts w:ascii="仿宋" w:hAnsi="仿宋" w:eastAsia="仿宋" w:cs="仿宋"/>
          <w:color w:val="auto"/>
          <w:kern w:val="0"/>
          <w:highlight w:val="none"/>
        </w:rPr>
        <w:t xml:space="preserve"> 84 </w:t>
      </w:r>
      <w:r>
        <w:rPr>
          <w:rFonts w:hint="eastAsia" w:ascii="仿宋" w:hAnsi="仿宋" w:eastAsia="仿宋" w:cs="仿宋"/>
          <w:color w:val="auto"/>
          <w:kern w:val="0"/>
          <w:highlight w:val="none"/>
          <w:lang w:val="zh-CN"/>
        </w:rPr>
        <w:t>条赋予的规</w:t>
      </w:r>
      <w:r>
        <w:rPr>
          <w:rFonts w:hint="eastAsia" w:ascii="仿宋" w:hAnsi="仿宋" w:eastAsia="仿宋" w:cs="仿宋"/>
          <w:color w:val="auto"/>
          <w:highlight w:val="none"/>
        </w:rPr>
        <w:t>定一致。</w:t>
      </w:r>
    </w:p>
    <w:p>
      <w:pPr>
        <w:shd w:val="clear" w:color="000000" w:fill="auto"/>
        <w:adjustRightInd w:val="0"/>
        <w:snapToGrid w:val="0"/>
        <w:spacing w:line="400" w:lineRule="exact"/>
        <w:ind w:left="480"/>
        <w:rPr>
          <w:rFonts w:ascii="仿宋" w:hAnsi="仿宋" w:eastAsia="仿宋" w:cs="Times New Roman"/>
          <w:color w:val="auto"/>
          <w:highlight w:val="none"/>
        </w:rPr>
      </w:pPr>
    </w:p>
    <w:p>
      <w:pPr>
        <w:shd w:val="clear" w:color="000000" w:fill="auto"/>
        <w:adjustRightInd w:val="0"/>
        <w:snapToGrid w:val="0"/>
        <w:spacing w:line="400" w:lineRule="exact"/>
        <w:ind w:left="480"/>
        <w:rPr>
          <w:rFonts w:ascii="仿宋" w:hAnsi="仿宋" w:eastAsia="仿宋" w:cs="Times New Roman"/>
          <w:color w:val="auto"/>
          <w:highlight w:val="none"/>
        </w:rPr>
      </w:pPr>
      <w:r>
        <w:rPr>
          <w:rFonts w:ascii="仿宋" w:hAnsi="仿宋" w:eastAsia="仿宋" w:cs="仿宋"/>
          <w:color w:val="auto"/>
          <w:highlight w:val="none"/>
        </w:rPr>
        <w:t>6</w:t>
      </w:r>
      <w:r>
        <w:rPr>
          <w:rFonts w:hint="eastAsia" w:ascii="仿宋" w:hAnsi="仿宋" w:eastAsia="仿宋" w:cs="仿宋"/>
          <w:color w:val="auto"/>
          <w:highlight w:val="none"/>
        </w:rPr>
        <w:t>．</w:t>
      </w:r>
      <w:r>
        <w:rPr>
          <w:rFonts w:hint="eastAsia" w:ascii="仿宋" w:hAnsi="仿宋" w:eastAsia="仿宋" w:cs="仿宋"/>
          <w:b/>
          <w:bCs/>
          <w:color w:val="auto"/>
          <w:highlight w:val="none"/>
        </w:rPr>
        <w:t>其他</w:t>
      </w:r>
    </w:p>
    <w:p>
      <w:pPr>
        <w:shd w:val="clear" w:color="000000" w:fill="auto"/>
        <w:adjustRightInd w:val="0"/>
        <w:snapToGrid w:val="0"/>
        <w:spacing w:line="400" w:lineRule="exact"/>
        <w:ind w:firstLine="420" w:firstLineChars="200"/>
        <w:rPr>
          <w:rFonts w:ascii="仿宋" w:hAnsi="仿宋" w:eastAsia="仿宋" w:cs="Times New Roman"/>
          <w:color w:val="auto"/>
          <w:highlight w:val="none"/>
        </w:rPr>
      </w:pPr>
    </w:p>
    <w:p>
      <w:pPr>
        <w:shd w:val="clear" w:color="000000" w:fill="auto"/>
        <w:adjustRightInd w:val="0"/>
        <w:snapToGrid w:val="0"/>
        <w:spacing w:line="400" w:lineRule="exact"/>
        <w:ind w:firstLine="420" w:firstLineChars="200"/>
        <w:rPr>
          <w:rFonts w:ascii="仿宋" w:hAnsi="仿宋" w:eastAsia="仿宋" w:cs="Times New Roman"/>
          <w:color w:val="auto"/>
          <w:highlight w:val="none"/>
        </w:rPr>
      </w:pPr>
      <w:r>
        <w:rPr>
          <w:rFonts w:ascii="仿宋" w:hAnsi="仿宋" w:eastAsia="仿宋" w:cs="仿宋"/>
          <w:color w:val="auto"/>
          <w:highlight w:val="none"/>
        </w:rPr>
        <w:t xml:space="preserve">6.1  </w:t>
      </w:r>
      <w:r>
        <w:rPr>
          <w:rFonts w:hint="eastAsia" w:ascii="仿宋" w:hAnsi="仿宋" w:eastAsia="仿宋" w:cs="仿宋"/>
          <w:color w:val="auto"/>
          <w:kern w:val="0"/>
          <w:highlight w:val="none"/>
          <w:lang w:val="zh-CN"/>
        </w:rPr>
        <w:t>合同双方当事人约定的其他质量保修事</w:t>
      </w:r>
      <w:r>
        <w:rPr>
          <w:rFonts w:hint="eastAsia" w:ascii="仿宋" w:hAnsi="仿宋" w:eastAsia="仿宋" w:cs="仿宋"/>
          <w:color w:val="auto"/>
          <w:highlight w:val="none"/>
        </w:rPr>
        <w:t>项：</w:t>
      </w:r>
    </w:p>
    <w:p>
      <w:pPr>
        <w:shd w:val="clear" w:color="000000" w:fill="auto"/>
        <w:adjustRightInd w:val="0"/>
        <w:snapToGrid w:val="0"/>
        <w:spacing w:line="400" w:lineRule="exact"/>
        <w:ind w:firstLine="420" w:firstLineChars="200"/>
        <w:rPr>
          <w:rFonts w:ascii="仿宋" w:hAnsi="仿宋" w:eastAsia="仿宋" w:cs="Times New Roman"/>
          <w:color w:val="auto"/>
          <w:highlight w:val="none"/>
        </w:rPr>
      </w:pPr>
    </w:p>
    <w:p>
      <w:pPr>
        <w:shd w:val="clear" w:color="000000" w:fill="auto"/>
        <w:adjustRightInd w:val="0"/>
        <w:snapToGrid w:val="0"/>
        <w:spacing w:line="400" w:lineRule="exact"/>
        <w:ind w:firstLine="420" w:firstLineChars="200"/>
        <w:rPr>
          <w:rFonts w:ascii="仿宋" w:hAnsi="仿宋" w:eastAsia="仿宋" w:cs="Times New Roman"/>
          <w:color w:val="auto"/>
          <w:highlight w:val="none"/>
        </w:rPr>
      </w:pPr>
      <w:r>
        <w:rPr>
          <w:rFonts w:ascii="仿宋" w:hAnsi="仿宋" w:eastAsia="仿宋" w:cs="仿宋"/>
          <w:color w:val="auto"/>
          <w:highlight w:val="none"/>
        </w:rPr>
        <w:t xml:space="preserve">6.2  </w:t>
      </w:r>
      <w:r>
        <w:rPr>
          <w:rFonts w:hint="eastAsia" w:ascii="仿宋" w:hAnsi="仿宋" w:eastAsia="仿宋" w:cs="仿宋"/>
          <w:color w:val="auto"/>
          <w:kern w:val="0"/>
          <w:highlight w:val="none"/>
          <w:lang w:val="zh-CN"/>
        </w:rPr>
        <w:t>本质量保修书，由合同双方当事人在承包人向发包人提交竣工验收申请报告时签署，</w:t>
      </w:r>
      <w:r>
        <w:rPr>
          <w:rFonts w:ascii="仿宋" w:hAnsi="仿宋" w:eastAsia="仿宋" w:cs="仿宋"/>
          <w:color w:val="auto"/>
          <w:kern w:val="0"/>
          <w:highlight w:val="none"/>
        </w:rPr>
        <w:t xml:space="preserve"> </w:t>
      </w:r>
      <w:r>
        <w:rPr>
          <w:rFonts w:hint="eastAsia" w:ascii="仿宋" w:hAnsi="仿宋" w:eastAsia="仿宋" w:cs="仿宋"/>
          <w:color w:val="auto"/>
          <w:kern w:val="0"/>
          <w:highlight w:val="none"/>
          <w:lang w:val="zh-CN"/>
        </w:rPr>
        <w:t>作为本合同的附件</w:t>
      </w:r>
      <w:r>
        <w:rPr>
          <w:rFonts w:hint="eastAsia" w:ascii="仿宋" w:hAnsi="仿宋" w:eastAsia="仿宋" w:cs="仿宋"/>
          <w:color w:val="auto"/>
          <w:highlight w:val="none"/>
        </w:rPr>
        <w:t>。</w:t>
      </w:r>
    </w:p>
    <w:p>
      <w:pPr>
        <w:shd w:val="clear" w:color="000000" w:fill="auto"/>
        <w:adjustRightInd w:val="0"/>
        <w:snapToGrid w:val="0"/>
        <w:spacing w:line="400" w:lineRule="exact"/>
        <w:ind w:firstLine="420" w:firstLineChars="200"/>
        <w:rPr>
          <w:rFonts w:ascii="仿宋" w:hAnsi="仿宋" w:eastAsia="仿宋" w:cs="Times New Roman"/>
          <w:color w:val="auto"/>
          <w:highlight w:val="none"/>
        </w:rPr>
      </w:pPr>
      <w:r>
        <w:rPr>
          <w:rFonts w:ascii="仿宋" w:hAnsi="仿宋" w:eastAsia="仿宋" w:cs="仿宋"/>
          <w:color w:val="auto"/>
          <w:highlight w:val="none"/>
        </w:rPr>
        <w:t xml:space="preserve">6.3  </w:t>
      </w:r>
      <w:r>
        <w:rPr>
          <w:rFonts w:hint="eastAsia" w:ascii="仿宋" w:hAnsi="仿宋" w:eastAsia="仿宋" w:cs="仿宋"/>
          <w:color w:val="auto"/>
          <w:kern w:val="0"/>
          <w:highlight w:val="none"/>
          <w:lang w:val="zh-CN"/>
        </w:rPr>
        <w:t>本质量保修书，自合同双方当事人签署之日起生效，至质量保修期满后失效。</w:t>
      </w:r>
    </w:p>
    <w:p>
      <w:pPr>
        <w:shd w:val="clear" w:color="000000" w:fill="auto"/>
        <w:adjustRightInd w:val="0"/>
        <w:snapToGrid w:val="0"/>
        <w:spacing w:line="400" w:lineRule="exact"/>
        <w:ind w:firstLine="420" w:firstLineChars="200"/>
        <w:rPr>
          <w:rFonts w:ascii="仿宋" w:hAnsi="仿宋" w:eastAsia="仿宋" w:cs="Times New Roman"/>
          <w:color w:val="auto"/>
          <w:highlight w:val="none"/>
        </w:rPr>
      </w:pPr>
    </w:p>
    <w:p>
      <w:pPr>
        <w:shd w:val="clear" w:color="000000" w:fill="auto"/>
        <w:adjustRightInd w:val="0"/>
        <w:snapToGrid w:val="0"/>
        <w:spacing w:line="400" w:lineRule="exact"/>
        <w:ind w:firstLine="210" w:firstLineChars="100"/>
        <w:rPr>
          <w:rFonts w:ascii="仿宋" w:hAnsi="仿宋" w:eastAsia="仿宋" w:cs="Times New Roman"/>
          <w:color w:val="auto"/>
          <w:highlight w:val="none"/>
        </w:rPr>
      </w:pPr>
      <w:r>
        <w:rPr>
          <w:rFonts w:hint="eastAsia" w:ascii="仿宋" w:hAnsi="仿宋" w:eastAsia="仿宋" w:cs="仿宋"/>
          <w:color w:val="auto"/>
          <w:highlight w:val="none"/>
        </w:rPr>
        <w:t>发包人：</w:t>
      </w:r>
      <w:r>
        <w:rPr>
          <w:rFonts w:hint="eastAsia" w:ascii="仿宋" w:hAnsi="仿宋" w:eastAsia="仿宋" w:cs="仿宋"/>
          <w:color w:val="auto"/>
          <w:highlight w:val="none"/>
          <w:lang w:eastAsia="zh-CN"/>
        </w:rPr>
        <w:t>广州番禺职业技术学院</w:t>
      </w:r>
      <w:r>
        <w:rPr>
          <w:rFonts w:hint="eastAsia" w:ascii="仿宋" w:hAnsi="仿宋" w:eastAsia="仿宋" w:cs="仿宋"/>
          <w:color w:val="auto"/>
          <w:highlight w:val="none"/>
        </w:rPr>
        <w:t xml:space="preserve">   </w:t>
      </w:r>
      <w:r>
        <w:rPr>
          <w:rFonts w:ascii="仿宋" w:hAnsi="仿宋" w:eastAsia="仿宋" w:cs="仿宋"/>
          <w:color w:val="auto"/>
          <w:highlight w:val="none"/>
        </w:rPr>
        <w:t xml:space="preserve">   </w:t>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rPr>
        <w:t xml:space="preserve"> 承包人：</w:t>
      </w:r>
    </w:p>
    <w:p>
      <w:pPr>
        <w:shd w:val="clear" w:color="000000" w:fill="auto"/>
        <w:adjustRightInd w:val="0"/>
        <w:snapToGrid w:val="0"/>
        <w:spacing w:line="400" w:lineRule="exact"/>
        <w:ind w:firstLine="420" w:firstLineChars="200"/>
        <w:rPr>
          <w:rFonts w:ascii="仿宋" w:hAnsi="仿宋" w:eastAsia="仿宋" w:cs="Times New Roman"/>
          <w:color w:val="auto"/>
          <w:highlight w:val="none"/>
        </w:rPr>
      </w:pPr>
      <w:r>
        <w:rPr>
          <w:rFonts w:hint="eastAsia" w:ascii="仿宋" w:hAnsi="仿宋" w:eastAsia="仿宋" w:cs="仿宋"/>
          <w:color w:val="auto"/>
          <w:highlight w:val="none"/>
        </w:rPr>
        <w:t>法定代表人：（签章）</w:t>
      </w:r>
      <w:r>
        <w:rPr>
          <w:rFonts w:ascii="仿宋" w:hAnsi="仿宋" w:eastAsia="仿宋" w:cs="仿宋"/>
          <w:color w:val="auto"/>
          <w:highlight w:val="none"/>
        </w:rPr>
        <w:t xml:space="preserve">                     </w:t>
      </w:r>
      <w:r>
        <w:rPr>
          <w:rFonts w:hint="eastAsia" w:ascii="仿宋" w:hAnsi="仿宋" w:eastAsia="仿宋" w:cs="仿宋"/>
          <w:color w:val="auto"/>
          <w:highlight w:val="none"/>
        </w:rPr>
        <w:t>法定代表人：（签章）</w:t>
      </w:r>
    </w:p>
    <w:p>
      <w:pPr>
        <w:shd w:val="clear" w:color="000000" w:fill="auto"/>
        <w:spacing w:line="400" w:lineRule="exact"/>
        <w:ind w:firstLine="420" w:firstLineChars="200"/>
        <w:jc w:val="left"/>
        <w:rPr>
          <w:rFonts w:ascii="仿宋" w:hAnsi="仿宋" w:eastAsia="仿宋" w:cs="仿宋"/>
          <w:color w:val="auto"/>
          <w:highlight w:val="none"/>
          <w:u w:val="single"/>
        </w:rPr>
      </w:pPr>
      <w:r>
        <w:rPr>
          <w:rFonts w:hint="eastAsia" w:ascii="仿宋" w:hAnsi="仿宋" w:eastAsia="仿宋" w:cs="仿宋"/>
          <w:color w:val="auto"/>
          <w:highlight w:val="none"/>
        </w:rPr>
        <w:t>联系电话：</w:t>
      </w:r>
      <w:r>
        <w:rPr>
          <w:rFonts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 xml:space="preserve">             </w:t>
      </w:r>
      <w:r>
        <w:rPr>
          <w:rFonts w:ascii="仿宋" w:hAnsi="仿宋" w:eastAsia="仿宋" w:cs="仿宋"/>
          <w:color w:val="auto"/>
          <w:highlight w:val="none"/>
          <w:u w:val="single"/>
        </w:rPr>
        <w:t xml:space="preserve">   </w:t>
      </w:r>
      <w:r>
        <w:rPr>
          <w:rFonts w:ascii="仿宋" w:hAnsi="仿宋" w:eastAsia="仿宋" w:cs="仿宋"/>
          <w:color w:val="auto"/>
          <w:highlight w:val="none"/>
        </w:rPr>
        <w:t xml:space="preserve">             </w:t>
      </w:r>
      <w:r>
        <w:rPr>
          <w:rFonts w:hint="eastAsia" w:ascii="仿宋" w:hAnsi="仿宋" w:eastAsia="仿宋" w:cs="仿宋"/>
          <w:color w:val="auto"/>
          <w:highlight w:val="none"/>
        </w:rPr>
        <w:t>联系电话：</w:t>
      </w:r>
      <w:r>
        <w:rPr>
          <w:rFonts w:ascii="仿宋" w:hAnsi="仿宋" w:eastAsia="仿宋" w:cs="仿宋"/>
          <w:color w:val="auto"/>
          <w:highlight w:val="none"/>
          <w:u w:val="single"/>
        </w:rPr>
        <w:t xml:space="preserve">  </w:t>
      </w:r>
    </w:p>
    <w:p>
      <w:pPr>
        <w:shd w:val="clear" w:color="000000" w:fill="auto"/>
        <w:spacing w:line="400" w:lineRule="exact"/>
        <w:ind w:firstLine="420" w:firstLineChars="200"/>
        <w:rPr>
          <w:rFonts w:ascii="仿宋" w:hAnsi="仿宋" w:eastAsia="仿宋" w:cs="Times New Roman"/>
          <w:color w:val="auto"/>
          <w:highlight w:val="none"/>
        </w:rPr>
      </w:pPr>
      <w:r>
        <w:rPr>
          <w:rFonts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 xml:space="preserve">    </w:t>
      </w:r>
      <w:r>
        <w:rPr>
          <w:rFonts w:ascii="仿宋" w:hAnsi="仿宋" w:eastAsia="仿宋" w:cs="仿宋"/>
          <w:color w:val="auto"/>
          <w:highlight w:val="none"/>
          <w:u w:val="single"/>
        </w:rPr>
        <w:t xml:space="preserve">   </w:t>
      </w:r>
      <w:r>
        <w:rPr>
          <w:rFonts w:hint="eastAsia" w:ascii="仿宋" w:hAnsi="仿宋" w:eastAsia="仿宋" w:cs="仿宋"/>
          <w:color w:val="auto"/>
          <w:highlight w:val="none"/>
        </w:rPr>
        <w:t>年</w:t>
      </w:r>
      <w:r>
        <w:rPr>
          <w:rFonts w:ascii="仿宋" w:hAnsi="仿宋" w:eastAsia="仿宋" w:cs="仿宋"/>
          <w:color w:val="auto"/>
          <w:highlight w:val="none"/>
          <w:u w:val="single"/>
        </w:rPr>
        <w:t xml:space="preserve"> </w:t>
      </w:r>
      <w:r>
        <w:rPr>
          <w:rFonts w:hint="eastAsia" w:ascii="仿宋" w:hAnsi="仿宋" w:eastAsia="仿宋" w:cs="仿宋"/>
          <w:color w:val="auto"/>
          <w:highlight w:val="none"/>
          <w:u w:val="single"/>
        </w:rPr>
        <w:t xml:space="preserve">  </w:t>
      </w:r>
      <w:r>
        <w:rPr>
          <w:rFonts w:ascii="仿宋" w:hAnsi="仿宋" w:eastAsia="仿宋" w:cs="仿宋"/>
          <w:color w:val="auto"/>
          <w:highlight w:val="none"/>
          <w:u w:val="single"/>
        </w:rPr>
        <w:t xml:space="preserve"> </w:t>
      </w:r>
      <w:r>
        <w:rPr>
          <w:rFonts w:hint="eastAsia" w:ascii="仿宋" w:hAnsi="仿宋" w:eastAsia="仿宋" w:cs="仿宋"/>
          <w:color w:val="auto"/>
          <w:highlight w:val="none"/>
        </w:rPr>
        <w:t>月</w:t>
      </w:r>
      <w:r>
        <w:rPr>
          <w:rFonts w:ascii="仿宋" w:hAnsi="仿宋" w:eastAsia="仿宋" w:cs="仿宋"/>
          <w:color w:val="auto"/>
          <w:highlight w:val="none"/>
          <w:u w:val="single"/>
        </w:rPr>
        <w:t xml:space="preserve">  </w:t>
      </w:r>
      <w:r>
        <w:rPr>
          <w:rFonts w:hint="eastAsia" w:ascii="仿宋" w:hAnsi="仿宋" w:eastAsia="仿宋" w:cs="仿宋"/>
          <w:color w:val="auto"/>
          <w:highlight w:val="none"/>
          <w:u w:val="single"/>
        </w:rPr>
        <w:t xml:space="preserve">  </w:t>
      </w:r>
      <w:r>
        <w:rPr>
          <w:rFonts w:ascii="仿宋" w:hAnsi="仿宋" w:eastAsia="仿宋" w:cs="仿宋"/>
          <w:color w:val="auto"/>
          <w:highlight w:val="none"/>
          <w:u w:val="single"/>
        </w:rPr>
        <w:t xml:space="preserve"> </w:t>
      </w:r>
      <w:r>
        <w:rPr>
          <w:rFonts w:hint="eastAsia" w:ascii="仿宋" w:hAnsi="仿宋" w:eastAsia="仿宋" w:cs="仿宋"/>
          <w:color w:val="auto"/>
          <w:highlight w:val="none"/>
        </w:rPr>
        <w:t>日</w:t>
      </w:r>
      <w:r>
        <w:rPr>
          <w:rFonts w:ascii="仿宋" w:hAnsi="仿宋" w:eastAsia="仿宋" w:cs="仿宋"/>
          <w:color w:val="auto"/>
          <w:highlight w:val="none"/>
        </w:rPr>
        <w:t xml:space="preserve">               </w:t>
      </w:r>
      <w:r>
        <w:rPr>
          <w:rFonts w:ascii="仿宋" w:hAnsi="仿宋" w:eastAsia="仿宋" w:cs="仿宋"/>
          <w:color w:val="auto"/>
          <w:highlight w:val="none"/>
          <w:u w:val="single"/>
        </w:rPr>
        <w:t xml:space="preserve">          </w:t>
      </w:r>
      <w:r>
        <w:rPr>
          <w:rFonts w:hint="eastAsia" w:ascii="仿宋" w:hAnsi="仿宋" w:eastAsia="仿宋" w:cs="仿宋"/>
          <w:color w:val="auto"/>
          <w:highlight w:val="none"/>
        </w:rPr>
        <w:t>年</w:t>
      </w:r>
      <w:r>
        <w:rPr>
          <w:rFonts w:ascii="仿宋" w:hAnsi="仿宋" w:eastAsia="仿宋" w:cs="仿宋"/>
          <w:color w:val="auto"/>
          <w:highlight w:val="none"/>
          <w:u w:val="single"/>
        </w:rPr>
        <w:t xml:space="preserve">     </w:t>
      </w:r>
      <w:r>
        <w:rPr>
          <w:rFonts w:hint="eastAsia" w:ascii="仿宋" w:hAnsi="仿宋" w:eastAsia="仿宋" w:cs="仿宋"/>
          <w:color w:val="auto"/>
          <w:highlight w:val="none"/>
        </w:rPr>
        <w:t>月</w:t>
      </w:r>
      <w:r>
        <w:rPr>
          <w:rFonts w:ascii="仿宋" w:hAnsi="仿宋" w:eastAsia="仿宋" w:cs="仿宋"/>
          <w:color w:val="auto"/>
          <w:highlight w:val="none"/>
          <w:u w:val="single"/>
        </w:rPr>
        <w:t xml:space="preserve">    </w:t>
      </w:r>
    </w:p>
    <w:p>
      <w:pPr>
        <w:shd w:val="clear" w:color="000000" w:fill="auto"/>
        <w:spacing w:line="400" w:lineRule="exact"/>
        <w:outlineLvl w:val="0"/>
        <w:rPr>
          <w:rFonts w:ascii="仿宋" w:hAnsi="仿宋" w:eastAsia="仿宋" w:cs="Times New Roman"/>
          <w:color w:val="auto"/>
          <w:kern w:val="0"/>
          <w:highlight w:val="none"/>
        </w:rPr>
      </w:pPr>
      <w:r>
        <w:rPr>
          <w:rFonts w:ascii="仿宋" w:hAnsi="仿宋" w:eastAsia="仿宋" w:cs="Times New Roman"/>
          <w:color w:val="auto"/>
          <w:kern w:val="0"/>
          <w:highlight w:val="none"/>
        </w:rPr>
        <w:br w:type="page"/>
      </w:r>
      <w:bookmarkStart w:id="732" w:name="_Toc10624986"/>
      <w:bookmarkStart w:id="733" w:name="_Toc469384142"/>
      <w:bookmarkStart w:id="734" w:name="_Toc2921"/>
      <w:bookmarkStart w:id="735" w:name="_Toc266892926"/>
    </w:p>
    <w:bookmarkEnd w:id="732"/>
    <w:bookmarkEnd w:id="733"/>
    <w:bookmarkEnd w:id="734"/>
    <w:bookmarkEnd w:id="735"/>
    <w:p>
      <w:pPr>
        <w:spacing w:line="360" w:lineRule="auto"/>
        <w:outlineLvl w:val="1"/>
        <w:rPr>
          <w:rFonts w:hint="eastAsia" w:ascii="仿宋" w:hAnsi="仿宋" w:eastAsia="仿宋" w:cs="Times New Roman"/>
          <w:b/>
          <w:bCs/>
          <w:sz w:val="24"/>
          <w:szCs w:val="24"/>
          <w:lang w:val="en-US" w:eastAsia="zh-CN"/>
        </w:rPr>
      </w:pPr>
      <w:r>
        <w:rPr>
          <w:rFonts w:hint="eastAsia" w:ascii="仿宋" w:hAnsi="仿宋" w:eastAsia="仿宋" w:cs="仿宋"/>
          <w:b/>
          <w:bCs/>
          <w:sz w:val="24"/>
          <w:szCs w:val="24"/>
        </w:rPr>
        <w:t>附件</w:t>
      </w:r>
      <w:r>
        <w:rPr>
          <w:rFonts w:hint="eastAsia" w:ascii="仿宋" w:hAnsi="仿宋" w:eastAsia="仿宋" w:cs="仿宋"/>
          <w:b/>
          <w:bCs/>
          <w:sz w:val="24"/>
          <w:szCs w:val="24"/>
          <w:lang w:val="en-US" w:eastAsia="zh-CN"/>
        </w:rPr>
        <w:t>三</w:t>
      </w:r>
    </w:p>
    <w:p>
      <w:pPr>
        <w:spacing w:line="360" w:lineRule="auto"/>
        <w:jc w:val="center"/>
        <w:rPr>
          <w:rFonts w:ascii="仿宋" w:hAnsi="仿宋" w:eastAsia="仿宋" w:cs="Times New Roman"/>
          <w:b/>
          <w:bCs/>
          <w:sz w:val="36"/>
          <w:szCs w:val="36"/>
        </w:rPr>
      </w:pPr>
      <w:r>
        <w:rPr>
          <w:rFonts w:hint="eastAsia" w:ascii="仿宋" w:hAnsi="仿宋" w:eastAsia="仿宋" w:cs="仿宋"/>
          <w:b/>
          <w:bCs/>
          <w:sz w:val="36"/>
          <w:szCs w:val="36"/>
        </w:rPr>
        <w:t>廉</w:t>
      </w:r>
      <w:r>
        <w:rPr>
          <w:rFonts w:ascii="仿宋" w:hAnsi="仿宋" w:eastAsia="仿宋" w:cs="仿宋"/>
          <w:b/>
          <w:bCs/>
          <w:sz w:val="36"/>
          <w:szCs w:val="36"/>
        </w:rPr>
        <w:t xml:space="preserve"> </w:t>
      </w:r>
      <w:r>
        <w:rPr>
          <w:rFonts w:hint="eastAsia" w:ascii="仿宋" w:hAnsi="仿宋" w:eastAsia="仿宋" w:cs="仿宋"/>
          <w:b/>
          <w:bCs/>
          <w:sz w:val="36"/>
          <w:szCs w:val="36"/>
        </w:rPr>
        <w:t>政</w:t>
      </w:r>
      <w:r>
        <w:rPr>
          <w:rFonts w:ascii="仿宋" w:hAnsi="仿宋" w:eastAsia="仿宋" w:cs="仿宋"/>
          <w:b/>
          <w:bCs/>
          <w:sz w:val="36"/>
          <w:szCs w:val="36"/>
        </w:rPr>
        <w:t xml:space="preserve"> </w:t>
      </w:r>
      <w:r>
        <w:rPr>
          <w:rFonts w:hint="eastAsia" w:ascii="仿宋" w:hAnsi="仿宋" w:eastAsia="仿宋" w:cs="仿宋"/>
          <w:b/>
          <w:bCs/>
          <w:sz w:val="36"/>
          <w:szCs w:val="36"/>
        </w:rPr>
        <w:t>合</w:t>
      </w:r>
      <w:r>
        <w:rPr>
          <w:rFonts w:ascii="仿宋" w:hAnsi="仿宋" w:eastAsia="仿宋" w:cs="仿宋"/>
          <w:b/>
          <w:bCs/>
          <w:sz w:val="36"/>
          <w:szCs w:val="36"/>
        </w:rPr>
        <w:t xml:space="preserve"> </w:t>
      </w:r>
      <w:r>
        <w:rPr>
          <w:rFonts w:hint="eastAsia" w:ascii="仿宋" w:hAnsi="仿宋" w:eastAsia="仿宋" w:cs="仿宋"/>
          <w:b/>
          <w:bCs/>
          <w:sz w:val="36"/>
          <w:szCs w:val="36"/>
        </w:rPr>
        <w:t>同</w:t>
      </w:r>
    </w:p>
    <w:p>
      <w:pPr>
        <w:spacing w:line="360" w:lineRule="auto"/>
        <w:rPr>
          <w:rFonts w:ascii="仿宋" w:hAnsi="仿宋" w:eastAsia="仿宋" w:cs="Times New Roman"/>
          <w:sz w:val="24"/>
          <w:szCs w:val="24"/>
        </w:rPr>
      </w:pPr>
    </w:p>
    <w:p>
      <w:pPr>
        <w:spacing w:line="360" w:lineRule="auto"/>
        <w:rPr>
          <w:rFonts w:ascii="仿宋" w:hAnsi="仿宋" w:eastAsia="仿宋" w:cs="仿宋"/>
          <w:sz w:val="24"/>
          <w:szCs w:val="24"/>
          <w:u w:val="single"/>
        </w:rPr>
      </w:pPr>
      <w:r>
        <w:rPr>
          <w:rFonts w:hint="eastAsia" w:ascii="仿宋" w:hAnsi="仿宋" w:eastAsia="仿宋" w:cs="仿宋"/>
          <w:sz w:val="24"/>
          <w:szCs w:val="24"/>
        </w:rPr>
        <w:t>发包人：（全称）</w:t>
      </w:r>
      <w:r>
        <w:rPr>
          <w:rFonts w:ascii="仿宋" w:hAnsi="仿宋" w:eastAsia="仿宋" w:cs="仿宋"/>
          <w:sz w:val="24"/>
          <w:szCs w:val="24"/>
          <w:u w:val="single"/>
        </w:rPr>
        <w:t xml:space="preserve">                                    </w:t>
      </w:r>
    </w:p>
    <w:p>
      <w:pPr>
        <w:spacing w:line="360" w:lineRule="auto"/>
        <w:rPr>
          <w:rFonts w:ascii="仿宋" w:hAnsi="仿宋" w:eastAsia="仿宋" w:cs="仿宋"/>
          <w:sz w:val="24"/>
          <w:szCs w:val="24"/>
          <w:u w:val="single"/>
        </w:rPr>
      </w:pPr>
      <w:r>
        <w:rPr>
          <w:rFonts w:hint="eastAsia" w:ascii="仿宋" w:hAnsi="仿宋" w:eastAsia="仿宋" w:cs="仿宋"/>
          <w:sz w:val="24"/>
          <w:szCs w:val="24"/>
        </w:rPr>
        <w:t>承包人：（全称）</w:t>
      </w:r>
      <w:r>
        <w:rPr>
          <w:rFonts w:ascii="仿宋" w:hAnsi="仿宋" w:eastAsia="仿宋" w:cs="仿宋"/>
          <w:sz w:val="24"/>
          <w:szCs w:val="24"/>
          <w:u w:val="single"/>
        </w:rPr>
        <w:t xml:space="preserve">                                    </w:t>
      </w:r>
    </w:p>
    <w:p>
      <w:pPr>
        <w:spacing w:line="360" w:lineRule="auto"/>
        <w:rPr>
          <w:rFonts w:ascii="仿宋" w:hAnsi="仿宋" w:eastAsia="仿宋" w:cs="仿宋"/>
          <w:sz w:val="24"/>
          <w:szCs w:val="24"/>
        </w:rPr>
      </w:pPr>
      <w:r>
        <w:rPr>
          <w:rFonts w:ascii="仿宋" w:hAnsi="仿宋" w:eastAsia="仿宋" w:cs="仿宋"/>
          <w:sz w:val="24"/>
          <w:szCs w:val="24"/>
        </w:rPr>
        <w:t xml:space="preserve">    </w:t>
      </w:r>
    </w:p>
    <w:p>
      <w:pPr>
        <w:spacing w:line="360" w:lineRule="auto"/>
        <w:ind w:firstLine="480" w:firstLineChars="200"/>
        <w:jc w:val="left"/>
        <w:rPr>
          <w:rFonts w:ascii="仿宋" w:hAnsi="仿宋" w:eastAsia="仿宋" w:cs="Times New Roman"/>
          <w:sz w:val="24"/>
          <w:szCs w:val="24"/>
        </w:rPr>
      </w:pPr>
      <w:r>
        <w:rPr>
          <w:rFonts w:hint="eastAsia" w:ascii="仿宋" w:hAnsi="仿宋" w:eastAsia="仿宋" w:cs="仿宋"/>
          <w:kern w:val="0"/>
          <w:sz w:val="24"/>
          <w:szCs w:val="24"/>
          <w:lang w:val="zh-CN"/>
        </w:rPr>
        <w:t>根据国家、省有关廉政建设的规定，为做好合同工程的廉政建设，保证工程质量与施工安</w:t>
      </w:r>
      <w:r>
        <w:rPr>
          <w:rFonts w:ascii="仿宋" w:hAnsi="仿宋" w:eastAsia="仿宋" w:cs="仿宋"/>
          <w:kern w:val="0"/>
          <w:sz w:val="24"/>
          <w:szCs w:val="24"/>
        </w:rPr>
        <w:t xml:space="preserve"> </w:t>
      </w:r>
      <w:r>
        <w:rPr>
          <w:rFonts w:hint="eastAsia" w:ascii="仿宋" w:hAnsi="仿宋" w:eastAsia="仿宋" w:cs="仿宋"/>
          <w:kern w:val="0"/>
          <w:sz w:val="24"/>
          <w:szCs w:val="24"/>
          <w:lang w:val="zh-CN"/>
        </w:rPr>
        <w:t>全，提高建设资金的有效使用和投资效益，合同双方当事人就加强合同工程的廉政建设，订立</w:t>
      </w:r>
      <w:r>
        <w:rPr>
          <w:rFonts w:ascii="仿宋" w:hAnsi="仿宋" w:eastAsia="仿宋" w:cs="仿宋"/>
          <w:kern w:val="0"/>
          <w:sz w:val="24"/>
          <w:szCs w:val="24"/>
        </w:rPr>
        <w:t xml:space="preserve"> </w:t>
      </w:r>
      <w:r>
        <w:rPr>
          <w:rFonts w:hint="eastAsia" w:ascii="仿宋" w:hAnsi="仿宋" w:eastAsia="仿宋" w:cs="仿宋"/>
          <w:kern w:val="0"/>
          <w:sz w:val="24"/>
          <w:szCs w:val="24"/>
          <w:lang w:val="zh-CN"/>
        </w:rPr>
        <w:t>本合同</w:t>
      </w:r>
      <w:r>
        <w:rPr>
          <w:rFonts w:hint="eastAsia" w:ascii="仿宋" w:hAnsi="仿宋" w:eastAsia="仿宋" w:cs="仿宋"/>
          <w:sz w:val="24"/>
          <w:szCs w:val="24"/>
        </w:rPr>
        <w:t>。</w:t>
      </w:r>
    </w:p>
    <w:p>
      <w:pPr>
        <w:spacing w:line="360" w:lineRule="auto"/>
        <w:ind w:firstLine="562" w:firstLineChars="200"/>
        <w:jc w:val="left"/>
        <w:rPr>
          <w:rFonts w:ascii="仿宋" w:hAnsi="仿宋" w:eastAsia="仿宋" w:cs="Times New Roman"/>
          <w:b/>
          <w:bCs/>
          <w:sz w:val="28"/>
          <w:szCs w:val="28"/>
        </w:rPr>
      </w:pPr>
      <w:r>
        <w:rPr>
          <w:rFonts w:ascii="仿宋" w:hAnsi="仿宋" w:eastAsia="仿宋" w:cs="仿宋"/>
          <w:b/>
          <w:bCs/>
          <w:sz w:val="28"/>
          <w:szCs w:val="28"/>
        </w:rPr>
        <w:t xml:space="preserve">1  </w:t>
      </w:r>
      <w:r>
        <w:rPr>
          <w:rFonts w:hint="eastAsia" w:ascii="仿宋" w:hAnsi="仿宋" w:eastAsia="仿宋" w:cs="仿宋"/>
          <w:b/>
          <w:bCs/>
          <w:sz w:val="28"/>
          <w:szCs w:val="28"/>
        </w:rPr>
        <w:t>双方权利和义务</w:t>
      </w:r>
    </w:p>
    <w:p>
      <w:pPr>
        <w:spacing w:line="360" w:lineRule="auto"/>
        <w:ind w:firstLine="480" w:firstLineChars="200"/>
        <w:jc w:val="left"/>
        <w:rPr>
          <w:rFonts w:ascii="仿宋" w:hAnsi="仿宋" w:eastAsia="仿宋" w:cs="Times New Roman"/>
          <w:sz w:val="24"/>
          <w:szCs w:val="24"/>
        </w:rPr>
      </w:pPr>
      <w:r>
        <w:rPr>
          <w:rFonts w:ascii="仿宋" w:hAnsi="仿宋" w:eastAsia="仿宋" w:cs="仿宋"/>
          <w:sz w:val="24"/>
          <w:szCs w:val="24"/>
        </w:rPr>
        <w:t xml:space="preserve">1.1  </w:t>
      </w:r>
      <w:r>
        <w:rPr>
          <w:rFonts w:hint="eastAsia" w:ascii="仿宋" w:hAnsi="仿宋" w:eastAsia="仿宋" w:cs="仿宋"/>
          <w:sz w:val="24"/>
          <w:szCs w:val="24"/>
        </w:rPr>
        <w:t>严格遵守国家、省有关法律法规的规定。</w:t>
      </w:r>
    </w:p>
    <w:p>
      <w:pPr>
        <w:spacing w:line="360" w:lineRule="auto"/>
        <w:ind w:firstLine="480" w:firstLineChars="200"/>
        <w:rPr>
          <w:rFonts w:ascii="仿宋" w:hAnsi="仿宋" w:eastAsia="仿宋" w:cs="Times New Roman"/>
          <w:sz w:val="24"/>
          <w:szCs w:val="24"/>
        </w:rPr>
      </w:pPr>
      <w:r>
        <w:rPr>
          <w:rFonts w:ascii="仿宋" w:hAnsi="仿宋" w:eastAsia="仿宋" w:cs="仿宋"/>
          <w:sz w:val="24"/>
          <w:szCs w:val="24"/>
        </w:rPr>
        <w:t xml:space="preserve">1.2  </w:t>
      </w:r>
      <w:r>
        <w:rPr>
          <w:rFonts w:hint="eastAsia" w:ascii="仿宋" w:hAnsi="仿宋" w:eastAsia="仿宋" w:cs="仿宋"/>
          <w:sz w:val="24"/>
          <w:szCs w:val="24"/>
        </w:rPr>
        <w:t>严格执行合同工程一切合同文件，自觉按合同办事。</w:t>
      </w:r>
    </w:p>
    <w:p>
      <w:pPr>
        <w:spacing w:line="360" w:lineRule="auto"/>
        <w:ind w:firstLine="480" w:firstLineChars="200"/>
        <w:rPr>
          <w:rFonts w:ascii="仿宋" w:hAnsi="仿宋" w:eastAsia="仿宋" w:cs="Times New Roman"/>
          <w:sz w:val="24"/>
          <w:szCs w:val="24"/>
        </w:rPr>
      </w:pPr>
      <w:r>
        <w:rPr>
          <w:rFonts w:ascii="仿宋" w:hAnsi="仿宋" w:eastAsia="仿宋" w:cs="仿宋"/>
          <w:sz w:val="24"/>
          <w:szCs w:val="24"/>
        </w:rPr>
        <w:t xml:space="preserve">1.3  </w:t>
      </w:r>
      <w:r>
        <w:rPr>
          <w:rFonts w:hint="eastAsia" w:ascii="仿宋" w:hAnsi="仿宋" w:eastAsia="仿宋" w:cs="仿宋"/>
          <w:kern w:val="0"/>
          <w:sz w:val="24"/>
          <w:szCs w:val="24"/>
          <w:lang w:val="zh-CN"/>
        </w:rPr>
        <w:t>合同双方当事人的业务活动应坚持公平、公开、公正和诚信的原则（法律认定的商业</w:t>
      </w:r>
      <w:r>
        <w:rPr>
          <w:rFonts w:ascii="仿宋" w:hAnsi="仿宋" w:eastAsia="仿宋" w:cs="仿宋"/>
          <w:kern w:val="0"/>
          <w:sz w:val="24"/>
          <w:szCs w:val="24"/>
        </w:rPr>
        <w:t xml:space="preserve"> </w:t>
      </w:r>
      <w:r>
        <w:rPr>
          <w:rFonts w:hint="eastAsia" w:ascii="仿宋" w:hAnsi="仿宋" w:eastAsia="仿宋" w:cs="仿宋"/>
          <w:kern w:val="0"/>
          <w:sz w:val="24"/>
          <w:szCs w:val="24"/>
          <w:lang w:val="zh-CN"/>
        </w:rPr>
        <w:t>秘密和合同文件另有规定除外），不得损害国家和集体利益，不得违反工程建设管理规章制度</w:t>
      </w:r>
      <w:r>
        <w:rPr>
          <w:rFonts w:hint="eastAsia" w:ascii="仿宋" w:hAnsi="仿宋" w:eastAsia="仿宋" w:cs="仿宋"/>
          <w:sz w:val="24"/>
          <w:szCs w:val="24"/>
        </w:rPr>
        <w:t>。</w:t>
      </w:r>
    </w:p>
    <w:p>
      <w:pPr>
        <w:spacing w:line="360" w:lineRule="auto"/>
        <w:ind w:firstLine="480" w:firstLineChars="200"/>
        <w:rPr>
          <w:rFonts w:ascii="仿宋" w:hAnsi="仿宋" w:eastAsia="仿宋" w:cs="Times New Roman"/>
          <w:sz w:val="24"/>
          <w:szCs w:val="24"/>
        </w:rPr>
      </w:pPr>
      <w:r>
        <w:rPr>
          <w:rFonts w:ascii="仿宋" w:hAnsi="仿宋" w:eastAsia="仿宋" w:cs="仿宋"/>
          <w:sz w:val="24"/>
          <w:szCs w:val="24"/>
        </w:rPr>
        <w:t xml:space="preserve">1.4  </w:t>
      </w:r>
      <w:r>
        <w:rPr>
          <w:rFonts w:hint="eastAsia" w:ascii="仿宋" w:hAnsi="仿宋" w:eastAsia="仿宋" w:cs="仿宋"/>
          <w:sz w:val="24"/>
          <w:szCs w:val="24"/>
        </w:rPr>
        <w:t>建立健全廉政制度，开展廉政教育，设立廉政告示牌，公布举报电话，监督并认真查处违法违纪行为。</w:t>
      </w:r>
    </w:p>
    <w:p>
      <w:pPr>
        <w:spacing w:line="360" w:lineRule="auto"/>
        <w:ind w:firstLine="480" w:firstLineChars="200"/>
        <w:rPr>
          <w:rFonts w:ascii="仿宋" w:hAnsi="仿宋" w:eastAsia="仿宋" w:cs="Times New Roman"/>
          <w:sz w:val="24"/>
          <w:szCs w:val="24"/>
        </w:rPr>
      </w:pPr>
      <w:r>
        <w:rPr>
          <w:rFonts w:ascii="仿宋" w:hAnsi="仿宋" w:eastAsia="仿宋" w:cs="仿宋"/>
          <w:sz w:val="24"/>
          <w:szCs w:val="24"/>
        </w:rPr>
        <w:t xml:space="preserve">1.5  </w:t>
      </w:r>
      <w:r>
        <w:rPr>
          <w:rFonts w:hint="eastAsia" w:ascii="仿宋" w:hAnsi="仿宋" w:eastAsia="仿宋" w:cs="仿宋"/>
          <w:sz w:val="24"/>
          <w:szCs w:val="24"/>
        </w:rPr>
        <w:t>发现对方在业务活动中有违反廉政建设规定的行为，应及时给予提醒和纠正。</w:t>
      </w:r>
    </w:p>
    <w:p>
      <w:pPr>
        <w:spacing w:line="360" w:lineRule="auto"/>
        <w:ind w:firstLine="480" w:firstLineChars="200"/>
        <w:jc w:val="left"/>
        <w:rPr>
          <w:rFonts w:ascii="仿宋" w:hAnsi="仿宋" w:eastAsia="仿宋" w:cs="Times New Roman"/>
          <w:sz w:val="24"/>
          <w:szCs w:val="24"/>
        </w:rPr>
      </w:pPr>
      <w:r>
        <w:rPr>
          <w:rFonts w:ascii="仿宋" w:hAnsi="仿宋" w:eastAsia="仿宋" w:cs="仿宋"/>
          <w:sz w:val="24"/>
          <w:szCs w:val="24"/>
        </w:rPr>
        <w:t xml:space="preserve">1.6  </w:t>
      </w:r>
      <w:r>
        <w:rPr>
          <w:rFonts w:hint="eastAsia" w:ascii="仿宋" w:hAnsi="仿宋" w:eastAsia="仿宋" w:cs="仿宋"/>
          <w:sz w:val="24"/>
          <w:szCs w:val="24"/>
        </w:rPr>
        <w:t>发现对方严重违反合同的行为，有向其上级部门举报、建议给予处理并要求告知处理结果的权利。没有上级部门的，</w:t>
      </w:r>
      <w:r>
        <w:rPr>
          <w:rFonts w:hint="eastAsia" w:ascii="仿宋" w:hAnsi="仿宋" w:eastAsia="仿宋" w:cs="仿宋"/>
          <w:kern w:val="0"/>
          <w:sz w:val="24"/>
          <w:szCs w:val="24"/>
          <w:lang w:val="zh-CN"/>
        </w:rPr>
        <w:t>可按本合同第二部分《通用条款》第</w:t>
      </w:r>
      <w:r>
        <w:rPr>
          <w:rFonts w:ascii="仿宋" w:hAnsi="仿宋" w:eastAsia="仿宋" w:cs="仿宋"/>
          <w:kern w:val="0"/>
          <w:sz w:val="24"/>
          <w:szCs w:val="24"/>
        </w:rPr>
        <w:t xml:space="preserve"> 87 </w:t>
      </w:r>
      <w:r>
        <w:rPr>
          <w:rFonts w:hint="eastAsia" w:ascii="仿宋" w:hAnsi="仿宋" w:eastAsia="仿宋" w:cs="仿宋"/>
          <w:kern w:val="0"/>
          <w:sz w:val="24"/>
          <w:szCs w:val="24"/>
          <w:lang w:val="zh-CN"/>
        </w:rPr>
        <w:t>条规定处</w:t>
      </w:r>
      <w:r>
        <w:rPr>
          <w:rFonts w:hint="eastAsia" w:ascii="仿宋" w:hAnsi="仿宋" w:eastAsia="仿宋" w:cs="仿宋"/>
          <w:sz w:val="24"/>
          <w:szCs w:val="24"/>
        </w:rPr>
        <w:t>。</w:t>
      </w:r>
    </w:p>
    <w:p>
      <w:pPr>
        <w:spacing w:line="360" w:lineRule="auto"/>
        <w:ind w:firstLine="562" w:firstLineChars="200"/>
        <w:jc w:val="left"/>
        <w:rPr>
          <w:rFonts w:ascii="仿宋" w:hAnsi="仿宋" w:eastAsia="仿宋" w:cs="Times New Roman"/>
          <w:b/>
          <w:bCs/>
          <w:sz w:val="28"/>
          <w:szCs w:val="28"/>
        </w:rPr>
      </w:pPr>
      <w:r>
        <w:rPr>
          <w:rFonts w:ascii="仿宋" w:hAnsi="仿宋" w:eastAsia="仿宋" w:cs="仿宋"/>
          <w:b/>
          <w:bCs/>
          <w:sz w:val="28"/>
          <w:szCs w:val="28"/>
        </w:rPr>
        <w:t xml:space="preserve">2  </w:t>
      </w:r>
      <w:r>
        <w:rPr>
          <w:rFonts w:hint="eastAsia" w:ascii="仿宋" w:hAnsi="仿宋" w:eastAsia="仿宋" w:cs="仿宋"/>
          <w:b/>
          <w:bCs/>
          <w:sz w:val="28"/>
          <w:szCs w:val="28"/>
        </w:rPr>
        <w:t>发包人义务</w:t>
      </w:r>
    </w:p>
    <w:p>
      <w:pPr>
        <w:spacing w:line="360" w:lineRule="auto"/>
        <w:ind w:firstLine="480" w:firstLineChars="200"/>
        <w:jc w:val="left"/>
        <w:rPr>
          <w:rFonts w:ascii="仿宋" w:hAnsi="仿宋" w:eastAsia="仿宋" w:cs="Times New Roman"/>
          <w:sz w:val="24"/>
          <w:szCs w:val="24"/>
        </w:rPr>
      </w:pPr>
      <w:r>
        <w:rPr>
          <w:rFonts w:ascii="仿宋" w:hAnsi="仿宋" w:eastAsia="仿宋" w:cs="仿宋"/>
          <w:sz w:val="24"/>
          <w:szCs w:val="24"/>
        </w:rPr>
        <w:t xml:space="preserve">2.1  </w:t>
      </w:r>
      <w:r>
        <w:rPr>
          <w:rFonts w:hint="eastAsia" w:ascii="仿宋" w:hAnsi="仿宋" w:eastAsia="仿宋" w:cs="仿宋"/>
          <w:sz w:val="24"/>
          <w:szCs w:val="24"/>
        </w:rPr>
        <w:t>发包人及其工作人员不得索要或接受承包人的礼金、有价证券和贵重物品，不得在承包人报销任何应由发包人或工作人员个人支付的费用等。</w:t>
      </w:r>
    </w:p>
    <w:p>
      <w:pPr>
        <w:spacing w:line="360" w:lineRule="auto"/>
        <w:ind w:firstLine="480" w:firstLineChars="200"/>
        <w:rPr>
          <w:rFonts w:ascii="仿宋" w:hAnsi="仿宋" w:eastAsia="仿宋" w:cs="Times New Roman"/>
          <w:sz w:val="24"/>
          <w:szCs w:val="24"/>
        </w:rPr>
      </w:pPr>
      <w:r>
        <w:rPr>
          <w:rFonts w:ascii="仿宋" w:hAnsi="仿宋" w:eastAsia="仿宋" w:cs="仿宋"/>
          <w:sz w:val="24"/>
          <w:szCs w:val="24"/>
        </w:rPr>
        <w:t xml:space="preserve">2.2  </w:t>
      </w:r>
      <w:r>
        <w:rPr>
          <w:rFonts w:hint="eastAsia" w:ascii="仿宋" w:hAnsi="仿宋" w:eastAsia="仿宋" w:cs="仿宋"/>
          <w:sz w:val="24"/>
          <w:szCs w:val="24"/>
        </w:rPr>
        <w:t>发包人及其工作人员不得参加承包人安排的宴请（工作餐除外）和娱乐活动；不得接受承包人提供的通讯工具、交通工具和高档办公用品等。</w:t>
      </w:r>
    </w:p>
    <w:p>
      <w:pPr>
        <w:spacing w:line="360" w:lineRule="auto"/>
        <w:ind w:firstLine="480" w:firstLineChars="200"/>
        <w:rPr>
          <w:rFonts w:ascii="仿宋" w:hAnsi="仿宋" w:eastAsia="仿宋" w:cs="Times New Roman"/>
          <w:sz w:val="24"/>
          <w:szCs w:val="24"/>
        </w:rPr>
      </w:pPr>
      <w:r>
        <w:rPr>
          <w:rFonts w:ascii="仿宋" w:hAnsi="仿宋" w:eastAsia="仿宋" w:cs="仿宋"/>
          <w:sz w:val="24"/>
          <w:szCs w:val="24"/>
        </w:rPr>
        <w:t xml:space="preserve">2.3  </w:t>
      </w:r>
      <w:r>
        <w:rPr>
          <w:rFonts w:hint="eastAsia" w:ascii="仿宋" w:hAnsi="仿宋" w:eastAsia="仿宋" w:cs="仿宋"/>
          <w:sz w:val="24"/>
          <w:szCs w:val="24"/>
        </w:rPr>
        <w:t>发包人及其工作人员不得要求或者接受承包人为其住房装修、婚丧嫁娶活动、配偶子女的工作安排以及出国出境、旅游等提供方便等。</w:t>
      </w:r>
    </w:p>
    <w:p>
      <w:pPr>
        <w:spacing w:line="360" w:lineRule="auto"/>
        <w:ind w:firstLine="480" w:firstLineChars="200"/>
        <w:rPr>
          <w:rFonts w:ascii="仿宋" w:hAnsi="仿宋" w:eastAsia="仿宋" w:cs="Times New Roman"/>
          <w:sz w:val="24"/>
          <w:szCs w:val="24"/>
        </w:rPr>
      </w:pPr>
      <w:r>
        <w:rPr>
          <w:rFonts w:ascii="仿宋" w:hAnsi="仿宋" w:eastAsia="仿宋" w:cs="仿宋"/>
          <w:sz w:val="24"/>
          <w:szCs w:val="24"/>
        </w:rPr>
        <w:t xml:space="preserve">2.4  </w:t>
      </w:r>
      <w:r>
        <w:rPr>
          <w:rFonts w:hint="eastAsia" w:ascii="仿宋" w:hAnsi="仿宋" w:eastAsia="仿宋" w:cs="仿宋"/>
          <w:kern w:val="0"/>
          <w:sz w:val="24"/>
          <w:szCs w:val="24"/>
          <w:lang w:val="zh-CN"/>
        </w:rPr>
        <w:t>发包人及其工作人员不得以任何理由向承包人推荐分包人、推销材料和工程设备，不得要求承包人购买合同以外的材料和工程设备</w:t>
      </w:r>
      <w:r>
        <w:rPr>
          <w:rFonts w:hint="eastAsia" w:ascii="仿宋" w:hAnsi="仿宋" w:eastAsia="仿宋" w:cs="仿宋"/>
          <w:sz w:val="24"/>
          <w:szCs w:val="24"/>
        </w:rPr>
        <w:t>。</w:t>
      </w:r>
    </w:p>
    <w:p>
      <w:pPr>
        <w:spacing w:line="360" w:lineRule="auto"/>
        <w:ind w:firstLine="480" w:firstLineChars="200"/>
        <w:rPr>
          <w:rFonts w:ascii="仿宋" w:hAnsi="仿宋" w:eastAsia="仿宋" w:cs="Times New Roman"/>
          <w:sz w:val="24"/>
          <w:szCs w:val="24"/>
        </w:rPr>
      </w:pPr>
      <w:r>
        <w:rPr>
          <w:rFonts w:ascii="仿宋" w:hAnsi="仿宋" w:eastAsia="仿宋" w:cs="仿宋"/>
          <w:sz w:val="24"/>
          <w:szCs w:val="24"/>
        </w:rPr>
        <w:t xml:space="preserve">2.5  </w:t>
      </w:r>
      <w:r>
        <w:rPr>
          <w:rFonts w:hint="eastAsia" w:ascii="仿宋" w:hAnsi="仿宋" w:eastAsia="仿宋" w:cs="仿宋"/>
          <w:kern w:val="0"/>
          <w:sz w:val="24"/>
          <w:szCs w:val="24"/>
          <w:lang w:val="zh-CN"/>
        </w:rPr>
        <w:t>发包人及其工作人员要秉公办事，不准营私舞弊，不准利用职权私自为合同工程安排施工队伍，也不得从事与合同工程有关的各种有偿中介活动</w:t>
      </w:r>
      <w:r>
        <w:rPr>
          <w:rFonts w:hint="eastAsia" w:ascii="仿宋" w:hAnsi="仿宋" w:eastAsia="仿宋" w:cs="仿宋"/>
          <w:sz w:val="24"/>
          <w:szCs w:val="24"/>
        </w:rPr>
        <w:t>。</w:t>
      </w:r>
    </w:p>
    <w:p>
      <w:pPr>
        <w:spacing w:line="360" w:lineRule="auto"/>
        <w:ind w:firstLine="480" w:firstLineChars="200"/>
        <w:rPr>
          <w:rFonts w:ascii="仿宋" w:hAnsi="仿宋" w:eastAsia="仿宋" w:cs="Times New Roman"/>
          <w:sz w:val="24"/>
          <w:szCs w:val="24"/>
        </w:rPr>
      </w:pPr>
      <w:r>
        <w:rPr>
          <w:rFonts w:ascii="仿宋" w:hAnsi="仿宋" w:eastAsia="仿宋" w:cs="仿宋"/>
          <w:sz w:val="24"/>
          <w:szCs w:val="24"/>
        </w:rPr>
        <w:t xml:space="preserve">2.6  </w:t>
      </w:r>
      <w:r>
        <w:rPr>
          <w:rFonts w:hint="eastAsia" w:ascii="仿宋" w:hAnsi="仿宋" w:eastAsia="仿宋" w:cs="仿宋"/>
          <w:kern w:val="0"/>
          <w:sz w:val="24"/>
          <w:szCs w:val="24"/>
          <w:lang w:val="zh-CN"/>
        </w:rPr>
        <w:t>发包人及其工作人员（含其配偶、子女）不得从事与合同工程有关的材料和工程设备供应、工程分包、劳务等经济活动</w:t>
      </w:r>
      <w:r>
        <w:rPr>
          <w:rFonts w:hint="eastAsia" w:ascii="仿宋" w:hAnsi="仿宋" w:eastAsia="仿宋" w:cs="仿宋"/>
          <w:sz w:val="24"/>
          <w:szCs w:val="24"/>
        </w:rPr>
        <w:t>。</w:t>
      </w:r>
    </w:p>
    <w:p>
      <w:pPr>
        <w:spacing w:line="360" w:lineRule="auto"/>
        <w:ind w:firstLine="562" w:firstLineChars="200"/>
        <w:rPr>
          <w:rFonts w:ascii="仿宋" w:hAnsi="仿宋" w:eastAsia="仿宋" w:cs="Times New Roman"/>
          <w:b/>
          <w:bCs/>
          <w:sz w:val="28"/>
          <w:szCs w:val="28"/>
        </w:rPr>
      </w:pPr>
      <w:r>
        <w:rPr>
          <w:rFonts w:ascii="仿宋" w:hAnsi="仿宋" w:eastAsia="仿宋" w:cs="仿宋"/>
          <w:b/>
          <w:bCs/>
          <w:sz w:val="28"/>
          <w:szCs w:val="28"/>
        </w:rPr>
        <w:t xml:space="preserve">3  </w:t>
      </w:r>
      <w:r>
        <w:rPr>
          <w:rFonts w:hint="eastAsia" w:ascii="仿宋" w:hAnsi="仿宋" w:eastAsia="仿宋" w:cs="仿宋"/>
          <w:b/>
          <w:bCs/>
          <w:sz w:val="28"/>
          <w:szCs w:val="28"/>
        </w:rPr>
        <w:t>承包人义务</w:t>
      </w:r>
    </w:p>
    <w:p>
      <w:pPr>
        <w:spacing w:line="360" w:lineRule="auto"/>
        <w:ind w:firstLine="480" w:firstLineChars="200"/>
        <w:rPr>
          <w:rFonts w:ascii="仿宋" w:hAnsi="仿宋" w:eastAsia="仿宋" w:cs="Times New Roman"/>
          <w:sz w:val="24"/>
          <w:szCs w:val="24"/>
        </w:rPr>
      </w:pPr>
      <w:r>
        <w:rPr>
          <w:rFonts w:ascii="仿宋" w:hAnsi="仿宋" w:eastAsia="仿宋" w:cs="仿宋"/>
          <w:sz w:val="24"/>
          <w:szCs w:val="24"/>
        </w:rPr>
        <w:t xml:space="preserve">3.1  </w:t>
      </w:r>
      <w:r>
        <w:rPr>
          <w:rFonts w:hint="eastAsia" w:ascii="仿宋" w:hAnsi="仿宋" w:eastAsia="仿宋" w:cs="仿宋"/>
          <w:sz w:val="24"/>
          <w:szCs w:val="24"/>
        </w:rPr>
        <w:t>承包人不得以任何理由向发包人及其工作人员行贿或馈赠礼金、有价证券、贵重礼品。</w:t>
      </w:r>
    </w:p>
    <w:p>
      <w:pPr>
        <w:spacing w:line="360" w:lineRule="auto"/>
        <w:ind w:firstLine="480" w:firstLineChars="200"/>
        <w:rPr>
          <w:rFonts w:ascii="仿宋" w:hAnsi="仿宋" w:eastAsia="仿宋" w:cs="Times New Roman"/>
          <w:sz w:val="24"/>
          <w:szCs w:val="24"/>
        </w:rPr>
      </w:pPr>
      <w:r>
        <w:rPr>
          <w:rFonts w:ascii="仿宋" w:hAnsi="仿宋" w:eastAsia="仿宋" w:cs="仿宋"/>
          <w:sz w:val="24"/>
          <w:szCs w:val="24"/>
        </w:rPr>
        <w:t xml:space="preserve">3.2  </w:t>
      </w:r>
      <w:r>
        <w:rPr>
          <w:rFonts w:hint="eastAsia" w:ascii="仿宋" w:hAnsi="仿宋" w:eastAsia="仿宋" w:cs="仿宋"/>
          <w:sz w:val="24"/>
          <w:szCs w:val="24"/>
        </w:rPr>
        <w:t>承包人不得以任何名义为发包人及其工作人员报销应由发包人或工作人员个人支付的任何费用。</w:t>
      </w:r>
    </w:p>
    <w:p>
      <w:pPr>
        <w:spacing w:line="360" w:lineRule="auto"/>
        <w:ind w:firstLine="480" w:firstLineChars="200"/>
        <w:rPr>
          <w:rFonts w:ascii="仿宋" w:hAnsi="仿宋" w:eastAsia="仿宋" w:cs="Times New Roman"/>
          <w:sz w:val="24"/>
          <w:szCs w:val="24"/>
        </w:rPr>
      </w:pPr>
      <w:r>
        <w:rPr>
          <w:rFonts w:ascii="仿宋" w:hAnsi="仿宋" w:eastAsia="仿宋" w:cs="仿宋"/>
          <w:sz w:val="24"/>
          <w:szCs w:val="24"/>
        </w:rPr>
        <w:t xml:space="preserve">3.3  </w:t>
      </w:r>
      <w:r>
        <w:rPr>
          <w:rFonts w:hint="eastAsia" w:ascii="仿宋" w:hAnsi="仿宋" w:eastAsia="仿宋" w:cs="仿宋"/>
          <w:sz w:val="24"/>
          <w:szCs w:val="24"/>
        </w:rPr>
        <w:t>承包人不得以任何理由安排发包人及其工作人员参加宴请（工作餐除外）及娱乐活动。</w:t>
      </w:r>
    </w:p>
    <w:p>
      <w:pPr>
        <w:spacing w:line="360" w:lineRule="auto"/>
        <w:ind w:firstLine="480" w:firstLineChars="200"/>
        <w:rPr>
          <w:rFonts w:ascii="仿宋" w:hAnsi="仿宋" w:eastAsia="仿宋" w:cs="Times New Roman"/>
          <w:sz w:val="24"/>
          <w:szCs w:val="24"/>
        </w:rPr>
      </w:pPr>
      <w:r>
        <w:rPr>
          <w:rFonts w:ascii="仿宋" w:hAnsi="仿宋" w:eastAsia="仿宋" w:cs="仿宋"/>
          <w:sz w:val="24"/>
          <w:szCs w:val="24"/>
        </w:rPr>
        <w:t xml:space="preserve">3.4  </w:t>
      </w:r>
      <w:r>
        <w:rPr>
          <w:rFonts w:hint="eastAsia" w:ascii="仿宋" w:hAnsi="仿宋" w:eastAsia="仿宋" w:cs="仿宋"/>
          <w:sz w:val="24"/>
          <w:szCs w:val="24"/>
        </w:rPr>
        <w:t>承包人不得为发包人和个人购置或提供通讯工具、交通工具和高档办公用品等。</w:t>
      </w:r>
    </w:p>
    <w:p>
      <w:pPr>
        <w:spacing w:line="360" w:lineRule="auto"/>
        <w:ind w:firstLine="480" w:firstLineChars="200"/>
        <w:rPr>
          <w:rFonts w:ascii="仿宋" w:hAnsi="仿宋" w:eastAsia="仿宋" w:cs="Times New Roman"/>
          <w:sz w:val="24"/>
          <w:szCs w:val="24"/>
        </w:rPr>
      </w:pPr>
      <w:r>
        <w:rPr>
          <w:rFonts w:ascii="仿宋" w:hAnsi="仿宋" w:eastAsia="仿宋" w:cs="仿宋"/>
          <w:sz w:val="24"/>
          <w:szCs w:val="24"/>
        </w:rPr>
        <w:t xml:space="preserve">3.5  </w:t>
      </w:r>
      <w:r>
        <w:rPr>
          <w:rFonts w:hint="eastAsia" w:ascii="仿宋" w:hAnsi="仿宋" w:eastAsia="仿宋" w:cs="仿宋"/>
          <w:kern w:val="0"/>
          <w:sz w:val="24"/>
          <w:szCs w:val="24"/>
          <w:lang w:val="zh-CN"/>
        </w:rPr>
        <w:t>承包人不得为发包人及其工作人员的住房装修、婚丧嫁娶活动、配偶子女工作安排以及出国出境、旅游等提供方便。</w:t>
      </w:r>
    </w:p>
    <w:p>
      <w:pPr>
        <w:tabs>
          <w:tab w:val="left" w:pos="900"/>
        </w:tabs>
        <w:spacing w:line="360" w:lineRule="auto"/>
        <w:ind w:firstLine="562" w:firstLineChars="200"/>
        <w:rPr>
          <w:rFonts w:ascii="仿宋" w:hAnsi="仿宋" w:eastAsia="仿宋" w:cs="Times New Roman"/>
          <w:b/>
          <w:bCs/>
          <w:sz w:val="28"/>
          <w:szCs w:val="28"/>
        </w:rPr>
      </w:pPr>
      <w:r>
        <w:rPr>
          <w:rFonts w:ascii="仿宋" w:hAnsi="仿宋" w:eastAsia="仿宋" w:cs="仿宋"/>
          <w:b/>
          <w:bCs/>
          <w:sz w:val="28"/>
          <w:szCs w:val="28"/>
        </w:rPr>
        <w:t xml:space="preserve">4  </w:t>
      </w:r>
      <w:r>
        <w:rPr>
          <w:rFonts w:hint="eastAsia" w:ascii="仿宋" w:hAnsi="仿宋" w:eastAsia="仿宋" w:cs="仿宋"/>
          <w:b/>
          <w:bCs/>
          <w:sz w:val="28"/>
          <w:szCs w:val="28"/>
        </w:rPr>
        <w:t>违约责任</w:t>
      </w:r>
    </w:p>
    <w:p>
      <w:pPr>
        <w:spacing w:line="360" w:lineRule="auto"/>
        <w:ind w:firstLine="480" w:firstLineChars="200"/>
        <w:rPr>
          <w:rFonts w:ascii="仿宋" w:hAnsi="仿宋" w:eastAsia="仿宋" w:cs="Times New Roman"/>
          <w:sz w:val="24"/>
          <w:szCs w:val="24"/>
        </w:rPr>
      </w:pPr>
      <w:r>
        <w:rPr>
          <w:rFonts w:ascii="仿宋" w:hAnsi="仿宋" w:eastAsia="仿宋" w:cs="仿宋"/>
          <w:sz w:val="24"/>
          <w:szCs w:val="24"/>
        </w:rPr>
        <w:t xml:space="preserve">4.1  </w:t>
      </w:r>
      <w:r>
        <w:rPr>
          <w:rFonts w:hint="eastAsia" w:ascii="仿宋" w:hAnsi="仿宋" w:eastAsia="仿宋" w:cs="仿宋"/>
          <w:sz w:val="24"/>
          <w:szCs w:val="24"/>
        </w:rPr>
        <w:t>发包人及其工作人员违反本合同第</w:t>
      </w:r>
      <w:r>
        <w:rPr>
          <w:rFonts w:ascii="仿宋" w:hAnsi="仿宋" w:eastAsia="仿宋" w:cs="仿宋"/>
          <w:sz w:val="24"/>
          <w:szCs w:val="24"/>
        </w:rPr>
        <w:t>1</w:t>
      </w:r>
      <w:r>
        <w:rPr>
          <w:rFonts w:hint="eastAsia" w:ascii="仿宋" w:hAnsi="仿宋" w:eastAsia="仿宋" w:cs="仿宋"/>
          <w:sz w:val="24"/>
          <w:szCs w:val="24"/>
        </w:rPr>
        <w:t>条和第</w:t>
      </w:r>
      <w:r>
        <w:rPr>
          <w:rFonts w:ascii="仿宋" w:hAnsi="仿宋" w:eastAsia="仿宋" w:cs="仿宋"/>
          <w:sz w:val="24"/>
          <w:szCs w:val="24"/>
        </w:rPr>
        <w:t>2</w:t>
      </w:r>
      <w:r>
        <w:rPr>
          <w:rFonts w:hint="eastAsia" w:ascii="仿宋" w:hAnsi="仿宋" w:eastAsia="仿宋" w:cs="仿宋"/>
          <w:sz w:val="24"/>
          <w:szCs w:val="24"/>
        </w:rPr>
        <w:t>条规定，应依据有关规定给予廉政建设规定的处分；涉嫌犯罪的，移交司法机关追究刑事责任；给承包人造成经济损失的，应予赔偿。</w:t>
      </w:r>
    </w:p>
    <w:p>
      <w:pPr>
        <w:spacing w:line="360" w:lineRule="auto"/>
        <w:ind w:firstLine="480" w:firstLineChars="200"/>
        <w:rPr>
          <w:rFonts w:ascii="仿宋" w:hAnsi="仿宋" w:eastAsia="仿宋" w:cs="Times New Roman"/>
          <w:sz w:val="24"/>
          <w:szCs w:val="24"/>
        </w:rPr>
      </w:pPr>
      <w:r>
        <w:rPr>
          <w:rFonts w:ascii="仿宋" w:hAnsi="仿宋" w:eastAsia="仿宋" w:cs="仿宋"/>
          <w:sz w:val="24"/>
          <w:szCs w:val="24"/>
        </w:rPr>
        <w:t xml:space="preserve">4.2  </w:t>
      </w:r>
      <w:r>
        <w:rPr>
          <w:rFonts w:hint="eastAsia" w:ascii="仿宋" w:hAnsi="仿宋" w:eastAsia="仿宋" w:cs="仿宋"/>
          <w:kern w:val="0"/>
          <w:sz w:val="24"/>
          <w:szCs w:val="24"/>
          <w:lang w:val="zh-CN"/>
        </w:rPr>
        <w:t>承包人及其工作人员违反本合同第</w:t>
      </w:r>
      <w:r>
        <w:rPr>
          <w:rFonts w:ascii="仿宋" w:hAnsi="仿宋" w:eastAsia="仿宋" w:cs="仿宋"/>
          <w:kern w:val="0"/>
          <w:sz w:val="24"/>
          <w:szCs w:val="24"/>
        </w:rPr>
        <w:t xml:space="preserve"> 1 </w:t>
      </w:r>
      <w:r>
        <w:rPr>
          <w:rFonts w:hint="eastAsia" w:ascii="仿宋" w:hAnsi="仿宋" w:eastAsia="仿宋" w:cs="仿宋"/>
          <w:kern w:val="0"/>
          <w:sz w:val="24"/>
          <w:szCs w:val="24"/>
          <w:lang w:val="zh-CN"/>
        </w:rPr>
        <w:t>条和第</w:t>
      </w:r>
      <w:r>
        <w:rPr>
          <w:rFonts w:ascii="仿宋" w:hAnsi="仿宋" w:eastAsia="仿宋" w:cs="仿宋"/>
          <w:kern w:val="0"/>
          <w:sz w:val="24"/>
          <w:szCs w:val="24"/>
        </w:rPr>
        <w:t xml:space="preserve"> 3 </w:t>
      </w:r>
      <w:r>
        <w:rPr>
          <w:rFonts w:hint="eastAsia" w:ascii="仿宋" w:hAnsi="仿宋" w:eastAsia="仿宋" w:cs="仿宋"/>
          <w:kern w:val="0"/>
          <w:sz w:val="24"/>
          <w:szCs w:val="24"/>
          <w:lang w:val="zh-CN"/>
        </w:rPr>
        <w:t>条规定，应按照廉政建设的有关规定给</w:t>
      </w:r>
      <w:r>
        <w:rPr>
          <w:rFonts w:ascii="仿宋" w:hAnsi="仿宋" w:eastAsia="仿宋" w:cs="仿宋"/>
          <w:kern w:val="0"/>
          <w:sz w:val="24"/>
          <w:szCs w:val="24"/>
        </w:rPr>
        <w:t xml:space="preserve"> </w:t>
      </w:r>
      <w:r>
        <w:rPr>
          <w:rFonts w:hint="eastAsia" w:ascii="仿宋" w:hAnsi="仿宋" w:eastAsia="仿宋" w:cs="仿宋"/>
          <w:kern w:val="0"/>
          <w:sz w:val="24"/>
          <w:szCs w:val="24"/>
          <w:lang w:val="zh-CN"/>
        </w:rPr>
        <w:t>予处分；情节严重的，给予承包人</w:t>
      </w:r>
      <w:r>
        <w:rPr>
          <w:rFonts w:ascii="仿宋" w:hAnsi="仿宋" w:eastAsia="仿宋" w:cs="仿宋"/>
          <w:kern w:val="0"/>
          <w:sz w:val="24"/>
          <w:szCs w:val="24"/>
        </w:rPr>
        <w:t xml:space="preserve"> 1</w:t>
      </w:r>
      <w:r>
        <w:rPr>
          <w:rFonts w:hint="eastAsia" w:ascii="仿宋" w:hAnsi="仿宋" w:eastAsia="仿宋" w:cs="仿宋"/>
          <w:kern w:val="0"/>
          <w:sz w:val="24"/>
          <w:szCs w:val="24"/>
          <w:lang w:val="zh-CN"/>
        </w:rPr>
        <w:t>～</w:t>
      </w:r>
      <w:r>
        <w:rPr>
          <w:rFonts w:ascii="仿宋" w:hAnsi="仿宋" w:eastAsia="仿宋" w:cs="仿宋"/>
          <w:kern w:val="0"/>
          <w:sz w:val="24"/>
          <w:szCs w:val="24"/>
        </w:rPr>
        <w:t xml:space="preserve">3 </w:t>
      </w:r>
      <w:r>
        <w:rPr>
          <w:rFonts w:hint="eastAsia" w:ascii="仿宋" w:hAnsi="仿宋" w:eastAsia="仿宋" w:cs="仿宋"/>
          <w:kern w:val="0"/>
          <w:sz w:val="24"/>
          <w:szCs w:val="24"/>
          <w:lang w:val="zh-CN"/>
        </w:rPr>
        <w:t>年内不得进入工程建设市场的处罚；涉嫌犯罪的，移交</w:t>
      </w:r>
      <w:r>
        <w:rPr>
          <w:rFonts w:ascii="仿宋" w:hAnsi="仿宋" w:eastAsia="仿宋" w:cs="仿宋"/>
          <w:kern w:val="0"/>
          <w:sz w:val="24"/>
          <w:szCs w:val="24"/>
        </w:rPr>
        <w:t xml:space="preserve"> </w:t>
      </w:r>
      <w:r>
        <w:rPr>
          <w:rFonts w:hint="eastAsia" w:ascii="仿宋" w:hAnsi="仿宋" w:eastAsia="仿宋" w:cs="仿宋"/>
          <w:kern w:val="0"/>
          <w:sz w:val="24"/>
          <w:szCs w:val="24"/>
          <w:lang w:val="zh-CN"/>
        </w:rPr>
        <w:t>司法机关追究刑事责任；给发包人造成损失的，应予赔偿；</w:t>
      </w:r>
    </w:p>
    <w:p>
      <w:pPr>
        <w:numPr>
          <w:ilvl w:val="0"/>
          <w:numId w:val="32"/>
        </w:numPr>
        <w:spacing w:line="360" w:lineRule="auto"/>
        <w:rPr>
          <w:rFonts w:ascii="仿宋" w:hAnsi="仿宋" w:eastAsia="仿宋" w:cs="Times New Roman"/>
          <w:b/>
          <w:bCs/>
          <w:sz w:val="28"/>
          <w:szCs w:val="28"/>
        </w:rPr>
      </w:pPr>
      <w:r>
        <w:rPr>
          <w:rFonts w:hint="eastAsia" w:ascii="仿宋" w:hAnsi="仿宋" w:eastAsia="仿宋" w:cs="仿宋"/>
          <w:b/>
          <w:bCs/>
          <w:sz w:val="28"/>
          <w:szCs w:val="28"/>
        </w:rPr>
        <w:t>双方约定</w:t>
      </w:r>
    </w:p>
    <w:p>
      <w:pPr>
        <w:pStyle w:val="19"/>
        <w:spacing w:line="360" w:lineRule="auto"/>
        <w:ind w:firstLine="480" w:firstLineChars="200"/>
        <w:rPr>
          <w:rFonts w:ascii="仿宋" w:hAnsi="仿宋" w:eastAsia="仿宋" w:cs="Times New Roman"/>
          <w:sz w:val="24"/>
          <w:szCs w:val="24"/>
        </w:rPr>
      </w:pPr>
      <w:r>
        <w:rPr>
          <w:rFonts w:hint="eastAsia" w:ascii="仿宋" w:hAnsi="仿宋" w:eastAsia="仿宋" w:cs="仿宋"/>
          <w:kern w:val="0"/>
          <w:sz w:val="24"/>
          <w:szCs w:val="24"/>
          <w:lang w:val="zh-CN"/>
        </w:rPr>
        <w:t>本合同由合同双方当事人或其上级部门负责监督执行，并由合同双方当事人或其上级部门</w:t>
      </w:r>
      <w:r>
        <w:rPr>
          <w:rFonts w:ascii="仿宋" w:hAnsi="仿宋" w:eastAsia="仿宋" w:cs="仿宋"/>
          <w:kern w:val="0"/>
          <w:sz w:val="24"/>
          <w:szCs w:val="24"/>
        </w:rPr>
        <w:t xml:space="preserve"> </w:t>
      </w:r>
      <w:r>
        <w:rPr>
          <w:rFonts w:hint="eastAsia" w:ascii="仿宋" w:hAnsi="仿宋" w:eastAsia="仿宋" w:cs="仿宋"/>
          <w:kern w:val="0"/>
          <w:sz w:val="24"/>
          <w:szCs w:val="24"/>
          <w:lang w:val="zh-CN"/>
        </w:rPr>
        <w:t>相互约请对本合同执行情况进行检查</w:t>
      </w:r>
      <w:r>
        <w:rPr>
          <w:rFonts w:hint="eastAsia" w:ascii="仿宋" w:hAnsi="仿宋" w:eastAsia="仿宋" w:cs="仿宋"/>
          <w:sz w:val="24"/>
          <w:szCs w:val="24"/>
        </w:rPr>
        <w:t>。</w:t>
      </w:r>
    </w:p>
    <w:p>
      <w:pPr>
        <w:spacing w:line="360" w:lineRule="auto"/>
        <w:ind w:firstLine="562" w:firstLineChars="200"/>
        <w:rPr>
          <w:rFonts w:ascii="仿宋" w:hAnsi="仿宋" w:eastAsia="仿宋" w:cs="Times New Roman"/>
          <w:b/>
          <w:bCs/>
          <w:sz w:val="28"/>
          <w:szCs w:val="28"/>
        </w:rPr>
      </w:pPr>
      <w:r>
        <w:rPr>
          <w:rFonts w:ascii="仿宋" w:hAnsi="仿宋" w:eastAsia="仿宋" w:cs="仿宋"/>
          <w:b/>
          <w:bCs/>
          <w:sz w:val="28"/>
          <w:szCs w:val="28"/>
        </w:rPr>
        <w:t xml:space="preserve">6  </w:t>
      </w:r>
      <w:r>
        <w:rPr>
          <w:rFonts w:hint="eastAsia" w:ascii="仿宋" w:hAnsi="仿宋" w:eastAsia="仿宋" w:cs="仿宋"/>
          <w:b/>
          <w:bCs/>
          <w:sz w:val="28"/>
          <w:szCs w:val="28"/>
        </w:rPr>
        <w:t>合同法律效力</w:t>
      </w:r>
    </w:p>
    <w:p>
      <w:pPr>
        <w:spacing w:line="360" w:lineRule="auto"/>
        <w:ind w:firstLine="480" w:firstLineChars="200"/>
        <w:rPr>
          <w:rFonts w:ascii="仿宋" w:hAnsi="仿宋" w:eastAsia="仿宋" w:cs="Times New Roman"/>
          <w:sz w:val="24"/>
          <w:szCs w:val="24"/>
        </w:rPr>
      </w:pPr>
      <w:r>
        <w:rPr>
          <w:rFonts w:hint="eastAsia" w:ascii="仿宋" w:hAnsi="仿宋" w:eastAsia="仿宋" w:cs="仿宋"/>
          <w:sz w:val="24"/>
          <w:szCs w:val="24"/>
        </w:rPr>
        <w:t>本合同作为</w:t>
      </w:r>
      <w:r>
        <w:rPr>
          <w:rFonts w:ascii="仿宋" w:hAnsi="仿宋" w:eastAsia="仿宋" w:cs="仿宋"/>
          <w:sz w:val="24"/>
          <w:szCs w:val="24"/>
          <w:u w:val="single"/>
        </w:rPr>
        <w:t xml:space="preserve">                      </w:t>
      </w:r>
      <w:r>
        <w:rPr>
          <w:rFonts w:hint="eastAsia" w:ascii="仿宋" w:hAnsi="仿宋" w:eastAsia="仿宋" w:cs="仿宋"/>
          <w:sz w:val="24"/>
          <w:szCs w:val="24"/>
        </w:rPr>
        <w:t>（工程名称）</w:t>
      </w:r>
      <w:r>
        <w:rPr>
          <w:rFonts w:ascii="仿宋" w:hAnsi="仿宋" w:eastAsia="仿宋" w:cs="仿宋"/>
          <w:sz w:val="24"/>
          <w:szCs w:val="24"/>
        </w:rPr>
        <w:t xml:space="preserve"> </w:t>
      </w:r>
      <w:r>
        <w:rPr>
          <w:rFonts w:hint="eastAsia" w:ascii="仿宋" w:hAnsi="仿宋" w:eastAsia="仿宋" w:cs="仿宋"/>
          <w:sz w:val="24"/>
          <w:szCs w:val="24"/>
        </w:rPr>
        <w:t>工程施工合同的附件，与施工合同具有同等的法律效力。</w:t>
      </w:r>
    </w:p>
    <w:p>
      <w:pPr>
        <w:spacing w:line="360" w:lineRule="auto"/>
        <w:ind w:firstLine="551" w:firstLineChars="196"/>
        <w:rPr>
          <w:rFonts w:ascii="仿宋" w:hAnsi="仿宋" w:eastAsia="仿宋" w:cs="Times New Roman"/>
          <w:b/>
          <w:bCs/>
          <w:sz w:val="28"/>
          <w:szCs w:val="28"/>
        </w:rPr>
      </w:pPr>
      <w:r>
        <w:rPr>
          <w:rFonts w:ascii="仿宋" w:hAnsi="仿宋" w:eastAsia="仿宋" w:cs="仿宋"/>
          <w:b/>
          <w:bCs/>
          <w:sz w:val="28"/>
          <w:szCs w:val="28"/>
        </w:rPr>
        <w:t xml:space="preserve">7  </w:t>
      </w:r>
      <w:r>
        <w:rPr>
          <w:rFonts w:hint="eastAsia" w:ascii="仿宋" w:hAnsi="仿宋" w:eastAsia="仿宋" w:cs="仿宋"/>
          <w:b/>
          <w:bCs/>
          <w:sz w:val="28"/>
          <w:szCs w:val="28"/>
        </w:rPr>
        <w:t>合同份数</w:t>
      </w:r>
    </w:p>
    <w:p>
      <w:pPr>
        <w:spacing w:line="360" w:lineRule="auto"/>
        <w:ind w:firstLine="480" w:firstLineChars="200"/>
        <w:rPr>
          <w:rFonts w:ascii="仿宋" w:hAnsi="仿宋" w:eastAsia="仿宋" w:cs="Times New Roman"/>
          <w:sz w:val="24"/>
          <w:szCs w:val="24"/>
        </w:rPr>
      </w:pPr>
      <w:r>
        <w:rPr>
          <w:rFonts w:hint="eastAsia" w:ascii="仿宋" w:hAnsi="仿宋" w:eastAsia="仿宋" w:cs="仿宋"/>
          <w:sz w:val="24"/>
          <w:szCs w:val="24"/>
        </w:rPr>
        <w:t>本合同一式</w:t>
      </w:r>
      <w:r>
        <w:rPr>
          <w:rFonts w:ascii="仿宋" w:hAnsi="仿宋" w:eastAsia="仿宋" w:cs="仿宋"/>
          <w:sz w:val="24"/>
          <w:szCs w:val="24"/>
          <w:u w:val="single"/>
        </w:rPr>
        <w:t xml:space="preserve">    </w:t>
      </w:r>
      <w:r>
        <w:rPr>
          <w:rFonts w:hint="eastAsia" w:ascii="仿宋" w:hAnsi="仿宋" w:eastAsia="仿宋" w:cs="仿宋"/>
          <w:sz w:val="24"/>
          <w:szCs w:val="24"/>
        </w:rPr>
        <w:t>份，合同双方当事人各执</w:t>
      </w:r>
      <w:r>
        <w:rPr>
          <w:rFonts w:ascii="仿宋" w:hAnsi="仿宋" w:eastAsia="仿宋" w:cs="仿宋"/>
          <w:sz w:val="24"/>
          <w:szCs w:val="24"/>
          <w:u w:val="single"/>
        </w:rPr>
        <w:t xml:space="preserve">    </w:t>
      </w:r>
      <w:r>
        <w:rPr>
          <w:rFonts w:hint="eastAsia" w:ascii="仿宋" w:hAnsi="仿宋" w:eastAsia="仿宋" w:cs="仿宋"/>
          <w:sz w:val="24"/>
          <w:szCs w:val="24"/>
        </w:rPr>
        <w:t>份。有上级部门的，合同双方当事人应送交其上级部门各一份。</w:t>
      </w:r>
    </w:p>
    <w:p>
      <w:pPr>
        <w:spacing w:line="360" w:lineRule="auto"/>
        <w:ind w:firstLine="480" w:firstLineChars="200"/>
        <w:rPr>
          <w:rFonts w:ascii="仿宋" w:hAnsi="仿宋" w:eastAsia="仿宋" w:cs="Times New Roman"/>
          <w:sz w:val="24"/>
          <w:szCs w:val="24"/>
        </w:rPr>
      </w:pPr>
    </w:p>
    <w:p>
      <w:pPr>
        <w:adjustRightInd w:val="0"/>
        <w:snapToGrid w:val="0"/>
        <w:spacing w:line="360" w:lineRule="auto"/>
        <w:ind w:firstLine="480" w:firstLineChars="200"/>
        <w:rPr>
          <w:rFonts w:ascii="仿宋" w:hAnsi="仿宋" w:eastAsia="仿宋" w:cs="Times New Roman"/>
          <w:sz w:val="24"/>
          <w:szCs w:val="24"/>
        </w:rPr>
      </w:pPr>
      <w:r>
        <w:rPr>
          <w:rFonts w:hint="eastAsia" w:ascii="仿宋" w:hAnsi="仿宋" w:eastAsia="仿宋" w:cs="仿宋"/>
          <w:sz w:val="24"/>
          <w:szCs w:val="24"/>
        </w:rPr>
        <w:t>发</w:t>
      </w:r>
      <w:r>
        <w:rPr>
          <w:rFonts w:ascii="仿宋" w:hAnsi="仿宋" w:eastAsia="仿宋" w:cs="仿宋"/>
          <w:sz w:val="24"/>
          <w:szCs w:val="24"/>
        </w:rPr>
        <w:t xml:space="preserve"> </w:t>
      </w:r>
      <w:r>
        <w:rPr>
          <w:rFonts w:hint="eastAsia" w:ascii="仿宋" w:hAnsi="仿宋" w:eastAsia="仿宋" w:cs="仿宋"/>
          <w:sz w:val="24"/>
          <w:szCs w:val="24"/>
        </w:rPr>
        <w:t>包</w:t>
      </w:r>
      <w:r>
        <w:rPr>
          <w:rFonts w:ascii="仿宋" w:hAnsi="仿宋" w:eastAsia="仿宋" w:cs="仿宋"/>
          <w:sz w:val="24"/>
          <w:szCs w:val="24"/>
        </w:rPr>
        <w:t xml:space="preserve"> </w:t>
      </w:r>
      <w:r>
        <w:rPr>
          <w:rFonts w:hint="eastAsia" w:ascii="仿宋" w:hAnsi="仿宋" w:eastAsia="仿宋" w:cs="仿宋"/>
          <w:sz w:val="24"/>
          <w:szCs w:val="24"/>
        </w:rPr>
        <w:t>人：（盖章）</w:t>
      </w:r>
      <w:r>
        <w:rPr>
          <w:rFonts w:ascii="仿宋" w:hAnsi="仿宋" w:eastAsia="仿宋" w:cs="仿宋"/>
          <w:sz w:val="24"/>
          <w:szCs w:val="24"/>
        </w:rPr>
        <w:t xml:space="preserve">                       </w:t>
      </w:r>
      <w:r>
        <w:rPr>
          <w:rFonts w:hint="eastAsia" w:ascii="仿宋" w:hAnsi="仿宋" w:eastAsia="仿宋" w:cs="仿宋"/>
          <w:sz w:val="24"/>
          <w:szCs w:val="24"/>
        </w:rPr>
        <w:t>承</w:t>
      </w:r>
      <w:r>
        <w:rPr>
          <w:rFonts w:ascii="仿宋" w:hAnsi="仿宋" w:eastAsia="仿宋" w:cs="仿宋"/>
          <w:sz w:val="24"/>
          <w:szCs w:val="24"/>
        </w:rPr>
        <w:t xml:space="preserve"> </w:t>
      </w:r>
      <w:r>
        <w:rPr>
          <w:rFonts w:hint="eastAsia" w:ascii="仿宋" w:hAnsi="仿宋" w:eastAsia="仿宋" w:cs="仿宋"/>
          <w:sz w:val="24"/>
          <w:szCs w:val="24"/>
        </w:rPr>
        <w:t>包</w:t>
      </w:r>
      <w:r>
        <w:rPr>
          <w:rFonts w:ascii="仿宋" w:hAnsi="仿宋" w:eastAsia="仿宋" w:cs="仿宋"/>
          <w:sz w:val="24"/>
          <w:szCs w:val="24"/>
        </w:rPr>
        <w:t xml:space="preserve"> </w:t>
      </w:r>
      <w:r>
        <w:rPr>
          <w:rFonts w:hint="eastAsia" w:ascii="仿宋" w:hAnsi="仿宋" w:eastAsia="仿宋" w:cs="仿宋"/>
          <w:sz w:val="24"/>
          <w:szCs w:val="24"/>
        </w:rPr>
        <w:t>人：（盖章）</w:t>
      </w:r>
    </w:p>
    <w:p>
      <w:pPr>
        <w:adjustRightInd w:val="0"/>
        <w:snapToGrid w:val="0"/>
        <w:spacing w:line="360" w:lineRule="auto"/>
        <w:ind w:firstLine="480" w:firstLineChars="200"/>
        <w:rPr>
          <w:rFonts w:ascii="仿宋" w:hAnsi="仿宋" w:eastAsia="仿宋" w:cs="Times New Roman"/>
          <w:sz w:val="24"/>
          <w:szCs w:val="24"/>
        </w:rPr>
      </w:pPr>
      <w:r>
        <w:rPr>
          <w:rFonts w:hint="eastAsia" w:ascii="仿宋" w:hAnsi="仿宋" w:eastAsia="仿宋" w:cs="仿宋"/>
          <w:sz w:val="24"/>
          <w:szCs w:val="24"/>
        </w:rPr>
        <w:t>法定代表人：（签字）</w:t>
      </w:r>
      <w:r>
        <w:rPr>
          <w:rFonts w:ascii="仿宋" w:hAnsi="仿宋" w:eastAsia="仿宋" w:cs="仿宋"/>
          <w:sz w:val="24"/>
          <w:szCs w:val="24"/>
        </w:rPr>
        <w:t xml:space="preserve">                     </w:t>
      </w:r>
      <w:r>
        <w:rPr>
          <w:rFonts w:hint="eastAsia" w:ascii="仿宋" w:hAnsi="仿宋" w:eastAsia="仿宋" w:cs="仿宋"/>
          <w:sz w:val="24"/>
          <w:szCs w:val="24"/>
        </w:rPr>
        <w:t>法定代表人：（签字）</w:t>
      </w:r>
    </w:p>
    <w:p>
      <w:pPr>
        <w:spacing w:line="360" w:lineRule="auto"/>
        <w:ind w:firstLine="480" w:firstLineChars="200"/>
        <w:jc w:val="left"/>
        <w:rPr>
          <w:rFonts w:ascii="仿宋" w:hAnsi="仿宋" w:eastAsia="仿宋" w:cs="仿宋"/>
          <w:sz w:val="24"/>
          <w:szCs w:val="24"/>
          <w:u w:val="single"/>
        </w:rPr>
      </w:pPr>
      <w:r>
        <w:rPr>
          <w:rFonts w:hint="eastAsia" w:ascii="仿宋" w:hAnsi="仿宋" w:eastAsia="仿宋" w:cs="仿宋"/>
          <w:sz w:val="24"/>
          <w:szCs w:val="24"/>
        </w:rPr>
        <w:t>联系电话：</w:t>
      </w:r>
      <w:r>
        <w:rPr>
          <w:rFonts w:ascii="仿宋" w:hAnsi="仿宋" w:eastAsia="仿宋" w:cs="仿宋"/>
          <w:sz w:val="24"/>
          <w:szCs w:val="24"/>
          <w:u w:val="single"/>
        </w:rPr>
        <w:t xml:space="preserve">                </w:t>
      </w:r>
      <w:r>
        <w:rPr>
          <w:rFonts w:ascii="仿宋" w:hAnsi="仿宋" w:eastAsia="仿宋" w:cs="仿宋"/>
          <w:sz w:val="24"/>
          <w:szCs w:val="24"/>
        </w:rPr>
        <w:t xml:space="preserve">              </w:t>
      </w:r>
      <w:r>
        <w:rPr>
          <w:rFonts w:hint="eastAsia" w:ascii="仿宋" w:hAnsi="仿宋" w:eastAsia="仿宋" w:cs="仿宋"/>
          <w:sz w:val="24"/>
          <w:szCs w:val="24"/>
        </w:rPr>
        <w:t>联系电话：</w:t>
      </w:r>
      <w:r>
        <w:rPr>
          <w:rFonts w:ascii="仿宋" w:hAnsi="仿宋" w:eastAsia="仿宋" w:cs="仿宋"/>
          <w:sz w:val="24"/>
          <w:szCs w:val="24"/>
          <w:u w:val="single"/>
        </w:rPr>
        <w:t xml:space="preserve">              </w:t>
      </w:r>
    </w:p>
    <w:p>
      <w:pPr>
        <w:spacing w:line="360" w:lineRule="auto"/>
        <w:ind w:firstLine="480" w:firstLineChars="200"/>
        <w:jc w:val="left"/>
        <w:rPr>
          <w:rFonts w:ascii="仿宋" w:hAnsi="仿宋" w:eastAsia="仿宋" w:cs="Times New Roman"/>
          <w:sz w:val="24"/>
          <w:szCs w:val="24"/>
          <w:u w:val="single"/>
        </w:rPr>
      </w:pPr>
      <w:r>
        <w:rPr>
          <w:rFonts w:hint="eastAsia" w:ascii="仿宋" w:hAnsi="仿宋" w:eastAsia="仿宋" w:cs="仿宋"/>
          <w:sz w:val="24"/>
          <w:szCs w:val="24"/>
        </w:rPr>
        <w:t>上级部门：（盖章）</w:t>
      </w:r>
      <w:r>
        <w:rPr>
          <w:rFonts w:ascii="仿宋" w:hAnsi="仿宋" w:eastAsia="仿宋" w:cs="仿宋"/>
          <w:sz w:val="24"/>
          <w:szCs w:val="24"/>
        </w:rPr>
        <w:t xml:space="preserve">                       </w:t>
      </w:r>
      <w:r>
        <w:rPr>
          <w:rFonts w:hint="eastAsia" w:ascii="仿宋" w:hAnsi="仿宋" w:eastAsia="仿宋" w:cs="仿宋"/>
          <w:sz w:val="24"/>
          <w:szCs w:val="24"/>
        </w:rPr>
        <w:t>上级部门：（盖章）</w:t>
      </w:r>
    </w:p>
    <w:p>
      <w:pPr>
        <w:adjustRightInd w:val="0"/>
        <w:snapToGrid w:val="0"/>
        <w:spacing w:line="360" w:lineRule="auto"/>
        <w:ind w:firstLine="480" w:firstLineChars="200"/>
        <w:rPr>
          <w:rFonts w:ascii="仿宋" w:hAnsi="仿宋" w:eastAsia="仿宋" w:cs="Times New Roman"/>
          <w:sz w:val="24"/>
          <w:szCs w:val="24"/>
        </w:rPr>
      </w:pPr>
      <w:r>
        <w:rPr>
          <w:rFonts w:ascii="仿宋" w:hAnsi="仿宋" w:eastAsia="仿宋" w:cs="仿宋"/>
          <w:sz w:val="24"/>
          <w:szCs w:val="24"/>
          <w:u w:val="single"/>
        </w:rPr>
        <w:t xml:space="preserve">          </w:t>
      </w:r>
      <w:r>
        <w:rPr>
          <w:rFonts w:hint="eastAsia" w:ascii="仿宋" w:hAnsi="仿宋" w:eastAsia="仿宋" w:cs="仿宋"/>
          <w:sz w:val="24"/>
          <w:szCs w:val="24"/>
        </w:rPr>
        <w:t>年</w:t>
      </w:r>
      <w:r>
        <w:rPr>
          <w:rFonts w:ascii="仿宋" w:hAnsi="仿宋" w:eastAsia="仿宋" w:cs="仿宋"/>
          <w:sz w:val="24"/>
          <w:szCs w:val="24"/>
          <w:u w:val="single"/>
        </w:rPr>
        <w:t xml:space="preserve">     </w:t>
      </w:r>
      <w:r>
        <w:rPr>
          <w:rFonts w:hint="eastAsia" w:ascii="仿宋" w:hAnsi="仿宋" w:eastAsia="仿宋" w:cs="仿宋"/>
          <w:sz w:val="24"/>
          <w:szCs w:val="24"/>
        </w:rPr>
        <w:t>月</w:t>
      </w:r>
      <w:r>
        <w:rPr>
          <w:rFonts w:ascii="仿宋" w:hAnsi="仿宋" w:eastAsia="仿宋" w:cs="仿宋"/>
          <w:sz w:val="24"/>
          <w:szCs w:val="24"/>
          <w:u w:val="single"/>
        </w:rPr>
        <w:t xml:space="preserve">     </w:t>
      </w:r>
      <w:r>
        <w:rPr>
          <w:rFonts w:hint="eastAsia" w:ascii="仿宋" w:hAnsi="仿宋" w:eastAsia="仿宋" w:cs="仿宋"/>
          <w:sz w:val="24"/>
          <w:szCs w:val="24"/>
        </w:rPr>
        <w:t>日</w:t>
      </w:r>
      <w:r>
        <w:rPr>
          <w:rFonts w:ascii="仿宋" w:hAnsi="仿宋" w:eastAsia="仿宋" w:cs="仿宋"/>
          <w:sz w:val="24"/>
          <w:szCs w:val="24"/>
        </w:rPr>
        <w:t xml:space="preserve">               </w:t>
      </w:r>
      <w:r>
        <w:rPr>
          <w:rFonts w:ascii="仿宋" w:hAnsi="仿宋" w:eastAsia="仿宋" w:cs="仿宋"/>
          <w:sz w:val="24"/>
          <w:szCs w:val="24"/>
          <w:u w:val="single"/>
        </w:rPr>
        <w:t xml:space="preserve">          </w:t>
      </w:r>
      <w:r>
        <w:rPr>
          <w:rFonts w:hint="eastAsia" w:ascii="仿宋" w:hAnsi="仿宋" w:eastAsia="仿宋" w:cs="仿宋"/>
          <w:sz w:val="24"/>
          <w:szCs w:val="24"/>
        </w:rPr>
        <w:t>年</w:t>
      </w:r>
      <w:r>
        <w:rPr>
          <w:rFonts w:ascii="仿宋" w:hAnsi="仿宋" w:eastAsia="仿宋" w:cs="仿宋"/>
          <w:sz w:val="24"/>
          <w:szCs w:val="24"/>
          <w:u w:val="single"/>
        </w:rPr>
        <w:t xml:space="preserve">     </w:t>
      </w:r>
      <w:r>
        <w:rPr>
          <w:rFonts w:hint="eastAsia" w:ascii="仿宋" w:hAnsi="仿宋" w:eastAsia="仿宋" w:cs="仿宋"/>
          <w:sz w:val="24"/>
          <w:szCs w:val="24"/>
        </w:rPr>
        <w:t>月</w:t>
      </w:r>
      <w:r>
        <w:rPr>
          <w:rFonts w:ascii="仿宋" w:hAnsi="仿宋" w:eastAsia="仿宋" w:cs="仿宋"/>
          <w:sz w:val="24"/>
          <w:szCs w:val="24"/>
          <w:u w:val="single"/>
        </w:rPr>
        <w:t xml:space="preserve">    </w:t>
      </w:r>
      <w:r>
        <w:rPr>
          <w:rFonts w:hint="eastAsia" w:ascii="仿宋" w:hAnsi="仿宋" w:eastAsia="仿宋" w:cs="仿宋"/>
          <w:sz w:val="24"/>
          <w:szCs w:val="24"/>
        </w:rPr>
        <w:t>日</w:t>
      </w:r>
    </w:p>
    <w:p>
      <w:pPr>
        <w:spacing w:before="240" w:beforeLines="100" w:after="240" w:afterLines="100" w:line="360" w:lineRule="auto"/>
        <w:outlineLvl w:val="1"/>
        <w:rPr>
          <w:rFonts w:ascii="仿宋" w:hAnsi="仿宋" w:eastAsia="仿宋" w:cs="仿宋"/>
          <w:b/>
          <w:bCs/>
          <w:color w:val="000000"/>
          <w:kern w:val="0"/>
          <w:sz w:val="24"/>
          <w:szCs w:val="24"/>
        </w:rPr>
      </w:pPr>
      <w:r>
        <w:rPr>
          <w:rFonts w:ascii="仿宋" w:hAnsi="仿宋" w:eastAsia="仿宋" w:cs="Times New Roman"/>
          <w:kern w:val="0"/>
          <w:sz w:val="24"/>
          <w:szCs w:val="24"/>
        </w:rPr>
        <w:br w:type="page"/>
      </w:r>
      <w:bookmarkStart w:id="736" w:name="_Toc10624987"/>
      <w:bookmarkStart w:id="737" w:name="_Toc266892927"/>
      <w:bookmarkStart w:id="738" w:name="_Toc469384143"/>
      <w:r>
        <w:rPr>
          <w:rFonts w:hint="eastAsia" w:ascii="仿宋" w:hAnsi="仿宋" w:eastAsia="仿宋" w:cs="仿宋"/>
          <w:b/>
          <w:bCs/>
          <w:color w:val="000000"/>
          <w:kern w:val="0"/>
          <w:sz w:val="24"/>
          <w:szCs w:val="24"/>
        </w:rPr>
        <w:t>格式</w:t>
      </w:r>
      <w:r>
        <w:rPr>
          <w:rFonts w:ascii="仿宋" w:hAnsi="仿宋" w:eastAsia="仿宋" w:cs="仿宋"/>
          <w:b/>
          <w:bCs/>
          <w:color w:val="000000"/>
          <w:kern w:val="0"/>
          <w:sz w:val="24"/>
          <w:szCs w:val="24"/>
        </w:rPr>
        <w:t>1</w:t>
      </w:r>
      <w:bookmarkEnd w:id="736"/>
      <w:bookmarkEnd w:id="737"/>
      <w:bookmarkEnd w:id="738"/>
    </w:p>
    <w:p>
      <w:pPr>
        <w:spacing w:line="360" w:lineRule="auto"/>
        <w:jc w:val="center"/>
        <w:rPr>
          <w:rFonts w:ascii="仿宋" w:hAnsi="仿宋" w:eastAsia="仿宋" w:cs="Times New Roman"/>
          <w:b/>
          <w:bCs/>
          <w:spacing w:val="40"/>
          <w:sz w:val="36"/>
          <w:szCs w:val="36"/>
        </w:rPr>
      </w:pPr>
      <w:r>
        <w:rPr>
          <w:rFonts w:hint="eastAsia" w:ascii="仿宋" w:hAnsi="仿宋" w:eastAsia="仿宋" w:cs="仿宋"/>
          <w:b/>
          <w:bCs/>
          <w:spacing w:val="40"/>
          <w:sz w:val="36"/>
          <w:szCs w:val="36"/>
        </w:rPr>
        <w:t>履约担保</w:t>
      </w:r>
    </w:p>
    <w:p>
      <w:pPr>
        <w:spacing w:line="360" w:lineRule="auto"/>
        <w:rPr>
          <w:rFonts w:ascii="仿宋" w:hAnsi="仿宋" w:eastAsia="仿宋" w:cs="Times New Roman"/>
          <w:sz w:val="24"/>
          <w:szCs w:val="24"/>
        </w:rPr>
      </w:pPr>
    </w:p>
    <w:p>
      <w:pPr>
        <w:spacing w:line="360" w:lineRule="auto"/>
        <w:rPr>
          <w:rFonts w:ascii="仿宋" w:hAnsi="仿宋" w:eastAsia="仿宋" w:cs="仿宋"/>
          <w:sz w:val="24"/>
          <w:szCs w:val="24"/>
        </w:rPr>
      </w:pPr>
      <w:r>
        <w:rPr>
          <w:rFonts w:hint="eastAsia" w:ascii="仿宋" w:hAnsi="仿宋" w:eastAsia="仿宋" w:cs="仿宋"/>
          <w:sz w:val="24"/>
          <w:szCs w:val="24"/>
        </w:rPr>
        <w:t>致：</w:t>
      </w:r>
      <w:r>
        <w:rPr>
          <w:rFonts w:ascii="仿宋" w:hAnsi="仿宋" w:eastAsia="仿宋" w:cs="仿宋"/>
          <w:sz w:val="24"/>
          <w:szCs w:val="24"/>
          <w:u w:val="single"/>
        </w:rPr>
        <w:t xml:space="preserve">                                                  </w:t>
      </w:r>
      <w:r>
        <w:rPr>
          <w:rFonts w:hint="eastAsia" w:ascii="仿宋" w:hAnsi="仿宋" w:eastAsia="仿宋" w:cs="仿宋"/>
          <w:sz w:val="24"/>
          <w:szCs w:val="24"/>
        </w:rPr>
        <w:t>（发包人全称）</w:t>
      </w:r>
      <w:r>
        <w:rPr>
          <w:rFonts w:ascii="仿宋" w:hAnsi="仿宋" w:eastAsia="仿宋" w:cs="仿宋"/>
          <w:sz w:val="24"/>
          <w:szCs w:val="24"/>
        </w:rPr>
        <w:t xml:space="preserve">   </w:t>
      </w:r>
    </w:p>
    <w:p>
      <w:pPr>
        <w:spacing w:line="360" w:lineRule="auto"/>
        <w:ind w:firstLine="480"/>
        <w:jc w:val="left"/>
        <w:rPr>
          <w:rFonts w:ascii="仿宋" w:hAnsi="仿宋" w:eastAsia="仿宋" w:cs="Times New Roman"/>
          <w:sz w:val="24"/>
          <w:szCs w:val="24"/>
          <w:u w:val="single"/>
        </w:rPr>
      </w:pPr>
      <w:r>
        <w:rPr>
          <w:rFonts w:hint="eastAsia" w:ascii="仿宋" w:hAnsi="仿宋" w:eastAsia="仿宋" w:cs="仿宋"/>
          <w:sz w:val="24"/>
          <w:szCs w:val="24"/>
        </w:rPr>
        <w:t>鉴于</w:t>
      </w:r>
      <w:r>
        <w:rPr>
          <w:rFonts w:ascii="仿宋" w:hAnsi="仿宋" w:eastAsia="仿宋" w:cs="仿宋"/>
          <w:sz w:val="24"/>
          <w:szCs w:val="24"/>
          <w:u w:val="single"/>
        </w:rPr>
        <w:t xml:space="preserve">             </w:t>
      </w:r>
      <w:r>
        <w:rPr>
          <w:rFonts w:hint="eastAsia" w:ascii="仿宋" w:hAnsi="仿宋" w:eastAsia="仿宋" w:cs="仿宋"/>
          <w:sz w:val="24"/>
          <w:szCs w:val="24"/>
        </w:rPr>
        <w:t>（承包人全称）</w:t>
      </w:r>
      <w:r>
        <w:rPr>
          <w:rFonts w:ascii="仿宋" w:hAnsi="仿宋" w:eastAsia="仿宋" w:cs="仿宋"/>
          <w:sz w:val="24"/>
          <w:szCs w:val="24"/>
        </w:rPr>
        <w:t>(</w:t>
      </w:r>
      <w:r>
        <w:rPr>
          <w:rFonts w:hint="eastAsia" w:ascii="仿宋" w:hAnsi="仿宋" w:eastAsia="仿宋" w:cs="仿宋"/>
          <w:sz w:val="24"/>
          <w:szCs w:val="24"/>
        </w:rPr>
        <w:t>下称“承包人”</w:t>
      </w:r>
      <w:r>
        <w:rPr>
          <w:rFonts w:ascii="仿宋" w:hAnsi="仿宋" w:eastAsia="仿宋" w:cs="仿宋"/>
          <w:sz w:val="24"/>
          <w:szCs w:val="24"/>
        </w:rPr>
        <w:t>)</w:t>
      </w:r>
      <w:r>
        <w:rPr>
          <w:rFonts w:hint="eastAsia" w:ascii="仿宋" w:hAnsi="仿宋" w:eastAsia="仿宋" w:cs="仿宋"/>
          <w:sz w:val="24"/>
          <w:szCs w:val="24"/>
        </w:rPr>
        <w:t>与</w:t>
      </w:r>
      <w:r>
        <w:rPr>
          <w:rFonts w:ascii="仿宋" w:hAnsi="仿宋" w:eastAsia="仿宋" w:cs="仿宋"/>
          <w:sz w:val="24"/>
          <w:szCs w:val="24"/>
          <w:u w:val="single"/>
        </w:rPr>
        <w:t xml:space="preserve">           </w:t>
      </w:r>
      <w:r>
        <w:rPr>
          <w:rFonts w:hint="eastAsia" w:ascii="仿宋" w:hAnsi="仿宋" w:eastAsia="仿宋" w:cs="仿宋"/>
          <w:sz w:val="24"/>
          <w:szCs w:val="24"/>
          <w:u w:val="single"/>
        </w:rPr>
        <w:t>（</w:t>
      </w:r>
      <w:r>
        <w:rPr>
          <w:rFonts w:hint="eastAsia" w:ascii="仿宋" w:hAnsi="仿宋" w:eastAsia="仿宋" w:cs="仿宋"/>
          <w:sz w:val="24"/>
          <w:szCs w:val="24"/>
        </w:rPr>
        <w:t>发包人全称）</w:t>
      </w:r>
      <w:r>
        <w:rPr>
          <w:rFonts w:ascii="仿宋" w:hAnsi="仿宋" w:eastAsia="仿宋" w:cs="仿宋"/>
          <w:sz w:val="24"/>
          <w:szCs w:val="24"/>
        </w:rPr>
        <w:t>(</w:t>
      </w:r>
      <w:r>
        <w:rPr>
          <w:rFonts w:hint="eastAsia" w:ascii="仿宋" w:hAnsi="仿宋" w:eastAsia="仿宋" w:cs="仿宋"/>
          <w:sz w:val="24"/>
          <w:szCs w:val="24"/>
        </w:rPr>
        <w:t>下称“发包人”</w:t>
      </w:r>
      <w:r>
        <w:rPr>
          <w:rFonts w:ascii="仿宋" w:hAnsi="仿宋" w:eastAsia="仿宋" w:cs="仿宋"/>
          <w:sz w:val="24"/>
          <w:szCs w:val="24"/>
        </w:rPr>
        <w:t>)</w:t>
      </w:r>
      <w:r>
        <w:rPr>
          <w:rFonts w:hint="eastAsia" w:ascii="仿宋" w:hAnsi="仿宋" w:eastAsia="仿宋" w:cs="仿宋"/>
          <w:sz w:val="24"/>
          <w:szCs w:val="24"/>
        </w:rPr>
        <w:t>签订</w:t>
      </w:r>
      <w:r>
        <w:rPr>
          <w:rFonts w:ascii="仿宋" w:hAnsi="仿宋" w:eastAsia="仿宋" w:cs="仿宋"/>
          <w:sz w:val="24"/>
          <w:szCs w:val="24"/>
        </w:rPr>
        <w:t xml:space="preserve"> </w:t>
      </w:r>
      <w:r>
        <w:rPr>
          <w:rFonts w:ascii="仿宋" w:hAnsi="仿宋" w:eastAsia="仿宋" w:cs="仿宋"/>
          <w:sz w:val="24"/>
          <w:szCs w:val="24"/>
          <w:u w:val="single"/>
        </w:rPr>
        <w:t xml:space="preserve">            </w:t>
      </w:r>
      <w:r>
        <w:rPr>
          <w:rFonts w:hint="eastAsia" w:ascii="仿宋" w:hAnsi="仿宋" w:eastAsia="仿宋" w:cs="仿宋"/>
          <w:sz w:val="24"/>
          <w:szCs w:val="24"/>
        </w:rPr>
        <w:t>（工程名称）施工合同</w:t>
      </w:r>
      <w:r>
        <w:rPr>
          <w:rFonts w:ascii="仿宋" w:hAnsi="仿宋" w:eastAsia="仿宋" w:cs="仿宋"/>
          <w:sz w:val="24"/>
          <w:szCs w:val="24"/>
        </w:rPr>
        <w:t>(</w:t>
      </w:r>
      <w:r>
        <w:rPr>
          <w:rFonts w:hint="eastAsia" w:ascii="仿宋" w:hAnsi="仿宋" w:eastAsia="仿宋" w:cs="仿宋"/>
          <w:sz w:val="24"/>
          <w:szCs w:val="24"/>
        </w:rPr>
        <w:t>编号</w:t>
      </w:r>
      <w:r>
        <w:rPr>
          <w:rFonts w:ascii="仿宋" w:hAnsi="仿宋" w:eastAsia="仿宋" w:cs="仿宋"/>
          <w:sz w:val="24"/>
          <w:szCs w:val="24"/>
          <w:u w:val="single"/>
        </w:rPr>
        <w:t xml:space="preserve">     </w:t>
      </w:r>
      <w:r>
        <w:rPr>
          <w:rFonts w:hint="eastAsia" w:ascii="仿宋" w:hAnsi="仿宋" w:eastAsia="仿宋" w:cs="仿宋"/>
          <w:sz w:val="24"/>
          <w:szCs w:val="24"/>
        </w:rPr>
        <w:t>，</w:t>
      </w:r>
      <w:r>
        <w:rPr>
          <w:rFonts w:ascii="仿宋" w:hAnsi="仿宋" w:eastAsia="仿宋" w:cs="仿宋"/>
          <w:sz w:val="24"/>
          <w:szCs w:val="24"/>
          <w:u w:val="single"/>
        </w:rPr>
        <w:t xml:space="preserve">   </w:t>
      </w:r>
      <w:r>
        <w:rPr>
          <w:rFonts w:hint="eastAsia" w:ascii="仿宋" w:hAnsi="仿宋" w:eastAsia="仿宋" w:cs="仿宋"/>
          <w:sz w:val="24"/>
          <w:szCs w:val="24"/>
        </w:rPr>
        <w:t>年</w:t>
      </w:r>
      <w:r>
        <w:rPr>
          <w:rFonts w:ascii="仿宋" w:hAnsi="仿宋" w:eastAsia="仿宋" w:cs="仿宋"/>
          <w:sz w:val="24"/>
          <w:szCs w:val="24"/>
        </w:rPr>
        <w:t xml:space="preserve"> </w:t>
      </w:r>
      <w:r>
        <w:rPr>
          <w:rFonts w:ascii="仿宋" w:hAnsi="仿宋" w:eastAsia="仿宋" w:cs="仿宋"/>
          <w:sz w:val="24"/>
          <w:szCs w:val="24"/>
          <w:u w:val="single"/>
        </w:rPr>
        <w:t xml:space="preserve">   </w:t>
      </w:r>
      <w:r>
        <w:rPr>
          <w:rFonts w:hint="eastAsia" w:ascii="仿宋" w:hAnsi="仿宋" w:eastAsia="仿宋" w:cs="仿宋"/>
          <w:sz w:val="24"/>
          <w:szCs w:val="24"/>
        </w:rPr>
        <w:t>月</w:t>
      </w:r>
      <w:r>
        <w:rPr>
          <w:rFonts w:ascii="仿宋" w:hAnsi="仿宋" w:eastAsia="仿宋" w:cs="仿宋"/>
          <w:sz w:val="24"/>
          <w:szCs w:val="24"/>
          <w:u w:val="single"/>
        </w:rPr>
        <w:t xml:space="preserve">   </w:t>
      </w:r>
      <w:r>
        <w:rPr>
          <w:rFonts w:hint="eastAsia" w:ascii="仿宋" w:hAnsi="仿宋" w:eastAsia="仿宋" w:cs="仿宋"/>
          <w:sz w:val="24"/>
          <w:szCs w:val="24"/>
        </w:rPr>
        <w:t>日签署</w:t>
      </w:r>
      <w:r>
        <w:rPr>
          <w:rFonts w:ascii="仿宋" w:hAnsi="仿宋" w:eastAsia="仿宋" w:cs="仿宋"/>
          <w:sz w:val="24"/>
          <w:szCs w:val="24"/>
        </w:rPr>
        <w:t>)</w:t>
      </w:r>
      <w:r>
        <w:rPr>
          <w:rFonts w:hint="eastAsia" w:ascii="仿宋" w:hAnsi="仿宋" w:eastAsia="仿宋" w:cs="仿宋"/>
          <w:sz w:val="24"/>
          <w:szCs w:val="24"/>
        </w:rPr>
        <w:t>，并保证承包人按合同约定履行实施、完成并保修合同工程的义务和责任；发包人在合同中要求承包人应通过经认可的银行提交合同指定的承包人履行本合同全部义务和责任的担保金额等事实，我方愿意为承包人担保，以担保金额人民币</w:t>
      </w:r>
      <w:r>
        <w:rPr>
          <w:rFonts w:ascii="仿宋" w:hAnsi="仿宋" w:eastAsia="仿宋" w:cs="仿宋"/>
          <w:sz w:val="24"/>
          <w:szCs w:val="24"/>
        </w:rPr>
        <w:t>(</w:t>
      </w:r>
      <w:r>
        <w:rPr>
          <w:rFonts w:hint="eastAsia" w:ascii="仿宋" w:hAnsi="仿宋" w:eastAsia="仿宋" w:cs="仿宋"/>
          <w:sz w:val="24"/>
          <w:szCs w:val="24"/>
        </w:rPr>
        <w:t>大写</w:t>
      </w:r>
      <w:r>
        <w:rPr>
          <w:rFonts w:ascii="仿宋" w:hAnsi="仿宋" w:eastAsia="仿宋" w:cs="仿宋"/>
          <w:sz w:val="24"/>
          <w:szCs w:val="24"/>
        </w:rPr>
        <w:t>)</w:t>
      </w:r>
      <w:r>
        <w:rPr>
          <w:rFonts w:ascii="仿宋" w:hAnsi="仿宋" w:eastAsia="仿宋" w:cs="仿宋"/>
          <w:sz w:val="24"/>
          <w:szCs w:val="24"/>
          <w:u w:val="single"/>
        </w:rPr>
        <w:t xml:space="preserve">                       </w:t>
      </w:r>
      <w:r>
        <w:rPr>
          <w:rFonts w:hint="eastAsia" w:ascii="仿宋" w:hAnsi="仿宋" w:eastAsia="仿宋" w:cs="仿宋"/>
          <w:sz w:val="24"/>
          <w:szCs w:val="24"/>
        </w:rPr>
        <w:t>元</w:t>
      </w:r>
      <w:r>
        <w:rPr>
          <w:rFonts w:ascii="仿宋" w:hAnsi="仿宋" w:eastAsia="仿宋" w:cs="仿宋"/>
          <w:sz w:val="24"/>
          <w:szCs w:val="24"/>
        </w:rPr>
        <w:t>(</w:t>
      </w:r>
      <w:r>
        <w:rPr>
          <w:rFonts w:ascii="宋体" w:hAnsi="宋体" w:eastAsia="仿宋" w:cs="Times New Roman"/>
          <w:sz w:val="24"/>
          <w:szCs w:val="24"/>
        </w:rPr>
        <w:t>¥</w:t>
      </w:r>
      <w:r>
        <w:rPr>
          <w:rFonts w:ascii="仿宋" w:hAnsi="仿宋" w:eastAsia="仿宋" w:cs="仿宋"/>
          <w:sz w:val="24"/>
          <w:szCs w:val="24"/>
        </w:rPr>
        <w:t xml:space="preserve"> </w:t>
      </w:r>
      <w:r>
        <w:rPr>
          <w:rFonts w:ascii="仿宋" w:hAnsi="仿宋" w:eastAsia="仿宋" w:cs="仿宋"/>
          <w:sz w:val="24"/>
          <w:szCs w:val="24"/>
          <w:u w:val="single"/>
        </w:rPr>
        <w:t xml:space="preserve">       </w:t>
      </w:r>
      <w:r>
        <w:rPr>
          <w:rFonts w:hint="eastAsia" w:ascii="仿宋" w:hAnsi="仿宋" w:eastAsia="仿宋" w:cs="仿宋"/>
          <w:sz w:val="24"/>
          <w:szCs w:val="24"/>
        </w:rPr>
        <w:t>元</w:t>
      </w:r>
      <w:r>
        <w:rPr>
          <w:rFonts w:ascii="仿宋" w:hAnsi="仿宋" w:eastAsia="仿宋" w:cs="仿宋"/>
          <w:sz w:val="24"/>
          <w:szCs w:val="24"/>
        </w:rPr>
        <w:t>)</w:t>
      </w:r>
      <w:r>
        <w:rPr>
          <w:rFonts w:hint="eastAsia" w:ascii="仿宋" w:hAnsi="仿宋" w:eastAsia="仿宋" w:cs="仿宋"/>
          <w:sz w:val="24"/>
          <w:szCs w:val="24"/>
        </w:rPr>
        <w:t>向发包人提供不可撤销的担保。</w:t>
      </w:r>
    </w:p>
    <w:p>
      <w:pPr>
        <w:spacing w:line="360" w:lineRule="auto"/>
        <w:ind w:firstLine="480"/>
        <w:rPr>
          <w:rFonts w:ascii="仿宋" w:hAnsi="仿宋" w:eastAsia="仿宋" w:cs="Times New Roman"/>
          <w:sz w:val="24"/>
          <w:szCs w:val="24"/>
        </w:rPr>
      </w:pPr>
      <w:r>
        <w:rPr>
          <w:rFonts w:hint="eastAsia" w:ascii="仿宋" w:hAnsi="仿宋" w:eastAsia="仿宋" w:cs="仿宋"/>
          <w:sz w:val="24"/>
          <w:szCs w:val="24"/>
        </w:rPr>
        <w:t>如果承包人在履行合同过程中发生违约或违背合同约定的义务和责任时，我方保证在担保金额额度内偿还或偿清发包人因承包人该项违约或违背所造成的经济损失，并在接到发包人提出赔偿要求的第</w:t>
      </w:r>
      <w:r>
        <w:rPr>
          <w:rFonts w:ascii="仿宋" w:hAnsi="仿宋" w:eastAsia="仿宋" w:cs="仿宋"/>
          <w:sz w:val="24"/>
          <w:szCs w:val="24"/>
          <w:u w:val="single"/>
        </w:rPr>
        <w:t xml:space="preserve">    </w:t>
      </w:r>
      <w:r>
        <w:rPr>
          <w:rFonts w:hint="eastAsia" w:ascii="仿宋" w:hAnsi="仿宋" w:eastAsia="仿宋" w:cs="仿宋"/>
          <w:sz w:val="24"/>
          <w:szCs w:val="24"/>
        </w:rPr>
        <w:t>天内予以支付，发包人应提供承包人有上述违约或违背合同约定事实的证据或相关的证明材料。</w:t>
      </w:r>
    </w:p>
    <w:p>
      <w:pPr>
        <w:spacing w:line="360" w:lineRule="auto"/>
        <w:ind w:firstLine="480"/>
        <w:rPr>
          <w:rFonts w:ascii="仿宋" w:hAnsi="仿宋" w:eastAsia="仿宋" w:cs="Times New Roman"/>
          <w:sz w:val="24"/>
          <w:szCs w:val="24"/>
        </w:rPr>
      </w:pPr>
      <w:r>
        <w:rPr>
          <w:rFonts w:hint="eastAsia" w:ascii="仿宋" w:hAnsi="仿宋" w:eastAsia="仿宋" w:cs="仿宋"/>
          <w:sz w:val="24"/>
          <w:szCs w:val="24"/>
        </w:rPr>
        <w:t>在向我方提出要求前，我方将不坚持要求发包人首先向承包人提出上述款项的索赔。</w:t>
      </w:r>
    </w:p>
    <w:p>
      <w:pPr>
        <w:spacing w:line="360" w:lineRule="auto"/>
        <w:ind w:firstLine="480"/>
        <w:rPr>
          <w:rFonts w:ascii="仿宋" w:hAnsi="仿宋" w:eastAsia="仿宋" w:cs="Times New Roman"/>
          <w:sz w:val="24"/>
          <w:szCs w:val="24"/>
        </w:rPr>
      </w:pPr>
      <w:r>
        <w:rPr>
          <w:rFonts w:hint="eastAsia" w:ascii="仿宋" w:hAnsi="仿宋" w:eastAsia="仿宋" w:cs="仿宋"/>
          <w:sz w:val="24"/>
          <w:szCs w:val="24"/>
        </w:rPr>
        <w:t>我方承诺：不论是否经我方知晓或同意，我方的义务和责任不因合同双方当事人对合同条款所作的任何修改或补充而解除。</w:t>
      </w:r>
    </w:p>
    <w:p>
      <w:pPr>
        <w:spacing w:line="360" w:lineRule="auto"/>
        <w:ind w:firstLine="480"/>
        <w:rPr>
          <w:rFonts w:ascii="仿宋" w:hAnsi="仿宋" w:eastAsia="仿宋" w:cs="Times New Roman"/>
          <w:sz w:val="24"/>
          <w:szCs w:val="24"/>
        </w:rPr>
      </w:pPr>
      <w:r>
        <w:rPr>
          <w:rFonts w:hint="eastAsia" w:ascii="仿宋" w:hAnsi="仿宋" w:eastAsia="仿宋" w:cs="仿宋"/>
          <w:sz w:val="24"/>
          <w:szCs w:val="24"/>
        </w:rPr>
        <w:t>本履约担保自合同双方当事人签署施工合同之日起生效，至担保金额支付完毕，或工程竣工验收合格，发包人向承包人颁发竣工验收证书后第</w:t>
      </w:r>
      <w:r>
        <w:rPr>
          <w:rFonts w:ascii="仿宋" w:hAnsi="仿宋" w:eastAsia="仿宋" w:cs="仿宋"/>
          <w:sz w:val="24"/>
          <w:szCs w:val="24"/>
        </w:rPr>
        <w:t>15</w:t>
      </w:r>
      <w:r>
        <w:rPr>
          <w:rFonts w:hint="eastAsia" w:ascii="仿宋" w:hAnsi="仿宋" w:eastAsia="仿宋" w:cs="仿宋"/>
          <w:sz w:val="24"/>
          <w:szCs w:val="24"/>
        </w:rPr>
        <w:t>天止。</w:t>
      </w:r>
    </w:p>
    <w:p>
      <w:pPr>
        <w:spacing w:line="360" w:lineRule="auto"/>
        <w:ind w:firstLine="480"/>
        <w:rPr>
          <w:rFonts w:ascii="仿宋" w:hAnsi="仿宋" w:eastAsia="仿宋" w:cs="Times New Roman"/>
          <w:sz w:val="24"/>
          <w:szCs w:val="24"/>
        </w:rPr>
      </w:pPr>
    </w:p>
    <w:p>
      <w:pPr>
        <w:spacing w:line="360" w:lineRule="auto"/>
        <w:ind w:firstLine="480"/>
        <w:rPr>
          <w:rFonts w:ascii="仿宋" w:hAnsi="仿宋" w:eastAsia="仿宋" w:cs="Times New Roman"/>
          <w:sz w:val="24"/>
          <w:szCs w:val="24"/>
        </w:rPr>
      </w:pPr>
    </w:p>
    <w:p>
      <w:pPr>
        <w:spacing w:line="360" w:lineRule="auto"/>
        <w:ind w:firstLine="480"/>
        <w:rPr>
          <w:rFonts w:ascii="仿宋" w:hAnsi="仿宋" w:eastAsia="仿宋" w:cs="Times New Roman"/>
          <w:sz w:val="24"/>
          <w:szCs w:val="24"/>
        </w:rPr>
      </w:pPr>
    </w:p>
    <w:p>
      <w:pPr>
        <w:spacing w:line="360" w:lineRule="auto"/>
        <w:ind w:firstLine="480"/>
        <w:rPr>
          <w:rFonts w:ascii="仿宋" w:hAnsi="仿宋" w:eastAsia="仿宋" w:cs="Times New Roman"/>
          <w:sz w:val="24"/>
          <w:szCs w:val="24"/>
        </w:rPr>
      </w:pPr>
    </w:p>
    <w:p>
      <w:pPr>
        <w:spacing w:line="360" w:lineRule="auto"/>
        <w:ind w:firstLine="480"/>
        <w:rPr>
          <w:rFonts w:ascii="仿宋" w:hAnsi="仿宋" w:eastAsia="仿宋" w:cs="Times New Roman"/>
          <w:sz w:val="24"/>
          <w:szCs w:val="24"/>
        </w:rPr>
      </w:pPr>
    </w:p>
    <w:p>
      <w:pPr>
        <w:spacing w:line="360" w:lineRule="auto"/>
        <w:ind w:firstLine="480"/>
        <w:rPr>
          <w:rFonts w:ascii="仿宋" w:hAnsi="仿宋" w:eastAsia="仿宋" w:cs="Times New Roman"/>
          <w:sz w:val="24"/>
          <w:szCs w:val="24"/>
        </w:rPr>
      </w:pPr>
    </w:p>
    <w:p>
      <w:pPr>
        <w:spacing w:line="360" w:lineRule="auto"/>
        <w:ind w:firstLine="480"/>
        <w:rPr>
          <w:rFonts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担保人盖章：</w:t>
      </w:r>
    </w:p>
    <w:p>
      <w:pPr>
        <w:spacing w:line="360" w:lineRule="auto"/>
        <w:ind w:firstLine="480"/>
        <w:rPr>
          <w:rFonts w:ascii="仿宋" w:hAnsi="仿宋" w:eastAsia="仿宋" w:cs="仿宋"/>
          <w:sz w:val="24"/>
          <w:szCs w:val="24"/>
        </w:rPr>
      </w:pPr>
      <w:r>
        <w:rPr>
          <w:rFonts w:ascii="仿宋" w:hAnsi="仿宋" w:eastAsia="仿宋" w:cs="仿宋"/>
          <w:sz w:val="24"/>
          <w:szCs w:val="24"/>
        </w:rPr>
        <w:t xml:space="preserve">                                </w:t>
      </w:r>
      <w:r>
        <w:rPr>
          <w:rFonts w:hint="eastAsia" w:ascii="仿宋" w:hAnsi="仿宋" w:eastAsia="仿宋" w:cs="仿宋"/>
          <w:sz w:val="24"/>
          <w:szCs w:val="24"/>
        </w:rPr>
        <w:t>法定代表人或其授权的代理人：</w:t>
      </w:r>
      <w:r>
        <w:rPr>
          <w:rFonts w:ascii="仿宋" w:hAnsi="仿宋" w:eastAsia="仿宋" w:cs="仿宋"/>
          <w:sz w:val="24"/>
          <w:szCs w:val="24"/>
        </w:rPr>
        <w:t>(</w:t>
      </w:r>
      <w:r>
        <w:rPr>
          <w:rFonts w:hint="eastAsia" w:ascii="仿宋" w:hAnsi="仿宋" w:eastAsia="仿宋" w:cs="仿宋"/>
          <w:sz w:val="24"/>
          <w:szCs w:val="24"/>
        </w:rPr>
        <w:t>签字签章</w:t>
      </w:r>
      <w:r>
        <w:rPr>
          <w:rFonts w:ascii="仿宋" w:hAnsi="仿宋" w:eastAsia="仿宋" w:cs="仿宋"/>
          <w:sz w:val="24"/>
          <w:szCs w:val="24"/>
        </w:rPr>
        <w:t xml:space="preserve">)                                                         </w:t>
      </w:r>
    </w:p>
    <w:p>
      <w:pPr>
        <w:spacing w:line="360" w:lineRule="auto"/>
        <w:ind w:firstLine="4560" w:firstLineChars="1900"/>
        <w:rPr>
          <w:rFonts w:ascii="仿宋" w:hAnsi="仿宋" w:eastAsia="仿宋" w:cs="仿宋"/>
          <w:sz w:val="24"/>
          <w:szCs w:val="24"/>
        </w:rPr>
      </w:pPr>
      <w:r>
        <w:rPr>
          <w:rFonts w:ascii="仿宋" w:hAnsi="仿宋" w:eastAsia="仿宋" w:cs="仿宋"/>
          <w:sz w:val="24"/>
          <w:szCs w:val="24"/>
        </w:rPr>
        <w:t xml:space="preserve">  </w:t>
      </w:r>
      <w:r>
        <w:rPr>
          <w:rFonts w:hint="eastAsia" w:ascii="仿宋" w:hAnsi="仿宋" w:eastAsia="仿宋" w:cs="仿宋"/>
          <w:sz w:val="24"/>
          <w:szCs w:val="24"/>
        </w:rPr>
        <w:t>地址：</w:t>
      </w:r>
      <w:r>
        <w:rPr>
          <w:rFonts w:ascii="仿宋" w:hAnsi="仿宋" w:eastAsia="仿宋" w:cs="仿宋"/>
          <w:sz w:val="24"/>
          <w:szCs w:val="24"/>
        </w:rPr>
        <w:t xml:space="preserve"> </w:t>
      </w:r>
    </w:p>
    <w:p>
      <w:pPr>
        <w:spacing w:line="360" w:lineRule="auto"/>
        <w:rPr>
          <w:rFonts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日期：</w:t>
      </w:r>
      <w:r>
        <w:rPr>
          <w:rFonts w:ascii="仿宋" w:hAnsi="仿宋" w:eastAsia="仿宋" w:cs="仿宋"/>
          <w:sz w:val="24"/>
          <w:szCs w:val="24"/>
          <w:u w:val="single"/>
        </w:rPr>
        <w:t xml:space="preserve">       </w:t>
      </w:r>
      <w:r>
        <w:rPr>
          <w:rFonts w:hint="eastAsia" w:ascii="仿宋" w:hAnsi="仿宋" w:eastAsia="仿宋" w:cs="仿宋"/>
          <w:sz w:val="24"/>
          <w:szCs w:val="24"/>
        </w:rPr>
        <w:t>年</w:t>
      </w:r>
      <w:r>
        <w:rPr>
          <w:rFonts w:ascii="仿宋" w:hAnsi="仿宋" w:eastAsia="仿宋" w:cs="仿宋"/>
          <w:sz w:val="24"/>
          <w:szCs w:val="24"/>
          <w:u w:val="single"/>
        </w:rPr>
        <w:t xml:space="preserve">     </w:t>
      </w:r>
      <w:r>
        <w:rPr>
          <w:rFonts w:hint="eastAsia" w:ascii="仿宋" w:hAnsi="仿宋" w:eastAsia="仿宋" w:cs="仿宋"/>
          <w:sz w:val="24"/>
          <w:szCs w:val="24"/>
        </w:rPr>
        <w:t>月</w:t>
      </w:r>
      <w:r>
        <w:rPr>
          <w:rFonts w:ascii="仿宋" w:hAnsi="仿宋" w:eastAsia="仿宋" w:cs="仿宋"/>
          <w:sz w:val="24"/>
          <w:szCs w:val="24"/>
          <w:u w:val="single"/>
        </w:rPr>
        <w:t xml:space="preserve">    </w:t>
      </w:r>
      <w:r>
        <w:rPr>
          <w:rFonts w:hint="eastAsia" w:ascii="仿宋" w:hAnsi="仿宋" w:eastAsia="仿宋" w:cs="仿宋"/>
          <w:sz w:val="24"/>
          <w:szCs w:val="24"/>
        </w:rPr>
        <w:t>日</w:t>
      </w:r>
    </w:p>
    <w:p>
      <w:pPr>
        <w:spacing w:before="240" w:beforeLines="100" w:after="240" w:afterLines="100" w:line="360" w:lineRule="auto"/>
        <w:outlineLvl w:val="1"/>
        <w:rPr>
          <w:rFonts w:ascii="仿宋" w:hAnsi="仿宋" w:eastAsia="仿宋" w:cs="仿宋"/>
          <w:b/>
          <w:bCs/>
          <w:color w:val="000000"/>
          <w:kern w:val="0"/>
          <w:sz w:val="24"/>
          <w:szCs w:val="24"/>
        </w:rPr>
      </w:pPr>
      <w:r>
        <w:rPr>
          <w:rFonts w:ascii="仿宋" w:hAnsi="仿宋" w:eastAsia="仿宋" w:cs="Times New Roman"/>
          <w:kern w:val="0"/>
          <w:sz w:val="24"/>
          <w:szCs w:val="24"/>
        </w:rPr>
        <w:br w:type="page"/>
      </w:r>
      <w:bookmarkStart w:id="739" w:name="_Toc266892928"/>
      <w:bookmarkStart w:id="740" w:name="_Toc469384144"/>
      <w:bookmarkStart w:id="741" w:name="_Toc10624988"/>
      <w:r>
        <w:rPr>
          <w:rFonts w:hint="eastAsia" w:ascii="仿宋" w:hAnsi="仿宋" w:eastAsia="仿宋" w:cs="仿宋"/>
          <w:b/>
          <w:bCs/>
          <w:color w:val="000000"/>
          <w:kern w:val="0"/>
          <w:sz w:val="24"/>
          <w:szCs w:val="24"/>
        </w:rPr>
        <w:t>格式</w:t>
      </w:r>
      <w:r>
        <w:rPr>
          <w:rFonts w:ascii="仿宋" w:hAnsi="仿宋" w:eastAsia="仿宋" w:cs="仿宋"/>
          <w:b/>
          <w:bCs/>
          <w:color w:val="000000"/>
          <w:kern w:val="0"/>
          <w:sz w:val="24"/>
          <w:szCs w:val="24"/>
        </w:rPr>
        <w:t>2</w:t>
      </w:r>
      <w:bookmarkEnd w:id="739"/>
      <w:bookmarkEnd w:id="740"/>
      <w:bookmarkEnd w:id="741"/>
    </w:p>
    <w:p>
      <w:pPr>
        <w:spacing w:line="360" w:lineRule="auto"/>
        <w:jc w:val="center"/>
        <w:rPr>
          <w:rFonts w:ascii="仿宋" w:hAnsi="仿宋" w:eastAsia="仿宋" w:cs="Times New Roman"/>
          <w:b/>
          <w:bCs/>
          <w:spacing w:val="40"/>
          <w:sz w:val="36"/>
          <w:szCs w:val="36"/>
        </w:rPr>
      </w:pPr>
      <w:r>
        <w:rPr>
          <w:rFonts w:hint="eastAsia" w:ascii="仿宋" w:hAnsi="仿宋" w:eastAsia="仿宋" w:cs="仿宋"/>
          <w:b/>
          <w:bCs/>
          <w:spacing w:val="40"/>
          <w:sz w:val="36"/>
          <w:szCs w:val="36"/>
        </w:rPr>
        <w:t>支付担保</w:t>
      </w:r>
    </w:p>
    <w:p>
      <w:pPr>
        <w:spacing w:line="360" w:lineRule="auto"/>
        <w:rPr>
          <w:rFonts w:ascii="仿宋" w:hAnsi="仿宋" w:eastAsia="仿宋" w:cs="Times New Roman"/>
          <w:sz w:val="24"/>
          <w:szCs w:val="24"/>
        </w:rPr>
      </w:pPr>
    </w:p>
    <w:p>
      <w:pPr>
        <w:spacing w:line="360" w:lineRule="auto"/>
        <w:rPr>
          <w:rFonts w:ascii="仿宋" w:hAnsi="仿宋" w:eastAsia="仿宋" w:cs="仿宋"/>
          <w:sz w:val="24"/>
          <w:szCs w:val="24"/>
        </w:rPr>
      </w:pPr>
      <w:r>
        <w:rPr>
          <w:rFonts w:hint="eastAsia" w:ascii="仿宋" w:hAnsi="仿宋" w:eastAsia="仿宋" w:cs="仿宋"/>
          <w:sz w:val="24"/>
          <w:szCs w:val="24"/>
        </w:rPr>
        <w:t>致：</w:t>
      </w:r>
      <w:r>
        <w:rPr>
          <w:rFonts w:ascii="仿宋" w:hAnsi="仿宋" w:eastAsia="仿宋" w:cs="仿宋"/>
          <w:sz w:val="24"/>
          <w:szCs w:val="24"/>
          <w:u w:val="single"/>
        </w:rPr>
        <w:t xml:space="preserve">                                              </w:t>
      </w:r>
      <w:r>
        <w:rPr>
          <w:rFonts w:hint="eastAsia" w:ascii="仿宋" w:hAnsi="仿宋" w:eastAsia="仿宋" w:cs="仿宋"/>
          <w:sz w:val="24"/>
          <w:szCs w:val="24"/>
        </w:rPr>
        <w:t>（承包人全称）</w:t>
      </w:r>
      <w:r>
        <w:rPr>
          <w:rFonts w:ascii="仿宋" w:hAnsi="仿宋" w:eastAsia="仿宋" w:cs="仿宋"/>
          <w:sz w:val="24"/>
          <w:szCs w:val="24"/>
        </w:rPr>
        <w:t xml:space="preserve">   </w:t>
      </w:r>
    </w:p>
    <w:p>
      <w:pPr>
        <w:spacing w:line="360" w:lineRule="auto"/>
        <w:ind w:firstLine="480"/>
        <w:jc w:val="left"/>
        <w:rPr>
          <w:rFonts w:ascii="仿宋" w:hAnsi="仿宋" w:eastAsia="仿宋" w:cs="Times New Roman"/>
          <w:sz w:val="24"/>
          <w:szCs w:val="24"/>
        </w:rPr>
      </w:pPr>
      <w:r>
        <w:rPr>
          <w:rFonts w:hint="eastAsia" w:ascii="仿宋" w:hAnsi="仿宋" w:eastAsia="仿宋" w:cs="仿宋"/>
          <w:sz w:val="24"/>
          <w:szCs w:val="24"/>
        </w:rPr>
        <w:t>鉴于</w:t>
      </w:r>
      <w:r>
        <w:rPr>
          <w:rFonts w:ascii="仿宋" w:hAnsi="仿宋" w:eastAsia="仿宋" w:cs="仿宋"/>
          <w:sz w:val="24"/>
          <w:szCs w:val="24"/>
          <w:u w:val="single"/>
        </w:rPr>
        <w:t xml:space="preserve">                                                </w:t>
      </w:r>
      <w:r>
        <w:rPr>
          <w:rFonts w:hint="eastAsia" w:ascii="仿宋" w:hAnsi="仿宋" w:eastAsia="仿宋" w:cs="仿宋"/>
          <w:sz w:val="24"/>
          <w:szCs w:val="24"/>
        </w:rPr>
        <w:t>（发包人全称）</w:t>
      </w:r>
      <w:r>
        <w:rPr>
          <w:rFonts w:ascii="仿宋" w:hAnsi="仿宋" w:eastAsia="仿宋" w:cs="仿宋"/>
          <w:sz w:val="24"/>
          <w:szCs w:val="24"/>
        </w:rPr>
        <w:t>(</w:t>
      </w:r>
      <w:r>
        <w:rPr>
          <w:rFonts w:hint="eastAsia" w:ascii="仿宋" w:hAnsi="仿宋" w:eastAsia="仿宋" w:cs="仿宋"/>
          <w:sz w:val="24"/>
          <w:szCs w:val="24"/>
        </w:rPr>
        <w:t>下称“发包人”</w:t>
      </w:r>
      <w:r>
        <w:rPr>
          <w:rFonts w:ascii="仿宋" w:hAnsi="仿宋" w:eastAsia="仿宋" w:cs="仿宋"/>
          <w:sz w:val="24"/>
          <w:szCs w:val="24"/>
        </w:rPr>
        <w:t>)</w:t>
      </w:r>
      <w:r>
        <w:rPr>
          <w:rFonts w:hint="eastAsia" w:ascii="仿宋" w:hAnsi="仿宋" w:eastAsia="仿宋" w:cs="仿宋"/>
          <w:sz w:val="24"/>
          <w:szCs w:val="24"/>
        </w:rPr>
        <w:t>与</w:t>
      </w:r>
      <w:r>
        <w:rPr>
          <w:rFonts w:ascii="仿宋" w:hAnsi="仿宋" w:eastAsia="仿宋" w:cs="仿宋"/>
          <w:sz w:val="24"/>
          <w:szCs w:val="24"/>
          <w:u w:val="single"/>
        </w:rPr>
        <w:t xml:space="preserve">                           </w:t>
      </w:r>
      <w:r>
        <w:rPr>
          <w:rFonts w:hint="eastAsia" w:ascii="仿宋" w:hAnsi="仿宋" w:eastAsia="仿宋" w:cs="仿宋"/>
          <w:sz w:val="24"/>
          <w:szCs w:val="24"/>
        </w:rPr>
        <w:t>（承包人全称）</w:t>
      </w:r>
      <w:r>
        <w:rPr>
          <w:rFonts w:ascii="仿宋" w:hAnsi="仿宋" w:eastAsia="仿宋" w:cs="仿宋"/>
          <w:sz w:val="24"/>
          <w:szCs w:val="24"/>
        </w:rPr>
        <w:t xml:space="preserve">( </w:t>
      </w:r>
      <w:r>
        <w:rPr>
          <w:rFonts w:hint="eastAsia" w:ascii="仿宋" w:hAnsi="仿宋" w:eastAsia="仿宋" w:cs="仿宋"/>
          <w:sz w:val="24"/>
          <w:szCs w:val="24"/>
        </w:rPr>
        <w:t>下称“承包人”</w:t>
      </w:r>
      <w:r>
        <w:rPr>
          <w:rFonts w:ascii="仿宋" w:hAnsi="仿宋" w:eastAsia="仿宋" w:cs="仿宋"/>
          <w:sz w:val="24"/>
          <w:szCs w:val="24"/>
        </w:rPr>
        <w:t xml:space="preserve"> )</w:t>
      </w:r>
      <w:r>
        <w:rPr>
          <w:rFonts w:hint="eastAsia" w:ascii="仿宋" w:hAnsi="仿宋" w:eastAsia="仿宋" w:cs="仿宋"/>
          <w:sz w:val="24"/>
          <w:szCs w:val="24"/>
        </w:rPr>
        <w:t>签订</w:t>
      </w:r>
      <w:r>
        <w:rPr>
          <w:rFonts w:ascii="仿宋" w:hAnsi="仿宋" w:eastAsia="仿宋" w:cs="仿宋"/>
          <w:sz w:val="24"/>
          <w:szCs w:val="24"/>
          <w:u w:val="single"/>
        </w:rPr>
        <w:t xml:space="preserve">                                </w:t>
      </w:r>
      <w:r>
        <w:rPr>
          <w:rFonts w:hint="eastAsia" w:ascii="仿宋" w:hAnsi="仿宋" w:eastAsia="仿宋" w:cs="仿宋"/>
          <w:sz w:val="24"/>
          <w:szCs w:val="24"/>
        </w:rPr>
        <w:t>（工程名称）施工合同</w:t>
      </w:r>
      <w:r>
        <w:rPr>
          <w:rFonts w:ascii="仿宋" w:hAnsi="仿宋" w:eastAsia="仿宋" w:cs="仿宋"/>
          <w:sz w:val="24"/>
          <w:szCs w:val="24"/>
        </w:rPr>
        <w:t>(</w:t>
      </w:r>
      <w:r>
        <w:rPr>
          <w:rFonts w:hint="eastAsia" w:ascii="仿宋" w:hAnsi="仿宋" w:eastAsia="仿宋" w:cs="仿宋"/>
          <w:sz w:val="24"/>
          <w:szCs w:val="24"/>
        </w:rPr>
        <w:t>编号</w:t>
      </w:r>
      <w:r>
        <w:rPr>
          <w:rFonts w:ascii="仿宋" w:hAnsi="仿宋" w:eastAsia="仿宋" w:cs="仿宋"/>
          <w:sz w:val="24"/>
          <w:szCs w:val="24"/>
          <w:u w:val="single"/>
        </w:rPr>
        <w:t xml:space="preserve">       </w:t>
      </w:r>
      <w:r>
        <w:rPr>
          <w:rFonts w:hint="eastAsia" w:ascii="仿宋" w:hAnsi="仿宋" w:eastAsia="仿宋" w:cs="仿宋"/>
          <w:sz w:val="24"/>
          <w:szCs w:val="24"/>
        </w:rPr>
        <w:t>，</w:t>
      </w:r>
      <w:r>
        <w:rPr>
          <w:rFonts w:ascii="仿宋" w:hAnsi="仿宋" w:eastAsia="仿宋" w:cs="仿宋"/>
          <w:sz w:val="24"/>
          <w:szCs w:val="24"/>
          <w:u w:val="single"/>
        </w:rPr>
        <w:t xml:space="preserve">       </w:t>
      </w:r>
      <w:r>
        <w:rPr>
          <w:rFonts w:hint="eastAsia" w:ascii="仿宋" w:hAnsi="仿宋" w:eastAsia="仿宋" w:cs="仿宋"/>
          <w:sz w:val="24"/>
          <w:szCs w:val="24"/>
        </w:rPr>
        <w:t>年</w:t>
      </w:r>
      <w:r>
        <w:rPr>
          <w:rFonts w:ascii="仿宋" w:hAnsi="仿宋" w:eastAsia="仿宋" w:cs="仿宋"/>
          <w:sz w:val="24"/>
          <w:szCs w:val="24"/>
          <w:u w:val="single"/>
        </w:rPr>
        <w:t xml:space="preserve">     </w:t>
      </w:r>
      <w:r>
        <w:rPr>
          <w:rFonts w:hint="eastAsia" w:ascii="仿宋" w:hAnsi="仿宋" w:eastAsia="仿宋" w:cs="仿宋"/>
          <w:sz w:val="24"/>
          <w:szCs w:val="24"/>
        </w:rPr>
        <w:t>月</w:t>
      </w:r>
      <w:r>
        <w:rPr>
          <w:rFonts w:ascii="仿宋" w:hAnsi="仿宋" w:eastAsia="仿宋" w:cs="仿宋"/>
          <w:sz w:val="24"/>
          <w:szCs w:val="24"/>
          <w:u w:val="single"/>
        </w:rPr>
        <w:t xml:space="preserve">    </w:t>
      </w:r>
      <w:r>
        <w:rPr>
          <w:rFonts w:hint="eastAsia" w:ascii="仿宋" w:hAnsi="仿宋" w:eastAsia="仿宋" w:cs="仿宋"/>
          <w:sz w:val="24"/>
          <w:szCs w:val="24"/>
        </w:rPr>
        <w:t>日签署</w:t>
      </w:r>
      <w:r>
        <w:rPr>
          <w:rFonts w:ascii="仿宋" w:hAnsi="仿宋" w:eastAsia="仿宋" w:cs="仿宋"/>
          <w:sz w:val="24"/>
          <w:szCs w:val="24"/>
        </w:rPr>
        <w:t>)</w:t>
      </w:r>
      <w:r>
        <w:rPr>
          <w:rFonts w:hint="eastAsia" w:ascii="仿宋" w:hAnsi="仿宋" w:eastAsia="仿宋" w:cs="仿宋"/>
          <w:sz w:val="24"/>
          <w:szCs w:val="24"/>
        </w:rPr>
        <w:t>，并保证发包人按合同约定履行向承包人支付工程价款及其他应支付款项等全部合同价款的义务和责任；承包人在合同中要求发包人应通过经认可的担保人提交合同指约定的发包人履行本合同全部义务和责任的担保金额等事实，我方愿意为发包人担保，以担保金额人民币</w:t>
      </w:r>
      <w:r>
        <w:rPr>
          <w:rFonts w:ascii="仿宋" w:hAnsi="仿宋" w:eastAsia="仿宋" w:cs="仿宋"/>
          <w:sz w:val="24"/>
          <w:szCs w:val="24"/>
        </w:rPr>
        <w:t>(</w:t>
      </w:r>
      <w:r>
        <w:rPr>
          <w:rFonts w:hint="eastAsia" w:ascii="仿宋" w:hAnsi="仿宋" w:eastAsia="仿宋" w:cs="仿宋"/>
          <w:sz w:val="24"/>
          <w:szCs w:val="24"/>
        </w:rPr>
        <w:t>大写</w:t>
      </w:r>
      <w:r>
        <w:rPr>
          <w:rFonts w:ascii="仿宋" w:hAnsi="仿宋" w:eastAsia="仿宋" w:cs="仿宋"/>
          <w:sz w:val="24"/>
          <w:szCs w:val="24"/>
        </w:rPr>
        <w:t>)</w:t>
      </w:r>
      <w:r>
        <w:rPr>
          <w:rFonts w:ascii="仿宋" w:hAnsi="仿宋" w:eastAsia="仿宋" w:cs="仿宋"/>
          <w:sz w:val="24"/>
          <w:szCs w:val="24"/>
          <w:u w:val="single"/>
        </w:rPr>
        <w:t xml:space="preserve">                   </w:t>
      </w:r>
      <w:r>
        <w:rPr>
          <w:rFonts w:hint="eastAsia" w:ascii="仿宋" w:hAnsi="仿宋" w:eastAsia="仿宋" w:cs="仿宋"/>
          <w:sz w:val="24"/>
          <w:szCs w:val="24"/>
        </w:rPr>
        <w:t>元</w:t>
      </w:r>
      <w:r>
        <w:rPr>
          <w:rFonts w:ascii="仿宋" w:hAnsi="仿宋" w:eastAsia="仿宋" w:cs="仿宋"/>
          <w:sz w:val="24"/>
          <w:szCs w:val="24"/>
        </w:rPr>
        <w:t xml:space="preserve"> (</w:t>
      </w:r>
      <w:r>
        <w:rPr>
          <w:rFonts w:ascii="宋体" w:hAnsi="宋体" w:eastAsia="仿宋" w:cs="Times New Roman"/>
          <w:sz w:val="24"/>
          <w:szCs w:val="24"/>
        </w:rPr>
        <w:t>¥</w:t>
      </w:r>
      <w:r>
        <w:rPr>
          <w:rFonts w:ascii="仿宋" w:hAnsi="仿宋" w:eastAsia="仿宋" w:cs="仿宋"/>
          <w:sz w:val="24"/>
          <w:szCs w:val="24"/>
        </w:rPr>
        <w:t xml:space="preserve"> </w:t>
      </w:r>
      <w:r>
        <w:rPr>
          <w:rFonts w:ascii="仿宋" w:hAnsi="仿宋" w:eastAsia="仿宋" w:cs="仿宋"/>
          <w:sz w:val="24"/>
          <w:szCs w:val="24"/>
          <w:u w:val="single"/>
        </w:rPr>
        <w:t xml:space="preserve">             </w:t>
      </w:r>
      <w:r>
        <w:rPr>
          <w:rFonts w:hint="eastAsia" w:ascii="仿宋" w:hAnsi="仿宋" w:eastAsia="仿宋" w:cs="仿宋"/>
          <w:sz w:val="24"/>
          <w:szCs w:val="24"/>
        </w:rPr>
        <w:t>元</w:t>
      </w:r>
      <w:r>
        <w:rPr>
          <w:rFonts w:ascii="仿宋" w:hAnsi="仿宋" w:eastAsia="仿宋" w:cs="仿宋"/>
          <w:sz w:val="24"/>
          <w:szCs w:val="24"/>
        </w:rPr>
        <w:t>)</w:t>
      </w:r>
      <w:r>
        <w:rPr>
          <w:rFonts w:hint="eastAsia" w:ascii="仿宋" w:hAnsi="仿宋" w:eastAsia="仿宋" w:cs="仿宋"/>
          <w:sz w:val="24"/>
          <w:szCs w:val="24"/>
        </w:rPr>
        <w:t>向承包人提供不可撤销的担保。</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如果发包人在履行合同过程中不按合同约定支付全部合同价款或违背合同约定的义务和责任时，我方保证在担保金额额度内偿还或偿清承包人因发包人该项违约或违背所造成的经济损失，并在接到承包人要求的第</w:t>
      </w:r>
      <w:r>
        <w:rPr>
          <w:rFonts w:ascii="仿宋" w:hAnsi="仿宋" w:eastAsia="仿宋" w:cs="仿宋"/>
          <w:sz w:val="24"/>
          <w:szCs w:val="24"/>
          <w:u w:val="single"/>
        </w:rPr>
        <w:t xml:space="preserve">    </w:t>
      </w:r>
      <w:r>
        <w:rPr>
          <w:rFonts w:hint="eastAsia" w:ascii="仿宋" w:hAnsi="仿宋" w:eastAsia="仿宋" w:cs="仿宋"/>
          <w:sz w:val="24"/>
          <w:szCs w:val="24"/>
        </w:rPr>
        <w:t>天内予以支付，承包人应提供发包人有上述违约或违背合同约定事实的证据或相关的证明材料。</w:t>
      </w:r>
      <w:r>
        <w:rPr>
          <w:rFonts w:ascii="仿宋" w:hAnsi="仿宋" w:eastAsia="仿宋" w:cs="仿宋"/>
          <w:sz w:val="24"/>
          <w:szCs w:val="24"/>
        </w:rPr>
        <w:t xml:space="preserve">         </w:t>
      </w:r>
    </w:p>
    <w:p>
      <w:pPr>
        <w:spacing w:line="360" w:lineRule="auto"/>
        <w:ind w:firstLine="480"/>
        <w:rPr>
          <w:rFonts w:ascii="仿宋" w:hAnsi="仿宋" w:eastAsia="仿宋" w:cs="Times New Roman"/>
          <w:sz w:val="24"/>
          <w:szCs w:val="24"/>
        </w:rPr>
      </w:pPr>
      <w:r>
        <w:rPr>
          <w:rFonts w:hint="eastAsia" w:ascii="仿宋" w:hAnsi="仿宋" w:eastAsia="仿宋" w:cs="仿宋"/>
          <w:sz w:val="24"/>
          <w:szCs w:val="24"/>
        </w:rPr>
        <w:t>在向我方提出要求前，我方将不坚持要求承包人首先向发包人提出上述款项的索赔。</w:t>
      </w:r>
    </w:p>
    <w:p>
      <w:pPr>
        <w:spacing w:line="360" w:lineRule="auto"/>
        <w:ind w:firstLine="480"/>
        <w:rPr>
          <w:rFonts w:ascii="仿宋" w:hAnsi="仿宋" w:eastAsia="仿宋" w:cs="Times New Roman"/>
          <w:sz w:val="24"/>
          <w:szCs w:val="24"/>
        </w:rPr>
      </w:pPr>
      <w:r>
        <w:rPr>
          <w:rFonts w:hint="eastAsia" w:ascii="仿宋" w:hAnsi="仿宋" w:eastAsia="仿宋" w:cs="仿宋"/>
          <w:sz w:val="24"/>
          <w:szCs w:val="24"/>
        </w:rPr>
        <w:t>我方承诺：不论是否经我方知晓或同意，我方的义务和责任不因合同双方当事人对合同条款所作的任何修改或补充而解除。</w:t>
      </w:r>
    </w:p>
    <w:p>
      <w:pPr>
        <w:spacing w:line="360" w:lineRule="auto"/>
        <w:ind w:firstLine="480"/>
        <w:rPr>
          <w:rFonts w:ascii="仿宋" w:hAnsi="仿宋" w:eastAsia="仿宋" w:cs="Times New Roman"/>
          <w:sz w:val="24"/>
          <w:szCs w:val="24"/>
        </w:rPr>
      </w:pPr>
      <w:r>
        <w:rPr>
          <w:rFonts w:hint="eastAsia" w:ascii="仿宋" w:hAnsi="仿宋" w:eastAsia="仿宋" w:cs="仿宋"/>
          <w:sz w:val="24"/>
          <w:szCs w:val="24"/>
        </w:rPr>
        <w:t>本支付担保自合同双方当事人签署施工合同之日起生效，至担保金额支付完毕，或除质量保证金外，发包人向承包人支付全部合同价款完毕后的第</w:t>
      </w:r>
      <w:r>
        <w:rPr>
          <w:rFonts w:ascii="仿宋" w:hAnsi="仿宋" w:eastAsia="仿宋" w:cs="仿宋"/>
          <w:sz w:val="24"/>
          <w:szCs w:val="24"/>
        </w:rPr>
        <w:t>15</w:t>
      </w:r>
      <w:r>
        <w:rPr>
          <w:rFonts w:hint="eastAsia" w:ascii="仿宋" w:hAnsi="仿宋" w:eastAsia="仿宋" w:cs="仿宋"/>
          <w:sz w:val="24"/>
          <w:szCs w:val="24"/>
        </w:rPr>
        <w:t>天止。</w:t>
      </w:r>
    </w:p>
    <w:p>
      <w:pPr>
        <w:spacing w:line="360" w:lineRule="auto"/>
        <w:ind w:firstLine="480"/>
        <w:rPr>
          <w:rFonts w:ascii="仿宋" w:hAnsi="仿宋" w:eastAsia="仿宋" w:cs="Times New Roman"/>
          <w:sz w:val="24"/>
          <w:szCs w:val="24"/>
        </w:rPr>
      </w:pPr>
    </w:p>
    <w:p>
      <w:pPr>
        <w:spacing w:line="360" w:lineRule="auto"/>
        <w:ind w:firstLine="480"/>
        <w:rPr>
          <w:rFonts w:ascii="仿宋" w:hAnsi="仿宋" w:eastAsia="仿宋" w:cs="Times New Roman"/>
          <w:sz w:val="24"/>
          <w:szCs w:val="24"/>
        </w:rPr>
      </w:pPr>
    </w:p>
    <w:p>
      <w:pPr>
        <w:spacing w:line="360" w:lineRule="auto"/>
        <w:ind w:firstLine="480"/>
        <w:rPr>
          <w:rFonts w:ascii="仿宋" w:hAnsi="仿宋" w:eastAsia="仿宋" w:cs="Times New Roman"/>
          <w:sz w:val="24"/>
          <w:szCs w:val="24"/>
        </w:rPr>
      </w:pPr>
    </w:p>
    <w:p>
      <w:pPr>
        <w:spacing w:line="360" w:lineRule="auto"/>
        <w:ind w:firstLine="480"/>
        <w:rPr>
          <w:rFonts w:ascii="仿宋" w:hAnsi="仿宋" w:eastAsia="仿宋" w:cs="Times New Roman"/>
          <w:sz w:val="24"/>
          <w:szCs w:val="24"/>
        </w:rPr>
      </w:pPr>
    </w:p>
    <w:p>
      <w:pPr>
        <w:spacing w:line="360" w:lineRule="auto"/>
        <w:ind w:firstLine="480"/>
        <w:rPr>
          <w:rFonts w:ascii="仿宋" w:hAnsi="仿宋" w:eastAsia="仿宋" w:cs="Times New Roman"/>
          <w:sz w:val="24"/>
          <w:szCs w:val="24"/>
        </w:rPr>
      </w:pPr>
    </w:p>
    <w:p>
      <w:pPr>
        <w:spacing w:line="360" w:lineRule="auto"/>
        <w:ind w:firstLine="480"/>
        <w:rPr>
          <w:rFonts w:ascii="仿宋" w:hAnsi="仿宋" w:eastAsia="仿宋" w:cs="仿宋"/>
          <w:sz w:val="24"/>
          <w:szCs w:val="24"/>
        </w:rPr>
      </w:pPr>
      <w:r>
        <w:rPr>
          <w:rFonts w:ascii="仿宋" w:hAnsi="仿宋" w:eastAsia="仿宋" w:cs="仿宋"/>
          <w:sz w:val="24"/>
          <w:szCs w:val="24"/>
        </w:rPr>
        <w:t xml:space="preserve">                                    </w:t>
      </w:r>
    </w:p>
    <w:p>
      <w:pPr>
        <w:spacing w:line="360" w:lineRule="auto"/>
        <w:ind w:firstLine="480"/>
        <w:rPr>
          <w:rFonts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担保人盖章：</w:t>
      </w:r>
    </w:p>
    <w:p>
      <w:pPr>
        <w:spacing w:line="360" w:lineRule="auto"/>
        <w:ind w:firstLine="480"/>
        <w:rPr>
          <w:rFonts w:ascii="仿宋" w:hAnsi="仿宋" w:eastAsia="仿宋" w:cs="仿宋"/>
          <w:sz w:val="24"/>
          <w:szCs w:val="24"/>
        </w:rPr>
      </w:pPr>
      <w:r>
        <w:rPr>
          <w:rFonts w:ascii="仿宋" w:hAnsi="仿宋" w:eastAsia="仿宋" w:cs="仿宋"/>
          <w:sz w:val="24"/>
          <w:szCs w:val="24"/>
        </w:rPr>
        <w:t xml:space="preserve">                                    </w:t>
      </w:r>
      <w:r>
        <w:rPr>
          <w:rFonts w:hint="eastAsia" w:ascii="仿宋" w:hAnsi="仿宋" w:eastAsia="仿宋" w:cs="仿宋"/>
          <w:sz w:val="24"/>
          <w:szCs w:val="24"/>
        </w:rPr>
        <w:t>法定代表人或其授权的代理人：</w:t>
      </w:r>
      <w:r>
        <w:rPr>
          <w:rFonts w:ascii="仿宋" w:hAnsi="仿宋" w:eastAsia="仿宋" w:cs="仿宋"/>
          <w:sz w:val="24"/>
          <w:szCs w:val="24"/>
        </w:rPr>
        <w:t>(</w:t>
      </w:r>
      <w:r>
        <w:rPr>
          <w:rFonts w:hint="eastAsia" w:ascii="仿宋" w:hAnsi="仿宋" w:eastAsia="仿宋" w:cs="仿宋"/>
          <w:sz w:val="24"/>
          <w:szCs w:val="24"/>
        </w:rPr>
        <w:t>签字签章</w:t>
      </w:r>
      <w:r>
        <w:rPr>
          <w:rFonts w:ascii="仿宋" w:hAnsi="仿宋" w:eastAsia="仿宋" w:cs="仿宋"/>
          <w:sz w:val="24"/>
          <w:szCs w:val="24"/>
        </w:rPr>
        <w:t xml:space="preserve">)                                                         </w:t>
      </w:r>
    </w:p>
    <w:p>
      <w:pPr>
        <w:spacing w:line="360" w:lineRule="auto"/>
        <w:ind w:firstLine="4560" w:firstLineChars="1900"/>
        <w:rPr>
          <w:rFonts w:ascii="仿宋" w:hAnsi="仿宋" w:eastAsia="仿宋" w:cs="仿宋"/>
          <w:sz w:val="24"/>
          <w:szCs w:val="24"/>
        </w:rPr>
      </w:pPr>
      <w:r>
        <w:rPr>
          <w:rFonts w:ascii="仿宋" w:hAnsi="仿宋" w:eastAsia="仿宋" w:cs="仿宋"/>
          <w:sz w:val="24"/>
          <w:szCs w:val="24"/>
        </w:rPr>
        <w:t xml:space="preserve">  </w:t>
      </w:r>
      <w:r>
        <w:rPr>
          <w:rFonts w:hint="eastAsia" w:ascii="仿宋" w:hAnsi="仿宋" w:eastAsia="仿宋" w:cs="仿宋"/>
          <w:sz w:val="24"/>
          <w:szCs w:val="24"/>
        </w:rPr>
        <w:t>地址：</w:t>
      </w:r>
      <w:r>
        <w:rPr>
          <w:rFonts w:ascii="仿宋" w:hAnsi="仿宋" w:eastAsia="仿宋" w:cs="仿宋"/>
          <w:sz w:val="24"/>
          <w:szCs w:val="24"/>
        </w:rPr>
        <w:t xml:space="preserve"> </w:t>
      </w:r>
    </w:p>
    <w:p>
      <w:pPr>
        <w:spacing w:line="360" w:lineRule="auto"/>
        <w:rPr>
          <w:rFonts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日期：</w:t>
      </w:r>
      <w:r>
        <w:rPr>
          <w:rFonts w:ascii="仿宋" w:hAnsi="仿宋" w:eastAsia="仿宋" w:cs="仿宋"/>
          <w:sz w:val="24"/>
          <w:szCs w:val="24"/>
          <w:u w:val="single"/>
        </w:rPr>
        <w:t xml:space="preserve">       </w:t>
      </w:r>
      <w:r>
        <w:rPr>
          <w:rFonts w:hint="eastAsia" w:ascii="仿宋" w:hAnsi="仿宋" w:eastAsia="仿宋" w:cs="仿宋"/>
          <w:sz w:val="24"/>
          <w:szCs w:val="24"/>
        </w:rPr>
        <w:t>年</w:t>
      </w:r>
      <w:r>
        <w:rPr>
          <w:rFonts w:ascii="仿宋" w:hAnsi="仿宋" w:eastAsia="仿宋" w:cs="仿宋"/>
          <w:sz w:val="24"/>
          <w:szCs w:val="24"/>
          <w:u w:val="single"/>
        </w:rPr>
        <w:t xml:space="preserve">     </w:t>
      </w:r>
      <w:r>
        <w:rPr>
          <w:rFonts w:hint="eastAsia" w:ascii="仿宋" w:hAnsi="仿宋" w:eastAsia="仿宋" w:cs="仿宋"/>
          <w:sz w:val="24"/>
          <w:szCs w:val="24"/>
        </w:rPr>
        <w:t>月</w:t>
      </w:r>
      <w:r>
        <w:rPr>
          <w:rFonts w:ascii="仿宋" w:hAnsi="仿宋" w:eastAsia="仿宋" w:cs="仿宋"/>
          <w:sz w:val="24"/>
          <w:szCs w:val="24"/>
          <w:u w:val="single"/>
        </w:rPr>
        <w:t xml:space="preserve">    </w:t>
      </w:r>
      <w:r>
        <w:rPr>
          <w:rFonts w:hint="eastAsia" w:ascii="仿宋" w:hAnsi="仿宋" w:eastAsia="仿宋" w:cs="仿宋"/>
          <w:sz w:val="24"/>
          <w:szCs w:val="24"/>
        </w:rPr>
        <w:t>日</w:t>
      </w:r>
    </w:p>
    <w:p>
      <w:pPr>
        <w:spacing w:before="240" w:beforeLines="100" w:after="240" w:afterLines="100" w:line="360" w:lineRule="auto"/>
        <w:outlineLvl w:val="1"/>
        <w:rPr>
          <w:rFonts w:ascii="仿宋" w:hAnsi="仿宋" w:eastAsia="仿宋" w:cs="仿宋"/>
          <w:b/>
          <w:bCs/>
          <w:color w:val="000000"/>
          <w:kern w:val="0"/>
          <w:sz w:val="24"/>
          <w:szCs w:val="24"/>
        </w:rPr>
      </w:pPr>
      <w:r>
        <w:rPr>
          <w:rFonts w:ascii="仿宋" w:hAnsi="仿宋" w:eastAsia="仿宋" w:cs="Times New Roman"/>
          <w:kern w:val="0"/>
          <w:sz w:val="24"/>
          <w:szCs w:val="24"/>
        </w:rPr>
        <w:br w:type="page"/>
      </w:r>
      <w:bookmarkStart w:id="742" w:name="_Toc10624989"/>
      <w:bookmarkStart w:id="743" w:name="_Toc469384145"/>
      <w:bookmarkStart w:id="744" w:name="_Toc266892929"/>
      <w:r>
        <w:rPr>
          <w:rFonts w:hint="eastAsia" w:ascii="仿宋" w:hAnsi="仿宋" w:eastAsia="仿宋" w:cs="仿宋"/>
          <w:b/>
          <w:bCs/>
          <w:color w:val="000000"/>
          <w:kern w:val="0"/>
          <w:sz w:val="24"/>
          <w:szCs w:val="24"/>
        </w:rPr>
        <w:t>格式</w:t>
      </w:r>
      <w:r>
        <w:rPr>
          <w:rFonts w:ascii="仿宋" w:hAnsi="仿宋" w:eastAsia="仿宋" w:cs="仿宋"/>
          <w:b/>
          <w:bCs/>
          <w:color w:val="000000"/>
          <w:kern w:val="0"/>
          <w:sz w:val="24"/>
          <w:szCs w:val="24"/>
        </w:rPr>
        <w:t>3</w:t>
      </w:r>
      <w:bookmarkEnd w:id="742"/>
      <w:bookmarkEnd w:id="743"/>
      <w:bookmarkEnd w:id="744"/>
    </w:p>
    <w:p>
      <w:pPr>
        <w:spacing w:line="360" w:lineRule="auto"/>
        <w:jc w:val="center"/>
        <w:rPr>
          <w:rFonts w:ascii="仿宋" w:hAnsi="仿宋" w:eastAsia="仿宋" w:cs="Times New Roman"/>
          <w:b/>
          <w:bCs/>
          <w:spacing w:val="40"/>
          <w:sz w:val="36"/>
          <w:szCs w:val="36"/>
        </w:rPr>
      </w:pPr>
      <w:r>
        <w:rPr>
          <w:rFonts w:hint="eastAsia" w:ascii="仿宋" w:hAnsi="仿宋" w:eastAsia="仿宋" w:cs="仿宋"/>
          <w:b/>
          <w:bCs/>
          <w:spacing w:val="40"/>
          <w:sz w:val="36"/>
          <w:szCs w:val="36"/>
        </w:rPr>
        <w:t>预付款担保</w:t>
      </w:r>
    </w:p>
    <w:p>
      <w:pPr>
        <w:spacing w:line="360" w:lineRule="auto"/>
        <w:rPr>
          <w:rFonts w:ascii="仿宋" w:hAnsi="仿宋" w:eastAsia="仿宋" w:cs="Times New Roman"/>
          <w:sz w:val="24"/>
          <w:szCs w:val="24"/>
        </w:rPr>
      </w:pPr>
    </w:p>
    <w:p>
      <w:pPr>
        <w:spacing w:line="360" w:lineRule="auto"/>
        <w:rPr>
          <w:rFonts w:ascii="仿宋" w:hAnsi="仿宋" w:eastAsia="仿宋" w:cs="仿宋"/>
          <w:sz w:val="24"/>
          <w:szCs w:val="24"/>
        </w:rPr>
      </w:pPr>
      <w:r>
        <w:rPr>
          <w:rFonts w:hint="eastAsia" w:ascii="仿宋" w:hAnsi="仿宋" w:eastAsia="仿宋" w:cs="仿宋"/>
          <w:sz w:val="24"/>
          <w:szCs w:val="24"/>
        </w:rPr>
        <w:t>致：</w:t>
      </w:r>
      <w:r>
        <w:rPr>
          <w:rFonts w:ascii="仿宋" w:hAnsi="仿宋" w:eastAsia="仿宋" w:cs="仿宋"/>
          <w:sz w:val="24"/>
          <w:szCs w:val="24"/>
          <w:u w:val="single"/>
        </w:rPr>
        <w:t xml:space="preserve">                                                  </w:t>
      </w:r>
      <w:r>
        <w:rPr>
          <w:rFonts w:hint="eastAsia" w:ascii="仿宋" w:hAnsi="仿宋" w:eastAsia="仿宋" w:cs="仿宋"/>
          <w:sz w:val="24"/>
          <w:szCs w:val="24"/>
        </w:rPr>
        <w:t>（发包人全称）</w:t>
      </w:r>
      <w:r>
        <w:rPr>
          <w:rFonts w:ascii="仿宋" w:hAnsi="仿宋" w:eastAsia="仿宋" w:cs="仿宋"/>
          <w:sz w:val="24"/>
          <w:szCs w:val="24"/>
        </w:rPr>
        <w:t xml:space="preserve">   </w:t>
      </w:r>
    </w:p>
    <w:p>
      <w:pPr>
        <w:spacing w:line="360" w:lineRule="auto"/>
        <w:ind w:firstLine="480"/>
        <w:jc w:val="left"/>
        <w:rPr>
          <w:rFonts w:ascii="仿宋" w:hAnsi="仿宋" w:eastAsia="仿宋" w:cs="Times New Roman"/>
          <w:sz w:val="24"/>
          <w:szCs w:val="24"/>
        </w:rPr>
      </w:pPr>
      <w:r>
        <w:rPr>
          <w:rFonts w:hint="eastAsia" w:ascii="仿宋" w:hAnsi="仿宋" w:eastAsia="仿宋" w:cs="仿宋"/>
          <w:sz w:val="24"/>
          <w:szCs w:val="24"/>
        </w:rPr>
        <w:t>鉴于</w:t>
      </w:r>
      <w:r>
        <w:rPr>
          <w:rFonts w:ascii="仿宋" w:hAnsi="仿宋" w:eastAsia="仿宋" w:cs="仿宋"/>
          <w:sz w:val="24"/>
          <w:szCs w:val="24"/>
          <w:u w:val="single"/>
        </w:rPr>
        <w:t xml:space="preserve">                                                </w:t>
      </w:r>
      <w:r>
        <w:rPr>
          <w:rFonts w:hint="eastAsia" w:ascii="仿宋" w:hAnsi="仿宋" w:eastAsia="仿宋" w:cs="仿宋"/>
          <w:sz w:val="24"/>
          <w:szCs w:val="24"/>
        </w:rPr>
        <w:t>（承包人全称）</w:t>
      </w:r>
      <w:r>
        <w:rPr>
          <w:rFonts w:ascii="仿宋" w:hAnsi="仿宋" w:eastAsia="仿宋" w:cs="仿宋"/>
          <w:sz w:val="24"/>
          <w:szCs w:val="24"/>
        </w:rPr>
        <w:t>(</w:t>
      </w:r>
      <w:r>
        <w:rPr>
          <w:rFonts w:hint="eastAsia" w:ascii="仿宋" w:hAnsi="仿宋" w:eastAsia="仿宋" w:cs="仿宋"/>
          <w:sz w:val="24"/>
          <w:szCs w:val="24"/>
        </w:rPr>
        <w:t>下称“承包人”</w:t>
      </w:r>
      <w:r>
        <w:rPr>
          <w:rFonts w:ascii="仿宋" w:hAnsi="仿宋" w:eastAsia="仿宋" w:cs="仿宋"/>
          <w:sz w:val="24"/>
          <w:szCs w:val="24"/>
        </w:rPr>
        <w:t>)</w:t>
      </w:r>
      <w:r>
        <w:rPr>
          <w:rFonts w:hint="eastAsia" w:ascii="仿宋" w:hAnsi="仿宋" w:eastAsia="仿宋" w:cs="仿宋"/>
          <w:sz w:val="24"/>
          <w:szCs w:val="24"/>
        </w:rPr>
        <w:t>与</w:t>
      </w:r>
      <w:r>
        <w:rPr>
          <w:rFonts w:ascii="仿宋" w:hAnsi="仿宋" w:eastAsia="仿宋" w:cs="仿宋"/>
          <w:sz w:val="24"/>
          <w:szCs w:val="24"/>
          <w:u w:val="single"/>
        </w:rPr>
        <w:t xml:space="preserve">                   </w:t>
      </w:r>
      <w:r>
        <w:rPr>
          <w:rFonts w:hint="eastAsia" w:ascii="仿宋" w:hAnsi="仿宋" w:eastAsia="仿宋" w:cs="仿宋"/>
          <w:sz w:val="24"/>
          <w:szCs w:val="24"/>
          <w:u w:val="single"/>
        </w:rPr>
        <w:t>（</w:t>
      </w:r>
      <w:r>
        <w:rPr>
          <w:rFonts w:hint="eastAsia" w:ascii="仿宋" w:hAnsi="仿宋" w:eastAsia="仿宋" w:cs="仿宋"/>
          <w:sz w:val="24"/>
          <w:szCs w:val="24"/>
        </w:rPr>
        <w:t>发包人全称）</w:t>
      </w:r>
      <w:r>
        <w:rPr>
          <w:rFonts w:ascii="仿宋" w:hAnsi="仿宋" w:eastAsia="仿宋" w:cs="仿宋"/>
          <w:sz w:val="24"/>
          <w:szCs w:val="24"/>
        </w:rPr>
        <w:t>(</w:t>
      </w:r>
      <w:r>
        <w:rPr>
          <w:rFonts w:hint="eastAsia" w:ascii="仿宋" w:hAnsi="仿宋" w:eastAsia="仿宋" w:cs="仿宋"/>
          <w:sz w:val="24"/>
          <w:szCs w:val="24"/>
        </w:rPr>
        <w:t>下称“发包人”</w:t>
      </w:r>
      <w:r>
        <w:rPr>
          <w:rFonts w:ascii="仿宋" w:hAnsi="仿宋" w:eastAsia="仿宋" w:cs="仿宋"/>
          <w:sz w:val="24"/>
          <w:szCs w:val="24"/>
        </w:rPr>
        <w:t>)</w:t>
      </w:r>
      <w:r>
        <w:rPr>
          <w:rFonts w:hint="eastAsia" w:ascii="仿宋" w:hAnsi="仿宋" w:eastAsia="仿宋" w:cs="仿宋"/>
          <w:sz w:val="24"/>
          <w:szCs w:val="24"/>
        </w:rPr>
        <w:t>签订</w:t>
      </w:r>
      <w:r>
        <w:rPr>
          <w:rFonts w:ascii="仿宋" w:hAnsi="仿宋" w:eastAsia="仿宋" w:cs="仿宋"/>
          <w:sz w:val="24"/>
          <w:szCs w:val="24"/>
        </w:rPr>
        <w:t xml:space="preserve"> </w:t>
      </w:r>
      <w:r>
        <w:rPr>
          <w:rFonts w:ascii="仿宋" w:hAnsi="仿宋" w:eastAsia="仿宋" w:cs="仿宋"/>
          <w:sz w:val="24"/>
          <w:szCs w:val="24"/>
          <w:u w:val="single"/>
        </w:rPr>
        <w:t xml:space="preserve">                       </w:t>
      </w:r>
      <w:r>
        <w:rPr>
          <w:rFonts w:hint="eastAsia" w:ascii="仿宋" w:hAnsi="仿宋" w:eastAsia="仿宋" w:cs="仿宋"/>
          <w:sz w:val="24"/>
          <w:szCs w:val="24"/>
        </w:rPr>
        <w:t>（工程名称）施工合同</w:t>
      </w:r>
      <w:r>
        <w:rPr>
          <w:rFonts w:ascii="仿宋" w:hAnsi="仿宋" w:eastAsia="仿宋" w:cs="仿宋"/>
          <w:sz w:val="24"/>
          <w:szCs w:val="24"/>
        </w:rPr>
        <w:t>(</w:t>
      </w:r>
      <w:r>
        <w:rPr>
          <w:rFonts w:hint="eastAsia" w:ascii="仿宋" w:hAnsi="仿宋" w:eastAsia="仿宋" w:cs="仿宋"/>
          <w:sz w:val="24"/>
          <w:szCs w:val="24"/>
        </w:rPr>
        <w:t>编号</w:t>
      </w:r>
      <w:r>
        <w:rPr>
          <w:rFonts w:ascii="仿宋" w:hAnsi="仿宋" w:eastAsia="仿宋" w:cs="仿宋"/>
          <w:sz w:val="24"/>
          <w:szCs w:val="24"/>
          <w:u w:val="single"/>
        </w:rPr>
        <w:t xml:space="preserve">     </w:t>
      </w:r>
      <w:r>
        <w:rPr>
          <w:rFonts w:hint="eastAsia" w:ascii="仿宋" w:hAnsi="仿宋" w:eastAsia="仿宋" w:cs="仿宋"/>
          <w:sz w:val="24"/>
          <w:szCs w:val="24"/>
        </w:rPr>
        <w:t>，</w:t>
      </w:r>
      <w:r>
        <w:rPr>
          <w:rFonts w:ascii="仿宋" w:hAnsi="仿宋" w:eastAsia="仿宋" w:cs="仿宋"/>
          <w:sz w:val="24"/>
          <w:szCs w:val="24"/>
          <w:u w:val="single"/>
        </w:rPr>
        <w:t xml:space="preserve">       </w:t>
      </w:r>
      <w:r>
        <w:rPr>
          <w:rFonts w:hint="eastAsia" w:ascii="仿宋" w:hAnsi="仿宋" w:eastAsia="仿宋" w:cs="仿宋"/>
          <w:sz w:val="24"/>
          <w:szCs w:val="24"/>
        </w:rPr>
        <w:t>年</w:t>
      </w:r>
      <w:r>
        <w:rPr>
          <w:rFonts w:ascii="仿宋" w:hAnsi="仿宋" w:eastAsia="仿宋" w:cs="仿宋"/>
          <w:sz w:val="24"/>
          <w:szCs w:val="24"/>
        </w:rPr>
        <w:t xml:space="preserve"> </w:t>
      </w:r>
      <w:r>
        <w:rPr>
          <w:rFonts w:ascii="仿宋" w:hAnsi="仿宋" w:eastAsia="仿宋" w:cs="仿宋"/>
          <w:sz w:val="24"/>
          <w:szCs w:val="24"/>
          <w:u w:val="single"/>
        </w:rPr>
        <w:t xml:space="preserve">   </w:t>
      </w:r>
      <w:r>
        <w:rPr>
          <w:rFonts w:hint="eastAsia" w:ascii="仿宋" w:hAnsi="仿宋" w:eastAsia="仿宋" w:cs="仿宋"/>
          <w:sz w:val="24"/>
          <w:szCs w:val="24"/>
        </w:rPr>
        <w:t>月</w:t>
      </w:r>
      <w:r>
        <w:rPr>
          <w:rFonts w:ascii="仿宋" w:hAnsi="仿宋" w:eastAsia="仿宋" w:cs="仿宋"/>
          <w:sz w:val="24"/>
          <w:szCs w:val="24"/>
          <w:u w:val="single"/>
        </w:rPr>
        <w:t xml:space="preserve">   </w:t>
      </w:r>
      <w:r>
        <w:rPr>
          <w:rFonts w:hint="eastAsia" w:ascii="仿宋" w:hAnsi="仿宋" w:eastAsia="仿宋" w:cs="仿宋"/>
          <w:sz w:val="24"/>
          <w:szCs w:val="24"/>
        </w:rPr>
        <w:t>日签署</w:t>
      </w:r>
      <w:r>
        <w:rPr>
          <w:rFonts w:ascii="仿宋" w:hAnsi="仿宋" w:eastAsia="仿宋" w:cs="仿宋"/>
          <w:sz w:val="24"/>
          <w:szCs w:val="24"/>
        </w:rPr>
        <w:t>)</w:t>
      </w:r>
      <w:r>
        <w:rPr>
          <w:rFonts w:hint="eastAsia" w:ascii="仿宋" w:hAnsi="仿宋" w:eastAsia="仿宋" w:cs="仿宋"/>
          <w:sz w:val="24"/>
          <w:szCs w:val="24"/>
        </w:rPr>
        <w:t>，并保证承包人有权获得按合同约定为保证工程按时开工的由发包人支付的预付款；发包人在合同中要求承包人应通过经认可的担保人提交合同约定的与开工预付款等额的担保金额等事实，我方愿意为承包人担保，以担保金额人民币</w:t>
      </w:r>
      <w:r>
        <w:rPr>
          <w:rFonts w:ascii="仿宋" w:hAnsi="仿宋" w:eastAsia="仿宋" w:cs="仿宋"/>
          <w:sz w:val="24"/>
          <w:szCs w:val="24"/>
        </w:rPr>
        <w:t>(</w:t>
      </w:r>
      <w:r>
        <w:rPr>
          <w:rFonts w:hint="eastAsia" w:ascii="仿宋" w:hAnsi="仿宋" w:eastAsia="仿宋" w:cs="仿宋"/>
          <w:sz w:val="24"/>
          <w:szCs w:val="24"/>
        </w:rPr>
        <w:t>大写</w:t>
      </w:r>
      <w:r>
        <w:rPr>
          <w:rFonts w:ascii="仿宋" w:hAnsi="仿宋" w:eastAsia="仿宋" w:cs="仿宋"/>
          <w:sz w:val="24"/>
          <w:szCs w:val="24"/>
        </w:rPr>
        <w:t>)</w:t>
      </w:r>
      <w:r>
        <w:rPr>
          <w:rFonts w:ascii="仿宋" w:hAnsi="仿宋" w:eastAsia="仿宋" w:cs="仿宋"/>
          <w:sz w:val="24"/>
          <w:szCs w:val="24"/>
          <w:u w:val="single"/>
        </w:rPr>
        <w:t xml:space="preserve">                   </w:t>
      </w:r>
      <w:r>
        <w:rPr>
          <w:rFonts w:hint="eastAsia" w:ascii="仿宋" w:hAnsi="仿宋" w:eastAsia="仿宋" w:cs="仿宋"/>
          <w:sz w:val="24"/>
          <w:szCs w:val="24"/>
        </w:rPr>
        <w:t>元</w:t>
      </w:r>
      <w:r>
        <w:rPr>
          <w:rFonts w:ascii="仿宋" w:hAnsi="仿宋" w:eastAsia="仿宋" w:cs="仿宋"/>
          <w:sz w:val="24"/>
          <w:szCs w:val="24"/>
        </w:rPr>
        <w:t>(</w:t>
      </w:r>
      <w:r>
        <w:rPr>
          <w:rFonts w:ascii="宋体" w:hAnsi="宋体" w:eastAsia="仿宋" w:cs="Times New Roman"/>
          <w:sz w:val="24"/>
          <w:szCs w:val="24"/>
        </w:rPr>
        <w:t>¥</w:t>
      </w:r>
      <w:r>
        <w:rPr>
          <w:rFonts w:ascii="仿宋" w:hAnsi="仿宋" w:eastAsia="仿宋" w:cs="仿宋"/>
          <w:sz w:val="24"/>
          <w:szCs w:val="24"/>
        </w:rPr>
        <w:t xml:space="preserve"> </w:t>
      </w:r>
      <w:r>
        <w:rPr>
          <w:rFonts w:ascii="仿宋" w:hAnsi="仿宋" w:eastAsia="仿宋" w:cs="仿宋"/>
          <w:sz w:val="24"/>
          <w:szCs w:val="24"/>
          <w:u w:val="single"/>
        </w:rPr>
        <w:t xml:space="preserve">             </w:t>
      </w:r>
      <w:r>
        <w:rPr>
          <w:rFonts w:hint="eastAsia" w:ascii="仿宋" w:hAnsi="仿宋" w:eastAsia="仿宋" w:cs="仿宋"/>
          <w:sz w:val="24"/>
          <w:szCs w:val="24"/>
        </w:rPr>
        <w:t>元</w:t>
      </w:r>
      <w:r>
        <w:rPr>
          <w:rFonts w:ascii="仿宋" w:hAnsi="仿宋" w:eastAsia="仿宋" w:cs="仿宋"/>
          <w:sz w:val="24"/>
          <w:szCs w:val="24"/>
        </w:rPr>
        <w:t>)</w:t>
      </w:r>
      <w:r>
        <w:rPr>
          <w:rFonts w:hint="eastAsia" w:ascii="仿宋" w:hAnsi="仿宋" w:eastAsia="仿宋" w:cs="仿宋"/>
          <w:sz w:val="24"/>
          <w:szCs w:val="24"/>
        </w:rPr>
        <w:t>向发包人提供不可撤销的担保。</w:t>
      </w:r>
    </w:p>
    <w:p>
      <w:pPr>
        <w:spacing w:line="360" w:lineRule="auto"/>
        <w:ind w:firstLine="480"/>
        <w:rPr>
          <w:rFonts w:ascii="仿宋" w:hAnsi="仿宋" w:eastAsia="仿宋" w:cs="Times New Roman"/>
          <w:sz w:val="24"/>
          <w:szCs w:val="24"/>
        </w:rPr>
      </w:pPr>
      <w:r>
        <w:rPr>
          <w:rFonts w:hint="eastAsia" w:ascii="仿宋" w:hAnsi="仿宋" w:eastAsia="仿宋" w:cs="仿宋"/>
          <w:sz w:val="24"/>
          <w:szCs w:val="24"/>
        </w:rPr>
        <w:t>如果承包人在履行合同过程中发生违约或违背合同约定的义务和责任时</w:t>
      </w:r>
      <w:r>
        <w:rPr>
          <w:rFonts w:ascii="仿宋" w:hAnsi="仿宋" w:eastAsia="仿宋" w:cs="仿宋"/>
          <w:sz w:val="24"/>
          <w:szCs w:val="24"/>
        </w:rPr>
        <w:t xml:space="preserve"> </w:t>
      </w:r>
      <w:r>
        <w:rPr>
          <w:rFonts w:hint="eastAsia" w:ascii="仿宋" w:hAnsi="仿宋" w:eastAsia="仿宋" w:cs="仿宋"/>
          <w:sz w:val="24"/>
          <w:szCs w:val="24"/>
        </w:rPr>
        <w:t>，我方保证在担保金额额度内偿还或偿清发包人因承包人该项违约或违背所造成的经济损失，并在接到发包人提出赔偿要求的第</w:t>
      </w:r>
      <w:r>
        <w:rPr>
          <w:rFonts w:ascii="仿宋" w:hAnsi="仿宋" w:eastAsia="仿宋" w:cs="仿宋"/>
          <w:sz w:val="24"/>
          <w:szCs w:val="24"/>
          <w:u w:val="single"/>
        </w:rPr>
        <w:t xml:space="preserve">     </w:t>
      </w:r>
      <w:r>
        <w:rPr>
          <w:rFonts w:hint="eastAsia" w:ascii="仿宋" w:hAnsi="仿宋" w:eastAsia="仿宋" w:cs="仿宋"/>
          <w:sz w:val="24"/>
          <w:szCs w:val="24"/>
        </w:rPr>
        <w:t>天内予以支付，发包人应提供承包人有上述违约或违背合同约定事实的证据或相关的证明材料。</w:t>
      </w:r>
    </w:p>
    <w:p>
      <w:pPr>
        <w:spacing w:line="360" w:lineRule="auto"/>
        <w:ind w:firstLine="480"/>
        <w:rPr>
          <w:rFonts w:ascii="仿宋" w:hAnsi="仿宋" w:eastAsia="仿宋" w:cs="Times New Roman"/>
          <w:sz w:val="24"/>
          <w:szCs w:val="24"/>
        </w:rPr>
      </w:pPr>
      <w:r>
        <w:rPr>
          <w:rFonts w:hint="eastAsia" w:ascii="仿宋" w:hAnsi="仿宋" w:eastAsia="仿宋" w:cs="仿宋"/>
          <w:sz w:val="24"/>
          <w:szCs w:val="24"/>
        </w:rPr>
        <w:t>在向我方提出要求前，我方将不坚持要求发包人首先向承包人提出上述款项的索赔。</w:t>
      </w:r>
    </w:p>
    <w:p>
      <w:pPr>
        <w:spacing w:line="360" w:lineRule="auto"/>
        <w:ind w:firstLine="480"/>
        <w:rPr>
          <w:rFonts w:ascii="仿宋" w:hAnsi="仿宋" w:eastAsia="仿宋" w:cs="Times New Roman"/>
          <w:sz w:val="24"/>
          <w:szCs w:val="24"/>
        </w:rPr>
      </w:pPr>
      <w:r>
        <w:rPr>
          <w:rFonts w:hint="eastAsia" w:ascii="仿宋" w:hAnsi="仿宋" w:eastAsia="仿宋" w:cs="仿宋"/>
          <w:sz w:val="24"/>
          <w:szCs w:val="24"/>
        </w:rPr>
        <w:t>我方承诺：不论是否经我方知晓或同意，我方的义务和责任不因合同双方当事人对合同条款所作的任何修改或补充而解除。</w:t>
      </w:r>
    </w:p>
    <w:p>
      <w:pPr>
        <w:spacing w:line="360" w:lineRule="auto"/>
        <w:ind w:firstLine="480"/>
        <w:rPr>
          <w:rFonts w:ascii="仿宋" w:hAnsi="仿宋" w:eastAsia="仿宋" w:cs="Times New Roman"/>
          <w:sz w:val="24"/>
          <w:szCs w:val="24"/>
        </w:rPr>
      </w:pPr>
      <w:r>
        <w:rPr>
          <w:rFonts w:hint="eastAsia" w:ascii="仿宋" w:hAnsi="仿宋" w:eastAsia="仿宋" w:cs="仿宋"/>
          <w:sz w:val="24"/>
          <w:szCs w:val="24"/>
        </w:rPr>
        <w:t>本预付款担保自承包人获得预付款之日起生效，至与预付款等额的担保金额的担保支付完毕，或发包人抵扣完工预付款后的第</w:t>
      </w:r>
      <w:r>
        <w:rPr>
          <w:rFonts w:ascii="仿宋" w:hAnsi="仿宋" w:eastAsia="仿宋" w:cs="仿宋"/>
          <w:sz w:val="24"/>
          <w:szCs w:val="24"/>
        </w:rPr>
        <w:t>15</w:t>
      </w:r>
      <w:r>
        <w:rPr>
          <w:rFonts w:hint="eastAsia" w:ascii="仿宋" w:hAnsi="仿宋" w:eastAsia="仿宋" w:cs="仿宋"/>
          <w:sz w:val="24"/>
          <w:szCs w:val="24"/>
        </w:rPr>
        <w:t>天止。</w:t>
      </w:r>
    </w:p>
    <w:p>
      <w:pPr>
        <w:spacing w:line="360" w:lineRule="auto"/>
        <w:ind w:firstLine="480"/>
        <w:rPr>
          <w:rFonts w:ascii="仿宋" w:hAnsi="仿宋" w:eastAsia="仿宋" w:cs="Times New Roman"/>
          <w:sz w:val="24"/>
          <w:szCs w:val="24"/>
        </w:rPr>
      </w:pPr>
    </w:p>
    <w:p>
      <w:pPr>
        <w:spacing w:line="360" w:lineRule="auto"/>
        <w:ind w:firstLine="480"/>
        <w:rPr>
          <w:rFonts w:ascii="仿宋" w:hAnsi="仿宋" w:eastAsia="仿宋" w:cs="Times New Roman"/>
          <w:sz w:val="24"/>
          <w:szCs w:val="24"/>
        </w:rPr>
      </w:pPr>
    </w:p>
    <w:p>
      <w:pPr>
        <w:spacing w:line="360" w:lineRule="auto"/>
        <w:ind w:firstLine="480"/>
        <w:rPr>
          <w:rFonts w:ascii="仿宋" w:hAnsi="仿宋" w:eastAsia="仿宋" w:cs="Times New Roman"/>
          <w:sz w:val="24"/>
          <w:szCs w:val="24"/>
        </w:rPr>
      </w:pPr>
    </w:p>
    <w:p>
      <w:pPr>
        <w:spacing w:line="360" w:lineRule="auto"/>
        <w:ind w:firstLine="480"/>
        <w:rPr>
          <w:rFonts w:ascii="仿宋" w:hAnsi="仿宋" w:eastAsia="仿宋" w:cs="Times New Roman"/>
          <w:sz w:val="24"/>
          <w:szCs w:val="24"/>
        </w:rPr>
      </w:pPr>
    </w:p>
    <w:p>
      <w:pPr>
        <w:spacing w:line="360" w:lineRule="auto"/>
        <w:ind w:firstLine="480"/>
        <w:rPr>
          <w:rFonts w:ascii="仿宋" w:hAnsi="仿宋" w:eastAsia="仿宋" w:cs="Times New Roman"/>
          <w:sz w:val="24"/>
          <w:szCs w:val="24"/>
        </w:rPr>
      </w:pPr>
    </w:p>
    <w:p>
      <w:pPr>
        <w:spacing w:line="360" w:lineRule="auto"/>
        <w:ind w:firstLine="480"/>
        <w:rPr>
          <w:rFonts w:ascii="仿宋" w:hAnsi="仿宋" w:eastAsia="仿宋" w:cs="仿宋"/>
          <w:sz w:val="24"/>
          <w:szCs w:val="24"/>
        </w:rPr>
      </w:pPr>
      <w:r>
        <w:rPr>
          <w:rFonts w:ascii="仿宋" w:hAnsi="仿宋" w:eastAsia="仿宋" w:cs="仿宋"/>
          <w:sz w:val="24"/>
          <w:szCs w:val="24"/>
        </w:rPr>
        <w:t xml:space="preserve">                                    </w:t>
      </w:r>
    </w:p>
    <w:p>
      <w:pPr>
        <w:spacing w:line="360" w:lineRule="auto"/>
        <w:ind w:firstLine="480"/>
        <w:rPr>
          <w:rFonts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担保人盖章：</w:t>
      </w:r>
    </w:p>
    <w:p>
      <w:pPr>
        <w:spacing w:line="360" w:lineRule="auto"/>
        <w:ind w:firstLine="480"/>
        <w:rPr>
          <w:rFonts w:ascii="仿宋" w:hAnsi="仿宋" w:eastAsia="仿宋" w:cs="仿宋"/>
          <w:sz w:val="24"/>
          <w:szCs w:val="24"/>
        </w:rPr>
      </w:pPr>
      <w:r>
        <w:rPr>
          <w:rFonts w:ascii="仿宋" w:hAnsi="仿宋" w:eastAsia="仿宋" w:cs="仿宋"/>
          <w:sz w:val="24"/>
          <w:szCs w:val="24"/>
        </w:rPr>
        <w:t xml:space="preserve">                                </w:t>
      </w:r>
      <w:r>
        <w:rPr>
          <w:rFonts w:hint="eastAsia" w:ascii="仿宋" w:hAnsi="仿宋" w:eastAsia="仿宋" w:cs="仿宋"/>
          <w:sz w:val="24"/>
          <w:szCs w:val="24"/>
        </w:rPr>
        <w:t>法定代表人或其授权的代理人：</w:t>
      </w:r>
      <w:r>
        <w:rPr>
          <w:rFonts w:ascii="仿宋" w:hAnsi="仿宋" w:eastAsia="仿宋" w:cs="仿宋"/>
          <w:sz w:val="24"/>
          <w:szCs w:val="24"/>
        </w:rPr>
        <w:t>(</w:t>
      </w:r>
      <w:r>
        <w:rPr>
          <w:rFonts w:hint="eastAsia" w:ascii="仿宋" w:hAnsi="仿宋" w:eastAsia="仿宋" w:cs="仿宋"/>
          <w:sz w:val="24"/>
          <w:szCs w:val="24"/>
        </w:rPr>
        <w:t>签字签章</w:t>
      </w:r>
      <w:r>
        <w:rPr>
          <w:rFonts w:ascii="仿宋" w:hAnsi="仿宋" w:eastAsia="仿宋" w:cs="仿宋"/>
          <w:sz w:val="24"/>
          <w:szCs w:val="24"/>
        </w:rPr>
        <w:t xml:space="preserve">)                                                         </w:t>
      </w:r>
    </w:p>
    <w:p>
      <w:pPr>
        <w:spacing w:line="360" w:lineRule="auto"/>
        <w:ind w:firstLine="4560" w:firstLineChars="1900"/>
        <w:rPr>
          <w:rFonts w:ascii="仿宋" w:hAnsi="仿宋" w:eastAsia="仿宋" w:cs="仿宋"/>
          <w:sz w:val="24"/>
          <w:szCs w:val="24"/>
        </w:rPr>
      </w:pPr>
      <w:r>
        <w:rPr>
          <w:rFonts w:ascii="仿宋" w:hAnsi="仿宋" w:eastAsia="仿宋" w:cs="仿宋"/>
          <w:sz w:val="24"/>
          <w:szCs w:val="24"/>
        </w:rPr>
        <w:t xml:space="preserve">  </w:t>
      </w:r>
      <w:r>
        <w:rPr>
          <w:rFonts w:hint="eastAsia" w:ascii="仿宋" w:hAnsi="仿宋" w:eastAsia="仿宋" w:cs="仿宋"/>
          <w:sz w:val="24"/>
          <w:szCs w:val="24"/>
        </w:rPr>
        <w:t>地址：</w:t>
      </w:r>
      <w:r>
        <w:rPr>
          <w:rFonts w:ascii="仿宋" w:hAnsi="仿宋" w:eastAsia="仿宋" w:cs="仿宋"/>
          <w:sz w:val="24"/>
          <w:szCs w:val="24"/>
        </w:rPr>
        <w:t xml:space="preserve"> </w:t>
      </w:r>
    </w:p>
    <w:p>
      <w:pPr>
        <w:spacing w:line="360" w:lineRule="auto"/>
        <w:rPr>
          <w:rFonts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日期：</w:t>
      </w:r>
      <w:r>
        <w:rPr>
          <w:rFonts w:ascii="仿宋" w:hAnsi="仿宋" w:eastAsia="仿宋" w:cs="仿宋"/>
          <w:sz w:val="24"/>
          <w:szCs w:val="24"/>
          <w:u w:val="single"/>
        </w:rPr>
        <w:t xml:space="preserve">       </w:t>
      </w:r>
      <w:r>
        <w:rPr>
          <w:rFonts w:hint="eastAsia" w:ascii="仿宋" w:hAnsi="仿宋" w:eastAsia="仿宋" w:cs="仿宋"/>
          <w:sz w:val="24"/>
          <w:szCs w:val="24"/>
        </w:rPr>
        <w:t>年</w:t>
      </w:r>
      <w:r>
        <w:rPr>
          <w:rFonts w:ascii="仿宋" w:hAnsi="仿宋" w:eastAsia="仿宋" w:cs="仿宋"/>
          <w:sz w:val="24"/>
          <w:szCs w:val="24"/>
          <w:u w:val="single"/>
        </w:rPr>
        <w:t xml:space="preserve">     </w:t>
      </w:r>
      <w:r>
        <w:rPr>
          <w:rFonts w:hint="eastAsia" w:ascii="仿宋" w:hAnsi="仿宋" w:eastAsia="仿宋" w:cs="仿宋"/>
          <w:sz w:val="24"/>
          <w:szCs w:val="24"/>
        </w:rPr>
        <w:t>月</w:t>
      </w:r>
      <w:r>
        <w:rPr>
          <w:rFonts w:ascii="仿宋" w:hAnsi="仿宋" w:eastAsia="仿宋" w:cs="仿宋"/>
          <w:sz w:val="24"/>
          <w:szCs w:val="24"/>
          <w:u w:val="single"/>
        </w:rPr>
        <w:t xml:space="preserve">    </w:t>
      </w:r>
      <w:r>
        <w:rPr>
          <w:rFonts w:hint="eastAsia" w:ascii="仿宋" w:hAnsi="仿宋" w:eastAsia="仿宋" w:cs="仿宋"/>
          <w:sz w:val="24"/>
          <w:szCs w:val="24"/>
        </w:rPr>
        <w:t>日</w:t>
      </w:r>
    </w:p>
    <w:p>
      <w:pPr>
        <w:spacing w:line="360" w:lineRule="auto"/>
        <w:rPr>
          <w:rFonts w:ascii="仿宋" w:hAnsi="仿宋" w:eastAsia="仿宋" w:cs="Times New Roman"/>
          <w:sz w:val="24"/>
          <w:szCs w:val="24"/>
        </w:rPr>
      </w:pPr>
    </w:p>
    <w:p>
      <w:pPr>
        <w:spacing w:before="240" w:beforeLines="100" w:after="240" w:afterLines="100" w:line="360" w:lineRule="auto"/>
        <w:outlineLvl w:val="1"/>
        <w:rPr>
          <w:rFonts w:ascii="仿宋" w:hAnsi="仿宋" w:eastAsia="仿宋" w:cs="仿宋"/>
          <w:b/>
          <w:bCs/>
          <w:color w:val="000000"/>
          <w:kern w:val="0"/>
          <w:sz w:val="24"/>
          <w:szCs w:val="24"/>
        </w:rPr>
      </w:pPr>
      <w:r>
        <w:rPr>
          <w:rFonts w:ascii="仿宋" w:hAnsi="仿宋" w:eastAsia="仿宋" w:cs="Times New Roman"/>
          <w:kern w:val="0"/>
          <w:sz w:val="24"/>
          <w:szCs w:val="24"/>
        </w:rPr>
        <w:br w:type="page"/>
      </w:r>
      <w:bookmarkStart w:id="745" w:name="_Toc469384146"/>
      <w:bookmarkStart w:id="746" w:name="_Toc266892930"/>
      <w:bookmarkStart w:id="747" w:name="_Toc10624990"/>
      <w:r>
        <w:rPr>
          <w:rFonts w:hint="eastAsia" w:ascii="仿宋" w:hAnsi="仿宋" w:eastAsia="仿宋" w:cs="仿宋"/>
          <w:b/>
          <w:bCs/>
          <w:color w:val="000000"/>
          <w:kern w:val="0"/>
          <w:sz w:val="24"/>
          <w:szCs w:val="24"/>
        </w:rPr>
        <w:t>格式</w:t>
      </w:r>
      <w:r>
        <w:rPr>
          <w:rFonts w:ascii="仿宋" w:hAnsi="仿宋" w:eastAsia="仿宋" w:cs="仿宋"/>
          <w:b/>
          <w:bCs/>
          <w:color w:val="000000"/>
          <w:kern w:val="0"/>
          <w:sz w:val="24"/>
          <w:szCs w:val="24"/>
        </w:rPr>
        <w:t>4</w:t>
      </w:r>
      <w:bookmarkEnd w:id="745"/>
      <w:bookmarkEnd w:id="746"/>
      <w:bookmarkEnd w:id="747"/>
    </w:p>
    <w:p>
      <w:pPr>
        <w:spacing w:line="360" w:lineRule="auto"/>
        <w:jc w:val="center"/>
        <w:rPr>
          <w:rFonts w:ascii="仿宋" w:hAnsi="仿宋" w:eastAsia="仿宋" w:cs="Times New Roman"/>
          <w:b/>
          <w:bCs/>
          <w:spacing w:val="30"/>
          <w:sz w:val="44"/>
          <w:szCs w:val="44"/>
        </w:rPr>
      </w:pPr>
      <w:r>
        <w:rPr>
          <w:rFonts w:hint="eastAsia" w:ascii="仿宋" w:hAnsi="仿宋" w:eastAsia="仿宋" w:cs="仿宋"/>
          <w:b/>
          <w:bCs/>
          <w:spacing w:val="30"/>
          <w:sz w:val="44"/>
          <w:szCs w:val="44"/>
        </w:rPr>
        <w:t>工程项目一览表</w:t>
      </w:r>
    </w:p>
    <w:tbl>
      <w:tblPr>
        <w:tblStyle w:val="40"/>
        <w:tblW w:w="10155" w:type="dxa"/>
        <w:jc w:val="center"/>
        <w:tblLayout w:type="fixed"/>
        <w:tblCellMar>
          <w:top w:w="0" w:type="dxa"/>
          <w:left w:w="108" w:type="dxa"/>
          <w:bottom w:w="0" w:type="dxa"/>
          <w:right w:w="108" w:type="dxa"/>
        </w:tblCellMar>
      </w:tblPr>
      <w:tblGrid>
        <w:gridCol w:w="1960"/>
        <w:gridCol w:w="2993"/>
        <w:gridCol w:w="5202"/>
      </w:tblGrid>
      <w:tr>
        <w:tblPrEx>
          <w:tblCellMar>
            <w:top w:w="0" w:type="dxa"/>
            <w:left w:w="108" w:type="dxa"/>
            <w:bottom w:w="0" w:type="dxa"/>
            <w:right w:w="108" w:type="dxa"/>
          </w:tblCellMar>
        </w:tblPrEx>
        <w:trPr>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2"/>
              <w:spacing w:line="360" w:lineRule="auto"/>
              <w:jc w:val="center"/>
              <w:rPr>
                <w:rFonts w:ascii="仿宋" w:hAnsi="仿宋" w:eastAsia="仿宋" w:cs="Times New Roman"/>
                <w:b/>
                <w:bCs/>
                <w:sz w:val="32"/>
                <w:szCs w:val="32"/>
              </w:rPr>
            </w:pPr>
            <w:r>
              <w:rPr>
                <w:rFonts w:hint="eastAsia" w:ascii="仿宋" w:hAnsi="仿宋" w:eastAsia="仿宋" w:cs="仿宋"/>
                <w:b/>
                <w:bCs/>
                <w:sz w:val="32"/>
                <w:szCs w:val="32"/>
              </w:rPr>
              <w:t>项号</w:t>
            </w:r>
          </w:p>
        </w:tc>
        <w:tc>
          <w:tcPr>
            <w:tcW w:w="2993"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2"/>
              <w:spacing w:line="360" w:lineRule="auto"/>
              <w:jc w:val="center"/>
              <w:rPr>
                <w:rFonts w:ascii="仿宋" w:hAnsi="仿宋" w:eastAsia="仿宋" w:cs="Times New Roman"/>
                <w:b/>
                <w:bCs/>
                <w:sz w:val="32"/>
                <w:szCs w:val="32"/>
              </w:rPr>
            </w:pPr>
            <w:r>
              <w:rPr>
                <w:rFonts w:hint="eastAsia" w:ascii="仿宋" w:hAnsi="仿宋" w:eastAsia="仿宋" w:cs="仿宋"/>
                <w:b/>
                <w:bCs/>
                <w:sz w:val="32"/>
                <w:szCs w:val="32"/>
              </w:rPr>
              <w:t>项</w:t>
            </w:r>
            <w:r>
              <w:rPr>
                <w:rFonts w:ascii="仿宋" w:hAnsi="仿宋" w:eastAsia="仿宋" w:cs="仿宋"/>
                <w:b/>
                <w:bCs/>
                <w:sz w:val="32"/>
                <w:szCs w:val="32"/>
              </w:rPr>
              <w:t xml:space="preserve"> </w:t>
            </w:r>
            <w:r>
              <w:rPr>
                <w:rFonts w:hint="eastAsia" w:ascii="仿宋" w:hAnsi="仿宋" w:eastAsia="仿宋" w:cs="仿宋"/>
                <w:b/>
                <w:bCs/>
                <w:sz w:val="32"/>
                <w:szCs w:val="32"/>
              </w:rPr>
              <w:t>目</w:t>
            </w:r>
          </w:p>
        </w:tc>
        <w:tc>
          <w:tcPr>
            <w:tcW w:w="5202"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2"/>
              <w:spacing w:line="360" w:lineRule="auto"/>
              <w:jc w:val="center"/>
              <w:rPr>
                <w:rFonts w:ascii="仿宋" w:hAnsi="仿宋" w:eastAsia="仿宋" w:cs="Times New Roman"/>
                <w:b/>
                <w:bCs/>
                <w:sz w:val="32"/>
                <w:szCs w:val="32"/>
              </w:rPr>
            </w:pPr>
            <w:r>
              <w:rPr>
                <w:rFonts w:hint="eastAsia" w:ascii="仿宋" w:hAnsi="仿宋" w:eastAsia="仿宋" w:cs="仿宋"/>
                <w:b/>
                <w:bCs/>
                <w:sz w:val="32"/>
                <w:szCs w:val="32"/>
              </w:rPr>
              <w:t>内</w:t>
            </w:r>
            <w:r>
              <w:rPr>
                <w:rFonts w:ascii="仿宋" w:hAnsi="仿宋" w:eastAsia="仿宋" w:cs="仿宋"/>
                <w:b/>
                <w:bCs/>
                <w:sz w:val="32"/>
                <w:szCs w:val="32"/>
              </w:rPr>
              <w:t xml:space="preserve">      </w:t>
            </w:r>
            <w:r>
              <w:rPr>
                <w:rFonts w:hint="eastAsia" w:ascii="仿宋" w:hAnsi="仿宋" w:eastAsia="仿宋" w:cs="仿宋"/>
                <w:b/>
                <w:bCs/>
                <w:sz w:val="32"/>
                <w:szCs w:val="32"/>
              </w:rPr>
              <w:t>容</w:t>
            </w:r>
          </w:p>
        </w:tc>
      </w:tr>
      <w:tr>
        <w:tblPrEx>
          <w:tblCellMar>
            <w:top w:w="0" w:type="dxa"/>
            <w:left w:w="108" w:type="dxa"/>
            <w:bottom w:w="0" w:type="dxa"/>
            <w:right w:w="108" w:type="dxa"/>
          </w:tblCellMar>
        </w:tblPrEx>
        <w:trPr>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2"/>
              <w:spacing w:line="360" w:lineRule="auto"/>
              <w:jc w:val="center"/>
              <w:rPr>
                <w:rFonts w:ascii="仿宋" w:hAnsi="仿宋" w:eastAsia="仿宋" w:cs="仿宋"/>
                <w:b/>
                <w:bCs/>
                <w:sz w:val="28"/>
                <w:szCs w:val="28"/>
              </w:rPr>
            </w:pPr>
            <w:r>
              <w:rPr>
                <w:rFonts w:ascii="仿宋" w:hAnsi="仿宋" w:eastAsia="仿宋" w:cs="仿宋"/>
                <w:b/>
                <w:bCs/>
                <w:sz w:val="28"/>
                <w:szCs w:val="28"/>
              </w:rPr>
              <w:t>1</w:t>
            </w:r>
          </w:p>
        </w:tc>
        <w:tc>
          <w:tcPr>
            <w:tcW w:w="2993" w:type="dxa"/>
            <w:tcBorders>
              <w:top w:val="single" w:color="auto" w:sz="4" w:space="0"/>
              <w:left w:val="single" w:color="auto" w:sz="4" w:space="0"/>
              <w:bottom w:val="single" w:color="auto" w:sz="4" w:space="0"/>
              <w:right w:val="single" w:color="auto" w:sz="4" w:space="0"/>
            </w:tcBorders>
            <w:shd w:val="pct80" w:color="FFFFFF" w:fill="auto"/>
            <w:vAlign w:val="center"/>
          </w:tcPr>
          <w:p>
            <w:pPr>
              <w:spacing w:line="360" w:lineRule="auto"/>
              <w:jc w:val="center"/>
              <w:rPr>
                <w:rFonts w:ascii="仿宋" w:hAnsi="仿宋" w:eastAsia="仿宋" w:cs="Times New Roman"/>
                <w:sz w:val="28"/>
                <w:szCs w:val="28"/>
              </w:rPr>
            </w:pPr>
            <w:r>
              <w:rPr>
                <w:rFonts w:hint="eastAsia" w:ascii="仿宋" w:hAnsi="仿宋" w:eastAsia="仿宋" w:cs="仿宋"/>
                <w:sz w:val="28"/>
                <w:szCs w:val="28"/>
              </w:rPr>
              <w:t>工程名称</w:t>
            </w:r>
          </w:p>
        </w:tc>
        <w:tc>
          <w:tcPr>
            <w:tcW w:w="5202"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2"/>
              <w:spacing w:line="360" w:lineRule="auto"/>
              <w:jc w:val="center"/>
              <w:rPr>
                <w:rFonts w:ascii="仿宋" w:hAnsi="仿宋" w:eastAsia="仿宋" w:cs="Times New Roman"/>
                <w:sz w:val="28"/>
                <w:szCs w:val="28"/>
              </w:rPr>
            </w:pPr>
          </w:p>
        </w:tc>
      </w:tr>
      <w:tr>
        <w:tblPrEx>
          <w:tblCellMar>
            <w:top w:w="0" w:type="dxa"/>
            <w:left w:w="108" w:type="dxa"/>
            <w:bottom w:w="0" w:type="dxa"/>
            <w:right w:w="108" w:type="dxa"/>
          </w:tblCellMar>
        </w:tblPrEx>
        <w:trPr>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2"/>
              <w:spacing w:line="360" w:lineRule="auto"/>
              <w:jc w:val="center"/>
              <w:rPr>
                <w:rFonts w:ascii="仿宋" w:hAnsi="仿宋" w:eastAsia="仿宋" w:cs="仿宋"/>
                <w:b/>
                <w:bCs/>
                <w:sz w:val="28"/>
                <w:szCs w:val="28"/>
              </w:rPr>
            </w:pPr>
            <w:r>
              <w:rPr>
                <w:rFonts w:ascii="仿宋" w:hAnsi="仿宋" w:eastAsia="仿宋" w:cs="仿宋"/>
                <w:b/>
                <w:bCs/>
                <w:sz w:val="28"/>
                <w:szCs w:val="28"/>
              </w:rPr>
              <w:t>2</w:t>
            </w:r>
          </w:p>
        </w:tc>
        <w:tc>
          <w:tcPr>
            <w:tcW w:w="2993" w:type="dxa"/>
            <w:tcBorders>
              <w:top w:val="single" w:color="auto" w:sz="4" w:space="0"/>
              <w:left w:val="single" w:color="auto" w:sz="4" w:space="0"/>
              <w:bottom w:val="single" w:color="auto" w:sz="4" w:space="0"/>
              <w:right w:val="single" w:color="auto" w:sz="4" w:space="0"/>
            </w:tcBorders>
            <w:shd w:val="pct80" w:color="FFFFFF" w:fill="auto"/>
            <w:vAlign w:val="center"/>
          </w:tcPr>
          <w:p>
            <w:pPr>
              <w:spacing w:line="360" w:lineRule="auto"/>
              <w:jc w:val="center"/>
              <w:rPr>
                <w:rFonts w:ascii="仿宋" w:hAnsi="仿宋" w:eastAsia="仿宋" w:cs="Times New Roman"/>
                <w:w w:val="90"/>
                <w:sz w:val="28"/>
                <w:szCs w:val="28"/>
              </w:rPr>
            </w:pPr>
            <w:r>
              <w:rPr>
                <w:rFonts w:hint="eastAsia" w:ascii="仿宋" w:hAnsi="仿宋" w:eastAsia="仿宋" w:cs="仿宋"/>
                <w:sz w:val="28"/>
                <w:szCs w:val="28"/>
              </w:rPr>
              <w:t>工程地点</w:t>
            </w:r>
          </w:p>
        </w:tc>
        <w:tc>
          <w:tcPr>
            <w:tcW w:w="5202" w:type="dxa"/>
            <w:tcBorders>
              <w:top w:val="single" w:color="auto" w:sz="4" w:space="0"/>
              <w:left w:val="single" w:color="auto" w:sz="4" w:space="0"/>
              <w:bottom w:val="single" w:color="auto" w:sz="4" w:space="0"/>
              <w:right w:val="single" w:color="auto" w:sz="4" w:space="0"/>
            </w:tcBorders>
            <w:shd w:val="pct80" w:color="FFFFFF" w:fill="auto"/>
            <w:vAlign w:val="center"/>
          </w:tcPr>
          <w:p>
            <w:pPr>
              <w:spacing w:line="360" w:lineRule="auto"/>
              <w:ind w:left="-6" w:firstLine="6"/>
              <w:jc w:val="center"/>
              <w:rPr>
                <w:rFonts w:ascii="仿宋" w:hAnsi="仿宋" w:eastAsia="仿宋" w:cs="Times New Roman"/>
                <w:sz w:val="28"/>
                <w:szCs w:val="28"/>
              </w:rPr>
            </w:pPr>
          </w:p>
          <w:p>
            <w:pPr>
              <w:spacing w:line="360" w:lineRule="auto"/>
              <w:ind w:left="-6" w:firstLine="6"/>
              <w:jc w:val="center"/>
              <w:rPr>
                <w:rFonts w:ascii="仿宋" w:hAnsi="仿宋" w:eastAsia="仿宋" w:cs="Times New Roman"/>
                <w:sz w:val="28"/>
                <w:szCs w:val="28"/>
              </w:rPr>
            </w:pPr>
          </w:p>
        </w:tc>
      </w:tr>
      <w:tr>
        <w:tblPrEx>
          <w:tblCellMar>
            <w:top w:w="0" w:type="dxa"/>
            <w:left w:w="108" w:type="dxa"/>
            <w:bottom w:w="0" w:type="dxa"/>
            <w:right w:w="108" w:type="dxa"/>
          </w:tblCellMar>
        </w:tblPrEx>
        <w:trPr>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2"/>
              <w:spacing w:line="360" w:lineRule="auto"/>
              <w:jc w:val="center"/>
              <w:rPr>
                <w:rFonts w:ascii="仿宋" w:hAnsi="仿宋" w:eastAsia="仿宋" w:cs="仿宋"/>
                <w:b/>
                <w:bCs/>
                <w:sz w:val="28"/>
                <w:szCs w:val="28"/>
              </w:rPr>
            </w:pPr>
            <w:r>
              <w:rPr>
                <w:rFonts w:ascii="仿宋" w:hAnsi="仿宋" w:eastAsia="仿宋" w:cs="仿宋"/>
                <w:b/>
                <w:bCs/>
                <w:sz w:val="28"/>
                <w:szCs w:val="28"/>
              </w:rPr>
              <w:t>3</w:t>
            </w:r>
          </w:p>
        </w:tc>
        <w:tc>
          <w:tcPr>
            <w:tcW w:w="2993" w:type="dxa"/>
            <w:tcBorders>
              <w:top w:val="single" w:color="auto" w:sz="4" w:space="0"/>
              <w:left w:val="single" w:color="auto" w:sz="4" w:space="0"/>
              <w:bottom w:val="single" w:color="auto" w:sz="4" w:space="0"/>
              <w:right w:val="single" w:color="auto" w:sz="4" w:space="0"/>
            </w:tcBorders>
            <w:shd w:val="pct80" w:color="FFFFFF" w:fill="auto"/>
            <w:vAlign w:val="center"/>
          </w:tcPr>
          <w:p>
            <w:pPr>
              <w:spacing w:line="360" w:lineRule="auto"/>
              <w:jc w:val="center"/>
              <w:rPr>
                <w:rFonts w:ascii="仿宋" w:hAnsi="仿宋" w:eastAsia="仿宋" w:cs="Times New Roman"/>
                <w:sz w:val="28"/>
                <w:szCs w:val="28"/>
              </w:rPr>
            </w:pPr>
            <w:r>
              <w:rPr>
                <w:rFonts w:hint="eastAsia" w:ascii="仿宋" w:hAnsi="仿宋" w:eastAsia="仿宋" w:cs="仿宋"/>
                <w:sz w:val="28"/>
                <w:szCs w:val="28"/>
              </w:rPr>
              <w:t>发包人</w:t>
            </w:r>
          </w:p>
        </w:tc>
        <w:tc>
          <w:tcPr>
            <w:tcW w:w="5202" w:type="dxa"/>
            <w:tcBorders>
              <w:top w:val="single" w:color="auto" w:sz="4" w:space="0"/>
              <w:left w:val="single" w:color="auto" w:sz="4" w:space="0"/>
              <w:bottom w:val="single" w:color="auto" w:sz="4" w:space="0"/>
              <w:right w:val="single" w:color="auto" w:sz="4" w:space="0"/>
            </w:tcBorders>
            <w:shd w:val="pct80" w:color="FFFFFF" w:fill="auto"/>
            <w:vAlign w:val="center"/>
          </w:tcPr>
          <w:p>
            <w:pPr>
              <w:spacing w:line="360" w:lineRule="auto"/>
              <w:ind w:left="-6" w:firstLine="6"/>
              <w:jc w:val="center"/>
              <w:rPr>
                <w:rFonts w:ascii="仿宋" w:hAnsi="仿宋" w:eastAsia="仿宋" w:cs="Times New Roman"/>
                <w:sz w:val="28"/>
                <w:szCs w:val="28"/>
              </w:rPr>
            </w:pPr>
          </w:p>
        </w:tc>
      </w:tr>
      <w:tr>
        <w:tblPrEx>
          <w:tblCellMar>
            <w:top w:w="0" w:type="dxa"/>
            <w:left w:w="108" w:type="dxa"/>
            <w:bottom w:w="0" w:type="dxa"/>
            <w:right w:w="108" w:type="dxa"/>
          </w:tblCellMar>
        </w:tblPrEx>
        <w:trPr>
          <w:cantSplit/>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2"/>
              <w:spacing w:line="360" w:lineRule="auto"/>
              <w:jc w:val="center"/>
              <w:rPr>
                <w:rFonts w:ascii="仿宋" w:hAnsi="仿宋" w:eastAsia="仿宋" w:cs="仿宋"/>
                <w:b/>
                <w:bCs/>
                <w:sz w:val="28"/>
                <w:szCs w:val="28"/>
              </w:rPr>
            </w:pPr>
            <w:r>
              <w:rPr>
                <w:rFonts w:ascii="仿宋" w:hAnsi="仿宋" w:eastAsia="仿宋" w:cs="仿宋"/>
                <w:b/>
                <w:bCs/>
                <w:sz w:val="28"/>
                <w:szCs w:val="28"/>
              </w:rPr>
              <w:t>4</w:t>
            </w:r>
          </w:p>
        </w:tc>
        <w:tc>
          <w:tcPr>
            <w:tcW w:w="2993" w:type="dxa"/>
            <w:tcBorders>
              <w:top w:val="single" w:color="auto" w:sz="4" w:space="0"/>
              <w:left w:val="single" w:color="auto" w:sz="4" w:space="0"/>
              <w:bottom w:val="single" w:color="auto" w:sz="4" w:space="0"/>
              <w:right w:val="single" w:color="auto" w:sz="4" w:space="0"/>
            </w:tcBorders>
            <w:shd w:val="pct80" w:color="FFFFFF" w:fill="auto"/>
            <w:vAlign w:val="center"/>
          </w:tcPr>
          <w:p>
            <w:pPr>
              <w:spacing w:line="360" w:lineRule="auto"/>
              <w:jc w:val="center"/>
              <w:rPr>
                <w:rFonts w:ascii="仿宋" w:hAnsi="仿宋" w:eastAsia="仿宋" w:cs="Times New Roman"/>
                <w:sz w:val="28"/>
                <w:szCs w:val="28"/>
              </w:rPr>
            </w:pPr>
            <w:r>
              <w:rPr>
                <w:rFonts w:hint="eastAsia" w:ascii="仿宋" w:hAnsi="仿宋" w:eastAsia="仿宋" w:cs="仿宋"/>
                <w:sz w:val="28"/>
                <w:szCs w:val="28"/>
              </w:rPr>
              <w:t>设计人</w:t>
            </w:r>
          </w:p>
        </w:tc>
        <w:tc>
          <w:tcPr>
            <w:tcW w:w="5202"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2"/>
              <w:spacing w:line="360" w:lineRule="auto"/>
              <w:jc w:val="center"/>
              <w:rPr>
                <w:rFonts w:ascii="仿宋" w:hAnsi="仿宋" w:eastAsia="仿宋" w:cs="Times New Roman"/>
                <w:sz w:val="28"/>
                <w:szCs w:val="28"/>
              </w:rPr>
            </w:pPr>
          </w:p>
        </w:tc>
      </w:tr>
      <w:tr>
        <w:tblPrEx>
          <w:tblCellMar>
            <w:top w:w="0" w:type="dxa"/>
            <w:left w:w="108" w:type="dxa"/>
            <w:bottom w:w="0" w:type="dxa"/>
            <w:right w:w="108" w:type="dxa"/>
          </w:tblCellMar>
        </w:tblPrEx>
        <w:trPr>
          <w:cantSplit/>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2"/>
              <w:spacing w:line="360" w:lineRule="auto"/>
              <w:jc w:val="center"/>
              <w:rPr>
                <w:rFonts w:ascii="仿宋" w:hAnsi="仿宋" w:eastAsia="仿宋" w:cs="仿宋"/>
                <w:b/>
                <w:bCs/>
                <w:sz w:val="28"/>
                <w:szCs w:val="28"/>
              </w:rPr>
            </w:pPr>
            <w:r>
              <w:rPr>
                <w:rFonts w:ascii="仿宋" w:hAnsi="仿宋" w:eastAsia="仿宋" w:cs="仿宋"/>
                <w:b/>
                <w:bCs/>
                <w:sz w:val="28"/>
                <w:szCs w:val="28"/>
              </w:rPr>
              <w:t>5</w:t>
            </w:r>
          </w:p>
        </w:tc>
        <w:tc>
          <w:tcPr>
            <w:tcW w:w="2993" w:type="dxa"/>
            <w:tcBorders>
              <w:top w:val="single" w:color="auto" w:sz="4" w:space="0"/>
              <w:left w:val="single" w:color="auto" w:sz="4" w:space="0"/>
              <w:bottom w:val="single" w:color="auto" w:sz="4" w:space="0"/>
              <w:right w:val="single" w:color="auto" w:sz="4" w:space="0"/>
            </w:tcBorders>
            <w:shd w:val="pct80" w:color="FFFFFF" w:fill="auto"/>
            <w:vAlign w:val="center"/>
          </w:tcPr>
          <w:p>
            <w:pPr>
              <w:spacing w:line="360" w:lineRule="auto"/>
              <w:jc w:val="center"/>
              <w:rPr>
                <w:rFonts w:ascii="仿宋" w:hAnsi="仿宋" w:eastAsia="仿宋" w:cs="Times New Roman"/>
                <w:sz w:val="28"/>
                <w:szCs w:val="28"/>
              </w:rPr>
            </w:pPr>
            <w:r>
              <w:rPr>
                <w:rFonts w:hint="eastAsia" w:ascii="仿宋" w:hAnsi="仿宋" w:eastAsia="仿宋" w:cs="仿宋"/>
                <w:sz w:val="28"/>
                <w:szCs w:val="28"/>
              </w:rPr>
              <w:t>监理人</w:t>
            </w:r>
          </w:p>
        </w:tc>
        <w:tc>
          <w:tcPr>
            <w:tcW w:w="5202"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2"/>
              <w:spacing w:line="360" w:lineRule="auto"/>
              <w:jc w:val="center"/>
              <w:rPr>
                <w:rFonts w:ascii="仿宋" w:hAnsi="仿宋" w:eastAsia="仿宋" w:cs="Times New Roman"/>
                <w:sz w:val="28"/>
                <w:szCs w:val="28"/>
              </w:rPr>
            </w:pPr>
          </w:p>
        </w:tc>
      </w:tr>
      <w:tr>
        <w:tblPrEx>
          <w:tblCellMar>
            <w:top w:w="0" w:type="dxa"/>
            <w:left w:w="108" w:type="dxa"/>
            <w:bottom w:w="0" w:type="dxa"/>
            <w:right w:w="108" w:type="dxa"/>
          </w:tblCellMar>
        </w:tblPrEx>
        <w:trPr>
          <w:cantSplit/>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2"/>
              <w:spacing w:line="360" w:lineRule="auto"/>
              <w:jc w:val="center"/>
              <w:rPr>
                <w:rFonts w:ascii="仿宋" w:hAnsi="仿宋" w:eastAsia="仿宋" w:cs="仿宋"/>
                <w:b/>
                <w:bCs/>
                <w:sz w:val="28"/>
                <w:szCs w:val="28"/>
              </w:rPr>
            </w:pPr>
            <w:r>
              <w:rPr>
                <w:rFonts w:ascii="仿宋" w:hAnsi="仿宋" w:eastAsia="仿宋" w:cs="仿宋"/>
                <w:b/>
                <w:bCs/>
                <w:sz w:val="28"/>
                <w:szCs w:val="28"/>
              </w:rPr>
              <w:t>6</w:t>
            </w:r>
          </w:p>
        </w:tc>
        <w:tc>
          <w:tcPr>
            <w:tcW w:w="2993" w:type="dxa"/>
            <w:tcBorders>
              <w:top w:val="single" w:color="auto" w:sz="4" w:space="0"/>
              <w:left w:val="single" w:color="auto" w:sz="4" w:space="0"/>
              <w:bottom w:val="single" w:color="auto" w:sz="4" w:space="0"/>
              <w:right w:val="single" w:color="auto" w:sz="4" w:space="0"/>
            </w:tcBorders>
            <w:shd w:val="pct80" w:color="FFFFFF" w:fill="auto"/>
            <w:vAlign w:val="center"/>
          </w:tcPr>
          <w:p>
            <w:pPr>
              <w:spacing w:line="360" w:lineRule="auto"/>
              <w:jc w:val="center"/>
              <w:rPr>
                <w:rFonts w:ascii="仿宋" w:hAnsi="仿宋" w:eastAsia="仿宋" w:cs="Times New Roman"/>
                <w:sz w:val="28"/>
                <w:szCs w:val="28"/>
              </w:rPr>
            </w:pPr>
            <w:r>
              <w:rPr>
                <w:rFonts w:hint="eastAsia" w:ascii="仿宋" w:hAnsi="仿宋" w:eastAsia="仿宋" w:cs="仿宋"/>
                <w:sz w:val="28"/>
                <w:szCs w:val="28"/>
              </w:rPr>
              <w:t>工程造价咨询人（如有）</w:t>
            </w:r>
          </w:p>
        </w:tc>
        <w:tc>
          <w:tcPr>
            <w:tcW w:w="5202"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2"/>
              <w:spacing w:line="360" w:lineRule="auto"/>
              <w:jc w:val="center"/>
              <w:rPr>
                <w:rFonts w:ascii="仿宋" w:hAnsi="仿宋" w:eastAsia="仿宋" w:cs="Times New Roman"/>
                <w:sz w:val="28"/>
                <w:szCs w:val="28"/>
              </w:rPr>
            </w:pPr>
          </w:p>
        </w:tc>
      </w:tr>
      <w:tr>
        <w:tblPrEx>
          <w:tblCellMar>
            <w:top w:w="0" w:type="dxa"/>
            <w:left w:w="108" w:type="dxa"/>
            <w:bottom w:w="0" w:type="dxa"/>
            <w:right w:w="108" w:type="dxa"/>
          </w:tblCellMar>
        </w:tblPrEx>
        <w:trPr>
          <w:cantSplit/>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2"/>
              <w:spacing w:line="360" w:lineRule="auto"/>
              <w:jc w:val="center"/>
              <w:rPr>
                <w:rFonts w:ascii="仿宋" w:hAnsi="仿宋" w:eastAsia="仿宋" w:cs="仿宋"/>
                <w:b/>
                <w:bCs/>
                <w:sz w:val="28"/>
                <w:szCs w:val="28"/>
              </w:rPr>
            </w:pPr>
            <w:r>
              <w:rPr>
                <w:rFonts w:ascii="仿宋" w:hAnsi="仿宋" w:eastAsia="仿宋" w:cs="仿宋"/>
                <w:b/>
                <w:bCs/>
                <w:sz w:val="28"/>
                <w:szCs w:val="28"/>
              </w:rPr>
              <w:t>7</w:t>
            </w:r>
          </w:p>
        </w:tc>
        <w:tc>
          <w:tcPr>
            <w:tcW w:w="2993" w:type="dxa"/>
            <w:tcBorders>
              <w:top w:val="single" w:color="auto" w:sz="4" w:space="0"/>
              <w:left w:val="single" w:color="auto" w:sz="4" w:space="0"/>
              <w:bottom w:val="single" w:color="auto" w:sz="4" w:space="0"/>
              <w:right w:val="single" w:color="auto" w:sz="4" w:space="0"/>
            </w:tcBorders>
            <w:shd w:val="pct80" w:color="FFFFFF" w:fill="auto"/>
            <w:vAlign w:val="center"/>
          </w:tcPr>
          <w:p>
            <w:pPr>
              <w:spacing w:line="360" w:lineRule="auto"/>
              <w:jc w:val="center"/>
              <w:rPr>
                <w:rFonts w:ascii="仿宋" w:hAnsi="仿宋" w:eastAsia="仿宋" w:cs="Times New Roman"/>
                <w:sz w:val="28"/>
                <w:szCs w:val="28"/>
              </w:rPr>
            </w:pPr>
            <w:r>
              <w:rPr>
                <w:rFonts w:hint="eastAsia" w:ascii="仿宋" w:hAnsi="仿宋" w:eastAsia="仿宋" w:cs="仿宋"/>
                <w:sz w:val="28"/>
                <w:szCs w:val="28"/>
              </w:rPr>
              <w:t>承包人</w:t>
            </w:r>
          </w:p>
        </w:tc>
        <w:tc>
          <w:tcPr>
            <w:tcW w:w="5202"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2"/>
              <w:spacing w:line="360" w:lineRule="auto"/>
              <w:jc w:val="center"/>
              <w:rPr>
                <w:rFonts w:ascii="仿宋" w:hAnsi="仿宋" w:eastAsia="仿宋" w:cs="Times New Roman"/>
                <w:sz w:val="28"/>
                <w:szCs w:val="28"/>
              </w:rPr>
            </w:pPr>
          </w:p>
        </w:tc>
      </w:tr>
      <w:tr>
        <w:tblPrEx>
          <w:tblCellMar>
            <w:top w:w="0" w:type="dxa"/>
            <w:left w:w="108" w:type="dxa"/>
            <w:bottom w:w="0" w:type="dxa"/>
            <w:right w:w="108" w:type="dxa"/>
          </w:tblCellMar>
        </w:tblPrEx>
        <w:trPr>
          <w:cantSplit/>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2"/>
              <w:spacing w:line="360" w:lineRule="auto"/>
              <w:jc w:val="center"/>
              <w:rPr>
                <w:rFonts w:ascii="仿宋" w:hAnsi="仿宋" w:eastAsia="仿宋" w:cs="仿宋"/>
                <w:b/>
                <w:bCs/>
                <w:sz w:val="28"/>
                <w:szCs w:val="28"/>
              </w:rPr>
            </w:pPr>
            <w:r>
              <w:rPr>
                <w:rFonts w:ascii="仿宋" w:hAnsi="仿宋" w:eastAsia="仿宋" w:cs="仿宋"/>
                <w:b/>
                <w:bCs/>
                <w:sz w:val="28"/>
                <w:szCs w:val="28"/>
              </w:rPr>
              <w:t>8</w:t>
            </w:r>
          </w:p>
        </w:tc>
        <w:tc>
          <w:tcPr>
            <w:tcW w:w="2993" w:type="dxa"/>
            <w:tcBorders>
              <w:top w:val="single" w:color="auto" w:sz="4" w:space="0"/>
              <w:left w:val="single" w:color="auto" w:sz="4" w:space="0"/>
              <w:bottom w:val="single" w:color="auto" w:sz="4" w:space="0"/>
              <w:right w:val="single" w:color="auto" w:sz="4" w:space="0"/>
            </w:tcBorders>
            <w:shd w:val="pct80" w:color="FFFFFF" w:fill="auto"/>
            <w:vAlign w:val="center"/>
          </w:tcPr>
          <w:p>
            <w:pPr>
              <w:spacing w:line="360" w:lineRule="auto"/>
              <w:jc w:val="center"/>
              <w:rPr>
                <w:rFonts w:ascii="仿宋" w:hAnsi="仿宋" w:eastAsia="仿宋" w:cs="Times New Roman"/>
                <w:w w:val="90"/>
                <w:sz w:val="28"/>
                <w:szCs w:val="28"/>
              </w:rPr>
            </w:pPr>
            <w:r>
              <w:rPr>
                <w:rFonts w:hint="eastAsia" w:ascii="仿宋" w:hAnsi="仿宋" w:eastAsia="仿宋" w:cs="仿宋"/>
                <w:sz w:val="28"/>
                <w:szCs w:val="28"/>
              </w:rPr>
              <w:t>工程总投资</w:t>
            </w:r>
          </w:p>
        </w:tc>
        <w:tc>
          <w:tcPr>
            <w:tcW w:w="5202"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19"/>
              <w:spacing w:line="360" w:lineRule="auto"/>
              <w:ind w:left="-3" w:firstLine="3"/>
              <w:jc w:val="center"/>
              <w:rPr>
                <w:rFonts w:ascii="仿宋" w:hAnsi="仿宋" w:eastAsia="仿宋" w:cs="Times New Roman"/>
                <w:sz w:val="28"/>
                <w:szCs w:val="28"/>
              </w:rPr>
            </w:pPr>
          </w:p>
        </w:tc>
      </w:tr>
      <w:tr>
        <w:tblPrEx>
          <w:tblCellMar>
            <w:top w:w="0" w:type="dxa"/>
            <w:left w:w="108" w:type="dxa"/>
            <w:bottom w:w="0" w:type="dxa"/>
            <w:right w:w="108" w:type="dxa"/>
          </w:tblCellMar>
        </w:tblPrEx>
        <w:trPr>
          <w:cantSplit/>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2"/>
              <w:spacing w:line="360" w:lineRule="auto"/>
              <w:jc w:val="center"/>
              <w:rPr>
                <w:rFonts w:ascii="仿宋" w:hAnsi="仿宋" w:eastAsia="仿宋" w:cs="仿宋"/>
                <w:b/>
                <w:bCs/>
                <w:sz w:val="28"/>
                <w:szCs w:val="28"/>
              </w:rPr>
            </w:pPr>
            <w:r>
              <w:rPr>
                <w:rFonts w:ascii="仿宋" w:hAnsi="仿宋" w:eastAsia="仿宋" w:cs="仿宋"/>
                <w:b/>
                <w:bCs/>
                <w:sz w:val="28"/>
                <w:szCs w:val="28"/>
              </w:rPr>
              <w:t>9</w:t>
            </w:r>
          </w:p>
        </w:tc>
        <w:tc>
          <w:tcPr>
            <w:tcW w:w="2993" w:type="dxa"/>
            <w:tcBorders>
              <w:top w:val="single" w:color="auto" w:sz="4" w:space="0"/>
              <w:left w:val="single" w:color="auto" w:sz="4" w:space="0"/>
              <w:bottom w:val="single" w:color="auto" w:sz="4" w:space="0"/>
              <w:right w:val="single" w:color="auto" w:sz="4" w:space="0"/>
            </w:tcBorders>
            <w:shd w:val="pct80" w:color="FFFFFF" w:fill="auto"/>
            <w:vAlign w:val="center"/>
          </w:tcPr>
          <w:p>
            <w:pPr>
              <w:spacing w:line="360" w:lineRule="auto"/>
              <w:jc w:val="center"/>
              <w:rPr>
                <w:rFonts w:ascii="仿宋" w:hAnsi="仿宋" w:eastAsia="仿宋" w:cs="Times New Roman"/>
                <w:sz w:val="28"/>
                <w:szCs w:val="28"/>
              </w:rPr>
            </w:pPr>
            <w:r>
              <w:rPr>
                <w:rFonts w:hint="eastAsia" w:ascii="仿宋" w:hAnsi="仿宋" w:eastAsia="仿宋" w:cs="仿宋"/>
                <w:sz w:val="28"/>
                <w:szCs w:val="28"/>
              </w:rPr>
              <w:t>计划开工日期</w:t>
            </w:r>
          </w:p>
        </w:tc>
        <w:tc>
          <w:tcPr>
            <w:tcW w:w="5202"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2"/>
              <w:spacing w:line="360" w:lineRule="auto"/>
              <w:jc w:val="center"/>
              <w:rPr>
                <w:rFonts w:ascii="仿宋" w:hAnsi="仿宋" w:eastAsia="仿宋" w:cs="Times New Roman"/>
                <w:sz w:val="28"/>
                <w:szCs w:val="28"/>
              </w:rPr>
            </w:pPr>
          </w:p>
        </w:tc>
      </w:tr>
      <w:tr>
        <w:tblPrEx>
          <w:tblCellMar>
            <w:top w:w="0" w:type="dxa"/>
            <w:left w:w="108" w:type="dxa"/>
            <w:bottom w:w="0" w:type="dxa"/>
            <w:right w:w="108" w:type="dxa"/>
          </w:tblCellMar>
        </w:tblPrEx>
        <w:trPr>
          <w:cantSplit/>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2"/>
              <w:spacing w:line="360" w:lineRule="auto"/>
              <w:jc w:val="center"/>
              <w:rPr>
                <w:rFonts w:ascii="仿宋" w:hAnsi="仿宋" w:eastAsia="仿宋" w:cs="仿宋"/>
                <w:b/>
                <w:bCs/>
                <w:sz w:val="28"/>
                <w:szCs w:val="28"/>
              </w:rPr>
            </w:pPr>
            <w:r>
              <w:rPr>
                <w:rFonts w:ascii="仿宋" w:hAnsi="仿宋" w:eastAsia="仿宋" w:cs="仿宋"/>
                <w:b/>
                <w:bCs/>
                <w:sz w:val="28"/>
                <w:szCs w:val="28"/>
              </w:rPr>
              <w:t>10</w:t>
            </w:r>
          </w:p>
        </w:tc>
        <w:tc>
          <w:tcPr>
            <w:tcW w:w="2993" w:type="dxa"/>
            <w:tcBorders>
              <w:top w:val="single" w:color="auto" w:sz="4" w:space="0"/>
              <w:left w:val="single" w:color="auto" w:sz="4" w:space="0"/>
              <w:bottom w:val="single" w:color="auto" w:sz="4" w:space="0"/>
              <w:right w:val="single" w:color="auto" w:sz="4" w:space="0"/>
            </w:tcBorders>
            <w:shd w:val="pct80" w:color="FFFFFF" w:fill="auto"/>
            <w:vAlign w:val="center"/>
          </w:tcPr>
          <w:p>
            <w:pPr>
              <w:spacing w:line="360" w:lineRule="auto"/>
              <w:jc w:val="center"/>
              <w:rPr>
                <w:rFonts w:ascii="仿宋" w:hAnsi="仿宋" w:eastAsia="仿宋" w:cs="Times New Roman"/>
                <w:sz w:val="28"/>
                <w:szCs w:val="28"/>
              </w:rPr>
            </w:pPr>
            <w:r>
              <w:rPr>
                <w:rFonts w:hint="eastAsia" w:ascii="仿宋" w:hAnsi="仿宋" w:eastAsia="仿宋" w:cs="仿宋"/>
                <w:sz w:val="28"/>
                <w:szCs w:val="28"/>
              </w:rPr>
              <w:t>计划竣工日期</w:t>
            </w:r>
          </w:p>
        </w:tc>
        <w:tc>
          <w:tcPr>
            <w:tcW w:w="5202"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2"/>
              <w:spacing w:line="360" w:lineRule="auto"/>
              <w:jc w:val="center"/>
              <w:rPr>
                <w:rFonts w:ascii="仿宋" w:hAnsi="仿宋" w:eastAsia="仿宋" w:cs="Times New Roman"/>
                <w:sz w:val="28"/>
                <w:szCs w:val="28"/>
              </w:rPr>
            </w:pPr>
          </w:p>
        </w:tc>
      </w:tr>
      <w:tr>
        <w:tblPrEx>
          <w:tblCellMar>
            <w:top w:w="0" w:type="dxa"/>
            <w:left w:w="108" w:type="dxa"/>
            <w:bottom w:w="0" w:type="dxa"/>
            <w:right w:w="108" w:type="dxa"/>
          </w:tblCellMar>
        </w:tblPrEx>
        <w:trPr>
          <w:cantSplit/>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2"/>
              <w:spacing w:line="360" w:lineRule="auto"/>
              <w:jc w:val="center"/>
              <w:rPr>
                <w:rFonts w:ascii="仿宋" w:hAnsi="仿宋" w:eastAsia="仿宋" w:cs="仿宋"/>
                <w:b/>
                <w:bCs/>
                <w:sz w:val="28"/>
                <w:szCs w:val="28"/>
              </w:rPr>
            </w:pPr>
            <w:r>
              <w:rPr>
                <w:rFonts w:ascii="仿宋" w:hAnsi="仿宋" w:eastAsia="仿宋" w:cs="仿宋"/>
                <w:b/>
                <w:bCs/>
                <w:sz w:val="28"/>
                <w:szCs w:val="28"/>
              </w:rPr>
              <w:t>11</w:t>
            </w:r>
          </w:p>
        </w:tc>
        <w:tc>
          <w:tcPr>
            <w:tcW w:w="2993" w:type="dxa"/>
            <w:tcBorders>
              <w:top w:val="single" w:color="auto" w:sz="4" w:space="0"/>
              <w:left w:val="single" w:color="auto" w:sz="4" w:space="0"/>
              <w:bottom w:val="single" w:color="auto" w:sz="4" w:space="0"/>
              <w:right w:val="single" w:color="auto" w:sz="4" w:space="0"/>
            </w:tcBorders>
            <w:shd w:val="pct80" w:color="FFFFFF" w:fill="auto"/>
            <w:vAlign w:val="center"/>
          </w:tcPr>
          <w:p>
            <w:pPr>
              <w:spacing w:line="360" w:lineRule="auto"/>
              <w:jc w:val="center"/>
              <w:rPr>
                <w:rFonts w:ascii="仿宋" w:hAnsi="仿宋" w:eastAsia="仿宋" w:cs="Times New Roman"/>
                <w:sz w:val="28"/>
                <w:szCs w:val="28"/>
              </w:rPr>
            </w:pPr>
            <w:r>
              <w:rPr>
                <w:rFonts w:hint="eastAsia" w:ascii="仿宋" w:hAnsi="仿宋" w:eastAsia="仿宋" w:cs="仿宋"/>
                <w:sz w:val="28"/>
                <w:szCs w:val="28"/>
              </w:rPr>
              <w:t>工程质量</w:t>
            </w:r>
          </w:p>
        </w:tc>
        <w:tc>
          <w:tcPr>
            <w:tcW w:w="5202"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2"/>
              <w:spacing w:line="360" w:lineRule="auto"/>
              <w:jc w:val="center"/>
              <w:rPr>
                <w:rFonts w:ascii="仿宋" w:hAnsi="仿宋" w:eastAsia="仿宋" w:cs="Times New Roman"/>
                <w:sz w:val="28"/>
                <w:szCs w:val="28"/>
              </w:rPr>
            </w:pPr>
          </w:p>
        </w:tc>
      </w:tr>
    </w:tbl>
    <w:p>
      <w:pPr>
        <w:widowControl/>
        <w:spacing w:line="360" w:lineRule="auto"/>
        <w:jc w:val="left"/>
        <w:rPr>
          <w:rFonts w:ascii="仿宋" w:hAnsi="仿宋" w:eastAsia="仿宋" w:cs="Times New Roman"/>
          <w:kern w:val="0"/>
          <w:sz w:val="24"/>
          <w:szCs w:val="24"/>
        </w:rPr>
        <w:sectPr>
          <w:endnotePr>
            <w:numFmt w:val="decimal"/>
          </w:endnotePr>
          <w:pgSz w:w="11906" w:h="16838"/>
          <w:pgMar w:top="1418" w:right="737" w:bottom="851" w:left="737" w:header="0" w:footer="0" w:gutter="0"/>
          <w:cols w:space="720" w:num="1"/>
        </w:sectPr>
      </w:pPr>
    </w:p>
    <w:p>
      <w:pPr>
        <w:spacing w:before="240" w:beforeLines="100" w:after="240" w:afterLines="100" w:line="360" w:lineRule="auto"/>
        <w:outlineLvl w:val="1"/>
        <w:rPr>
          <w:rFonts w:ascii="仿宋" w:hAnsi="仿宋" w:eastAsia="仿宋" w:cs="仿宋"/>
          <w:b/>
          <w:bCs/>
          <w:color w:val="000000"/>
          <w:kern w:val="0"/>
          <w:sz w:val="24"/>
          <w:szCs w:val="24"/>
        </w:rPr>
      </w:pPr>
      <w:bookmarkStart w:id="748" w:name="_Toc10624991"/>
      <w:bookmarkStart w:id="749" w:name="_Toc469384147"/>
      <w:bookmarkStart w:id="750" w:name="_Toc266892931"/>
      <w:r>
        <w:rPr>
          <w:rFonts w:hint="eastAsia" w:ascii="仿宋" w:hAnsi="仿宋" w:eastAsia="仿宋" w:cs="仿宋"/>
          <w:b/>
          <w:bCs/>
          <w:color w:val="000000"/>
          <w:kern w:val="0"/>
          <w:sz w:val="24"/>
          <w:szCs w:val="24"/>
        </w:rPr>
        <w:t>格式</w:t>
      </w:r>
      <w:r>
        <w:rPr>
          <w:rFonts w:ascii="仿宋" w:hAnsi="仿宋" w:eastAsia="仿宋" w:cs="仿宋"/>
          <w:b/>
          <w:bCs/>
          <w:color w:val="000000"/>
          <w:kern w:val="0"/>
          <w:sz w:val="24"/>
          <w:szCs w:val="24"/>
        </w:rPr>
        <w:t>5</w:t>
      </w:r>
      <w:bookmarkEnd w:id="748"/>
      <w:bookmarkEnd w:id="749"/>
      <w:bookmarkEnd w:id="750"/>
    </w:p>
    <w:p>
      <w:pPr>
        <w:spacing w:line="360" w:lineRule="auto"/>
        <w:jc w:val="center"/>
        <w:rPr>
          <w:rFonts w:ascii="仿宋" w:hAnsi="仿宋" w:eastAsia="仿宋" w:cs="Times New Roman"/>
          <w:b/>
          <w:bCs/>
          <w:spacing w:val="32"/>
          <w:kern w:val="36"/>
          <w:sz w:val="36"/>
          <w:szCs w:val="36"/>
        </w:rPr>
      </w:pPr>
      <w:r>
        <w:rPr>
          <w:rFonts w:hint="eastAsia" w:ascii="仿宋" w:hAnsi="仿宋" w:eastAsia="仿宋" w:cs="仿宋"/>
          <w:b/>
          <w:bCs/>
          <w:spacing w:val="32"/>
          <w:kern w:val="36"/>
          <w:sz w:val="36"/>
          <w:szCs w:val="36"/>
        </w:rPr>
        <w:t>承包人派驻现场主要管理人员及技术骨干名单</w:t>
      </w:r>
    </w:p>
    <w:p>
      <w:pPr>
        <w:spacing w:line="360" w:lineRule="auto"/>
        <w:rPr>
          <w:rFonts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工程名称：</w:t>
      </w:r>
      <w:r>
        <w:rPr>
          <w:rFonts w:ascii="仿宋" w:hAnsi="仿宋" w:eastAsia="仿宋" w:cs="仿宋"/>
          <w:sz w:val="24"/>
          <w:szCs w:val="24"/>
        </w:rPr>
        <w:t xml:space="preserve">                                                                                  </w:t>
      </w:r>
      <w:r>
        <w:rPr>
          <w:rFonts w:hint="eastAsia" w:ascii="仿宋" w:hAnsi="仿宋" w:eastAsia="仿宋" w:cs="仿宋"/>
          <w:sz w:val="24"/>
          <w:szCs w:val="24"/>
        </w:rPr>
        <w:t>编号：</w:t>
      </w:r>
    </w:p>
    <w:tbl>
      <w:tblPr>
        <w:tblStyle w:val="40"/>
        <w:tblW w:w="1585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
        <w:gridCol w:w="831"/>
        <w:gridCol w:w="831"/>
        <w:gridCol w:w="831"/>
        <w:gridCol w:w="831"/>
        <w:gridCol w:w="831"/>
        <w:gridCol w:w="1377"/>
        <w:gridCol w:w="1243"/>
        <w:gridCol w:w="1042"/>
        <w:gridCol w:w="1054"/>
        <w:gridCol w:w="1406"/>
        <w:gridCol w:w="2287"/>
        <w:gridCol w:w="2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trPr>
        <w:tc>
          <w:tcPr>
            <w:tcW w:w="831" w:type="dxa"/>
            <w:vAlign w:val="center"/>
          </w:tcPr>
          <w:p>
            <w:pPr>
              <w:spacing w:line="360" w:lineRule="auto"/>
              <w:jc w:val="center"/>
              <w:rPr>
                <w:rFonts w:ascii="仿宋" w:hAnsi="仿宋" w:eastAsia="仿宋" w:cs="Times New Roman"/>
                <w:sz w:val="24"/>
                <w:szCs w:val="24"/>
              </w:rPr>
            </w:pPr>
            <w:r>
              <w:rPr>
                <w:rFonts w:hint="eastAsia" w:ascii="仿宋" w:hAnsi="仿宋" w:eastAsia="仿宋" w:cs="仿宋"/>
                <w:sz w:val="24"/>
                <w:szCs w:val="24"/>
              </w:rPr>
              <w:t>序号</w:t>
            </w:r>
          </w:p>
        </w:tc>
        <w:tc>
          <w:tcPr>
            <w:tcW w:w="831" w:type="dxa"/>
            <w:vAlign w:val="center"/>
          </w:tcPr>
          <w:p>
            <w:pPr>
              <w:tabs>
                <w:tab w:val="left" w:pos="150"/>
              </w:tabs>
              <w:jc w:val="center"/>
              <w:rPr>
                <w:rFonts w:ascii="仿宋" w:hAnsi="仿宋" w:eastAsia="仿宋" w:cs="Times New Roman"/>
                <w:sz w:val="24"/>
                <w:szCs w:val="24"/>
              </w:rPr>
            </w:pPr>
            <w:r>
              <w:rPr>
                <w:rFonts w:hint="eastAsia" w:ascii="仿宋" w:hAnsi="仿宋" w:eastAsia="仿宋" w:cs="仿宋"/>
                <w:sz w:val="24"/>
                <w:szCs w:val="24"/>
              </w:rPr>
              <w:t>姓名</w:t>
            </w:r>
          </w:p>
        </w:tc>
        <w:tc>
          <w:tcPr>
            <w:tcW w:w="831" w:type="dxa"/>
            <w:vAlign w:val="center"/>
          </w:tcPr>
          <w:p>
            <w:pPr>
              <w:spacing w:line="360" w:lineRule="auto"/>
              <w:jc w:val="center"/>
              <w:rPr>
                <w:rFonts w:ascii="仿宋" w:hAnsi="仿宋" w:eastAsia="仿宋" w:cs="Times New Roman"/>
                <w:sz w:val="24"/>
                <w:szCs w:val="24"/>
              </w:rPr>
            </w:pPr>
            <w:r>
              <w:rPr>
                <w:rFonts w:hint="eastAsia" w:ascii="仿宋" w:hAnsi="仿宋" w:eastAsia="仿宋" w:cs="仿宋"/>
                <w:sz w:val="24"/>
                <w:szCs w:val="24"/>
              </w:rPr>
              <w:t>性别</w:t>
            </w:r>
          </w:p>
        </w:tc>
        <w:tc>
          <w:tcPr>
            <w:tcW w:w="831" w:type="dxa"/>
            <w:vAlign w:val="center"/>
          </w:tcPr>
          <w:p>
            <w:pPr>
              <w:spacing w:line="360" w:lineRule="auto"/>
              <w:jc w:val="center"/>
              <w:rPr>
                <w:rFonts w:ascii="仿宋" w:hAnsi="仿宋" w:eastAsia="仿宋" w:cs="Times New Roman"/>
                <w:sz w:val="24"/>
                <w:szCs w:val="24"/>
              </w:rPr>
            </w:pPr>
            <w:r>
              <w:rPr>
                <w:rFonts w:hint="eastAsia" w:ascii="仿宋" w:hAnsi="仿宋" w:eastAsia="仿宋" w:cs="仿宋"/>
                <w:sz w:val="24"/>
                <w:szCs w:val="24"/>
              </w:rPr>
              <w:t>年龄</w:t>
            </w:r>
          </w:p>
        </w:tc>
        <w:tc>
          <w:tcPr>
            <w:tcW w:w="831" w:type="dxa"/>
            <w:vAlign w:val="center"/>
          </w:tcPr>
          <w:p>
            <w:pPr>
              <w:spacing w:line="360" w:lineRule="auto"/>
              <w:jc w:val="center"/>
              <w:rPr>
                <w:rFonts w:ascii="仿宋" w:hAnsi="仿宋" w:eastAsia="仿宋" w:cs="Times New Roman"/>
                <w:sz w:val="24"/>
                <w:szCs w:val="24"/>
              </w:rPr>
            </w:pPr>
            <w:r>
              <w:rPr>
                <w:rFonts w:hint="eastAsia" w:ascii="仿宋" w:hAnsi="仿宋" w:eastAsia="仿宋" w:cs="仿宋"/>
                <w:sz w:val="24"/>
                <w:szCs w:val="24"/>
              </w:rPr>
              <w:t>学历</w:t>
            </w:r>
          </w:p>
        </w:tc>
        <w:tc>
          <w:tcPr>
            <w:tcW w:w="831" w:type="dxa"/>
            <w:vAlign w:val="center"/>
          </w:tcPr>
          <w:p>
            <w:pPr>
              <w:spacing w:line="360" w:lineRule="auto"/>
              <w:jc w:val="center"/>
              <w:rPr>
                <w:rFonts w:ascii="仿宋" w:hAnsi="仿宋" w:eastAsia="仿宋" w:cs="Times New Roman"/>
                <w:sz w:val="24"/>
                <w:szCs w:val="24"/>
              </w:rPr>
            </w:pPr>
            <w:r>
              <w:rPr>
                <w:rFonts w:hint="eastAsia" w:ascii="仿宋" w:hAnsi="仿宋" w:eastAsia="仿宋" w:cs="仿宋"/>
                <w:sz w:val="24"/>
                <w:szCs w:val="24"/>
              </w:rPr>
              <w:t>专业</w:t>
            </w:r>
          </w:p>
        </w:tc>
        <w:tc>
          <w:tcPr>
            <w:tcW w:w="1377" w:type="dxa"/>
            <w:vAlign w:val="center"/>
          </w:tcPr>
          <w:p>
            <w:pPr>
              <w:spacing w:line="360" w:lineRule="auto"/>
              <w:jc w:val="center"/>
              <w:rPr>
                <w:rFonts w:ascii="仿宋" w:hAnsi="仿宋" w:eastAsia="仿宋" w:cs="Times New Roman"/>
                <w:sz w:val="24"/>
                <w:szCs w:val="24"/>
              </w:rPr>
            </w:pPr>
            <w:r>
              <w:rPr>
                <w:rFonts w:hint="eastAsia" w:ascii="仿宋" w:hAnsi="仿宋" w:eastAsia="仿宋" w:cs="仿宋"/>
                <w:sz w:val="24"/>
                <w:szCs w:val="24"/>
              </w:rPr>
              <w:t>现任职务、</w:t>
            </w:r>
          </w:p>
          <w:p>
            <w:pPr>
              <w:spacing w:line="360" w:lineRule="auto"/>
              <w:jc w:val="center"/>
              <w:rPr>
                <w:rFonts w:ascii="仿宋" w:hAnsi="仿宋" w:eastAsia="仿宋" w:cs="Times New Roman"/>
                <w:sz w:val="24"/>
                <w:szCs w:val="24"/>
              </w:rPr>
            </w:pPr>
            <w:r>
              <w:rPr>
                <w:rFonts w:hint="eastAsia" w:ascii="仿宋" w:hAnsi="仿宋" w:eastAsia="仿宋" w:cs="仿宋"/>
                <w:sz w:val="24"/>
                <w:szCs w:val="24"/>
              </w:rPr>
              <w:t>技术职务</w:t>
            </w:r>
          </w:p>
        </w:tc>
        <w:tc>
          <w:tcPr>
            <w:tcW w:w="1243" w:type="dxa"/>
            <w:vAlign w:val="center"/>
          </w:tcPr>
          <w:p>
            <w:pPr>
              <w:spacing w:line="360" w:lineRule="auto"/>
              <w:jc w:val="center"/>
              <w:rPr>
                <w:rFonts w:ascii="仿宋" w:hAnsi="仿宋" w:eastAsia="仿宋" w:cs="Times New Roman"/>
                <w:sz w:val="24"/>
                <w:szCs w:val="24"/>
              </w:rPr>
            </w:pPr>
            <w:r>
              <w:rPr>
                <w:rFonts w:hint="eastAsia" w:ascii="仿宋" w:hAnsi="仿宋" w:eastAsia="仿宋" w:cs="仿宋"/>
                <w:sz w:val="24"/>
                <w:szCs w:val="24"/>
              </w:rPr>
              <w:t>联系电话</w:t>
            </w:r>
          </w:p>
        </w:tc>
        <w:tc>
          <w:tcPr>
            <w:tcW w:w="1042" w:type="dxa"/>
            <w:vAlign w:val="center"/>
          </w:tcPr>
          <w:p>
            <w:pPr>
              <w:spacing w:line="360" w:lineRule="auto"/>
              <w:jc w:val="center"/>
              <w:rPr>
                <w:rFonts w:ascii="仿宋" w:hAnsi="仿宋" w:eastAsia="仿宋" w:cs="Times New Roman"/>
                <w:sz w:val="24"/>
                <w:szCs w:val="24"/>
              </w:rPr>
            </w:pPr>
            <w:r>
              <w:rPr>
                <w:rFonts w:hint="eastAsia" w:ascii="仿宋" w:hAnsi="仿宋" w:eastAsia="仿宋" w:cs="仿宋"/>
                <w:sz w:val="24"/>
                <w:szCs w:val="24"/>
              </w:rPr>
              <w:t>专业</w:t>
            </w:r>
          </w:p>
          <w:p>
            <w:pPr>
              <w:spacing w:line="360" w:lineRule="auto"/>
              <w:jc w:val="center"/>
              <w:rPr>
                <w:rFonts w:ascii="仿宋" w:hAnsi="仿宋" w:eastAsia="仿宋" w:cs="Times New Roman"/>
                <w:sz w:val="24"/>
                <w:szCs w:val="24"/>
              </w:rPr>
            </w:pPr>
            <w:r>
              <w:rPr>
                <w:rFonts w:hint="eastAsia" w:ascii="仿宋" w:hAnsi="仿宋" w:eastAsia="仿宋" w:cs="仿宋"/>
                <w:sz w:val="24"/>
                <w:szCs w:val="24"/>
              </w:rPr>
              <w:t>工龄</w:t>
            </w:r>
          </w:p>
        </w:tc>
        <w:tc>
          <w:tcPr>
            <w:tcW w:w="1054" w:type="dxa"/>
            <w:vAlign w:val="center"/>
          </w:tcPr>
          <w:p>
            <w:pPr>
              <w:spacing w:line="360" w:lineRule="auto"/>
              <w:jc w:val="center"/>
              <w:rPr>
                <w:rFonts w:ascii="仿宋" w:hAnsi="仿宋" w:eastAsia="仿宋" w:cs="Times New Roman"/>
                <w:sz w:val="24"/>
                <w:szCs w:val="24"/>
              </w:rPr>
            </w:pPr>
            <w:r>
              <w:rPr>
                <w:rFonts w:hint="eastAsia" w:ascii="仿宋" w:hAnsi="仿宋" w:eastAsia="仿宋" w:cs="仿宋"/>
                <w:sz w:val="24"/>
                <w:szCs w:val="24"/>
              </w:rPr>
              <w:t>专业</w:t>
            </w:r>
          </w:p>
          <w:p>
            <w:pPr>
              <w:spacing w:line="360" w:lineRule="auto"/>
              <w:jc w:val="center"/>
              <w:rPr>
                <w:rFonts w:ascii="仿宋" w:hAnsi="仿宋" w:eastAsia="仿宋" w:cs="Times New Roman"/>
                <w:sz w:val="24"/>
                <w:szCs w:val="24"/>
              </w:rPr>
            </w:pPr>
            <w:r>
              <w:rPr>
                <w:rFonts w:hint="eastAsia" w:ascii="仿宋" w:hAnsi="仿宋" w:eastAsia="仿宋" w:cs="仿宋"/>
                <w:sz w:val="24"/>
                <w:szCs w:val="24"/>
              </w:rPr>
              <w:t>特长</w:t>
            </w:r>
          </w:p>
        </w:tc>
        <w:tc>
          <w:tcPr>
            <w:tcW w:w="1406" w:type="dxa"/>
            <w:vAlign w:val="center"/>
          </w:tcPr>
          <w:p>
            <w:pPr>
              <w:spacing w:line="360" w:lineRule="auto"/>
              <w:jc w:val="center"/>
              <w:rPr>
                <w:rFonts w:ascii="仿宋" w:hAnsi="仿宋" w:eastAsia="仿宋" w:cs="Times New Roman"/>
                <w:sz w:val="24"/>
                <w:szCs w:val="24"/>
              </w:rPr>
            </w:pPr>
            <w:r>
              <w:rPr>
                <w:rFonts w:hint="eastAsia" w:ascii="仿宋" w:hAnsi="仿宋" w:eastAsia="仿宋" w:cs="仿宋"/>
                <w:sz w:val="24"/>
                <w:szCs w:val="24"/>
              </w:rPr>
              <w:t>从事施工</w:t>
            </w:r>
          </w:p>
          <w:p>
            <w:pPr>
              <w:spacing w:line="360" w:lineRule="auto"/>
              <w:jc w:val="center"/>
              <w:rPr>
                <w:rFonts w:ascii="仿宋" w:hAnsi="仿宋" w:eastAsia="仿宋" w:cs="Times New Roman"/>
                <w:sz w:val="24"/>
                <w:szCs w:val="24"/>
              </w:rPr>
            </w:pPr>
            <w:r>
              <w:rPr>
                <w:rFonts w:hint="eastAsia" w:ascii="仿宋" w:hAnsi="仿宋" w:eastAsia="仿宋" w:cs="仿宋"/>
                <w:sz w:val="24"/>
                <w:szCs w:val="24"/>
              </w:rPr>
              <w:t>工作年限</w:t>
            </w:r>
          </w:p>
        </w:tc>
        <w:tc>
          <w:tcPr>
            <w:tcW w:w="2287" w:type="dxa"/>
            <w:vAlign w:val="center"/>
          </w:tcPr>
          <w:p>
            <w:pPr>
              <w:spacing w:line="360" w:lineRule="auto"/>
              <w:jc w:val="center"/>
              <w:rPr>
                <w:rFonts w:ascii="仿宋" w:hAnsi="仿宋" w:eastAsia="仿宋" w:cs="Times New Roman"/>
                <w:sz w:val="24"/>
                <w:szCs w:val="24"/>
              </w:rPr>
            </w:pPr>
            <w:r>
              <w:rPr>
                <w:rFonts w:hint="eastAsia" w:ascii="仿宋" w:hAnsi="仿宋" w:eastAsia="仿宋" w:cs="仿宋"/>
                <w:sz w:val="24"/>
                <w:szCs w:val="24"/>
              </w:rPr>
              <w:t>主要专业工作经历（曾参与过的羡慕和获奖情况）</w:t>
            </w:r>
          </w:p>
        </w:tc>
        <w:tc>
          <w:tcPr>
            <w:tcW w:w="2462" w:type="dxa"/>
            <w:vAlign w:val="center"/>
          </w:tcPr>
          <w:p>
            <w:pPr>
              <w:spacing w:line="360" w:lineRule="auto"/>
              <w:jc w:val="center"/>
              <w:rPr>
                <w:rFonts w:ascii="仿宋" w:hAnsi="仿宋" w:eastAsia="仿宋" w:cs="Times New Roman"/>
                <w:sz w:val="24"/>
                <w:szCs w:val="24"/>
              </w:rPr>
            </w:pPr>
            <w:r>
              <w:rPr>
                <w:rFonts w:hint="eastAsia" w:ascii="仿宋" w:hAnsi="仿宋" w:eastAsia="仿宋" w:cs="仿宋"/>
                <w:sz w:val="24"/>
                <w:szCs w:val="24"/>
              </w:rPr>
              <w:t>在本工程担任职务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31" w:type="dxa"/>
            <w:vAlign w:val="center"/>
          </w:tcPr>
          <w:p>
            <w:pPr>
              <w:spacing w:line="360" w:lineRule="auto"/>
              <w:jc w:val="center"/>
              <w:rPr>
                <w:rFonts w:ascii="仿宋" w:hAnsi="仿宋" w:eastAsia="仿宋" w:cs="Times New Roman"/>
              </w:rPr>
            </w:pPr>
          </w:p>
        </w:tc>
        <w:tc>
          <w:tcPr>
            <w:tcW w:w="831" w:type="dxa"/>
            <w:vAlign w:val="top"/>
          </w:tcPr>
          <w:p>
            <w:pPr>
              <w:spacing w:line="360" w:lineRule="auto"/>
              <w:jc w:val="center"/>
              <w:rPr>
                <w:rFonts w:ascii="仿宋" w:hAnsi="仿宋" w:eastAsia="仿宋" w:cs="Times New Roman"/>
              </w:rPr>
            </w:pPr>
          </w:p>
        </w:tc>
        <w:tc>
          <w:tcPr>
            <w:tcW w:w="831" w:type="dxa"/>
            <w:vAlign w:val="center"/>
          </w:tcPr>
          <w:p>
            <w:pPr>
              <w:spacing w:line="360" w:lineRule="auto"/>
              <w:jc w:val="center"/>
              <w:rPr>
                <w:rFonts w:ascii="仿宋" w:hAnsi="仿宋" w:eastAsia="仿宋" w:cs="Times New Roman"/>
              </w:rPr>
            </w:pPr>
          </w:p>
        </w:tc>
        <w:tc>
          <w:tcPr>
            <w:tcW w:w="831" w:type="dxa"/>
            <w:vAlign w:val="center"/>
          </w:tcPr>
          <w:p>
            <w:pPr>
              <w:spacing w:line="360" w:lineRule="auto"/>
              <w:jc w:val="center"/>
              <w:rPr>
                <w:rFonts w:ascii="仿宋" w:hAnsi="仿宋" w:eastAsia="仿宋" w:cs="Times New Roman"/>
              </w:rPr>
            </w:pPr>
          </w:p>
        </w:tc>
        <w:tc>
          <w:tcPr>
            <w:tcW w:w="831" w:type="dxa"/>
            <w:vAlign w:val="center"/>
          </w:tcPr>
          <w:p>
            <w:pPr>
              <w:spacing w:line="360" w:lineRule="auto"/>
              <w:jc w:val="center"/>
              <w:rPr>
                <w:rFonts w:ascii="仿宋" w:hAnsi="仿宋" w:eastAsia="仿宋" w:cs="Times New Roman"/>
              </w:rPr>
            </w:pPr>
          </w:p>
        </w:tc>
        <w:tc>
          <w:tcPr>
            <w:tcW w:w="831" w:type="dxa"/>
            <w:vAlign w:val="center"/>
          </w:tcPr>
          <w:p>
            <w:pPr>
              <w:spacing w:line="360" w:lineRule="auto"/>
              <w:jc w:val="center"/>
              <w:rPr>
                <w:rFonts w:ascii="仿宋" w:hAnsi="仿宋" w:eastAsia="仿宋" w:cs="Times New Roman"/>
              </w:rPr>
            </w:pPr>
          </w:p>
        </w:tc>
        <w:tc>
          <w:tcPr>
            <w:tcW w:w="1377" w:type="dxa"/>
            <w:vAlign w:val="center"/>
          </w:tcPr>
          <w:p>
            <w:pPr>
              <w:spacing w:line="360" w:lineRule="auto"/>
              <w:jc w:val="center"/>
              <w:rPr>
                <w:rFonts w:ascii="仿宋" w:hAnsi="仿宋" w:eastAsia="仿宋" w:cs="Times New Roman"/>
              </w:rPr>
            </w:pPr>
          </w:p>
        </w:tc>
        <w:tc>
          <w:tcPr>
            <w:tcW w:w="1243" w:type="dxa"/>
            <w:vAlign w:val="center"/>
          </w:tcPr>
          <w:p>
            <w:pPr>
              <w:spacing w:line="360" w:lineRule="auto"/>
              <w:jc w:val="center"/>
              <w:rPr>
                <w:rFonts w:ascii="仿宋" w:hAnsi="仿宋" w:eastAsia="仿宋" w:cs="Times New Roman"/>
              </w:rPr>
            </w:pPr>
          </w:p>
        </w:tc>
        <w:tc>
          <w:tcPr>
            <w:tcW w:w="1042" w:type="dxa"/>
            <w:vAlign w:val="center"/>
          </w:tcPr>
          <w:p>
            <w:pPr>
              <w:spacing w:line="360" w:lineRule="auto"/>
              <w:jc w:val="center"/>
              <w:rPr>
                <w:rFonts w:ascii="仿宋" w:hAnsi="仿宋" w:eastAsia="仿宋" w:cs="Times New Roman"/>
              </w:rPr>
            </w:pPr>
          </w:p>
        </w:tc>
        <w:tc>
          <w:tcPr>
            <w:tcW w:w="1054" w:type="dxa"/>
            <w:vAlign w:val="center"/>
          </w:tcPr>
          <w:p>
            <w:pPr>
              <w:spacing w:line="360" w:lineRule="auto"/>
              <w:jc w:val="center"/>
              <w:rPr>
                <w:rFonts w:ascii="仿宋" w:hAnsi="仿宋" w:eastAsia="仿宋" w:cs="Times New Roman"/>
              </w:rPr>
            </w:pPr>
          </w:p>
        </w:tc>
        <w:tc>
          <w:tcPr>
            <w:tcW w:w="1406" w:type="dxa"/>
            <w:vAlign w:val="center"/>
          </w:tcPr>
          <w:p>
            <w:pPr>
              <w:spacing w:line="360" w:lineRule="auto"/>
              <w:jc w:val="center"/>
              <w:rPr>
                <w:rFonts w:ascii="仿宋" w:hAnsi="仿宋" w:eastAsia="仿宋" w:cs="Times New Roman"/>
              </w:rPr>
            </w:pPr>
          </w:p>
        </w:tc>
        <w:tc>
          <w:tcPr>
            <w:tcW w:w="2287" w:type="dxa"/>
            <w:vAlign w:val="top"/>
          </w:tcPr>
          <w:p>
            <w:pPr>
              <w:spacing w:line="360" w:lineRule="auto"/>
              <w:jc w:val="center"/>
              <w:rPr>
                <w:rFonts w:ascii="仿宋" w:hAnsi="仿宋" w:eastAsia="仿宋" w:cs="Times New Roman"/>
              </w:rPr>
            </w:pPr>
          </w:p>
        </w:tc>
        <w:tc>
          <w:tcPr>
            <w:tcW w:w="2462" w:type="dxa"/>
            <w:vAlign w:val="top"/>
          </w:tcPr>
          <w:p>
            <w:pPr>
              <w:spacing w:line="360" w:lineRule="auto"/>
              <w:jc w:val="center"/>
              <w:rPr>
                <w:rFonts w:ascii="仿宋" w:hAnsi="仿宋"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31" w:type="dxa"/>
            <w:vAlign w:val="center"/>
          </w:tcPr>
          <w:p>
            <w:pPr>
              <w:spacing w:line="360" w:lineRule="auto"/>
              <w:jc w:val="center"/>
              <w:rPr>
                <w:rFonts w:ascii="仿宋" w:hAnsi="仿宋" w:eastAsia="仿宋" w:cs="Times New Roman"/>
              </w:rPr>
            </w:pPr>
          </w:p>
        </w:tc>
        <w:tc>
          <w:tcPr>
            <w:tcW w:w="831" w:type="dxa"/>
            <w:vAlign w:val="top"/>
          </w:tcPr>
          <w:p>
            <w:pPr>
              <w:spacing w:line="360" w:lineRule="auto"/>
              <w:jc w:val="center"/>
              <w:rPr>
                <w:rFonts w:ascii="仿宋" w:hAnsi="仿宋" w:eastAsia="仿宋" w:cs="Times New Roman"/>
              </w:rPr>
            </w:pPr>
          </w:p>
        </w:tc>
        <w:tc>
          <w:tcPr>
            <w:tcW w:w="831" w:type="dxa"/>
            <w:vAlign w:val="center"/>
          </w:tcPr>
          <w:p>
            <w:pPr>
              <w:spacing w:line="360" w:lineRule="auto"/>
              <w:jc w:val="center"/>
              <w:rPr>
                <w:rFonts w:ascii="仿宋" w:hAnsi="仿宋" w:eastAsia="仿宋" w:cs="Times New Roman"/>
              </w:rPr>
            </w:pPr>
          </w:p>
        </w:tc>
        <w:tc>
          <w:tcPr>
            <w:tcW w:w="831" w:type="dxa"/>
            <w:vAlign w:val="center"/>
          </w:tcPr>
          <w:p>
            <w:pPr>
              <w:spacing w:line="360" w:lineRule="auto"/>
              <w:jc w:val="center"/>
              <w:rPr>
                <w:rFonts w:ascii="仿宋" w:hAnsi="仿宋" w:eastAsia="仿宋" w:cs="Times New Roman"/>
              </w:rPr>
            </w:pPr>
          </w:p>
        </w:tc>
        <w:tc>
          <w:tcPr>
            <w:tcW w:w="831" w:type="dxa"/>
            <w:vAlign w:val="center"/>
          </w:tcPr>
          <w:p>
            <w:pPr>
              <w:spacing w:line="360" w:lineRule="auto"/>
              <w:jc w:val="center"/>
              <w:rPr>
                <w:rFonts w:ascii="仿宋" w:hAnsi="仿宋" w:eastAsia="仿宋" w:cs="Times New Roman"/>
              </w:rPr>
            </w:pPr>
          </w:p>
        </w:tc>
        <w:tc>
          <w:tcPr>
            <w:tcW w:w="831" w:type="dxa"/>
            <w:vAlign w:val="center"/>
          </w:tcPr>
          <w:p>
            <w:pPr>
              <w:spacing w:line="360" w:lineRule="auto"/>
              <w:jc w:val="center"/>
              <w:rPr>
                <w:rFonts w:ascii="仿宋" w:hAnsi="仿宋" w:eastAsia="仿宋" w:cs="Times New Roman"/>
              </w:rPr>
            </w:pPr>
          </w:p>
        </w:tc>
        <w:tc>
          <w:tcPr>
            <w:tcW w:w="1377" w:type="dxa"/>
            <w:vAlign w:val="center"/>
          </w:tcPr>
          <w:p>
            <w:pPr>
              <w:spacing w:line="360" w:lineRule="auto"/>
              <w:jc w:val="center"/>
              <w:rPr>
                <w:rFonts w:ascii="仿宋" w:hAnsi="仿宋" w:eastAsia="仿宋" w:cs="Times New Roman"/>
              </w:rPr>
            </w:pPr>
          </w:p>
        </w:tc>
        <w:tc>
          <w:tcPr>
            <w:tcW w:w="1243" w:type="dxa"/>
            <w:vAlign w:val="center"/>
          </w:tcPr>
          <w:p>
            <w:pPr>
              <w:spacing w:line="360" w:lineRule="auto"/>
              <w:jc w:val="center"/>
              <w:rPr>
                <w:rFonts w:ascii="仿宋" w:hAnsi="仿宋" w:eastAsia="仿宋" w:cs="Times New Roman"/>
              </w:rPr>
            </w:pPr>
          </w:p>
        </w:tc>
        <w:tc>
          <w:tcPr>
            <w:tcW w:w="1042" w:type="dxa"/>
            <w:vAlign w:val="center"/>
          </w:tcPr>
          <w:p>
            <w:pPr>
              <w:spacing w:line="360" w:lineRule="auto"/>
              <w:jc w:val="center"/>
              <w:rPr>
                <w:rFonts w:ascii="仿宋" w:hAnsi="仿宋" w:eastAsia="仿宋" w:cs="Times New Roman"/>
              </w:rPr>
            </w:pPr>
          </w:p>
        </w:tc>
        <w:tc>
          <w:tcPr>
            <w:tcW w:w="1054" w:type="dxa"/>
            <w:vAlign w:val="center"/>
          </w:tcPr>
          <w:p>
            <w:pPr>
              <w:spacing w:line="360" w:lineRule="auto"/>
              <w:jc w:val="center"/>
              <w:rPr>
                <w:rFonts w:ascii="仿宋" w:hAnsi="仿宋" w:eastAsia="仿宋" w:cs="Times New Roman"/>
              </w:rPr>
            </w:pPr>
          </w:p>
        </w:tc>
        <w:tc>
          <w:tcPr>
            <w:tcW w:w="1406" w:type="dxa"/>
            <w:vAlign w:val="center"/>
          </w:tcPr>
          <w:p>
            <w:pPr>
              <w:spacing w:line="360" w:lineRule="auto"/>
              <w:jc w:val="center"/>
              <w:rPr>
                <w:rFonts w:ascii="仿宋" w:hAnsi="仿宋" w:eastAsia="仿宋" w:cs="Times New Roman"/>
              </w:rPr>
            </w:pPr>
          </w:p>
        </w:tc>
        <w:tc>
          <w:tcPr>
            <w:tcW w:w="2287" w:type="dxa"/>
            <w:vAlign w:val="top"/>
          </w:tcPr>
          <w:p>
            <w:pPr>
              <w:spacing w:line="360" w:lineRule="auto"/>
              <w:jc w:val="center"/>
              <w:rPr>
                <w:rFonts w:ascii="仿宋" w:hAnsi="仿宋" w:eastAsia="仿宋" w:cs="Times New Roman"/>
              </w:rPr>
            </w:pPr>
          </w:p>
        </w:tc>
        <w:tc>
          <w:tcPr>
            <w:tcW w:w="2462" w:type="dxa"/>
            <w:vAlign w:val="top"/>
          </w:tcPr>
          <w:p>
            <w:pPr>
              <w:spacing w:line="360" w:lineRule="auto"/>
              <w:jc w:val="center"/>
              <w:rPr>
                <w:rFonts w:ascii="仿宋" w:hAnsi="仿宋"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31" w:type="dxa"/>
            <w:vAlign w:val="center"/>
          </w:tcPr>
          <w:p>
            <w:pPr>
              <w:spacing w:line="360" w:lineRule="auto"/>
              <w:jc w:val="center"/>
              <w:rPr>
                <w:rFonts w:ascii="仿宋" w:hAnsi="仿宋" w:eastAsia="仿宋" w:cs="Times New Roman"/>
              </w:rPr>
            </w:pPr>
          </w:p>
        </w:tc>
        <w:tc>
          <w:tcPr>
            <w:tcW w:w="831" w:type="dxa"/>
            <w:vAlign w:val="top"/>
          </w:tcPr>
          <w:p>
            <w:pPr>
              <w:spacing w:line="360" w:lineRule="auto"/>
              <w:jc w:val="center"/>
              <w:rPr>
                <w:rFonts w:ascii="仿宋" w:hAnsi="仿宋" w:eastAsia="仿宋" w:cs="Times New Roman"/>
              </w:rPr>
            </w:pPr>
          </w:p>
        </w:tc>
        <w:tc>
          <w:tcPr>
            <w:tcW w:w="831" w:type="dxa"/>
            <w:vAlign w:val="center"/>
          </w:tcPr>
          <w:p>
            <w:pPr>
              <w:spacing w:line="360" w:lineRule="auto"/>
              <w:jc w:val="center"/>
              <w:rPr>
                <w:rFonts w:ascii="仿宋" w:hAnsi="仿宋" w:eastAsia="仿宋" w:cs="Times New Roman"/>
              </w:rPr>
            </w:pPr>
          </w:p>
        </w:tc>
        <w:tc>
          <w:tcPr>
            <w:tcW w:w="831" w:type="dxa"/>
            <w:vAlign w:val="center"/>
          </w:tcPr>
          <w:p>
            <w:pPr>
              <w:spacing w:line="360" w:lineRule="auto"/>
              <w:jc w:val="center"/>
              <w:rPr>
                <w:rFonts w:ascii="仿宋" w:hAnsi="仿宋" w:eastAsia="仿宋" w:cs="Times New Roman"/>
              </w:rPr>
            </w:pPr>
          </w:p>
        </w:tc>
        <w:tc>
          <w:tcPr>
            <w:tcW w:w="831" w:type="dxa"/>
            <w:vAlign w:val="center"/>
          </w:tcPr>
          <w:p>
            <w:pPr>
              <w:spacing w:line="360" w:lineRule="auto"/>
              <w:jc w:val="center"/>
              <w:rPr>
                <w:rFonts w:ascii="仿宋" w:hAnsi="仿宋" w:eastAsia="仿宋" w:cs="Times New Roman"/>
              </w:rPr>
            </w:pPr>
          </w:p>
        </w:tc>
        <w:tc>
          <w:tcPr>
            <w:tcW w:w="831" w:type="dxa"/>
            <w:vAlign w:val="center"/>
          </w:tcPr>
          <w:p>
            <w:pPr>
              <w:spacing w:line="360" w:lineRule="auto"/>
              <w:jc w:val="center"/>
              <w:rPr>
                <w:rFonts w:ascii="仿宋" w:hAnsi="仿宋" w:eastAsia="仿宋" w:cs="Times New Roman"/>
              </w:rPr>
            </w:pPr>
          </w:p>
        </w:tc>
        <w:tc>
          <w:tcPr>
            <w:tcW w:w="1377" w:type="dxa"/>
            <w:vAlign w:val="center"/>
          </w:tcPr>
          <w:p>
            <w:pPr>
              <w:spacing w:line="360" w:lineRule="auto"/>
              <w:jc w:val="center"/>
              <w:rPr>
                <w:rFonts w:ascii="仿宋" w:hAnsi="仿宋" w:eastAsia="仿宋" w:cs="Times New Roman"/>
              </w:rPr>
            </w:pPr>
          </w:p>
        </w:tc>
        <w:tc>
          <w:tcPr>
            <w:tcW w:w="1243" w:type="dxa"/>
            <w:vAlign w:val="center"/>
          </w:tcPr>
          <w:p>
            <w:pPr>
              <w:spacing w:line="360" w:lineRule="auto"/>
              <w:jc w:val="center"/>
              <w:rPr>
                <w:rFonts w:ascii="仿宋" w:hAnsi="仿宋" w:eastAsia="仿宋" w:cs="Times New Roman"/>
              </w:rPr>
            </w:pPr>
          </w:p>
        </w:tc>
        <w:tc>
          <w:tcPr>
            <w:tcW w:w="1042" w:type="dxa"/>
            <w:vAlign w:val="center"/>
          </w:tcPr>
          <w:p>
            <w:pPr>
              <w:spacing w:line="360" w:lineRule="auto"/>
              <w:jc w:val="center"/>
              <w:rPr>
                <w:rFonts w:ascii="仿宋" w:hAnsi="仿宋" w:eastAsia="仿宋" w:cs="Times New Roman"/>
              </w:rPr>
            </w:pPr>
          </w:p>
        </w:tc>
        <w:tc>
          <w:tcPr>
            <w:tcW w:w="1054" w:type="dxa"/>
            <w:vAlign w:val="center"/>
          </w:tcPr>
          <w:p>
            <w:pPr>
              <w:spacing w:line="360" w:lineRule="auto"/>
              <w:jc w:val="center"/>
              <w:rPr>
                <w:rFonts w:ascii="仿宋" w:hAnsi="仿宋" w:eastAsia="仿宋" w:cs="Times New Roman"/>
              </w:rPr>
            </w:pPr>
          </w:p>
        </w:tc>
        <w:tc>
          <w:tcPr>
            <w:tcW w:w="1406" w:type="dxa"/>
            <w:vAlign w:val="center"/>
          </w:tcPr>
          <w:p>
            <w:pPr>
              <w:spacing w:line="360" w:lineRule="auto"/>
              <w:jc w:val="center"/>
              <w:rPr>
                <w:rFonts w:ascii="仿宋" w:hAnsi="仿宋" w:eastAsia="仿宋" w:cs="Times New Roman"/>
              </w:rPr>
            </w:pPr>
          </w:p>
        </w:tc>
        <w:tc>
          <w:tcPr>
            <w:tcW w:w="2287" w:type="dxa"/>
            <w:vAlign w:val="top"/>
          </w:tcPr>
          <w:p>
            <w:pPr>
              <w:spacing w:line="360" w:lineRule="auto"/>
              <w:jc w:val="center"/>
              <w:rPr>
                <w:rFonts w:ascii="仿宋" w:hAnsi="仿宋" w:eastAsia="仿宋" w:cs="Times New Roman"/>
              </w:rPr>
            </w:pPr>
          </w:p>
        </w:tc>
        <w:tc>
          <w:tcPr>
            <w:tcW w:w="2462" w:type="dxa"/>
            <w:vAlign w:val="top"/>
          </w:tcPr>
          <w:p>
            <w:pPr>
              <w:spacing w:line="360" w:lineRule="auto"/>
              <w:jc w:val="center"/>
              <w:rPr>
                <w:rFonts w:ascii="仿宋" w:hAnsi="仿宋"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31" w:type="dxa"/>
            <w:vAlign w:val="center"/>
          </w:tcPr>
          <w:p>
            <w:pPr>
              <w:spacing w:line="360" w:lineRule="auto"/>
              <w:jc w:val="center"/>
              <w:rPr>
                <w:rFonts w:ascii="仿宋" w:hAnsi="仿宋" w:eastAsia="仿宋" w:cs="Times New Roman"/>
              </w:rPr>
            </w:pPr>
          </w:p>
        </w:tc>
        <w:tc>
          <w:tcPr>
            <w:tcW w:w="831" w:type="dxa"/>
            <w:vAlign w:val="top"/>
          </w:tcPr>
          <w:p>
            <w:pPr>
              <w:spacing w:line="360" w:lineRule="auto"/>
              <w:jc w:val="center"/>
              <w:rPr>
                <w:rFonts w:ascii="仿宋" w:hAnsi="仿宋" w:eastAsia="仿宋" w:cs="Times New Roman"/>
              </w:rPr>
            </w:pPr>
          </w:p>
        </w:tc>
        <w:tc>
          <w:tcPr>
            <w:tcW w:w="831" w:type="dxa"/>
            <w:vAlign w:val="center"/>
          </w:tcPr>
          <w:p>
            <w:pPr>
              <w:spacing w:line="360" w:lineRule="auto"/>
              <w:jc w:val="center"/>
              <w:rPr>
                <w:rFonts w:ascii="仿宋" w:hAnsi="仿宋" w:eastAsia="仿宋" w:cs="Times New Roman"/>
              </w:rPr>
            </w:pPr>
          </w:p>
        </w:tc>
        <w:tc>
          <w:tcPr>
            <w:tcW w:w="831" w:type="dxa"/>
            <w:vAlign w:val="center"/>
          </w:tcPr>
          <w:p>
            <w:pPr>
              <w:spacing w:line="360" w:lineRule="auto"/>
              <w:jc w:val="center"/>
              <w:rPr>
                <w:rFonts w:ascii="仿宋" w:hAnsi="仿宋" w:eastAsia="仿宋" w:cs="Times New Roman"/>
              </w:rPr>
            </w:pPr>
          </w:p>
        </w:tc>
        <w:tc>
          <w:tcPr>
            <w:tcW w:w="831" w:type="dxa"/>
            <w:vAlign w:val="center"/>
          </w:tcPr>
          <w:p>
            <w:pPr>
              <w:spacing w:line="360" w:lineRule="auto"/>
              <w:jc w:val="center"/>
              <w:rPr>
                <w:rFonts w:ascii="仿宋" w:hAnsi="仿宋" w:eastAsia="仿宋" w:cs="Times New Roman"/>
              </w:rPr>
            </w:pPr>
          </w:p>
        </w:tc>
        <w:tc>
          <w:tcPr>
            <w:tcW w:w="831" w:type="dxa"/>
            <w:vAlign w:val="center"/>
          </w:tcPr>
          <w:p>
            <w:pPr>
              <w:spacing w:line="360" w:lineRule="auto"/>
              <w:jc w:val="center"/>
              <w:rPr>
                <w:rFonts w:ascii="仿宋" w:hAnsi="仿宋" w:eastAsia="仿宋" w:cs="Times New Roman"/>
              </w:rPr>
            </w:pPr>
          </w:p>
        </w:tc>
        <w:tc>
          <w:tcPr>
            <w:tcW w:w="1377" w:type="dxa"/>
            <w:vAlign w:val="center"/>
          </w:tcPr>
          <w:p>
            <w:pPr>
              <w:spacing w:line="360" w:lineRule="auto"/>
              <w:jc w:val="center"/>
              <w:rPr>
                <w:rFonts w:ascii="仿宋" w:hAnsi="仿宋" w:eastAsia="仿宋" w:cs="Times New Roman"/>
              </w:rPr>
            </w:pPr>
          </w:p>
        </w:tc>
        <w:tc>
          <w:tcPr>
            <w:tcW w:w="1243" w:type="dxa"/>
            <w:vAlign w:val="center"/>
          </w:tcPr>
          <w:p>
            <w:pPr>
              <w:spacing w:line="360" w:lineRule="auto"/>
              <w:jc w:val="center"/>
              <w:rPr>
                <w:rFonts w:ascii="仿宋" w:hAnsi="仿宋" w:eastAsia="仿宋" w:cs="Times New Roman"/>
              </w:rPr>
            </w:pPr>
          </w:p>
        </w:tc>
        <w:tc>
          <w:tcPr>
            <w:tcW w:w="1042" w:type="dxa"/>
            <w:vAlign w:val="center"/>
          </w:tcPr>
          <w:p>
            <w:pPr>
              <w:spacing w:line="360" w:lineRule="auto"/>
              <w:jc w:val="center"/>
              <w:rPr>
                <w:rFonts w:ascii="仿宋" w:hAnsi="仿宋" w:eastAsia="仿宋" w:cs="Times New Roman"/>
              </w:rPr>
            </w:pPr>
          </w:p>
        </w:tc>
        <w:tc>
          <w:tcPr>
            <w:tcW w:w="1054" w:type="dxa"/>
            <w:vAlign w:val="center"/>
          </w:tcPr>
          <w:p>
            <w:pPr>
              <w:spacing w:line="360" w:lineRule="auto"/>
              <w:jc w:val="center"/>
              <w:rPr>
                <w:rFonts w:ascii="仿宋" w:hAnsi="仿宋" w:eastAsia="仿宋" w:cs="Times New Roman"/>
              </w:rPr>
            </w:pPr>
          </w:p>
        </w:tc>
        <w:tc>
          <w:tcPr>
            <w:tcW w:w="1406" w:type="dxa"/>
            <w:vAlign w:val="center"/>
          </w:tcPr>
          <w:p>
            <w:pPr>
              <w:spacing w:line="360" w:lineRule="auto"/>
              <w:jc w:val="center"/>
              <w:rPr>
                <w:rFonts w:ascii="仿宋" w:hAnsi="仿宋" w:eastAsia="仿宋" w:cs="Times New Roman"/>
              </w:rPr>
            </w:pPr>
          </w:p>
        </w:tc>
        <w:tc>
          <w:tcPr>
            <w:tcW w:w="2287" w:type="dxa"/>
            <w:vAlign w:val="top"/>
          </w:tcPr>
          <w:p>
            <w:pPr>
              <w:spacing w:line="360" w:lineRule="auto"/>
              <w:jc w:val="center"/>
              <w:rPr>
                <w:rFonts w:ascii="仿宋" w:hAnsi="仿宋" w:eastAsia="仿宋" w:cs="Times New Roman"/>
              </w:rPr>
            </w:pPr>
          </w:p>
        </w:tc>
        <w:tc>
          <w:tcPr>
            <w:tcW w:w="2462" w:type="dxa"/>
            <w:vAlign w:val="top"/>
          </w:tcPr>
          <w:p>
            <w:pPr>
              <w:spacing w:line="360" w:lineRule="auto"/>
              <w:jc w:val="center"/>
              <w:rPr>
                <w:rFonts w:ascii="仿宋" w:hAnsi="仿宋"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31" w:type="dxa"/>
            <w:vAlign w:val="center"/>
          </w:tcPr>
          <w:p>
            <w:pPr>
              <w:spacing w:line="360" w:lineRule="auto"/>
              <w:jc w:val="center"/>
              <w:rPr>
                <w:rFonts w:ascii="仿宋" w:hAnsi="仿宋" w:eastAsia="仿宋" w:cs="Times New Roman"/>
              </w:rPr>
            </w:pPr>
          </w:p>
        </w:tc>
        <w:tc>
          <w:tcPr>
            <w:tcW w:w="831" w:type="dxa"/>
            <w:vAlign w:val="top"/>
          </w:tcPr>
          <w:p>
            <w:pPr>
              <w:spacing w:line="360" w:lineRule="auto"/>
              <w:jc w:val="center"/>
              <w:rPr>
                <w:rFonts w:ascii="仿宋" w:hAnsi="仿宋" w:eastAsia="仿宋" w:cs="Times New Roman"/>
              </w:rPr>
            </w:pPr>
          </w:p>
        </w:tc>
        <w:tc>
          <w:tcPr>
            <w:tcW w:w="831" w:type="dxa"/>
            <w:vAlign w:val="center"/>
          </w:tcPr>
          <w:p>
            <w:pPr>
              <w:spacing w:line="360" w:lineRule="auto"/>
              <w:jc w:val="center"/>
              <w:rPr>
                <w:rFonts w:ascii="仿宋" w:hAnsi="仿宋" w:eastAsia="仿宋" w:cs="Times New Roman"/>
              </w:rPr>
            </w:pPr>
          </w:p>
        </w:tc>
        <w:tc>
          <w:tcPr>
            <w:tcW w:w="831" w:type="dxa"/>
            <w:vAlign w:val="center"/>
          </w:tcPr>
          <w:p>
            <w:pPr>
              <w:spacing w:line="360" w:lineRule="auto"/>
              <w:jc w:val="center"/>
              <w:rPr>
                <w:rFonts w:ascii="仿宋" w:hAnsi="仿宋" w:eastAsia="仿宋" w:cs="Times New Roman"/>
              </w:rPr>
            </w:pPr>
          </w:p>
        </w:tc>
        <w:tc>
          <w:tcPr>
            <w:tcW w:w="831" w:type="dxa"/>
            <w:vAlign w:val="center"/>
          </w:tcPr>
          <w:p>
            <w:pPr>
              <w:spacing w:line="360" w:lineRule="auto"/>
              <w:jc w:val="center"/>
              <w:rPr>
                <w:rFonts w:ascii="仿宋" w:hAnsi="仿宋" w:eastAsia="仿宋" w:cs="Times New Roman"/>
              </w:rPr>
            </w:pPr>
          </w:p>
        </w:tc>
        <w:tc>
          <w:tcPr>
            <w:tcW w:w="831" w:type="dxa"/>
            <w:vAlign w:val="center"/>
          </w:tcPr>
          <w:p>
            <w:pPr>
              <w:spacing w:line="360" w:lineRule="auto"/>
              <w:jc w:val="center"/>
              <w:rPr>
                <w:rFonts w:ascii="仿宋" w:hAnsi="仿宋" w:eastAsia="仿宋" w:cs="Times New Roman"/>
              </w:rPr>
            </w:pPr>
          </w:p>
        </w:tc>
        <w:tc>
          <w:tcPr>
            <w:tcW w:w="1377" w:type="dxa"/>
            <w:vAlign w:val="center"/>
          </w:tcPr>
          <w:p>
            <w:pPr>
              <w:spacing w:line="360" w:lineRule="auto"/>
              <w:jc w:val="center"/>
              <w:rPr>
                <w:rFonts w:ascii="仿宋" w:hAnsi="仿宋" w:eastAsia="仿宋" w:cs="Times New Roman"/>
              </w:rPr>
            </w:pPr>
          </w:p>
        </w:tc>
        <w:tc>
          <w:tcPr>
            <w:tcW w:w="1243" w:type="dxa"/>
            <w:vAlign w:val="center"/>
          </w:tcPr>
          <w:p>
            <w:pPr>
              <w:spacing w:line="360" w:lineRule="auto"/>
              <w:jc w:val="center"/>
              <w:rPr>
                <w:rFonts w:ascii="仿宋" w:hAnsi="仿宋" w:eastAsia="仿宋" w:cs="Times New Roman"/>
              </w:rPr>
            </w:pPr>
          </w:p>
        </w:tc>
        <w:tc>
          <w:tcPr>
            <w:tcW w:w="1042" w:type="dxa"/>
            <w:vAlign w:val="center"/>
          </w:tcPr>
          <w:p>
            <w:pPr>
              <w:spacing w:line="360" w:lineRule="auto"/>
              <w:jc w:val="center"/>
              <w:rPr>
                <w:rFonts w:ascii="仿宋" w:hAnsi="仿宋" w:eastAsia="仿宋" w:cs="Times New Roman"/>
              </w:rPr>
            </w:pPr>
          </w:p>
        </w:tc>
        <w:tc>
          <w:tcPr>
            <w:tcW w:w="1054" w:type="dxa"/>
            <w:vAlign w:val="center"/>
          </w:tcPr>
          <w:p>
            <w:pPr>
              <w:spacing w:line="360" w:lineRule="auto"/>
              <w:jc w:val="center"/>
              <w:rPr>
                <w:rFonts w:ascii="仿宋" w:hAnsi="仿宋" w:eastAsia="仿宋" w:cs="Times New Roman"/>
              </w:rPr>
            </w:pPr>
          </w:p>
        </w:tc>
        <w:tc>
          <w:tcPr>
            <w:tcW w:w="1406" w:type="dxa"/>
            <w:vAlign w:val="center"/>
          </w:tcPr>
          <w:p>
            <w:pPr>
              <w:spacing w:line="360" w:lineRule="auto"/>
              <w:jc w:val="center"/>
              <w:rPr>
                <w:rFonts w:ascii="仿宋" w:hAnsi="仿宋" w:eastAsia="仿宋" w:cs="Times New Roman"/>
              </w:rPr>
            </w:pPr>
          </w:p>
        </w:tc>
        <w:tc>
          <w:tcPr>
            <w:tcW w:w="2287" w:type="dxa"/>
            <w:vAlign w:val="top"/>
          </w:tcPr>
          <w:p>
            <w:pPr>
              <w:spacing w:line="360" w:lineRule="auto"/>
              <w:jc w:val="center"/>
              <w:rPr>
                <w:rFonts w:ascii="仿宋" w:hAnsi="仿宋" w:eastAsia="仿宋" w:cs="Times New Roman"/>
              </w:rPr>
            </w:pPr>
          </w:p>
        </w:tc>
        <w:tc>
          <w:tcPr>
            <w:tcW w:w="2462" w:type="dxa"/>
            <w:vAlign w:val="top"/>
          </w:tcPr>
          <w:p>
            <w:pPr>
              <w:spacing w:line="360" w:lineRule="auto"/>
              <w:jc w:val="center"/>
              <w:rPr>
                <w:rFonts w:ascii="仿宋" w:hAnsi="仿宋"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31" w:type="dxa"/>
            <w:vAlign w:val="center"/>
          </w:tcPr>
          <w:p>
            <w:pPr>
              <w:spacing w:line="360" w:lineRule="auto"/>
              <w:jc w:val="center"/>
              <w:rPr>
                <w:rFonts w:ascii="仿宋" w:hAnsi="仿宋" w:eastAsia="仿宋" w:cs="Times New Roman"/>
              </w:rPr>
            </w:pPr>
          </w:p>
        </w:tc>
        <w:tc>
          <w:tcPr>
            <w:tcW w:w="831" w:type="dxa"/>
            <w:vAlign w:val="top"/>
          </w:tcPr>
          <w:p>
            <w:pPr>
              <w:spacing w:line="360" w:lineRule="auto"/>
              <w:jc w:val="center"/>
              <w:rPr>
                <w:rFonts w:ascii="仿宋" w:hAnsi="仿宋" w:eastAsia="仿宋" w:cs="Times New Roman"/>
              </w:rPr>
            </w:pPr>
          </w:p>
        </w:tc>
        <w:tc>
          <w:tcPr>
            <w:tcW w:w="831" w:type="dxa"/>
            <w:vAlign w:val="center"/>
          </w:tcPr>
          <w:p>
            <w:pPr>
              <w:spacing w:line="360" w:lineRule="auto"/>
              <w:jc w:val="center"/>
              <w:rPr>
                <w:rFonts w:ascii="仿宋" w:hAnsi="仿宋" w:eastAsia="仿宋" w:cs="Times New Roman"/>
              </w:rPr>
            </w:pPr>
          </w:p>
        </w:tc>
        <w:tc>
          <w:tcPr>
            <w:tcW w:w="831" w:type="dxa"/>
            <w:vAlign w:val="center"/>
          </w:tcPr>
          <w:p>
            <w:pPr>
              <w:spacing w:line="360" w:lineRule="auto"/>
              <w:jc w:val="center"/>
              <w:rPr>
                <w:rFonts w:ascii="仿宋" w:hAnsi="仿宋" w:eastAsia="仿宋" w:cs="Times New Roman"/>
              </w:rPr>
            </w:pPr>
          </w:p>
        </w:tc>
        <w:tc>
          <w:tcPr>
            <w:tcW w:w="831" w:type="dxa"/>
            <w:vAlign w:val="center"/>
          </w:tcPr>
          <w:p>
            <w:pPr>
              <w:spacing w:line="360" w:lineRule="auto"/>
              <w:jc w:val="center"/>
              <w:rPr>
                <w:rFonts w:ascii="仿宋" w:hAnsi="仿宋" w:eastAsia="仿宋" w:cs="Times New Roman"/>
              </w:rPr>
            </w:pPr>
          </w:p>
        </w:tc>
        <w:tc>
          <w:tcPr>
            <w:tcW w:w="831" w:type="dxa"/>
            <w:vAlign w:val="center"/>
          </w:tcPr>
          <w:p>
            <w:pPr>
              <w:spacing w:line="360" w:lineRule="auto"/>
              <w:jc w:val="center"/>
              <w:rPr>
                <w:rFonts w:ascii="仿宋" w:hAnsi="仿宋" w:eastAsia="仿宋" w:cs="Times New Roman"/>
              </w:rPr>
            </w:pPr>
          </w:p>
        </w:tc>
        <w:tc>
          <w:tcPr>
            <w:tcW w:w="1377" w:type="dxa"/>
            <w:vAlign w:val="center"/>
          </w:tcPr>
          <w:p>
            <w:pPr>
              <w:spacing w:line="360" w:lineRule="auto"/>
              <w:jc w:val="center"/>
              <w:rPr>
                <w:rFonts w:ascii="仿宋" w:hAnsi="仿宋" w:eastAsia="仿宋" w:cs="Times New Roman"/>
              </w:rPr>
            </w:pPr>
          </w:p>
        </w:tc>
        <w:tc>
          <w:tcPr>
            <w:tcW w:w="1243" w:type="dxa"/>
            <w:vAlign w:val="center"/>
          </w:tcPr>
          <w:p>
            <w:pPr>
              <w:spacing w:line="360" w:lineRule="auto"/>
              <w:jc w:val="center"/>
              <w:rPr>
                <w:rFonts w:ascii="仿宋" w:hAnsi="仿宋" w:eastAsia="仿宋" w:cs="Times New Roman"/>
              </w:rPr>
            </w:pPr>
          </w:p>
        </w:tc>
        <w:tc>
          <w:tcPr>
            <w:tcW w:w="1042" w:type="dxa"/>
            <w:vAlign w:val="center"/>
          </w:tcPr>
          <w:p>
            <w:pPr>
              <w:spacing w:line="360" w:lineRule="auto"/>
              <w:jc w:val="center"/>
              <w:rPr>
                <w:rFonts w:ascii="仿宋" w:hAnsi="仿宋" w:eastAsia="仿宋" w:cs="Times New Roman"/>
              </w:rPr>
            </w:pPr>
          </w:p>
        </w:tc>
        <w:tc>
          <w:tcPr>
            <w:tcW w:w="1054" w:type="dxa"/>
            <w:vAlign w:val="center"/>
          </w:tcPr>
          <w:p>
            <w:pPr>
              <w:spacing w:line="360" w:lineRule="auto"/>
              <w:jc w:val="center"/>
              <w:rPr>
                <w:rFonts w:ascii="仿宋" w:hAnsi="仿宋" w:eastAsia="仿宋" w:cs="Times New Roman"/>
              </w:rPr>
            </w:pPr>
          </w:p>
        </w:tc>
        <w:tc>
          <w:tcPr>
            <w:tcW w:w="1406" w:type="dxa"/>
            <w:vAlign w:val="center"/>
          </w:tcPr>
          <w:p>
            <w:pPr>
              <w:spacing w:line="360" w:lineRule="auto"/>
              <w:jc w:val="center"/>
              <w:rPr>
                <w:rFonts w:ascii="仿宋" w:hAnsi="仿宋" w:eastAsia="仿宋" w:cs="Times New Roman"/>
              </w:rPr>
            </w:pPr>
          </w:p>
        </w:tc>
        <w:tc>
          <w:tcPr>
            <w:tcW w:w="2287" w:type="dxa"/>
            <w:vAlign w:val="top"/>
          </w:tcPr>
          <w:p>
            <w:pPr>
              <w:spacing w:line="360" w:lineRule="auto"/>
              <w:jc w:val="center"/>
              <w:rPr>
                <w:rFonts w:ascii="仿宋" w:hAnsi="仿宋" w:eastAsia="仿宋" w:cs="Times New Roman"/>
              </w:rPr>
            </w:pPr>
          </w:p>
        </w:tc>
        <w:tc>
          <w:tcPr>
            <w:tcW w:w="2462" w:type="dxa"/>
            <w:vAlign w:val="top"/>
          </w:tcPr>
          <w:p>
            <w:pPr>
              <w:spacing w:line="360" w:lineRule="auto"/>
              <w:jc w:val="center"/>
              <w:rPr>
                <w:rFonts w:ascii="仿宋" w:hAnsi="仿宋"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31" w:type="dxa"/>
            <w:vAlign w:val="center"/>
          </w:tcPr>
          <w:p>
            <w:pPr>
              <w:spacing w:line="360" w:lineRule="auto"/>
              <w:jc w:val="center"/>
              <w:rPr>
                <w:rFonts w:ascii="仿宋" w:hAnsi="仿宋" w:eastAsia="仿宋" w:cs="Times New Roman"/>
              </w:rPr>
            </w:pPr>
          </w:p>
        </w:tc>
        <w:tc>
          <w:tcPr>
            <w:tcW w:w="831" w:type="dxa"/>
            <w:vAlign w:val="top"/>
          </w:tcPr>
          <w:p>
            <w:pPr>
              <w:spacing w:line="360" w:lineRule="auto"/>
              <w:jc w:val="center"/>
              <w:rPr>
                <w:rFonts w:ascii="仿宋" w:hAnsi="仿宋" w:eastAsia="仿宋" w:cs="Times New Roman"/>
              </w:rPr>
            </w:pPr>
          </w:p>
        </w:tc>
        <w:tc>
          <w:tcPr>
            <w:tcW w:w="831" w:type="dxa"/>
            <w:vAlign w:val="center"/>
          </w:tcPr>
          <w:p>
            <w:pPr>
              <w:spacing w:line="360" w:lineRule="auto"/>
              <w:jc w:val="center"/>
              <w:rPr>
                <w:rFonts w:ascii="仿宋" w:hAnsi="仿宋" w:eastAsia="仿宋" w:cs="Times New Roman"/>
              </w:rPr>
            </w:pPr>
          </w:p>
        </w:tc>
        <w:tc>
          <w:tcPr>
            <w:tcW w:w="831" w:type="dxa"/>
            <w:vAlign w:val="center"/>
          </w:tcPr>
          <w:p>
            <w:pPr>
              <w:spacing w:line="360" w:lineRule="auto"/>
              <w:jc w:val="center"/>
              <w:rPr>
                <w:rFonts w:ascii="仿宋" w:hAnsi="仿宋" w:eastAsia="仿宋" w:cs="Times New Roman"/>
              </w:rPr>
            </w:pPr>
          </w:p>
        </w:tc>
        <w:tc>
          <w:tcPr>
            <w:tcW w:w="831" w:type="dxa"/>
            <w:vAlign w:val="center"/>
          </w:tcPr>
          <w:p>
            <w:pPr>
              <w:spacing w:line="360" w:lineRule="auto"/>
              <w:jc w:val="center"/>
              <w:rPr>
                <w:rFonts w:ascii="仿宋" w:hAnsi="仿宋" w:eastAsia="仿宋" w:cs="Times New Roman"/>
              </w:rPr>
            </w:pPr>
          </w:p>
        </w:tc>
        <w:tc>
          <w:tcPr>
            <w:tcW w:w="831" w:type="dxa"/>
            <w:vAlign w:val="center"/>
          </w:tcPr>
          <w:p>
            <w:pPr>
              <w:spacing w:line="360" w:lineRule="auto"/>
              <w:jc w:val="center"/>
              <w:rPr>
                <w:rFonts w:ascii="仿宋" w:hAnsi="仿宋" w:eastAsia="仿宋" w:cs="Times New Roman"/>
              </w:rPr>
            </w:pPr>
          </w:p>
        </w:tc>
        <w:tc>
          <w:tcPr>
            <w:tcW w:w="1377" w:type="dxa"/>
            <w:vAlign w:val="center"/>
          </w:tcPr>
          <w:p>
            <w:pPr>
              <w:spacing w:line="360" w:lineRule="auto"/>
              <w:jc w:val="center"/>
              <w:rPr>
                <w:rFonts w:ascii="仿宋" w:hAnsi="仿宋" w:eastAsia="仿宋" w:cs="Times New Roman"/>
              </w:rPr>
            </w:pPr>
          </w:p>
        </w:tc>
        <w:tc>
          <w:tcPr>
            <w:tcW w:w="1243" w:type="dxa"/>
            <w:vAlign w:val="center"/>
          </w:tcPr>
          <w:p>
            <w:pPr>
              <w:spacing w:line="360" w:lineRule="auto"/>
              <w:jc w:val="center"/>
              <w:rPr>
                <w:rFonts w:ascii="仿宋" w:hAnsi="仿宋" w:eastAsia="仿宋" w:cs="Times New Roman"/>
              </w:rPr>
            </w:pPr>
          </w:p>
        </w:tc>
        <w:tc>
          <w:tcPr>
            <w:tcW w:w="1042" w:type="dxa"/>
            <w:vAlign w:val="center"/>
          </w:tcPr>
          <w:p>
            <w:pPr>
              <w:spacing w:line="360" w:lineRule="auto"/>
              <w:jc w:val="center"/>
              <w:rPr>
                <w:rFonts w:ascii="仿宋" w:hAnsi="仿宋" w:eastAsia="仿宋" w:cs="Times New Roman"/>
              </w:rPr>
            </w:pPr>
          </w:p>
        </w:tc>
        <w:tc>
          <w:tcPr>
            <w:tcW w:w="1054" w:type="dxa"/>
            <w:vAlign w:val="center"/>
          </w:tcPr>
          <w:p>
            <w:pPr>
              <w:spacing w:line="360" w:lineRule="auto"/>
              <w:jc w:val="center"/>
              <w:rPr>
                <w:rFonts w:ascii="仿宋" w:hAnsi="仿宋" w:eastAsia="仿宋" w:cs="Times New Roman"/>
              </w:rPr>
            </w:pPr>
          </w:p>
        </w:tc>
        <w:tc>
          <w:tcPr>
            <w:tcW w:w="1406" w:type="dxa"/>
            <w:vAlign w:val="center"/>
          </w:tcPr>
          <w:p>
            <w:pPr>
              <w:spacing w:line="360" w:lineRule="auto"/>
              <w:jc w:val="center"/>
              <w:rPr>
                <w:rFonts w:ascii="仿宋" w:hAnsi="仿宋" w:eastAsia="仿宋" w:cs="Times New Roman"/>
              </w:rPr>
            </w:pPr>
          </w:p>
        </w:tc>
        <w:tc>
          <w:tcPr>
            <w:tcW w:w="2287" w:type="dxa"/>
            <w:vAlign w:val="top"/>
          </w:tcPr>
          <w:p>
            <w:pPr>
              <w:spacing w:line="360" w:lineRule="auto"/>
              <w:jc w:val="center"/>
              <w:rPr>
                <w:rFonts w:ascii="仿宋" w:hAnsi="仿宋" w:eastAsia="仿宋" w:cs="Times New Roman"/>
              </w:rPr>
            </w:pPr>
          </w:p>
        </w:tc>
        <w:tc>
          <w:tcPr>
            <w:tcW w:w="2462" w:type="dxa"/>
            <w:vAlign w:val="top"/>
          </w:tcPr>
          <w:p>
            <w:pPr>
              <w:spacing w:line="360" w:lineRule="auto"/>
              <w:jc w:val="center"/>
              <w:rPr>
                <w:rFonts w:ascii="仿宋" w:hAnsi="仿宋"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31" w:type="dxa"/>
            <w:vAlign w:val="center"/>
          </w:tcPr>
          <w:p>
            <w:pPr>
              <w:spacing w:line="360" w:lineRule="auto"/>
              <w:jc w:val="center"/>
              <w:rPr>
                <w:rFonts w:ascii="仿宋" w:hAnsi="仿宋" w:eastAsia="仿宋" w:cs="Times New Roman"/>
              </w:rPr>
            </w:pPr>
          </w:p>
        </w:tc>
        <w:tc>
          <w:tcPr>
            <w:tcW w:w="831" w:type="dxa"/>
            <w:vAlign w:val="top"/>
          </w:tcPr>
          <w:p>
            <w:pPr>
              <w:spacing w:line="360" w:lineRule="auto"/>
              <w:jc w:val="center"/>
              <w:rPr>
                <w:rFonts w:ascii="仿宋" w:hAnsi="仿宋" w:eastAsia="仿宋" w:cs="Times New Roman"/>
              </w:rPr>
            </w:pPr>
          </w:p>
        </w:tc>
        <w:tc>
          <w:tcPr>
            <w:tcW w:w="831" w:type="dxa"/>
            <w:vAlign w:val="center"/>
          </w:tcPr>
          <w:p>
            <w:pPr>
              <w:spacing w:line="360" w:lineRule="auto"/>
              <w:jc w:val="center"/>
              <w:rPr>
                <w:rFonts w:ascii="仿宋" w:hAnsi="仿宋" w:eastAsia="仿宋" w:cs="Times New Roman"/>
              </w:rPr>
            </w:pPr>
          </w:p>
        </w:tc>
        <w:tc>
          <w:tcPr>
            <w:tcW w:w="831" w:type="dxa"/>
            <w:vAlign w:val="center"/>
          </w:tcPr>
          <w:p>
            <w:pPr>
              <w:spacing w:line="360" w:lineRule="auto"/>
              <w:jc w:val="center"/>
              <w:rPr>
                <w:rFonts w:ascii="仿宋" w:hAnsi="仿宋" w:eastAsia="仿宋" w:cs="Times New Roman"/>
              </w:rPr>
            </w:pPr>
          </w:p>
        </w:tc>
        <w:tc>
          <w:tcPr>
            <w:tcW w:w="831" w:type="dxa"/>
            <w:vAlign w:val="center"/>
          </w:tcPr>
          <w:p>
            <w:pPr>
              <w:spacing w:line="360" w:lineRule="auto"/>
              <w:jc w:val="center"/>
              <w:rPr>
                <w:rFonts w:ascii="仿宋" w:hAnsi="仿宋" w:eastAsia="仿宋" w:cs="Times New Roman"/>
              </w:rPr>
            </w:pPr>
          </w:p>
        </w:tc>
        <w:tc>
          <w:tcPr>
            <w:tcW w:w="831" w:type="dxa"/>
            <w:vAlign w:val="center"/>
          </w:tcPr>
          <w:p>
            <w:pPr>
              <w:spacing w:line="360" w:lineRule="auto"/>
              <w:jc w:val="center"/>
              <w:rPr>
                <w:rFonts w:ascii="仿宋" w:hAnsi="仿宋" w:eastAsia="仿宋" w:cs="Times New Roman"/>
              </w:rPr>
            </w:pPr>
          </w:p>
        </w:tc>
        <w:tc>
          <w:tcPr>
            <w:tcW w:w="1377" w:type="dxa"/>
            <w:vAlign w:val="center"/>
          </w:tcPr>
          <w:p>
            <w:pPr>
              <w:spacing w:line="360" w:lineRule="auto"/>
              <w:jc w:val="center"/>
              <w:rPr>
                <w:rFonts w:ascii="仿宋" w:hAnsi="仿宋" w:eastAsia="仿宋" w:cs="Times New Roman"/>
              </w:rPr>
            </w:pPr>
          </w:p>
        </w:tc>
        <w:tc>
          <w:tcPr>
            <w:tcW w:w="1243" w:type="dxa"/>
            <w:vAlign w:val="center"/>
          </w:tcPr>
          <w:p>
            <w:pPr>
              <w:spacing w:line="360" w:lineRule="auto"/>
              <w:jc w:val="center"/>
              <w:rPr>
                <w:rFonts w:ascii="仿宋" w:hAnsi="仿宋" w:eastAsia="仿宋" w:cs="Times New Roman"/>
              </w:rPr>
            </w:pPr>
          </w:p>
        </w:tc>
        <w:tc>
          <w:tcPr>
            <w:tcW w:w="1042" w:type="dxa"/>
            <w:vAlign w:val="center"/>
          </w:tcPr>
          <w:p>
            <w:pPr>
              <w:spacing w:line="360" w:lineRule="auto"/>
              <w:jc w:val="center"/>
              <w:rPr>
                <w:rFonts w:ascii="仿宋" w:hAnsi="仿宋" w:eastAsia="仿宋" w:cs="Times New Roman"/>
              </w:rPr>
            </w:pPr>
          </w:p>
        </w:tc>
        <w:tc>
          <w:tcPr>
            <w:tcW w:w="1054" w:type="dxa"/>
            <w:vAlign w:val="center"/>
          </w:tcPr>
          <w:p>
            <w:pPr>
              <w:spacing w:line="360" w:lineRule="auto"/>
              <w:jc w:val="center"/>
              <w:rPr>
                <w:rFonts w:ascii="仿宋" w:hAnsi="仿宋" w:eastAsia="仿宋" w:cs="Times New Roman"/>
              </w:rPr>
            </w:pPr>
          </w:p>
        </w:tc>
        <w:tc>
          <w:tcPr>
            <w:tcW w:w="1406" w:type="dxa"/>
            <w:vAlign w:val="center"/>
          </w:tcPr>
          <w:p>
            <w:pPr>
              <w:spacing w:line="360" w:lineRule="auto"/>
              <w:jc w:val="center"/>
              <w:rPr>
                <w:rFonts w:ascii="仿宋" w:hAnsi="仿宋" w:eastAsia="仿宋" w:cs="Times New Roman"/>
              </w:rPr>
            </w:pPr>
          </w:p>
        </w:tc>
        <w:tc>
          <w:tcPr>
            <w:tcW w:w="2287" w:type="dxa"/>
            <w:vAlign w:val="top"/>
          </w:tcPr>
          <w:p>
            <w:pPr>
              <w:spacing w:line="360" w:lineRule="auto"/>
              <w:jc w:val="center"/>
              <w:rPr>
                <w:rFonts w:ascii="仿宋" w:hAnsi="仿宋" w:eastAsia="仿宋" w:cs="Times New Roman"/>
              </w:rPr>
            </w:pPr>
          </w:p>
        </w:tc>
        <w:tc>
          <w:tcPr>
            <w:tcW w:w="2462" w:type="dxa"/>
            <w:vAlign w:val="top"/>
          </w:tcPr>
          <w:p>
            <w:pPr>
              <w:spacing w:line="360" w:lineRule="auto"/>
              <w:jc w:val="center"/>
              <w:rPr>
                <w:rFonts w:ascii="仿宋" w:hAnsi="仿宋"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31" w:type="dxa"/>
            <w:vAlign w:val="center"/>
          </w:tcPr>
          <w:p>
            <w:pPr>
              <w:spacing w:line="360" w:lineRule="auto"/>
              <w:jc w:val="center"/>
              <w:rPr>
                <w:rFonts w:ascii="仿宋" w:hAnsi="仿宋" w:eastAsia="仿宋" w:cs="Times New Roman"/>
              </w:rPr>
            </w:pPr>
          </w:p>
        </w:tc>
        <w:tc>
          <w:tcPr>
            <w:tcW w:w="831" w:type="dxa"/>
            <w:vAlign w:val="top"/>
          </w:tcPr>
          <w:p>
            <w:pPr>
              <w:spacing w:line="360" w:lineRule="auto"/>
              <w:jc w:val="center"/>
              <w:rPr>
                <w:rFonts w:ascii="仿宋" w:hAnsi="仿宋" w:eastAsia="仿宋" w:cs="Times New Roman"/>
              </w:rPr>
            </w:pPr>
          </w:p>
        </w:tc>
        <w:tc>
          <w:tcPr>
            <w:tcW w:w="831" w:type="dxa"/>
            <w:vAlign w:val="center"/>
          </w:tcPr>
          <w:p>
            <w:pPr>
              <w:spacing w:line="360" w:lineRule="auto"/>
              <w:jc w:val="center"/>
              <w:rPr>
                <w:rFonts w:ascii="仿宋" w:hAnsi="仿宋" w:eastAsia="仿宋" w:cs="Times New Roman"/>
              </w:rPr>
            </w:pPr>
          </w:p>
        </w:tc>
        <w:tc>
          <w:tcPr>
            <w:tcW w:w="831" w:type="dxa"/>
            <w:vAlign w:val="center"/>
          </w:tcPr>
          <w:p>
            <w:pPr>
              <w:spacing w:line="360" w:lineRule="auto"/>
              <w:jc w:val="center"/>
              <w:rPr>
                <w:rFonts w:ascii="仿宋" w:hAnsi="仿宋" w:eastAsia="仿宋" w:cs="Times New Roman"/>
              </w:rPr>
            </w:pPr>
          </w:p>
        </w:tc>
        <w:tc>
          <w:tcPr>
            <w:tcW w:w="831" w:type="dxa"/>
            <w:vAlign w:val="center"/>
          </w:tcPr>
          <w:p>
            <w:pPr>
              <w:spacing w:line="360" w:lineRule="auto"/>
              <w:jc w:val="center"/>
              <w:rPr>
                <w:rFonts w:ascii="仿宋" w:hAnsi="仿宋" w:eastAsia="仿宋" w:cs="Times New Roman"/>
              </w:rPr>
            </w:pPr>
          </w:p>
        </w:tc>
        <w:tc>
          <w:tcPr>
            <w:tcW w:w="831" w:type="dxa"/>
            <w:vAlign w:val="center"/>
          </w:tcPr>
          <w:p>
            <w:pPr>
              <w:spacing w:line="360" w:lineRule="auto"/>
              <w:jc w:val="center"/>
              <w:rPr>
                <w:rFonts w:ascii="仿宋" w:hAnsi="仿宋" w:eastAsia="仿宋" w:cs="Times New Roman"/>
              </w:rPr>
            </w:pPr>
          </w:p>
        </w:tc>
        <w:tc>
          <w:tcPr>
            <w:tcW w:w="1377" w:type="dxa"/>
            <w:vAlign w:val="center"/>
          </w:tcPr>
          <w:p>
            <w:pPr>
              <w:spacing w:line="360" w:lineRule="auto"/>
              <w:jc w:val="center"/>
              <w:rPr>
                <w:rFonts w:ascii="仿宋" w:hAnsi="仿宋" w:eastAsia="仿宋" w:cs="Times New Roman"/>
              </w:rPr>
            </w:pPr>
          </w:p>
        </w:tc>
        <w:tc>
          <w:tcPr>
            <w:tcW w:w="1243" w:type="dxa"/>
            <w:vAlign w:val="center"/>
          </w:tcPr>
          <w:p>
            <w:pPr>
              <w:spacing w:line="360" w:lineRule="auto"/>
              <w:jc w:val="center"/>
              <w:rPr>
                <w:rFonts w:ascii="仿宋" w:hAnsi="仿宋" w:eastAsia="仿宋" w:cs="Times New Roman"/>
              </w:rPr>
            </w:pPr>
          </w:p>
        </w:tc>
        <w:tc>
          <w:tcPr>
            <w:tcW w:w="1042" w:type="dxa"/>
            <w:vAlign w:val="center"/>
          </w:tcPr>
          <w:p>
            <w:pPr>
              <w:spacing w:line="360" w:lineRule="auto"/>
              <w:jc w:val="center"/>
              <w:rPr>
                <w:rFonts w:ascii="仿宋" w:hAnsi="仿宋" w:eastAsia="仿宋" w:cs="Times New Roman"/>
              </w:rPr>
            </w:pPr>
          </w:p>
        </w:tc>
        <w:tc>
          <w:tcPr>
            <w:tcW w:w="1054" w:type="dxa"/>
            <w:vAlign w:val="center"/>
          </w:tcPr>
          <w:p>
            <w:pPr>
              <w:spacing w:line="360" w:lineRule="auto"/>
              <w:jc w:val="center"/>
              <w:rPr>
                <w:rFonts w:ascii="仿宋" w:hAnsi="仿宋" w:eastAsia="仿宋" w:cs="Times New Roman"/>
              </w:rPr>
            </w:pPr>
          </w:p>
        </w:tc>
        <w:tc>
          <w:tcPr>
            <w:tcW w:w="1406" w:type="dxa"/>
            <w:vAlign w:val="center"/>
          </w:tcPr>
          <w:p>
            <w:pPr>
              <w:spacing w:line="360" w:lineRule="auto"/>
              <w:jc w:val="center"/>
              <w:rPr>
                <w:rFonts w:ascii="仿宋" w:hAnsi="仿宋" w:eastAsia="仿宋" w:cs="Times New Roman"/>
              </w:rPr>
            </w:pPr>
          </w:p>
        </w:tc>
        <w:tc>
          <w:tcPr>
            <w:tcW w:w="2287" w:type="dxa"/>
            <w:vAlign w:val="top"/>
          </w:tcPr>
          <w:p>
            <w:pPr>
              <w:spacing w:line="360" w:lineRule="auto"/>
              <w:jc w:val="center"/>
              <w:rPr>
                <w:rFonts w:ascii="仿宋" w:hAnsi="仿宋" w:eastAsia="仿宋" w:cs="Times New Roman"/>
              </w:rPr>
            </w:pPr>
          </w:p>
        </w:tc>
        <w:tc>
          <w:tcPr>
            <w:tcW w:w="2462" w:type="dxa"/>
            <w:vAlign w:val="top"/>
          </w:tcPr>
          <w:p>
            <w:pPr>
              <w:spacing w:line="360" w:lineRule="auto"/>
              <w:jc w:val="center"/>
              <w:rPr>
                <w:rFonts w:ascii="仿宋" w:hAnsi="仿宋"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31" w:type="dxa"/>
            <w:vAlign w:val="center"/>
          </w:tcPr>
          <w:p>
            <w:pPr>
              <w:spacing w:line="360" w:lineRule="auto"/>
              <w:jc w:val="center"/>
              <w:rPr>
                <w:rFonts w:ascii="仿宋" w:hAnsi="仿宋" w:eastAsia="仿宋" w:cs="Times New Roman"/>
              </w:rPr>
            </w:pPr>
          </w:p>
        </w:tc>
        <w:tc>
          <w:tcPr>
            <w:tcW w:w="831" w:type="dxa"/>
            <w:vAlign w:val="top"/>
          </w:tcPr>
          <w:p>
            <w:pPr>
              <w:spacing w:line="360" w:lineRule="auto"/>
              <w:jc w:val="center"/>
              <w:rPr>
                <w:rFonts w:ascii="仿宋" w:hAnsi="仿宋" w:eastAsia="仿宋" w:cs="Times New Roman"/>
              </w:rPr>
            </w:pPr>
          </w:p>
        </w:tc>
        <w:tc>
          <w:tcPr>
            <w:tcW w:w="831" w:type="dxa"/>
            <w:vAlign w:val="center"/>
          </w:tcPr>
          <w:p>
            <w:pPr>
              <w:spacing w:line="360" w:lineRule="auto"/>
              <w:jc w:val="center"/>
              <w:rPr>
                <w:rFonts w:ascii="仿宋" w:hAnsi="仿宋" w:eastAsia="仿宋" w:cs="Times New Roman"/>
              </w:rPr>
            </w:pPr>
          </w:p>
        </w:tc>
        <w:tc>
          <w:tcPr>
            <w:tcW w:w="831" w:type="dxa"/>
            <w:vAlign w:val="center"/>
          </w:tcPr>
          <w:p>
            <w:pPr>
              <w:spacing w:line="360" w:lineRule="auto"/>
              <w:jc w:val="center"/>
              <w:rPr>
                <w:rFonts w:ascii="仿宋" w:hAnsi="仿宋" w:eastAsia="仿宋" w:cs="Times New Roman"/>
              </w:rPr>
            </w:pPr>
          </w:p>
        </w:tc>
        <w:tc>
          <w:tcPr>
            <w:tcW w:w="831" w:type="dxa"/>
            <w:vAlign w:val="center"/>
          </w:tcPr>
          <w:p>
            <w:pPr>
              <w:spacing w:line="360" w:lineRule="auto"/>
              <w:jc w:val="center"/>
              <w:rPr>
                <w:rFonts w:ascii="仿宋" w:hAnsi="仿宋" w:eastAsia="仿宋" w:cs="Times New Roman"/>
              </w:rPr>
            </w:pPr>
          </w:p>
        </w:tc>
        <w:tc>
          <w:tcPr>
            <w:tcW w:w="831" w:type="dxa"/>
            <w:vAlign w:val="center"/>
          </w:tcPr>
          <w:p>
            <w:pPr>
              <w:spacing w:line="360" w:lineRule="auto"/>
              <w:jc w:val="center"/>
              <w:rPr>
                <w:rFonts w:ascii="仿宋" w:hAnsi="仿宋" w:eastAsia="仿宋" w:cs="Times New Roman"/>
              </w:rPr>
            </w:pPr>
          </w:p>
        </w:tc>
        <w:tc>
          <w:tcPr>
            <w:tcW w:w="1377" w:type="dxa"/>
            <w:vAlign w:val="center"/>
          </w:tcPr>
          <w:p>
            <w:pPr>
              <w:spacing w:line="360" w:lineRule="auto"/>
              <w:jc w:val="center"/>
              <w:rPr>
                <w:rFonts w:ascii="仿宋" w:hAnsi="仿宋" w:eastAsia="仿宋" w:cs="Times New Roman"/>
              </w:rPr>
            </w:pPr>
          </w:p>
        </w:tc>
        <w:tc>
          <w:tcPr>
            <w:tcW w:w="1243" w:type="dxa"/>
            <w:vAlign w:val="center"/>
          </w:tcPr>
          <w:p>
            <w:pPr>
              <w:spacing w:line="360" w:lineRule="auto"/>
              <w:jc w:val="center"/>
              <w:rPr>
                <w:rFonts w:ascii="仿宋" w:hAnsi="仿宋" w:eastAsia="仿宋" w:cs="Times New Roman"/>
              </w:rPr>
            </w:pPr>
          </w:p>
        </w:tc>
        <w:tc>
          <w:tcPr>
            <w:tcW w:w="1042" w:type="dxa"/>
            <w:vAlign w:val="center"/>
          </w:tcPr>
          <w:p>
            <w:pPr>
              <w:spacing w:line="360" w:lineRule="auto"/>
              <w:jc w:val="center"/>
              <w:rPr>
                <w:rFonts w:ascii="仿宋" w:hAnsi="仿宋" w:eastAsia="仿宋" w:cs="Times New Roman"/>
              </w:rPr>
            </w:pPr>
          </w:p>
        </w:tc>
        <w:tc>
          <w:tcPr>
            <w:tcW w:w="1054" w:type="dxa"/>
            <w:vAlign w:val="center"/>
          </w:tcPr>
          <w:p>
            <w:pPr>
              <w:spacing w:line="360" w:lineRule="auto"/>
              <w:jc w:val="center"/>
              <w:rPr>
                <w:rFonts w:ascii="仿宋" w:hAnsi="仿宋" w:eastAsia="仿宋" w:cs="Times New Roman"/>
              </w:rPr>
            </w:pPr>
          </w:p>
        </w:tc>
        <w:tc>
          <w:tcPr>
            <w:tcW w:w="1406" w:type="dxa"/>
            <w:vAlign w:val="center"/>
          </w:tcPr>
          <w:p>
            <w:pPr>
              <w:spacing w:line="360" w:lineRule="auto"/>
              <w:jc w:val="center"/>
              <w:rPr>
                <w:rFonts w:ascii="仿宋" w:hAnsi="仿宋" w:eastAsia="仿宋" w:cs="Times New Roman"/>
              </w:rPr>
            </w:pPr>
          </w:p>
        </w:tc>
        <w:tc>
          <w:tcPr>
            <w:tcW w:w="2287" w:type="dxa"/>
            <w:vAlign w:val="top"/>
          </w:tcPr>
          <w:p>
            <w:pPr>
              <w:spacing w:line="360" w:lineRule="auto"/>
              <w:jc w:val="center"/>
              <w:rPr>
                <w:rFonts w:ascii="仿宋" w:hAnsi="仿宋" w:eastAsia="仿宋" w:cs="Times New Roman"/>
              </w:rPr>
            </w:pPr>
          </w:p>
        </w:tc>
        <w:tc>
          <w:tcPr>
            <w:tcW w:w="2462" w:type="dxa"/>
            <w:vAlign w:val="top"/>
          </w:tcPr>
          <w:p>
            <w:pPr>
              <w:spacing w:line="360" w:lineRule="auto"/>
              <w:jc w:val="center"/>
              <w:rPr>
                <w:rFonts w:ascii="仿宋" w:hAnsi="仿宋"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31" w:type="dxa"/>
            <w:vAlign w:val="center"/>
          </w:tcPr>
          <w:p>
            <w:pPr>
              <w:spacing w:line="360" w:lineRule="auto"/>
              <w:jc w:val="center"/>
              <w:rPr>
                <w:rFonts w:ascii="仿宋" w:hAnsi="仿宋" w:eastAsia="仿宋" w:cs="Times New Roman"/>
              </w:rPr>
            </w:pPr>
          </w:p>
        </w:tc>
        <w:tc>
          <w:tcPr>
            <w:tcW w:w="831" w:type="dxa"/>
            <w:vAlign w:val="top"/>
          </w:tcPr>
          <w:p>
            <w:pPr>
              <w:spacing w:line="360" w:lineRule="auto"/>
              <w:jc w:val="center"/>
              <w:rPr>
                <w:rFonts w:ascii="仿宋" w:hAnsi="仿宋" w:eastAsia="仿宋" w:cs="Times New Roman"/>
              </w:rPr>
            </w:pPr>
          </w:p>
        </w:tc>
        <w:tc>
          <w:tcPr>
            <w:tcW w:w="831" w:type="dxa"/>
            <w:vAlign w:val="center"/>
          </w:tcPr>
          <w:p>
            <w:pPr>
              <w:spacing w:line="360" w:lineRule="auto"/>
              <w:jc w:val="center"/>
              <w:rPr>
                <w:rFonts w:ascii="仿宋" w:hAnsi="仿宋" w:eastAsia="仿宋" w:cs="Times New Roman"/>
              </w:rPr>
            </w:pPr>
          </w:p>
        </w:tc>
        <w:tc>
          <w:tcPr>
            <w:tcW w:w="831" w:type="dxa"/>
            <w:vAlign w:val="center"/>
          </w:tcPr>
          <w:p>
            <w:pPr>
              <w:spacing w:line="360" w:lineRule="auto"/>
              <w:jc w:val="center"/>
              <w:rPr>
                <w:rFonts w:ascii="仿宋" w:hAnsi="仿宋" w:eastAsia="仿宋" w:cs="Times New Roman"/>
              </w:rPr>
            </w:pPr>
          </w:p>
        </w:tc>
        <w:tc>
          <w:tcPr>
            <w:tcW w:w="831" w:type="dxa"/>
            <w:vAlign w:val="center"/>
          </w:tcPr>
          <w:p>
            <w:pPr>
              <w:spacing w:line="360" w:lineRule="auto"/>
              <w:jc w:val="center"/>
              <w:rPr>
                <w:rFonts w:ascii="仿宋" w:hAnsi="仿宋" w:eastAsia="仿宋" w:cs="Times New Roman"/>
              </w:rPr>
            </w:pPr>
          </w:p>
        </w:tc>
        <w:tc>
          <w:tcPr>
            <w:tcW w:w="831" w:type="dxa"/>
            <w:vAlign w:val="center"/>
          </w:tcPr>
          <w:p>
            <w:pPr>
              <w:spacing w:line="360" w:lineRule="auto"/>
              <w:jc w:val="center"/>
              <w:rPr>
                <w:rFonts w:ascii="仿宋" w:hAnsi="仿宋" w:eastAsia="仿宋" w:cs="Times New Roman"/>
              </w:rPr>
            </w:pPr>
          </w:p>
        </w:tc>
        <w:tc>
          <w:tcPr>
            <w:tcW w:w="1377" w:type="dxa"/>
            <w:vAlign w:val="center"/>
          </w:tcPr>
          <w:p>
            <w:pPr>
              <w:spacing w:line="360" w:lineRule="auto"/>
              <w:jc w:val="center"/>
              <w:rPr>
                <w:rFonts w:ascii="仿宋" w:hAnsi="仿宋" w:eastAsia="仿宋" w:cs="Times New Roman"/>
              </w:rPr>
            </w:pPr>
          </w:p>
        </w:tc>
        <w:tc>
          <w:tcPr>
            <w:tcW w:w="1243" w:type="dxa"/>
            <w:vAlign w:val="center"/>
          </w:tcPr>
          <w:p>
            <w:pPr>
              <w:spacing w:line="360" w:lineRule="auto"/>
              <w:jc w:val="center"/>
              <w:rPr>
                <w:rFonts w:ascii="仿宋" w:hAnsi="仿宋" w:eastAsia="仿宋" w:cs="Times New Roman"/>
              </w:rPr>
            </w:pPr>
          </w:p>
        </w:tc>
        <w:tc>
          <w:tcPr>
            <w:tcW w:w="1042" w:type="dxa"/>
            <w:vAlign w:val="center"/>
          </w:tcPr>
          <w:p>
            <w:pPr>
              <w:spacing w:line="360" w:lineRule="auto"/>
              <w:jc w:val="center"/>
              <w:rPr>
                <w:rFonts w:ascii="仿宋" w:hAnsi="仿宋" w:eastAsia="仿宋" w:cs="Times New Roman"/>
              </w:rPr>
            </w:pPr>
          </w:p>
        </w:tc>
        <w:tc>
          <w:tcPr>
            <w:tcW w:w="1054" w:type="dxa"/>
            <w:vAlign w:val="center"/>
          </w:tcPr>
          <w:p>
            <w:pPr>
              <w:spacing w:line="360" w:lineRule="auto"/>
              <w:jc w:val="center"/>
              <w:rPr>
                <w:rFonts w:ascii="仿宋" w:hAnsi="仿宋" w:eastAsia="仿宋" w:cs="Times New Roman"/>
              </w:rPr>
            </w:pPr>
          </w:p>
        </w:tc>
        <w:tc>
          <w:tcPr>
            <w:tcW w:w="1406" w:type="dxa"/>
            <w:vAlign w:val="center"/>
          </w:tcPr>
          <w:p>
            <w:pPr>
              <w:spacing w:line="360" w:lineRule="auto"/>
              <w:jc w:val="center"/>
              <w:rPr>
                <w:rFonts w:ascii="仿宋" w:hAnsi="仿宋" w:eastAsia="仿宋" w:cs="Times New Roman"/>
              </w:rPr>
            </w:pPr>
          </w:p>
        </w:tc>
        <w:tc>
          <w:tcPr>
            <w:tcW w:w="2287" w:type="dxa"/>
            <w:vAlign w:val="top"/>
          </w:tcPr>
          <w:p>
            <w:pPr>
              <w:spacing w:line="360" w:lineRule="auto"/>
              <w:jc w:val="center"/>
              <w:rPr>
                <w:rFonts w:ascii="仿宋" w:hAnsi="仿宋" w:eastAsia="仿宋" w:cs="Times New Roman"/>
              </w:rPr>
            </w:pPr>
          </w:p>
        </w:tc>
        <w:tc>
          <w:tcPr>
            <w:tcW w:w="2462" w:type="dxa"/>
            <w:vAlign w:val="top"/>
          </w:tcPr>
          <w:p>
            <w:pPr>
              <w:spacing w:line="360" w:lineRule="auto"/>
              <w:jc w:val="center"/>
              <w:rPr>
                <w:rFonts w:ascii="仿宋" w:hAnsi="仿宋"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31" w:type="dxa"/>
            <w:vAlign w:val="center"/>
          </w:tcPr>
          <w:p>
            <w:pPr>
              <w:spacing w:line="360" w:lineRule="auto"/>
              <w:jc w:val="center"/>
              <w:rPr>
                <w:rFonts w:ascii="仿宋" w:hAnsi="仿宋" w:eastAsia="仿宋" w:cs="Times New Roman"/>
              </w:rPr>
            </w:pPr>
          </w:p>
        </w:tc>
        <w:tc>
          <w:tcPr>
            <w:tcW w:w="831" w:type="dxa"/>
            <w:vAlign w:val="top"/>
          </w:tcPr>
          <w:p>
            <w:pPr>
              <w:spacing w:line="360" w:lineRule="auto"/>
              <w:jc w:val="center"/>
              <w:rPr>
                <w:rFonts w:ascii="仿宋" w:hAnsi="仿宋" w:eastAsia="仿宋" w:cs="Times New Roman"/>
              </w:rPr>
            </w:pPr>
          </w:p>
        </w:tc>
        <w:tc>
          <w:tcPr>
            <w:tcW w:w="831" w:type="dxa"/>
            <w:vAlign w:val="center"/>
          </w:tcPr>
          <w:p>
            <w:pPr>
              <w:spacing w:line="360" w:lineRule="auto"/>
              <w:jc w:val="center"/>
              <w:rPr>
                <w:rFonts w:ascii="仿宋" w:hAnsi="仿宋" w:eastAsia="仿宋" w:cs="Times New Roman"/>
              </w:rPr>
            </w:pPr>
          </w:p>
        </w:tc>
        <w:tc>
          <w:tcPr>
            <w:tcW w:w="831" w:type="dxa"/>
            <w:vAlign w:val="center"/>
          </w:tcPr>
          <w:p>
            <w:pPr>
              <w:spacing w:line="360" w:lineRule="auto"/>
              <w:jc w:val="center"/>
              <w:rPr>
                <w:rFonts w:ascii="仿宋" w:hAnsi="仿宋" w:eastAsia="仿宋" w:cs="Times New Roman"/>
              </w:rPr>
            </w:pPr>
          </w:p>
        </w:tc>
        <w:tc>
          <w:tcPr>
            <w:tcW w:w="831" w:type="dxa"/>
            <w:vAlign w:val="center"/>
          </w:tcPr>
          <w:p>
            <w:pPr>
              <w:spacing w:line="360" w:lineRule="auto"/>
              <w:jc w:val="center"/>
              <w:rPr>
                <w:rFonts w:ascii="仿宋" w:hAnsi="仿宋" w:eastAsia="仿宋" w:cs="Times New Roman"/>
              </w:rPr>
            </w:pPr>
          </w:p>
        </w:tc>
        <w:tc>
          <w:tcPr>
            <w:tcW w:w="831" w:type="dxa"/>
            <w:vAlign w:val="center"/>
          </w:tcPr>
          <w:p>
            <w:pPr>
              <w:spacing w:line="360" w:lineRule="auto"/>
              <w:jc w:val="center"/>
              <w:rPr>
                <w:rFonts w:ascii="仿宋" w:hAnsi="仿宋" w:eastAsia="仿宋" w:cs="Times New Roman"/>
              </w:rPr>
            </w:pPr>
          </w:p>
        </w:tc>
        <w:tc>
          <w:tcPr>
            <w:tcW w:w="1377" w:type="dxa"/>
            <w:vAlign w:val="center"/>
          </w:tcPr>
          <w:p>
            <w:pPr>
              <w:spacing w:line="360" w:lineRule="auto"/>
              <w:jc w:val="center"/>
              <w:rPr>
                <w:rFonts w:ascii="仿宋" w:hAnsi="仿宋" w:eastAsia="仿宋" w:cs="Times New Roman"/>
              </w:rPr>
            </w:pPr>
          </w:p>
        </w:tc>
        <w:tc>
          <w:tcPr>
            <w:tcW w:w="1243" w:type="dxa"/>
            <w:vAlign w:val="center"/>
          </w:tcPr>
          <w:p>
            <w:pPr>
              <w:spacing w:line="360" w:lineRule="auto"/>
              <w:jc w:val="center"/>
              <w:rPr>
                <w:rFonts w:ascii="仿宋" w:hAnsi="仿宋" w:eastAsia="仿宋" w:cs="Times New Roman"/>
              </w:rPr>
            </w:pPr>
          </w:p>
        </w:tc>
        <w:tc>
          <w:tcPr>
            <w:tcW w:w="1042" w:type="dxa"/>
            <w:vAlign w:val="center"/>
          </w:tcPr>
          <w:p>
            <w:pPr>
              <w:spacing w:line="360" w:lineRule="auto"/>
              <w:jc w:val="center"/>
              <w:rPr>
                <w:rFonts w:ascii="仿宋" w:hAnsi="仿宋" w:eastAsia="仿宋" w:cs="Times New Roman"/>
              </w:rPr>
            </w:pPr>
          </w:p>
        </w:tc>
        <w:tc>
          <w:tcPr>
            <w:tcW w:w="1054" w:type="dxa"/>
            <w:vAlign w:val="center"/>
          </w:tcPr>
          <w:p>
            <w:pPr>
              <w:spacing w:line="360" w:lineRule="auto"/>
              <w:jc w:val="center"/>
              <w:rPr>
                <w:rFonts w:ascii="仿宋" w:hAnsi="仿宋" w:eastAsia="仿宋" w:cs="Times New Roman"/>
              </w:rPr>
            </w:pPr>
          </w:p>
        </w:tc>
        <w:tc>
          <w:tcPr>
            <w:tcW w:w="1406" w:type="dxa"/>
            <w:vAlign w:val="center"/>
          </w:tcPr>
          <w:p>
            <w:pPr>
              <w:spacing w:line="360" w:lineRule="auto"/>
              <w:jc w:val="center"/>
              <w:rPr>
                <w:rFonts w:ascii="仿宋" w:hAnsi="仿宋" w:eastAsia="仿宋" w:cs="Times New Roman"/>
              </w:rPr>
            </w:pPr>
          </w:p>
        </w:tc>
        <w:tc>
          <w:tcPr>
            <w:tcW w:w="2287" w:type="dxa"/>
            <w:vAlign w:val="top"/>
          </w:tcPr>
          <w:p>
            <w:pPr>
              <w:spacing w:line="360" w:lineRule="auto"/>
              <w:jc w:val="center"/>
              <w:rPr>
                <w:rFonts w:ascii="仿宋" w:hAnsi="仿宋" w:eastAsia="仿宋" w:cs="Times New Roman"/>
              </w:rPr>
            </w:pPr>
          </w:p>
        </w:tc>
        <w:tc>
          <w:tcPr>
            <w:tcW w:w="2462" w:type="dxa"/>
            <w:vAlign w:val="top"/>
          </w:tcPr>
          <w:p>
            <w:pPr>
              <w:spacing w:line="360" w:lineRule="auto"/>
              <w:jc w:val="center"/>
              <w:rPr>
                <w:rFonts w:ascii="仿宋" w:hAnsi="仿宋"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831" w:type="dxa"/>
            <w:vAlign w:val="center"/>
          </w:tcPr>
          <w:p>
            <w:pPr>
              <w:spacing w:line="360" w:lineRule="auto"/>
              <w:jc w:val="center"/>
              <w:rPr>
                <w:rFonts w:ascii="仿宋" w:hAnsi="仿宋" w:eastAsia="仿宋" w:cs="Times New Roman"/>
              </w:rPr>
            </w:pPr>
          </w:p>
        </w:tc>
        <w:tc>
          <w:tcPr>
            <w:tcW w:w="831" w:type="dxa"/>
            <w:vAlign w:val="top"/>
          </w:tcPr>
          <w:p>
            <w:pPr>
              <w:spacing w:line="360" w:lineRule="auto"/>
              <w:jc w:val="center"/>
              <w:rPr>
                <w:rFonts w:ascii="仿宋" w:hAnsi="仿宋" w:eastAsia="仿宋" w:cs="Times New Roman"/>
              </w:rPr>
            </w:pPr>
          </w:p>
        </w:tc>
        <w:tc>
          <w:tcPr>
            <w:tcW w:w="831" w:type="dxa"/>
            <w:vAlign w:val="center"/>
          </w:tcPr>
          <w:p>
            <w:pPr>
              <w:spacing w:line="360" w:lineRule="auto"/>
              <w:jc w:val="center"/>
              <w:rPr>
                <w:rFonts w:ascii="仿宋" w:hAnsi="仿宋" w:eastAsia="仿宋" w:cs="Times New Roman"/>
              </w:rPr>
            </w:pPr>
          </w:p>
        </w:tc>
        <w:tc>
          <w:tcPr>
            <w:tcW w:w="831" w:type="dxa"/>
            <w:vAlign w:val="center"/>
          </w:tcPr>
          <w:p>
            <w:pPr>
              <w:spacing w:line="360" w:lineRule="auto"/>
              <w:jc w:val="center"/>
              <w:rPr>
                <w:rFonts w:ascii="仿宋" w:hAnsi="仿宋" w:eastAsia="仿宋" w:cs="Times New Roman"/>
              </w:rPr>
            </w:pPr>
          </w:p>
        </w:tc>
        <w:tc>
          <w:tcPr>
            <w:tcW w:w="831" w:type="dxa"/>
            <w:vAlign w:val="center"/>
          </w:tcPr>
          <w:p>
            <w:pPr>
              <w:spacing w:line="360" w:lineRule="auto"/>
              <w:jc w:val="center"/>
              <w:rPr>
                <w:rFonts w:ascii="仿宋" w:hAnsi="仿宋" w:eastAsia="仿宋" w:cs="Times New Roman"/>
              </w:rPr>
            </w:pPr>
          </w:p>
        </w:tc>
        <w:tc>
          <w:tcPr>
            <w:tcW w:w="831" w:type="dxa"/>
            <w:vAlign w:val="center"/>
          </w:tcPr>
          <w:p>
            <w:pPr>
              <w:spacing w:line="360" w:lineRule="auto"/>
              <w:jc w:val="center"/>
              <w:rPr>
                <w:rFonts w:ascii="仿宋" w:hAnsi="仿宋" w:eastAsia="仿宋" w:cs="Times New Roman"/>
              </w:rPr>
            </w:pPr>
          </w:p>
        </w:tc>
        <w:tc>
          <w:tcPr>
            <w:tcW w:w="1377" w:type="dxa"/>
            <w:vAlign w:val="center"/>
          </w:tcPr>
          <w:p>
            <w:pPr>
              <w:spacing w:line="360" w:lineRule="auto"/>
              <w:jc w:val="center"/>
              <w:rPr>
                <w:rFonts w:ascii="仿宋" w:hAnsi="仿宋" w:eastAsia="仿宋" w:cs="Times New Roman"/>
              </w:rPr>
            </w:pPr>
          </w:p>
        </w:tc>
        <w:tc>
          <w:tcPr>
            <w:tcW w:w="1243" w:type="dxa"/>
            <w:vAlign w:val="center"/>
          </w:tcPr>
          <w:p>
            <w:pPr>
              <w:spacing w:line="360" w:lineRule="auto"/>
              <w:jc w:val="center"/>
              <w:rPr>
                <w:rFonts w:ascii="仿宋" w:hAnsi="仿宋" w:eastAsia="仿宋" w:cs="Times New Roman"/>
              </w:rPr>
            </w:pPr>
          </w:p>
        </w:tc>
        <w:tc>
          <w:tcPr>
            <w:tcW w:w="1042" w:type="dxa"/>
            <w:vAlign w:val="center"/>
          </w:tcPr>
          <w:p>
            <w:pPr>
              <w:spacing w:line="360" w:lineRule="auto"/>
              <w:jc w:val="center"/>
              <w:rPr>
                <w:rFonts w:ascii="仿宋" w:hAnsi="仿宋" w:eastAsia="仿宋" w:cs="Times New Roman"/>
              </w:rPr>
            </w:pPr>
          </w:p>
        </w:tc>
        <w:tc>
          <w:tcPr>
            <w:tcW w:w="1054" w:type="dxa"/>
            <w:vAlign w:val="center"/>
          </w:tcPr>
          <w:p>
            <w:pPr>
              <w:spacing w:line="360" w:lineRule="auto"/>
              <w:jc w:val="center"/>
              <w:rPr>
                <w:rFonts w:ascii="仿宋" w:hAnsi="仿宋" w:eastAsia="仿宋" w:cs="Times New Roman"/>
              </w:rPr>
            </w:pPr>
          </w:p>
        </w:tc>
        <w:tc>
          <w:tcPr>
            <w:tcW w:w="1406" w:type="dxa"/>
            <w:vAlign w:val="center"/>
          </w:tcPr>
          <w:p>
            <w:pPr>
              <w:spacing w:line="360" w:lineRule="auto"/>
              <w:jc w:val="center"/>
              <w:rPr>
                <w:rFonts w:ascii="仿宋" w:hAnsi="仿宋" w:eastAsia="仿宋" w:cs="Times New Roman"/>
              </w:rPr>
            </w:pPr>
          </w:p>
        </w:tc>
        <w:tc>
          <w:tcPr>
            <w:tcW w:w="2287" w:type="dxa"/>
            <w:vAlign w:val="top"/>
          </w:tcPr>
          <w:p>
            <w:pPr>
              <w:spacing w:line="360" w:lineRule="auto"/>
              <w:jc w:val="center"/>
              <w:rPr>
                <w:rFonts w:ascii="仿宋" w:hAnsi="仿宋" w:eastAsia="仿宋" w:cs="Times New Roman"/>
              </w:rPr>
            </w:pPr>
          </w:p>
        </w:tc>
        <w:tc>
          <w:tcPr>
            <w:tcW w:w="2462" w:type="dxa"/>
            <w:vAlign w:val="top"/>
          </w:tcPr>
          <w:p>
            <w:pPr>
              <w:spacing w:line="360" w:lineRule="auto"/>
              <w:jc w:val="center"/>
              <w:rPr>
                <w:rFonts w:ascii="仿宋" w:hAnsi="仿宋" w:eastAsia="仿宋" w:cs="Times New Roman"/>
              </w:rPr>
            </w:pPr>
          </w:p>
        </w:tc>
      </w:tr>
    </w:tbl>
    <w:p>
      <w:pPr>
        <w:ind w:left="899" w:leftChars="428"/>
        <w:rPr>
          <w:rFonts w:ascii="仿宋" w:hAnsi="仿宋" w:eastAsia="仿宋" w:cs="仿宋"/>
          <w:sz w:val="24"/>
          <w:szCs w:val="24"/>
        </w:rPr>
      </w:pPr>
      <w:r>
        <w:rPr>
          <w:rFonts w:hint="eastAsia" w:ascii="仿宋" w:hAnsi="仿宋" w:eastAsia="仿宋" w:cs="仿宋"/>
          <w:sz w:val="24"/>
          <w:szCs w:val="24"/>
        </w:rPr>
        <w:t>说明：</w:t>
      </w:r>
      <w:r>
        <w:rPr>
          <w:rFonts w:ascii="仿宋" w:hAnsi="仿宋" w:eastAsia="仿宋" w:cs="仿宋"/>
          <w:sz w:val="24"/>
          <w:szCs w:val="24"/>
        </w:rPr>
        <w:t>1.</w:t>
      </w:r>
      <w:r>
        <w:rPr>
          <w:rFonts w:hint="eastAsia" w:ascii="仿宋" w:hAnsi="仿宋" w:eastAsia="仿宋" w:cs="仿宋"/>
          <w:sz w:val="24"/>
          <w:szCs w:val="24"/>
        </w:rPr>
        <w:t>表中人员一经确认不得随意修改变换。如需变换，应按照通用条款第</w:t>
      </w:r>
      <w:r>
        <w:rPr>
          <w:rFonts w:ascii="仿宋" w:hAnsi="仿宋" w:eastAsia="仿宋" w:cs="仿宋"/>
          <w:sz w:val="24"/>
          <w:szCs w:val="24"/>
        </w:rPr>
        <w:t xml:space="preserve"> 21 </w:t>
      </w:r>
      <w:r>
        <w:rPr>
          <w:rFonts w:hint="eastAsia" w:ascii="仿宋" w:hAnsi="仿宋" w:eastAsia="仿宋" w:cs="仿宋"/>
          <w:sz w:val="24"/>
          <w:szCs w:val="24"/>
        </w:rPr>
        <w:t>条规定执行。</w:t>
      </w:r>
      <w:r>
        <w:rPr>
          <w:rFonts w:ascii="仿宋" w:hAnsi="仿宋" w:eastAsia="仿宋" w:cs="仿宋"/>
          <w:sz w:val="24"/>
          <w:szCs w:val="24"/>
        </w:rPr>
        <w:t xml:space="preserve"> </w:t>
      </w:r>
    </w:p>
    <w:p>
      <w:pPr>
        <w:ind w:left="1617" w:leftChars="770"/>
        <w:rPr>
          <w:rFonts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表中人员必须提供为其购买的社会养老保险费用凭证。</w:t>
      </w:r>
    </w:p>
    <w:p>
      <w:pPr>
        <w:ind w:left="1617" w:leftChars="770"/>
        <w:rPr>
          <w:rFonts w:ascii="仿宋" w:hAnsi="仿宋" w:eastAsia="仿宋" w:cs="Times New Roman"/>
          <w:sz w:val="24"/>
          <w:szCs w:val="24"/>
        </w:rPr>
      </w:pPr>
      <w:r>
        <w:rPr>
          <w:rFonts w:ascii="仿宋" w:hAnsi="仿宋" w:eastAsia="仿宋" w:cs="仿宋"/>
          <w:sz w:val="24"/>
          <w:szCs w:val="24"/>
        </w:rPr>
        <w:t>3.</w:t>
      </w:r>
      <w:r>
        <w:rPr>
          <w:rFonts w:hint="eastAsia" w:ascii="仿宋" w:hAnsi="仿宋" w:eastAsia="仿宋" w:cs="仿宋"/>
          <w:sz w:val="24"/>
          <w:szCs w:val="24"/>
        </w:rPr>
        <w:t>承包人应提供表中人员的聘用合同、专业技术职称书等复印件。</w:t>
      </w:r>
    </w:p>
    <w:p>
      <w:pPr>
        <w:widowControl/>
        <w:jc w:val="left"/>
        <w:rPr>
          <w:rFonts w:ascii="仿宋" w:hAnsi="仿宋" w:eastAsia="仿宋" w:cs="Times New Roman"/>
          <w:kern w:val="0"/>
          <w:sz w:val="24"/>
          <w:szCs w:val="24"/>
        </w:rPr>
        <w:sectPr>
          <w:endnotePr>
            <w:numFmt w:val="decimal"/>
          </w:endnotePr>
          <w:pgSz w:w="16838" w:h="11906" w:orient="landscape"/>
          <w:pgMar w:top="737" w:right="1418" w:bottom="737" w:left="851" w:header="0" w:footer="0" w:gutter="0"/>
          <w:cols w:space="720" w:num="1"/>
        </w:sectPr>
      </w:pPr>
    </w:p>
    <w:p>
      <w:pPr>
        <w:spacing w:before="240" w:beforeLines="100" w:after="240" w:afterLines="100" w:line="360" w:lineRule="auto"/>
        <w:outlineLvl w:val="1"/>
        <w:rPr>
          <w:rFonts w:ascii="仿宋" w:hAnsi="仿宋" w:eastAsia="仿宋" w:cs="仿宋"/>
          <w:b/>
          <w:bCs/>
          <w:color w:val="000000"/>
          <w:kern w:val="0"/>
          <w:sz w:val="24"/>
          <w:szCs w:val="24"/>
        </w:rPr>
      </w:pPr>
      <w:bookmarkStart w:id="751" w:name="_Toc469384148"/>
      <w:bookmarkStart w:id="752" w:name="_Toc266892932"/>
      <w:bookmarkStart w:id="753" w:name="_Toc10624992"/>
      <w:r>
        <w:rPr>
          <w:rFonts w:hint="eastAsia" w:ascii="仿宋" w:hAnsi="仿宋" w:eastAsia="仿宋" w:cs="仿宋"/>
          <w:b/>
          <w:bCs/>
          <w:color w:val="000000"/>
          <w:kern w:val="0"/>
          <w:sz w:val="24"/>
          <w:szCs w:val="24"/>
        </w:rPr>
        <w:t>格式</w:t>
      </w:r>
      <w:r>
        <w:rPr>
          <w:rFonts w:ascii="仿宋" w:hAnsi="仿宋" w:eastAsia="仿宋" w:cs="仿宋"/>
          <w:b/>
          <w:bCs/>
          <w:color w:val="000000"/>
          <w:kern w:val="0"/>
          <w:sz w:val="24"/>
          <w:szCs w:val="24"/>
        </w:rPr>
        <w:t>6</w:t>
      </w:r>
      <w:bookmarkEnd w:id="751"/>
      <w:bookmarkEnd w:id="752"/>
      <w:bookmarkEnd w:id="753"/>
    </w:p>
    <w:p>
      <w:pPr>
        <w:spacing w:line="360" w:lineRule="auto"/>
        <w:jc w:val="center"/>
        <w:rPr>
          <w:rFonts w:ascii="仿宋" w:hAnsi="仿宋" w:eastAsia="仿宋" w:cs="Times New Roman"/>
          <w:b/>
          <w:bCs/>
          <w:spacing w:val="30"/>
          <w:sz w:val="44"/>
          <w:szCs w:val="44"/>
        </w:rPr>
      </w:pPr>
      <w:r>
        <w:rPr>
          <w:rFonts w:hint="eastAsia" w:ascii="仿宋" w:hAnsi="仿宋" w:eastAsia="仿宋" w:cs="仿宋"/>
          <w:b/>
          <w:bCs/>
          <w:spacing w:val="30"/>
          <w:sz w:val="44"/>
          <w:szCs w:val="44"/>
        </w:rPr>
        <w:t>分包单位资格报审表</w:t>
      </w:r>
    </w:p>
    <w:p>
      <w:pPr>
        <w:spacing w:line="360" w:lineRule="auto"/>
        <w:ind w:firstLine="120" w:firstLineChars="50"/>
        <w:rPr>
          <w:rFonts w:ascii="仿宋" w:hAnsi="仿宋" w:eastAsia="仿宋" w:cs="Times New Roman"/>
          <w:sz w:val="24"/>
          <w:szCs w:val="24"/>
        </w:rPr>
      </w:pPr>
      <w:r>
        <w:rPr>
          <w:rFonts w:hint="eastAsia" w:ascii="仿宋" w:hAnsi="仿宋" w:eastAsia="仿宋" w:cs="仿宋"/>
          <w:sz w:val="24"/>
          <w:szCs w:val="24"/>
        </w:rPr>
        <w:t>工程名称</w:t>
      </w:r>
      <w:r>
        <w:rPr>
          <w:rFonts w:ascii="仿宋" w:hAnsi="仿宋" w:eastAsia="仿宋" w:cs="仿宋"/>
          <w:sz w:val="24"/>
          <w:szCs w:val="24"/>
        </w:rPr>
        <w:t>:</w:t>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编号</w:t>
      </w:r>
      <w:r>
        <w:rPr>
          <w:rFonts w:ascii="仿宋" w:hAnsi="仿宋" w:eastAsia="仿宋" w:cs="仿宋"/>
          <w:sz w:val="24"/>
          <w:szCs w:val="24"/>
        </w:rPr>
        <w:t>:</w:t>
      </w:r>
    </w:p>
    <w:tbl>
      <w:tblPr>
        <w:tblStyle w:val="40"/>
        <w:tblW w:w="102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75"/>
        <w:gridCol w:w="1532"/>
        <w:gridCol w:w="2506"/>
        <w:gridCol w:w="3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2" w:hRule="atLeast"/>
          <w:jc w:val="center"/>
        </w:trPr>
        <w:tc>
          <w:tcPr>
            <w:tcW w:w="10269" w:type="dxa"/>
            <w:gridSpan w:val="4"/>
            <w:tcBorders>
              <w:top w:val="single" w:color="auto" w:sz="6" w:space="0"/>
              <w:left w:val="single" w:color="auto" w:sz="6" w:space="0"/>
              <w:bottom w:val="single" w:color="auto" w:sz="6" w:space="0"/>
              <w:right w:val="single" w:color="auto" w:sz="6" w:space="0"/>
            </w:tcBorders>
            <w:vAlign w:val="top"/>
          </w:tcPr>
          <w:p>
            <w:pPr>
              <w:spacing w:before="120" w:line="360" w:lineRule="auto"/>
              <w:ind w:left="-28" w:firstLine="181"/>
              <w:rPr>
                <w:rFonts w:ascii="仿宋" w:hAnsi="仿宋" w:eastAsia="仿宋" w:cs="Times New Roman"/>
                <w:sz w:val="24"/>
                <w:szCs w:val="24"/>
              </w:rPr>
            </w:pPr>
            <w:r>
              <w:rPr>
                <w:rFonts w:hint="eastAsia" w:ascii="仿宋" w:hAnsi="仿宋" w:eastAsia="仿宋" w:cs="仿宋"/>
                <w:sz w:val="24"/>
                <w:szCs w:val="24"/>
              </w:rPr>
              <w:t>致</w:t>
            </w:r>
            <w:r>
              <w:rPr>
                <w:rFonts w:ascii="仿宋" w:hAnsi="仿宋" w:eastAsia="仿宋" w:cs="仿宋"/>
                <w:sz w:val="24"/>
                <w:szCs w:val="24"/>
              </w:rPr>
              <w:t>:</w:t>
            </w:r>
            <w:r>
              <w:rPr>
                <w:rFonts w:ascii="仿宋" w:hAnsi="仿宋" w:eastAsia="仿宋" w:cs="仿宋"/>
                <w:sz w:val="24"/>
                <w:szCs w:val="24"/>
                <w:u w:val="single"/>
              </w:rPr>
              <w:t xml:space="preserve">                                                  </w:t>
            </w:r>
            <w:r>
              <w:rPr>
                <w:rFonts w:hint="eastAsia" w:ascii="仿宋" w:hAnsi="仿宋" w:eastAsia="仿宋" w:cs="仿宋"/>
                <w:sz w:val="24"/>
                <w:szCs w:val="24"/>
              </w:rPr>
              <w:t>（监理单位全称）</w:t>
            </w:r>
          </w:p>
          <w:p>
            <w:pPr>
              <w:spacing w:line="360" w:lineRule="auto"/>
              <w:ind w:left="-28" w:firstLine="540"/>
              <w:rPr>
                <w:rFonts w:ascii="仿宋" w:hAnsi="仿宋" w:eastAsia="仿宋" w:cs="Times New Roman"/>
                <w:sz w:val="24"/>
                <w:szCs w:val="24"/>
              </w:rPr>
            </w:pPr>
            <w:r>
              <w:rPr>
                <w:rFonts w:hint="eastAsia" w:ascii="仿宋" w:hAnsi="仿宋" w:eastAsia="仿宋" w:cs="仿宋"/>
                <w:sz w:val="24"/>
                <w:szCs w:val="24"/>
              </w:rPr>
              <w:t>经考察，我方拟选择的</w:t>
            </w:r>
            <w:r>
              <w:rPr>
                <w:rFonts w:ascii="仿宋" w:hAnsi="仿宋" w:eastAsia="仿宋" w:cs="仿宋"/>
                <w:sz w:val="24"/>
                <w:szCs w:val="24"/>
                <w:u w:val="single"/>
              </w:rPr>
              <w:t xml:space="preserve">                                    </w:t>
            </w:r>
            <w:r>
              <w:rPr>
                <w:rFonts w:hint="eastAsia" w:ascii="仿宋" w:hAnsi="仿宋" w:eastAsia="仿宋" w:cs="仿宋"/>
                <w:sz w:val="24"/>
                <w:szCs w:val="24"/>
              </w:rPr>
              <w:t>（分包人）具备承担下列工程施工资质和施工能力，可以保证本工程按合同约定进行施工。我方承诺：分包后，我方承担总包人的全部责任。请予以审批。</w:t>
            </w:r>
          </w:p>
          <w:p>
            <w:pPr>
              <w:spacing w:line="360" w:lineRule="auto"/>
              <w:ind w:left="-28" w:firstLine="540"/>
              <w:rPr>
                <w:rFonts w:ascii="仿宋" w:hAnsi="仿宋" w:eastAsia="仿宋" w:cs="Times New Roman"/>
                <w:sz w:val="24"/>
                <w:szCs w:val="24"/>
              </w:rPr>
            </w:pPr>
            <w:r>
              <w:rPr>
                <w:rFonts w:hint="eastAsia" w:ascii="仿宋" w:hAnsi="仿宋" w:eastAsia="仿宋" w:cs="仿宋"/>
                <w:sz w:val="24"/>
                <w:szCs w:val="24"/>
              </w:rPr>
              <w:t>附</w:t>
            </w:r>
            <w:r>
              <w:rPr>
                <w:rFonts w:ascii="仿宋" w:hAnsi="仿宋" w:eastAsia="仿宋" w:cs="仿宋"/>
                <w:sz w:val="24"/>
                <w:szCs w:val="24"/>
              </w:rPr>
              <w:t>:1</w:t>
            </w:r>
            <w:r>
              <w:rPr>
                <w:rFonts w:hint="eastAsia" w:ascii="仿宋" w:hAnsi="仿宋" w:eastAsia="仿宋" w:cs="仿宋"/>
                <w:sz w:val="24"/>
                <w:szCs w:val="24"/>
              </w:rPr>
              <w:t>．分包人资质材料；</w:t>
            </w:r>
          </w:p>
          <w:p>
            <w:pPr>
              <w:spacing w:line="360" w:lineRule="auto"/>
              <w:ind w:left="-28" w:firstLine="907"/>
              <w:rPr>
                <w:rFonts w:ascii="仿宋" w:hAnsi="仿宋" w:eastAsia="仿宋" w:cs="Times New Roman"/>
                <w:sz w:val="24"/>
                <w:szCs w:val="24"/>
                <w:u w:val="single"/>
              </w:rPr>
            </w:pPr>
            <w:r>
              <w:rPr>
                <w:rFonts w:ascii="仿宋" w:hAnsi="仿宋" w:eastAsia="仿宋" w:cs="仿宋"/>
                <w:sz w:val="24"/>
                <w:szCs w:val="24"/>
              </w:rPr>
              <w:t>2</w:t>
            </w:r>
            <w:r>
              <w:rPr>
                <w:rFonts w:hint="eastAsia" w:ascii="仿宋" w:hAnsi="仿宋" w:eastAsia="仿宋" w:cs="仿宋"/>
                <w:sz w:val="24"/>
                <w:szCs w:val="24"/>
              </w:rPr>
              <w:t>．分包人业绩材料。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3175" w:type="dxa"/>
            <w:tcBorders>
              <w:top w:val="single" w:color="auto" w:sz="6" w:space="0"/>
              <w:left w:val="single" w:color="auto" w:sz="6" w:space="0"/>
              <w:bottom w:val="single" w:color="auto" w:sz="6" w:space="0"/>
              <w:right w:val="single" w:color="auto" w:sz="6" w:space="0"/>
            </w:tcBorders>
            <w:vAlign w:val="top"/>
          </w:tcPr>
          <w:p>
            <w:pPr>
              <w:spacing w:line="360" w:lineRule="auto"/>
              <w:jc w:val="center"/>
              <w:rPr>
                <w:rFonts w:ascii="仿宋" w:hAnsi="仿宋" w:eastAsia="仿宋" w:cs="Times New Roman"/>
                <w:position w:val="6"/>
                <w:sz w:val="24"/>
                <w:szCs w:val="24"/>
              </w:rPr>
            </w:pPr>
            <w:r>
              <w:rPr>
                <w:rFonts w:hint="eastAsia" w:ascii="仿宋" w:hAnsi="仿宋" w:eastAsia="仿宋" w:cs="仿宋"/>
                <w:position w:val="6"/>
                <w:sz w:val="24"/>
                <w:szCs w:val="24"/>
              </w:rPr>
              <w:t>分包工程名称（部位）</w:t>
            </w:r>
          </w:p>
        </w:tc>
        <w:tc>
          <w:tcPr>
            <w:tcW w:w="1532" w:type="dxa"/>
            <w:tcBorders>
              <w:top w:val="single" w:color="auto" w:sz="6" w:space="0"/>
              <w:left w:val="single" w:color="auto" w:sz="6" w:space="0"/>
              <w:bottom w:val="single" w:color="auto" w:sz="6" w:space="0"/>
              <w:right w:val="single" w:color="auto" w:sz="6" w:space="0"/>
            </w:tcBorders>
            <w:vAlign w:val="top"/>
          </w:tcPr>
          <w:p>
            <w:pPr>
              <w:spacing w:line="360" w:lineRule="auto"/>
              <w:jc w:val="center"/>
              <w:rPr>
                <w:rFonts w:ascii="仿宋" w:hAnsi="仿宋" w:eastAsia="仿宋" w:cs="Times New Roman"/>
                <w:position w:val="6"/>
                <w:sz w:val="24"/>
                <w:szCs w:val="24"/>
              </w:rPr>
            </w:pPr>
            <w:r>
              <w:rPr>
                <w:rFonts w:hint="eastAsia" w:ascii="仿宋" w:hAnsi="仿宋" w:eastAsia="仿宋" w:cs="仿宋"/>
                <w:position w:val="6"/>
                <w:sz w:val="24"/>
                <w:szCs w:val="24"/>
              </w:rPr>
              <w:t>工程数量</w:t>
            </w:r>
          </w:p>
        </w:tc>
        <w:tc>
          <w:tcPr>
            <w:tcW w:w="2506" w:type="dxa"/>
            <w:tcBorders>
              <w:top w:val="single" w:color="auto" w:sz="6" w:space="0"/>
              <w:left w:val="single" w:color="auto" w:sz="6" w:space="0"/>
              <w:bottom w:val="single" w:color="auto" w:sz="6" w:space="0"/>
              <w:right w:val="single" w:color="auto" w:sz="6" w:space="0"/>
            </w:tcBorders>
            <w:vAlign w:val="top"/>
          </w:tcPr>
          <w:p>
            <w:pPr>
              <w:spacing w:line="360" w:lineRule="auto"/>
              <w:jc w:val="center"/>
              <w:rPr>
                <w:rFonts w:ascii="仿宋" w:hAnsi="仿宋" w:eastAsia="仿宋" w:cs="Times New Roman"/>
                <w:position w:val="6"/>
                <w:sz w:val="24"/>
                <w:szCs w:val="24"/>
              </w:rPr>
            </w:pPr>
            <w:r>
              <w:rPr>
                <w:rFonts w:hint="eastAsia" w:ascii="仿宋" w:hAnsi="仿宋" w:eastAsia="仿宋" w:cs="仿宋"/>
                <w:position w:val="6"/>
                <w:sz w:val="24"/>
                <w:szCs w:val="24"/>
              </w:rPr>
              <w:t>拟分包工程合同额</w:t>
            </w:r>
          </w:p>
        </w:tc>
        <w:tc>
          <w:tcPr>
            <w:tcW w:w="3056" w:type="dxa"/>
            <w:tcBorders>
              <w:top w:val="single" w:color="auto" w:sz="6" w:space="0"/>
              <w:left w:val="single" w:color="auto" w:sz="6" w:space="0"/>
              <w:bottom w:val="single" w:color="auto" w:sz="6" w:space="0"/>
              <w:right w:val="single" w:color="auto" w:sz="6" w:space="0"/>
            </w:tcBorders>
            <w:vAlign w:val="top"/>
          </w:tcPr>
          <w:p>
            <w:pPr>
              <w:spacing w:line="360" w:lineRule="auto"/>
              <w:jc w:val="center"/>
              <w:rPr>
                <w:rFonts w:ascii="仿宋" w:hAnsi="仿宋" w:eastAsia="仿宋" w:cs="Times New Roman"/>
                <w:position w:val="6"/>
                <w:sz w:val="24"/>
                <w:szCs w:val="24"/>
              </w:rPr>
            </w:pPr>
            <w:r>
              <w:rPr>
                <w:rFonts w:hint="eastAsia" w:ascii="仿宋" w:hAnsi="仿宋" w:eastAsia="仿宋" w:cs="仿宋"/>
                <w:position w:val="6"/>
                <w:sz w:val="24"/>
                <w:szCs w:val="24"/>
              </w:rPr>
              <w:t>分包工程占全部工程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3175" w:type="dxa"/>
            <w:tcBorders>
              <w:top w:val="single" w:color="auto" w:sz="6" w:space="0"/>
              <w:left w:val="single" w:color="auto" w:sz="6" w:space="0"/>
              <w:bottom w:val="single" w:color="auto" w:sz="6" w:space="0"/>
              <w:right w:val="single" w:color="auto" w:sz="6" w:space="0"/>
            </w:tcBorders>
            <w:vAlign w:val="top"/>
          </w:tcPr>
          <w:p>
            <w:pPr>
              <w:spacing w:line="360" w:lineRule="auto"/>
              <w:ind w:firstLine="6087"/>
              <w:rPr>
                <w:rFonts w:ascii="仿宋" w:hAnsi="仿宋" w:eastAsia="仿宋" w:cs="Times New Roman"/>
                <w:sz w:val="24"/>
                <w:szCs w:val="24"/>
              </w:rPr>
            </w:pPr>
          </w:p>
        </w:tc>
        <w:tc>
          <w:tcPr>
            <w:tcW w:w="1532" w:type="dxa"/>
            <w:tcBorders>
              <w:top w:val="single" w:color="auto" w:sz="6" w:space="0"/>
              <w:left w:val="single" w:color="auto" w:sz="6" w:space="0"/>
              <w:bottom w:val="single" w:color="auto" w:sz="6" w:space="0"/>
              <w:right w:val="single" w:color="auto" w:sz="6" w:space="0"/>
            </w:tcBorders>
            <w:vAlign w:val="top"/>
          </w:tcPr>
          <w:p>
            <w:pPr>
              <w:spacing w:line="360" w:lineRule="auto"/>
              <w:ind w:firstLine="6087"/>
              <w:rPr>
                <w:rFonts w:ascii="仿宋" w:hAnsi="仿宋" w:eastAsia="仿宋" w:cs="Times New Roman"/>
                <w:sz w:val="24"/>
                <w:szCs w:val="24"/>
              </w:rPr>
            </w:pPr>
          </w:p>
        </w:tc>
        <w:tc>
          <w:tcPr>
            <w:tcW w:w="2506" w:type="dxa"/>
            <w:tcBorders>
              <w:top w:val="single" w:color="auto" w:sz="6" w:space="0"/>
              <w:left w:val="single" w:color="auto" w:sz="6" w:space="0"/>
              <w:bottom w:val="single" w:color="auto" w:sz="6" w:space="0"/>
              <w:right w:val="single" w:color="auto" w:sz="6" w:space="0"/>
            </w:tcBorders>
            <w:vAlign w:val="top"/>
          </w:tcPr>
          <w:p>
            <w:pPr>
              <w:spacing w:line="360" w:lineRule="auto"/>
              <w:ind w:firstLine="6087"/>
              <w:rPr>
                <w:rFonts w:ascii="仿宋" w:hAnsi="仿宋" w:eastAsia="仿宋" w:cs="Times New Roman"/>
                <w:sz w:val="24"/>
                <w:szCs w:val="24"/>
              </w:rPr>
            </w:pPr>
          </w:p>
        </w:tc>
        <w:tc>
          <w:tcPr>
            <w:tcW w:w="3056" w:type="dxa"/>
            <w:tcBorders>
              <w:top w:val="single" w:color="auto" w:sz="6" w:space="0"/>
              <w:left w:val="single" w:color="auto" w:sz="6" w:space="0"/>
              <w:bottom w:val="single" w:color="auto" w:sz="6" w:space="0"/>
              <w:right w:val="single" w:color="auto" w:sz="6" w:space="0"/>
            </w:tcBorders>
            <w:vAlign w:val="top"/>
          </w:tcPr>
          <w:p>
            <w:pPr>
              <w:spacing w:line="360" w:lineRule="auto"/>
              <w:ind w:firstLine="6087"/>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3175" w:type="dxa"/>
            <w:tcBorders>
              <w:top w:val="single" w:color="auto" w:sz="6" w:space="0"/>
              <w:left w:val="single" w:color="auto" w:sz="6" w:space="0"/>
              <w:bottom w:val="single" w:color="auto" w:sz="6" w:space="0"/>
              <w:right w:val="single" w:color="auto" w:sz="6" w:space="0"/>
            </w:tcBorders>
            <w:vAlign w:val="top"/>
          </w:tcPr>
          <w:p>
            <w:pPr>
              <w:spacing w:line="360" w:lineRule="auto"/>
              <w:ind w:firstLine="6087"/>
              <w:rPr>
                <w:rFonts w:ascii="仿宋" w:hAnsi="仿宋" w:eastAsia="仿宋" w:cs="Times New Roman"/>
                <w:sz w:val="24"/>
                <w:szCs w:val="24"/>
              </w:rPr>
            </w:pPr>
          </w:p>
        </w:tc>
        <w:tc>
          <w:tcPr>
            <w:tcW w:w="1532" w:type="dxa"/>
            <w:tcBorders>
              <w:top w:val="single" w:color="auto" w:sz="6" w:space="0"/>
              <w:left w:val="single" w:color="auto" w:sz="6" w:space="0"/>
              <w:bottom w:val="single" w:color="auto" w:sz="6" w:space="0"/>
              <w:right w:val="single" w:color="auto" w:sz="6" w:space="0"/>
            </w:tcBorders>
            <w:vAlign w:val="top"/>
          </w:tcPr>
          <w:p>
            <w:pPr>
              <w:spacing w:line="360" w:lineRule="auto"/>
              <w:ind w:firstLine="6087"/>
              <w:rPr>
                <w:rFonts w:ascii="仿宋" w:hAnsi="仿宋" w:eastAsia="仿宋" w:cs="Times New Roman"/>
                <w:sz w:val="24"/>
                <w:szCs w:val="24"/>
              </w:rPr>
            </w:pPr>
          </w:p>
        </w:tc>
        <w:tc>
          <w:tcPr>
            <w:tcW w:w="2506" w:type="dxa"/>
            <w:tcBorders>
              <w:top w:val="single" w:color="auto" w:sz="6" w:space="0"/>
              <w:left w:val="single" w:color="auto" w:sz="6" w:space="0"/>
              <w:bottom w:val="single" w:color="auto" w:sz="6" w:space="0"/>
              <w:right w:val="single" w:color="auto" w:sz="6" w:space="0"/>
            </w:tcBorders>
            <w:vAlign w:val="top"/>
          </w:tcPr>
          <w:p>
            <w:pPr>
              <w:spacing w:line="360" w:lineRule="auto"/>
              <w:ind w:firstLine="6087"/>
              <w:rPr>
                <w:rFonts w:ascii="仿宋" w:hAnsi="仿宋" w:eastAsia="仿宋" w:cs="Times New Roman"/>
                <w:sz w:val="24"/>
                <w:szCs w:val="24"/>
              </w:rPr>
            </w:pPr>
          </w:p>
        </w:tc>
        <w:tc>
          <w:tcPr>
            <w:tcW w:w="3056" w:type="dxa"/>
            <w:tcBorders>
              <w:top w:val="single" w:color="auto" w:sz="6" w:space="0"/>
              <w:left w:val="single" w:color="auto" w:sz="6" w:space="0"/>
              <w:bottom w:val="single" w:color="auto" w:sz="6" w:space="0"/>
              <w:right w:val="single" w:color="auto" w:sz="6" w:space="0"/>
            </w:tcBorders>
            <w:vAlign w:val="top"/>
          </w:tcPr>
          <w:p>
            <w:pPr>
              <w:spacing w:line="360" w:lineRule="auto"/>
              <w:ind w:firstLine="6087"/>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3175" w:type="dxa"/>
            <w:tcBorders>
              <w:top w:val="single" w:color="auto" w:sz="6" w:space="0"/>
              <w:left w:val="single" w:color="auto" w:sz="6" w:space="0"/>
              <w:bottom w:val="single" w:color="auto" w:sz="6" w:space="0"/>
              <w:right w:val="single" w:color="auto" w:sz="6" w:space="0"/>
            </w:tcBorders>
            <w:vAlign w:val="top"/>
          </w:tcPr>
          <w:p>
            <w:pPr>
              <w:spacing w:line="360" w:lineRule="auto"/>
              <w:ind w:firstLine="6087"/>
              <w:rPr>
                <w:rFonts w:ascii="仿宋" w:hAnsi="仿宋" w:eastAsia="仿宋" w:cs="Times New Roman"/>
                <w:sz w:val="24"/>
                <w:szCs w:val="24"/>
              </w:rPr>
            </w:pPr>
          </w:p>
        </w:tc>
        <w:tc>
          <w:tcPr>
            <w:tcW w:w="1532" w:type="dxa"/>
            <w:tcBorders>
              <w:top w:val="single" w:color="auto" w:sz="6" w:space="0"/>
              <w:left w:val="single" w:color="auto" w:sz="6" w:space="0"/>
              <w:bottom w:val="single" w:color="auto" w:sz="6" w:space="0"/>
              <w:right w:val="single" w:color="auto" w:sz="6" w:space="0"/>
            </w:tcBorders>
            <w:vAlign w:val="top"/>
          </w:tcPr>
          <w:p>
            <w:pPr>
              <w:spacing w:line="360" w:lineRule="auto"/>
              <w:ind w:firstLine="6087"/>
              <w:rPr>
                <w:rFonts w:ascii="仿宋" w:hAnsi="仿宋" w:eastAsia="仿宋" w:cs="Times New Roman"/>
                <w:sz w:val="24"/>
                <w:szCs w:val="24"/>
              </w:rPr>
            </w:pPr>
          </w:p>
        </w:tc>
        <w:tc>
          <w:tcPr>
            <w:tcW w:w="2506" w:type="dxa"/>
            <w:tcBorders>
              <w:top w:val="single" w:color="auto" w:sz="6" w:space="0"/>
              <w:left w:val="single" w:color="auto" w:sz="6" w:space="0"/>
              <w:bottom w:val="single" w:color="auto" w:sz="6" w:space="0"/>
              <w:right w:val="single" w:color="auto" w:sz="6" w:space="0"/>
            </w:tcBorders>
            <w:vAlign w:val="top"/>
          </w:tcPr>
          <w:p>
            <w:pPr>
              <w:spacing w:line="360" w:lineRule="auto"/>
              <w:ind w:firstLine="6087"/>
              <w:rPr>
                <w:rFonts w:ascii="仿宋" w:hAnsi="仿宋" w:eastAsia="仿宋" w:cs="Times New Roman"/>
                <w:sz w:val="24"/>
                <w:szCs w:val="24"/>
              </w:rPr>
            </w:pPr>
          </w:p>
        </w:tc>
        <w:tc>
          <w:tcPr>
            <w:tcW w:w="3056" w:type="dxa"/>
            <w:tcBorders>
              <w:top w:val="single" w:color="auto" w:sz="6" w:space="0"/>
              <w:left w:val="single" w:color="auto" w:sz="6" w:space="0"/>
              <w:bottom w:val="single" w:color="auto" w:sz="6" w:space="0"/>
              <w:right w:val="single" w:color="auto" w:sz="6" w:space="0"/>
            </w:tcBorders>
            <w:vAlign w:val="top"/>
          </w:tcPr>
          <w:p>
            <w:pPr>
              <w:spacing w:line="360" w:lineRule="auto"/>
              <w:ind w:firstLine="6087"/>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4707" w:type="dxa"/>
            <w:gridSpan w:val="2"/>
            <w:tcBorders>
              <w:top w:val="single" w:color="auto" w:sz="6" w:space="0"/>
              <w:left w:val="single" w:color="auto" w:sz="6" w:space="0"/>
              <w:bottom w:val="single" w:color="auto" w:sz="6" w:space="0"/>
              <w:right w:val="single" w:color="auto" w:sz="6" w:space="0"/>
            </w:tcBorders>
            <w:vAlign w:val="top"/>
          </w:tcPr>
          <w:p>
            <w:pPr>
              <w:spacing w:line="360" w:lineRule="auto"/>
              <w:jc w:val="center"/>
              <w:rPr>
                <w:rFonts w:ascii="仿宋" w:hAnsi="仿宋" w:eastAsia="仿宋" w:cs="Times New Roman"/>
                <w:position w:val="6"/>
                <w:sz w:val="24"/>
                <w:szCs w:val="24"/>
              </w:rPr>
            </w:pPr>
            <w:r>
              <w:rPr>
                <w:rFonts w:hint="eastAsia" w:ascii="仿宋" w:hAnsi="仿宋" w:eastAsia="仿宋" w:cs="仿宋"/>
                <w:position w:val="6"/>
                <w:sz w:val="24"/>
                <w:szCs w:val="24"/>
              </w:rPr>
              <w:t>合</w:t>
            </w:r>
            <w:r>
              <w:rPr>
                <w:rFonts w:ascii="仿宋" w:hAnsi="仿宋" w:eastAsia="仿宋" w:cs="仿宋"/>
                <w:position w:val="6"/>
                <w:sz w:val="24"/>
                <w:szCs w:val="24"/>
              </w:rPr>
              <w:t xml:space="preserve">       </w:t>
            </w:r>
            <w:r>
              <w:rPr>
                <w:rFonts w:hint="eastAsia" w:ascii="仿宋" w:hAnsi="仿宋" w:eastAsia="仿宋" w:cs="仿宋"/>
                <w:position w:val="6"/>
                <w:sz w:val="24"/>
                <w:szCs w:val="24"/>
              </w:rPr>
              <w:t>计</w:t>
            </w:r>
          </w:p>
        </w:tc>
        <w:tc>
          <w:tcPr>
            <w:tcW w:w="2506" w:type="dxa"/>
            <w:tcBorders>
              <w:top w:val="single" w:color="auto" w:sz="6" w:space="0"/>
              <w:left w:val="single" w:color="auto" w:sz="6" w:space="0"/>
              <w:bottom w:val="single" w:color="auto" w:sz="6" w:space="0"/>
              <w:right w:val="single" w:color="auto" w:sz="6" w:space="0"/>
            </w:tcBorders>
            <w:vAlign w:val="top"/>
          </w:tcPr>
          <w:p>
            <w:pPr>
              <w:spacing w:line="360" w:lineRule="auto"/>
              <w:ind w:firstLine="6087"/>
              <w:rPr>
                <w:rFonts w:ascii="仿宋" w:hAnsi="仿宋" w:eastAsia="仿宋" w:cs="Times New Roman"/>
                <w:sz w:val="24"/>
                <w:szCs w:val="24"/>
              </w:rPr>
            </w:pPr>
          </w:p>
        </w:tc>
        <w:tc>
          <w:tcPr>
            <w:tcW w:w="3056" w:type="dxa"/>
            <w:tcBorders>
              <w:top w:val="single" w:color="auto" w:sz="6" w:space="0"/>
              <w:left w:val="single" w:color="auto" w:sz="6" w:space="0"/>
              <w:bottom w:val="single" w:color="auto" w:sz="6" w:space="0"/>
              <w:right w:val="single" w:color="auto" w:sz="6" w:space="0"/>
            </w:tcBorders>
            <w:vAlign w:val="top"/>
          </w:tcPr>
          <w:p>
            <w:pPr>
              <w:spacing w:line="360" w:lineRule="auto"/>
              <w:ind w:firstLine="6087"/>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0269" w:type="dxa"/>
            <w:gridSpan w:val="4"/>
            <w:tcBorders>
              <w:top w:val="single" w:color="auto" w:sz="6" w:space="0"/>
              <w:left w:val="single" w:color="auto" w:sz="6" w:space="0"/>
              <w:bottom w:val="single" w:color="auto" w:sz="6" w:space="0"/>
              <w:right w:val="single" w:color="auto" w:sz="6" w:space="0"/>
            </w:tcBorders>
            <w:vAlign w:val="top"/>
          </w:tcPr>
          <w:p>
            <w:pPr>
              <w:spacing w:line="360" w:lineRule="auto"/>
              <w:rPr>
                <w:rFonts w:ascii="仿宋" w:hAnsi="仿宋" w:eastAsia="仿宋" w:cs="Times New Roman"/>
                <w:sz w:val="24"/>
                <w:szCs w:val="24"/>
              </w:rPr>
            </w:pPr>
            <w:r>
              <w:rPr>
                <w:rFonts w:ascii="仿宋" w:hAnsi="仿宋" w:eastAsia="仿宋" w:cs="仿宋"/>
                <w:sz w:val="24"/>
                <w:szCs w:val="24"/>
              </w:rPr>
              <w:t xml:space="preserve"> </w:t>
            </w:r>
          </w:p>
          <w:p>
            <w:pPr>
              <w:spacing w:line="360" w:lineRule="auto"/>
              <w:rPr>
                <w:rFonts w:ascii="仿宋" w:hAnsi="仿宋" w:eastAsia="仿宋" w:cs="Times New Roman"/>
                <w:sz w:val="24"/>
                <w:szCs w:val="24"/>
                <w:u w:val="single"/>
              </w:rPr>
            </w:pPr>
            <w:r>
              <w:rPr>
                <w:rFonts w:ascii="仿宋" w:hAnsi="仿宋" w:eastAsia="仿宋" w:cs="仿宋"/>
                <w:sz w:val="24"/>
                <w:szCs w:val="24"/>
              </w:rPr>
              <w:t xml:space="preserve">                                                   </w:t>
            </w:r>
            <w:r>
              <w:rPr>
                <w:rFonts w:hint="eastAsia" w:ascii="仿宋" w:hAnsi="仿宋" w:eastAsia="仿宋" w:cs="仿宋"/>
                <w:sz w:val="24"/>
                <w:szCs w:val="24"/>
              </w:rPr>
              <w:t>承包人（章）</w:t>
            </w:r>
            <w:r>
              <w:rPr>
                <w:rFonts w:ascii="仿宋" w:hAnsi="仿宋" w:eastAsia="仿宋" w:cs="仿宋"/>
                <w:sz w:val="24"/>
                <w:szCs w:val="24"/>
              </w:rPr>
              <w:t xml:space="preserve">                 </w:t>
            </w:r>
          </w:p>
          <w:p>
            <w:pPr>
              <w:tabs>
                <w:tab w:val="left" w:pos="8982"/>
                <w:tab w:val="left" w:pos="9147"/>
              </w:tabs>
              <w:spacing w:line="360" w:lineRule="auto"/>
              <w:ind w:firstLine="6120" w:firstLineChars="2550"/>
              <w:rPr>
                <w:rFonts w:ascii="仿宋" w:hAnsi="仿宋" w:eastAsia="仿宋" w:cs="仿宋"/>
                <w:sz w:val="24"/>
                <w:szCs w:val="24"/>
                <w:u w:val="single"/>
              </w:rPr>
            </w:pPr>
            <w:r>
              <w:rPr>
                <w:rFonts w:hint="eastAsia" w:ascii="仿宋" w:hAnsi="仿宋" w:eastAsia="仿宋" w:cs="仿宋"/>
                <w:sz w:val="24"/>
                <w:szCs w:val="24"/>
              </w:rPr>
              <w:t>承包人代表</w:t>
            </w:r>
            <w:r>
              <w:rPr>
                <w:rFonts w:ascii="仿宋" w:hAnsi="仿宋" w:eastAsia="仿宋" w:cs="仿宋"/>
                <w:sz w:val="24"/>
                <w:szCs w:val="24"/>
                <w:u w:val="single"/>
              </w:rPr>
              <w:t xml:space="preserve">               </w:t>
            </w:r>
          </w:p>
          <w:p>
            <w:pPr>
              <w:spacing w:line="360" w:lineRule="auto"/>
              <w:ind w:firstLine="6120" w:firstLineChars="2550"/>
              <w:rPr>
                <w:rFonts w:ascii="仿宋" w:hAnsi="仿宋" w:eastAsia="仿宋" w:cs="Times New Roman"/>
                <w:sz w:val="24"/>
                <w:szCs w:val="24"/>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0269" w:type="dxa"/>
            <w:gridSpan w:val="4"/>
            <w:tcBorders>
              <w:top w:val="single" w:color="auto" w:sz="6" w:space="0"/>
              <w:left w:val="single" w:color="auto" w:sz="6" w:space="0"/>
              <w:right w:val="single" w:color="auto" w:sz="6" w:space="0"/>
            </w:tcBorders>
            <w:vAlign w:val="top"/>
          </w:tcPr>
          <w:p>
            <w:pPr>
              <w:snapToGrid w:val="0"/>
              <w:spacing w:line="360" w:lineRule="auto"/>
              <w:jc w:val="left"/>
              <w:rPr>
                <w:rFonts w:ascii="仿宋" w:hAnsi="仿宋" w:eastAsia="仿宋" w:cs="Times New Roman"/>
                <w:sz w:val="24"/>
                <w:szCs w:val="24"/>
              </w:rPr>
            </w:pPr>
            <w:r>
              <w:rPr>
                <w:rFonts w:hint="eastAsia" w:ascii="仿宋" w:hAnsi="仿宋" w:eastAsia="仿宋" w:cs="仿宋"/>
                <w:sz w:val="24"/>
                <w:szCs w:val="24"/>
              </w:rPr>
              <w:t>审查意见：</w:t>
            </w:r>
          </w:p>
          <w:p>
            <w:pPr>
              <w:tabs>
                <w:tab w:val="left" w:pos="6222"/>
              </w:tabs>
              <w:snapToGrid w:val="0"/>
              <w:spacing w:line="360" w:lineRule="auto"/>
              <w:jc w:val="left"/>
              <w:rPr>
                <w:rFonts w:ascii="仿宋" w:hAnsi="仿宋" w:eastAsia="仿宋" w:cs="仿宋"/>
                <w:sz w:val="24"/>
                <w:szCs w:val="24"/>
              </w:rPr>
            </w:pPr>
            <w:r>
              <w:rPr>
                <w:rFonts w:ascii="仿宋" w:hAnsi="仿宋" w:eastAsia="仿宋" w:cs="仿宋"/>
                <w:sz w:val="24"/>
                <w:szCs w:val="24"/>
              </w:rPr>
              <w:t xml:space="preserve">                                                   </w:t>
            </w:r>
            <w:r>
              <w:rPr>
                <w:rFonts w:hint="eastAsia" w:ascii="仿宋" w:hAnsi="仿宋" w:eastAsia="仿宋" w:cs="仿宋"/>
                <w:sz w:val="24"/>
                <w:szCs w:val="24"/>
              </w:rPr>
              <w:t>监理人（章）</w:t>
            </w:r>
            <w:r>
              <w:rPr>
                <w:rFonts w:ascii="仿宋" w:hAnsi="仿宋" w:eastAsia="仿宋" w:cs="仿宋"/>
                <w:sz w:val="24"/>
                <w:szCs w:val="24"/>
              </w:rPr>
              <w:t xml:space="preserve">            </w:t>
            </w:r>
          </w:p>
          <w:p>
            <w:pPr>
              <w:tabs>
                <w:tab w:val="left" w:pos="6282"/>
              </w:tabs>
              <w:snapToGrid w:val="0"/>
              <w:spacing w:line="360" w:lineRule="auto"/>
              <w:ind w:firstLine="6120" w:firstLineChars="2550"/>
              <w:rPr>
                <w:rFonts w:ascii="仿宋" w:hAnsi="仿宋" w:eastAsia="仿宋" w:cs="仿宋"/>
                <w:sz w:val="24"/>
                <w:szCs w:val="24"/>
                <w:u w:val="single"/>
              </w:rPr>
            </w:pPr>
            <w:r>
              <w:rPr>
                <w:rFonts w:hint="eastAsia" w:ascii="仿宋" w:hAnsi="仿宋" w:eastAsia="仿宋" w:cs="仿宋"/>
                <w:sz w:val="24"/>
                <w:szCs w:val="24"/>
              </w:rPr>
              <w:t>监理工程师</w:t>
            </w:r>
            <w:r>
              <w:rPr>
                <w:rFonts w:ascii="仿宋" w:hAnsi="仿宋" w:eastAsia="仿宋" w:cs="仿宋"/>
                <w:sz w:val="24"/>
                <w:szCs w:val="24"/>
                <w:u w:val="single"/>
              </w:rPr>
              <w:t xml:space="preserve">               </w:t>
            </w:r>
          </w:p>
          <w:p>
            <w:pPr>
              <w:tabs>
                <w:tab w:val="left" w:pos="9132"/>
              </w:tabs>
              <w:snapToGrid w:val="0"/>
              <w:spacing w:line="360" w:lineRule="auto"/>
              <w:ind w:firstLine="6120" w:firstLineChars="2550"/>
              <w:rPr>
                <w:rFonts w:ascii="仿宋" w:hAnsi="仿宋" w:eastAsia="仿宋" w:cs="Times New Roman"/>
                <w:sz w:val="24"/>
                <w:szCs w:val="24"/>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0269" w:type="dxa"/>
            <w:gridSpan w:val="4"/>
            <w:tcBorders>
              <w:left w:val="single" w:color="auto" w:sz="6" w:space="0"/>
              <w:bottom w:val="single" w:color="auto" w:sz="6" w:space="0"/>
              <w:right w:val="single" w:color="auto" w:sz="6" w:space="0"/>
            </w:tcBorders>
            <w:vAlign w:val="top"/>
          </w:tcPr>
          <w:p>
            <w:pPr>
              <w:snapToGrid w:val="0"/>
              <w:spacing w:line="360" w:lineRule="auto"/>
              <w:rPr>
                <w:rFonts w:ascii="仿宋" w:hAnsi="仿宋" w:eastAsia="仿宋" w:cs="Times New Roman"/>
                <w:sz w:val="24"/>
                <w:szCs w:val="24"/>
              </w:rPr>
            </w:pPr>
            <w:r>
              <w:rPr>
                <w:rFonts w:hint="eastAsia" w:ascii="仿宋" w:hAnsi="仿宋" w:eastAsia="仿宋" w:cs="仿宋"/>
                <w:sz w:val="24"/>
                <w:szCs w:val="24"/>
              </w:rPr>
              <w:t>审批意见</w:t>
            </w:r>
            <w:r>
              <w:rPr>
                <w:rFonts w:ascii="仿宋" w:hAnsi="仿宋" w:eastAsia="仿宋" w:cs="仿宋"/>
                <w:sz w:val="24"/>
                <w:szCs w:val="24"/>
              </w:rPr>
              <w:t>:</w:t>
            </w:r>
          </w:p>
          <w:p>
            <w:pPr>
              <w:snapToGrid w:val="0"/>
              <w:spacing w:line="360" w:lineRule="auto"/>
              <w:ind w:firstLine="6120" w:firstLineChars="2550"/>
              <w:rPr>
                <w:rFonts w:ascii="仿宋" w:hAnsi="仿宋" w:eastAsia="仿宋" w:cs="仿宋"/>
                <w:sz w:val="24"/>
                <w:szCs w:val="24"/>
              </w:rPr>
            </w:pPr>
            <w:r>
              <w:rPr>
                <w:rFonts w:hint="eastAsia" w:ascii="仿宋" w:hAnsi="仿宋" w:eastAsia="仿宋" w:cs="仿宋"/>
                <w:sz w:val="24"/>
                <w:szCs w:val="24"/>
              </w:rPr>
              <w:t>发包人（章）</w:t>
            </w:r>
            <w:r>
              <w:rPr>
                <w:rFonts w:ascii="仿宋" w:hAnsi="仿宋" w:eastAsia="仿宋" w:cs="仿宋"/>
                <w:sz w:val="24"/>
                <w:szCs w:val="24"/>
              </w:rPr>
              <w:t xml:space="preserve">           </w:t>
            </w:r>
          </w:p>
          <w:p>
            <w:pPr>
              <w:tabs>
                <w:tab w:val="left" w:pos="2135"/>
                <w:tab w:val="left" w:pos="8862"/>
              </w:tabs>
              <w:snapToGrid w:val="0"/>
              <w:spacing w:line="360" w:lineRule="auto"/>
              <w:ind w:firstLine="6120" w:firstLineChars="2550"/>
              <w:rPr>
                <w:rFonts w:ascii="仿宋" w:hAnsi="仿宋" w:eastAsia="仿宋" w:cs="仿宋"/>
                <w:sz w:val="24"/>
                <w:szCs w:val="24"/>
                <w:u w:val="single"/>
              </w:rPr>
            </w:pPr>
            <w:r>
              <w:rPr>
                <w:rFonts w:hint="eastAsia" w:ascii="仿宋" w:hAnsi="仿宋" w:eastAsia="仿宋" w:cs="仿宋"/>
                <w:sz w:val="24"/>
                <w:szCs w:val="24"/>
              </w:rPr>
              <w:t>发包人代表</w:t>
            </w:r>
            <w:r>
              <w:rPr>
                <w:rFonts w:ascii="仿宋" w:hAnsi="仿宋" w:eastAsia="仿宋" w:cs="仿宋"/>
                <w:sz w:val="24"/>
                <w:szCs w:val="24"/>
                <w:u w:val="single"/>
              </w:rPr>
              <w:t xml:space="preserve">               </w:t>
            </w:r>
          </w:p>
          <w:p>
            <w:pPr>
              <w:tabs>
                <w:tab w:val="left" w:pos="2135"/>
              </w:tabs>
              <w:snapToGrid w:val="0"/>
              <w:spacing w:line="360" w:lineRule="auto"/>
              <w:ind w:firstLine="6120" w:firstLineChars="2550"/>
              <w:rPr>
                <w:rFonts w:ascii="仿宋" w:hAnsi="仿宋" w:eastAsia="仿宋" w:cs="Times New Roman"/>
                <w:sz w:val="24"/>
                <w:szCs w:val="24"/>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bl>
    <w:p>
      <w:pPr>
        <w:spacing w:before="120" w:beforeLines="50" w:line="360" w:lineRule="auto"/>
        <w:rPr>
          <w:rFonts w:ascii="仿宋" w:hAnsi="仿宋" w:eastAsia="仿宋" w:cs="Times New Roman"/>
          <w:sz w:val="24"/>
          <w:szCs w:val="24"/>
        </w:rPr>
      </w:pPr>
      <w:r>
        <w:rPr>
          <w:rFonts w:hint="eastAsia" w:ascii="仿宋" w:hAnsi="仿宋" w:eastAsia="仿宋" w:cs="仿宋"/>
          <w:sz w:val="24"/>
          <w:szCs w:val="24"/>
        </w:rPr>
        <w:t>说明：本表一式</w:t>
      </w:r>
      <w:r>
        <w:rPr>
          <w:rFonts w:ascii="仿宋" w:hAnsi="仿宋" w:eastAsia="仿宋" w:cs="仿宋"/>
          <w:sz w:val="24"/>
          <w:szCs w:val="24"/>
          <w:u w:val="single"/>
        </w:rPr>
        <w:t xml:space="preserve">   </w:t>
      </w:r>
      <w:r>
        <w:rPr>
          <w:rFonts w:hint="eastAsia" w:ascii="仿宋" w:hAnsi="仿宋" w:eastAsia="仿宋" w:cs="仿宋"/>
          <w:sz w:val="24"/>
          <w:szCs w:val="24"/>
        </w:rPr>
        <w:t>份，由承包人、监理单位、发包人按合同规定程序填制，并连同分包人各存一份。</w:t>
      </w:r>
    </w:p>
    <w:p>
      <w:pPr>
        <w:spacing w:before="240" w:beforeLines="100" w:after="240" w:afterLines="100" w:line="360" w:lineRule="auto"/>
        <w:outlineLvl w:val="1"/>
        <w:rPr>
          <w:rFonts w:ascii="仿宋" w:hAnsi="仿宋" w:eastAsia="仿宋" w:cs="仿宋"/>
          <w:b/>
          <w:bCs/>
          <w:color w:val="000000"/>
          <w:kern w:val="0"/>
          <w:sz w:val="24"/>
          <w:szCs w:val="24"/>
        </w:rPr>
      </w:pPr>
      <w:r>
        <w:rPr>
          <w:rFonts w:ascii="仿宋" w:hAnsi="仿宋" w:eastAsia="仿宋" w:cs="Times New Roman"/>
          <w:kern w:val="0"/>
          <w:sz w:val="24"/>
          <w:szCs w:val="24"/>
        </w:rPr>
        <w:br w:type="page"/>
      </w:r>
      <w:bookmarkStart w:id="754" w:name="_Toc469384149"/>
      <w:bookmarkStart w:id="755" w:name="_Toc266892933"/>
      <w:bookmarkStart w:id="756" w:name="_Toc10624993"/>
      <w:r>
        <w:rPr>
          <w:rFonts w:hint="eastAsia" w:ascii="仿宋" w:hAnsi="仿宋" w:eastAsia="仿宋" w:cs="仿宋"/>
          <w:b/>
          <w:bCs/>
          <w:color w:val="000000"/>
          <w:kern w:val="0"/>
          <w:sz w:val="24"/>
          <w:szCs w:val="24"/>
        </w:rPr>
        <w:t>格式</w:t>
      </w:r>
      <w:r>
        <w:rPr>
          <w:rFonts w:ascii="仿宋" w:hAnsi="仿宋" w:eastAsia="仿宋" w:cs="仿宋"/>
          <w:b/>
          <w:bCs/>
          <w:color w:val="000000"/>
          <w:kern w:val="0"/>
          <w:sz w:val="24"/>
          <w:szCs w:val="24"/>
        </w:rPr>
        <w:t>7</w:t>
      </w:r>
      <w:bookmarkEnd w:id="754"/>
      <w:bookmarkEnd w:id="755"/>
      <w:bookmarkEnd w:id="756"/>
    </w:p>
    <w:p>
      <w:pPr>
        <w:spacing w:line="360" w:lineRule="auto"/>
        <w:jc w:val="center"/>
        <w:rPr>
          <w:rFonts w:ascii="仿宋" w:hAnsi="仿宋" w:eastAsia="仿宋" w:cs="Times New Roman"/>
          <w:b/>
          <w:bCs/>
          <w:spacing w:val="30"/>
          <w:sz w:val="44"/>
          <w:szCs w:val="44"/>
        </w:rPr>
      </w:pPr>
      <w:r>
        <w:rPr>
          <w:rFonts w:hint="eastAsia" w:ascii="仿宋" w:hAnsi="仿宋" w:eastAsia="仿宋" w:cs="仿宋"/>
          <w:b/>
          <w:bCs/>
          <w:spacing w:val="30"/>
          <w:sz w:val="44"/>
          <w:szCs w:val="44"/>
        </w:rPr>
        <w:t>施工组织设计（方案）报审表</w:t>
      </w:r>
    </w:p>
    <w:p>
      <w:pPr>
        <w:spacing w:line="360" w:lineRule="auto"/>
        <w:ind w:firstLine="120" w:firstLineChars="50"/>
        <w:rPr>
          <w:rFonts w:ascii="仿宋" w:hAnsi="仿宋" w:eastAsia="仿宋" w:cs="Times New Roman"/>
          <w:sz w:val="24"/>
          <w:szCs w:val="24"/>
        </w:rPr>
      </w:pPr>
      <w:r>
        <w:rPr>
          <w:rFonts w:hint="eastAsia" w:ascii="仿宋" w:hAnsi="仿宋" w:eastAsia="仿宋" w:cs="仿宋"/>
          <w:sz w:val="24"/>
          <w:szCs w:val="24"/>
        </w:rPr>
        <w:t>工程名称</w:t>
      </w:r>
      <w:r>
        <w:rPr>
          <w:rFonts w:ascii="仿宋" w:hAnsi="仿宋" w:eastAsia="仿宋" w:cs="仿宋"/>
          <w:sz w:val="24"/>
          <w:szCs w:val="24"/>
        </w:rPr>
        <w:t>:</w:t>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编号</w:t>
      </w:r>
      <w:r>
        <w:rPr>
          <w:rFonts w:ascii="仿宋" w:hAnsi="仿宋" w:eastAsia="仿宋" w:cs="仿宋"/>
          <w:sz w:val="24"/>
          <w:szCs w:val="24"/>
        </w:rPr>
        <w:t>:</w:t>
      </w:r>
    </w:p>
    <w:tbl>
      <w:tblPr>
        <w:tblStyle w:val="40"/>
        <w:tblW w:w="1015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15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02" w:hRule="atLeast"/>
          <w:jc w:val="center"/>
        </w:trPr>
        <w:tc>
          <w:tcPr>
            <w:tcW w:w="10155" w:type="dxa"/>
            <w:tcBorders>
              <w:bottom w:val="single" w:color="auto" w:sz="4" w:space="0"/>
            </w:tcBorders>
            <w:vAlign w:val="top"/>
          </w:tcPr>
          <w:p>
            <w:pPr>
              <w:spacing w:before="120" w:line="360" w:lineRule="auto"/>
              <w:ind w:left="-28" w:firstLine="181"/>
              <w:rPr>
                <w:rFonts w:ascii="仿宋" w:hAnsi="仿宋" w:eastAsia="仿宋" w:cs="Times New Roman"/>
                <w:sz w:val="24"/>
                <w:szCs w:val="24"/>
              </w:rPr>
            </w:pPr>
            <w:r>
              <w:rPr>
                <w:rFonts w:hint="eastAsia" w:ascii="仿宋" w:hAnsi="仿宋" w:eastAsia="仿宋" w:cs="仿宋"/>
                <w:sz w:val="24"/>
                <w:szCs w:val="24"/>
              </w:rPr>
              <w:t>致</w:t>
            </w:r>
            <w:r>
              <w:rPr>
                <w:rFonts w:ascii="仿宋" w:hAnsi="仿宋" w:eastAsia="仿宋" w:cs="仿宋"/>
                <w:sz w:val="24"/>
                <w:szCs w:val="24"/>
              </w:rPr>
              <w:t>:</w:t>
            </w:r>
            <w:r>
              <w:rPr>
                <w:rFonts w:ascii="仿宋" w:hAnsi="仿宋" w:eastAsia="仿宋" w:cs="仿宋"/>
                <w:sz w:val="24"/>
                <w:szCs w:val="24"/>
                <w:u w:val="single"/>
              </w:rPr>
              <w:t xml:space="preserve">                                                </w:t>
            </w:r>
            <w:r>
              <w:rPr>
                <w:rFonts w:hint="eastAsia" w:ascii="仿宋" w:hAnsi="仿宋" w:eastAsia="仿宋" w:cs="仿宋"/>
                <w:sz w:val="24"/>
                <w:szCs w:val="24"/>
              </w:rPr>
              <w:t>（监理单位全称）</w:t>
            </w:r>
          </w:p>
          <w:p>
            <w:pPr>
              <w:spacing w:line="360" w:lineRule="auto"/>
              <w:ind w:left="-28" w:firstLine="540"/>
              <w:rPr>
                <w:rFonts w:ascii="仿宋" w:hAnsi="仿宋" w:eastAsia="仿宋" w:cs="Times New Roman"/>
                <w:sz w:val="24"/>
                <w:szCs w:val="24"/>
              </w:rPr>
            </w:pPr>
            <w:r>
              <w:rPr>
                <w:rFonts w:hint="eastAsia" w:ascii="仿宋" w:hAnsi="仿宋" w:eastAsia="仿宋" w:cs="仿宋"/>
                <w:sz w:val="24"/>
                <w:szCs w:val="24"/>
              </w:rPr>
              <w:t>我方已根据施工合同的有关规定完成了</w:t>
            </w:r>
            <w:r>
              <w:rPr>
                <w:rFonts w:ascii="仿宋" w:hAnsi="仿宋" w:eastAsia="仿宋" w:cs="仿宋"/>
                <w:sz w:val="24"/>
                <w:szCs w:val="24"/>
                <w:u w:val="single"/>
              </w:rPr>
              <w:t xml:space="preserve">                          </w:t>
            </w:r>
            <w:r>
              <w:rPr>
                <w:rFonts w:hint="eastAsia" w:ascii="仿宋" w:hAnsi="仿宋" w:eastAsia="仿宋" w:cs="仿宋"/>
                <w:sz w:val="24"/>
                <w:szCs w:val="24"/>
              </w:rPr>
              <w:t>工程施工组织设计（方案）的编制</w:t>
            </w:r>
            <w:r>
              <w:rPr>
                <w:rFonts w:ascii="仿宋" w:hAnsi="仿宋" w:eastAsia="仿宋" w:cs="仿宋"/>
                <w:sz w:val="24"/>
                <w:szCs w:val="24"/>
              </w:rPr>
              <w:t>,</w:t>
            </w:r>
            <w:r>
              <w:rPr>
                <w:rFonts w:hint="eastAsia" w:ascii="仿宋" w:hAnsi="仿宋" w:eastAsia="仿宋" w:cs="仿宋"/>
                <w:sz w:val="24"/>
                <w:szCs w:val="24"/>
              </w:rPr>
              <w:t>请予以审批。</w:t>
            </w:r>
          </w:p>
          <w:p>
            <w:pPr>
              <w:spacing w:line="360" w:lineRule="auto"/>
              <w:ind w:left="-28" w:firstLine="540"/>
              <w:rPr>
                <w:rFonts w:ascii="仿宋" w:hAnsi="仿宋" w:eastAsia="仿宋" w:cs="Times New Roman"/>
                <w:sz w:val="24"/>
                <w:szCs w:val="24"/>
              </w:rPr>
            </w:pPr>
            <w:r>
              <w:rPr>
                <w:rFonts w:hint="eastAsia" w:ascii="仿宋" w:hAnsi="仿宋" w:eastAsia="仿宋" w:cs="仿宋"/>
                <w:sz w:val="24"/>
                <w:szCs w:val="24"/>
              </w:rPr>
              <w:t>附</w:t>
            </w:r>
            <w:r>
              <w:rPr>
                <w:rFonts w:ascii="仿宋" w:hAnsi="仿宋" w:eastAsia="仿宋" w:cs="仿宋"/>
                <w:sz w:val="24"/>
                <w:szCs w:val="24"/>
              </w:rPr>
              <w:t xml:space="preserve">: </w:t>
            </w:r>
            <w:r>
              <w:rPr>
                <w:rFonts w:hint="eastAsia" w:ascii="仿宋" w:hAnsi="仿宋" w:eastAsia="仿宋" w:cs="仿宋"/>
                <w:sz w:val="24"/>
                <w:szCs w:val="24"/>
              </w:rPr>
              <w:t>施工组织设计（方案）</w:t>
            </w:r>
          </w:p>
          <w:p>
            <w:pPr>
              <w:spacing w:line="360" w:lineRule="auto"/>
              <w:ind w:left="-28" w:firstLine="540"/>
              <w:rPr>
                <w:rFonts w:ascii="仿宋" w:hAnsi="仿宋" w:eastAsia="仿宋" w:cs="Times New Roman"/>
                <w:sz w:val="24"/>
                <w:szCs w:val="24"/>
              </w:rPr>
            </w:pPr>
          </w:p>
          <w:p>
            <w:pPr>
              <w:spacing w:line="360" w:lineRule="auto"/>
              <w:ind w:left="-28" w:firstLine="540"/>
              <w:rPr>
                <w:rFonts w:ascii="仿宋" w:hAnsi="仿宋" w:eastAsia="仿宋" w:cs="Times New Roman"/>
                <w:sz w:val="24"/>
                <w:szCs w:val="24"/>
              </w:rPr>
            </w:pPr>
          </w:p>
          <w:p>
            <w:pPr>
              <w:spacing w:line="360" w:lineRule="auto"/>
              <w:ind w:right="120"/>
              <w:jc w:val="center"/>
              <w:rPr>
                <w:rFonts w:ascii="仿宋" w:hAnsi="仿宋" w:eastAsia="仿宋" w:cs="Times New Roman"/>
                <w:sz w:val="24"/>
                <w:szCs w:val="24"/>
                <w:u w:val="single"/>
              </w:rPr>
            </w:pPr>
            <w:r>
              <w:rPr>
                <w:rFonts w:ascii="仿宋" w:hAnsi="仿宋" w:eastAsia="仿宋" w:cs="仿宋"/>
                <w:sz w:val="24"/>
                <w:szCs w:val="24"/>
              </w:rPr>
              <w:t xml:space="preserve">                                </w:t>
            </w:r>
            <w:r>
              <w:rPr>
                <w:rFonts w:hint="eastAsia" w:ascii="仿宋" w:hAnsi="仿宋" w:eastAsia="仿宋" w:cs="仿宋"/>
                <w:sz w:val="24"/>
                <w:szCs w:val="24"/>
              </w:rPr>
              <w:t>承包人（章）</w:t>
            </w:r>
          </w:p>
          <w:p>
            <w:pPr>
              <w:spacing w:line="360" w:lineRule="auto"/>
              <w:ind w:firstLine="6087"/>
              <w:rPr>
                <w:rFonts w:ascii="仿宋" w:hAnsi="仿宋" w:eastAsia="仿宋" w:cs="仿宋"/>
                <w:sz w:val="24"/>
                <w:szCs w:val="24"/>
                <w:u w:val="single"/>
              </w:rPr>
            </w:pPr>
            <w:r>
              <w:rPr>
                <w:rFonts w:hint="eastAsia" w:ascii="仿宋" w:hAnsi="仿宋" w:eastAsia="仿宋" w:cs="仿宋"/>
                <w:sz w:val="24"/>
                <w:szCs w:val="24"/>
              </w:rPr>
              <w:t>承包人代表</w:t>
            </w:r>
            <w:r>
              <w:rPr>
                <w:rFonts w:ascii="仿宋" w:hAnsi="仿宋" w:eastAsia="仿宋" w:cs="仿宋"/>
                <w:sz w:val="24"/>
                <w:szCs w:val="24"/>
                <w:u w:val="single"/>
              </w:rPr>
              <w:t xml:space="preserve">               </w:t>
            </w:r>
          </w:p>
          <w:p>
            <w:pPr>
              <w:snapToGrid w:val="0"/>
              <w:spacing w:line="360" w:lineRule="auto"/>
              <w:ind w:firstLine="6087"/>
              <w:rPr>
                <w:rFonts w:ascii="仿宋" w:hAnsi="仿宋" w:eastAsia="仿宋" w:cs="Times New Roman"/>
                <w:sz w:val="24"/>
                <w:szCs w:val="24"/>
                <w:u w:val="single"/>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32" w:hRule="atLeast"/>
          <w:jc w:val="center"/>
        </w:trPr>
        <w:tc>
          <w:tcPr>
            <w:tcW w:w="10155" w:type="dxa"/>
            <w:tcBorders>
              <w:top w:val="single" w:color="auto" w:sz="4" w:space="0"/>
            </w:tcBorders>
            <w:vAlign w:val="top"/>
          </w:tcPr>
          <w:p>
            <w:pPr>
              <w:spacing w:line="360" w:lineRule="auto"/>
              <w:ind w:right="71"/>
              <w:rPr>
                <w:rFonts w:ascii="仿宋" w:hAnsi="仿宋" w:eastAsia="仿宋" w:cs="Times New Roman"/>
                <w:sz w:val="32"/>
                <w:szCs w:val="32"/>
              </w:rPr>
            </w:pPr>
            <w:r>
              <w:rPr>
                <w:rFonts w:hint="eastAsia" w:ascii="仿宋" w:hAnsi="仿宋" w:eastAsia="仿宋" w:cs="仿宋"/>
                <w:sz w:val="24"/>
                <w:szCs w:val="24"/>
              </w:rPr>
              <w:t>确认或修改意见：</w:t>
            </w:r>
          </w:p>
          <w:p>
            <w:pPr>
              <w:spacing w:line="360" w:lineRule="auto"/>
              <w:ind w:left="72" w:right="71" w:firstLine="240"/>
              <w:rPr>
                <w:rFonts w:ascii="仿宋" w:hAnsi="仿宋" w:eastAsia="仿宋" w:cs="Times New Roman"/>
                <w:sz w:val="24"/>
                <w:szCs w:val="24"/>
              </w:rPr>
            </w:pPr>
            <w:r>
              <w:rPr>
                <w:rFonts w:hint="eastAsia" w:ascii="仿宋" w:hAnsi="仿宋" w:eastAsia="仿宋" w:cs="仿宋"/>
                <w:sz w:val="32"/>
                <w:szCs w:val="32"/>
              </w:rPr>
              <w:t>□</w:t>
            </w:r>
            <w:r>
              <w:rPr>
                <w:rFonts w:hint="eastAsia" w:ascii="仿宋" w:hAnsi="仿宋" w:eastAsia="仿宋" w:cs="仿宋"/>
                <w:sz w:val="24"/>
                <w:szCs w:val="24"/>
              </w:rPr>
              <w:t>组织机构健全</w:t>
            </w:r>
            <w:r>
              <w:rPr>
                <w:rFonts w:ascii="仿宋" w:hAnsi="仿宋" w:eastAsia="仿宋" w:cs="仿宋"/>
                <w:sz w:val="24"/>
                <w:szCs w:val="24"/>
              </w:rPr>
              <w:t>,</w:t>
            </w:r>
            <w:r>
              <w:rPr>
                <w:rFonts w:hint="eastAsia" w:ascii="仿宋" w:hAnsi="仿宋" w:eastAsia="仿宋" w:cs="仿宋"/>
                <w:sz w:val="24"/>
                <w:szCs w:val="24"/>
              </w:rPr>
              <w:t>人员落实</w:t>
            </w:r>
            <w:r>
              <w:rPr>
                <w:rFonts w:ascii="仿宋" w:hAnsi="仿宋" w:eastAsia="仿宋" w:cs="仿宋"/>
                <w:sz w:val="24"/>
                <w:szCs w:val="24"/>
              </w:rPr>
              <w:t xml:space="preserve">           </w:t>
            </w:r>
            <w:r>
              <w:rPr>
                <w:rFonts w:hint="eastAsia" w:ascii="仿宋" w:hAnsi="仿宋" w:eastAsia="仿宋" w:cs="仿宋"/>
                <w:sz w:val="32"/>
                <w:szCs w:val="32"/>
              </w:rPr>
              <w:t>□</w:t>
            </w:r>
            <w:r>
              <w:rPr>
                <w:rFonts w:hint="eastAsia" w:ascii="仿宋" w:hAnsi="仿宋" w:eastAsia="仿宋" w:cs="仿宋"/>
                <w:sz w:val="24"/>
                <w:szCs w:val="24"/>
              </w:rPr>
              <w:t>施工技术措施可行</w:t>
            </w:r>
          </w:p>
          <w:p>
            <w:pPr>
              <w:spacing w:line="360" w:lineRule="auto"/>
              <w:ind w:left="72" w:right="71" w:firstLine="240"/>
              <w:rPr>
                <w:rFonts w:ascii="仿宋" w:hAnsi="仿宋" w:eastAsia="仿宋" w:cs="Times New Roman"/>
                <w:sz w:val="24"/>
                <w:szCs w:val="24"/>
              </w:rPr>
            </w:pPr>
            <w:r>
              <w:rPr>
                <w:rFonts w:hint="eastAsia" w:ascii="仿宋" w:hAnsi="仿宋" w:eastAsia="仿宋" w:cs="仿宋"/>
                <w:sz w:val="32"/>
                <w:szCs w:val="32"/>
              </w:rPr>
              <w:t>□</w:t>
            </w:r>
            <w:r>
              <w:rPr>
                <w:rFonts w:hint="eastAsia" w:ascii="仿宋" w:hAnsi="仿宋" w:eastAsia="仿宋" w:cs="仿宋"/>
                <w:sz w:val="24"/>
                <w:szCs w:val="24"/>
              </w:rPr>
              <w:t>安全责任落实，安全措施可行</w:t>
            </w:r>
            <w:r>
              <w:rPr>
                <w:rFonts w:ascii="仿宋" w:hAnsi="仿宋" w:eastAsia="仿宋" w:cs="仿宋"/>
                <w:sz w:val="24"/>
                <w:szCs w:val="24"/>
              </w:rPr>
              <w:t xml:space="preserve">      </w:t>
            </w:r>
            <w:r>
              <w:rPr>
                <w:rFonts w:hint="eastAsia" w:ascii="仿宋" w:hAnsi="仿宋" w:eastAsia="仿宋" w:cs="仿宋"/>
                <w:sz w:val="32"/>
                <w:szCs w:val="32"/>
              </w:rPr>
              <w:t>□</w:t>
            </w:r>
            <w:r>
              <w:rPr>
                <w:rFonts w:hint="eastAsia" w:ascii="仿宋" w:hAnsi="仿宋" w:eastAsia="仿宋" w:cs="仿宋"/>
                <w:sz w:val="24"/>
                <w:szCs w:val="24"/>
              </w:rPr>
              <w:t>安全工器具满足施工要求</w:t>
            </w:r>
          </w:p>
          <w:p>
            <w:pPr>
              <w:spacing w:line="360" w:lineRule="auto"/>
              <w:ind w:left="72" w:right="71" w:firstLine="240"/>
              <w:rPr>
                <w:rFonts w:ascii="仿宋" w:hAnsi="仿宋" w:eastAsia="仿宋" w:cs="Times New Roman"/>
                <w:sz w:val="24"/>
                <w:szCs w:val="24"/>
              </w:rPr>
            </w:pPr>
            <w:r>
              <w:rPr>
                <w:rFonts w:hint="eastAsia" w:ascii="仿宋" w:hAnsi="仿宋" w:eastAsia="仿宋" w:cs="仿宋"/>
                <w:sz w:val="32"/>
                <w:szCs w:val="32"/>
              </w:rPr>
              <w:t>□</w:t>
            </w:r>
            <w:r>
              <w:rPr>
                <w:rFonts w:hint="eastAsia" w:ascii="仿宋" w:hAnsi="仿宋" w:eastAsia="仿宋" w:cs="仿宋"/>
                <w:sz w:val="24"/>
                <w:szCs w:val="24"/>
              </w:rPr>
              <w:t>施工进度计划满足工期要求</w:t>
            </w:r>
            <w:r>
              <w:rPr>
                <w:rFonts w:ascii="仿宋" w:hAnsi="仿宋" w:eastAsia="仿宋" w:cs="仿宋"/>
                <w:sz w:val="24"/>
                <w:szCs w:val="24"/>
              </w:rPr>
              <w:t xml:space="preserve">        </w:t>
            </w:r>
            <w:r>
              <w:rPr>
                <w:rFonts w:hint="eastAsia" w:ascii="仿宋" w:hAnsi="仿宋" w:eastAsia="仿宋" w:cs="仿宋"/>
                <w:sz w:val="32"/>
                <w:szCs w:val="32"/>
              </w:rPr>
              <w:t>□</w:t>
            </w:r>
            <w:r>
              <w:rPr>
                <w:rFonts w:hint="eastAsia" w:ascii="仿宋" w:hAnsi="仿宋" w:eastAsia="仿宋" w:cs="仿宋"/>
                <w:sz w:val="24"/>
                <w:szCs w:val="24"/>
              </w:rPr>
              <w:t>特殊工种人员持证上岗</w:t>
            </w:r>
          </w:p>
          <w:p>
            <w:pPr>
              <w:spacing w:line="360" w:lineRule="auto"/>
              <w:ind w:left="72" w:right="71" w:firstLine="240"/>
              <w:rPr>
                <w:rFonts w:ascii="仿宋" w:hAnsi="仿宋" w:eastAsia="仿宋" w:cs="Times New Roman"/>
                <w:sz w:val="24"/>
                <w:szCs w:val="24"/>
              </w:rPr>
            </w:pPr>
            <w:r>
              <w:rPr>
                <w:rFonts w:hint="eastAsia" w:ascii="仿宋" w:hAnsi="仿宋" w:eastAsia="仿宋" w:cs="仿宋"/>
                <w:sz w:val="32"/>
                <w:szCs w:val="32"/>
              </w:rPr>
              <w:t>□</w:t>
            </w:r>
            <w:r>
              <w:rPr>
                <w:rFonts w:hint="eastAsia" w:ascii="仿宋" w:hAnsi="仿宋" w:eastAsia="仿宋" w:cs="仿宋"/>
                <w:sz w:val="24"/>
                <w:szCs w:val="24"/>
              </w:rPr>
              <w:t>施工工器具安全可靠</w:t>
            </w:r>
            <w:r>
              <w:rPr>
                <w:rFonts w:ascii="仿宋" w:hAnsi="仿宋" w:eastAsia="仿宋" w:cs="仿宋"/>
                <w:sz w:val="24"/>
                <w:szCs w:val="24"/>
              </w:rPr>
              <w:t xml:space="preserve">              </w:t>
            </w:r>
            <w:r>
              <w:rPr>
                <w:rFonts w:hint="eastAsia" w:ascii="仿宋" w:hAnsi="仿宋" w:eastAsia="仿宋" w:cs="仿宋"/>
                <w:sz w:val="32"/>
                <w:szCs w:val="32"/>
              </w:rPr>
              <w:t>□</w:t>
            </w:r>
            <w:r>
              <w:rPr>
                <w:rFonts w:hint="eastAsia" w:ascii="仿宋" w:hAnsi="仿宋" w:eastAsia="仿宋" w:cs="仿宋"/>
                <w:sz w:val="24"/>
                <w:szCs w:val="24"/>
              </w:rPr>
              <w:t>施工计量、检测器具有效</w:t>
            </w:r>
          </w:p>
          <w:p>
            <w:pPr>
              <w:spacing w:line="360" w:lineRule="auto"/>
              <w:ind w:left="72" w:right="71" w:firstLine="240"/>
              <w:rPr>
                <w:rFonts w:ascii="仿宋" w:hAnsi="仿宋" w:eastAsia="仿宋" w:cs="Times New Roman"/>
                <w:sz w:val="24"/>
                <w:szCs w:val="24"/>
              </w:rPr>
            </w:pPr>
          </w:p>
          <w:p>
            <w:pPr>
              <w:spacing w:line="360" w:lineRule="auto"/>
              <w:ind w:firstLine="6086" w:firstLineChars="2536"/>
              <w:rPr>
                <w:rFonts w:ascii="仿宋" w:hAnsi="仿宋" w:eastAsia="仿宋" w:cs="仿宋"/>
                <w:sz w:val="24"/>
                <w:szCs w:val="24"/>
              </w:rPr>
            </w:pPr>
            <w:r>
              <w:rPr>
                <w:rFonts w:hint="eastAsia" w:ascii="仿宋" w:hAnsi="仿宋" w:eastAsia="仿宋" w:cs="仿宋"/>
                <w:sz w:val="24"/>
                <w:szCs w:val="24"/>
              </w:rPr>
              <w:t>监理单位</w:t>
            </w:r>
            <w:r>
              <w:rPr>
                <w:rFonts w:ascii="仿宋" w:hAnsi="仿宋" w:eastAsia="仿宋" w:cs="仿宋"/>
                <w:sz w:val="24"/>
                <w:szCs w:val="24"/>
              </w:rPr>
              <w:t>(</w:t>
            </w:r>
            <w:r>
              <w:rPr>
                <w:rFonts w:hint="eastAsia" w:ascii="仿宋" w:hAnsi="仿宋" w:eastAsia="仿宋" w:cs="仿宋"/>
                <w:sz w:val="24"/>
                <w:szCs w:val="24"/>
              </w:rPr>
              <w:t>章</w:t>
            </w:r>
            <w:r>
              <w:rPr>
                <w:rFonts w:ascii="仿宋" w:hAnsi="仿宋" w:eastAsia="仿宋" w:cs="仿宋"/>
                <w:sz w:val="24"/>
                <w:szCs w:val="24"/>
              </w:rPr>
              <w:t>)</w:t>
            </w:r>
          </w:p>
          <w:p>
            <w:pPr>
              <w:snapToGrid w:val="0"/>
              <w:spacing w:line="360" w:lineRule="auto"/>
              <w:ind w:firstLine="6087"/>
              <w:rPr>
                <w:rFonts w:ascii="仿宋" w:hAnsi="仿宋" w:eastAsia="仿宋" w:cs="Times New Roman"/>
                <w:sz w:val="24"/>
                <w:szCs w:val="24"/>
              </w:rPr>
            </w:pPr>
            <w:r>
              <w:rPr>
                <w:rFonts w:hint="eastAsia" w:ascii="仿宋" w:hAnsi="仿宋" w:eastAsia="仿宋" w:cs="仿宋"/>
                <w:sz w:val="24"/>
                <w:szCs w:val="24"/>
              </w:rPr>
              <w:t>监理工程师</w:t>
            </w:r>
            <w:r>
              <w:rPr>
                <w:rFonts w:ascii="仿宋" w:hAnsi="仿宋" w:eastAsia="仿宋" w:cs="仿宋"/>
                <w:sz w:val="24"/>
                <w:szCs w:val="24"/>
                <w:u w:val="single"/>
              </w:rPr>
              <w:t xml:space="preserve">               </w:t>
            </w:r>
          </w:p>
          <w:p>
            <w:pPr>
              <w:snapToGrid w:val="0"/>
              <w:spacing w:line="360" w:lineRule="auto"/>
              <w:ind w:firstLine="6087"/>
              <w:rPr>
                <w:rFonts w:ascii="仿宋" w:hAnsi="仿宋" w:eastAsia="仿宋" w:cs="Times New Roman"/>
                <w:sz w:val="24"/>
                <w:szCs w:val="24"/>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296" w:hRule="atLeast"/>
          <w:jc w:val="center"/>
        </w:trPr>
        <w:tc>
          <w:tcPr>
            <w:tcW w:w="10155" w:type="dxa"/>
            <w:vAlign w:val="top"/>
          </w:tcPr>
          <w:p>
            <w:pPr>
              <w:spacing w:line="360" w:lineRule="auto"/>
              <w:ind w:left="-28"/>
              <w:rPr>
                <w:rFonts w:ascii="仿宋" w:hAnsi="仿宋" w:eastAsia="仿宋" w:cs="Times New Roman"/>
                <w:sz w:val="24"/>
                <w:szCs w:val="24"/>
              </w:rPr>
            </w:pPr>
            <w:r>
              <w:rPr>
                <w:rFonts w:hint="eastAsia" w:ascii="仿宋" w:hAnsi="仿宋" w:eastAsia="仿宋" w:cs="仿宋"/>
                <w:sz w:val="24"/>
                <w:szCs w:val="24"/>
              </w:rPr>
              <w:t>审批意见：</w:t>
            </w:r>
          </w:p>
          <w:p>
            <w:pPr>
              <w:snapToGrid w:val="0"/>
              <w:spacing w:line="360" w:lineRule="auto"/>
              <w:ind w:left="-28"/>
              <w:rPr>
                <w:rFonts w:ascii="仿宋" w:hAnsi="仿宋" w:eastAsia="仿宋" w:cs="仿宋"/>
                <w:sz w:val="24"/>
                <w:szCs w:val="24"/>
              </w:rPr>
            </w:pPr>
            <w:r>
              <w:rPr>
                <w:rFonts w:ascii="仿宋" w:hAnsi="仿宋" w:eastAsia="仿宋" w:cs="仿宋"/>
                <w:sz w:val="24"/>
                <w:szCs w:val="24"/>
              </w:rPr>
              <w:t xml:space="preserve"> </w:t>
            </w:r>
          </w:p>
          <w:p>
            <w:pPr>
              <w:spacing w:line="360" w:lineRule="auto"/>
              <w:ind w:firstLine="6086" w:firstLineChars="2536"/>
              <w:rPr>
                <w:rFonts w:ascii="仿宋" w:hAnsi="仿宋" w:eastAsia="仿宋" w:cs="Times New Roman"/>
                <w:sz w:val="24"/>
                <w:szCs w:val="24"/>
              </w:rPr>
            </w:pPr>
            <w:r>
              <w:rPr>
                <w:rFonts w:hint="eastAsia" w:ascii="仿宋" w:hAnsi="仿宋" w:eastAsia="仿宋" w:cs="仿宋"/>
                <w:sz w:val="24"/>
                <w:szCs w:val="24"/>
              </w:rPr>
              <w:t>发包人（章）</w:t>
            </w:r>
          </w:p>
          <w:p>
            <w:pPr>
              <w:snapToGrid w:val="0"/>
              <w:spacing w:line="360" w:lineRule="auto"/>
              <w:ind w:left="-28" w:firstLine="6112" w:firstLineChars="2547"/>
              <w:rPr>
                <w:rFonts w:ascii="仿宋" w:hAnsi="仿宋" w:eastAsia="仿宋" w:cs="仿宋"/>
                <w:sz w:val="24"/>
                <w:szCs w:val="24"/>
                <w:u w:val="single"/>
              </w:rPr>
            </w:pPr>
            <w:r>
              <w:rPr>
                <w:rFonts w:hint="eastAsia" w:ascii="仿宋" w:hAnsi="仿宋" w:eastAsia="仿宋" w:cs="仿宋"/>
                <w:sz w:val="24"/>
                <w:szCs w:val="24"/>
              </w:rPr>
              <w:t>发包人代表</w:t>
            </w:r>
            <w:r>
              <w:rPr>
                <w:rFonts w:ascii="仿宋" w:hAnsi="仿宋" w:eastAsia="仿宋" w:cs="仿宋"/>
                <w:sz w:val="24"/>
                <w:szCs w:val="24"/>
                <w:u w:val="single"/>
              </w:rPr>
              <w:t xml:space="preserve">               </w:t>
            </w:r>
          </w:p>
          <w:p>
            <w:pPr>
              <w:snapToGrid w:val="0"/>
              <w:spacing w:line="360" w:lineRule="auto"/>
              <w:ind w:left="-28" w:firstLine="6112" w:firstLineChars="2547"/>
              <w:rPr>
                <w:rFonts w:ascii="仿宋" w:hAnsi="仿宋" w:eastAsia="仿宋" w:cs="Times New Roman"/>
                <w:sz w:val="24"/>
                <w:szCs w:val="24"/>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bl>
    <w:p>
      <w:pPr>
        <w:ind w:firstLine="240" w:firstLineChars="100"/>
        <w:jc w:val="left"/>
        <w:rPr>
          <w:rFonts w:ascii="仿宋" w:hAnsi="仿宋" w:eastAsia="仿宋" w:cs="Times New Roman"/>
          <w:sz w:val="24"/>
          <w:szCs w:val="24"/>
        </w:rPr>
      </w:pPr>
      <w:r>
        <w:rPr>
          <w:rFonts w:hint="eastAsia" w:ascii="仿宋" w:hAnsi="仿宋" w:eastAsia="仿宋" w:cs="仿宋"/>
          <w:sz w:val="24"/>
          <w:szCs w:val="24"/>
        </w:rPr>
        <w:t>说明：</w:t>
      </w:r>
      <w:r>
        <w:rPr>
          <w:rFonts w:ascii="仿宋" w:hAnsi="仿宋" w:eastAsia="仿宋" w:cs="仿宋"/>
          <w:sz w:val="24"/>
          <w:szCs w:val="24"/>
        </w:rPr>
        <w:t>1</w:t>
      </w:r>
      <w:r>
        <w:rPr>
          <w:rFonts w:hint="eastAsia" w:ascii="仿宋" w:hAnsi="仿宋" w:eastAsia="仿宋" w:cs="仿宋"/>
          <w:sz w:val="24"/>
          <w:szCs w:val="24"/>
        </w:rPr>
        <w:t>．在需要选择的栏中的“</w:t>
      </w:r>
      <w:r>
        <w:rPr>
          <w:rFonts w:hint="eastAsia" w:ascii="仿宋" w:hAnsi="仿宋" w:eastAsia="仿宋" w:cs="仿宋"/>
          <w:sz w:val="32"/>
          <w:szCs w:val="32"/>
        </w:rPr>
        <w:t>□</w:t>
      </w:r>
      <w:r>
        <w:rPr>
          <w:rFonts w:hint="eastAsia" w:ascii="仿宋" w:hAnsi="仿宋" w:eastAsia="仿宋" w:cs="仿宋"/>
          <w:sz w:val="24"/>
          <w:szCs w:val="24"/>
        </w:rPr>
        <w:t>”内作标识“√”。</w:t>
      </w:r>
    </w:p>
    <w:p>
      <w:pPr>
        <w:ind w:firstLine="960" w:firstLineChars="400"/>
        <w:rPr>
          <w:rFonts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．本表一式三份，由承包人、监理单位、发包人按合同规定程序填制，并各存一份。</w:t>
      </w:r>
    </w:p>
    <w:p>
      <w:pPr>
        <w:spacing w:before="240" w:beforeLines="100" w:after="240" w:afterLines="100" w:line="360" w:lineRule="auto"/>
        <w:outlineLvl w:val="1"/>
        <w:rPr>
          <w:rFonts w:ascii="仿宋" w:hAnsi="仿宋" w:eastAsia="仿宋" w:cs="仿宋"/>
          <w:b/>
          <w:bCs/>
          <w:color w:val="000000"/>
          <w:kern w:val="0"/>
          <w:sz w:val="24"/>
          <w:szCs w:val="24"/>
        </w:rPr>
      </w:pPr>
      <w:r>
        <w:rPr>
          <w:rFonts w:ascii="仿宋" w:hAnsi="仿宋" w:eastAsia="仿宋" w:cs="Times New Roman"/>
          <w:kern w:val="0"/>
          <w:sz w:val="24"/>
          <w:szCs w:val="24"/>
        </w:rPr>
        <w:br w:type="page"/>
      </w:r>
      <w:bookmarkStart w:id="757" w:name="_Toc469384150"/>
      <w:bookmarkStart w:id="758" w:name="_Toc266892934"/>
      <w:bookmarkStart w:id="759" w:name="_Toc10624994"/>
      <w:r>
        <w:rPr>
          <w:rFonts w:hint="eastAsia" w:ascii="仿宋" w:hAnsi="仿宋" w:eastAsia="仿宋" w:cs="仿宋"/>
          <w:b/>
          <w:bCs/>
          <w:color w:val="000000"/>
          <w:kern w:val="0"/>
          <w:sz w:val="24"/>
          <w:szCs w:val="24"/>
        </w:rPr>
        <w:t>格式</w:t>
      </w:r>
      <w:r>
        <w:rPr>
          <w:rFonts w:ascii="仿宋" w:hAnsi="仿宋" w:eastAsia="仿宋" w:cs="仿宋"/>
          <w:b/>
          <w:bCs/>
          <w:color w:val="000000"/>
          <w:kern w:val="0"/>
          <w:sz w:val="24"/>
          <w:szCs w:val="24"/>
        </w:rPr>
        <w:t>8</w:t>
      </w:r>
      <w:bookmarkEnd w:id="757"/>
      <w:bookmarkEnd w:id="758"/>
      <w:bookmarkEnd w:id="759"/>
    </w:p>
    <w:p>
      <w:pPr>
        <w:spacing w:line="360" w:lineRule="auto"/>
        <w:jc w:val="center"/>
        <w:rPr>
          <w:rFonts w:ascii="仿宋" w:hAnsi="仿宋" w:eastAsia="仿宋" w:cs="Times New Roman"/>
          <w:b/>
          <w:bCs/>
          <w:spacing w:val="30"/>
          <w:sz w:val="44"/>
          <w:szCs w:val="44"/>
        </w:rPr>
      </w:pPr>
      <w:r>
        <w:rPr>
          <w:rFonts w:hint="eastAsia" w:ascii="仿宋" w:hAnsi="仿宋" w:eastAsia="仿宋" w:cs="仿宋"/>
          <w:b/>
          <w:bCs/>
          <w:spacing w:val="30"/>
          <w:sz w:val="44"/>
          <w:szCs w:val="44"/>
        </w:rPr>
        <w:t>工程开工</w:t>
      </w:r>
      <w:r>
        <w:rPr>
          <w:rFonts w:ascii="仿宋" w:hAnsi="仿宋" w:eastAsia="仿宋" w:cs="仿宋"/>
          <w:b/>
          <w:bCs/>
          <w:spacing w:val="30"/>
          <w:sz w:val="44"/>
          <w:szCs w:val="44"/>
        </w:rPr>
        <w:t>/</w:t>
      </w:r>
      <w:r>
        <w:rPr>
          <w:rFonts w:hint="eastAsia" w:ascii="仿宋" w:hAnsi="仿宋" w:eastAsia="仿宋" w:cs="仿宋"/>
          <w:b/>
          <w:bCs/>
          <w:spacing w:val="30"/>
          <w:sz w:val="44"/>
          <w:szCs w:val="44"/>
        </w:rPr>
        <w:t>复工报审表</w:t>
      </w:r>
    </w:p>
    <w:p>
      <w:pPr>
        <w:spacing w:line="360" w:lineRule="auto"/>
        <w:rPr>
          <w:rFonts w:ascii="仿宋" w:hAnsi="仿宋" w:eastAsia="仿宋" w:cs="Times New Roman"/>
          <w:sz w:val="24"/>
          <w:szCs w:val="24"/>
        </w:rPr>
      </w:pPr>
      <w:r>
        <w:rPr>
          <w:rFonts w:hint="eastAsia" w:ascii="仿宋" w:hAnsi="仿宋" w:eastAsia="仿宋" w:cs="仿宋"/>
          <w:sz w:val="24"/>
          <w:szCs w:val="24"/>
        </w:rPr>
        <w:t>工程名称</w:t>
      </w:r>
      <w:r>
        <w:rPr>
          <w:rFonts w:ascii="仿宋" w:hAnsi="仿宋" w:eastAsia="仿宋" w:cs="仿宋"/>
          <w:sz w:val="24"/>
          <w:szCs w:val="24"/>
        </w:rPr>
        <w:t>:</w:t>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编号</w:t>
      </w:r>
      <w:r>
        <w:rPr>
          <w:rFonts w:ascii="仿宋" w:hAnsi="仿宋" w:eastAsia="仿宋" w:cs="仿宋"/>
          <w:sz w:val="24"/>
          <w:szCs w:val="24"/>
        </w:rPr>
        <w:t>:</w:t>
      </w:r>
    </w:p>
    <w:tbl>
      <w:tblPr>
        <w:tblStyle w:val="40"/>
        <w:tblW w:w="10373"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777"/>
        <w:gridCol w:w="559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26" w:hRule="atLeast"/>
        </w:trPr>
        <w:tc>
          <w:tcPr>
            <w:tcW w:w="10373" w:type="dxa"/>
            <w:gridSpan w:val="2"/>
            <w:vAlign w:val="top"/>
          </w:tcPr>
          <w:p>
            <w:pPr>
              <w:spacing w:before="120" w:line="360" w:lineRule="auto"/>
              <w:ind w:left="-28" w:firstLine="181"/>
              <w:rPr>
                <w:rFonts w:ascii="仿宋" w:hAnsi="仿宋" w:eastAsia="仿宋" w:cs="Times New Roman"/>
                <w:sz w:val="24"/>
                <w:szCs w:val="24"/>
              </w:rPr>
            </w:pPr>
            <w:r>
              <w:rPr>
                <w:rFonts w:hint="eastAsia" w:ascii="仿宋" w:hAnsi="仿宋" w:eastAsia="仿宋" w:cs="仿宋"/>
                <w:sz w:val="24"/>
                <w:szCs w:val="24"/>
              </w:rPr>
              <w:t>致</w:t>
            </w:r>
            <w:r>
              <w:rPr>
                <w:rFonts w:ascii="仿宋" w:hAnsi="仿宋" w:eastAsia="仿宋" w:cs="仿宋"/>
                <w:sz w:val="24"/>
                <w:szCs w:val="24"/>
              </w:rPr>
              <w:t>:</w:t>
            </w:r>
            <w:r>
              <w:rPr>
                <w:rFonts w:ascii="仿宋" w:hAnsi="仿宋" w:eastAsia="仿宋" w:cs="仿宋"/>
                <w:sz w:val="24"/>
                <w:szCs w:val="24"/>
                <w:u w:val="single"/>
              </w:rPr>
              <w:t xml:space="preserve">                                                     </w:t>
            </w:r>
            <w:r>
              <w:rPr>
                <w:rFonts w:hint="eastAsia" w:ascii="仿宋" w:hAnsi="仿宋" w:eastAsia="仿宋" w:cs="仿宋"/>
                <w:sz w:val="24"/>
                <w:szCs w:val="24"/>
              </w:rPr>
              <w:t>（监理单位全称）</w:t>
            </w:r>
          </w:p>
          <w:p>
            <w:pPr>
              <w:spacing w:line="360" w:lineRule="auto"/>
              <w:ind w:left="-28" w:firstLine="540"/>
              <w:rPr>
                <w:rFonts w:ascii="仿宋" w:hAnsi="仿宋" w:eastAsia="仿宋" w:cs="Times New Roman"/>
                <w:sz w:val="24"/>
                <w:szCs w:val="24"/>
              </w:rPr>
            </w:pPr>
            <w:r>
              <w:rPr>
                <w:rFonts w:hint="eastAsia" w:ascii="仿宋" w:hAnsi="仿宋" w:eastAsia="仿宋" w:cs="仿宋"/>
                <w:sz w:val="24"/>
                <w:szCs w:val="24"/>
              </w:rPr>
              <w:t>我方承担的</w:t>
            </w:r>
            <w:r>
              <w:rPr>
                <w:rFonts w:ascii="仿宋" w:hAnsi="仿宋" w:eastAsia="仿宋" w:cs="仿宋"/>
                <w:sz w:val="24"/>
                <w:szCs w:val="24"/>
                <w:u w:val="single"/>
              </w:rPr>
              <w:t xml:space="preserve">                             </w:t>
            </w:r>
            <w:r>
              <w:rPr>
                <w:rFonts w:hint="eastAsia" w:ascii="仿宋" w:hAnsi="仿宋" w:eastAsia="仿宋" w:cs="仿宋"/>
                <w:sz w:val="24"/>
                <w:szCs w:val="24"/>
              </w:rPr>
              <w:t>工程</w:t>
            </w:r>
            <w:r>
              <w:rPr>
                <w:rFonts w:ascii="仿宋" w:hAnsi="仿宋" w:eastAsia="仿宋" w:cs="仿宋"/>
                <w:sz w:val="24"/>
                <w:szCs w:val="24"/>
              </w:rPr>
              <w:t>,</w:t>
            </w:r>
            <w:r>
              <w:rPr>
                <w:rFonts w:hint="eastAsia" w:ascii="仿宋" w:hAnsi="仿宋" w:eastAsia="仿宋" w:cs="仿宋"/>
                <w:sz w:val="24"/>
                <w:szCs w:val="24"/>
              </w:rPr>
              <w:t>已完成了以下各项工作</w:t>
            </w:r>
            <w:r>
              <w:rPr>
                <w:rFonts w:ascii="仿宋" w:hAnsi="仿宋" w:eastAsia="仿宋" w:cs="仿宋"/>
                <w:sz w:val="24"/>
                <w:szCs w:val="24"/>
              </w:rPr>
              <w:t>,</w:t>
            </w:r>
            <w:r>
              <w:rPr>
                <w:rFonts w:hint="eastAsia" w:ascii="仿宋" w:hAnsi="仿宋" w:eastAsia="仿宋" w:cs="仿宋"/>
                <w:sz w:val="24"/>
                <w:szCs w:val="24"/>
              </w:rPr>
              <w:t>具备了（</w:t>
            </w:r>
            <w:r>
              <w:rPr>
                <w:rFonts w:hint="eastAsia" w:ascii="仿宋" w:hAnsi="仿宋" w:eastAsia="仿宋" w:cs="仿宋"/>
                <w:sz w:val="32"/>
                <w:szCs w:val="32"/>
              </w:rPr>
              <w:t>□</w:t>
            </w:r>
            <w:r>
              <w:rPr>
                <w:rFonts w:hint="eastAsia" w:ascii="仿宋" w:hAnsi="仿宋" w:eastAsia="仿宋" w:cs="仿宋"/>
                <w:sz w:val="24"/>
                <w:szCs w:val="24"/>
              </w:rPr>
              <w:t>开工</w:t>
            </w:r>
            <w:r>
              <w:rPr>
                <w:rFonts w:ascii="仿宋" w:hAnsi="仿宋" w:eastAsia="仿宋" w:cs="仿宋"/>
                <w:sz w:val="24"/>
                <w:szCs w:val="24"/>
              </w:rPr>
              <w:t>/</w:t>
            </w:r>
            <w:r>
              <w:rPr>
                <w:rFonts w:hint="eastAsia" w:ascii="仿宋" w:hAnsi="仿宋" w:eastAsia="仿宋" w:cs="仿宋"/>
                <w:sz w:val="32"/>
                <w:szCs w:val="32"/>
              </w:rPr>
              <w:t>□</w:t>
            </w:r>
            <w:r>
              <w:rPr>
                <w:rFonts w:hint="eastAsia" w:ascii="仿宋" w:hAnsi="仿宋" w:eastAsia="仿宋" w:cs="仿宋"/>
                <w:sz w:val="24"/>
                <w:szCs w:val="24"/>
              </w:rPr>
              <w:t>复工）条件</w:t>
            </w:r>
            <w:r>
              <w:rPr>
                <w:rFonts w:ascii="仿宋" w:hAnsi="仿宋" w:eastAsia="仿宋" w:cs="仿宋"/>
                <w:sz w:val="24"/>
                <w:szCs w:val="24"/>
              </w:rPr>
              <w:t>,</w:t>
            </w:r>
            <w:r>
              <w:rPr>
                <w:rFonts w:hint="eastAsia" w:ascii="仿宋" w:hAnsi="仿宋" w:eastAsia="仿宋" w:cs="仿宋"/>
                <w:sz w:val="24"/>
                <w:szCs w:val="24"/>
              </w:rPr>
              <w:t>现申请施工</w:t>
            </w:r>
            <w:r>
              <w:rPr>
                <w:rFonts w:ascii="仿宋" w:hAnsi="仿宋" w:eastAsia="仿宋" w:cs="仿宋"/>
                <w:sz w:val="24"/>
                <w:szCs w:val="24"/>
              </w:rPr>
              <w:t>,</w:t>
            </w:r>
            <w:r>
              <w:rPr>
                <w:rFonts w:hint="eastAsia" w:ascii="仿宋" w:hAnsi="仿宋" w:eastAsia="仿宋" w:cs="仿宋"/>
                <w:sz w:val="24"/>
                <w:szCs w:val="24"/>
              </w:rPr>
              <w:t>请审查并签发（</w:t>
            </w:r>
            <w:r>
              <w:rPr>
                <w:rFonts w:hint="eastAsia" w:ascii="仿宋" w:hAnsi="仿宋" w:eastAsia="仿宋" w:cs="仿宋"/>
                <w:sz w:val="32"/>
                <w:szCs w:val="32"/>
              </w:rPr>
              <w:t>□</w:t>
            </w:r>
            <w:r>
              <w:rPr>
                <w:rFonts w:hint="eastAsia" w:ascii="仿宋" w:hAnsi="仿宋" w:eastAsia="仿宋" w:cs="仿宋"/>
                <w:sz w:val="24"/>
                <w:szCs w:val="24"/>
              </w:rPr>
              <w:t>开工</w:t>
            </w:r>
            <w:r>
              <w:rPr>
                <w:rFonts w:ascii="仿宋" w:hAnsi="仿宋" w:eastAsia="仿宋" w:cs="仿宋"/>
                <w:sz w:val="24"/>
                <w:szCs w:val="24"/>
              </w:rPr>
              <w:t>/</w:t>
            </w:r>
            <w:r>
              <w:rPr>
                <w:rFonts w:hint="eastAsia" w:ascii="仿宋" w:hAnsi="仿宋" w:eastAsia="仿宋" w:cs="仿宋"/>
                <w:sz w:val="32"/>
                <w:szCs w:val="32"/>
              </w:rPr>
              <w:t>□</w:t>
            </w:r>
            <w:r>
              <w:rPr>
                <w:rFonts w:hint="eastAsia" w:ascii="仿宋" w:hAnsi="仿宋" w:eastAsia="仿宋" w:cs="仿宋"/>
                <w:sz w:val="24"/>
                <w:szCs w:val="24"/>
              </w:rPr>
              <w:t>复工）指令。</w:t>
            </w:r>
          </w:p>
          <w:p>
            <w:pPr>
              <w:spacing w:line="360" w:lineRule="auto"/>
              <w:ind w:left="-28" w:firstLine="540"/>
              <w:rPr>
                <w:rFonts w:ascii="仿宋" w:hAnsi="仿宋" w:eastAsia="仿宋" w:cs="Times New Roman"/>
                <w:sz w:val="24"/>
                <w:szCs w:val="24"/>
              </w:rPr>
            </w:pPr>
          </w:p>
          <w:p>
            <w:pPr>
              <w:spacing w:line="360" w:lineRule="auto"/>
              <w:ind w:left="-28"/>
              <w:rPr>
                <w:rFonts w:ascii="仿宋" w:hAnsi="仿宋" w:eastAsia="仿宋" w:cs="Times New Roman"/>
                <w:sz w:val="24"/>
                <w:szCs w:val="24"/>
              </w:rPr>
            </w:pPr>
            <w:r>
              <w:rPr>
                <w:rFonts w:hint="eastAsia" w:ascii="仿宋" w:hAnsi="仿宋" w:eastAsia="仿宋" w:cs="仿宋"/>
                <w:sz w:val="24"/>
                <w:szCs w:val="24"/>
              </w:rPr>
              <w:t>附：开工报告</w:t>
            </w:r>
          </w:p>
          <w:p>
            <w:pPr>
              <w:spacing w:line="360" w:lineRule="auto"/>
              <w:ind w:left="-28"/>
              <w:rPr>
                <w:rFonts w:ascii="仿宋" w:hAnsi="仿宋" w:eastAsia="仿宋" w:cs="Times New Roman"/>
                <w:sz w:val="24"/>
                <w:szCs w:val="24"/>
              </w:rPr>
            </w:pPr>
          </w:p>
          <w:p>
            <w:pPr>
              <w:spacing w:line="360" w:lineRule="auto"/>
              <w:ind w:left="-28"/>
              <w:rPr>
                <w:rFonts w:ascii="仿宋" w:hAnsi="仿宋" w:eastAsia="仿宋" w:cs="仿宋"/>
                <w:sz w:val="24"/>
                <w:szCs w:val="24"/>
              </w:rPr>
            </w:pPr>
            <w:r>
              <w:rPr>
                <w:rFonts w:hint="eastAsia" w:ascii="仿宋" w:hAnsi="仿宋" w:eastAsia="仿宋" w:cs="仿宋"/>
                <w:sz w:val="24"/>
                <w:szCs w:val="24"/>
              </w:rPr>
              <w:t>承包方式：</w:t>
            </w:r>
            <w:r>
              <w:rPr>
                <w:rFonts w:ascii="仿宋" w:hAnsi="仿宋" w:eastAsia="仿宋" w:cs="仿宋"/>
                <w:sz w:val="24"/>
                <w:szCs w:val="24"/>
              </w:rPr>
              <w:t xml:space="preserve"> </w:t>
            </w:r>
          </w:p>
          <w:p>
            <w:pPr>
              <w:spacing w:line="360" w:lineRule="auto"/>
              <w:ind w:left="-27" w:firstLine="320"/>
              <w:rPr>
                <w:rFonts w:ascii="仿宋" w:hAnsi="仿宋" w:eastAsia="仿宋" w:cs="Times New Roman"/>
                <w:sz w:val="24"/>
                <w:szCs w:val="24"/>
              </w:rPr>
            </w:pPr>
            <w:r>
              <w:rPr>
                <w:rFonts w:hint="eastAsia" w:ascii="仿宋" w:hAnsi="仿宋" w:eastAsia="仿宋" w:cs="仿宋"/>
                <w:sz w:val="32"/>
                <w:szCs w:val="32"/>
              </w:rPr>
              <w:t>□</w:t>
            </w:r>
            <w:r>
              <w:rPr>
                <w:rFonts w:hint="eastAsia" w:ascii="仿宋" w:hAnsi="仿宋" w:eastAsia="仿宋" w:cs="仿宋"/>
                <w:sz w:val="24"/>
                <w:szCs w:val="24"/>
              </w:rPr>
              <w:t>无分包；</w:t>
            </w:r>
            <w:r>
              <w:rPr>
                <w:rFonts w:hint="eastAsia" w:ascii="仿宋" w:hAnsi="仿宋" w:eastAsia="仿宋" w:cs="仿宋"/>
                <w:sz w:val="32"/>
                <w:szCs w:val="32"/>
              </w:rPr>
              <w:t>□</w:t>
            </w:r>
            <w:r>
              <w:rPr>
                <w:rFonts w:hint="eastAsia" w:ascii="仿宋" w:hAnsi="仿宋" w:eastAsia="仿宋" w:cs="仿宋"/>
                <w:sz w:val="24"/>
                <w:szCs w:val="24"/>
              </w:rPr>
              <w:t>有分包，并已审核。</w:t>
            </w:r>
          </w:p>
          <w:p>
            <w:pPr>
              <w:spacing w:line="360" w:lineRule="auto"/>
              <w:rPr>
                <w:rFonts w:ascii="仿宋" w:hAnsi="仿宋" w:eastAsia="仿宋" w:cs="Times New Roman"/>
                <w:sz w:val="24"/>
                <w:szCs w:val="24"/>
              </w:rPr>
            </w:pPr>
            <w:r>
              <w:rPr>
                <w:rFonts w:hint="eastAsia" w:ascii="仿宋" w:hAnsi="仿宋" w:eastAsia="仿宋" w:cs="仿宋"/>
                <w:sz w:val="24"/>
                <w:szCs w:val="24"/>
              </w:rPr>
              <w:t>开工准备情况：</w:t>
            </w:r>
          </w:p>
          <w:p>
            <w:pPr>
              <w:spacing w:line="360" w:lineRule="auto"/>
              <w:ind w:firstLine="320"/>
              <w:rPr>
                <w:rFonts w:ascii="仿宋" w:hAnsi="仿宋" w:eastAsia="仿宋" w:cs="Times New Roman"/>
                <w:sz w:val="24"/>
                <w:szCs w:val="24"/>
              </w:rPr>
            </w:pPr>
            <w:r>
              <w:rPr>
                <w:rFonts w:hint="eastAsia" w:ascii="仿宋" w:hAnsi="仿宋" w:eastAsia="仿宋" w:cs="仿宋"/>
                <w:sz w:val="32"/>
                <w:szCs w:val="32"/>
              </w:rPr>
              <w:t>□</w:t>
            </w:r>
            <w:r>
              <w:rPr>
                <w:rFonts w:hint="eastAsia" w:ascii="仿宋" w:hAnsi="仿宋" w:eastAsia="仿宋" w:cs="仿宋"/>
                <w:sz w:val="24"/>
                <w:szCs w:val="24"/>
              </w:rPr>
              <w:t>施工组织设计（方案）已审批</w:t>
            </w:r>
            <w:r>
              <w:rPr>
                <w:rFonts w:ascii="仿宋" w:hAnsi="仿宋" w:eastAsia="仿宋" w:cs="仿宋"/>
                <w:sz w:val="24"/>
                <w:szCs w:val="24"/>
              </w:rPr>
              <w:t xml:space="preserve">          </w:t>
            </w:r>
            <w:r>
              <w:rPr>
                <w:rFonts w:hint="eastAsia" w:ascii="仿宋" w:hAnsi="仿宋" w:eastAsia="仿宋" w:cs="仿宋"/>
                <w:sz w:val="32"/>
                <w:szCs w:val="32"/>
              </w:rPr>
              <w:t>□</w:t>
            </w:r>
            <w:r>
              <w:rPr>
                <w:rFonts w:hint="eastAsia" w:ascii="仿宋" w:hAnsi="仿宋" w:eastAsia="仿宋" w:cs="仿宋"/>
                <w:sz w:val="24"/>
                <w:szCs w:val="24"/>
              </w:rPr>
              <w:t>资金已落实</w:t>
            </w:r>
          </w:p>
          <w:p>
            <w:pPr>
              <w:tabs>
                <w:tab w:val="left" w:pos="4212"/>
              </w:tabs>
              <w:spacing w:line="360" w:lineRule="auto"/>
              <w:ind w:firstLine="320"/>
              <w:rPr>
                <w:rFonts w:ascii="仿宋" w:hAnsi="仿宋" w:eastAsia="仿宋" w:cs="Times New Roman"/>
                <w:sz w:val="24"/>
                <w:szCs w:val="24"/>
              </w:rPr>
            </w:pPr>
            <w:r>
              <w:rPr>
                <w:rFonts w:hint="eastAsia" w:ascii="仿宋" w:hAnsi="仿宋" w:eastAsia="仿宋" w:cs="仿宋"/>
                <w:sz w:val="32"/>
                <w:szCs w:val="32"/>
              </w:rPr>
              <w:t>□</w:t>
            </w:r>
            <w:r>
              <w:rPr>
                <w:rFonts w:hint="eastAsia" w:ascii="仿宋" w:hAnsi="仿宋" w:eastAsia="仿宋" w:cs="仿宋"/>
                <w:sz w:val="24"/>
                <w:szCs w:val="24"/>
              </w:rPr>
              <w:t>施工图纸已会审并交底</w:t>
            </w:r>
            <w:r>
              <w:rPr>
                <w:rFonts w:ascii="仿宋" w:hAnsi="仿宋" w:eastAsia="仿宋" w:cs="仿宋"/>
                <w:sz w:val="24"/>
                <w:szCs w:val="24"/>
              </w:rPr>
              <w:t xml:space="preserve">                </w:t>
            </w:r>
            <w:r>
              <w:rPr>
                <w:rFonts w:hint="eastAsia" w:ascii="仿宋" w:hAnsi="仿宋" w:eastAsia="仿宋" w:cs="仿宋"/>
                <w:sz w:val="32"/>
                <w:szCs w:val="32"/>
              </w:rPr>
              <w:t>□</w:t>
            </w:r>
            <w:r>
              <w:rPr>
                <w:rFonts w:hint="eastAsia" w:ascii="仿宋" w:hAnsi="仿宋" w:eastAsia="仿宋" w:cs="仿宋"/>
                <w:sz w:val="24"/>
                <w:szCs w:val="24"/>
              </w:rPr>
              <w:t>劳动力安排就绪并已进场</w:t>
            </w:r>
          </w:p>
          <w:p>
            <w:pPr>
              <w:spacing w:line="360" w:lineRule="auto"/>
              <w:ind w:firstLine="320"/>
              <w:rPr>
                <w:rFonts w:ascii="仿宋" w:hAnsi="仿宋" w:eastAsia="仿宋" w:cs="Times New Roman"/>
                <w:sz w:val="24"/>
                <w:szCs w:val="24"/>
              </w:rPr>
            </w:pPr>
            <w:r>
              <w:rPr>
                <w:rFonts w:hint="eastAsia" w:ascii="仿宋" w:hAnsi="仿宋" w:eastAsia="仿宋" w:cs="仿宋"/>
                <w:sz w:val="32"/>
                <w:szCs w:val="32"/>
              </w:rPr>
              <w:t>□</w:t>
            </w:r>
            <w:r>
              <w:rPr>
                <w:rFonts w:hint="eastAsia" w:ascii="仿宋" w:hAnsi="仿宋" w:eastAsia="仿宋" w:cs="仿宋"/>
                <w:sz w:val="24"/>
                <w:szCs w:val="24"/>
              </w:rPr>
              <w:t>开工所需的材料、机具已进场</w:t>
            </w:r>
            <w:r>
              <w:rPr>
                <w:rFonts w:ascii="仿宋" w:hAnsi="仿宋" w:eastAsia="仿宋" w:cs="仿宋"/>
                <w:sz w:val="24"/>
                <w:szCs w:val="24"/>
              </w:rPr>
              <w:t xml:space="preserve">          </w:t>
            </w:r>
            <w:r>
              <w:rPr>
                <w:rFonts w:hint="eastAsia" w:ascii="仿宋" w:hAnsi="仿宋" w:eastAsia="仿宋" w:cs="仿宋"/>
                <w:sz w:val="32"/>
                <w:szCs w:val="32"/>
              </w:rPr>
              <w:t>□</w:t>
            </w:r>
            <w:r>
              <w:rPr>
                <w:rFonts w:hint="eastAsia" w:ascii="仿宋" w:hAnsi="仿宋" w:eastAsia="仿宋" w:cs="仿宋"/>
                <w:sz w:val="24"/>
                <w:szCs w:val="24"/>
              </w:rPr>
              <w:t>其他开工条件已具备</w:t>
            </w:r>
          </w:p>
          <w:p>
            <w:pPr>
              <w:spacing w:line="360" w:lineRule="auto"/>
              <w:rPr>
                <w:rFonts w:ascii="仿宋" w:hAnsi="仿宋" w:eastAsia="仿宋" w:cs="Times New Roman"/>
                <w:sz w:val="24"/>
                <w:szCs w:val="24"/>
              </w:rPr>
            </w:pPr>
          </w:p>
          <w:p>
            <w:pPr>
              <w:spacing w:line="360" w:lineRule="auto"/>
              <w:rPr>
                <w:rFonts w:ascii="仿宋" w:hAnsi="仿宋" w:eastAsia="仿宋" w:cs="Times New Roman"/>
                <w:sz w:val="24"/>
                <w:szCs w:val="24"/>
                <w:u w:val="single"/>
              </w:rPr>
            </w:pPr>
            <w:r>
              <w:rPr>
                <w:rFonts w:ascii="仿宋" w:hAnsi="仿宋" w:eastAsia="仿宋" w:cs="仿宋"/>
                <w:sz w:val="24"/>
                <w:szCs w:val="24"/>
              </w:rPr>
              <w:t xml:space="preserve">                                                  </w:t>
            </w:r>
            <w:r>
              <w:rPr>
                <w:rFonts w:hint="eastAsia" w:ascii="仿宋" w:hAnsi="仿宋" w:eastAsia="仿宋" w:cs="仿宋"/>
                <w:sz w:val="24"/>
                <w:szCs w:val="24"/>
              </w:rPr>
              <w:t>承包人（章）</w:t>
            </w:r>
            <w:r>
              <w:rPr>
                <w:rFonts w:ascii="仿宋" w:hAnsi="仿宋" w:eastAsia="仿宋" w:cs="仿宋"/>
                <w:sz w:val="24"/>
                <w:szCs w:val="24"/>
              </w:rPr>
              <w:t xml:space="preserve">                 </w:t>
            </w:r>
          </w:p>
          <w:p>
            <w:pPr>
              <w:spacing w:line="360" w:lineRule="auto"/>
              <w:ind w:firstLine="6000" w:firstLineChars="2500"/>
              <w:rPr>
                <w:rFonts w:ascii="仿宋" w:hAnsi="仿宋" w:eastAsia="仿宋" w:cs="仿宋"/>
                <w:sz w:val="24"/>
                <w:szCs w:val="24"/>
                <w:u w:val="single"/>
              </w:rPr>
            </w:pPr>
            <w:r>
              <w:rPr>
                <w:rFonts w:hint="eastAsia" w:ascii="仿宋" w:hAnsi="仿宋" w:eastAsia="仿宋" w:cs="仿宋"/>
                <w:sz w:val="24"/>
                <w:szCs w:val="24"/>
              </w:rPr>
              <w:t>承包人代表</w:t>
            </w:r>
            <w:r>
              <w:rPr>
                <w:rFonts w:ascii="仿宋" w:hAnsi="仿宋" w:eastAsia="仿宋" w:cs="仿宋"/>
                <w:sz w:val="24"/>
                <w:szCs w:val="24"/>
                <w:u w:val="single"/>
              </w:rPr>
              <w:t xml:space="preserve">               </w:t>
            </w:r>
          </w:p>
          <w:p>
            <w:pPr>
              <w:snapToGrid w:val="0"/>
              <w:spacing w:line="360" w:lineRule="auto"/>
              <w:ind w:firstLine="6000" w:firstLineChars="2500"/>
              <w:rPr>
                <w:rFonts w:ascii="仿宋" w:hAnsi="仿宋" w:eastAsia="仿宋" w:cs="Times New Roman"/>
                <w:sz w:val="24"/>
                <w:szCs w:val="24"/>
                <w:u w:val="single"/>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747" w:hRule="atLeast"/>
        </w:trPr>
        <w:tc>
          <w:tcPr>
            <w:tcW w:w="4777" w:type="dxa"/>
            <w:vAlign w:val="top"/>
          </w:tcPr>
          <w:p>
            <w:pPr>
              <w:snapToGrid w:val="0"/>
              <w:spacing w:line="360" w:lineRule="auto"/>
              <w:jc w:val="left"/>
              <w:rPr>
                <w:rFonts w:ascii="仿宋" w:hAnsi="仿宋" w:eastAsia="仿宋" w:cs="Times New Roman"/>
                <w:sz w:val="24"/>
                <w:szCs w:val="24"/>
              </w:rPr>
            </w:pPr>
            <w:r>
              <w:rPr>
                <w:rFonts w:hint="eastAsia" w:ascii="仿宋" w:hAnsi="仿宋" w:eastAsia="仿宋" w:cs="仿宋"/>
                <w:sz w:val="24"/>
                <w:szCs w:val="24"/>
              </w:rPr>
              <w:t>复核意见：</w:t>
            </w:r>
            <w:r>
              <w:rPr>
                <w:rFonts w:ascii="仿宋" w:hAnsi="仿宋" w:eastAsia="仿宋" w:cs="仿宋"/>
                <w:sz w:val="24"/>
                <w:szCs w:val="24"/>
              </w:rPr>
              <w:t xml:space="preserve"> </w:t>
            </w:r>
          </w:p>
          <w:p>
            <w:pPr>
              <w:snapToGrid w:val="0"/>
              <w:spacing w:line="360" w:lineRule="auto"/>
              <w:jc w:val="left"/>
              <w:rPr>
                <w:rFonts w:ascii="仿宋" w:hAnsi="仿宋" w:eastAsia="仿宋" w:cs="Times New Roman"/>
                <w:sz w:val="24"/>
                <w:szCs w:val="24"/>
              </w:rPr>
            </w:pPr>
          </w:p>
          <w:p>
            <w:pPr>
              <w:snapToGrid w:val="0"/>
              <w:spacing w:line="360" w:lineRule="auto"/>
              <w:jc w:val="left"/>
              <w:rPr>
                <w:rFonts w:ascii="仿宋" w:hAnsi="仿宋" w:eastAsia="仿宋" w:cs="Times New Roman"/>
                <w:sz w:val="24"/>
                <w:szCs w:val="24"/>
              </w:rPr>
            </w:pPr>
          </w:p>
          <w:p>
            <w:pPr>
              <w:snapToGrid w:val="0"/>
              <w:spacing w:line="360" w:lineRule="auto"/>
              <w:jc w:val="left"/>
              <w:rPr>
                <w:rFonts w:ascii="仿宋" w:hAnsi="仿宋" w:eastAsia="仿宋" w:cs="Times New Roman"/>
                <w:sz w:val="24"/>
                <w:szCs w:val="24"/>
                <w:u w:val="single"/>
              </w:rPr>
            </w:pPr>
            <w:r>
              <w:rPr>
                <w:rFonts w:ascii="仿宋" w:hAnsi="仿宋" w:eastAsia="仿宋" w:cs="仿宋"/>
                <w:sz w:val="24"/>
                <w:szCs w:val="24"/>
              </w:rPr>
              <w:t xml:space="preserve">               </w:t>
            </w:r>
            <w:r>
              <w:rPr>
                <w:rFonts w:hint="eastAsia" w:ascii="仿宋" w:hAnsi="仿宋" w:eastAsia="仿宋" w:cs="仿宋"/>
                <w:sz w:val="24"/>
                <w:szCs w:val="24"/>
              </w:rPr>
              <w:t>监理单位（章）</w:t>
            </w:r>
            <w:r>
              <w:rPr>
                <w:rFonts w:ascii="仿宋" w:hAnsi="仿宋" w:eastAsia="仿宋" w:cs="仿宋"/>
                <w:sz w:val="24"/>
                <w:szCs w:val="24"/>
              </w:rPr>
              <w:t xml:space="preserve">              </w:t>
            </w:r>
          </w:p>
          <w:p>
            <w:pPr>
              <w:snapToGrid w:val="0"/>
              <w:spacing w:line="360" w:lineRule="auto"/>
              <w:jc w:val="left"/>
              <w:rPr>
                <w:rFonts w:ascii="仿宋" w:hAnsi="仿宋" w:eastAsia="仿宋" w:cs="仿宋"/>
                <w:sz w:val="24"/>
                <w:szCs w:val="24"/>
                <w:u w:val="single"/>
              </w:rPr>
            </w:pPr>
            <w:r>
              <w:rPr>
                <w:rFonts w:ascii="仿宋" w:hAnsi="仿宋" w:eastAsia="仿宋" w:cs="仿宋"/>
                <w:sz w:val="24"/>
                <w:szCs w:val="24"/>
              </w:rPr>
              <w:t xml:space="preserve">               </w:t>
            </w:r>
            <w:r>
              <w:rPr>
                <w:rFonts w:hint="eastAsia" w:ascii="仿宋" w:hAnsi="仿宋" w:eastAsia="仿宋" w:cs="仿宋"/>
                <w:sz w:val="24"/>
                <w:szCs w:val="24"/>
              </w:rPr>
              <w:t>监理工程师</w:t>
            </w:r>
            <w:r>
              <w:rPr>
                <w:rFonts w:ascii="仿宋" w:hAnsi="仿宋" w:eastAsia="仿宋" w:cs="仿宋"/>
                <w:sz w:val="24"/>
                <w:szCs w:val="24"/>
              </w:rPr>
              <w:t xml:space="preserve"> </w:t>
            </w:r>
            <w:r>
              <w:rPr>
                <w:rFonts w:ascii="仿宋" w:hAnsi="仿宋" w:eastAsia="仿宋" w:cs="仿宋"/>
                <w:sz w:val="24"/>
                <w:szCs w:val="24"/>
                <w:u w:val="single"/>
              </w:rPr>
              <w:t xml:space="preserve">           </w:t>
            </w:r>
          </w:p>
          <w:p>
            <w:pPr>
              <w:snapToGrid w:val="0"/>
              <w:spacing w:line="360" w:lineRule="auto"/>
              <w:rPr>
                <w:rFonts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rPr>
              <w:t xml:space="preserve"> </w:t>
            </w:r>
            <w:r>
              <w:rPr>
                <w:rFonts w:ascii="仿宋" w:hAnsi="仿宋" w:eastAsia="仿宋" w:cs="仿宋"/>
                <w:sz w:val="24"/>
                <w:szCs w:val="24"/>
                <w:u w:val="single"/>
              </w:rPr>
              <w:t xml:space="preserve">           </w:t>
            </w:r>
          </w:p>
        </w:tc>
        <w:tc>
          <w:tcPr>
            <w:tcW w:w="5596" w:type="dxa"/>
            <w:vAlign w:val="top"/>
          </w:tcPr>
          <w:p>
            <w:pPr>
              <w:snapToGrid w:val="0"/>
              <w:spacing w:line="360" w:lineRule="auto"/>
              <w:jc w:val="left"/>
              <w:rPr>
                <w:rFonts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审批意见：</w:t>
            </w:r>
            <w:r>
              <w:rPr>
                <w:rFonts w:ascii="仿宋" w:hAnsi="仿宋" w:eastAsia="仿宋" w:cs="仿宋"/>
                <w:sz w:val="24"/>
                <w:szCs w:val="24"/>
              </w:rPr>
              <w:t xml:space="preserve">   </w:t>
            </w:r>
          </w:p>
          <w:p>
            <w:pPr>
              <w:snapToGrid w:val="0"/>
              <w:spacing w:line="360" w:lineRule="auto"/>
              <w:jc w:val="left"/>
              <w:rPr>
                <w:rFonts w:ascii="仿宋" w:hAnsi="仿宋" w:eastAsia="仿宋" w:cs="Times New Roman"/>
                <w:sz w:val="24"/>
                <w:szCs w:val="24"/>
              </w:rPr>
            </w:pPr>
          </w:p>
          <w:p>
            <w:pPr>
              <w:snapToGrid w:val="0"/>
              <w:spacing w:line="360" w:lineRule="auto"/>
              <w:jc w:val="left"/>
              <w:rPr>
                <w:rFonts w:ascii="仿宋" w:hAnsi="仿宋" w:eastAsia="仿宋" w:cs="Times New Roman"/>
                <w:sz w:val="24"/>
                <w:szCs w:val="24"/>
              </w:rPr>
            </w:pPr>
          </w:p>
          <w:p>
            <w:pPr>
              <w:snapToGrid w:val="0"/>
              <w:spacing w:line="360" w:lineRule="auto"/>
              <w:jc w:val="left"/>
              <w:rPr>
                <w:rFonts w:ascii="仿宋" w:hAnsi="仿宋" w:eastAsia="仿宋" w:cs="Times New Roman"/>
                <w:sz w:val="24"/>
                <w:szCs w:val="24"/>
                <w:u w:val="single"/>
              </w:rPr>
            </w:pPr>
            <w:r>
              <w:rPr>
                <w:rFonts w:ascii="仿宋" w:hAnsi="仿宋" w:eastAsia="仿宋" w:cs="仿宋"/>
                <w:sz w:val="24"/>
                <w:szCs w:val="24"/>
              </w:rPr>
              <w:t xml:space="preserve">           </w:t>
            </w:r>
            <w:r>
              <w:rPr>
                <w:rFonts w:ascii="仿宋" w:hAnsi="仿宋" w:eastAsia="仿宋" w:cs="仿宋"/>
                <w:sz w:val="18"/>
                <w:szCs w:val="18"/>
              </w:rPr>
              <w:t xml:space="preserve">  </w:t>
            </w:r>
            <w:r>
              <w:rPr>
                <w:rFonts w:ascii="仿宋" w:hAnsi="仿宋" w:eastAsia="仿宋" w:cs="仿宋"/>
                <w:sz w:val="24"/>
                <w:szCs w:val="24"/>
              </w:rPr>
              <w:t xml:space="preserve">          </w:t>
            </w:r>
            <w:r>
              <w:rPr>
                <w:rFonts w:hint="eastAsia" w:ascii="仿宋" w:hAnsi="仿宋" w:eastAsia="仿宋" w:cs="仿宋"/>
                <w:sz w:val="24"/>
                <w:szCs w:val="24"/>
              </w:rPr>
              <w:t>发包人（章）</w:t>
            </w:r>
            <w:r>
              <w:rPr>
                <w:rFonts w:ascii="仿宋" w:hAnsi="仿宋" w:eastAsia="仿宋" w:cs="仿宋"/>
                <w:sz w:val="24"/>
                <w:szCs w:val="24"/>
              </w:rPr>
              <w:t xml:space="preserve">      </w:t>
            </w:r>
          </w:p>
          <w:p>
            <w:pPr>
              <w:snapToGrid w:val="0"/>
              <w:spacing w:line="360" w:lineRule="auto"/>
              <w:jc w:val="left"/>
              <w:rPr>
                <w:rFonts w:ascii="仿宋" w:hAnsi="仿宋" w:eastAsia="仿宋" w:cs="Times New Roman"/>
                <w:sz w:val="24"/>
                <w:szCs w:val="24"/>
              </w:rPr>
            </w:pPr>
            <w:r>
              <w:rPr>
                <w:rFonts w:ascii="仿宋" w:hAnsi="仿宋" w:eastAsia="仿宋" w:cs="仿宋"/>
                <w:sz w:val="24"/>
                <w:szCs w:val="24"/>
              </w:rPr>
              <w:t xml:space="preserve">           </w:t>
            </w:r>
            <w:r>
              <w:rPr>
                <w:rFonts w:ascii="仿宋" w:hAnsi="仿宋" w:eastAsia="仿宋" w:cs="仿宋"/>
                <w:sz w:val="18"/>
                <w:szCs w:val="18"/>
              </w:rPr>
              <w:t xml:space="preserve">  </w:t>
            </w:r>
            <w:r>
              <w:rPr>
                <w:rFonts w:ascii="仿宋" w:hAnsi="仿宋" w:eastAsia="仿宋" w:cs="仿宋"/>
                <w:sz w:val="24"/>
                <w:szCs w:val="24"/>
              </w:rPr>
              <w:t xml:space="preserve">          </w:t>
            </w:r>
            <w:r>
              <w:rPr>
                <w:rFonts w:hint="eastAsia" w:ascii="仿宋" w:hAnsi="仿宋" w:eastAsia="仿宋" w:cs="仿宋"/>
                <w:sz w:val="24"/>
                <w:szCs w:val="24"/>
              </w:rPr>
              <w:t>发包人代表</w:t>
            </w:r>
            <w:r>
              <w:rPr>
                <w:rFonts w:ascii="仿宋" w:hAnsi="仿宋" w:eastAsia="仿宋" w:cs="仿宋"/>
                <w:sz w:val="24"/>
                <w:szCs w:val="24"/>
              </w:rPr>
              <w:t xml:space="preserve"> </w:t>
            </w:r>
            <w:r>
              <w:rPr>
                <w:rFonts w:ascii="仿宋" w:hAnsi="仿宋" w:eastAsia="仿宋" w:cs="仿宋"/>
                <w:sz w:val="24"/>
                <w:szCs w:val="24"/>
                <w:u w:val="single"/>
              </w:rPr>
              <w:t xml:space="preserve">         </w:t>
            </w:r>
          </w:p>
          <w:p>
            <w:pPr>
              <w:snapToGrid w:val="0"/>
              <w:spacing w:line="360" w:lineRule="auto"/>
              <w:jc w:val="left"/>
              <w:rPr>
                <w:rFonts w:ascii="仿宋" w:hAnsi="仿宋" w:eastAsia="仿宋" w:cs="Times New Roman"/>
                <w:sz w:val="24"/>
                <w:szCs w:val="24"/>
              </w:rPr>
            </w:pPr>
            <w:r>
              <w:rPr>
                <w:rFonts w:ascii="仿宋" w:hAnsi="仿宋" w:eastAsia="仿宋" w:cs="仿宋"/>
                <w:sz w:val="24"/>
                <w:szCs w:val="24"/>
              </w:rPr>
              <w:t xml:space="preserve">               </w:t>
            </w:r>
            <w:r>
              <w:rPr>
                <w:rFonts w:ascii="仿宋" w:hAnsi="仿宋" w:eastAsia="仿宋" w:cs="仿宋"/>
                <w:sz w:val="30"/>
                <w:szCs w:val="30"/>
              </w:rPr>
              <w:t xml:space="preserve">      </w:t>
            </w: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rPr>
              <w:t xml:space="preserve"> </w:t>
            </w:r>
            <w:r>
              <w:rPr>
                <w:rFonts w:ascii="仿宋" w:hAnsi="仿宋" w:eastAsia="仿宋" w:cs="仿宋"/>
                <w:sz w:val="24"/>
                <w:szCs w:val="24"/>
                <w:u w:val="single"/>
              </w:rPr>
              <w:t xml:space="preserve">         </w:t>
            </w:r>
          </w:p>
        </w:tc>
      </w:tr>
    </w:tbl>
    <w:p>
      <w:pPr>
        <w:spacing w:before="120"/>
        <w:rPr>
          <w:rFonts w:ascii="仿宋" w:hAnsi="仿宋" w:eastAsia="仿宋" w:cs="Times New Roman"/>
          <w:sz w:val="24"/>
          <w:szCs w:val="24"/>
        </w:rPr>
      </w:pPr>
      <w:r>
        <w:rPr>
          <w:rFonts w:hint="eastAsia" w:ascii="仿宋" w:hAnsi="仿宋" w:eastAsia="仿宋" w:cs="仿宋"/>
          <w:sz w:val="24"/>
          <w:szCs w:val="24"/>
        </w:rPr>
        <w:t>说明：</w:t>
      </w:r>
      <w:r>
        <w:rPr>
          <w:rFonts w:ascii="仿宋" w:hAnsi="仿宋" w:eastAsia="仿宋" w:cs="仿宋"/>
          <w:sz w:val="24"/>
          <w:szCs w:val="24"/>
        </w:rPr>
        <w:t>1</w:t>
      </w:r>
      <w:r>
        <w:rPr>
          <w:rFonts w:hint="eastAsia" w:ascii="仿宋" w:hAnsi="仿宋" w:eastAsia="仿宋" w:cs="仿宋"/>
          <w:sz w:val="24"/>
          <w:szCs w:val="24"/>
        </w:rPr>
        <w:t>．在需要选择的栏中的“</w:t>
      </w:r>
      <w:r>
        <w:rPr>
          <w:rFonts w:hint="eastAsia" w:ascii="仿宋" w:hAnsi="仿宋" w:eastAsia="仿宋" w:cs="仿宋"/>
          <w:sz w:val="32"/>
          <w:szCs w:val="32"/>
        </w:rPr>
        <w:t>□</w:t>
      </w:r>
      <w:r>
        <w:rPr>
          <w:rFonts w:hint="eastAsia" w:ascii="仿宋" w:hAnsi="仿宋" w:eastAsia="仿宋" w:cs="仿宋"/>
          <w:sz w:val="24"/>
          <w:szCs w:val="24"/>
        </w:rPr>
        <w:t>”内作标识“√”。</w:t>
      </w:r>
    </w:p>
    <w:p>
      <w:pPr>
        <w:ind w:left="718" w:leftChars="342"/>
        <w:rPr>
          <w:rFonts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．本表一式三份，由承包人、监理人、发包人按合同规定程序填制，并各存一份。</w:t>
      </w:r>
    </w:p>
    <w:p>
      <w:pPr>
        <w:spacing w:before="240" w:beforeLines="100" w:after="240" w:afterLines="100" w:line="360" w:lineRule="auto"/>
        <w:outlineLvl w:val="1"/>
        <w:rPr>
          <w:rFonts w:ascii="仿宋" w:hAnsi="仿宋" w:eastAsia="仿宋" w:cs="仿宋"/>
          <w:b/>
          <w:bCs/>
          <w:color w:val="000000"/>
          <w:kern w:val="0"/>
          <w:sz w:val="24"/>
          <w:szCs w:val="24"/>
        </w:rPr>
      </w:pPr>
      <w:r>
        <w:rPr>
          <w:rFonts w:ascii="仿宋" w:hAnsi="仿宋" w:eastAsia="仿宋" w:cs="Times New Roman"/>
          <w:kern w:val="0"/>
          <w:sz w:val="24"/>
          <w:szCs w:val="24"/>
        </w:rPr>
        <w:br w:type="page"/>
      </w:r>
      <w:bookmarkStart w:id="760" w:name="_Toc469384151"/>
      <w:bookmarkStart w:id="761" w:name="_Toc266892935"/>
      <w:bookmarkStart w:id="762" w:name="_Toc10624995"/>
      <w:r>
        <w:rPr>
          <w:rFonts w:hint="eastAsia" w:ascii="仿宋" w:hAnsi="仿宋" w:eastAsia="仿宋" w:cs="仿宋"/>
          <w:b/>
          <w:bCs/>
          <w:color w:val="000000"/>
          <w:kern w:val="0"/>
          <w:sz w:val="24"/>
          <w:szCs w:val="24"/>
        </w:rPr>
        <w:t>格式</w:t>
      </w:r>
      <w:r>
        <w:rPr>
          <w:rFonts w:ascii="仿宋" w:hAnsi="仿宋" w:eastAsia="仿宋" w:cs="仿宋"/>
          <w:b/>
          <w:bCs/>
          <w:color w:val="000000"/>
          <w:kern w:val="0"/>
          <w:sz w:val="24"/>
          <w:szCs w:val="24"/>
        </w:rPr>
        <w:t>9</w:t>
      </w:r>
      <w:bookmarkEnd w:id="760"/>
      <w:bookmarkEnd w:id="761"/>
      <w:bookmarkEnd w:id="762"/>
    </w:p>
    <w:p>
      <w:pPr>
        <w:spacing w:line="360" w:lineRule="auto"/>
        <w:jc w:val="center"/>
        <w:rPr>
          <w:rFonts w:ascii="仿宋" w:hAnsi="仿宋" w:eastAsia="仿宋" w:cs="Times New Roman"/>
          <w:b/>
          <w:bCs/>
          <w:spacing w:val="30"/>
          <w:sz w:val="44"/>
          <w:szCs w:val="44"/>
        </w:rPr>
      </w:pPr>
      <w:r>
        <w:rPr>
          <w:rFonts w:hint="eastAsia" w:ascii="仿宋" w:hAnsi="仿宋" w:eastAsia="仿宋" w:cs="仿宋"/>
          <w:b/>
          <w:bCs/>
          <w:spacing w:val="30"/>
          <w:sz w:val="44"/>
          <w:szCs w:val="44"/>
        </w:rPr>
        <w:t>暂停施工令</w:t>
      </w:r>
    </w:p>
    <w:p>
      <w:pPr>
        <w:spacing w:line="360" w:lineRule="auto"/>
        <w:rPr>
          <w:rFonts w:ascii="仿宋" w:hAnsi="仿宋" w:eastAsia="仿宋" w:cs="Times New Roman"/>
          <w:sz w:val="24"/>
          <w:szCs w:val="24"/>
        </w:rPr>
      </w:pPr>
      <w:r>
        <w:rPr>
          <w:rFonts w:hint="eastAsia" w:ascii="仿宋" w:hAnsi="仿宋" w:eastAsia="仿宋" w:cs="仿宋"/>
          <w:sz w:val="24"/>
          <w:szCs w:val="24"/>
        </w:rPr>
        <w:t>工程名称</w:t>
      </w:r>
      <w:r>
        <w:rPr>
          <w:rFonts w:ascii="仿宋" w:hAnsi="仿宋" w:eastAsia="仿宋" w:cs="仿宋"/>
          <w:sz w:val="24"/>
          <w:szCs w:val="24"/>
        </w:rPr>
        <w:t>:</w:t>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编号</w:t>
      </w:r>
      <w:r>
        <w:rPr>
          <w:rFonts w:ascii="仿宋" w:hAnsi="仿宋" w:eastAsia="仿宋" w:cs="仿宋"/>
          <w:sz w:val="24"/>
          <w:szCs w:val="24"/>
        </w:rPr>
        <w:t>:</w:t>
      </w:r>
    </w:p>
    <w:tbl>
      <w:tblPr>
        <w:tblStyle w:val="40"/>
        <w:tblW w:w="10458"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45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298" w:hRule="atLeast"/>
        </w:trPr>
        <w:tc>
          <w:tcPr>
            <w:tcW w:w="10458" w:type="dxa"/>
            <w:vAlign w:val="top"/>
          </w:tcPr>
          <w:p>
            <w:pPr>
              <w:spacing w:before="120" w:line="360" w:lineRule="auto"/>
              <w:rPr>
                <w:rFonts w:ascii="仿宋" w:hAnsi="仿宋" w:eastAsia="仿宋" w:cs="Times New Roman"/>
                <w:sz w:val="24"/>
                <w:szCs w:val="24"/>
              </w:rPr>
            </w:pPr>
            <w:r>
              <w:rPr>
                <w:rFonts w:hint="eastAsia" w:ascii="仿宋" w:hAnsi="仿宋" w:eastAsia="仿宋" w:cs="仿宋"/>
                <w:sz w:val="24"/>
                <w:szCs w:val="24"/>
              </w:rPr>
              <w:t>致</w:t>
            </w:r>
            <w:r>
              <w:rPr>
                <w:rFonts w:ascii="仿宋" w:hAnsi="仿宋" w:eastAsia="仿宋" w:cs="仿宋"/>
                <w:sz w:val="24"/>
                <w:szCs w:val="24"/>
              </w:rPr>
              <w:t>:</w:t>
            </w:r>
            <w:r>
              <w:rPr>
                <w:rFonts w:ascii="仿宋" w:hAnsi="仿宋" w:eastAsia="仿宋" w:cs="仿宋"/>
                <w:sz w:val="24"/>
                <w:szCs w:val="24"/>
                <w:u w:val="single"/>
              </w:rPr>
              <w:t xml:space="preserve">                                                 </w:t>
            </w:r>
            <w:r>
              <w:rPr>
                <w:rFonts w:hint="eastAsia" w:ascii="仿宋" w:hAnsi="仿宋" w:eastAsia="仿宋" w:cs="仿宋"/>
                <w:sz w:val="24"/>
                <w:szCs w:val="24"/>
              </w:rPr>
              <w:t>（承包人全称）</w:t>
            </w:r>
          </w:p>
          <w:p>
            <w:pPr>
              <w:spacing w:line="360" w:lineRule="auto"/>
              <w:ind w:firstLine="480" w:firstLineChars="200"/>
              <w:rPr>
                <w:rFonts w:ascii="仿宋" w:hAnsi="仿宋" w:eastAsia="仿宋" w:cs="仿宋"/>
                <w:sz w:val="24"/>
                <w:szCs w:val="24"/>
                <w:u w:val="single"/>
              </w:rPr>
            </w:pPr>
            <w:r>
              <w:rPr>
                <w:rFonts w:hint="eastAsia" w:ascii="仿宋" w:hAnsi="仿宋" w:eastAsia="仿宋" w:cs="仿宋"/>
                <w:sz w:val="24"/>
                <w:szCs w:val="24"/>
              </w:rPr>
              <w:t>由于</w:t>
            </w:r>
            <w:r>
              <w:rPr>
                <w:rFonts w:ascii="仿宋" w:hAnsi="仿宋" w:eastAsia="仿宋" w:cs="仿宋"/>
                <w:sz w:val="24"/>
                <w:szCs w:val="24"/>
                <w:u w:val="single"/>
              </w:rPr>
              <w:t xml:space="preserve">                                                                    </w:t>
            </w:r>
          </w:p>
          <w:p>
            <w:pPr>
              <w:spacing w:line="360" w:lineRule="auto"/>
              <w:ind w:left="-28"/>
              <w:rPr>
                <w:rFonts w:ascii="仿宋" w:hAnsi="仿宋" w:eastAsia="仿宋" w:cs="仿宋"/>
                <w:sz w:val="24"/>
                <w:szCs w:val="24"/>
                <w:u w:val="single"/>
              </w:rPr>
            </w:pPr>
            <w:r>
              <w:rPr>
                <w:rFonts w:ascii="仿宋" w:hAnsi="仿宋" w:eastAsia="仿宋" w:cs="仿宋"/>
                <w:sz w:val="24"/>
                <w:szCs w:val="24"/>
                <w:u w:val="single"/>
              </w:rPr>
              <w:t xml:space="preserve">                                                                            </w:t>
            </w:r>
          </w:p>
          <w:p>
            <w:pPr>
              <w:spacing w:line="360" w:lineRule="auto"/>
              <w:ind w:left="-27" w:leftChars="-13"/>
              <w:rPr>
                <w:rFonts w:ascii="仿宋" w:hAnsi="仿宋" w:eastAsia="仿宋" w:cs="仿宋"/>
                <w:sz w:val="24"/>
                <w:szCs w:val="24"/>
                <w:u w:val="single"/>
              </w:rPr>
            </w:pPr>
            <w:r>
              <w:rPr>
                <w:rFonts w:ascii="仿宋" w:hAnsi="仿宋" w:eastAsia="仿宋" w:cs="仿宋"/>
                <w:sz w:val="24"/>
                <w:szCs w:val="24"/>
                <w:u w:val="single"/>
              </w:rPr>
              <w:t xml:space="preserve">                                                                            </w:t>
            </w:r>
          </w:p>
          <w:p>
            <w:pPr>
              <w:spacing w:line="360" w:lineRule="auto"/>
              <w:ind w:left="-27" w:leftChars="-13"/>
              <w:rPr>
                <w:rFonts w:ascii="仿宋" w:hAnsi="仿宋" w:eastAsia="仿宋" w:cs="仿宋"/>
                <w:sz w:val="24"/>
                <w:szCs w:val="24"/>
                <w:u w:val="single"/>
              </w:rPr>
            </w:pPr>
            <w:r>
              <w:rPr>
                <w:rFonts w:ascii="仿宋" w:hAnsi="仿宋" w:eastAsia="仿宋" w:cs="仿宋"/>
                <w:sz w:val="24"/>
                <w:szCs w:val="24"/>
                <w:u w:val="single"/>
              </w:rPr>
              <w:t xml:space="preserve">                                                                            </w:t>
            </w:r>
          </w:p>
          <w:p>
            <w:pPr>
              <w:spacing w:line="360" w:lineRule="auto"/>
              <w:ind w:left="480" w:hanging="480" w:hangingChars="200"/>
              <w:rPr>
                <w:rFonts w:ascii="仿宋" w:hAnsi="仿宋" w:eastAsia="仿宋" w:cs="Times New Roman"/>
                <w:sz w:val="24"/>
                <w:szCs w:val="24"/>
              </w:rPr>
            </w:pPr>
            <w:r>
              <w:rPr>
                <w:rFonts w:ascii="仿宋" w:hAnsi="仿宋" w:eastAsia="仿宋" w:cs="仿宋"/>
                <w:sz w:val="24"/>
                <w:szCs w:val="24"/>
                <w:u w:val="single"/>
              </w:rPr>
              <w:t xml:space="preserve">                                </w:t>
            </w:r>
            <w:r>
              <w:rPr>
                <w:rFonts w:hint="eastAsia" w:ascii="仿宋" w:hAnsi="仿宋" w:eastAsia="仿宋" w:cs="仿宋"/>
                <w:sz w:val="24"/>
                <w:szCs w:val="24"/>
              </w:rPr>
              <w:t>的原因，现通知你方必须于</w:t>
            </w:r>
            <w:r>
              <w:rPr>
                <w:rFonts w:ascii="仿宋" w:hAnsi="仿宋" w:eastAsia="仿宋" w:cs="仿宋"/>
                <w:sz w:val="24"/>
                <w:szCs w:val="24"/>
                <w:u w:val="single"/>
              </w:rPr>
              <w:t xml:space="preserve">      </w:t>
            </w:r>
            <w:r>
              <w:rPr>
                <w:rFonts w:hint="eastAsia" w:ascii="仿宋" w:hAnsi="仿宋" w:eastAsia="仿宋" w:cs="仿宋"/>
                <w:sz w:val="24"/>
                <w:szCs w:val="24"/>
              </w:rPr>
              <w:t>年</w:t>
            </w:r>
            <w:r>
              <w:rPr>
                <w:rFonts w:ascii="仿宋" w:hAnsi="仿宋" w:eastAsia="仿宋" w:cs="仿宋"/>
                <w:sz w:val="24"/>
                <w:szCs w:val="24"/>
                <w:u w:val="single"/>
              </w:rPr>
              <w:t xml:space="preserve">     </w:t>
            </w:r>
            <w:r>
              <w:rPr>
                <w:rFonts w:hint="eastAsia" w:ascii="仿宋" w:hAnsi="仿宋" w:eastAsia="仿宋" w:cs="仿宋"/>
                <w:sz w:val="24"/>
                <w:szCs w:val="24"/>
              </w:rPr>
              <w:t>月</w:t>
            </w:r>
            <w:r>
              <w:rPr>
                <w:rFonts w:ascii="仿宋" w:hAnsi="仿宋" w:eastAsia="仿宋" w:cs="仿宋"/>
                <w:sz w:val="24"/>
                <w:szCs w:val="24"/>
                <w:u w:val="single"/>
              </w:rPr>
              <w:t xml:space="preserve">    </w:t>
            </w:r>
            <w:r>
              <w:rPr>
                <w:rFonts w:hint="eastAsia" w:ascii="仿宋" w:hAnsi="仿宋" w:eastAsia="仿宋" w:cs="仿宋"/>
                <w:sz w:val="24"/>
                <w:szCs w:val="24"/>
              </w:rPr>
              <w:t>日</w:t>
            </w:r>
          </w:p>
          <w:p>
            <w:pPr>
              <w:spacing w:line="360" w:lineRule="auto"/>
              <w:ind w:left="480" w:hanging="480" w:hangingChars="200"/>
              <w:rPr>
                <w:rFonts w:ascii="仿宋" w:hAnsi="仿宋" w:eastAsia="仿宋" w:cs="Times New Roman"/>
                <w:sz w:val="24"/>
                <w:szCs w:val="24"/>
              </w:rPr>
            </w:pPr>
            <w:r>
              <w:rPr>
                <w:rFonts w:ascii="仿宋" w:hAnsi="仿宋" w:eastAsia="仿宋" w:cs="仿宋"/>
                <w:sz w:val="24"/>
                <w:szCs w:val="24"/>
                <w:u w:val="single"/>
              </w:rPr>
              <w:t xml:space="preserve">      </w:t>
            </w:r>
            <w:r>
              <w:rPr>
                <w:rFonts w:hint="eastAsia" w:ascii="仿宋" w:hAnsi="仿宋" w:eastAsia="仿宋" w:cs="仿宋"/>
                <w:sz w:val="24"/>
                <w:szCs w:val="24"/>
              </w:rPr>
              <w:t>时起，对本工程的</w:t>
            </w:r>
            <w:r>
              <w:rPr>
                <w:rFonts w:ascii="仿宋" w:hAnsi="仿宋" w:eastAsia="仿宋" w:cs="仿宋"/>
                <w:sz w:val="24"/>
                <w:szCs w:val="24"/>
                <w:u w:val="single"/>
              </w:rPr>
              <w:t xml:space="preserve">                                       </w:t>
            </w:r>
            <w:r>
              <w:rPr>
                <w:rFonts w:hint="eastAsia" w:ascii="仿宋" w:hAnsi="仿宋" w:eastAsia="仿宋" w:cs="仿宋"/>
                <w:sz w:val="24"/>
                <w:szCs w:val="24"/>
              </w:rPr>
              <w:t>部位（工序）实施</w:t>
            </w:r>
          </w:p>
          <w:p>
            <w:pPr>
              <w:spacing w:line="360" w:lineRule="auto"/>
              <w:ind w:left="480" w:hanging="480" w:hangingChars="200"/>
              <w:rPr>
                <w:rFonts w:ascii="仿宋" w:hAnsi="仿宋" w:eastAsia="仿宋" w:cs="Times New Roman"/>
                <w:sz w:val="24"/>
                <w:szCs w:val="24"/>
              </w:rPr>
            </w:pPr>
            <w:r>
              <w:rPr>
                <w:rFonts w:hint="eastAsia" w:ascii="仿宋" w:hAnsi="仿宋" w:eastAsia="仿宋" w:cs="仿宋"/>
                <w:sz w:val="24"/>
                <w:szCs w:val="24"/>
              </w:rPr>
              <w:t>暂停施工，并按下述要求做好各项工作：</w:t>
            </w:r>
          </w:p>
          <w:p>
            <w:pPr>
              <w:spacing w:line="360" w:lineRule="auto"/>
              <w:ind w:left="-28"/>
              <w:rPr>
                <w:rFonts w:ascii="仿宋" w:hAnsi="仿宋" w:eastAsia="仿宋" w:cs="Times New Roman"/>
                <w:sz w:val="24"/>
                <w:szCs w:val="24"/>
              </w:rPr>
            </w:pPr>
          </w:p>
          <w:p>
            <w:pPr>
              <w:spacing w:line="360" w:lineRule="auto"/>
              <w:ind w:left="-28"/>
              <w:rPr>
                <w:rFonts w:ascii="仿宋" w:hAnsi="仿宋" w:eastAsia="仿宋" w:cs="Times New Roman"/>
                <w:sz w:val="24"/>
                <w:szCs w:val="24"/>
              </w:rPr>
            </w:pPr>
          </w:p>
          <w:p>
            <w:pPr>
              <w:spacing w:line="360" w:lineRule="auto"/>
              <w:ind w:firstLine="6012"/>
              <w:rPr>
                <w:rFonts w:ascii="仿宋" w:hAnsi="仿宋" w:eastAsia="仿宋" w:cs="Times New Roman"/>
                <w:sz w:val="24"/>
                <w:szCs w:val="24"/>
                <w:u w:val="single"/>
              </w:rPr>
            </w:pPr>
            <w:r>
              <w:rPr>
                <w:rFonts w:ascii="仿宋" w:hAnsi="仿宋" w:eastAsia="仿宋" w:cs="仿宋"/>
                <w:sz w:val="24"/>
                <w:szCs w:val="24"/>
              </w:rPr>
              <w:t xml:space="preserve">                                                </w:t>
            </w:r>
          </w:p>
          <w:p>
            <w:pPr>
              <w:spacing w:line="360" w:lineRule="auto"/>
              <w:rPr>
                <w:rFonts w:ascii="仿宋" w:hAnsi="仿宋" w:eastAsia="仿宋" w:cs="Times New Roman"/>
                <w:sz w:val="24"/>
                <w:szCs w:val="24"/>
              </w:rPr>
            </w:pPr>
          </w:p>
          <w:p>
            <w:pPr>
              <w:spacing w:line="360" w:lineRule="auto"/>
              <w:rPr>
                <w:rFonts w:ascii="仿宋" w:hAnsi="仿宋" w:eastAsia="仿宋" w:cs="Times New Roman"/>
                <w:sz w:val="24"/>
                <w:szCs w:val="24"/>
              </w:rPr>
            </w:pPr>
          </w:p>
          <w:p>
            <w:pPr>
              <w:spacing w:line="360" w:lineRule="auto"/>
              <w:ind w:firstLine="6732" w:firstLineChars="2805"/>
              <w:rPr>
                <w:rFonts w:ascii="仿宋" w:hAnsi="仿宋" w:eastAsia="仿宋" w:cs="Times New Roman"/>
                <w:sz w:val="24"/>
                <w:szCs w:val="24"/>
              </w:rPr>
            </w:pPr>
          </w:p>
          <w:p>
            <w:pPr>
              <w:spacing w:line="360" w:lineRule="auto"/>
              <w:ind w:firstLine="6732" w:firstLineChars="2805"/>
              <w:rPr>
                <w:rFonts w:ascii="仿宋" w:hAnsi="仿宋" w:eastAsia="仿宋" w:cs="Times New Roman"/>
                <w:sz w:val="24"/>
                <w:szCs w:val="24"/>
              </w:rPr>
            </w:pPr>
          </w:p>
          <w:p>
            <w:pPr>
              <w:spacing w:line="360" w:lineRule="auto"/>
              <w:ind w:firstLine="6732" w:firstLineChars="2805"/>
              <w:rPr>
                <w:rFonts w:ascii="仿宋" w:hAnsi="仿宋" w:eastAsia="仿宋" w:cs="Times New Roman"/>
                <w:sz w:val="24"/>
                <w:szCs w:val="24"/>
              </w:rPr>
            </w:pPr>
          </w:p>
          <w:p>
            <w:pPr>
              <w:spacing w:line="360" w:lineRule="auto"/>
              <w:ind w:firstLine="6732" w:firstLineChars="2805"/>
              <w:rPr>
                <w:rFonts w:ascii="仿宋" w:hAnsi="仿宋" w:eastAsia="仿宋" w:cs="Times New Roman"/>
                <w:sz w:val="24"/>
                <w:szCs w:val="24"/>
              </w:rPr>
            </w:pPr>
          </w:p>
          <w:p>
            <w:pPr>
              <w:spacing w:line="360" w:lineRule="auto"/>
              <w:ind w:firstLine="6732" w:firstLineChars="2805"/>
              <w:rPr>
                <w:rFonts w:ascii="仿宋" w:hAnsi="仿宋" w:eastAsia="仿宋" w:cs="Times New Roman"/>
                <w:sz w:val="24"/>
                <w:szCs w:val="24"/>
              </w:rPr>
            </w:pPr>
          </w:p>
          <w:p>
            <w:pPr>
              <w:spacing w:line="360" w:lineRule="auto"/>
              <w:ind w:firstLine="6732" w:firstLineChars="2805"/>
              <w:rPr>
                <w:rFonts w:ascii="仿宋" w:hAnsi="仿宋" w:eastAsia="仿宋" w:cs="Times New Roman"/>
                <w:sz w:val="24"/>
                <w:szCs w:val="24"/>
              </w:rPr>
            </w:pPr>
          </w:p>
          <w:p>
            <w:pPr>
              <w:spacing w:line="360" w:lineRule="auto"/>
              <w:ind w:firstLine="6732" w:firstLineChars="2805"/>
              <w:rPr>
                <w:rFonts w:ascii="仿宋" w:hAnsi="仿宋" w:eastAsia="仿宋" w:cs="Times New Roman"/>
                <w:sz w:val="24"/>
                <w:szCs w:val="24"/>
              </w:rPr>
            </w:pPr>
          </w:p>
          <w:p>
            <w:pPr>
              <w:spacing w:line="360" w:lineRule="auto"/>
              <w:ind w:firstLine="6732" w:firstLineChars="2805"/>
              <w:rPr>
                <w:rFonts w:ascii="仿宋" w:hAnsi="仿宋" w:eastAsia="仿宋" w:cs="Times New Roman"/>
                <w:sz w:val="24"/>
                <w:szCs w:val="24"/>
              </w:rPr>
            </w:pPr>
          </w:p>
          <w:p>
            <w:pPr>
              <w:spacing w:line="360" w:lineRule="auto"/>
              <w:ind w:firstLine="6732" w:firstLineChars="2805"/>
              <w:rPr>
                <w:rFonts w:ascii="仿宋" w:hAnsi="仿宋" w:eastAsia="仿宋" w:cs="Times New Roman"/>
                <w:sz w:val="24"/>
                <w:szCs w:val="24"/>
              </w:rPr>
            </w:pPr>
          </w:p>
          <w:p>
            <w:pPr>
              <w:spacing w:line="360" w:lineRule="auto"/>
              <w:ind w:firstLine="6732" w:firstLineChars="2805"/>
              <w:rPr>
                <w:rFonts w:ascii="仿宋" w:hAnsi="仿宋" w:eastAsia="仿宋" w:cs="Times New Roman"/>
                <w:sz w:val="24"/>
                <w:szCs w:val="24"/>
                <w:u w:val="single"/>
              </w:rPr>
            </w:pPr>
            <w:r>
              <w:rPr>
                <w:rFonts w:hint="eastAsia" w:ascii="仿宋" w:hAnsi="仿宋" w:eastAsia="仿宋" w:cs="仿宋"/>
                <w:sz w:val="24"/>
                <w:szCs w:val="24"/>
              </w:rPr>
              <w:t>监理单位（章）</w:t>
            </w:r>
            <w:r>
              <w:rPr>
                <w:rFonts w:ascii="仿宋" w:hAnsi="仿宋" w:eastAsia="仿宋" w:cs="仿宋"/>
                <w:sz w:val="24"/>
                <w:szCs w:val="24"/>
              </w:rPr>
              <w:t xml:space="preserve">           </w:t>
            </w:r>
          </w:p>
          <w:p>
            <w:pPr>
              <w:spacing w:line="360" w:lineRule="auto"/>
              <w:ind w:firstLine="6732" w:firstLineChars="2805"/>
              <w:rPr>
                <w:rFonts w:ascii="仿宋" w:hAnsi="仿宋" w:eastAsia="仿宋" w:cs="仿宋"/>
                <w:sz w:val="24"/>
                <w:szCs w:val="24"/>
                <w:u w:val="single"/>
              </w:rPr>
            </w:pPr>
            <w:r>
              <w:rPr>
                <w:rFonts w:hint="eastAsia" w:ascii="仿宋" w:hAnsi="仿宋" w:eastAsia="仿宋" w:cs="仿宋"/>
                <w:sz w:val="24"/>
                <w:szCs w:val="24"/>
              </w:rPr>
              <w:t>监理工程师</w:t>
            </w:r>
            <w:r>
              <w:rPr>
                <w:rFonts w:ascii="仿宋" w:hAnsi="仿宋" w:eastAsia="仿宋" w:cs="仿宋"/>
                <w:sz w:val="24"/>
                <w:szCs w:val="24"/>
                <w:u w:val="single"/>
              </w:rPr>
              <w:t xml:space="preserve">               </w:t>
            </w:r>
          </w:p>
          <w:p>
            <w:pPr>
              <w:spacing w:line="360" w:lineRule="auto"/>
              <w:ind w:firstLine="6732" w:firstLineChars="2805"/>
              <w:rPr>
                <w:rFonts w:ascii="仿宋" w:hAnsi="仿宋" w:eastAsia="仿宋" w:cs="Times New Roman"/>
                <w:sz w:val="24"/>
                <w:szCs w:val="24"/>
                <w:u w:val="single"/>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bl>
    <w:p>
      <w:pPr>
        <w:spacing w:line="360" w:lineRule="auto"/>
        <w:rPr>
          <w:rFonts w:ascii="仿宋" w:hAnsi="仿宋" w:eastAsia="仿宋" w:cs="Times New Roman"/>
          <w:sz w:val="24"/>
          <w:szCs w:val="24"/>
        </w:rPr>
      </w:pPr>
      <w:r>
        <w:rPr>
          <w:rFonts w:hint="eastAsia" w:ascii="仿宋" w:hAnsi="仿宋" w:eastAsia="仿宋" w:cs="仿宋"/>
          <w:sz w:val="24"/>
          <w:szCs w:val="24"/>
        </w:rPr>
        <w:t>说明：</w:t>
      </w:r>
      <w:r>
        <w:rPr>
          <w:rFonts w:ascii="仿宋" w:hAnsi="仿宋" w:eastAsia="仿宋" w:cs="仿宋"/>
          <w:sz w:val="24"/>
          <w:szCs w:val="24"/>
        </w:rPr>
        <w:t xml:space="preserve"> </w:t>
      </w:r>
      <w:r>
        <w:rPr>
          <w:rFonts w:hint="eastAsia" w:ascii="仿宋" w:hAnsi="仿宋" w:eastAsia="仿宋" w:cs="仿宋"/>
          <w:sz w:val="24"/>
          <w:szCs w:val="24"/>
        </w:rPr>
        <w:t>本表一式三份，由监理工程师填制，并连同发包人、承包人各存一份。</w:t>
      </w:r>
    </w:p>
    <w:p>
      <w:pPr>
        <w:spacing w:before="240" w:beforeLines="100" w:after="240" w:afterLines="100" w:line="360" w:lineRule="auto"/>
        <w:outlineLvl w:val="1"/>
        <w:rPr>
          <w:rFonts w:ascii="仿宋" w:hAnsi="仿宋" w:eastAsia="仿宋" w:cs="仿宋"/>
          <w:b/>
          <w:bCs/>
          <w:color w:val="000000"/>
          <w:kern w:val="0"/>
          <w:sz w:val="24"/>
          <w:szCs w:val="24"/>
        </w:rPr>
      </w:pPr>
      <w:r>
        <w:rPr>
          <w:rFonts w:ascii="仿宋" w:hAnsi="仿宋" w:eastAsia="仿宋" w:cs="Times New Roman"/>
          <w:kern w:val="0"/>
          <w:sz w:val="24"/>
          <w:szCs w:val="24"/>
        </w:rPr>
        <w:br w:type="page"/>
      </w:r>
      <w:bookmarkStart w:id="763" w:name="_Toc469384152"/>
      <w:bookmarkStart w:id="764" w:name="_Toc266892936"/>
      <w:bookmarkStart w:id="765" w:name="_Toc10624996"/>
      <w:r>
        <w:rPr>
          <w:rFonts w:hint="eastAsia" w:ascii="仿宋" w:hAnsi="仿宋" w:eastAsia="仿宋" w:cs="仿宋"/>
          <w:b/>
          <w:bCs/>
          <w:color w:val="000000"/>
          <w:kern w:val="0"/>
          <w:sz w:val="24"/>
          <w:szCs w:val="24"/>
        </w:rPr>
        <w:t>格式</w:t>
      </w:r>
      <w:r>
        <w:rPr>
          <w:rFonts w:ascii="仿宋" w:hAnsi="仿宋" w:eastAsia="仿宋" w:cs="仿宋"/>
          <w:b/>
          <w:bCs/>
          <w:color w:val="000000"/>
          <w:kern w:val="0"/>
          <w:sz w:val="24"/>
          <w:szCs w:val="24"/>
        </w:rPr>
        <w:t>10</w:t>
      </w:r>
      <w:bookmarkEnd w:id="763"/>
      <w:bookmarkEnd w:id="764"/>
      <w:bookmarkEnd w:id="765"/>
    </w:p>
    <w:p>
      <w:pPr>
        <w:spacing w:before="50" w:after="50" w:line="360" w:lineRule="auto"/>
        <w:jc w:val="center"/>
        <w:rPr>
          <w:rFonts w:ascii="仿宋" w:hAnsi="仿宋" w:eastAsia="仿宋" w:cs="Times New Roman"/>
          <w:b/>
          <w:bCs/>
          <w:spacing w:val="30"/>
          <w:sz w:val="44"/>
          <w:szCs w:val="44"/>
        </w:rPr>
      </w:pPr>
      <w:r>
        <w:rPr>
          <w:rFonts w:hint="eastAsia" w:ascii="仿宋" w:hAnsi="仿宋" w:eastAsia="仿宋" w:cs="仿宋"/>
          <w:b/>
          <w:bCs/>
          <w:spacing w:val="30"/>
          <w:sz w:val="44"/>
          <w:szCs w:val="44"/>
        </w:rPr>
        <w:t>工期索赔申请表</w:t>
      </w:r>
    </w:p>
    <w:p>
      <w:pPr>
        <w:spacing w:line="360" w:lineRule="auto"/>
        <w:rPr>
          <w:rFonts w:ascii="仿宋" w:hAnsi="仿宋" w:eastAsia="仿宋" w:cs="Times New Roman"/>
          <w:sz w:val="24"/>
          <w:szCs w:val="24"/>
        </w:rPr>
      </w:pPr>
      <w:r>
        <w:rPr>
          <w:rFonts w:hint="eastAsia" w:ascii="仿宋" w:hAnsi="仿宋" w:eastAsia="仿宋" w:cs="仿宋"/>
          <w:sz w:val="24"/>
          <w:szCs w:val="24"/>
        </w:rPr>
        <w:t>工程名称</w:t>
      </w:r>
      <w:r>
        <w:rPr>
          <w:rFonts w:ascii="仿宋" w:hAnsi="仿宋" w:eastAsia="仿宋" w:cs="仿宋"/>
          <w:sz w:val="24"/>
          <w:szCs w:val="24"/>
        </w:rPr>
        <w:t>:</w:t>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编号</w:t>
      </w:r>
      <w:r>
        <w:rPr>
          <w:rFonts w:ascii="仿宋" w:hAnsi="仿宋" w:eastAsia="仿宋" w:cs="仿宋"/>
          <w:sz w:val="24"/>
          <w:szCs w:val="24"/>
        </w:rPr>
        <w:t>:</w:t>
      </w:r>
    </w:p>
    <w:tbl>
      <w:tblPr>
        <w:tblStyle w:val="40"/>
        <w:tblW w:w="10373"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37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38" w:hRule="atLeast"/>
        </w:trPr>
        <w:tc>
          <w:tcPr>
            <w:tcW w:w="10373" w:type="dxa"/>
            <w:tcBorders>
              <w:bottom w:val="single" w:color="auto" w:sz="4" w:space="0"/>
            </w:tcBorders>
            <w:vAlign w:val="top"/>
          </w:tcPr>
          <w:p>
            <w:pPr>
              <w:spacing w:before="120" w:line="360" w:lineRule="auto"/>
              <w:ind w:left="-28" w:firstLine="181"/>
              <w:rPr>
                <w:rFonts w:ascii="仿宋" w:hAnsi="仿宋" w:eastAsia="仿宋" w:cs="Times New Roman"/>
                <w:sz w:val="24"/>
                <w:szCs w:val="24"/>
              </w:rPr>
            </w:pPr>
            <w:r>
              <w:rPr>
                <w:rFonts w:hint="eastAsia" w:ascii="仿宋" w:hAnsi="仿宋" w:eastAsia="仿宋" w:cs="仿宋"/>
                <w:sz w:val="24"/>
                <w:szCs w:val="24"/>
              </w:rPr>
              <w:t>致</w:t>
            </w:r>
            <w:r>
              <w:rPr>
                <w:rFonts w:ascii="仿宋" w:hAnsi="仿宋" w:eastAsia="仿宋" w:cs="仿宋"/>
                <w:sz w:val="24"/>
                <w:szCs w:val="24"/>
              </w:rPr>
              <w:t>:</w:t>
            </w:r>
            <w:r>
              <w:rPr>
                <w:rFonts w:ascii="仿宋" w:hAnsi="仿宋" w:eastAsia="仿宋" w:cs="仿宋"/>
                <w:sz w:val="24"/>
                <w:szCs w:val="24"/>
                <w:u w:val="single"/>
              </w:rPr>
              <w:t xml:space="preserve">                                                  </w:t>
            </w:r>
            <w:r>
              <w:rPr>
                <w:rFonts w:hint="eastAsia" w:ascii="仿宋" w:hAnsi="仿宋" w:eastAsia="仿宋" w:cs="仿宋"/>
                <w:sz w:val="24"/>
                <w:szCs w:val="24"/>
              </w:rPr>
              <w:t>（监理人全称）</w:t>
            </w:r>
            <w:r>
              <w:rPr>
                <w:rFonts w:ascii="仿宋" w:hAnsi="仿宋" w:eastAsia="仿宋" w:cs="仿宋"/>
                <w:sz w:val="24"/>
                <w:szCs w:val="24"/>
              </w:rPr>
              <w:t xml:space="preserve"> </w:t>
            </w:r>
          </w:p>
          <w:p>
            <w:pPr>
              <w:spacing w:line="360" w:lineRule="auto"/>
              <w:ind w:left="-28" w:firstLine="482"/>
              <w:rPr>
                <w:rFonts w:ascii="仿宋" w:hAnsi="仿宋" w:eastAsia="仿宋" w:cs="Times New Roman"/>
                <w:sz w:val="24"/>
                <w:szCs w:val="24"/>
              </w:rPr>
            </w:pPr>
            <w:r>
              <w:rPr>
                <w:rFonts w:hint="eastAsia" w:ascii="仿宋" w:hAnsi="仿宋" w:eastAsia="仿宋" w:cs="仿宋"/>
                <w:sz w:val="24"/>
                <w:szCs w:val="24"/>
              </w:rPr>
              <w:t>根据施工合同第</w:t>
            </w:r>
            <w:r>
              <w:rPr>
                <w:rFonts w:ascii="仿宋" w:hAnsi="仿宋" w:eastAsia="仿宋" w:cs="仿宋"/>
                <w:sz w:val="24"/>
                <w:szCs w:val="24"/>
                <w:u w:val="single"/>
              </w:rPr>
              <w:t xml:space="preserve">              </w:t>
            </w:r>
            <w:r>
              <w:rPr>
                <w:rFonts w:hint="eastAsia" w:ascii="仿宋" w:hAnsi="仿宋" w:eastAsia="仿宋" w:cs="仿宋"/>
                <w:sz w:val="24"/>
                <w:szCs w:val="24"/>
              </w:rPr>
              <w:t>条规定，由于</w:t>
            </w:r>
            <w:r>
              <w:rPr>
                <w:rFonts w:ascii="仿宋" w:hAnsi="仿宋" w:eastAsia="仿宋" w:cs="仿宋"/>
                <w:sz w:val="24"/>
                <w:szCs w:val="24"/>
                <w:u w:val="single"/>
              </w:rPr>
              <w:t xml:space="preserve">                           </w:t>
            </w:r>
            <w:r>
              <w:rPr>
                <w:rFonts w:hint="eastAsia" w:ascii="仿宋" w:hAnsi="仿宋" w:eastAsia="仿宋" w:cs="仿宋"/>
                <w:sz w:val="24"/>
                <w:szCs w:val="24"/>
              </w:rPr>
              <w:t>原因</w:t>
            </w:r>
            <w:r>
              <w:rPr>
                <w:rFonts w:ascii="仿宋" w:hAnsi="仿宋" w:eastAsia="仿宋" w:cs="仿宋"/>
                <w:sz w:val="24"/>
                <w:szCs w:val="24"/>
              </w:rPr>
              <w:t>,</w:t>
            </w:r>
            <w:r>
              <w:rPr>
                <w:rFonts w:hint="eastAsia" w:ascii="仿宋" w:hAnsi="仿宋" w:eastAsia="仿宋" w:cs="仿宋"/>
                <w:sz w:val="24"/>
                <w:szCs w:val="24"/>
              </w:rPr>
              <w:t>我方要求索赔并顺延工期</w:t>
            </w:r>
            <w:r>
              <w:rPr>
                <w:rFonts w:ascii="仿宋" w:hAnsi="仿宋" w:eastAsia="仿宋" w:cs="仿宋"/>
                <w:sz w:val="24"/>
                <w:szCs w:val="24"/>
                <w:u w:val="single"/>
              </w:rPr>
              <w:t xml:space="preserve">      </w:t>
            </w:r>
            <w:r>
              <w:rPr>
                <w:rFonts w:hint="eastAsia" w:ascii="仿宋" w:hAnsi="仿宋" w:eastAsia="仿宋" w:cs="仿宋"/>
                <w:sz w:val="24"/>
                <w:szCs w:val="24"/>
              </w:rPr>
              <w:t>日历天，请予以批准。</w:t>
            </w:r>
          </w:p>
          <w:p>
            <w:pPr>
              <w:spacing w:line="360" w:lineRule="auto"/>
              <w:ind w:left="480"/>
              <w:rPr>
                <w:rFonts w:ascii="仿宋" w:hAnsi="仿宋" w:eastAsia="仿宋" w:cs="Times New Roman"/>
                <w:sz w:val="24"/>
                <w:szCs w:val="24"/>
              </w:rPr>
            </w:pPr>
            <w:r>
              <w:rPr>
                <w:rFonts w:hint="eastAsia" w:ascii="仿宋" w:hAnsi="仿宋" w:eastAsia="仿宋" w:cs="仿宋"/>
                <w:sz w:val="24"/>
                <w:szCs w:val="24"/>
              </w:rPr>
              <w:t>１．工期索赔的依据：</w:t>
            </w:r>
          </w:p>
          <w:p>
            <w:pPr>
              <w:spacing w:line="360" w:lineRule="auto"/>
              <w:rPr>
                <w:rFonts w:ascii="仿宋" w:hAnsi="仿宋" w:eastAsia="仿宋" w:cs="Times New Roman"/>
                <w:sz w:val="24"/>
                <w:szCs w:val="24"/>
              </w:rPr>
            </w:pPr>
          </w:p>
          <w:p>
            <w:pPr>
              <w:spacing w:line="360" w:lineRule="auto"/>
              <w:rPr>
                <w:rFonts w:ascii="仿宋" w:hAnsi="仿宋" w:eastAsia="仿宋" w:cs="Times New Roman"/>
                <w:sz w:val="24"/>
                <w:szCs w:val="24"/>
              </w:rPr>
            </w:pPr>
          </w:p>
          <w:p>
            <w:pPr>
              <w:spacing w:line="360" w:lineRule="auto"/>
              <w:rPr>
                <w:rFonts w:ascii="仿宋" w:hAnsi="仿宋" w:eastAsia="仿宋" w:cs="Times New Roman"/>
                <w:sz w:val="24"/>
                <w:szCs w:val="24"/>
              </w:rPr>
            </w:pPr>
          </w:p>
          <w:p>
            <w:pPr>
              <w:spacing w:line="360" w:lineRule="auto"/>
              <w:rPr>
                <w:rFonts w:ascii="仿宋" w:hAnsi="仿宋" w:eastAsia="仿宋" w:cs="Times New Roman"/>
                <w:sz w:val="24"/>
                <w:szCs w:val="24"/>
              </w:rPr>
            </w:pPr>
          </w:p>
          <w:p>
            <w:pPr>
              <w:spacing w:line="360" w:lineRule="auto"/>
              <w:ind w:firstLine="480" w:firstLineChars="200"/>
              <w:rPr>
                <w:rFonts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．索赔工期的计算：</w:t>
            </w:r>
          </w:p>
          <w:p>
            <w:pPr>
              <w:spacing w:line="360" w:lineRule="auto"/>
              <w:ind w:left="-28" w:firstLine="458"/>
              <w:rPr>
                <w:rFonts w:ascii="仿宋" w:hAnsi="仿宋" w:eastAsia="仿宋" w:cs="Times New Roman"/>
                <w:sz w:val="24"/>
                <w:szCs w:val="24"/>
              </w:rPr>
            </w:pPr>
          </w:p>
          <w:p>
            <w:pPr>
              <w:spacing w:line="360" w:lineRule="auto"/>
              <w:ind w:left="-28" w:firstLine="458"/>
              <w:rPr>
                <w:rFonts w:ascii="仿宋" w:hAnsi="仿宋" w:eastAsia="仿宋" w:cs="Times New Roman"/>
                <w:sz w:val="24"/>
                <w:szCs w:val="24"/>
              </w:rPr>
            </w:pPr>
          </w:p>
          <w:p>
            <w:pPr>
              <w:spacing w:line="360" w:lineRule="auto"/>
              <w:ind w:left="-28" w:firstLine="458"/>
              <w:rPr>
                <w:rFonts w:ascii="仿宋" w:hAnsi="仿宋" w:eastAsia="仿宋" w:cs="Times New Roman"/>
                <w:sz w:val="24"/>
                <w:szCs w:val="24"/>
              </w:rPr>
            </w:pPr>
          </w:p>
          <w:p>
            <w:pPr>
              <w:spacing w:line="360" w:lineRule="auto"/>
              <w:ind w:left="-28" w:firstLine="458"/>
              <w:rPr>
                <w:rFonts w:ascii="仿宋" w:hAnsi="仿宋" w:eastAsia="仿宋" w:cs="Times New Roman"/>
                <w:sz w:val="24"/>
                <w:szCs w:val="24"/>
              </w:rPr>
            </w:pPr>
          </w:p>
          <w:p>
            <w:pPr>
              <w:spacing w:line="360" w:lineRule="auto"/>
              <w:ind w:left="-28" w:firstLine="458"/>
              <w:rPr>
                <w:rFonts w:ascii="仿宋" w:hAnsi="仿宋" w:eastAsia="仿宋" w:cs="Times New Roman"/>
                <w:sz w:val="24"/>
                <w:szCs w:val="24"/>
              </w:rPr>
            </w:pPr>
          </w:p>
          <w:p>
            <w:pPr>
              <w:spacing w:line="360" w:lineRule="auto"/>
              <w:ind w:left="-28" w:firstLine="458"/>
              <w:rPr>
                <w:rFonts w:ascii="仿宋" w:hAnsi="仿宋" w:eastAsia="仿宋" w:cs="Times New Roman"/>
                <w:sz w:val="24"/>
                <w:szCs w:val="24"/>
              </w:rPr>
            </w:pPr>
          </w:p>
          <w:p>
            <w:pPr>
              <w:spacing w:line="360" w:lineRule="auto"/>
              <w:ind w:left="-28" w:firstLine="458"/>
              <w:rPr>
                <w:rFonts w:ascii="仿宋" w:hAnsi="仿宋" w:eastAsia="仿宋" w:cs="Times New Roman"/>
                <w:sz w:val="24"/>
                <w:szCs w:val="24"/>
              </w:rPr>
            </w:pPr>
            <w:r>
              <w:rPr>
                <w:rFonts w:hint="eastAsia" w:ascii="仿宋" w:hAnsi="仿宋" w:eastAsia="仿宋" w:cs="仿宋"/>
                <w:sz w:val="24"/>
                <w:szCs w:val="24"/>
              </w:rPr>
              <w:t>本次要求延长工期</w:t>
            </w:r>
            <w:r>
              <w:rPr>
                <w:rFonts w:ascii="仿宋" w:hAnsi="仿宋" w:eastAsia="仿宋" w:cs="仿宋"/>
                <w:sz w:val="24"/>
                <w:szCs w:val="24"/>
                <w:u w:val="single"/>
              </w:rPr>
              <w:t xml:space="preserve">        </w:t>
            </w:r>
            <w:r>
              <w:rPr>
                <w:rFonts w:hint="eastAsia" w:ascii="仿宋" w:hAnsi="仿宋" w:eastAsia="仿宋" w:cs="仿宋"/>
                <w:sz w:val="24"/>
                <w:szCs w:val="24"/>
              </w:rPr>
              <w:t>日历天；最终延长总工期</w:t>
            </w:r>
            <w:r>
              <w:rPr>
                <w:rFonts w:ascii="仿宋" w:hAnsi="仿宋" w:eastAsia="仿宋" w:cs="仿宋"/>
                <w:sz w:val="24"/>
                <w:szCs w:val="24"/>
                <w:u w:val="single"/>
              </w:rPr>
              <w:t xml:space="preserve">        </w:t>
            </w:r>
            <w:r>
              <w:rPr>
                <w:rFonts w:hint="eastAsia" w:ascii="仿宋" w:hAnsi="仿宋" w:eastAsia="仿宋" w:cs="仿宋"/>
                <w:sz w:val="24"/>
                <w:szCs w:val="24"/>
              </w:rPr>
              <w:t>日历天。</w:t>
            </w:r>
          </w:p>
          <w:p>
            <w:pPr>
              <w:spacing w:line="360" w:lineRule="auto"/>
              <w:ind w:left="-28" w:firstLine="458"/>
              <w:rPr>
                <w:rFonts w:ascii="仿宋" w:hAnsi="仿宋" w:eastAsia="仿宋" w:cs="Times New Roman"/>
                <w:sz w:val="24"/>
                <w:szCs w:val="24"/>
              </w:rPr>
            </w:pPr>
            <w:r>
              <w:rPr>
                <w:rFonts w:hint="eastAsia" w:ascii="仿宋" w:hAnsi="仿宋" w:eastAsia="仿宋" w:cs="仿宋"/>
                <w:sz w:val="24"/>
                <w:szCs w:val="24"/>
              </w:rPr>
              <w:t>合同竣工日期从原来</w:t>
            </w:r>
            <w:r>
              <w:rPr>
                <w:rFonts w:ascii="仿宋" w:hAnsi="仿宋" w:eastAsia="仿宋" w:cs="仿宋"/>
                <w:sz w:val="24"/>
                <w:szCs w:val="24"/>
                <w:u w:val="single"/>
              </w:rPr>
              <w:t xml:space="preserve">      </w:t>
            </w:r>
            <w:r>
              <w:rPr>
                <w:rFonts w:hint="eastAsia" w:ascii="仿宋" w:hAnsi="仿宋" w:eastAsia="仿宋" w:cs="仿宋"/>
                <w:sz w:val="24"/>
                <w:szCs w:val="24"/>
              </w:rPr>
              <w:t>年</w:t>
            </w:r>
            <w:r>
              <w:rPr>
                <w:rFonts w:ascii="仿宋" w:hAnsi="仿宋" w:eastAsia="仿宋" w:cs="仿宋"/>
                <w:sz w:val="24"/>
                <w:szCs w:val="24"/>
                <w:u w:val="single"/>
              </w:rPr>
              <w:t xml:space="preserve">      </w:t>
            </w:r>
            <w:r>
              <w:rPr>
                <w:rFonts w:hint="eastAsia" w:ascii="仿宋" w:hAnsi="仿宋" w:eastAsia="仿宋" w:cs="仿宋"/>
                <w:sz w:val="24"/>
                <w:szCs w:val="24"/>
              </w:rPr>
              <w:t>月</w:t>
            </w:r>
            <w:r>
              <w:rPr>
                <w:rFonts w:ascii="仿宋" w:hAnsi="仿宋" w:eastAsia="仿宋" w:cs="仿宋"/>
                <w:sz w:val="24"/>
                <w:szCs w:val="24"/>
                <w:u w:val="single"/>
              </w:rPr>
              <w:t xml:space="preserve">      </w:t>
            </w:r>
            <w:r>
              <w:rPr>
                <w:rFonts w:hint="eastAsia" w:ascii="仿宋" w:hAnsi="仿宋" w:eastAsia="仿宋" w:cs="仿宋"/>
                <w:sz w:val="24"/>
                <w:szCs w:val="24"/>
              </w:rPr>
              <w:t>日延迟到</w:t>
            </w:r>
            <w:r>
              <w:rPr>
                <w:rFonts w:ascii="仿宋" w:hAnsi="仿宋" w:eastAsia="仿宋" w:cs="仿宋"/>
                <w:sz w:val="24"/>
                <w:szCs w:val="24"/>
                <w:u w:val="single"/>
              </w:rPr>
              <w:t xml:space="preserve">      </w:t>
            </w:r>
            <w:r>
              <w:rPr>
                <w:rFonts w:hint="eastAsia" w:ascii="仿宋" w:hAnsi="仿宋" w:eastAsia="仿宋" w:cs="仿宋"/>
                <w:sz w:val="24"/>
                <w:szCs w:val="24"/>
              </w:rPr>
              <w:t>年</w:t>
            </w:r>
            <w:r>
              <w:rPr>
                <w:rFonts w:ascii="仿宋" w:hAnsi="仿宋" w:eastAsia="仿宋" w:cs="仿宋"/>
                <w:sz w:val="24"/>
                <w:szCs w:val="24"/>
                <w:u w:val="single"/>
              </w:rPr>
              <w:t xml:space="preserve">      </w:t>
            </w:r>
            <w:r>
              <w:rPr>
                <w:rFonts w:hint="eastAsia" w:ascii="仿宋" w:hAnsi="仿宋" w:eastAsia="仿宋" w:cs="仿宋"/>
                <w:sz w:val="24"/>
                <w:szCs w:val="24"/>
              </w:rPr>
              <w:t>月</w:t>
            </w:r>
            <w:r>
              <w:rPr>
                <w:rFonts w:ascii="仿宋" w:hAnsi="仿宋" w:eastAsia="仿宋" w:cs="仿宋"/>
                <w:sz w:val="24"/>
                <w:szCs w:val="24"/>
                <w:u w:val="single"/>
              </w:rPr>
              <w:t xml:space="preserve">      </w:t>
            </w:r>
            <w:r>
              <w:rPr>
                <w:rFonts w:hint="eastAsia" w:ascii="仿宋" w:hAnsi="仿宋" w:eastAsia="仿宋" w:cs="仿宋"/>
                <w:sz w:val="24"/>
                <w:szCs w:val="24"/>
              </w:rPr>
              <w:t>日。</w:t>
            </w:r>
          </w:p>
          <w:p>
            <w:pPr>
              <w:spacing w:line="360" w:lineRule="auto"/>
              <w:ind w:firstLine="480" w:firstLineChars="200"/>
              <w:rPr>
                <w:rFonts w:ascii="仿宋" w:hAnsi="仿宋" w:eastAsia="仿宋" w:cs="Times New Roman"/>
                <w:sz w:val="24"/>
                <w:szCs w:val="24"/>
              </w:rPr>
            </w:pPr>
            <w:r>
              <w:rPr>
                <w:rFonts w:ascii="仿宋" w:hAnsi="仿宋" w:eastAsia="仿宋" w:cs="仿宋"/>
                <w:sz w:val="24"/>
                <w:szCs w:val="24"/>
              </w:rPr>
              <w:t>3</w:t>
            </w:r>
            <w:r>
              <w:rPr>
                <w:rFonts w:hint="eastAsia" w:ascii="仿宋" w:hAnsi="仿宋" w:eastAsia="仿宋" w:cs="仿宋"/>
                <w:sz w:val="24"/>
                <w:szCs w:val="24"/>
              </w:rPr>
              <w:t>．证明材料：</w:t>
            </w:r>
          </w:p>
          <w:p>
            <w:pPr>
              <w:tabs>
                <w:tab w:val="left" w:pos="6912"/>
              </w:tabs>
              <w:spacing w:line="360" w:lineRule="auto"/>
              <w:ind w:firstLine="6000" w:firstLineChars="2500"/>
              <w:rPr>
                <w:rFonts w:ascii="仿宋" w:hAnsi="仿宋" w:eastAsia="仿宋" w:cs="Times New Roman"/>
                <w:sz w:val="24"/>
                <w:szCs w:val="24"/>
              </w:rPr>
            </w:pPr>
          </w:p>
          <w:p>
            <w:pPr>
              <w:tabs>
                <w:tab w:val="left" w:pos="6912"/>
              </w:tabs>
              <w:spacing w:line="360" w:lineRule="auto"/>
              <w:ind w:firstLine="6000" w:firstLineChars="2500"/>
              <w:rPr>
                <w:rFonts w:ascii="仿宋" w:hAnsi="仿宋" w:eastAsia="仿宋" w:cs="Times New Roman"/>
                <w:sz w:val="24"/>
                <w:szCs w:val="24"/>
              </w:rPr>
            </w:pPr>
          </w:p>
          <w:p>
            <w:pPr>
              <w:tabs>
                <w:tab w:val="left" w:pos="6912"/>
              </w:tabs>
              <w:spacing w:line="360" w:lineRule="auto"/>
              <w:ind w:firstLine="6000" w:firstLineChars="2500"/>
              <w:rPr>
                <w:rFonts w:ascii="仿宋" w:hAnsi="仿宋" w:eastAsia="仿宋" w:cs="Times New Roman"/>
                <w:sz w:val="24"/>
                <w:szCs w:val="24"/>
              </w:rPr>
            </w:pPr>
          </w:p>
          <w:p>
            <w:pPr>
              <w:tabs>
                <w:tab w:val="left" w:pos="6912"/>
              </w:tabs>
              <w:spacing w:line="360" w:lineRule="auto"/>
              <w:ind w:firstLine="6000" w:firstLineChars="2500"/>
              <w:rPr>
                <w:rFonts w:ascii="仿宋" w:hAnsi="仿宋" w:eastAsia="仿宋" w:cs="Times New Roman"/>
                <w:sz w:val="24"/>
                <w:szCs w:val="24"/>
              </w:rPr>
            </w:pPr>
          </w:p>
          <w:p>
            <w:pPr>
              <w:tabs>
                <w:tab w:val="left" w:pos="6912"/>
              </w:tabs>
              <w:spacing w:line="360" w:lineRule="auto"/>
              <w:ind w:firstLine="6372" w:firstLineChars="2655"/>
              <w:rPr>
                <w:rFonts w:ascii="仿宋" w:hAnsi="仿宋" w:eastAsia="仿宋" w:cs="Times New Roman"/>
                <w:sz w:val="24"/>
                <w:szCs w:val="24"/>
                <w:u w:val="single"/>
              </w:rPr>
            </w:pPr>
            <w:r>
              <w:rPr>
                <w:rFonts w:hint="eastAsia" w:ascii="仿宋" w:hAnsi="仿宋" w:eastAsia="仿宋" w:cs="仿宋"/>
                <w:sz w:val="24"/>
                <w:szCs w:val="24"/>
              </w:rPr>
              <w:t>承包人（章）</w:t>
            </w:r>
            <w:r>
              <w:rPr>
                <w:rFonts w:ascii="仿宋" w:hAnsi="仿宋" w:eastAsia="仿宋" w:cs="仿宋"/>
                <w:sz w:val="24"/>
                <w:szCs w:val="24"/>
              </w:rPr>
              <w:t xml:space="preserve">                </w:t>
            </w:r>
          </w:p>
          <w:p>
            <w:pPr>
              <w:spacing w:line="360" w:lineRule="auto"/>
              <w:ind w:firstLine="6372" w:firstLineChars="2655"/>
              <w:rPr>
                <w:rFonts w:ascii="仿宋" w:hAnsi="仿宋" w:eastAsia="仿宋" w:cs="仿宋"/>
                <w:sz w:val="24"/>
                <w:szCs w:val="24"/>
                <w:u w:val="single"/>
              </w:rPr>
            </w:pPr>
            <w:r>
              <w:rPr>
                <w:rFonts w:hint="eastAsia" w:ascii="仿宋" w:hAnsi="仿宋" w:eastAsia="仿宋" w:cs="仿宋"/>
                <w:sz w:val="24"/>
                <w:szCs w:val="24"/>
              </w:rPr>
              <w:t>承包人代表</w:t>
            </w:r>
            <w:r>
              <w:rPr>
                <w:rFonts w:ascii="仿宋" w:hAnsi="仿宋" w:eastAsia="仿宋" w:cs="仿宋"/>
                <w:sz w:val="24"/>
                <w:szCs w:val="24"/>
                <w:u w:val="single"/>
              </w:rPr>
              <w:t xml:space="preserve">                </w:t>
            </w:r>
          </w:p>
          <w:p>
            <w:pPr>
              <w:tabs>
                <w:tab w:val="left" w:pos="7272"/>
              </w:tabs>
              <w:spacing w:line="360" w:lineRule="auto"/>
              <w:ind w:firstLine="6372" w:firstLineChars="2655"/>
              <w:rPr>
                <w:rFonts w:ascii="仿宋" w:hAnsi="仿宋" w:eastAsia="仿宋" w:cs="Times New Roman"/>
                <w:sz w:val="24"/>
                <w:szCs w:val="24"/>
                <w:u w:val="single"/>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bl>
    <w:p>
      <w:pPr>
        <w:spacing w:line="360" w:lineRule="auto"/>
        <w:rPr>
          <w:rFonts w:ascii="仿宋" w:hAnsi="仿宋" w:eastAsia="仿宋" w:cs="Times New Roman"/>
          <w:sz w:val="24"/>
          <w:szCs w:val="24"/>
        </w:rPr>
      </w:pPr>
      <w:r>
        <w:rPr>
          <w:rFonts w:hint="eastAsia" w:ascii="仿宋" w:hAnsi="仿宋" w:eastAsia="仿宋" w:cs="仿宋"/>
          <w:sz w:val="24"/>
          <w:szCs w:val="24"/>
        </w:rPr>
        <w:t>说明：本表一式三份，由承包人填报</w:t>
      </w:r>
      <w:r>
        <w:rPr>
          <w:rFonts w:ascii="仿宋" w:hAnsi="仿宋" w:eastAsia="仿宋" w:cs="仿宋"/>
          <w:sz w:val="24"/>
          <w:szCs w:val="24"/>
        </w:rPr>
        <w:t>,</w:t>
      </w:r>
      <w:r>
        <w:rPr>
          <w:rFonts w:hint="eastAsia" w:ascii="仿宋" w:hAnsi="仿宋" w:eastAsia="仿宋" w:cs="仿宋"/>
          <w:sz w:val="24"/>
          <w:szCs w:val="24"/>
        </w:rPr>
        <w:t>发包人、监理人、承包人各存一份。</w:t>
      </w:r>
    </w:p>
    <w:p>
      <w:pPr>
        <w:spacing w:before="240" w:beforeLines="100" w:after="240" w:afterLines="100" w:line="360" w:lineRule="auto"/>
        <w:outlineLvl w:val="1"/>
        <w:rPr>
          <w:rFonts w:ascii="仿宋" w:hAnsi="仿宋" w:eastAsia="仿宋" w:cs="Times New Roman"/>
          <w:sz w:val="24"/>
          <w:szCs w:val="24"/>
        </w:rPr>
      </w:pPr>
      <w:r>
        <w:rPr>
          <w:rFonts w:ascii="仿宋" w:hAnsi="仿宋" w:eastAsia="仿宋" w:cs="Times New Roman"/>
          <w:kern w:val="0"/>
          <w:sz w:val="24"/>
          <w:szCs w:val="24"/>
        </w:rPr>
        <w:br w:type="page"/>
      </w:r>
      <w:bookmarkStart w:id="766" w:name="_Toc469384153"/>
      <w:bookmarkStart w:id="767" w:name="_Toc266892937"/>
      <w:bookmarkStart w:id="768" w:name="_Toc10624997"/>
      <w:r>
        <w:rPr>
          <w:rFonts w:hint="eastAsia" w:ascii="仿宋" w:hAnsi="仿宋" w:eastAsia="仿宋" w:cs="仿宋"/>
          <w:b/>
          <w:bCs/>
          <w:color w:val="000000"/>
          <w:kern w:val="0"/>
          <w:sz w:val="24"/>
          <w:szCs w:val="24"/>
        </w:rPr>
        <w:t>格式</w:t>
      </w:r>
      <w:r>
        <w:rPr>
          <w:rFonts w:ascii="仿宋" w:hAnsi="仿宋" w:eastAsia="仿宋" w:cs="仿宋"/>
          <w:b/>
          <w:bCs/>
          <w:color w:val="000000"/>
          <w:kern w:val="0"/>
          <w:sz w:val="24"/>
          <w:szCs w:val="24"/>
        </w:rPr>
        <w:t>11</w:t>
      </w:r>
      <w:bookmarkEnd w:id="766"/>
      <w:bookmarkEnd w:id="767"/>
      <w:bookmarkEnd w:id="768"/>
    </w:p>
    <w:p>
      <w:pPr>
        <w:spacing w:before="50" w:after="50" w:line="360" w:lineRule="auto"/>
        <w:jc w:val="center"/>
        <w:rPr>
          <w:rFonts w:ascii="仿宋" w:hAnsi="仿宋" w:eastAsia="仿宋" w:cs="Times New Roman"/>
          <w:b/>
          <w:bCs/>
        </w:rPr>
      </w:pPr>
      <w:r>
        <w:rPr>
          <w:rFonts w:hint="eastAsia" w:ascii="仿宋" w:hAnsi="仿宋" w:eastAsia="仿宋" w:cs="仿宋"/>
          <w:b/>
          <w:bCs/>
          <w:spacing w:val="30"/>
          <w:sz w:val="44"/>
          <w:szCs w:val="44"/>
        </w:rPr>
        <w:t>工期索赔审批表</w:t>
      </w:r>
    </w:p>
    <w:p>
      <w:pPr>
        <w:spacing w:line="360" w:lineRule="auto"/>
        <w:rPr>
          <w:rFonts w:ascii="仿宋" w:hAnsi="仿宋" w:eastAsia="仿宋" w:cs="仿宋"/>
          <w:sz w:val="24"/>
          <w:szCs w:val="24"/>
        </w:rPr>
      </w:pPr>
      <w:r>
        <w:rPr>
          <w:rFonts w:hint="eastAsia" w:ascii="仿宋" w:hAnsi="仿宋" w:eastAsia="仿宋" w:cs="仿宋"/>
          <w:sz w:val="24"/>
          <w:szCs w:val="24"/>
        </w:rPr>
        <w:t>工程名称</w:t>
      </w:r>
      <w:r>
        <w:rPr>
          <w:rFonts w:ascii="仿宋" w:hAnsi="仿宋" w:eastAsia="仿宋" w:cs="仿宋"/>
          <w:sz w:val="24"/>
          <w:szCs w:val="24"/>
        </w:rPr>
        <w:t>:</w:t>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编号</w:t>
      </w:r>
      <w:r>
        <w:rPr>
          <w:rFonts w:ascii="仿宋" w:hAnsi="仿宋" w:eastAsia="仿宋" w:cs="仿宋"/>
          <w:sz w:val="24"/>
          <w:szCs w:val="24"/>
        </w:rPr>
        <w:t>:</w:t>
      </w:r>
    </w:p>
    <w:tbl>
      <w:tblPr>
        <w:tblStyle w:val="40"/>
        <w:tblW w:w="10455"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45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280" w:hRule="atLeast"/>
        </w:trPr>
        <w:tc>
          <w:tcPr>
            <w:tcW w:w="10455" w:type="dxa"/>
            <w:tcBorders>
              <w:bottom w:val="single" w:color="auto" w:sz="4" w:space="0"/>
            </w:tcBorders>
            <w:vAlign w:val="top"/>
          </w:tcPr>
          <w:p>
            <w:pPr>
              <w:spacing w:before="120" w:line="360" w:lineRule="auto"/>
              <w:ind w:left="-28" w:firstLine="181"/>
              <w:rPr>
                <w:rFonts w:ascii="仿宋" w:hAnsi="仿宋" w:eastAsia="仿宋" w:cs="Times New Roman"/>
                <w:sz w:val="24"/>
                <w:szCs w:val="24"/>
              </w:rPr>
            </w:pPr>
            <w:r>
              <w:rPr>
                <w:rFonts w:hint="eastAsia" w:ascii="仿宋" w:hAnsi="仿宋" w:eastAsia="仿宋" w:cs="仿宋"/>
                <w:sz w:val="24"/>
                <w:szCs w:val="24"/>
              </w:rPr>
              <w:t>致</w:t>
            </w:r>
            <w:r>
              <w:rPr>
                <w:rFonts w:ascii="仿宋" w:hAnsi="仿宋" w:eastAsia="仿宋" w:cs="仿宋"/>
                <w:sz w:val="24"/>
                <w:szCs w:val="24"/>
              </w:rPr>
              <w:t>:</w:t>
            </w:r>
            <w:r>
              <w:rPr>
                <w:rFonts w:ascii="仿宋" w:hAnsi="仿宋" w:eastAsia="仿宋" w:cs="仿宋"/>
                <w:sz w:val="24"/>
                <w:szCs w:val="24"/>
                <w:u w:val="single"/>
              </w:rPr>
              <w:t xml:space="preserve">                                                  </w:t>
            </w:r>
            <w:r>
              <w:rPr>
                <w:rFonts w:hint="eastAsia" w:ascii="仿宋" w:hAnsi="仿宋" w:eastAsia="仿宋" w:cs="仿宋"/>
                <w:sz w:val="24"/>
                <w:szCs w:val="24"/>
              </w:rPr>
              <w:t>（承包人全称）</w:t>
            </w:r>
            <w:r>
              <w:rPr>
                <w:rFonts w:ascii="仿宋" w:hAnsi="仿宋" w:eastAsia="仿宋" w:cs="仿宋"/>
                <w:sz w:val="24"/>
                <w:szCs w:val="24"/>
              </w:rPr>
              <w:t xml:space="preserve"> </w:t>
            </w:r>
          </w:p>
          <w:p>
            <w:pPr>
              <w:spacing w:line="360" w:lineRule="auto"/>
              <w:ind w:left="-28" w:firstLine="482"/>
              <w:jc w:val="left"/>
              <w:rPr>
                <w:rFonts w:ascii="仿宋" w:hAnsi="仿宋" w:eastAsia="仿宋" w:cs="Times New Roman"/>
                <w:sz w:val="24"/>
                <w:szCs w:val="24"/>
              </w:rPr>
            </w:pPr>
            <w:r>
              <w:rPr>
                <w:rFonts w:hint="eastAsia" w:ascii="仿宋" w:hAnsi="仿宋" w:eastAsia="仿宋" w:cs="仿宋"/>
                <w:sz w:val="24"/>
                <w:szCs w:val="24"/>
              </w:rPr>
              <w:t>根据施工合同条款第</w:t>
            </w:r>
            <w:r>
              <w:rPr>
                <w:rFonts w:ascii="仿宋" w:hAnsi="仿宋" w:eastAsia="仿宋" w:cs="仿宋"/>
                <w:sz w:val="24"/>
                <w:szCs w:val="24"/>
                <w:u w:val="single"/>
              </w:rPr>
              <w:t xml:space="preserve">               </w:t>
            </w:r>
            <w:r>
              <w:rPr>
                <w:rFonts w:hint="eastAsia" w:ascii="仿宋" w:hAnsi="仿宋" w:eastAsia="仿宋" w:cs="仿宋"/>
                <w:sz w:val="24"/>
                <w:szCs w:val="24"/>
              </w:rPr>
              <w:t>的规定，你方提出的工期索赔申请第</w:t>
            </w:r>
            <w:r>
              <w:rPr>
                <w:rFonts w:ascii="仿宋" w:hAnsi="仿宋" w:eastAsia="仿宋" w:cs="仿宋"/>
                <w:sz w:val="24"/>
                <w:szCs w:val="24"/>
                <w:u w:val="single"/>
              </w:rPr>
              <w:t xml:space="preserve">    </w:t>
            </w:r>
            <w:r>
              <w:rPr>
                <w:rFonts w:hint="eastAsia" w:ascii="仿宋" w:hAnsi="仿宋" w:eastAsia="仿宋" w:cs="仿宋"/>
                <w:sz w:val="24"/>
                <w:szCs w:val="24"/>
              </w:rPr>
              <w:t>号</w:t>
            </w:r>
            <w:r>
              <w:rPr>
                <w:rFonts w:ascii="仿宋" w:hAnsi="仿宋" w:eastAsia="仿宋" w:cs="仿宋"/>
                <w:sz w:val="24"/>
                <w:szCs w:val="24"/>
              </w:rPr>
              <w:t>,</w:t>
            </w:r>
            <w:r>
              <w:rPr>
                <w:rFonts w:hint="eastAsia" w:ascii="仿宋" w:hAnsi="仿宋" w:eastAsia="仿宋" w:cs="仿宋"/>
                <w:sz w:val="24"/>
                <w:szCs w:val="24"/>
              </w:rPr>
              <w:t>索赔工期</w:t>
            </w:r>
            <w:r>
              <w:rPr>
                <w:rFonts w:ascii="仿宋" w:hAnsi="仿宋" w:eastAsia="仿宋" w:cs="仿宋"/>
                <w:sz w:val="24"/>
                <w:szCs w:val="24"/>
                <w:u w:val="single"/>
              </w:rPr>
              <w:t xml:space="preserve">      </w:t>
            </w:r>
            <w:r>
              <w:rPr>
                <w:rFonts w:hint="eastAsia" w:ascii="仿宋" w:hAnsi="仿宋" w:eastAsia="仿宋" w:cs="仿宋"/>
                <w:sz w:val="24"/>
                <w:szCs w:val="24"/>
              </w:rPr>
              <w:t>日历天，经我方审核：</w:t>
            </w:r>
          </w:p>
          <w:p>
            <w:pPr>
              <w:spacing w:line="360" w:lineRule="auto"/>
              <w:ind w:left="-28" w:firstLine="550"/>
              <w:rPr>
                <w:rFonts w:ascii="仿宋" w:hAnsi="仿宋" w:eastAsia="仿宋" w:cs="Times New Roman"/>
                <w:sz w:val="24"/>
                <w:szCs w:val="24"/>
              </w:rPr>
            </w:pPr>
            <w:r>
              <w:rPr>
                <w:rFonts w:hint="eastAsia" w:ascii="仿宋" w:hAnsi="仿宋" w:eastAsia="仿宋" w:cs="仿宋"/>
                <w:sz w:val="32"/>
                <w:szCs w:val="32"/>
              </w:rPr>
              <w:t>□</w:t>
            </w:r>
            <w:r>
              <w:rPr>
                <w:rFonts w:hint="eastAsia" w:ascii="仿宋" w:hAnsi="仿宋" w:eastAsia="仿宋" w:cs="仿宋"/>
                <w:sz w:val="24"/>
                <w:szCs w:val="24"/>
              </w:rPr>
              <w:t>不同意此项索赔，按约定竣工日期组织施工。</w:t>
            </w:r>
          </w:p>
          <w:p>
            <w:pPr>
              <w:spacing w:line="360" w:lineRule="auto"/>
              <w:ind w:left="-28" w:firstLine="550"/>
              <w:rPr>
                <w:rFonts w:ascii="仿宋" w:hAnsi="仿宋" w:eastAsia="仿宋" w:cs="Times New Roman"/>
                <w:sz w:val="24"/>
                <w:szCs w:val="24"/>
              </w:rPr>
            </w:pPr>
            <w:r>
              <w:rPr>
                <w:rFonts w:hint="eastAsia" w:ascii="仿宋" w:hAnsi="仿宋" w:eastAsia="仿宋" w:cs="仿宋"/>
                <w:sz w:val="32"/>
                <w:szCs w:val="32"/>
              </w:rPr>
              <w:t>□</w:t>
            </w:r>
            <w:r>
              <w:rPr>
                <w:rFonts w:hint="eastAsia" w:ascii="仿宋" w:hAnsi="仿宋" w:eastAsia="仿宋" w:cs="仿宋"/>
                <w:sz w:val="24"/>
                <w:szCs w:val="24"/>
              </w:rPr>
              <w:t>同意此项索赔，工期延长</w:t>
            </w:r>
            <w:r>
              <w:rPr>
                <w:rFonts w:ascii="仿宋" w:hAnsi="仿宋" w:eastAsia="仿宋" w:cs="仿宋"/>
                <w:sz w:val="24"/>
                <w:szCs w:val="24"/>
                <w:u w:val="single"/>
              </w:rPr>
              <w:t xml:space="preserve">     </w:t>
            </w:r>
            <w:r>
              <w:rPr>
                <w:rFonts w:hint="eastAsia" w:ascii="仿宋" w:hAnsi="仿宋" w:eastAsia="仿宋" w:cs="仿宋"/>
                <w:sz w:val="24"/>
                <w:szCs w:val="24"/>
              </w:rPr>
              <w:t>日历天，合同竣工日期从原来的</w:t>
            </w:r>
            <w:r>
              <w:rPr>
                <w:rFonts w:ascii="仿宋" w:hAnsi="仿宋" w:eastAsia="仿宋" w:cs="仿宋"/>
                <w:sz w:val="24"/>
                <w:szCs w:val="24"/>
                <w:u w:val="single"/>
              </w:rPr>
              <w:t xml:space="preserve">      </w:t>
            </w:r>
            <w:r>
              <w:rPr>
                <w:rFonts w:hint="eastAsia" w:ascii="仿宋" w:hAnsi="仿宋" w:eastAsia="仿宋" w:cs="仿宋"/>
                <w:sz w:val="24"/>
                <w:szCs w:val="24"/>
              </w:rPr>
              <w:t>年</w:t>
            </w:r>
            <w:r>
              <w:rPr>
                <w:rFonts w:ascii="仿宋" w:hAnsi="仿宋" w:eastAsia="仿宋" w:cs="仿宋"/>
                <w:sz w:val="24"/>
                <w:szCs w:val="24"/>
                <w:u w:val="single"/>
              </w:rPr>
              <w:t xml:space="preserve">      </w:t>
            </w:r>
            <w:r>
              <w:rPr>
                <w:rFonts w:hint="eastAsia" w:ascii="仿宋" w:hAnsi="仿宋" w:eastAsia="仿宋" w:cs="仿宋"/>
                <w:sz w:val="24"/>
                <w:szCs w:val="24"/>
              </w:rPr>
              <w:t>月</w:t>
            </w:r>
            <w:r>
              <w:rPr>
                <w:rFonts w:ascii="仿宋" w:hAnsi="仿宋" w:eastAsia="仿宋" w:cs="仿宋"/>
                <w:sz w:val="24"/>
                <w:szCs w:val="24"/>
                <w:u w:val="single"/>
              </w:rPr>
              <w:t xml:space="preserve">      </w:t>
            </w:r>
            <w:r>
              <w:rPr>
                <w:rFonts w:hint="eastAsia" w:ascii="仿宋" w:hAnsi="仿宋" w:eastAsia="仿宋" w:cs="仿宋"/>
                <w:sz w:val="24"/>
                <w:szCs w:val="24"/>
              </w:rPr>
              <w:t>日延迟到</w:t>
            </w:r>
            <w:r>
              <w:rPr>
                <w:rFonts w:ascii="仿宋" w:hAnsi="仿宋" w:eastAsia="仿宋" w:cs="仿宋"/>
                <w:sz w:val="24"/>
                <w:szCs w:val="24"/>
                <w:u w:val="single"/>
              </w:rPr>
              <w:t xml:space="preserve">      </w:t>
            </w:r>
            <w:r>
              <w:rPr>
                <w:rFonts w:hint="eastAsia" w:ascii="仿宋" w:hAnsi="仿宋" w:eastAsia="仿宋" w:cs="仿宋"/>
                <w:sz w:val="24"/>
                <w:szCs w:val="24"/>
              </w:rPr>
              <w:t>年</w:t>
            </w:r>
            <w:r>
              <w:rPr>
                <w:rFonts w:ascii="仿宋" w:hAnsi="仿宋" w:eastAsia="仿宋" w:cs="仿宋"/>
                <w:sz w:val="24"/>
                <w:szCs w:val="24"/>
                <w:u w:val="single"/>
              </w:rPr>
              <w:t xml:space="preserve">      </w:t>
            </w:r>
            <w:r>
              <w:rPr>
                <w:rFonts w:hint="eastAsia" w:ascii="仿宋" w:hAnsi="仿宋" w:eastAsia="仿宋" w:cs="仿宋"/>
                <w:sz w:val="24"/>
                <w:szCs w:val="24"/>
              </w:rPr>
              <w:t>月</w:t>
            </w:r>
            <w:r>
              <w:rPr>
                <w:rFonts w:ascii="仿宋" w:hAnsi="仿宋" w:eastAsia="仿宋" w:cs="仿宋"/>
                <w:sz w:val="24"/>
                <w:szCs w:val="24"/>
                <w:u w:val="single"/>
              </w:rPr>
              <w:t xml:space="preserve">      </w:t>
            </w:r>
            <w:r>
              <w:rPr>
                <w:rFonts w:hint="eastAsia" w:ascii="仿宋" w:hAnsi="仿宋" w:eastAsia="仿宋" w:cs="仿宋"/>
                <w:sz w:val="24"/>
                <w:szCs w:val="24"/>
              </w:rPr>
              <w:t>日</w:t>
            </w:r>
          </w:p>
          <w:p>
            <w:pPr>
              <w:spacing w:line="360" w:lineRule="auto"/>
              <w:ind w:firstLine="480" w:firstLineChars="200"/>
              <w:rPr>
                <w:rFonts w:ascii="仿宋" w:hAnsi="仿宋" w:eastAsia="仿宋" w:cs="Times New Roman"/>
                <w:sz w:val="24"/>
                <w:szCs w:val="24"/>
              </w:rPr>
            </w:pPr>
            <w:r>
              <w:rPr>
                <w:rFonts w:hint="eastAsia" w:ascii="仿宋" w:hAnsi="仿宋" w:eastAsia="仿宋" w:cs="仿宋"/>
                <w:sz w:val="24"/>
                <w:szCs w:val="24"/>
              </w:rPr>
              <w:t>说明理由：</w:t>
            </w:r>
          </w:p>
          <w:p>
            <w:pPr>
              <w:spacing w:line="360" w:lineRule="auto"/>
              <w:ind w:firstLine="480" w:firstLineChars="200"/>
              <w:rPr>
                <w:rFonts w:ascii="仿宋" w:hAnsi="仿宋" w:eastAsia="仿宋" w:cs="Times New Roman"/>
                <w:sz w:val="24"/>
                <w:szCs w:val="24"/>
              </w:rPr>
            </w:pPr>
          </w:p>
          <w:p>
            <w:pPr>
              <w:spacing w:line="360" w:lineRule="auto"/>
              <w:ind w:firstLine="480" w:firstLineChars="200"/>
              <w:rPr>
                <w:rFonts w:ascii="仿宋" w:hAnsi="仿宋" w:eastAsia="仿宋" w:cs="Times New Roman"/>
                <w:sz w:val="24"/>
                <w:szCs w:val="24"/>
              </w:rPr>
            </w:pPr>
          </w:p>
          <w:p>
            <w:pPr>
              <w:spacing w:line="360" w:lineRule="auto"/>
              <w:ind w:firstLine="480" w:firstLineChars="200"/>
              <w:rPr>
                <w:rFonts w:ascii="仿宋" w:hAnsi="仿宋" w:eastAsia="仿宋" w:cs="Times New Roman"/>
                <w:sz w:val="24"/>
                <w:szCs w:val="24"/>
              </w:rPr>
            </w:pPr>
          </w:p>
          <w:p>
            <w:pPr>
              <w:spacing w:line="360" w:lineRule="auto"/>
              <w:ind w:firstLine="480" w:firstLineChars="200"/>
              <w:rPr>
                <w:rFonts w:ascii="仿宋" w:hAnsi="仿宋" w:eastAsia="仿宋" w:cs="Times New Roman"/>
                <w:sz w:val="24"/>
                <w:szCs w:val="24"/>
              </w:rPr>
            </w:pPr>
          </w:p>
          <w:p>
            <w:pPr>
              <w:spacing w:line="360" w:lineRule="auto"/>
              <w:ind w:firstLine="480" w:firstLineChars="200"/>
              <w:rPr>
                <w:rFonts w:ascii="仿宋" w:hAnsi="仿宋" w:eastAsia="仿宋" w:cs="Times New Roman"/>
                <w:sz w:val="24"/>
                <w:szCs w:val="24"/>
              </w:rPr>
            </w:pPr>
          </w:p>
          <w:p>
            <w:pPr>
              <w:spacing w:line="360" w:lineRule="auto"/>
              <w:ind w:left="-108" w:firstLine="590"/>
              <w:rPr>
                <w:rFonts w:ascii="仿宋" w:hAnsi="仿宋" w:eastAsia="仿宋" w:cs="Times New Roman"/>
                <w:sz w:val="24"/>
                <w:szCs w:val="24"/>
              </w:rPr>
            </w:pPr>
          </w:p>
          <w:p>
            <w:pPr>
              <w:spacing w:line="360" w:lineRule="auto"/>
              <w:ind w:left="-108" w:firstLine="590"/>
              <w:rPr>
                <w:rFonts w:ascii="仿宋" w:hAnsi="仿宋" w:eastAsia="仿宋" w:cs="Times New Roman"/>
                <w:sz w:val="24"/>
                <w:szCs w:val="24"/>
              </w:rPr>
            </w:pPr>
          </w:p>
          <w:p>
            <w:pPr>
              <w:spacing w:line="360" w:lineRule="auto"/>
              <w:ind w:left="-108" w:firstLine="590"/>
              <w:rPr>
                <w:rFonts w:ascii="仿宋" w:hAnsi="仿宋" w:eastAsia="仿宋" w:cs="Times New Roman"/>
                <w:sz w:val="24"/>
                <w:szCs w:val="24"/>
              </w:rPr>
            </w:pPr>
          </w:p>
          <w:p>
            <w:pPr>
              <w:spacing w:line="360" w:lineRule="auto"/>
              <w:ind w:left="-108" w:firstLine="590"/>
              <w:rPr>
                <w:rFonts w:ascii="仿宋" w:hAnsi="仿宋" w:eastAsia="仿宋" w:cs="Times New Roman"/>
                <w:sz w:val="24"/>
                <w:szCs w:val="24"/>
              </w:rPr>
            </w:pPr>
          </w:p>
          <w:p>
            <w:pPr>
              <w:spacing w:line="360" w:lineRule="auto"/>
              <w:ind w:left="-108" w:firstLine="590"/>
              <w:rPr>
                <w:rFonts w:ascii="仿宋" w:hAnsi="仿宋" w:eastAsia="仿宋" w:cs="Times New Roman"/>
                <w:sz w:val="24"/>
                <w:szCs w:val="24"/>
              </w:rPr>
            </w:pPr>
          </w:p>
          <w:p>
            <w:pPr>
              <w:spacing w:line="360" w:lineRule="auto"/>
              <w:rPr>
                <w:rFonts w:hint="eastAsia" w:ascii="仿宋" w:hAnsi="仿宋" w:eastAsia="仿宋" w:cs="Times New Roman"/>
                <w:sz w:val="24"/>
                <w:szCs w:val="24"/>
              </w:rPr>
            </w:pPr>
          </w:p>
          <w:p>
            <w:pPr>
              <w:spacing w:line="360" w:lineRule="auto"/>
              <w:rPr>
                <w:rFonts w:ascii="仿宋" w:hAnsi="仿宋" w:eastAsia="仿宋" w:cs="Times New Roman"/>
                <w:sz w:val="24"/>
                <w:szCs w:val="24"/>
              </w:rPr>
            </w:pPr>
          </w:p>
          <w:p>
            <w:pPr>
              <w:tabs>
                <w:tab w:val="left" w:pos="6912"/>
              </w:tabs>
              <w:spacing w:line="360" w:lineRule="auto"/>
              <w:ind w:firstLine="6000" w:firstLineChars="2500"/>
              <w:rPr>
                <w:rFonts w:ascii="仿宋" w:hAnsi="仿宋" w:eastAsia="仿宋" w:cs="Times New Roman"/>
                <w:sz w:val="24"/>
                <w:szCs w:val="24"/>
                <w:u w:val="single"/>
              </w:rPr>
            </w:pPr>
            <w:r>
              <w:rPr>
                <w:rFonts w:hint="eastAsia" w:ascii="仿宋" w:hAnsi="仿宋" w:eastAsia="仿宋" w:cs="仿宋"/>
                <w:sz w:val="24"/>
                <w:szCs w:val="24"/>
              </w:rPr>
              <w:t>监理人（章）</w:t>
            </w:r>
            <w:r>
              <w:rPr>
                <w:rFonts w:ascii="仿宋" w:hAnsi="仿宋" w:eastAsia="仿宋" w:cs="仿宋"/>
                <w:sz w:val="24"/>
                <w:szCs w:val="24"/>
              </w:rPr>
              <w:t xml:space="preserve">                </w:t>
            </w:r>
          </w:p>
          <w:p>
            <w:pPr>
              <w:spacing w:line="360" w:lineRule="auto"/>
              <w:ind w:firstLine="6000"/>
              <w:rPr>
                <w:rFonts w:ascii="仿宋" w:hAnsi="仿宋" w:eastAsia="仿宋" w:cs="仿宋"/>
                <w:sz w:val="24"/>
                <w:szCs w:val="24"/>
                <w:u w:val="single"/>
              </w:rPr>
            </w:pPr>
            <w:r>
              <w:rPr>
                <w:rFonts w:hint="eastAsia" w:ascii="仿宋" w:hAnsi="仿宋" w:eastAsia="仿宋" w:cs="仿宋"/>
                <w:sz w:val="24"/>
                <w:szCs w:val="24"/>
              </w:rPr>
              <w:t>造价工程师</w:t>
            </w:r>
            <w:r>
              <w:rPr>
                <w:rFonts w:ascii="仿宋" w:hAnsi="仿宋" w:eastAsia="仿宋" w:cs="仿宋"/>
                <w:sz w:val="24"/>
                <w:szCs w:val="24"/>
                <w:u w:val="single"/>
              </w:rPr>
              <w:t xml:space="preserve">                </w:t>
            </w:r>
          </w:p>
          <w:p>
            <w:pPr>
              <w:tabs>
                <w:tab w:val="left" w:pos="7272"/>
              </w:tabs>
              <w:spacing w:line="360" w:lineRule="auto"/>
              <w:ind w:firstLine="6000"/>
              <w:rPr>
                <w:rFonts w:ascii="仿宋" w:hAnsi="仿宋" w:eastAsia="仿宋" w:cs="Times New Roman"/>
                <w:sz w:val="24"/>
                <w:szCs w:val="24"/>
                <w:u w:val="single"/>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bl>
    <w:p>
      <w:pPr>
        <w:rPr>
          <w:rFonts w:ascii="仿宋" w:hAnsi="仿宋" w:eastAsia="仿宋" w:cs="Times New Roman"/>
          <w:sz w:val="24"/>
          <w:szCs w:val="24"/>
        </w:rPr>
      </w:pPr>
      <w:r>
        <w:rPr>
          <w:rFonts w:hint="eastAsia" w:ascii="仿宋" w:hAnsi="仿宋" w:eastAsia="仿宋" w:cs="仿宋"/>
          <w:sz w:val="24"/>
          <w:szCs w:val="24"/>
        </w:rPr>
        <w:t>说明：</w:t>
      </w:r>
      <w:r>
        <w:rPr>
          <w:rFonts w:ascii="仿宋" w:hAnsi="仿宋" w:eastAsia="仿宋" w:cs="仿宋"/>
          <w:sz w:val="24"/>
          <w:szCs w:val="24"/>
        </w:rPr>
        <w:t>1</w:t>
      </w:r>
      <w:r>
        <w:rPr>
          <w:rFonts w:hint="eastAsia" w:ascii="仿宋" w:hAnsi="仿宋" w:eastAsia="仿宋" w:cs="仿宋"/>
          <w:sz w:val="24"/>
          <w:szCs w:val="24"/>
        </w:rPr>
        <w:t>．在需要选择的栏中的“□”内作标识“√”。</w:t>
      </w:r>
    </w:p>
    <w:p>
      <w:pPr>
        <w:spacing w:before="120" w:beforeLines="50" w:after="120" w:afterLines="50"/>
        <w:ind w:firstLine="720" w:firstLineChars="300"/>
        <w:rPr>
          <w:rFonts w:ascii="仿宋" w:hAnsi="仿宋" w:eastAsia="仿宋" w:cs="仿宋"/>
          <w:b/>
          <w:bCs/>
          <w:color w:val="000000"/>
          <w:kern w:val="0"/>
          <w:sz w:val="24"/>
          <w:szCs w:val="24"/>
        </w:rPr>
      </w:pPr>
      <w:r>
        <w:rPr>
          <w:rFonts w:ascii="仿宋" w:hAnsi="仿宋" w:eastAsia="仿宋" w:cs="仿宋"/>
          <w:sz w:val="24"/>
          <w:szCs w:val="24"/>
        </w:rPr>
        <w:t>2</w:t>
      </w:r>
      <w:r>
        <w:rPr>
          <w:rFonts w:hint="eastAsia" w:ascii="仿宋" w:hAnsi="仿宋" w:eastAsia="仿宋" w:cs="仿宋"/>
          <w:sz w:val="24"/>
          <w:szCs w:val="24"/>
        </w:rPr>
        <w:t>．本表一式三份，由简历工程师填制</w:t>
      </w:r>
      <w:r>
        <w:rPr>
          <w:rFonts w:ascii="仿宋" w:hAnsi="仿宋" w:eastAsia="仿宋" w:cs="仿宋"/>
          <w:sz w:val="24"/>
          <w:szCs w:val="24"/>
        </w:rPr>
        <w:t>,</w:t>
      </w:r>
      <w:r>
        <w:rPr>
          <w:rFonts w:hint="eastAsia" w:ascii="仿宋" w:hAnsi="仿宋" w:eastAsia="仿宋" w:cs="仿宋"/>
          <w:sz w:val="24"/>
          <w:szCs w:val="24"/>
        </w:rPr>
        <w:t>发包人、监理人、承包人各存一份。</w:t>
      </w:r>
      <w:r>
        <w:rPr>
          <w:rFonts w:ascii="仿宋" w:hAnsi="仿宋" w:eastAsia="仿宋" w:cs="Times New Roman"/>
          <w:sz w:val="24"/>
          <w:szCs w:val="24"/>
        </w:rPr>
        <w:br w:type="page"/>
      </w:r>
      <w:bookmarkStart w:id="769" w:name="_Toc266892938"/>
      <w:r>
        <w:rPr>
          <w:rFonts w:hint="eastAsia" w:ascii="仿宋" w:hAnsi="仿宋" w:eastAsia="仿宋" w:cs="仿宋"/>
          <w:b/>
          <w:bCs/>
          <w:color w:val="000000"/>
          <w:kern w:val="0"/>
          <w:sz w:val="24"/>
          <w:szCs w:val="24"/>
        </w:rPr>
        <w:t>格式</w:t>
      </w:r>
      <w:r>
        <w:rPr>
          <w:rFonts w:ascii="仿宋" w:hAnsi="仿宋" w:eastAsia="仿宋" w:cs="仿宋"/>
          <w:b/>
          <w:bCs/>
          <w:color w:val="000000"/>
          <w:kern w:val="0"/>
          <w:sz w:val="24"/>
          <w:szCs w:val="24"/>
        </w:rPr>
        <w:t>12</w:t>
      </w:r>
      <w:bookmarkEnd w:id="769"/>
    </w:p>
    <w:p>
      <w:pPr>
        <w:spacing w:line="360" w:lineRule="auto"/>
        <w:jc w:val="center"/>
        <w:rPr>
          <w:rFonts w:ascii="仿宋" w:hAnsi="仿宋" w:eastAsia="仿宋" w:cs="Times New Roman"/>
          <w:b/>
          <w:bCs/>
          <w:spacing w:val="30"/>
          <w:sz w:val="44"/>
          <w:szCs w:val="44"/>
        </w:rPr>
      </w:pPr>
      <w:r>
        <w:rPr>
          <w:rFonts w:hint="eastAsia" w:ascii="仿宋" w:hAnsi="仿宋" w:eastAsia="仿宋" w:cs="仿宋"/>
          <w:b/>
          <w:bCs/>
          <w:spacing w:val="30"/>
          <w:sz w:val="44"/>
          <w:szCs w:val="44"/>
        </w:rPr>
        <w:t>工程材料</w:t>
      </w:r>
      <w:r>
        <w:rPr>
          <w:rFonts w:ascii="仿宋" w:hAnsi="仿宋" w:eastAsia="仿宋" w:cs="仿宋"/>
          <w:b/>
          <w:bCs/>
          <w:spacing w:val="30"/>
          <w:sz w:val="44"/>
          <w:szCs w:val="44"/>
        </w:rPr>
        <w:t>/</w:t>
      </w:r>
      <w:r>
        <w:rPr>
          <w:rFonts w:hint="eastAsia" w:ascii="仿宋" w:hAnsi="仿宋" w:eastAsia="仿宋" w:cs="仿宋"/>
          <w:b/>
          <w:bCs/>
          <w:spacing w:val="30"/>
          <w:sz w:val="44"/>
          <w:szCs w:val="44"/>
        </w:rPr>
        <w:t>设备报审表</w:t>
      </w:r>
    </w:p>
    <w:p>
      <w:pPr>
        <w:spacing w:line="360" w:lineRule="auto"/>
        <w:rPr>
          <w:rFonts w:ascii="仿宋" w:hAnsi="仿宋" w:eastAsia="仿宋" w:cs="Times New Roman"/>
          <w:sz w:val="24"/>
          <w:szCs w:val="24"/>
        </w:rPr>
      </w:pPr>
      <w:r>
        <w:rPr>
          <w:rFonts w:hint="eastAsia" w:ascii="仿宋" w:hAnsi="仿宋" w:eastAsia="仿宋" w:cs="仿宋"/>
          <w:sz w:val="24"/>
          <w:szCs w:val="24"/>
        </w:rPr>
        <w:t>工程名称</w:t>
      </w:r>
      <w:r>
        <w:rPr>
          <w:rFonts w:ascii="仿宋" w:hAnsi="仿宋" w:eastAsia="仿宋" w:cs="仿宋"/>
          <w:sz w:val="24"/>
          <w:szCs w:val="24"/>
        </w:rPr>
        <w:t>:</w:t>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编号</w:t>
      </w:r>
      <w:r>
        <w:rPr>
          <w:rFonts w:ascii="仿宋" w:hAnsi="仿宋" w:eastAsia="仿宋" w:cs="仿宋"/>
          <w:sz w:val="24"/>
          <w:szCs w:val="24"/>
        </w:rPr>
        <w:t>:</w:t>
      </w:r>
    </w:p>
    <w:tbl>
      <w:tblPr>
        <w:tblStyle w:val="40"/>
        <w:tblW w:w="10401"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40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717" w:hRule="atLeast"/>
        </w:trPr>
        <w:tc>
          <w:tcPr>
            <w:tcW w:w="10401" w:type="dxa"/>
            <w:vAlign w:val="top"/>
          </w:tcPr>
          <w:p>
            <w:pPr>
              <w:spacing w:before="120" w:line="360" w:lineRule="auto"/>
              <w:ind w:left="-28" w:firstLine="181"/>
              <w:rPr>
                <w:rFonts w:ascii="仿宋" w:hAnsi="仿宋" w:eastAsia="仿宋" w:cs="Times New Roman"/>
                <w:sz w:val="24"/>
                <w:szCs w:val="24"/>
              </w:rPr>
            </w:pPr>
            <w:r>
              <w:rPr>
                <w:rFonts w:hint="eastAsia" w:ascii="仿宋" w:hAnsi="仿宋" w:eastAsia="仿宋" w:cs="仿宋"/>
                <w:sz w:val="24"/>
                <w:szCs w:val="24"/>
              </w:rPr>
              <w:t>致</w:t>
            </w:r>
            <w:r>
              <w:rPr>
                <w:rFonts w:ascii="仿宋" w:hAnsi="仿宋" w:eastAsia="仿宋" w:cs="仿宋"/>
                <w:sz w:val="24"/>
                <w:szCs w:val="24"/>
              </w:rPr>
              <w:t>:</w:t>
            </w:r>
            <w:r>
              <w:rPr>
                <w:rFonts w:ascii="仿宋" w:hAnsi="仿宋" w:eastAsia="仿宋" w:cs="仿宋"/>
                <w:sz w:val="24"/>
                <w:szCs w:val="24"/>
                <w:u w:val="single"/>
              </w:rPr>
              <w:t xml:space="preserve">                                                 </w:t>
            </w:r>
            <w:r>
              <w:rPr>
                <w:rFonts w:hint="eastAsia" w:ascii="仿宋" w:hAnsi="仿宋" w:eastAsia="仿宋" w:cs="仿宋"/>
                <w:sz w:val="24"/>
                <w:szCs w:val="24"/>
              </w:rPr>
              <w:t>（监理人全称）</w:t>
            </w:r>
          </w:p>
          <w:p>
            <w:pPr>
              <w:spacing w:line="360" w:lineRule="auto"/>
              <w:ind w:left="-28" w:firstLine="482"/>
              <w:rPr>
                <w:rFonts w:ascii="仿宋" w:hAnsi="仿宋" w:eastAsia="仿宋" w:cs="Times New Roman"/>
                <w:sz w:val="24"/>
                <w:szCs w:val="24"/>
              </w:rPr>
            </w:pPr>
            <w:r>
              <w:rPr>
                <w:rFonts w:hint="eastAsia" w:ascii="仿宋" w:hAnsi="仿宋" w:eastAsia="仿宋" w:cs="仿宋"/>
                <w:sz w:val="24"/>
                <w:szCs w:val="24"/>
              </w:rPr>
              <w:t>我方于</w:t>
            </w:r>
            <w:r>
              <w:rPr>
                <w:rFonts w:ascii="仿宋" w:hAnsi="仿宋" w:eastAsia="仿宋" w:cs="仿宋"/>
                <w:sz w:val="24"/>
                <w:szCs w:val="24"/>
                <w:u w:val="single"/>
              </w:rPr>
              <w:t xml:space="preserve">         </w:t>
            </w:r>
            <w:r>
              <w:rPr>
                <w:rFonts w:hint="eastAsia" w:ascii="仿宋" w:hAnsi="仿宋" w:eastAsia="仿宋" w:cs="仿宋"/>
                <w:sz w:val="24"/>
                <w:szCs w:val="24"/>
              </w:rPr>
              <w:t>年</w:t>
            </w:r>
            <w:r>
              <w:rPr>
                <w:rFonts w:ascii="仿宋" w:hAnsi="仿宋" w:eastAsia="仿宋" w:cs="仿宋"/>
                <w:sz w:val="24"/>
                <w:szCs w:val="24"/>
                <w:u w:val="single"/>
              </w:rPr>
              <w:t xml:space="preserve">     </w:t>
            </w:r>
            <w:r>
              <w:rPr>
                <w:rFonts w:hint="eastAsia" w:ascii="仿宋" w:hAnsi="仿宋" w:eastAsia="仿宋" w:cs="仿宋"/>
                <w:sz w:val="24"/>
                <w:szCs w:val="24"/>
              </w:rPr>
              <w:t>月</w:t>
            </w:r>
            <w:r>
              <w:rPr>
                <w:rFonts w:ascii="仿宋" w:hAnsi="仿宋" w:eastAsia="仿宋" w:cs="仿宋"/>
                <w:sz w:val="24"/>
                <w:szCs w:val="24"/>
                <w:u w:val="single"/>
              </w:rPr>
              <w:t xml:space="preserve">     </w:t>
            </w:r>
            <w:r>
              <w:rPr>
                <w:rFonts w:hint="eastAsia" w:ascii="仿宋" w:hAnsi="仿宋" w:eastAsia="仿宋" w:cs="仿宋"/>
                <w:sz w:val="24"/>
                <w:szCs w:val="24"/>
              </w:rPr>
              <w:t>日进场的工程</w:t>
            </w:r>
            <w:r>
              <w:rPr>
                <w:rFonts w:hint="eastAsia" w:ascii="仿宋" w:hAnsi="仿宋" w:eastAsia="仿宋" w:cs="仿宋"/>
                <w:sz w:val="32"/>
                <w:szCs w:val="32"/>
              </w:rPr>
              <w:t>□</w:t>
            </w:r>
            <w:r>
              <w:rPr>
                <w:rFonts w:hint="eastAsia" w:ascii="仿宋" w:hAnsi="仿宋" w:eastAsia="仿宋" w:cs="仿宋"/>
                <w:sz w:val="24"/>
                <w:szCs w:val="24"/>
              </w:rPr>
              <w:t>材料</w:t>
            </w:r>
            <w:r>
              <w:rPr>
                <w:rFonts w:hint="eastAsia" w:ascii="仿宋" w:hAnsi="仿宋" w:eastAsia="仿宋" w:cs="仿宋"/>
                <w:sz w:val="32"/>
                <w:szCs w:val="32"/>
              </w:rPr>
              <w:t>□</w:t>
            </w:r>
            <w:r>
              <w:rPr>
                <w:rFonts w:hint="eastAsia" w:ascii="仿宋" w:hAnsi="仿宋" w:eastAsia="仿宋" w:cs="仿宋"/>
                <w:sz w:val="24"/>
                <w:szCs w:val="24"/>
              </w:rPr>
              <w:t>构配件</w:t>
            </w:r>
            <w:r>
              <w:rPr>
                <w:rFonts w:hint="eastAsia" w:ascii="仿宋" w:hAnsi="仿宋" w:eastAsia="仿宋" w:cs="仿宋"/>
                <w:sz w:val="32"/>
                <w:szCs w:val="32"/>
              </w:rPr>
              <w:t>□</w:t>
            </w:r>
            <w:r>
              <w:rPr>
                <w:rFonts w:hint="eastAsia" w:ascii="仿宋" w:hAnsi="仿宋" w:eastAsia="仿宋" w:cs="仿宋"/>
                <w:sz w:val="24"/>
                <w:szCs w:val="24"/>
              </w:rPr>
              <w:t>设备数量如下（见附件）。现提供质量证明文件及自检结果，拟用于下述部位：</w:t>
            </w:r>
          </w:p>
          <w:p>
            <w:pPr>
              <w:spacing w:line="360" w:lineRule="auto"/>
              <w:ind w:left="-28" w:firstLine="482"/>
              <w:rPr>
                <w:rFonts w:ascii="仿宋" w:hAnsi="仿宋" w:eastAsia="仿宋" w:cs="仿宋"/>
                <w:sz w:val="24"/>
                <w:szCs w:val="24"/>
                <w:u w:val="single"/>
              </w:rPr>
            </w:pPr>
            <w:r>
              <w:rPr>
                <w:rFonts w:ascii="仿宋" w:hAnsi="仿宋" w:eastAsia="仿宋" w:cs="仿宋"/>
                <w:sz w:val="24"/>
                <w:szCs w:val="24"/>
                <w:u w:val="single"/>
              </w:rPr>
              <w:t xml:space="preserve">                                                                        </w:t>
            </w:r>
          </w:p>
          <w:p>
            <w:pPr>
              <w:spacing w:line="360" w:lineRule="auto"/>
              <w:ind w:left="-28" w:firstLine="482"/>
              <w:rPr>
                <w:rFonts w:ascii="仿宋" w:hAnsi="仿宋" w:eastAsia="仿宋" w:cs="Times New Roman"/>
                <w:sz w:val="24"/>
                <w:szCs w:val="24"/>
              </w:rPr>
            </w:pPr>
            <w:r>
              <w:rPr>
                <w:rFonts w:ascii="仿宋" w:hAnsi="仿宋" w:eastAsia="仿宋" w:cs="仿宋"/>
                <w:sz w:val="24"/>
                <w:szCs w:val="24"/>
                <w:u w:val="single"/>
              </w:rPr>
              <w:t xml:space="preserve">                                                                        </w:t>
            </w:r>
            <w:r>
              <w:rPr>
                <w:rFonts w:hint="eastAsia" w:ascii="仿宋" w:hAnsi="仿宋" w:eastAsia="仿宋" w:cs="仿宋"/>
                <w:sz w:val="24"/>
                <w:szCs w:val="24"/>
              </w:rPr>
              <w:t>，</w:t>
            </w:r>
          </w:p>
          <w:p>
            <w:pPr>
              <w:spacing w:line="360" w:lineRule="auto"/>
              <w:rPr>
                <w:rFonts w:ascii="仿宋" w:hAnsi="仿宋" w:eastAsia="仿宋" w:cs="Times New Roman"/>
                <w:sz w:val="24"/>
                <w:szCs w:val="24"/>
              </w:rPr>
            </w:pPr>
            <w:r>
              <w:rPr>
                <w:rFonts w:hint="eastAsia" w:ascii="仿宋" w:hAnsi="仿宋" w:eastAsia="仿宋" w:cs="仿宋"/>
                <w:sz w:val="24"/>
                <w:szCs w:val="24"/>
              </w:rPr>
              <w:t>请予以检验和批准。</w:t>
            </w:r>
          </w:p>
          <w:p>
            <w:pPr>
              <w:spacing w:line="360" w:lineRule="auto"/>
              <w:ind w:left="-108" w:firstLine="510"/>
              <w:rPr>
                <w:rFonts w:ascii="仿宋" w:hAnsi="仿宋" w:eastAsia="仿宋" w:cs="Times New Roman"/>
                <w:sz w:val="24"/>
                <w:szCs w:val="24"/>
              </w:rPr>
            </w:pPr>
            <w:r>
              <w:rPr>
                <w:rFonts w:hint="eastAsia" w:ascii="仿宋" w:hAnsi="仿宋" w:eastAsia="仿宋" w:cs="仿宋"/>
                <w:sz w:val="24"/>
                <w:szCs w:val="24"/>
              </w:rPr>
              <w:t>附件</w:t>
            </w:r>
            <w:r>
              <w:rPr>
                <w:rFonts w:ascii="仿宋" w:hAnsi="仿宋" w:eastAsia="仿宋" w:cs="仿宋"/>
                <w:sz w:val="24"/>
                <w:szCs w:val="24"/>
              </w:rPr>
              <w:t>:1</w:t>
            </w:r>
            <w:r>
              <w:rPr>
                <w:rFonts w:hint="eastAsia" w:ascii="仿宋" w:hAnsi="仿宋" w:eastAsia="仿宋" w:cs="仿宋"/>
                <w:sz w:val="24"/>
                <w:szCs w:val="24"/>
              </w:rPr>
              <w:t>．数量清单</w:t>
            </w:r>
          </w:p>
          <w:p>
            <w:pPr>
              <w:spacing w:line="360" w:lineRule="auto"/>
              <w:ind w:left="-108" w:firstLine="1077"/>
              <w:rPr>
                <w:rFonts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．质量证明文件</w:t>
            </w:r>
          </w:p>
          <w:p>
            <w:pPr>
              <w:spacing w:line="360" w:lineRule="auto"/>
              <w:ind w:left="-108" w:firstLine="1077"/>
              <w:rPr>
                <w:rFonts w:ascii="仿宋" w:hAnsi="仿宋" w:eastAsia="仿宋" w:cs="Times New Roman"/>
                <w:sz w:val="24"/>
                <w:szCs w:val="24"/>
              </w:rPr>
            </w:pPr>
            <w:r>
              <w:rPr>
                <w:rFonts w:ascii="仿宋" w:hAnsi="仿宋" w:eastAsia="仿宋" w:cs="仿宋"/>
                <w:sz w:val="24"/>
                <w:szCs w:val="24"/>
              </w:rPr>
              <w:t>3</w:t>
            </w:r>
            <w:r>
              <w:rPr>
                <w:rFonts w:hint="eastAsia" w:ascii="仿宋" w:hAnsi="仿宋" w:eastAsia="仿宋" w:cs="仿宋"/>
                <w:sz w:val="24"/>
                <w:szCs w:val="24"/>
              </w:rPr>
              <w:t>．自检结果</w:t>
            </w:r>
          </w:p>
          <w:p>
            <w:pPr>
              <w:spacing w:line="360" w:lineRule="auto"/>
              <w:ind w:left="-28"/>
              <w:rPr>
                <w:rFonts w:ascii="仿宋" w:hAnsi="仿宋" w:eastAsia="仿宋" w:cs="Times New Roman"/>
                <w:sz w:val="24"/>
                <w:szCs w:val="24"/>
              </w:rPr>
            </w:pPr>
          </w:p>
          <w:p>
            <w:pPr>
              <w:spacing w:line="360" w:lineRule="auto"/>
              <w:ind w:left="-28"/>
              <w:rPr>
                <w:rFonts w:ascii="仿宋" w:hAnsi="仿宋" w:eastAsia="仿宋" w:cs="Times New Roman"/>
                <w:sz w:val="24"/>
                <w:szCs w:val="24"/>
              </w:rPr>
            </w:pPr>
          </w:p>
          <w:p>
            <w:pPr>
              <w:spacing w:line="360" w:lineRule="auto"/>
              <w:ind w:left="-28"/>
              <w:rPr>
                <w:rFonts w:ascii="仿宋" w:hAnsi="仿宋" w:eastAsia="仿宋" w:cs="Times New Roman"/>
                <w:sz w:val="24"/>
                <w:szCs w:val="24"/>
              </w:rPr>
            </w:pPr>
          </w:p>
          <w:p>
            <w:pPr>
              <w:spacing w:line="360" w:lineRule="auto"/>
              <w:rPr>
                <w:rFonts w:ascii="仿宋" w:hAnsi="仿宋" w:eastAsia="仿宋" w:cs="Times New Roman"/>
                <w:sz w:val="24"/>
                <w:szCs w:val="24"/>
                <w:u w:val="single"/>
              </w:rPr>
            </w:pPr>
            <w:r>
              <w:rPr>
                <w:rFonts w:ascii="仿宋" w:hAnsi="仿宋" w:eastAsia="仿宋" w:cs="仿宋"/>
                <w:sz w:val="24"/>
                <w:szCs w:val="24"/>
              </w:rPr>
              <w:t xml:space="preserve">                                                  </w:t>
            </w:r>
            <w:r>
              <w:rPr>
                <w:rFonts w:hint="eastAsia" w:ascii="仿宋" w:hAnsi="仿宋" w:eastAsia="仿宋" w:cs="仿宋"/>
                <w:sz w:val="24"/>
                <w:szCs w:val="24"/>
              </w:rPr>
              <w:t>承包人（章）</w:t>
            </w:r>
            <w:r>
              <w:rPr>
                <w:rFonts w:ascii="仿宋" w:hAnsi="仿宋" w:eastAsia="仿宋" w:cs="仿宋"/>
                <w:sz w:val="24"/>
                <w:szCs w:val="24"/>
              </w:rPr>
              <w:t xml:space="preserve">                 </w:t>
            </w:r>
          </w:p>
          <w:p>
            <w:pPr>
              <w:spacing w:line="360" w:lineRule="auto"/>
              <w:ind w:firstLine="6000" w:firstLineChars="2500"/>
              <w:rPr>
                <w:rFonts w:ascii="仿宋" w:hAnsi="仿宋" w:eastAsia="仿宋" w:cs="仿宋"/>
                <w:sz w:val="24"/>
                <w:szCs w:val="24"/>
                <w:u w:val="single"/>
              </w:rPr>
            </w:pPr>
            <w:r>
              <w:rPr>
                <w:rFonts w:hint="eastAsia" w:ascii="仿宋" w:hAnsi="仿宋" w:eastAsia="仿宋" w:cs="仿宋"/>
                <w:sz w:val="24"/>
                <w:szCs w:val="24"/>
              </w:rPr>
              <w:t>承包人代表</w:t>
            </w:r>
            <w:r>
              <w:rPr>
                <w:rFonts w:ascii="仿宋" w:hAnsi="仿宋" w:eastAsia="仿宋" w:cs="仿宋"/>
                <w:sz w:val="24"/>
                <w:szCs w:val="24"/>
                <w:u w:val="single"/>
              </w:rPr>
              <w:t xml:space="preserve">                </w:t>
            </w:r>
          </w:p>
          <w:p>
            <w:pPr>
              <w:spacing w:line="360" w:lineRule="auto"/>
              <w:ind w:firstLine="6012"/>
              <w:rPr>
                <w:rFonts w:ascii="仿宋" w:hAnsi="仿宋" w:eastAsia="仿宋" w:cs="Times New Roman"/>
                <w:sz w:val="24"/>
                <w:szCs w:val="24"/>
                <w:u w:val="single"/>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70" w:hRule="atLeast"/>
        </w:trPr>
        <w:tc>
          <w:tcPr>
            <w:tcW w:w="10401" w:type="dxa"/>
            <w:tcBorders>
              <w:bottom w:val="single" w:color="auto" w:sz="4" w:space="0"/>
            </w:tcBorders>
            <w:vAlign w:val="top"/>
          </w:tcPr>
          <w:p>
            <w:pPr>
              <w:spacing w:line="360" w:lineRule="auto"/>
              <w:rPr>
                <w:rFonts w:ascii="仿宋" w:hAnsi="仿宋" w:eastAsia="仿宋" w:cs="Times New Roman"/>
                <w:sz w:val="24"/>
                <w:szCs w:val="24"/>
              </w:rPr>
            </w:pPr>
            <w:r>
              <w:rPr>
                <w:rFonts w:hint="eastAsia" w:ascii="仿宋" w:hAnsi="仿宋" w:eastAsia="仿宋" w:cs="仿宋"/>
                <w:sz w:val="24"/>
                <w:szCs w:val="24"/>
              </w:rPr>
              <w:t>审查意见：</w:t>
            </w:r>
          </w:p>
          <w:p>
            <w:pPr>
              <w:spacing w:line="360" w:lineRule="auto"/>
              <w:ind w:left="-28" w:firstLine="454"/>
              <w:rPr>
                <w:rFonts w:ascii="仿宋" w:hAnsi="仿宋" w:eastAsia="仿宋" w:cs="Times New Roman"/>
                <w:sz w:val="24"/>
                <w:szCs w:val="24"/>
              </w:rPr>
            </w:pPr>
            <w:r>
              <w:rPr>
                <w:rFonts w:hint="eastAsia" w:ascii="仿宋" w:hAnsi="仿宋" w:eastAsia="仿宋" w:cs="仿宋"/>
                <w:sz w:val="24"/>
                <w:szCs w:val="24"/>
              </w:rPr>
              <w:t>经检查上述工程</w:t>
            </w:r>
            <w:r>
              <w:rPr>
                <w:rFonts w:hint="eastAsia" w:ascii="仿宋" w:hAnsi="仿宋" w:eastAsia="仿宋" w:cs="仿宋"/>
                <w:sz w:val="32"/>
                <w:szCs w:val="32"/>
              </w:rPr>
              <w:t>□</w:t>
            </w:r>
            <w:r>
              <w:rPr>
                <w:rFonts w:hint="eastAsia" w:ascii="仿宋" w:hAnsi="仿宋" w:eastAsia="仿宋" w:cs="仿宋"/>
                <w:sz w:val="24"/>
                <w:szCs w:val="24"/>
              </w:rPr>
              <w:t>材料</w:t>
            </w:r>
            <w:r>
              <w:rPr>
                <w:rFonts w:hint="eastAsia" w:ascii="仿宋" w:hAnsi="仿宋" w:eastAsia="仿宋" w:cs="仿宋"/>
                <w:sz w:val="32"/>
                <w:szCs w:val="32"/>
              </w:rPr>
              <w:t>□</w:t>
            </w:r>
            <w:r>
              <w:rPr>
                <w:rFonts w:hint="eastAsia" w:ascii="仿宋" w:hAnsi="仿宋" w:eastAsia="仿宋" w:cs="仿宋"/>
                <w:sz w:val="24"/>
                <w:szCs w:val="24"/>
              </w:rPr>
              <w:t>构配件</w:t>
            </w:r>
            <w:r>
              <w:rPr>
                <w:rFonts w:hint="eastAsia" w:ascii="仿宋" w:hAnsi="仿宋" w:eastAsia="仿宋" w:cs="仿宋"/>
                <w:sz w:val="32"/>
                <w:szCs w:val="32"/>
              </w:rPr>
              <w:t>□工程</w:t>
            </w:r>
            <w:r>
              <w:rPr>
                <w:rFonts w:hint="eastAsia" w:ascii="仿宋" w:hAnsi="仿宋" w:eastAsia="仿宋" w:cs="仿宋"/>
                <w:sz w:val="24"/>
                <w:szCs w:val="24"/>
              </w:rPr>
              <w:t>设备，（</w:t>
            </w:r>
            <w:r>
              <w:rPr>
                <w:rFonts w:hint="eastAsia" w:ascii="仿宋" w:hAnsi="仿宋" w:eastAsia="仿宋" w:cs="仿宋"/>
                <w:sz w:val="32"/>
                <w:szCs w:val="32"/>
              </w:rPr>
              <w:t>□</w:t>
            </w:r>
            <w:r>
              <w:rPr>
                <w:rFonts w:hint="eastAsia" w:ascii="仿宋" w:hAnsi="仿宋" w:eastAsia="仿宋" w:cs="仿宋"/>
                <w:sz w:val="24"/>
                <w:szCs w:val="24"/>
              </w:rPr>
              <w:t>符合</w:t>
            </w:r>
            <w:r>
              <w:rPr>
                <w:rFonts w:ascii="仿宋" w:hAnsi="仿宋" w:eastAsia="仿宋" w:cs="仿宋"/>
                <w:sz w:val="24"/>
                <w:szCs w:val="24"/>
              </w:rPr>
              <w:t>/</w:t>
            </w:r>
            <w:r>
              <w:rPr>
                <w:rFonts w:hint="eastAsia" w:ascii="仿宋" w:hAnsi="仿宋" w:eastAsia="仿宋" w:cs="仿宋"/>
                <w:sz w:val="32"/>
                <w:szCs w:val="32"/>
              </w:rPr>
              <w:t>□</w:t>
            </w:r>
            <w:r>
              <w:rPr>
                <w:rFonts w:hint="eastAsia" w:ascii="仿宋" w:hAnsi="仿宋" w:eastAsia="仿宋" w:cs="仿宋"/>
                <w:sz w:val="24"/>
                <w:szCs w:val="24"/>
              </w:rPr>
              <w:t>不符合）标准与规范、设计要求，（</w:t>
            </w:r>
            <w:r>
              <w:rPr>
                <w:rFonts w:hint="eastAsia" w:ascii="仿宋" w:hAnsi="仿宋" w:eastAsia="仿宋" w:cs="仿宋"/>
                <w:sz w:val="32"/>
                <w:szCs w:val="32"/>
              </w:rPr>
              <w:t>□</w:t>
            </w:r>
            <w:r>
              <w:rPr>
                <w:rFonts w:hint="eastAsia" w:ascii="仿宋" w:hAnsi="仿宋" w:eastAsia="仿宋" w:cs="仿宋"/>
                <w:sz w:val="24"/>
                <w:szCs w:val="24"/>
              </w:rPr>
              <w:t>准许</w:t>
            </w:r>
            <w:r>
              <w:rPr>
                <w:rFonts w:ascii="仿宋" w:hAnsi="仿宋" w:eastAsia="仿宋" w:cs="仿宋"/>
                <w:sz w:val="24"/>
                <w:szCs w:val="24"/>
              </w:rPr>
              <w:t>/</w:t>
            </w:r>
            <w:r>
              <w:rPr>
                <w:rFonts w:hint="eastAsia" w:ascii="仿宋" w:hAnsi="仿宋" w:eastAsia="仿宋" w:cs="仿宋"/>
                <w:sz w:val="32"/>
                <w:szCs w:val="32"/>
              </w:rPr>
              <w:t>□</w:t>
            </w:r>
            <w:r>
              <w:rPr>
                <w:rFonts w:hint="eastAsia" w:ascii="仿宋" w:hAnsi="仿宋" w:eastAsia="仿宋" w:cs="仿宋"/>
                <w:sz w:val="24"/>
                <w:szCs w:val="24"/>
              </w:rPr>
              <w:t>不准许）进场，（</w:t>
            </w:r>
            <w:r>
              <w:rPr>
                <w:rFonts w:hint="eastAsia" w:ascii="仿宋" w:hAnsi="仿宋" w:eastAsia="仿宋" w:cs="仿宋"/>
                <w:sz w:val="32"/>
                <w:szCs w:val="32"/>
              </w:rPr>
              <w:t>□</w:t>
            </w:r>
            <w:r>
              <w:rPr>
                <w:rFonts w:hint="eastAsia" w:ascii="仿宋" w:hAnsi="仿宋" w:eastAsia="仿宋" w:cs="仿宋"/>
                <w:sz w:val="24"/>
                <w:szCs w:val="24"/>
              </w:rPr>
              <w:t>同意</w:t>
            </w:r>
            <w:r>
              <w:rPr>
                <w:rFonts w:ascii="仿宋" w:hAnsi="仿宋" w:eastAsia="仿宋" w:cs="仿宋"/>
                <w:sz w:val="24"/>
                <w:szCs w:val="24"/>
              </w:rPr>
              <w:t>/</w:t>
            </w:r>
            <w:r>
              <w:rPr>
                <w:rFonts w:hint="eastAsia" w:ascii="仿宋" w:hAnsi="仿宋" w:eastAsia="仿宋" w:cs="仿宋"/>
                <w:sz w:val="32"/>
                <w:szCs w:val="32"/>
              </w:rPr>
              <w:t>□</w:t>
            </w:r>
            <w:r>
              <w:rPr>
                <w:rFonts w:hint="eastAsia" w:ascii="仿宋" w:hAnsi="仿宋" w:eastAsia="仿宋" w:cs="仿宋"/>
                <w:sz w:val="24"/>
                <w:szCs w:val="24"/>
              </w:rPr>
              <w:t>不同意）使用于拟定部位。</w:t>
            </w:r>
          </w:p>
          <w:p>
            <w:pPr>
              <w:spacing w:line="360" w:lineRule="auto"/>
              <w:ind w:firstLine="6000" w:firstLineChars="2500"/>
              <w:rPr>
                <w:rFonts w:ascii="仿宋" w:hAnsi="仿宋" w:eastAsia="仿宋" w:cs="Times New Roman"/>
                <w:sz w:val="24"/>
                <w:szCs w:val="24"/>
              </w:rPr>
            </w:pPr>
          </w:p>
          <w:p>
            <w:pPr>
              <w:spacing w:line="360" w:lineRule="auto"/>
              <w:ind w:firstLine="6000" w:firstLineChars="2500"/>
              <w:rPr>
                <w:rFonts w:ascii="仿宋" w:hAnsi="仿宋" w:eastAsia="仿宋" w:cs="Times New Roman"/>
                <w:sz w:val="24"/>
                <w:szCs w:val="24"/>
              </w:rPr>
            </w:pPr>
          </w:p>
          <w:p>
            <w:pPr>
              <w:spacing w:line="360" w:lineRule="auto"/>
              <w:ind w:firstLine="6000" w:firstLineChars="2500"/>
              <w:rPr>
                <w:rFonts w:ascii="仿宋" w:hAnsi="仿宋" w:eastAsia="仿宋" w:cs="Times New Roman"/>
                <w:sz w:val="24"/>
                <w:szCs w:val="24"/>
                <w:u w:val="single"/>
              </w:rPr>
            </w:pPr>
            <w:r>
              <w:rPr>
                <w:rFonts w:hint="eastAsia" w:ascii="仿宋" w:hAnsi="仿宋" w:eastAsia="仿宋" w:cs="仿宋"/>
                <w:sz w:val="24"/>
                <w:szCs w:val="24"/>
              </w:rPr>
              <w:t>监理人（章）</w:t>
            </w:r>
            <w:r>
              <w:rPr>
                <w:rFonts w:ascii="仿宋" w:hAnsi="仿宋" w:eastAsia="仿宋" w:cs="仿宋"/>
                <w:sz w:val="24"/>
                <w:szCs w:val="24"/>
              </w:rPr>
              <w:t xml:space="preserve">                 </w:t>
            </w:r>
          </w:p>
          <w:p>
            <w:pPr>
              <w:spacing w:line="360" w:lineRule="auto"/>
              <w:ind w:firstLine="6000" w:firstLineChars="2500"/>
              <w:rPr>
                <w:rFonts w:ascii="仿宋" w:hAnsi="仿宋" w:eastAsia="仿宋" w:cs="仿宋"/>
                <w:sz w:val="24"/>
                <w:szCs w:val="24"/>
                <w:u w:val="single"/>
              </w:rPr>
            </w:pPr>
            <w:r>
              <w:rPr>
                <w:rFonts w:hint="eastAsia" w:ascii="仿宋" w:hAnsi="仿宋" w:eastAsia="仿宋" w:cs="仿宋"/>
                <w:sz w:val="24"/>
                <w:szCs w:val="24"/>
              </w:rPr>
              <w:t>监理工程师</w:t>
            </w:r>
            <w:r>
              <w:rPr>
                <w:rFonts w:ascii="仿宋" w:hAnsi="仿宋" w:eastAsia="仿宋" w:cs="仿宋"/>
                <w:sz w:val="24"/>
                <w:szCs w:val="24"/>
                <w:u w:val="single"/>
              </w:rPr>
              <w:t xml:space="preserve">                 </w:t>
            </w:r>
          </w:p>
          <w:p>
            <w:pPr>
              <w:spacing w:line="360" w:lineRule="auto"/>
              <w:ind w:firstLine="6000" w:firstLineChars="2500"/>
              <w:rPr>
                <w:rFonts w:ascii="仿宋" w:hAnsi="仿宋" w:eastAsia="仿宋" w:cs="Times New Roman"/>
                <w:sz w:val="24"/>
                <w:szCs w:val="24"/>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r>
              <w:rPr>
                <w:rFonts w:ascii="仿宋" w:hAnsi="仿宋" w:eastAsia="仿宋" w:cs="仿宋"/>
                <w:sz w:val="24"/>
                <w:szCs w:val="24"/>
              </w:rPr>
              <w:t xml:space="preserve"> </w:t>
            </w:r>
          </w:p>
        </w:tc>
      </w:tr>
    </w:tbl>
    <w:p>
      <w:pPr>
        <w:rPr>
          <w:rFonts w:ascii="仿宋" w:hAnsi="仿宋" w:eastAsia="仿宋" w:cs="Times New Roman"/>
          <w:sz w:val="24"/>
          <w:szCs w:val="24"/>
        </w:rPr>
      </w:pPr>
      <w:r>
        <w:rPr>
          <w:rFonts w:hint="eastAsia" w:ascii="仿宋" w:hAnsi="仿宋" w:eastAsia="仿宋" w:cs="仿宋"/>
          <w:sz w:val="24"/>
          <w:szCs w:val="24"/>
        </w:rPr>
        <w:t>说明：</w:t>
      </w:r>
      <w:r>
        <w:rPr>
          <w:rFonts w:ascii="仿宋" w:hAnsi="仿宋" w:eastAsia="仿宋" w:cs="仿宋"/>
          <w:sz w:val="24"/>
          <w:szCs w:val="24"/>
        </w:rPr>
        <w:t>1</w:t>
      </w:r>
      <w:r>
        <w:rPr>
          <w:rFonts w:hint="eastAsia" w:ascii="仿宋" w:hAnsi="仿宋" w:eastAsia="仿宋" w:cs="仿宋"/>
          <w:sz w:val="24"/>
          <w:szCs w:val="24"/>
        </w:rPr>
        <w:t>．在需要选择的栏中的“</w:t>
      </w:r>
      <w:r>
        <w:rPr>
          <w:rFonts w:hint="eastAsia" w:ascii="仿宋" w:hAnsi="仿宋" w:eastAsia="仿宋" w:cs="仿宋"/>
          <w:sz w:val="32"/>
          <w:szCs w:val="32"/>
        </w:rPr>
        <w:t>□</w:t>
      </w:r>
      <w:r>
        <w:rPr>
          <w:rFonts w:hint="eastAsia" w:ascii="仿宋" w:hAnsi="仿宋" w:eastAsia="仿宋" w:cs="仿宋"/>
          <w:sz w:val="24"/>
          <w:szCs w:val="24"/>
        </w:rPr>
        <w:t>”内作标识“√”。</w:t>
      </w:r>
    </w:p>
    <w:p>
      <w:pPr>
        <w:ind w:left="720"/>
        <w:rPr>
          <w:rFonts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本表一式三份，由承包人、监理人按合同规定程序填制，并连同发包人各存一份。</w:t>
      </w:r>
    </w:p>
    <w:p>
      <w:pPr>
        <w:spacing w:before="120" w:beforeLines="50" w:after="120" w:afterLines="50" w:line="360" w:lineRule="auto"/>
        <w:outlineLvl w:val="1"/>
        <w:rPr>
          <w:rFonts w:ascii="仿宋" w:hAnsi="仿宋" w:eastAsia="仿宋" w:cs="仿宋"/>
          <w:b/>
          <w:bCs/>
          <w:color w:val="000000"/>
          <w:kern w:val="0"/>
          <w:sz w:val="24"/>
          <w:szCs w:val="24"/>
        </w:rPr>
      </w:pPr>
      <w:r>
        <w:rPr>
          <w:rFonts w:ascii="仿宋" w:hAnsi="仿宋" w:eastAsia="仿宋" w:cs="Times New Roman"/>
          <w:kern w:val="0"/>
          <w:sz w:val="24"/>
          <w:szCs w:val="24"/>
        </w:rPr>
        <w:br w:type="page"/>
      </w:r>
      <w:bookmarkStart w:id="770" w:name="_Toc266892939"/>
      <w:bookmarkStart w:id="771" w:name="_Toc10624998"/>
      <w:bookmarkStart w:id="772" w:name="_Toc469384154"/>
      <w:r>
        <w:rPr>
          <w:rFonts w:hint="eastAsia" w:ascii="仿宋" w:hAnsi="仿宋" w:eastAsia="仿宋" w:cs="仿宋"/>
          <w:b/>
          <w:bCs/>
          <w:color w:val="000000"/>
          <w:kern w:val="0"/>
          <w:sz w:val="24"/>
          <w:szCs w:val="24"/>
        </w:rPr>
        <w:t>格式</w:t>
      </w:r>
      <w:r>
        <w:rPr>
          <w:rFonts w:ascii="仿宋" w:hAnsi="仿宋" w:eastAsia="仿宋" w:cs="仿宋"/>
          <w:b/>
          <w:bCs/>
          <w:color w:val="000000"/>
          <w:kern w:val="0"/>
          <w:sz w:val="24"/>
          <w:szCs w:val="24"/>
        </w:rPr>
        <w:t>13</w:t>
      </w:r>
      <w:bookmarkEnd w:id="770"/>
      <w:bookmarkEnd w:id="771"/>
      <w:bookmarkEnd w:id="772"/>
    </w:p>
    <w:p>
      <w:pPr>
        <w:spacing w:line="360" w:lineRule="auto"/>
        <w:jc w:val="center"/>
        <w:rPr>
          <w:rFonts w:ascii="仿宋" w:hAnsi="仿宋" w:eastAsia="仿宋" w:cs="Times New Roman"/>
          <w:b/>
          <w:bCs/>
          <w:spacing w:val="30"/>
          <w:sz w:val="44"/>
          <w:szCs w:val="44"/>
        </w:rPr>
      </w:pPr>
      <w:r>
        <w:rPr>
          <w:rFonts w:hint="eastAsia" w:ascii="仿宋" w:hAnsi="仿宋" w:eastAsia="仿宋" w:cs="仿宋"/>
          <w:b/>
          <w:bCs/>
          <w:spacing w:val="30"/>
          <w:sz w:val="44"/>
          <w:szCs w:val="44"/>
        </w:rPr>
        <w:t>隐蔽工程</w:t>
      </w:r>
      <w:r>
        <w:rPr>
          <w:rFonts w:ascii="仿宋" w:hAnsi="仿宋" w:eastAsia="仿宋" w:cs="仿宋"/>
          <w:b/>
          <w:bCs/>
          <w:spacing w:val="30"/>
          <w:sz w:val="44"/>
          <w:szCs w:val="44"/>
        </w:rPr>
        <w:t>/</w:t>
      </w:r>
      <w:r>
        <w:rPr>
          <w:rFonts w:hint="eastAsia" w:ascii="仿宋" w:hAnsi="仿宋" w:eastAsia="仿宋" w:cs="仿宋"/>
          <w:b/>
          <w:bCs/>
          <w:spacing w:val="30"/>
          <w:sz w:val="44"/>
          <w:szCs w:val="44"/>
        </w:rPr>
        <w:t>中间验收报告</w:t>
      </w:r>
    </w:p>
    <w:p>
      <w:pPr>
        <w:spacing w:line="360" w:lineRule="auto"/>
        <w:rPr>
          <w:rFonts w:ascii="仿宋" w:hAnsi="仿宋" w:eastAsia="仿宋" w:cs="Times New Roman"/>
          <w:sz w:val="24"/>
          <w:szCs w:val="24"/>
        </w:rPr>
      </w:pPr>
      <w:r>
        <w:rPr>
          <w:rFonts w:hint="eastAsia" w:ascii="仿宋" w:hAnsi="仿宋" w:eastAsia="仿宋" w:cs="仿宋"/>
          <w:sz w:val="24"/>
          <w:szCs w:val="24"/>
        </w:rPr>
        <w:t>工程名称</w:t>
      </w:r>
      <w:r>
        <w:rPr>
          <w:rFonts w:ascii="仿宋" w:hAnsi="仿宋" w:eastAsia="仿宋" w:cs="仿宋"/>
          <w:sz w:val="24"/>
          <w:szCs w:val="24"/>
        </w:rPr>
        <w:t>:</w:t>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编号</w:t>
      </w:r>
      <w:r>
        <w:rPr>
          <w:rFonts w:ascii="仿宋" w:hAnsi="仿宋" w:eastAsia="仿宋" w:cs="仿宋"/>
          <w:sz w:val="24"/>
          <w:szCs w:val="24"/>
        </w:rPr>
        <w:t>:</w:t>
      </w:r>
    </w:p>
    <w:tbl>
      <w:tblPr>
        <w:tblStyle w:val="40"/>
        <w:tblW w:w="10445"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44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95" w:hRule="atLeast"/>
        </w:trPr>
        <w:tc>
          <w:tcPr>
            <w:tcW w:w="10445" w:type="dxa"/>
            <w:vAlign w:val="top"/>
          </w:tcPr>
          <w:p>
            <w:pPr>
              <w:spacing w:before="120" w:line="360" w:lineRule="auto"/>
              <w:rPr>
                <w:rFonts w:ascii="仿宋" w:hAnsi="仿宋" w:eastAsia="仿宋" w:cs="Times New Roman"/>
                <w:sz w:val="24"/>
                <w:szCs w:val="24"/>
              </w:rPr>
            </w:pPr>
            <w:r>
              <w:rPr>
                <w:rFonts w:hint="eastAsia" w:ascii="仿宋" w:hAnsi="仿宋" w:eastAsia="仿宋" w:cs="仿宋"/>
                <w:sz w:val="24"/>
                <w:szCs w:val="24"/>
              </w:rPr>
              <w:t>致</w:t>
            </w:r>
            <w:r>
              <w:rPr>
                <w:rFonts w:ascii="仿宋" w:hAnsi="仿宋" w:eastAsia="仿宋" w:cs="仿宋"/>
                <w:sz w:val="24"/>
                <w:szCs w:val="24"/>
              </w:rPr>
              <w:t>:</w:t>
            </w:r>
            <w:r>
              <w:rPr>
                <w:rFonts w:ascii="仿宋" w:hAnsi="仿宋" w:eastAsia="仿宋" w:cs="仿宋"/>
                <w:sz w:val="24"/>
                <w:szCs w:val="24"/>
                <w:u w:val="single"/>
              </w:rPr>
              <w:t xml:space="preserve">                                                  </w:t>
            </w:r>
            <w:r>
              <w:rPr>
                <w:rFonts w:hint="eastAsia" w:ascii="仿宋" w:hAnsi="仿宋" w:eastAsia="仿宋" w:cs="仿宋"/>
                <w:sz w:val="24"/>
                <w:szCs w:val="24"/>
              </w:rPr>
              <w:t>（监理人全称）</w:t>
            </w:r>
          </w:p>
          <w:p>
            <w:pPr>
              <w:spacing w:line="360" w:lineRule="auto"/>
              <w:ind w:firstLine="480" w:firstLineChars="200"/>
              <w:rPr>
                <w:rFonts w:ascii="仿宋" w:hAnsi="仿宋" w:eastAsia="仿宋" w:cs="Times New Roman"/>
                <w:sz w:val="24"/>
                <w:szCs w:val="24"/>
              </w:rPr>
            </w:pPr>
            <w:r>
              <w:rPr>
                <w:rFonts w:hint="eastAsia" w:ascii="仿宋" w:hAnsi="仿宋" w:eastAsia="仿宋" w:cs="仿宋"/>
                <w:sz w:val="24"/>
                <w:szCs w:val="24"/>
              </w:rPr>
              <w:t>我方已完成了</w:t>
            </w:r>
            <w:r>
              <w:rPr>
                <w:rFonts w:ascii="仿宋" w:hAnsi="仿宋" w:eastAsia="仿宋" w:cs="仿宋"/>
                <w:sz w:val="24"/>
                <w:szCs w:val="24"/>
                <w:u w:val="single"/>
              </w:rPr>
              <w:t xml:space="preserve">                                     </w:t>
            </w:r>
            <w:r>
              <w:rPr>
                <w:rFonts w:hint="eastAsia" w:ascii="仿宋" w:hAnsi="仿宋" w:eastAsia="仿宋" w:cs="仿宋"/>
                <w:sz w:val="24"/>
                <w:szCs w:val="24"/>
              </w:rPr>
              <w:t>工作</w:t>
            </w:r>
            <w:r>
              <w:rPr>
                <w:rFonts w:ascii="仿宋" w:hAnsi="仿宋" w:eastAsia="仿宋" w:cs="仿宋"/>
                <w:sz w:val="24"/>
                <w:szCs w:val="24"/>
              </w:rPr>
              <w:t>,</w:t>
            </w:r>
            <w:r>
              <w:rPr>
                <w:rFonts w:hint="eastAsia" w:ascii="仿宋" w:hAnsi="仿宋" w:eastAsia="仿宋" w:cs="仿宋"/>
                <w:sz w:val="24"/>
                <w:szCs w:val="24"/>
              </w:rPr>
              <w:t>经自检合格，现提出</w:t>
            </w:r>
          </w:p>
          <w:p>
            <w:pPr>
              <w:spacing w:line="360" w:lineRule="auto"/>
              <w:jc w:val="left"/>
              <w:rPr>
                <w:rFonts w:ascii="仿宋" w:hAnsi="仿宋" w:eastAsia="仿宋" w:cs="Times New Roman"/>
                <w:sz w:val="24"/>
                <w:szCs w:val="24"/>
              </w:rPr>
            </w:pPr>
            <w:r>
              <w:rPr>
                <w:rFonts w:hint="eastAsia" w:ascii="仿宋" w:hAnsi="仿宋" w:eastAsia="仿宋" w:cs="仿宋"/>
                <w:sz w:val="32"/>
                <w:szCs w:val="32"/>
              </w:rPr>
              <w:t>□</w:t>
            </w:r>
            <w:r>
              <w:rPr>
                <w:rFonts w:hint="eastAsia" w:ascii="仿宋" w:hAnsi="仿宋" w:eastAsia="仿宋" w:cs="仿宋"/>
                <w:sz w:val="24"/>
                <w:szCs w:val="24"/>
              </w:rPr>
              <w:t>隐蔽工程</w:t>
            </w:r>
            <w:r>
              <w:rPr>
                <w:rFonts w:ascii="仿宋" w:hAnsi="仿宋" w:eastAsia="仿宋" w:cs="仿宋"/>
                <w:sz w:val="24"/>
                <w:szCs w:val="24"/>
              </w:rPr>
              <w:t>/</w:t>
            </w:r>
            <w:r>
              <w:rPr>
                <w:rFonts w:hint="eastAsia" w:ascii="仿宋" w:hAnsi="仿宋" w:eastAsia="仿宋" w:cs="仿宋"/>
                <w:sz w:val="32"/>
                <w:szCs w:val="32"/>
              </w:rPr>
              <w:t>□</w:t>
            </w:r>
            <w:r>
              <w:rPr>
                <w:rFonts w:hint="eastAsia" w:ascii="仿宋" w:hAnsi="仿宋" w:eastAsia="仿宋" w:cs="仿宋"/>
                <w:sz w:val="24"/>
                <w:szCs w:val="24"/>
              </w:rPr>
              <w:t>中间验收（内容见附件）申请，请予审验收。</w:t>
            </w:r>
          </w:p>
          <w:p>
            <w:pPr>
              <w:spacing w:line="360" w:lineRule="auto"/>
              <w:ind w:firstLine="417"/>
              <w:rPr>
                <w:rFonts w:ascii="仿宋" w:hAnsi="仿宋" w:eastAsia="仿宋" w:cs="仿宋"/>
                <w:sz w:val="24"/>
                <w:szCs w:val="24"/>
              </w:rPr>
            </w:pPr>
            <w:r>
              <w:rPr>
                <w:rFonts w:hint="eastAsia" w:ascii="仿宋" w:hAnsi="仿宋" w:eastAsia="仿宋" w:cs="仿宋"/>
                <w:sz w:val="24"/>
                <w:szCs w:val="24"/>
              </w:rPr>
              <w:t>附件</w:t>
            </w:r>
            <w:r>
              <w:rPr>
                <w:rFonts w:ascii="仿宋" w:hAnsi="仿宋" w:eastAsia="仿宋" w:cs="仿宋"/>
                <w:sz w:val="24"/>
                <w:szCs w:val="24"/>
              </w:rPr>
              <w:t>:</w:t>
            </w:r>
          </w:p>
          <w:p>
            <w:pPr>
              <w:spacing w:line="360" w:lineRule="auto"/>
              <w:rPr>
                <w:rFonts w:ascii="仿宋" w:hAnsi="仿宋" w:eastAsia="仿宋" w:cs="Times New Roman"/>
                <w:sz w:val="24"/>
                <w:szCs w:val="24"/>
              </w:rPr>
            </w:pPr>
          </w:p>
          <w:p>
            <w:pPr>
              <w:spacing w:line="360" w:lineRule="auto"/>
              <w:rPr>
                <w:rFonts w:ascii="仿宋" w:hAnsi="仿宋" w:eastAsia="仿宋" w:cs="Times New Roman"/>
                <w:sz w:val="24"/>
                <w:szCs w:val="24"/>
              </w:rPr>
            </w:pPr>
          </w:p>
          <w:p>
            <w:pPr>
              <w:spacing w:line="360" w:lineRule="auto"/>
              <w:rPr>
                <w:rFonts w:ascii="仿宋" w:hAnsi="仿宋" w:eastAsia="仿宋" w:cs="Times New Roman"/>
                <w:sz w:val="24"/>
                <w:szCs w:val="24"/>
                <w:u w:val="single"/>
              </w:rPr>
            </w:pPr>
            <w:r>
              <w:rPr>
                <w:rFonts w:ascii="仿宋" w:hAnsi="仿宋" w:eastAsia="仿宋" w:cs="仿宋"/>
                <w:sz w:val="24"/>
                <w:szCs w:val="24"/>
              </w:rPr>
              <w:t xml:space="preserve">                                                    </w:t>
            </w:r>
            <w:r>
              <w:rPr>
                <w:rFonts w:hint="eastAsia" w:ascii="仿宋" w:hAnsi="仿宋" w:eastAsia="仿宋" w:cs="仿宋"/>
                <w:sz w:val="24"/>
                <w:szCs w:val="24"/>
              </w:rPr>
              <w:t>承包人（章）</w:t>
            </w:r>
            <w:r>
              <w:rPr>
                <w:rFonts w:ascii="仿宋" w:hAnsi="仿宋" w:eastAsia="仿宋" w:cs="仿宋"/>
                <w:sz w:val="24"/>
                <w:szCs w:val="24"/>
              </w:rPr>
              <w:t xml:space="preserve">                 </w:t>
            </w:r>
          </w:p>
          <w:p>
            <w:pPr>
              <w:spacing w:line="360" w:lineRule="auto"/>
              <w:ind w:firstLine="6240" w:firstLineChars="2600"/>
              <w:rPr>
                <w:rFonts w:ascii="仿宋" w:hAnsi="仿宋" w:eastAsia="仿宋" w:cs="仿宋"/>
                <w:sz w:val="24"/>
                <w:szCs w:val="24"/>
                <w:u w:val="single"/>
              </w:rPr>
            </w:pPr>
            <w:r>
              <w:rPr>
                <w:rFonts w:hint="eastAsia" w:ascii="仿宋" w:hAnsi="仿宋" w:eastAsia="仿宋" w:cs="仿宋"/>
                <w:sz w:val="24"/>
                <w:szCs w:val="24"/>
              </w:rPr>
              <w:t>承包人代表</w:t>
            </w:r>
            <w:r>
              <w:rPr>
                <w:rFonts w:ascii="仿宋" w:hAnsi="仿宋" w:eastAsia="仿宋" w:cs="仿宋"/>
                <w:sz w:val="24"/>
                <w:szCs w:val="24"/>
                <w:u w:val="single"/>
              </w:rPr>
              <w:t xml:space="preserve">             </w:t>
            </w:r>
          </w:p>
          <w:p>
            <w:pPr>
              <w:spacing w:line="360" w:lineRule="auto"/>
              <w:ind w:firstLine="6240" w:firstLineChars="2600"/>
              <w:rPr>
                <w:rFonts w:ascii="仿宋" w:hAnsi="仿宋" w:eastAsia="仿宋" w:cs="Times New Roman"/>
                <w:sz w:val="24"/>
                <w:szCs w:val="24"/>
                <w:u w:val="single"/>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44" w:hRule="atLeast"/>
        </w:trPr>
        <w:tc>
          <w:tcPr>
            <w:tcW w:w="10445" w:type="dxa"/>
            <w:vAlign w:val="top"/>
          </w:tcPr>
          <w:p>
            <w:pPr>
              <w:spacing w:before="120" w:line="360" w:lineRule="auto"/>
              <w:rPr>
                <w:rFonts w:ascii="仿宋" w:hAnsi="仿宋" w:eastAsia="仿宋" w:cs="Times New Roman"/>
                <w:sz w:val="24"/>
                <w:szCs w:val="24"/>
              </w:rPr>
            </w:pPr>
            <w:r>
              <w:rPr>
                <w:rFonts w:hint="eastAsia" w:ascii="仿宋" w:hAnsi="仿宋" w:eastAsia="仿宋" w:cs="仿宋"/>
                <w:sz w:val="24"/>
                <w:szCs w:val="24"/>
              </w:rPr>
              <w:t>复核意见：</w:t>
            </w:r>
          </w:p>
          <w:p>
            <w:pPr>
              <w:spacing w:before="120" w:line="360" w:lineRule="auto"/>
              <w:rPr>
                <w:rFonts w:ascii="仿宋" w:hAnsi="仿宋" w:eastAsia="仿宋" w:cs="Times New Roman"/>
                <w:sz w:val="24"/>
                <w:szCs w:val="24"/>
              </w:rPr>
            </w:pPr>
          </w:p>
          <w:p>
            <w:pPr>
              <w:spacing w:before="120" w:line="360" w:lineRule="auto"/>
              <w:rPr>
                <w:rFonts w:ascii="仿宋" w:hAnsi="仿宋" w:eastAsia="仿宋" w:cs="Times New Roman"/>
                <w:sz w:val="24"/>
                <w:szCs w:val="24"/>
              </w:rPr>
            </w:pPr>
          </w:p>
          <w:p>
            <w:pPr>
              <w:spacing w:line="360" w:lineRule="auto"/>
              <w:ind w:firstLine="6240" w:firstLineChars="2600"/>
              <w:rPr>
                <w:rFonts w:ascii="仿宋" w:hAnsi="仿宋" w:eastAsia="仿宋" w:cs="Times New Roman"/>
                <w:sz w:val="24"/>
                <w:szCs w:val="24"/>
                <w:u w:val="single"/>
              </w:rPr>
            </w:pPr>
            <w:r>
              <w:rPr>
                <w:rFonts w:hint="eastAsia" w:ascii="仿宋" w:hAnsi="仿宋" w:eastAsia="仿宋" w:cs="仿宋"/>
                <w:sz w:val="24"/>
                <w:szCs w:val="24"/>
              </w:rPr>
              <w:t>设计人（章）</w:t>
            </w:r>
            <w:r>
              <w:rPr>
                <w:rFonts w:ascii="仿宋" w:hAnsi="仿宋" w:eastAsia="仿宋" w:cs="仿宋"/>
                <w:sz w:val="24"/>
                <w:szCs w:val="24"/>
              </w:rPr>
              <w:t xml:space="preserve"> </w:t>
            </w:r>
          </w:p>
          <w:p>
            <w:pPr>
              <w:spacing w:line="360" w:lineRule="auto"/>
              <w:ind w:firstLine="6240" w:firstLineChars="2600"/>
              <w:rPr>
                <w:rFonts w:ascii="仿宋" w:hAnsi="仿宋" w:eastAsia="仿宋" w:cs="仿宋"/>
                <w:sz w:val="24"/>
                <w:szCs w:val="24"/>
                <w:u w:val="single"/>
              </w:rPr>
            </w:pPr>
            <w:r>
              <w:rPr>
                <w:rFonts w:hint="eastAsia" w:ascii="仿宋" w:hAnsi="仿宋" w:eastAsia="仿宋" w:cs="仿宋"/>
                <w:sz w:val="24"/>
                <w:szCs w:val="24"/>
              </w:rPr>
              <w:t>建筑师</w:t>
            </w:r>
            <w:r>
              <w:rPr>
                <w:rFonts w:ascii="仿宋" w:hAnsi="仿宋" w:eastAsia="仿宋" w:cs="仿宋"/>
                <w:sz w:val="24"/>
                <w:szCs w:val="24"/>
              </w:rPr>
              <w:t>/</w:t>
            </w:r>
            <w:r>
              <w:rPr>
                <w:rFonts w:hint="eastAsia" w:ascii="仿宋" w:hAnsi="仿宋" w:eastAsia="仿宋" w:cs="仿宋"/>
                <w:sz w:val="24"/>
                <w:szCs w:val="24"/>
              </w:rPr>
              <w:t>结构师</w:t>
            </w:r>
            <w:r>
              <w:rPr>
                <w:rFonts w:ascii="仿宋" w:hAnsi="仿宋" w:eastAsia="仿宋" w:cs="仿宋"/>
                <w:sz w:val="24"/>
                <w:szCs w:val="24"/>
                <w:u w:val="single"/>
              </w:rPr>
              <w:t xml:space="preserve">           </w:t>
            </w:r>
          </w:p>
          <w:p>
            <w:pPr>
              <w:spacing w:line="360" w:lineRule="auto"/>
              <w:ind w:firstLine="6240" w:firstLineChars="2600"/>
              <w:rPr>
                <w:rFonts w:ascii="仿宋" w:hAnsi="仿宋" w:eastAsia="仿宋" w:cs="Times New Roman"/>
                <w:sz w:val="24"/>
                <w:szCs w:val="24"/>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289" w:hRule="atLeast"/>
        </w:trPr>
        <w:tc>
          <w:tcPr>
            <w:tcW w:w="10445" w:type="dxa"/>
            <w:tcBorders>
              <w:top w:val="single" w:color="auto" w:sz="4" w:space="0"/>
            </w:tcBorders>
            <w:vAlign w:val="top"/>
          </w:tcPr>
          <w:p>
            <w:pPr>
              <w:widowControl/>
              <w:spacing w:line="360" w:lineRule="auto"/>
              <w:jc w:val="left"/>
              <w:rPr>
                <w:rFonts w:ascii="仿宋" w:hAnsi="仿宋" w:eastAsia="仿宋" w:cs="Times New Roman"/>
                <w:sz w:val="24"/>
                <w:szCs w:val="24"/>
              </w:rPr>
            </w:pPr>
            <w:r>
              <w:rPr>
                <w:rFonts w:hint="eastAsia" w:ascii="仿宋" w:hAnsi="仿宋" w:eastAsia="仿宋" w:cs="仿宋"/>
                <w:sz w:val="24"/>
                <w:szCs w:val="24"/>
              </w:rPr>
              <w:t>审查意见：</w:t>
            </w:r>
          </w:p>
          <w:p>
            <w:pPr>
              <w:spacing w:line="360" w:lineRule="auto"/>
              <w:ind w:firstLine="720" w:firstLineChars="300"/>
              <w:jc w:val="left"/>
              <w:rPr>
                <w:rFonts w:ascii="仿宋" w:hAnsi="仿宋" w:eastAsia="仿宋" w:cs="Times New Roman"/>
                <w:sz w:val="24"/>
                <w:szCs w:val="24"/>
              </w:rPr>
            </w:pPr>
            <w:r>
              <w:rPr>
                <w:rFonts w:hint="eastAsia" w:ascii="仿宋" w:hAnsi="仿宋" w:eastAsia="仿宋" w:cs="仿宋"/>
                <w:sz w:val="24"/>
                <w:szCs w:val="24"/>
              </w:rPr>
              <w:t>经验收，上述工程（□符合</w:t>
            </w:r>
            <w:r>
              <w:rPr>
                <w:rFonts w:ascii="仿宋" w:hAnsi="仿宋" w:eastAsia="仿宋" w:cs="仿宋"/>
                <w:sz w:val="24"/>
                <w:szCs w:val="24"/>
              </w:rPr>
              <w:t>/</w:t>
            </w:r>
            <w:r>
              <w:rPr>
                <w:rFonts w:hint="eastAsia" w:ascii="仿宋" w:hAnsi="仿宋" w:eastAsia="仿宋" w:cs="仿宋"/>
                <w:sz w:val="24"/>
                <w:szCs w:val="24"/>
              </w:rPr>
              <w:t>□不符合）标准与规范、设计要求，验收（□合格</w:t>
            </w:r>
            <w:r>
              <w:rPr>
                <w:rFonts w:ascii="仿宋" w:hAnsi="仿宋" w:eastAsia="仿宋" w:cs="仿宋"/>
                <w:sz w:val="24"/>
                <w:szCs w:val="24"/>
              </w:rPr>
              <w:t>/</w:t>
            </w:r>
            <w:r>
              <w:rPr>
                <w:rFonts w:hint="eastAsia" w:ascii="仿宋" w:hAnsi="仿宋" w:eastAsia="仿宋" w:cs="仿宋"/>
                <w:sz w:val="24"/>
                <w:szCs w:val="24"/>
              </w:rPr>
              <w:t>□不合格）（□可以</w:t>
            </w:r>
            <w:r>
              <w:rPr>
                <w:rFonts w:ascii="仿宋" w:hAnsi="仿宋" w:eastAsia="仿宋" w:cs="仿宋"/>
                <w:sz w:val="24"/>
                <w:szCs w:val="24"/>
              </w:rPr>
              <w:t>/</w:t>
            </w:r>
            <w:r>
              <w:rPr>
                <w:rFonts w:hint="eastAsia" w:ascii="仿宋" w:hAnsi="仿宋" w:eastAsia="仿宋" w:cs="仿宋"/>
                <w:sz w:val="24"/>
                <w:szCs w:val="24"/>
              </w:rPr>
              <w:t>□不可以）隐蔽或继续施工。</w:t>
            </w:r>
          </w:p>
          <w:p>
            <w:pPr>
              <w:spacing w:line="360" w:lineRule="auto"/>
              <w:jc w:val="left"/>
              <w:rPr>
                <w:rFonts w:ascii="仿宋" w:hAnsi="仿宋" w:eastAsia="仿宋" w:cs="Times New Roman"/>
                <w:sz w:val="24"/>
                <w:szCs w:val="24"/>
              </w:rPr>
            </w:pPr>
          </w:p>
          <w:p>
            <w:pPr>
              <w:spacing w:line="360" w:lineRule="auto"/>
              <w:jc w:val="left"/>
              <w:rPr>
                <w:rFonts w:ascii="仿宋" w:hAnsi="仿宋" w:eastAsia="仿宋" w:cs="Times New Roman"/>
                <w:sz w:val="24"/>
                <w:szCs w:val="24"/>
              </w:rPr>
            </w:pPr>
          </w:p>
          <w:p>
            <w:pPr>
              <w:spacing w:line="360" w:lineRule="auto"/>
              <w:ind w:firstLine="6240" w:firstLineChars="2600"/>
              <w:jc w:val="left"/>
              <w:rPr>
                <w:rFonts w:ascii="仿宋" w:hAnsi="仿宋" w:eastAsia="仿宋" w:cs="Times New Roman"/>
                <w:sz w:val="24"/>
                <w:szCs w:val="24"/>
              </w:rPr>
            </w:pPr>
            <w:r>
              <w:rPr>
                <w:rFonts w:hint="eastAsia" w:ascii="仿宋" w:hAnsi="仿宋" w:eastAsia="仿宋" w:cs="仿宋"/>
                <w:sz w:val="24"/>
                <w:szCs w:val="24"/>
              </w:rPr>
              <w:t>监理人（章）</w:t>
            </w:r>
          </w:p>
          <w:p>
            <w:pPr>
              <w:spacing w:line="360" w:lineRule="auto"/>
              <w:ind w:firstLine="6295" w:firstLineChars="2623"/>
              <w:rPr>
                <w:rFonts w:ascii="仿宋" w:hAnsi="仿宋" w:eastAsia="仿宋" w:cs="仿宋"/>
                <w:sz w:val="24"/>
                <w:szCs w:val="24"/>
                <w:u w:val="single"/>
              </w:rPr>
            </w:pPr>
            <w:r>
              <w:rPr>
                <w:rFonts w:hint="eastAsia" w:ascii="仿宋" w:hAnsi="仿宋" w:eastAsia="仿宋" w:cs="仿宋"/>
                <w:sz w:val="24"/>
                <w:szCs w:val="24"/>
              </w:rPr>
              <w:t>监理工程师</w:t>
            </w:r>
            <w:r>
              <w:rPr>
                <w:rFonts w:ascii="仿宋" w:hAnsi="仿宋" w:eastAsia="仿宋" w:cs="仿宋"/>
                <w:sz w:val="24"/>
                <w:szCs w:val="24"/>
                <w:u w:val="single"/>
              </w:rPr>
              <w:t xml:space="preserve">            </w:t>
            </w:r>
          </w:p>
          <w:p>
            <w:pPr>
              <w:tabs>
                <w:tab w:val="left" w:pos="6297"/>
              </w:tabs>
              <w:spacing w:line="360" w:lineRule="auto"/>
              <w:ind w:firstLine="6295" w:firstLineChars="2623"/>
              <w:rPr>
                <w:rFonts w:ascii="仿宋" w:hAnsi="仿宋" w:eastAsia="仿宋" w:cs="Times New Roman"/>
                <w:sz w:val="24"/>
                <w:szCs w:val="24"/>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r>
              <w:rPr>
                <w:rFonts w:ascii="仿宋" w:hAnsi="仿宋" w:eastAsia="仿宋" w:cs="仿宋"/>
                <w:sz w:val="24"/>
                <w:szCs w:val="24"/>
              </w:rPr>
              <w:t xml:space="preserve">                                                                                </w:t>
            </w:r>
          </w:p>
        </w:tc>
      </w:tr>
    </w:tbl>
    <w:p>
      <w:pPr>
        <w:rPr>
          <w:rFonts w:ascii="仿宋" w:hAnsi="仿宋" w:eastAsia="仿宋" w:cs="Times New Roman"/>
          <w:sz w:val="24"/>
          <w:szCs w:val="24"/>
        </w:rPr>
      </w:pPr>
      <w:r>
        <w:rPr>
          <w:rFonts w:hint="eastAsia" w:ascii="仿宋" w:hAnsi="仿宋" w:eastAsia="仿宋" w:cs="仿宋"/>
          <w:sz w:val="24"/>
          <w:szCs w:val="24"/>
        </w:rPr>
        <w:t>说明：</w:t>
      </w:r>
      <w:r>
        <w:rPr>
          <w:rFonts w:ascii="仿宋" w:hAnsi="仿宋" w:eastAsia="仿宋" w:cs="仿宋"/>
          <w:sz w:val="24"/>
          <w:szCs w:val="24"/>
        </w:rPr>
        <w:t>1</w:t>
      </w:r>
      <w:r>
        <w:rPr>
          <w:rFonts w:hint="eastAsia" w:ascii="仿宋" w:hAnsi="仿宋" w:eastAsia="仿宋" w:cs="仿宋"/>
          <w:sz w:val="24"/>
          <w:szCs w:val="24"/>
        </w:rPr>
        <w:t>．在需要选择的栏中的“</w:t>
      </w:r>
      <w:r>
        <w:rPr>
          <w:rFonts w:hint="eastAsia" w:ascii="仿宋" w:hAnsi="仿宋" w:eastAsia="仿宋" w:cs="仿宋"/>
          <w:sz w:val="32"/>
          <w:szCs w:val="32"/>
        </w:rPr>
        <w:t>□</w:t>
      </w:r>
      <w:r>
        <w:rPr>
          <w:rFonts w:hint="eastAsia" w:ascii="仿宋" w:hAnsi="仿宋" w:eastAsia="仿宋" w:cs="仿宋"/>
          <w:sz w:val="24"/>
          <w:szCs w:val="24"/>
        </w:rPr>
        <w:t>”内作标识“√”。</w:t>
      </w:r>
    </w:p>
    <w:p>
      <w:pPr>
        <w:ind w:firstLine="720" w:firstLineChars="300"/>
        <w:rPr>
          <w:rFonts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．本表用于包括隐蔽工程、分部分项工程、单位工程等的质量验收。</w:t>
      </w:r>
    </w:p>
    <w:p>
      <w:pPr>
        <w:ind w:left="1198" w:leftChars="342" w:hanging="480" w:hangingChars="200"/>
        <w:rPr>
          <w:rFonts w:ascii="仿宋" w:hAnsi="仿宋" w:eastAsia="仿宋" w:cs="Times New Roman"/>
          <w:sz w:val="24"/>
          <w:szCs w:val="24"/>
        </w:rPr>
      </w:pPr>
      <w:r>
        <w:rPr>
          <w:rFonts w:ascii="仿宋" w:hAnsi="仿宋" w:eastAsia="仿宋" w:cs="仿宋"/>
          <w:sz w:val="24"/>
          <w:szCs w:val="24"/>
        </w:rPr>
        <w:t>3</w:t>
      </w:r>
      <w:r>
        <w:rPr>
          <w:rFonts w:hint="eastAsia" w:ascii="仿宋" w:hAnsi="仿宋" w:eastAsia="仿宋" w:cs="仿宋"/>
          <w:sz w:val="24"/>
          <w:szCs w:val="24"/>
        </w:rPr>
        <w:t>．本表一式四份，由承包人、设计人、监理人按合同规定程序填制，并连同发包人各存一份。</w:t>
      </w:r>
    </w:p>
    <w:p>
      <w:pPr>
        <w:ind w:left="1"/>
        <w:outlineLvl w:val="1"/>
        <w:rPr>
          <w:rFonts w:ascii="仿宋" w:hAnsi="仿宋" w:eastAsia="仿宋" w:cs="仿宋"/>
          <w:b/>
          <w:bCs/>
          <w:color w:val="000000"/>
          <w:kern w:val="0"/>
          <w:sz w:val="24"/>
          <w:szCs w:val="24"/>
        </w:rPr>
      </w:pPr>
      <w:r>
        <w:rPr>
          <w:rFonts w:ascii="仿宋" w:hAnsi="仿宋" w:eastAsia="仿宋" w:cs="Times New Roman"/>
          <w:kern w:val="0"/>
          <w:sz w:val="24"/>
          <w:szCs w:val="24"/>
        </w:rPr>
        <w:br w:type="page"/>
      </w:r>
      <w:bookmarkStart w:id="773" w:name="_Toc469384155"/>
      <w:bookmarkStart w:id="774" w:name="_Toc10624999"/>
      <w:bookmarkStart w:id="775" w:name="_Toc266892940"/>
      <w:r>
        <w:rPr>
          <w:rFonts w:hint="eastAsia" w:ascii="仿宋" w:hAnsi="仿宋" w:eastAsia="仿宋" w:cs="仿宋"/>
          <w:b/>
          <w:bCs/>
          <w:color w:val="000000"/>
          <w:kern w:val="0"/>
          <w:sz w:val="24"/>
          <w:szCs w:val="24"/>
        </w:rPr>
        <w:t>格式</w:t>
      </w:r>
      <w:r>
        <w:rPr>
          <w:rFonts w:ascii="仿宋" w:hAnsi="仿宋" w:eastAsia="仿宋" w:cs="仿宋"/>
          <w:b/>
          <w:bCs/>
          <w:color w:val="000000"/>
          <w:kern w:val="0"/>
          <w:sz w:val="24"/>
          <w:szCs w:val="24"/>
        </w:rPr>
        <w:t>14</w:t>
      </w:r>
      <w:bookmarkEnd w:id="773"/>
      <w:bookmarkEnd w:id="774"/>
      <w:bookmarkEnd w:id="775"/>
    </w:p>
    <w:p>
      <w:pPr>
        <w:spacing w:before="50" w:after="50" w:line="360" w:lineRule="auto"/>
        <w:jc w:val="center"/>
        <w:rPr>
          <w:rFonts w:ascii="仿宋" w:hAnsi="仿宋" w:eastAsia="仿宋" w:cs="Times New Roman"/>
          <w:b/>
          <w:bCs/>
          <w:spacing w:val="30"/>
          <w:sz w:val="44"/>
          <w:szCs w:val="44"/>
        </w:rPr>
      </w:pPr>
      <w:r>
        <w:rPr>
          <w:rFonts w:hint="eastAsia" w:ascii="仿宋" w:hAnsi="仿宋" w:eastAsia="仿宋" w:cs="仿宋"/>
          <w:b/>
          <w:bCs/>
          <w:spacing w:val="30"/>
          <w:sz w:val="44"/>
          <w:szCs w:val="44"/>
        </w:rPr>
        <w:t>工程变更报审表</w:t>
      </w:r>
    </w:p>
    <w:p>
      <w:pPr>
        <w:spacing w:line="360" w:lineRule="auto"/>
        <w:rPr>
          <w:rFonts w:ascii="仿宋" w:hAnsi="仿宋" w:eastAsia="仿宋" w:cs="Times New Roman"/>
          <w:sz w:val="24"/>
          <w:szCs w:val="24"/>
        </w:rPr>
      </w:pPr>
      <w:r>
        <w:rPr>
          <w:rFonts w:hint="eastAsia" w:ascii="仿宋" w:hAnsi="仿宋" w:eastAsia="仿宋" w:cs="仿宋"/>
          <w:sz w:val="24"/>
          <w:szCs w:val="24"/>
        </w:rPr>
        <w:t>工程名称</w:t>
      </w:r>
      <w:r>
        <w:rPr>
          <w:rFonts w:ascii="仿宋" w:hAnsi="仿宋" w:eastAsia="仿宋" w:cs="仿宋"/>
          <w:sz w:val="24"/>
          <w:szCs w:val="24"/>
        </w:rPr>
        <w:t>:</w:t>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编号</w:t>
      </w:r>
      <w:r>
        <w:rPr>
          <w:rFonts w:ascii="仿宋" w:hAnsi="仿宋" w:eastAsia="仿宋" w:cs="仿宋"/>
          <w:sz w:val="24"/>
          <w:szCs w:val="24"/>
        </w:rPr>
        <w:t xml:space="preserve">: </w:t>
      </w:r>
    </w:p>
    <w:tbl>
      <w:tblPr>
        <w:tblStyle w:val="40"/>
        <w:tblW w:w="10455"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265"/>
        <w:gridCol w:w="3447"/>
        <w:gridCol w:w="37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7" w:hRule="atLeast"/>
        </w:trPr>
        <w:tc>
          <w:tcPr>
            <w:tcW w:w="10455" w:type="dxa"/>
            <w:gridSpan w:val="3"/>
            <w:tcBorders>
              <w:bottom w:val="single" w:color="000000" w:sz="6" w:space="0"/>
            </w:tcBorders>
            <w:vAlign w:val="top"/>
          </w:tcPr>
          <w:p>
            <w:pPr>
              <w:spacing w:before="120" w:line="360" w:lineRule="auto"/>
              <w:rPr>
                <w:rFonts w:ascii="仿宋" w:hAnsi="仿宋" w:eastAsia="仿宋" w:cs="Times New Roman"/>
                <w:sz w:val="24"/>
                <w:szCs w:val="24"/>
              </w:rPr>
            </w:pPr>
            <w:r>
              <w:rPr>
                <w:rFonts w:hint="eastAsia" w:ascii="仿宋" w:hAnsi="仿宋" w:eastAsia="仿宋" w:cs="仿宋"/>
                <w:sz w:val="24"/>
                <w:szCs w:val="24"/>
              </w:rPr>
              <w:t>致</w:t>
            </w:r>
            <w:r>
              <w:rPr>
                <w:rFonts w:ascii="仿宋" w:hAnsi="仿宋" w:eastAsia="仿宋" w:cs="仿宋"/>
                <w:sz w:val="24"/>
                <w:szCs w:val="24"/>
              </w:rPr>
              <w:t>:</w:t>
            </w:r>
            <w:r>
              <w:rPr>
                <w:rFonts w:ascii="仿宋" w:hAnsi="仿宋" w:eastAsia="仿宋" w:cs="仿宋"/>
                <w:sz w:val="24"/>
                <w:szCs w:val="24"/>
                <w:u w:val="single"/>
              </w:rPr>
              <w:t xml:space="preserve">                                               </w:t>
            </w:r>
            <w:r>
              <w:rPr>
                <w:rFonts w:hint="eastAsia" w:ascii="仿宋" w:hAnsi="仿宋" w:eastAsia="仿宋" w:cs="仿宋"/>
                <w:sz w:val="24"/>
                <w:szCs w:val="24"/>
              </w:rPr>
              <w:t>（监理人全称）</w:t>
            </w:r>
          </w:p>
          <w:p>
            <w:pPr>
              <w:tabs>
                <w:tab w:val="left" w:pos="6192"/>
              </w:tabs>
              <w:spacing w:line="360" w:lineRule="auto"/>
              <w:ind w:firstLine="480" w:firstLineChars="200"/>
              <w:rPr>
                <w:rFonts w:ascii="仿宋" w:hAnsi="仿宋" w:eastAsia="仿宋" w:cs="Times New Roman"/>
                <w:sz w:val="24"/>
                <w:szCs w:val="24"/>
                <w:u w:val="single"/>
              </w:rPr>
            </w:pPr>
            <w:r>
              <w:rPr>
                <w:rFonts w:hint="eastAsia" w:ascii="仿宋" w:hAnsi="仿宋" w:eastAsia="仿宋" w:cs="仿宋"/>
                <w:sz w:val="24"/>
                <w:szCs w:val="24"/>
              </w:rPr>
              <w:t>由于</w:t>
            </w:r>
            <w:r>
              <w:rPr>
                <w:rFonts w:ascii="仿宋" w:hAnsi="仿宋" w:eastAsia="仿宋" w:cs="仿宋"/>
                <w:sz w:val="24"/>
                <w:szCs w:val="24"/>
                <w:u w:val="single"/>
              </w:rPr>
              <w:t xml:space="preserve">                                                        </w:t>
            </w:r>
            <w:r>
              <w:rPr>
                <w:rFonts w:hint="eastAsia" w:ascii="仿宋" w:hAnsi="仿宋" w:eastAsia="仿宋" w:cs="仿宋"/>
                <w:sz w:val="24"/>
                <w:szCs w:val="24"/>
              </w:rPr>
              <w:t>原因，现提出</w:t>
            </w:r>
          </w:p>
          <w:p>
            <w:pPr>
              <w:tabs>
                <w:tab w:val="left" w:pos="6192"/>
              </w:tabs>
              <w:spacing w:line="360" w:lineRule="auto"/>
              <w:rPr>
                <w:rFonts w:ascii="仿宋" w:hAnsi="仿宋" w:eastAsia="仿宋" w:cs="仿宋"/>
                <w:sz w:val="24"/>
                <w:szCs w:val="24"/>
                <w:u w:val="single"/>
              </w:rPr>
            </w:pPr>
            <w:r>
              <w:rPr>
                <w:rFonts w:ascii="仿宋" w:hAnsi="仿宋" w:eastAsia="仿宋" w:cs="仿宋"/>
                <w:sz w:val="24"/>
                <w:szCs w:val="24"/>
                <w:u w:val="single"/>
              </w:rPr>
              <w:t xml:space="preserve">                                                                             </w:t>
            </w:r>
          </w:p>
          <w:p>
            <w:pPr>
              <w:tabs>
                <w:tab w:val="left" w:pos="6192"/>
              </w:tabs>
              <w:spacing w:line="360" w:lineRule="auto"/>
              <w:rPr>
                <w:rFonts w:ascii="仿宋" w:hAnsi="仿宋" w:eastAsia="仿宋" w:cs="Times New Roman"/>
                <w:sz w:val="24"/>
                <w:szCs w:val="24"/>
                <w:u w:val="single"/>
              </w:rPr>
            </w:pPr>
            <w:r>
              <w:rPr>
                <w:rFonts w:ascii="仿宋" w:hAnsi="仿宋" w:eastAsia="仿宋" w:cs="仿宋"/>
                <w:sz w:val="24"/>
                <w:szCs w:val="24"/>
                <w:u w:val="single"/>
              </w:rPr>
              <w:t xml:space="preserve">            </w:t>
            </w:r>
            <w:r>
              <w:rPr>
                <w:rFonts w:hint="eastAsia" w:ascii="仿宋" w:hAnsi="仿宋" w:eastAsia="仿宋" w:cs="仿宋"/>
                <w:sz w:val="24"/>
                <w:szCs w:val="24"/>
              </w:rPr>
              <w:t>工程变更（内容见附件），请予以审批。</w:t>
            </w:r>
          </w:p>
          <w:p>
            <w:pPr>
              <w:spacing w:line="360" w:lineRule="auto"/>
              <w:rPr>
                <w:rFonts w:ascii="仿宋" w:hAnsi="仿宋" w:eastAsia="仿宋" w:cs="Times New Roman"/>
                <w:sz w:val="24"/>
                <w:szCs w:val="24"/>
              </w:rPr>
            </w:pPr>
            <w:r>
              <w:rPr>
                <w:rFonts w:hint="eastAsia" w:ascii="仿宋" w:hAnsi="仿宋" w:eastAsia="仿宋" w:cs="仿宋"/>
                <w:sz w:val="24"/>
                <w:szCs w:val="24"/>
              </w:rPr>
              <w:t>附件：</w:t>
            </w:r>
            <w:r>
              <w:rPr>
                <w:rFonts w:ascii="仿宋" w:hAnsi="仿宋" w:eastAsia="仿宋" w:cs="仿宋"/>
                <w:sz w:val="24"/>
                <w:szCs w:val="24"/>
              </w:rPr>
              <w:t>1</w:t>
            </w:r>
            <w:r>
              <w:rPr>
                <w:rFonts w:hint="eastAsia" w:ascii="仿宋" w:hAnsi="仿宋" w:eastAsia="仿宋" w:cs="仿宋"/>
                <w:sz w:val="24"/>
                <w:szCs w:val="24"/>
              </w:rPr>
              <w:t>．提出变更原因（必要时附图）；</w:t>
            </w:r>
          </w:p>
          <w:p>
            <w:pPr>
              <w:spacing w:line="360" w:lineRule="auto"/>
              <w:ind w:firstLine="720" w:firstLineChars="300"/>
              <w:rPr>
                <w:rFonts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．工程量增减计算书；</w:t>
            </w:r>
          </w:p>
          <w:p>
            <w:pPr>
              <w:spacing w:line="360" w:lineRule="auto"/>
              <w:ind w:firstLine="720" w:firstLineChars="300"/>
              <w:rPr>
                <w:rFonts w:ascii="仿宋" w:hAnsi="仿宋" w:eastAsia="仿宋" w:cs="Times New Roman"/>
                <w:sz w:val="24"/>
                <w:szCs w:val="24"/>
              </w:rPr>
            </w:pPr>
            <w:r>
              <w:rPr>
                <w:rFonts w:ascii="仿宋" w:hAnsi="仿宋" w:eastAsia="仿宋" w:cs="仿宋"/>
                <w:sz w:val="24"/>
                <w:szCs w:val="24"/>
              </w:rPr>
              <w:t>3</w:t>
            </w:r>
            <w:r>
              <w:rPr>
                <w:rFonts w:hint="eastAsia" w:ascii="仿宋" w:hAnsi="仿宋" w:eastAsia="仿宋" w:cs="仿宋"/>
                <w:sz w:val="24"/>
                <w:szCs w:val="24"/>
              </w:rPr>
              <w:t>．工程变更价款报价单。</w:t>
            </w:r>
          </w:p>
          <w:p>
            <w:pPr>
              <w:spacing w:line="360" w:lineRule="auto"/>
              <w:rPr>
                <w:rFonts w:ascii="仿宋" w:hAnsi="仿宋" w:eastAsia="仿宋" w:cs="Times New Roman"/>
                <w:sz w:val="24"/>
                <w:szCs w:val="24"/>
              </w:rPr>
            </w:pPr>
          </w:p>
          <w:p>
            <w:pPr>
              <w:spacing w:line="360" w:lineRule="auto"/>
              <w:rPr>
                <w:rFonts w:ascii="仿宋" w:hAnsi="仿宋" w:eastAsia="仿宋" w:cs="仿宋"/>
                <w:sz w:val="24"/>
                <w:szCs w:val="24"/>
              </w:rPr>
            </w:pPr>
            <w:r>
              <w:rPr>
                <w:rFonts w:ascii="仿宋" w:hAnsi="仿宋" w:eastAsia="仿宋" w:cs="仿宋"/>
                <w:sz w:val="24"/>
                <w:szCs w:val="24"/>
              </w:rPr>
              <w:t xml:space="preserve">                                              </w:t>
            </w:r>
          </w:p>
          <w:p>
            <w:pPr>
              <w:spacing w:line="360" w:lineRule="auto"/>
              <w:ind w:firstLine="5760" w:firstLineChars="2400"/>
              <w:rPr>
                <w:rFonts w:ascii="仿宋" w:hAnsi="仿宋" w:eastAsia="仿宋" w:cs="Times New Roman"/>
                <w:sz w:val="24"/>
                <w:szCs w:val="24"/>
                <w:u w:val="single"/>
              </w:rPr>
            </w:pPr>
            <w:r>
              <w:rPr>
                <w:rFonts w:ascii="仿宋" w:hAnsi="仿宋" w:eastAsia="仿宋" w:cs="仿宋"/>
                <w:sz w:val="24"/>
                <w:szCs w:val="24"/>
              </w:rPr>
              <w:t xml:space="preserve">  </w:t>
            </w:r>
            <w:r>
              <w:rPr>
                <w:rFonts w:hint="eastAsia" w:ascii="仿宋" w:hAnsi="仿宋" w:eastAsia="仿宋" w:cs="仿宋"/>
                <w:sz w:val="24"/>
                <w:szCs w:val="24"/>
              </w:rPr>
              <w:t>承包人（章）</w:t>
            </w:r>
            <w:r>
              <w:rPr>
                <w:rFonts w:ascii="仿宋" w:hAnsi="仿宋" w:eastAsia="仿宋" w:cs="仿宋"/>
                <w:sz w:val="24"/>
                <w:szCs w:val="24"/>
              </w:rPr>
              <w:t xml:space="preserve">                 </w:t>
            </w:r>
          </w:p>
          <w:p>
            <w:pPr>
              <w:spacing w:line="360" w:lineRule="auto"/>
              <w:ind w:firstLine="5982"/>
              <w:rPr>
                <w:rFonts w:ascii="仿宋" w:hAnsi="仿宋" w:eastAsia="仿宋" w:cs="仿宋"/>
                <w:sz w:val="24"/>
                <w:szCs w:val="24"/>
                <w:u w:val="single"/>
              </w:rPr>
            </w:pPr>
            <w:r>
              <w:rPr>
                <w:rFonts w:hint="eastAsia" w:ascii="仿宋" w:hAnsi="仿宋" w:eastAsia="仿宋" w:cs="仿宋"/>
                <w:spacing w:val="28"/>
                <w:sz w:val="24"/>
                <w:szCs w:val="24"/>
              </w:rPr>
              <w:t>承包人代表</w:t>
            </w:r>
            <w:r>
              <w:rPr>
                <w:rFonts w:ascii="仿宋" w:hAnsi="仿宋" w:eastAsia="仿宋" w:cs="仿宋"/>
                <w:sz w:val="24"/>
                <w:szCs w:val="24"/>
                <w:u w:val="single"/>
              </w:rPr>
              <w:t xml:space="preserve">              </w:t>
            </w:r>
          </w:p>
          <w:p>
            <w:pPr>
              <w:spacing w:line="360" w:lineRule="auto"/>
              <w:ind w:firstLine="5982"/>
              <w:rPr>
                <w:rFonts w:ascii="仿宋" w:hAnsi="仿宋" w:eastAsia="仿宋" w:cs="Times New Roman"/>
                <w:spacing w:val="20"/>
                <w:sz w:val="24"/>
                <w:szCs w:val="24"/>
                <w:u w:val="single"/>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rPr>
              <w:t xml:space="preserve"> </w:t>
            </w:r>
            <w:r>
              <w:rPr>
                <w:rFonts w:ascii="仿宋" w:hAnsi="仿宋" w:eastAsia="仿宋" w:cs="仿宋"/>
                <w:sz w:val="24"/>
                <w:szCs w:val="24"/>
                <w:u w:val="singl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908" w:hRule="atLeast"/>
        </w:trPr>
        <w:tc>
          <w:tcPr>
            <w:tcW w:w="3265" w:type="dxa"/>
            <w:tcBorders>
              <w:top w:val="single" w:color="000000" w:sz="6" w:space="0"/>
              <w:bottom w:val="single" w:color="auto" w:sz="4" w:space="0"/>
              <w:right w:val="single" w:color="auto" w:sz="4" w:space="0"/>
            </w:tcBorders>
            <w:vAlign w:val="top"/>
          </w:tcPr>
          <w:p>
            <w:pPr>
              <w:snapToGrid w:val="0"/>
              <w:spacing w:line="360" w:lineRule="auto"/>
              <w:ind w:hanging="6"/>
              <w:rPr>
                <w:rFonts w:ascii="仿宋" w:hAnsi="仿宋" w:eastAsia="仿宋" w:cs="Times New Roman"/>
                <w:sz w:val="24"/>
                <w:szCs w:val="24"/>
              </w:rPr>
            </w:pPr>
            <w:r>
              <w:rPr>
                <w:rFonts w:hint="eastAsia" w:ascii="仿宋" w:hAnsi="仿宋" w:eastAsia="仿宋" w:cs="仿宋"/>
                <w:sz w:val="24"/>
                <w:szCs w:val="24"/>
              </w:rPr>
              <w:t>复核意见：</w:t>
            </w:r>
          </w:p>
          <w:p>
            <w:pPr>
              <w:snapToGrid w:val="0"/>
              <w:spacing w:line="360" w:lineRule="auto"/>
              <w:ind w:hanging="6"/>
              <w:rPr>
                <w:rFonts w:ascii="仿宋" w:hAnsi="仿宋" w:eastAsia="仿宋" w:cs="Times New Roman"/>
                <w:sz w:val="24"/>
                <w:szCs w:val="24"/>
              </w:rPr>
            </w:pPr>
          </w:p>
          <w:p>
            <w:pPr>
              <w:snapToGrid w:val="0"/>
              <w:spacing w:line="360" w:lineRule="auto"/>
              <w:ind w:hanging="6"/>
              <w:rPr>
                <w:rFonts w:ascii="仿宋" w:hAnsi="仿宋" w:eastAsia="仿宋" w:cs="Times New Roman"/>
                <w:sz w:val="24"/>
                <w:szCs w:val="24"/>
              </w:rPr>
            </w:pPr>
          </w:p>
          <w:p>
            <w:pPr>
              <w:snapToGrid w:val="0"/>
              <w:spacing w:line="360" w:lineRule="auto"/>
              <w:ind w:hanging="6"/>
              <w:rPr>
                <w:rFonts w:ascii="仿宋" w:hAnsi="仿宋" w:eastAsia="仿宋" w:cs="Times New Roman"/>
                <w:sz w:val="24"/>
                <w:szCs w:val="24"/>
              </w:rPr>
            </w:pPr>
          </w:p>
          <w:p>
            <w:pPr>
              <w:snapToGrid w:val="0"/>
              <w:spacing w:line="360" w:lineRule="auto"/>
              <w:ind w:hanging="6"/>
              <w:rPr>
                <w:rFonts w:ascii="仿宋" w:hAnsi="仿宋" w:eastAsia="仿宋" w:cs="Times New Roman"/>
                <w:sz w:val="24"/>
                <w:szCs w:val="24"/>
              </w:rPr>
            </w:pPr>
            <w:r>
              <w:rPr>
                <w:rFonts w:hint="eastAsia" w:ascii="仿宋" w:hAnsi="仿宋" w:eastAsia="仿宋" w:cs="仿宋"/>
                <w:sz w:val="24"/>
                <w:szCs w:val="24"/>
              </w:rPr>
              <w:t>设计人（章）</w:t>
            </w:r>
          </w:p>
          <w:p>
            <w:pPr>
              <w:snapToGrid w:val="0"/>
              <w:spacing w:line="360" w:lineRule="auto"/>
              <w:ind w:hanging="6"/>
              <w:rPr>
                <w:rFonts w:ascii="仿宋" w:hAnsi="仿宋" w:eastAsia="仿宋" w:cs="Times New Roman"/>
                <w:sz w:val="24"/>
                <w:szCs w:val="24"/>
              </w:rPr>
            </w:pPr>
            <w:r>
              <w:rPr>
                <w:rFonts w:hint="eastAsia" w:ascii="仿宋" w:hAnsi="仿宋" w:eastAsia="仿宋" w:cs="仿宋"/>
                <w:sz w:val="24"/>
                <w:szCs w:val="24"/>
              </w:rPr>
              <w:t>建筑师</w:t>
            </w:r>
            <w:r>
              <w:rPr>
                <w:rFonts w:ascii="仿宋" w:hAnsi="仿宋" w:eastAsia="仿宋" w:cs="仿宋"/>
                <w:sz w:val="24"/>
                <w:szCs w:val="24"/>
              </w:rPr>
              <w:t>/</w:t>
            </w:r>
            <w:r>
              <w:rPr>
                <w:rFonts w:hint="eastAsia" w:ascii="仿宋" w:hAnsi="仿宋" w:eastAsia="仿宋" w:cs="仿宋"/>
                <w:sz w:val="24"/>
                <w:szCs w:val="24"/>
              </w:rPr>
              <w:t>结构师</w:t>
            </w:r>
            <w:r>
              <w:rPr>
                <w:rFonts w:ascii="仿宋" w:hAnsi="仿宋" w:eastAsia="仿宋" w:cs="仿宋"/>
                <w:sz w:val="24"/>
                <w:szCs w:val="24"/>
                <w:u w:val="single"/>
              </w:rPr>
              <w:t xml:space="preserve">         </w:t>
            </w:r>
          </w:p>
          <w:p>
            <w:pPr>
              <w:snapToGrid w:val="0"/>
              <w:spacing w:line="360" w:lineRule="auto"/>
              <w:rPr>
                <w:rFonts w:ascii="仿宋" w:hAnsi="仿宋" w:eastAsia="仿宋" w:cs="Times New Roman"/>
                <w:sz w:val="24"/>
                <w:szCs w:val="24"/>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c>
          <w:tcPr>
            <w:tcW w:w="3447" w:type="dxa"/>
            <w:tcBorders>
              <w:top w:val="single" w:color="000000" w:sz="6" w:space="0"/>
              <w:left w:val="single" w:color="auto" w:sz="4" w:space="0"/>
              <w:bottom w:val="single" w:color="auto" w:sz="4" w:space="0"/>
              <w:right w:val="single" w:color="auto" w:sz="4" w:space="0"/>
            </w:tcBorders>
            <w:vAlign w:val="top"/>
          </w:tcPr>
          <w:p>
            <w:pPr>
              <w:widowControl/>
              <w:spacing w:line="360" w:lineRule="auto"/>
              <w:jc w:val="left"/>
              <w:rPr>
                <w:rFonts w:ascii="仿宋" w:hAnsi="仿宋" w:eastAsia="仿宋" w:cs="Times New Roman"/>
                <w:sz w:val="24"/>
                <w:szCs w:val="24"/>
              </w:rPr>
            </w:pPr>
            <w:r>
              <w:rPr>
                <w:rFonts w:hint="eastAsia" w:ascii="仿宋" w:hAnsi="仿宋" w:eastAsia="仿宋" w:cs="仿宋"/>
                <w:sz w:val="24"/>
                <w:szCs w:val="24"/>
              </w:rPr>
              <w:t>复核意见：</w:t>
            </w:r>
          </w:p>
          <w:p>
            <w:pPr>
              <w:widowControl/>
              <w:spacing w:line="360" w:lineRule="auto"/>
              <w:jc w:val="left"/>
              <w:rPr>
                <w:rFonts w:ascii="仿宋" w:hAnsi="仿宋" w:eastAsia="仿宋" w:cs="Times New Roman"/>
                <w:sz w:val="24"/>
                <w:szCs w:val="24"/>
              </w:rPr>
            </w:pPr>
          </w:p>
          <w:p>
            <w:pPr>
              <w:widowControl/>
              <w:spacing w:line="360" w:lineRule="auto"/>
              <w:jc w:val="left"/>
              <w:rPr>
                <w:rFonts w:ascii="仿宋" w:hAnsi="仿宋" w:eastAsia="仿宋" w:cs="Times New Roman"/>
                <w:sz w:val="24"/>
                <w:szCs w:val="24"/>
              </w:rPr>
            </w:pPr>
          </w:p>
          <w:p>
            <w:pPr>
              <w:snapToGrid w:val="0"/>
              <w:spacing w:line="360" w:lineRule="auto"/>
              <w:rPr>
                <w:rFonts w:ascii="仿宋" w:hAnsi="仿宋" w:eastAsia="仿宋" w:cs="Times New Roman"/>
                <w:sz w:val="24"/>
                <w:szCs w:val="24"/>
              </w:rPr>
            </w:pPr>
          </w:p>
          <w:p>
            <w:pPr>
              <w:snapToGrid w:val="0"/>
              <w:spacing w:line="360" w:lineRule="auto"/>
              <w:rPr>
                <w:rFonts w:ascii="仿宋" w:hAnsi="仿宋" w:eastAsia="仿宋" w:cs="Times New Roman"/>
                <w:sz w:val="24"/>
                <w:szCs w:val="24"/>
              </w:rPr>
            </w:pPr>
            <w:r>
              <w:rPr>
                <w:rFonts w:hint="eastAsia" w:ascii="仿宋" w:hAnsi="仿宋" w:eastAsia="仿宋" w:cs="仿宋"/>
                <w:sz w:val="24"/>
                <w:szCs w:val="24"/>
              </w:rPr>
              <w:t>监理人（章）</w:t>
            </w:r>
          </w:p>
          <w:p>
            <w:pPr>
              <w:snapToGrid w:val="0"/>
              <w:spacing w:line="360" w:lineRule="auto"/>
              <w:rPr>
                <w:rFonts w:ascii="仿宋" w:hAnsi="仿宋" w:eastAsia="仿宋" w:cs="Times New Roman"/>
                <w:sz w:val="24"/>
                <w:szCs w:val="24"/>
              </w:rPr>
            </w:pPr>
            <w:r>
              <w:rPr>
                <w:rFonts w:hint="eastAsia" w:ascii="仿宋" w:hAnsi="仿宋" w:eastAsia="仿宋" w:cs="仿宋"/>
                <w:sz w:val="24"/>
                <w:szCs w:val="24"/>
              </w:rPr>
              <w:t>监理工程师</w:t>
            </w:r>
            <w:r>
              <w:rPr>
                <w:rFonts w:ascii="仿宋" w:hAnsi="仿宋" w:eastAsia="仿宋" w:cs="仿宋"/>
                <w:sz w:val="24"/>
                <w:szCs w:val="24"/>
                <w:u w:val="single"/>
              </w:rPr>
              <w:t xml:space="preserve">         </w:t>
            </w:r>
          </w:p>
          <w:p>
            <w:pPr>
              <w:snapToGrid w:val="0"/>
              <w:spacing w:line="360" w:lineRule="auto"/>
              <w:rPr>
                <w:rFonts w:ascii="仿宋" w:hAnsi="仿宋" w:eastAsia="仿宋" w:cs="Times New Roman"/>
                <w:sz w:val="24"/>
                <w:szCs w:val="24"/>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c>
          <w:tcPr>
            <w:tcW w:w="3743" w:type="dxa"/>
            <w:tcBorders>
              <w:top w:val="single" w:color="000000" w:sz="6" w:space="0"/>
              <w:left w:val="single" w:color="auto" w:sz="4" w:space="0"/>
              <w:bottom w:val="single" w:color="auto" w:sz="4" w:space="0"/>
            </w:tcBorders>
            <w:vAlign w:val="top"/>
          </w:tcPr>
          <w:p>
            <w:pPr>
              <w:widowControl/>
              <w:spacing w:line="360" w:lineRule="auto"/>
              <w:jc w:val="left"/>
              <w:rPr>
                <w:rFonts w:ascii="仿宋" w:hAnsi="仿宋" w:eastAsia="仿宋" w:cs="Times New Roman"/>
                <w:sz w:val="24"/>
                <w:szCs w:val="24"/>
              </w:rPr>
            </w:pPr>
            <w:r>
              <w:rPr>
                <w:rFonts w:hint="eastAsia" w:ascii="仿宋" w:hAnsi="仿宋" w:eastAsia="仿宋" w:cs="仿宋"/>
                <w:sz w:val="24"/>
                <w:szCs w:val="24"/>
              </w:rPr>
              <w:t>复核意见：</w:t>
            </w:r>
          </w:p>
          <w:p>
            <w:pPr>
              <w:widowControl/>
              <w:spacing w:line="360" w:lineRule="auto"/>
              <w:jc w:val="left"/>
              <w:rPr>
                <w:rFonts w:ascii="仿宋" w:hAnsi="仿宋" w:eastAsia="仿宋" w:cs="Times New Roman"/>
                <w:sz w:val="24"/>
                <w:szCs w:val="24"/>
              </w:rPr>
            </w:pPr>
          </w:p>
          <w:p>
            <w:pPr>
              <w:widowControl/>
              <w:spacing w:line="360" w:lineRule="auto"/>
              <w:jc w:val="left"/>
              <w:rPr>
                <w:rFonts w:ascii="仿宋" w:hAnsi="仿宋" w:eastAsia="仿宋" w:cs="Times New Roman"/>
                <w:sz w:val="24"/>
                <w:szCs w:val="24"/>
              </w:rPr>
            </w:pPr>
          </w:p>
          <w:p>
            <w:pPr>
              <w:snapToGrid w:val="0"/>
              <w:spacing w:line="360" w:lineRule="auto"/>
              <w:rPr>
                <w:rFonts w:ascii="仿宋" w:hAnsi="仿宋" w:eastAsia="仿宋" w:cs="Times New Roman"/>
                <w:sz w:val="24"/>
                <w:szCs w:val="24"/>
              </w:rPr>
            </w:pPr>
          </w:p>
          <w:p>
            <w:pPr>
              <w:snapToGrid w:val="0"/>
              <w:spacing w:line="360" w:lineRule="auto"/>
              <w:rPr>
                <w:rFonts w:ascii="仿宋" w:hAnsi="仿宋" w:eastAsia="仿宋" w:cs="Times New Roman"/>
                <w:sz w:val="24"/>
                <w:szCs w:val="24"/>
              </w:rPr>
            </w:pPr>
            <w:r>
              <w:rPr>
                <w:rFonts w:hint="eastAsia" w:ascii="仿宋" w:hAnsi="仿宋" w:eastAsia="仿宋" w:cs="仿宋"/>
                <w:sz w:val="24"/>
                <w:szCs w:val="24"/>
              </w:rPr>
              <w:t>造价咨询人（章）</w:t>
            </w:r>
          </w:p>
          <w:p>
            <w:pPr>
              <w:snapToGrid w:val="0"/>
              <w:spacing w:line="360" w:lineRule="auto"/>
              <w:rPr>
                <w:rFonts w:ascii="仿宋" w:hAnsi="仿宋" w:eastAsia="仿宋" w:cs="Times New Roman"/>
                <w:sz w:val="24"/>
                <w:szCs w:val="24"/>
              </w:rPr>
            </w:pPr>
            <w:r>
              <w:rPr>
                <w:rFonts w:hint="eastAsia" w:ascii="仿宋" w:hAnsi="仿宋" w:eastAsia="仿宋" w:cs="仿宋"/>
                <w:sz w:val="24"/>
                <w:szCs w:val="24"/>
              </w:rPr>
              <w:t>造价工程师</w:t>
            </w:r>
            <w:r>
              <w:rPr>
                <w:rFonts w:ascii="仿宋" w:hAnsi="仿宋" w:eastAsia="仿宋" w:cs="仿宋"/>
                <w:sz w:val="24"/>
                <w:szCs w:val="24"/>
                <w:u w:val="single"/>
              </w:rPr>
              <w:t xml:space="preserve">            </w:t>
            </w:r>
          </w:p>
          <w:p>
            <w:pPr>
              <w:snapToGrid w:val="0"/>
              <w:spacing w:line="360" w:lineRule="auto"/>
              <w:rPr>
                <w:rFonts w:ascii="仿宋" w:hAnsi="仿宋" w:eastAsia="仿宋" w:cs="Times New Roman"/>
                <w:sz w:val="24"/>
                <w:szCs w:val="24"/>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33" w:hRule="atLeast"/>
        </w:trPr>
        <w:tc>
          <w:tcPr>
            <w:tcW w:w="10455" w:type="dxa"/>
            <w:gridSpan w:val="3"/>
            <w:tcBorders>
              <w:top w:val="single" w:color="auto" w:sz="4" w:space="0"/>
              <w:bottom w:val="single" w:color="000000" w:sz="6" w:space="0"/>
            </w:tcBorders>
            <w:vAlign w:val="top"/>
          </w:tcPr>
          <w:p>
            <w:pPr>
              <w:snapToGrid w:val="0"/>
              <w:spacing w:line="360" w:lineRule="auto"/>
              <w:rPr>
                <w:rFonts w:ascii="仿宋" w:hAnsi="仿宋" w:eastAsia="仿宋" w:cs="Times New Roman"/>
                <w:sz w:val="24"/>
                <w:szCs w:val="24"/>
              </w:rPr>
            </w:pPr>
            <w:r>
              <w:rPr>
                <w:rFonts w:hint="eastAsia" w:ascii="仿宋" w:hAnsi="仿宋" w:eastAsia="仿宋" w:cs="仿宋"/>
                <w:sz w:val="24"/>
                <w:szCs w:val="24"/>
              </w:rPr>
              <w:t>审批意见：</w:t>
            </w:r>
          </w:p>
          <w:p>
            <w:pPr>
              <w:snapToGrid w:val="0"/>
              <w:spacing w:line="360" w:lineRule="auto"/>
              <w:ind w:hanging="6"/>
              <w:rPr>
                <w:rFonts w:ascii="仿宋" w:hAnsi="仿宋" w:eastAsia="仿宋" w:cs="Times New Roman"/>
                <w:sz w:val="24"/>
                <w:szCs w:val="24"/>
              </w:rPr>
            </w:pPr>
          </w:p>
          <w:p>
            <w:pPr>
              <w:snapToGrid w:val="0"/>
              <w:spacing w:line="360" w:lineRule="auto"/>
              <w:ind w:hanging="6"/>
              <w:jc w:val="center"/>
              <w:rPr>
                <w:rFonts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发包人（章）</w:t>
            </w:r>
          </w:p>
          <w:p>
            <w:pPr>
              <w:snapToGrid w:val="0"/>
              <w:spacing w:line="360" w:lineRule="auto"/>
              <w:ind w:hanging="6"/>
              <w:jc w:val="center"/>
              <w:rPr>
                <w:rFonts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发包人代表</w:t>
            </w:r>
            <w:r>
              <w:rPr>
                <w:rFonts w:ascii="仿宋" w:hAnsi="仿宋" w:eastAsia="仿宋" w:cs="仿宋"/>
                <w:b/>
                <w:bCs/>
                <w:sz w:val="24"/>
                <w:szCs w:val="24"/>
                <w:u w:val="single"/>
              </w:rPr>
              <w:t xml:space="preserve">           </w:t>
            </w:r>
          </w:p>
          <w:p>
            <w:pPr>
              <w:snapToGrid w:val="0"/>
              <w:spacing w:line="360" w:lineRule="auto"/>
              <w:ind w:hanging="6"/>
              <w:rPr>
                <w:rFonts w:ascii="仿宋" w:hAnsi="仿宋" w:eastAsia="仿宋" w:cs="Times New Roman"/>
                <w:sz w:val="24"/>
                <w:szCs w:val="24"/>
                <w:u w:val="single"/>
              </w:rPr>
            </w:pPr>
            <w:r>
              <w:rPr>
                <w:rFonts w:ascii="仿宋" w:hAnsi="仿宋" w:eastAsia="仿宋" w:cs="仿宋"/>
                <w:sz w:val="24"/>
                <w:szCs w:val="24"/>
              </w:rPr>
              <w:t xml:space="preserve">                                                      </w:t>
            </w: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bl>
    <w:p>
      <w:pPr>
        <w:spacing w:line="360" w:lineRule="auto"/>
        <w:ind w:left="720" w:hanging="720" w:hangingChars="300"/>
        <w:rPr>
          <w:rFonts w:ascii="仿宋" w:hAnsi="仿宋" w:eastAsia="仿宋" w:cs="Times New Roman"/>
          <w:sz w:val="24"/>
          <w:szCs w:val="24"/>
        </w:rPr>
      </w:pPr>
      <w:r>
        <w:rPr>
          <w:rFonts w:hint="eastAsia" w:ascii="仿宋" w:hAnsi="仿宋" w:eastAsia="仿宋" w:cs="仿宋"/>
          <w:sz w:val="24"/>
          <w:szCs w:val="24"/>
        </w:rPr>
        <w:t>说明：本表一式五份，由承包人、设计人、监理人、工程造价咨询人（如有）、发包人按合同规定程序填制，并各存一份。</w:t>
      </w:r>
    </w:p>
    <w:p>
      <w:pPr>
        <w:spacing w:line="360" w:lineRule="auto"/>
        <w:ind w:left="720" w:hanging="720" w:hangingChars="300"/>
        <w:outlineLvl w:val="1"/>
        <w:rPr>
          <w:rFonts w:ascii="仿宋" w:hAnsi="仿宋" w:eastAsia="仿宋" w:cs="仿宋"/>
          <w:b/>
          <w:bCs/>
          <w:color w:val="000000"/>
          <w:kern w:val="0"/>
          <w:sz w:val="24"/>
          <w:szCs w:val="24"/>
        </w:rPr>
      </w:pPr>
      <w:r>
        <w:rPr>
          <w:rFonts w:ascii="仿宋" w:hAnsi="仿宋" w:eastAsia="仿宋" w:cs="Times New Roman"/>
          <w:kern w:val="0"/>
          <w:sz w:val="24"/>
          <w:szCs w:val="24"/>
        </w:rPr>
        <w:br w:type="page"/>
      </w:r>
      <w:bookmarkStart w:id="776" w:name="_Toc469384156"/>
      <w:bookmarkStart w:id="777" w:name="_Toc266892941"/>
      <w:bookmarkStart w:id="778" w:name="_Toc10625000"/>
      <w:r>
        <w:rPr>
          <w:rFonts w:hint="eastAsia" w:ascii="仿宋" w:hAnsi="仿宋" w:eastAsia="仿宋" w:cs="仿宋"/>
          <w:b/>
          <w:bCs/>
          <w:color w:val="000000"/>
          <w:kern w:val="0"/>
          <w:sz w:val="24"/>
          <w:szCs w:val="24"/>
        </w:rPr>
        <w:t>格式</w:t>
      </w:r>
      <w:r>
        <w:rPr>
          <w:rFonts w:ascii="仿宋" w:hAnsi="仿宋" w:eastAsia="仿宋" w:cs="仿宋"/>
          <w:b/>
          <w:bCs/>
          <w:color w:val="000000"/>
          <w:kern w:val="0"/>
          <w:sz w:val="24"/>
          <w:szCs w:val="24"/>
        </w:rPr>
        <w:t>15</w:t>
      </w:r>
      <w:bookmarkEnd w:id="776"/>
      <w:bookmarkEnd w:id="777"/>
      <w:bookmarkEnd w:id="778"/>
    </w:p>
    <w:p>
      <w:pPr>
        <w:spacing w:before="50" w:after="50" w:line="360" w:lineRule="auto"/>
        <w:jc w:val="center"/>
        <w:rPr>
          <w:rFonts w:ascii="仿宋" w:hAnsi="仿宋" w:eastAsia="仿宋" w:cs="Times New Roman"/>
          <w:b/>
          <w:bCs/>
          <w:spacing w:val="30"/>
          <w:sz w:val="44"/>
          <w:szCs w:val="44"/>
        </w:rPr>
      </w:pPr>
      <w:r>
        <w:rPr>
          <w:rFonts w:hint="eastAsia" w:ascii="仿宋" w:hAnsi="仿宋" w:eastAsia="仿宋" w:cs="仿宋"/>
          <w:b/>
          <w:bCs/>
          <w:spacing w:val="30"/>
          <w:sz w:val="44"/>
          <w:szCs w:val="44"/>
        </w:rPr>
        <w:t>工程变更令</w:t>
      </w:r>
    </w:p>
    <w:p>
      <w:pPr>
        <w:spacing w:line="360" w:lineRule="auto"/>
        <w:rPr>
          <w:rFonts w:ascii="仿宋" w:hAnsi="仿宋" w:eastAsia="仿宋" w:cs="Times New Roman"/>
          <w:sz w:val="24"/>
          <w:szCs w:val="24"/>
        </w:rPr>
      </w:pPr>
      <w:r>
        <w:rPr>
          <w:rFonts w:hint="eastAsia" w:ascii="仿宋" w:hAnsi="仿宋" w:eastAsia="仿宋" w:cs="仿宋"/>
          <w:sz w:val="24"/>
          <w:szCs w:val="24"/>
        </w:rPr>
        <w:t>工程名称</w:t>
      </w:r>
      <w:r>
        <w:rPr>
          <w:rFonts w:ascii="仿宋" w:hAnsi="仿宋" w:eastAsia="仿宋" w:cs="仿宋"/>
          <w:sz w:val="24"/>
          <w:szCs w:val="24"/>
        </w:rPr>
        <w:t>:</w:t>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编号</w:t>
      </w:r>
      <w:r>
        <w:rPr>
          <w:rFonts w:ascii="仿宋" w:hAnsi="仿宋" w:eastAsia="仿宋" w:cs="仿宋"/>
          <w:sz w:val="24"/>
          <w:szCs w:val="24"/>
        </w:rPr>
        <w:t xml:space="preserve">: </w:t>
      </w:r>
    </w:p>
    <w:tbl>
      <w:tblPr>
        <w:tblStyle w:val="40"/>
        <w:tblW w:w="10273"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27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7062" w:hRule="atLeast"/>
        </w:trPr>
        <w:tc>
          <w:tcPr>
            <w:tcW w:w="10273" w:type="dxa"/>
            <w:tcBorders>
              <w:bottom w:val="single" w:color="000000" w:sz="6" w:space="0"/>
            </w:tcBorders>
            <w:vAlign w:val="top"/>
          </w:tcPr>
          <w:p>
            <w:pPr>
              <w:spacing w:before="120" w:line="360" w:lineRule="auto"/>
              <w:ind w:left="-28" w:firstLine="181"/>
              <w:rPr>
                <w:rFonts w:ascii="仿宋" w:hAnsi="仿宋" w:eastAsia="仿宋" w:cs="Times New Roman"/>
                <w:sz w:val="24"/>
                <w:szCs w:val="24"/>
              </w:rPr>
            </w:pPr>
            <w:r>
              <w:rPr>
                <w:rFonts w:hint="eastAsia" w:ascii="仿宋" w:hAnsi="仿宋" w:eastAsia="仿宋" w:cs="仿宋"/>
                <w:sz w:val="24"/>
                <w:szCs w:val="24"/>
              </w:rPr>
              <w:t>致</w:t>
            </w:r>
            <w:r>
              <w:rPr>
                <w:rFonts w:ascii="仿宋" w:hAnsi="仿宋" w:eastAsia="仿宋" w:cs="仿宋"/>
                <w:sz w:val="24"/>
                <w:szCs w:val="24"/>
              </w:rPr>
              <w:t>:</w:t>
            </w:r>
            <w:r>
              <w:rPr>
                <w:rFonts w:ascii="仿宋" w:hAnsi="仿宋" w:eastAsia="仿宋" w:cs="仿宋"/>
                <w:sz w:val="24"/>
                <w:szCs w:val="24"/>
                <w:u w:val="single"/>
              </w:rPr>
              <w:t xml:space="preserve">                                               </w:t>
            </w:r>
            <w:r>
              <w:rPr>
                <w:rFonts w:hint="eastAsia" w:ascii="仿宋" w:hAnsi="仿宋" w:eastAsia="仿宋" w:cs="仿宋"/>
                <w:sz w:val="24"/>
                <w:szCs w:val="24"/>
              </w:rPr>
              <w:t>（承包人全称）</w:t>
            </w:r>
            <w:r>
              <w:rPr>
                <w:rFonts w:ascii="仿宋" w:hAnsi="仿宋" w:eastAsia="仿宋" w:cs="仿宋"/>
                <w:sz w:val="24"/>
                <w:szCs w:val="24"/>
              </w:rPr>
              <w:t xml:space="preserve">   </w:t>
            </w:r>
          </w:p>
          <w:p>
            <w:pPr>
              <w:tabs>
                <w:tab w:val="left" w:pos="6192"/>
              </w:tabs>
              <w:spacing w:line="360" w:lineRule="auto"/>
              <w:ind w:left="-28" w:firstLine="550"/>
              <w:rPr>
                <w:rFonts w:ascii="仿宋" w:hAnsi="仿宋" w:eastAsia="仿宋" w:cs="Times New Roman"/>
                <w:sz w:val="24"/>
                <w:szCs w:val="24"/>
              </w:rPr>
            </w:pPr>
            <w:r>
              <w:rPr>
                <w:rFonts w:hint="eastAsia" w:ascii="仿宋" w:hAnsi="仿宋" w:eastAsia="仿宋" w:cs="仿宋"/>
                <w:sz w:val="24"/>
                <w:szCs w:val="24"/>
              </w:rPr>
              <w:t>由于</w:t>
            </w:r>
            <w:r>
              <w:rPr>
                <w:rFonts w:ascii="仿宋" w:hAnsi="仿宋" w:eastAsia="仿宋" w:cs="仿宋"/>
                <w:sz w:val="24"/>
                <w:szCs w:val="24"/>
                <w:u w:val="single"/>
              </w:rPr>
              <w:t xml:space="preserve">                                                        </w:t>
            </w:r>
            <w:r>
              <w:rPr>
                <w:rFonts w:hint="eastAsia" w:ascii="仿宋" w:hAnsi="仿宋" w:eastAsia="仿宋" w:cs="仿宋"/>
                <w:sz w:val="24"/>
                <w:szCs w:val="24"/>
              </w:rPr>
              <w:t>原因，现发出</w:t>
            </w:r>
            <w:r>
              <w:rPr>
                <w:rFonts w:ascii="仿宋" w:hAnsi="仿宋" w:eastAsia="仿宋" w:cs="仿宋"/>
                <w:sz w:val="24"/>
                <w:szCs w:val="24"/>
                <w:u w:val="single"/>
              </w:rPr>
              <w:t xml:space="preserve">                                                                   </w:t>
            </w:r>
            <w:r>
              <w:rPr>
                <w:rFonts w:hint="eastAsia" w:ascii="仿宋" w:hAnsi="仿宋" w:eastAsia="仿宋" w:cs="仿宋"/>
                <w:sz w:val="24"/>
                <w:szCs w:val="24"/>
              </w:rPr>
              <w:t>工程变更令（内容见附件），请按照本变更令和合同约定组织施工；若合同与本变更令不一致的，以本变更令为准。如有疑问，请及时与监理工程师联系。</w:t>
            </w:r>
          </w:p>
          <w:p>
            <w:pPr>
              <w:spacing w:line="360" w:lineRule="auto"/>
              <w:ind w:firstLine="480" w:firstLineChars="200"/>
              <w:rPr>
                <w:rFonts w:ascii="仿宋" w:hAnsi="仿宋" w:eastAsia="仿宋" w:cs="Times New Roman"/>
                <w:sz w:val="24"/>
                <w:szCs w:val="24"/>
              </w:rPr>
            </w:pPr>
            <w:r>
              <w:rPr>
                <w:rFonts w:hint="eastAsia" w:ascii="仿宋" w:hAnsi="仿宋" w:eastAsia="仿宋" w:cs="仿宋"/>
                <w:sz w:val="24"/>
                <w:szCs w:val="24"/>
              </w:rPr>
              <w:t>变更内容见附件：</w:t>
            </w:r>
          </w:p>
          <w:p>
            <w:pPr>
              <w:spacing w:line="360" w:lineRule="auto"/>
              <w:ind w:left="-28"/>
              <w:rPr>
                <w:rFonts w:ascii="仿宋" w:hAnsi="仿宋" w:eastAsia="仿宋" w:cs="Times New Roman"/>
                <w:sz w:val="24"/>
                <w:szCs w:val="24"/>
              </w:rPr>
            </w:pPr>
          </w:p>
          <w:p>
            <w:pPr>
              <w:spacing w:line="360" w:lineRule="auto"/>
              <w:rPr>
                <w:rFonts w:ascii="仿宋" w:hAnsi="仿宋" w:eastAsia="仿宋" w:cs="Times New Roman"/>
                <w:sz w:val="24"/>
                <w:szCs w:val="24"/>
              </w:rPr>
            </w:pPr>
          </w:p>
          <w:p>
            <w:pPr>
              <w:spacing w:line="360" w:lineRule="auto"/>
              <w:ind w:left="-28"/>
              <w:rPr>
                <w:rFonts w:ascii="仿宋" w:hAnsi="仿宋" w:eastAsia="仿宋" w:cs="Times New Roman"/>
                <w:sz w:val="24"/>
                <w:szCs w:val="24"/>
              </w:rPr>
            </w:pPr>
          </w:p>
          <w:p>
            <w:pPr>
              <w:spacing w:line="360" w:lineRule="auto"/>
              <w:ind w:left="-28"/>
              <w:rPr>
                <w:rFonts w:ascii="仿宋" w:hAnsi="仿宋" w:eastAsia="仿宋" w:cs="Times New Roman"/>
                <w:sz w:val="24"/>
                <w:szCs w:val="24"/>
              </w:rPr>
            </w:pPr>
          </w:p>
          <w:p>
            <w:pPr>
              <w:spacing w:line="360" w:lineRule="auto"/>
              <w:ind w:left="-28"/>
              <w:rPr>
                <w:rFonts w:ascii="仿宋" w:hAnsi="仿宋" w:eastAsia="仿宋" w:cs="Times New Roman"/>
                <w:sz w:val="24"/>
                <w:szCs w:val="24"/>
              </w:rPr>
            </w:pPr>
          </w:p>
          <w:p>
            <w:pPr>
              <w:spacing w:line="360" w:lineRule="auto"/>
              <w:ind w:left="-28"/>
              <w:rPr>
                <w:rFonts w:ascii="仿宋" w:hAnsi="仿宋" w:eastAsia="仿宋" w:cs="Times New Roman"/>
                <w:sz w:val="24"/>
                <w:szCs w:val="24"/>
              </w:rPr>
            </w:pPr>
          </w:p>
          <w:p>
            <w:pPr>
              <w:spacing w:line="360" w:lineRule="auto"/>
              <w:ind w:left="-28"/>
              <w:rPr>
                <w:rFonts w:ascii="仿宋" w:hAnsi="仿宋" w:eastAsia="仿宋" w:cs="Times New Roman"/>
                <w:sz w:val="24"/>
                <w:szCs w:val="24"/>
              </w:rPr>
            </w:pPr>
          </w:p>
          <w:p>
            <w:pPr>
              <w:spacing w:line="360" w:lineRule="auto"/>
              <w:ind w:left="-28"/>
              <w:rPr>
                <w:rFonts w:ascii="仿宋" w:hAnsi="仿宋" w:eastAsia="仿宋" w:cs="Times New Roman"/>
                <w:sz w:val="24"/>
                <w:szCs w:val="24"/>
              </w:rPr>
            </w:pPr>
          </w:p>
          <w:p>
            <w:pPr>
              <w:spacing w:line="360" w:lineRule="auto"/>
              <w:ind w:firstLine="5880" w:firstLineChars="2450"/>
              <w:rPr>
                <w:rFonts w:ascii="仿宋" w:hAnsi="仿宋" w:eastAsia="仿宋" w:cs="Times New Roman"/>
                <w:sz w:val="24"/>
                <w:szCs w:val="24"/>
                <w:u w:val="single"/>
              </w:rPr>
            </w:pPr>
            <w:r>
              <w:rPr>
                <w:rFonts w:hint="eastAsia" w:ascii="仿宋" w:hAnsi="仿宋" w:eastAsia="仿宋" w:cs="仿宋"/>
                <w:sz w:val="24"/>
                <w:szCs w:val="24"/>
              </w:rPr>
              <w:t>监理人（章）</w:t>
            </w:r>
          </w:p>
          <w:p>
            <w:pPr>
              <w:spacing w:line="360" w:lineRule="auto"/>
              <w:ind w:firstLine="5920" w:firstLineChars="2000"/>
              <w:rPr>
                <w:rFonts w:ascii="仿宋" w:hAnsi="仿宋" w:eastAsia="仿宋" w:cs="仿宋"/>
                <w:sz w:val="24"/>
                <w:szCs w:val="24"/>
                <w:u w:val="single"/>
              </w:rPr>
            </w:pPr>
            <w:r>
              <w:rPr>
                <w:rFonts w:hint="eastAsia" w:ascii="仿宋" w:hAnsi="仿宋" w:eastAsia="仿宋" w:cs="仿宋"/>
                <w:spacing w:val="28"/>
                <w:sz w:val="24"/>
                <w:szCs w:val="24"/>
              </w:rPr>
              <w:t>监理工程师</w:t>
            </w:r>
            <w:r>
              <w:rPr>
                <w:rFonts w:ascii="仿宋" w:hAnsi="仿宋" w:eastAsia="仿宋" w:cs="仿宋"/>
                <w:sz w:val="24"/>
                <w:szCs w:val="24"/>
                <w:u w:val="single"/>
              </w:rPr>
              <w:t xml:space="preserve">             </w:t>
            </w:r>
          </w:p>
          <w:p>
            <w:pPr>
              <w:spacing w:line="360" w:lineRule="auto"/>
              <w:ind w:firstLine="5880" w:firstLineChars="2450"/>
              <w:rPr>
                <w:rFonts w:ascii="仿宋" w:hAnsi="仿宋" w:eastAsia="仿宋" w:cs="Times New Roman"/>
                <w:spacing w:val="20"/>
                <w:sz w:val="24"/>
                <w:szCs w:val="24"/>
                <w:u w:val="single"/>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rPr>
              <w:t xml:space="preserve"> </w:t>
            </w:r>
            <w:r>
              <w:rPr>
                <w:rFonts w:ascii="仿宋" w:hAnsi="仿宋" w:eastAsia="仿宋" w:cs="仿宋"/>
                <w:sz w:val="24"/>
                <w:szCs w:val="24"/>
                <w:u w:val="singl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039" w:hRule="atLeast"/>
        </w:trPr>
        <w:tc>
          <w:tcPr>
            <w:tcW w:w="10273" w:type="dxa"/>
            <w:tcBorders>
              <w:top w:val="single" w:color="auto" w:sz="4" w:space="0"/>
              <w:bottom w:val="single" w:color="000000" w:sz="6" w:space="0"/>
            </w:tcBorders>
            <w:vAlign w:val="top"/>
          </w:tcPr>
          <w:p>
            <w:pPr>
              <w:snapToGrid w:val="0"/>
              <w:spacing w:line="360" w:lineRule="auto"/>
              <w:ind w:hanging="6"/>
              <w:rPr>
                <w:rFonts w:ascii="仿宋" w:hAnsi="仿宋" w:eastAsia="仿宋" w:cs="Times New Roman"/>
                <w:sz w:val="24"/>
                <w:szCs w:val="24"/>
              </w:rPr>
            </w:pPr>
            <w:r>
              <w:rPr>
                <w:rFonts w:hint="eastAsia" w:ascii="仿宋" w:hAnsi="仿宋" w:eastAsia="仿宋" w:cs="仿宋"/>
                <w:sz w:val="24"/>
                <w:szCs w:val="24"/>
              </w:rPr>
              <w:t>审批意见：</w:t>
            </w:r>
          </w:p>
          <w:p>
            <w:pPr>
              <w:snapToGrid w:val="0"/>
              <w:spacing w:line="360" w:lineRule="auto"/>
              <w:ind w:hanging="6"/>
              <w:rPr>
                <w:rFonts w:ascii="仿宋" w:hAnsi="仿宋" w:eastAsia="仿宋" w:cs="Times New Roman"/>
                <w:sz w:val="24"/>
                <w:szCs w:val="24"/>
              </w:rPr>
            </w:pPr>
          </w:p>
          <w:p>
            <w:pPr>
              <w:snapToGrid w:val="0"/>
              <w:spacing w:line="360" w:lineRule="auto"/>
              <w:rPr>
                <w:rFonts w:ascii="仿宋" w:hAnsi="仿宋" w:eastAsia="仿宋" w:cs="Times New Roman"/>
                <w:sz w:val="24"/>
                <w:szCs w:val="24"/>
              </w:rPr>
            </w:pPr>
          </w:p>
          <w:p>
            <w:pPr>
              <w:snapToGrid w:val="0"/>
              <w:spacing w:line="360" w:lineRule="auto"/>
              <w:rPr>
                <w:rFonts w:ascii="仿宋" w:hAnsi="仿宋" w:eastAsia="仿宋" w:cs="Times New Roman"/>
                <w:sz w:val="24"/>
                <w:szCs w:val="24"/>
              </w:rPr>
            </w:pPr>
          </w:p>
          <w:p>
            <w:pPr>
              <w:snapToGrid w:val="0"/>
              <w:spacing w:line="360" w:lineRule="auto"/>
              <w:ind w:hanging="6"/>
              <w:jc w:val="center"/>
              <w:rPr>
                <w:rFonts w:ascii="仿宋" w:hAnsi="仿宋" w:eastAsia="仿宋" w:cs="仿宋"/>
                <w:sz w:val="24"/>
                <w:szCs w:val="24"/>
              </w:rPr>
            </w:pPr>
            <w:r>
              <w:rPr>
                <w:rFonts w:ascii="仿宋" w:hAnsi="仿宋" w:eastAsia="仿宋" w:cs="仿宋"/>
                <w:sz w:val="24"/>
                <w:szCs w:val="24"/>
              </w:rPr>
              <w:t xml:space="preserve">                               </w:t>
            </w:r>
          </w:p>
          <w:p>
            <w:pPr>
              <w:snapToGrid w:val="0"/>
              <w:spacing w:line="360" w:lineRule="auto"/>
              <w:ind w:hanging="6"/>
              <w:jc w:val="center"/>
              <w:rPr>
                <w:rFonts w:ascii="仿宋" w:hAnsi="仿宋" w:eastAsia="仿宋" w:cs="Times New Roman"/>
                <w:sz w:val="24"/>
                <w:szCs w:val="24"/>
              </w:rPr>
            </w:pPr>
            <w:r>
              <w:rPr>
                <w:rFonts w:hint="eastAsia" w:ascii="仿宋" w:hAnsi="仿宋" w:eastAsia="仿宋" w:cs="仿宋"/>
                <w:sz w:val="24"/>
                <w:szCs w:val="24"/>
              </w:rPr>
              <w:t>　　　　　　　　　　　　发包人（章）</w:t>
            </w:r>
          </w:p>
          <w:p>
            <w:pPr>
              <w:snapToGrid w:val="0"/>
              <w:spacing w:line="360" w:lineRule="auto"/>
              <w:ind w:hanging="6"/>
              <w:jc w:val="center"/>
              <w:rPr>
                <w:rFonts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发包人代表</w:t>
            </w:r>
            <w:r>
              <w:rPr>
                <w:rFonts w:ascii="仿宋" w:hAnsi="仿宋" w:eastAsia="仿宋" w:cs="仿宋"/>
                <w:b/>
                <w:bCs/>
                <w:sz w:val="24"/>
                <w:szCs w:val="24"/>
                <w:u w:val="single"/>
              </w:rPr>
              <w:t xml:space="preserve">             </w:t>
            </w:r>
          </w:p>
          <w:p>
            <w:pPr>
              <w:snapToGrid w:val="0"/>
              <w:spacing w:line="360" w:lineRule="auto"/>
              <w:ind w:hanging="6"/>
              <w:jc w:val="left"/>
              <w:rPr>
                <w:rFonts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bl>
    <w:p>
      <w:pPr>
        <w:ind w:left="1" w:firstLine="360" w:firstLineChars="150"/>
        <w:rPr>
          <w:rFonts w:ascii="仿宋" w:hAnsi="仿宋" w:eastAsia="仿宋" w:cs="Times New Roman"/>
          <w:sz w:val="24"/>
          <w:szCs w:val="24"/>
        </w:rPr>
      </w:pPr>
      <w:r>
        <w:rPr>
          <w:rFonts w:hint="eastAsia" w:ascii="仿宋" w:hAnsi="仿宋" w:eastAsia="仿宋" w:cs="仿宋"/>
          <w:sz w:val="24"/>
          <w:szCs w:val="24"/>
        </w:rPr>
        <w:t>说明：本表一式四份，由监理人、发包人按合同规定程序填制，并连同工程造价咨询人（如有）、承包人各存一份。</w:t>
      </w:r>
    </w:p>
    <w:p>
      <w:pPr>
        <w:spacing w:line="360" w:lineRule="auto"/>
        <w:ind w:left="720" w:hanging="720" w:hangingChars="300"/>
        <w:outlineLvl w:val="1"/>
        <w:rPr>
          <w:rFonts w:ascii="仿宋" w:hAnsi="仿宋" w:eastAsia="仿宋" w:cs="仿宋"/>
          <w:b/>
          <w:bCs/>
          <w:color w:val="000000"/>
          <w:kern w:val="0"/>
          <w:sz w:val="24"/>
          <w:szCs w:val="24"/>
        </w:rPr>
      </w:pPr>
      <w:r>
        <w:rPr>
          <w:rFonts w:ascii="仿宋" w:hAnsi="仿宋" w:eastAsia="仿宋" w:cs="Times New Roman"/>
          <w:kern w:val="0"/>
          <w:sz w:val="24"/>
          <w:szCs w:val="24"/>
        </w:rPr>
        <w:br w:type="page"/>
      </w:r>
      <w:bookmarkStart w:id="779" w:name="_Toc10625001"/>
      <w:bookmarkStart w:id="780" w:name="_Toc469384157"/>
      <w:bookmarkStart w:id="781" w:name="_Toc266892942"/>
      <w:r>
        <w:rPr>
          <w:rFonts w:hint="eastAsia" w:ascii="仿宋" w:hAnsi="仿宋" w:eastAsia="仿宋" w:cs="仿宋"/>
          <w:b/>
          <w:bCs/>
          <w:color w:val="000000"/>
          <w:kern w:val="0"/>
          <w:sz w:val="24"/>
          <w:szCs w:val="24"/>
        </w:rPr>
        <w:t>格式</w:t>
      </w:r>
      <w:r>
        <w:rPr>
          <w:rFonts w:ascii="仿宋" w:hAnsi="仿宋" w:eastAsia="仿宋" w:cs="仿宋"/>
          <w:b/>
          <w:bCs/>
          <w:color w:val="000000"/>
          <w:kern w:val="0"/>
          <w:sz w:val="24"/>
          <w:szCs w:val="24"/>
        </w:rPr>
        <w:t>16</w:t>
      </w:r>
      <w:bookmarkEnd w:id="779"/>
      <w:bookmarkEnd w:id="780"/>
      <w:bookmarkEnd w:id="781"/>
    </w:p>
    <w:p>
      <w:pPr>
        <w:spacing w:line="360" w:lineRule="auto"/>
        <w:jc w:val="center"/>
        <w:rPr>
          <w:rFonts w:ascii="仿宋" w:hAnsi="仿宋" w:eastAsia="仿宋" w:cs="Times New Roman"/>
          <w:b/>
          <w:bCs/>
          <w:spacing w:val="30"/>
          <w:sz w:val="44"/>
          <w:szCs w:val="44"/>
        </w:rPr>
      </w:pPr>
      <w:r>
        <w:rPr>
          <w:rFonts w:hint="eastAsia" w:ascii="仿宋" w:hAnsi="仿宋" w:eastAsia="仿宋" w:cs="仿宋"/>
          <w:b/>
          <w:bCs/>
          <w:spacing w:val="30"/>
          <w:sz w:val="44"/>
          <w:szCs w:val="44"/>
        </w:rPr>
        <w:t>工程竣工验收申请报告</w:t>
      </w:r>
    </w:p>
    <w:p>
      <w:pPr>
        <w:spacing w:line="360" w:lineRule="auto"/>
        <w:rPr>
          <w:rFonts w:ascii="仿宋" w:hAnsi="仿宋" w:eastAsia="仿宋" w:cs="Times New Roman"/>
          <w:sz w:val="24"/>
          <w:szCs w:val="24"/>
        </w:rPr>
      </w:pPr>
      <w:r>
        <w:rPr>
          <w:rFonts w:hint="eastAsia" w:ascii="仿宋" w:hAnsi="仿宋" w:eastAsia="仿宋" w:cs="仿宋"/>
          <w:sz w:val="24"/>
          <w:szCs w:val="24"/>
        </w:rPr>
        <w:t>工程名称</w:t>
      </w:r>
      <w:r>
        <w:rPr>
          <w:rFonts w:ascii="仿宋" w:hAnsi="仿宋" w:eastAsia="仿宋" w:cs="仿宋"/>
          <w:sz w:val="24"/>
          <w:szCs w:val="24"/>
        </w:rPr>
        <w:t>:</w:t>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编号</w:t>
      </w:r>
      <w:r>
        <w:rPr>
          <w:rFonts w:ascii="仿宋" w:hAnsi="仿宋" w:eastAsia="仿宋" w:cs="仿宋"/>
          <w:sz w:val="24"/>
          <w:szCs w:val="24"/>
        </w:rPr>
        <w:t>:</w:t>
      </w:r>
    </w:p>
    <w:tbl>
      <w:tblPr>
        <w:tblStyle w:val="40"/>
        <w:tblW w:w="10443"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4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06" w:hRule="atLeast"/>
        </w:trPr>
        <w:tc>
          <w:tcPr>
            <w:tcW w:w="10443" w:type="dxa"/>
            <w:vAlign w:val="top"/>
          </w:tcPr>
          <w:p>
            <w:pPr>
              <w:spacing w:before="120" w:line="360" w:lineRule="auto"/>
              <w:ind w:left="-28" w:firstLine="181"/>
              <w:rPr>
                <w:rFonts w:ascii="仿宋" w:hAnsi="仿宋" w:eastAsia="仿宋" w:cs="Times New Roman"/>
                <w:sz w:val="24"/>
                <w:szCs w:val="24"/>
              </w:rPr>
            </w:pPr>
            <w:r>
              <w:rPr>
                <w:rFonts w:hint="eastAsia" w:ascii="仿宋" w:hAnsi="仿宋" w:eastAsia="仿宋" w:cs="仿宋"/>
                <w:sz w:val="24"/>
                <w:szCs w:val="24"/>
              </w:rPr>
              <w:t>致</w:t>
            </w:r>
            <w:r>
              <w:rPr>
                <w:rFonts w:ascii="仿宋" w:hAnsi="仿宋" w:eastAsia="仿宋" w:cs="仿宋"/>
                <w:sz w:val="24"/>
                <w:szCs w:val="24"/>
              </w:rPr>
              <w:t>:</w:t>
            </w:r>
            <w:r>
              <w:rPr>
                <w:rFonts w:ascii="仿宋" w:hAnsi="仿宋" w:eastAsia="仿宋" w:cs="仿宋"/>
                <w:sz w:val="24"/>
                <w:szCs w:val="24"/>
                <w:u w:val="single"/>
              </w:rPr>
              <w:t xml:space="preserve">                                                  </w:t>
            </w:r>
            <w:r>
              <w:rPr>
                <w:rFonts w:hint="eastAsia" w:ascii="仿宋" w:hAnsi="仿宋" w:eastAsia="仿宋" w:cs="仿宋"/>
                <w:sz w:val="24"/>
                <w:szCs w:val="24"/>
              </w:rPr>
              <w:t>（发包人全称）</w:t>
            </w:r>
          </w:p>
          <w:p>
            <w:pPr>
              <w:spacing w:line="360" w:lineRule="auto"/>
              <w:ind w:left="-3" w:firstLine="510"/>
              <w:rPr>
                <w:rFonts w:ascii="仿宋" w:hAnsi="仿宋" w:eastAsia="仿宋" w:cs="Times New Roman"/>
                <w:sz w:val="24"/>
                <w:szCs w:val="24"/>
              </w:rPr>
            </w:pPr>
            <w:r>
              <w:rPr>
                <w:rFonts w:hint="eastAsia" w:ascii="仿宋" w:hAnsi="仿宋" w:eastAsia="仿宋" w:cs="仿宋"/>
                <w:sz w:val="24"/>
                <w:szCs w:val="24"/>
              </w:rPr>
              <w:t>我方已按合同要求完成了</w:t>
            </w:r>
            <w:r>
              <w:rPr>
                <w:rFonts w:ascii="仿宋" w:hAnsi="仿宋" w:eastAsia="仿宋" w:cs="仿宋"/>
                <w:sz w:val="24"/>
                <w:szCs w:val="24"/>
                <w:u w:val="single"/>
              </w:rPr>
              <w:t xml:space="preserve">                                     </w:t>
            </w:r>
            <w:r>
              <w:rPr>
                <w:rFonts w:hint="eastAsia" w:ascii="仿宋" w:hAnsi="仿宋" w:eastAsia="仿宋" w:cs="仿宋"/>
                <w:sz w:val="24"/>
                <w:szCs w:val="24"/>
              </w:rPr>
              <w:t>工程</w:t>
            </w:r>
            <w:r>
              <w:rPr>
                <w:rFonts w:ascii="仿宋" w:hAnsi="仿宋" w:eastAsia="仿宋" w:cs="仿宋"/>
                <w:sz w:val="24"/>
                <w:szCs w:val="24"/>
              </w:rPr>
              <w:t>,</w:t>
            </w:r>
            <w:r>
              <w:rPr>
                <w:rFonts w:hint="eastAsia" w:ascii="仿宋" w:hAnsi="仿宋" w:eastAsia="仿宋" w:cs="仿宋"/>
                <w:sz w:val="24"/>
                <w:szCs w:val="24"/>
              </w:rPr>
              <w:t>经自检合格，现提出工程竣工验收（内容详见附件），请予以验收。</w:t>
            </w:r>
          </w:p>
          <w:p>
            <w:pPr>
              <w:spacing w:line="360" w:lineRule="auto"/>
              <w:ind w:left="-3" w:firstLine="510"/>
              <w:rPr>
                <w:rFonts w:ascii="仿宋" w:hAnsi="仿宋" w:eastAsia="仿宋" w:cs="Times New Roman"/>
                <w:sz w:val="24"/>
                <w:szCs w:val="24"/>
              </w:rPr>
            </w:pPr>
            <w:r>
              <w:rPr>
                <w:rFonts w:hint="eastAsia" w:ascii="仿宋" w:hAnsi="仿宋" w:eastAsia="仿宋" w:cs="仿宋"/>
                <w:sz w:val="24"/>
                <w:szCs w:val="24"/>
              </w:rPr>
              <w:t>你方应该清楚，工程具备验收条件的，应按照合同约定期限完成竣工验收，否则将承担相应责任。</w:t>
            </w:r>
          </w:p>
          <w:p>
            <w:pPr>
              <w:spacing w:line="360" w:lineRule="auto"/>
              <w:ind w:left="-108" w:firstLine="510"/>
              <w:rPr>
                <w:rFonts w:ascii="仿宋" w:hAnsi="仿宋" w:eastAsia="仿宋" w:cs="仿宋"/>
                <w:sz w:val="24"/>
                <w:szCs w:val="24"/>
              </w:rPr>
            </w:pPr>
            <w:r>
              <w:rPr>
                <w:rFonts w:hint="eastAsia" w:ascii="仿宋" w:hAnsi="仿宋" w:eastAsia="仿宋" w:cs="仿宋"/>
                <w:sz w:val="24"/>
                <w:szCs w:val="24"/>
              </w:rPr>
              <w:t>附件</w:t>
            </w:r>
            <w:r>
              <w:rPr>
                <w:rFonts w:ascii="仿宋" w:hAnsi="仿宋" w:eastAsia="仿宋" w:cs="仿宋"/>
                <w:sz w:val="24"/>
                <w:szCs w:val="24"/>
              </w:rPr>
              <w:t xml:space="preserve">: </w:t>
            </w:r>
          </w:p>
          <w:p>
            <w:pPr>
              <w:spacing w:line="360" w:lineRule="auto"/>
              <w:rPr>
                <w:rFonts w:ascii="仿宋" w:hAnsi="仿宋" w:eastAsia="仿宋" w:cs="Times New Roman"/>
                <w:sz w:val="24"/>
                <w:szCs w:val="24"/>
              </w:rPr>
            </w:pPr>
          </w:p>
          <w:p>
            <w:pPr>
              <w:spacing w:line="360" w:lineRule="auto"/>
              <w:ind w:firstLine="6288" w:firstLineChars="2620"/>
              <w:rPr>
                <w:rFonts w:ascii="仿宋" w:hAnsi="仿宋" w:eastAsia="仿宋" w:cs="Times New Roman"/>
                <w:sz w:val="24"/>
                <w:szCs w:val="24"/>
                <w:u w:val="single"/>
              </w:rPr>
            </w:pPr>
            <w:r>
              <w:rPr>
                <w:rFonts w:hint="eastAsia" w:ascii="仿宋" w:hAnsi="仿宋" w:eastAsia="仿宋" w:cs="仿宋"/>
                <w:sz w:val="24"/>
                <w:szCs w:val="24"/>
              </w:rPr>
              <w:t>承包人（章）</w:t>
            </w:r>
            <w:r>
              <w:rPr>
                <w:rFonts w:ascii="仿宋" w:hAnsi="仿宋" w:eastAsia="仿宋" w:cs="仿宋"/>
                <w:sz w:val="24"/>
                <w:szCs w:val="24"/>
              </w:rPr>
              <w:t xml:space="preserve">               </w:t>
            </w:r>
          </w:p>
          <w:p>
            <w:pPr>
              <w:tabs>
                <w:tab w:val="left" w:pos="7092"/>
              </w:tabs>
              <w:spacing w:line="360" w:lineRule="auto"/>
              <w:ind w:firstLine="6300"/>
              <w:rPr>
                <w:rFonts w:ascii="仿宋" w:hAnsi="仿宋" w:eastAsia="仿宋" w:cs="仿宋"/>
                <w:sz w:val="24"/>
                <w:szCs w:val="24"/>
                <w:u w:val="single"/>
              </w:rPr>
            </w:pPr>
            <w:r>
              <w:rPr>
                <w:rFonts w:hint="eastAsia" w:ascii="仿宋" w:hAnsi="仿宋" w:eastAsia="仿宋" w:cs="仿宋"/>
                <w:sz w:val="24"/>
                <w:szCs w:val="24"/>
              </w:rPr>
              <w:t>承包人代表</w:t>
            </w:r>
            <w:r>
              <w:rPr>
                <w:rFonts w:ascii="仿宋" w:hAnsi="仿宋" w:eastAsia="仿宋" w:cs="仿宋"/>
                <w:sz w:val="24"/>
                <w:szCs w:val="24"/>
                <w:u w:val="single"/>
              </w:rPr>
              <w:t xml:space="preserve">             </w:t>
            </w:r>
          </w:p>
          <w:p>
            <w:pPr>
              <w:spacing w:line="360" w:lineRule="auto"/>
              <w:ind w:firstLine="6300"/>
              <w:rPr>
                <w:rFonts w:ascii="仿宋" w:hAnsi="仿宋" w:eastAsia="仿宋" w:cs="Times New Roman"/>
                <w:sz w:val="24"/>
                <w:szCs w:val="24"/>
                <w:u w:val="single"/>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616" w:hRule="atLeast"/>
        </w:trPr>
        <w:tc>
          <w:tcPr>
            <w:tcW w:w="10443" w:type="dxa"/>
            <w:tcBorders>
              <w:bottom w:val="nil"/>
            </w:tcBorders>
            <w:vAlign w:val="top"/>
          </w:tcPr>
          <w:p>
            <w:pPr>
              <w:spacing w:line="360" w:lineRule="auto"/>
              <w:rPr>
                <w:rFonts w:ascii="仿宋" w:hAnsi="仿宋" w:eastAsia="仿宋" w:cs="Times New Roman"/>
                <w:sz w:val="24"/>
                <w:szCs w:val="24"/>
              </w:rPr>
            </w:pPr>
            <w:r>
              <w:rPr>
                <w:rFonts w:hint="eastAsia" w:ascii="仿宋" w:hAnsi="仿宋" w:eastAsia="仿宋" w:cs="仿宋"/>
                <w:sz w:val="24"/>
                <w:szCs w:val="24"/>
              </w:rPr>
              <w:t>审查意见：</w:t>
            </w:r>
          </w:p>
          <w:p>
            <w:pPr>
              <w:spacing w:line="360" w:lineRule="auto"/>
              <w:ind w:left="-28" w:firstLine="510"/>
              <w:rPr>
                <w:rFonts w:ascii="仿宋" w:hAnsi="仿宋" w:eastAsia="仿宋" w:cs="Times New Roman"/>
                <w:sz w:val="24"/>
                <w:szCs w:val="24"/>
              </w:rPr>
            </w:pPr>
            <w:r>
              <w:rPr>
                <w:rFonts w:hint="eastAsia" w:ascii="仿宋" w:hAnsi="仿宋" w:eastAsia="仿宋" w:cs="仿宋"/>
                <w:sz w:val="24"/>
                <w:szCs w:val="24"/>
              </w:rPr>
              <w:t>经初步验收，该工程</w:t>
            </w:r>
          </w:p>
          <w:p>
            <w:pPr>
              <w:spacing w:line="360" w:lineRule="auto"/>
              <w:ind w:firstLine="522"/>
              <w:rPr>
                <w:rFonts w:ascii="仿宋" w:hAnsi="仿宋" w:eastAsia="仿宋" w:cs="Times New Roman"/>
                <w:sz w:val="24"/>
                <w:szCs w:val="24"/>
              </w:rPr>
            </w:pPr>
            <w:r>
              <w:rPr>
                <w:rFonts w:ascii="仿宋" w:hAnsi="仿宋" w:eastAsia="仿宋" w:cs="仿宋"/>
                <w:sz w:val="24"/>
                <w:szCs w:val="24"/>
              </w:rPr>
              <w:t>1.</w:t>
            </w:r>
            <w:r>
              <w:rPr>
                <w:rFonts w:hint="eastAsia" w:ascii="仿宋" w:hAnsi="仿宋" w:eastAsia="仿宋" w:cs="仿宋"/>
                <w:sz w:val="24"/>
                <w:szCs w:val="24"/>
              </w:rPr>
              <w:t>（</w:t>
            </w:r>
            <w:r>
              <w:rPr>
                <w:rFonts w:hint="eastAsia" w:ascii="仿宋" w:hAnsi="仿宋" w:eastAsia="仿宋" w:cs="仿宋"/>
                <w:sz w:val="32"/>
                <w:szCs w:val="32"/>
              </w:rPr>
              <w:t>□</w:t>
            </w:r>
            <w:r>
              <w:rPr>
                <w:rFonts w:hint="eastAsia" w:ascii="仿宋" w:hAnsi="仿宋" w:eastAsia="仿宋" w:cs="仿宋"/>
                <w:sz w:val="24"/>
                <w:szCs w:val="24"/>
              </w:rPr>
              <w:t>符合</w:t>
            </w:r>
            <w:r>
              <w:rPr>
                <w:rFonts w:ascii="仿宋" w:hAnsi="仿宋" w:eastAsia="仿宋" w:cs="仿宋"/>
                <w:sz w:val="24"/>
                <w:szCs w:val="24"/>
              </w:rPr>
              <w:t>/</w:t>
            </w:r>
            <w:r>
              <w:rPr>
                <w:rFonts w:hint="eastAsia" w:ascii="仿宋" w:hAnsi="仿宋" w:eastAsia="仿宋" w:cs="仿宋"/>
                <w:sz w:val="32"/>
                <w:szCs w:val="32"/>
              </w:rPr>
              <w:t>□</w:t>
            </w:r>
            <w:r>
              <w:rPr>
                <w:rFonts w:hint="eastAsia" w:ascii="仿宋" w:hAnsi="仿宋" w:eastAsia="仿宋" w:cs="仿宋"/>
                <w:sz w:val="24"/>
                <w:szCs w:val="24"/>
              </w:rPr>
              <w:t>不符合）施工设计图纸要求；</w:t>
            </w:r>
          </w:p>
          <w:p>
            <w:pPr>
              <w:spacing w:line="360" w:lineRule="auto"/>
              <w:ind w:firstLine="522"/>
              <w:rPr>
                <w:rFonts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w:t>
            </w:r>
            <w:r>
              <w:rPr>
                <w:rFonts w:hint="eastAsia" w:ascii="仿宋" w:hAnsi="仿宋" w:eastAsia="仿宋" w:cs="仿宋"/>
                <w:sz w:val="32"/>
                <w:szCs w:val="32"/>
              </w:rPr>
              <w:t>□</w:t>
            </w:r>
            <w:r>
              <w:rPr>
                <w:rFonts w:hint="eastAsia" w:ascii="仿宋" w:hAnsi="仿宋" w:eastAsia="仿宋" w:cs="仿宋"/>
                <w:sz w:val="24"/>
                <w:szCs w:val="24"/>
              </w:rPr>
              <w:t>符合</w:t>
            </w:r>
            <w:r>
              <w:rPr>
                <w:rFonts w:ascii="仿宋" w:hAnsi="仿宋" w:eastAsia="仿宋" w:cs="仿宋"/>
                <w:sz w:val="24"/>
                <w:szCs w:val="24"/>
              </w:rPr>
              <w:t>/</w:t>
            </w:r>
            <w:r>
              <w:rPr>
                <w:rFonts w:hint="eastAsia" w:ascii="仿宋" w:hAnsi="仿宋" w:eastAsia="仿宋" w:cs="仿宋"/>
                <w:sz w:val="32"/>
                <w:szCs w:val="32"/>
              </w:rPr>
              <w:t>□</w:t>
            </w:r>
            <w:r>
              <w:rPr>
                <w:rFonts w:hint="eastAsia" w:ascii="仿宋" w:hAnsi="仿宋" w:eastAsia="仿宋" w:cs="仿宋"/>
                <w:sz w:val="24"/>
                <w:szCs w:val="24"/>
              </w:rPr>
              <w:t>不符合）施工合同要求；</w:t>
            </w:r>
          </w:p>
          <w:p>
            <w:pPr>
              <w:spacing w:line="360" w:lineRule="auto"/>
              <w:ind w:left="-28" w:firstLine="550"/>
              <w:rPr>
                <w:rFonts w:ascii="仿宋" w:hAnsi="仿宋" w:eastAsia="仿宋" w:cs="Times New Roman"/>
                <w:sz w:val="24"/>
                <w:szCs w:val="24"/>
              </w:rPr>
            </w:pPr>
            <w:r>
              <w:rPr>
                <w:rFonts w:ascii="仿宋" w:hAnsi="仿宋" w:eastAsia="仿宋" w:cs="仿宋"/>
                <w:sz w:val="24"/>
                <w:szCs w:val="24"/>
              </w:rPr>
              <w:t>3.</w:t>
            </w:r>
            <w:r>
              <w:rPr>
                <w:rFonts w:hint="eastAsia" w:ascii="仿宋" w:hAnsi="仿宋" w:eastAsia="仿宋" w:cs="仿宋"/>
                <w:sz w:val="24"/>
                <w:szCs w:val="24"/>
              </w:rPr>
              <w:t>（</w:t>
            </w:r>
            <w:r>
              <w:rPr>
                <w:rFonts w:hint="eastAsia" w:ascii="仿宋" w:hAnsi="仿宋" w:eastAsia="仿宋" w:cs="仿宋"/>
                <w:sz w:val="32"/>
                <w:szCs w:val="32"/>
              </w:rPr>
              <w:t>□</w:t>
            </w:r>
            <w:r>
              <w:rPr>
                <w:rFonts w:hint="eastAsia" w:ascii="仿宋" w:hAnsi="仿宋" w:eastAsia="仿宋" w:cs="仿宋"/>
                <w:sz w:val="24"/>
                <w:szCs w:val="24"/>
              </w:rPr>
              <w:t>符合</w:t>
            </w:r>
            <w:r>
              <w:rPr>
                <w:rFonts w:ascii="仿宋" w:hAnsi="仿宋" w:eastAsia="仿宋" w:cs="仿宋"/>
                <w:sz w:val="24"/>
                <w:szCs w:val="24"/>
              </w:rPr>
              <w:t>/</w:t>
            </w:r>
            <w:r>
              <w:rPr>
                <w:rFonts w:hint="eastAsia" w:ascii="仿宋" w:hAnsi="仿宋" w:eastAsia="仿宋" w:cs="仿宋"/>
                <w:sz w:val="32"/>
                <w:szCs w:val="32"/>
              </w:rPr>
              <w:t>□</w:t>
            </w:r>
            <w:r>
              <w:rPr>
                <w:rFonts w:hint="eastAsia" w:ascii="仿宋" w:hAnsi="仿宋" w:eastAsia="仿宋" w:cs="仿宋"/>
                <w:sz w:val="24"/>
                <w:szCs w:val="24"/>
              </w:rPr>
              <w:t>不符合）竣工资料要求；</w:t>
            </w:r>
          </w:p>
          <w:p>
            <w:pPr>
              <w:spacing w:line="360" w:lineRule="auto"/>
              <w:ind w:left="-28" w:firstLine="550"/>
              <w:rPr>
                <w:rFonts w:ascii="仿宋" w:hAnsi="仿宋" w:eastAsia="仿宋" w:cs="Times New Roman"/>
                <w:sz w:val="24"/>
                <w:szCs w:val="24"/>
              </w:rPr>
            </w:pPr>
            <w:r>
              <w:rPr>
                <w:rFonts w:ascii="仿宋" w:hAnsi="仿宋" w:eastAsia="仿宋" w:cs="仿宋"/>
                <w:sz w:val="24"/>
                <w:szCs w:val="24"/>
              </w:rPr>
              <w:t>4.</w:t>
            </w:r>
            <w:r>
              <w:rPr>
                <w:rFonts w:hint="eastAsia" w:ascii="仿宋" w:hAnsi="仿宋" w:eastAsia="仿宋" w:cs="仿宋"/>
                <w:sz w:val="24"/>
                <w:szCs w:val="24"/>
              </w:rPr>
              <w:t>（</w:t>
            </w:r>
            <w:r>
              <w:rPr>
                <w:rFonts w:hint="eastAsia" w:ascii="仿宋" w:hAnsi="仿宋" w:eastAsia="仿宋" w:cs="仿宋"/>
                <w:sz w:val="32"/>
                <w:szCs w:val="32"/>
              </w:rPr>
              <w:t>□</w:t>
            </w:r>
            <w:r>
              <w:rPr>
                <w:rFonts w:hint="eastAsia" w:ascii="仿宋" w:hAnsi="仿宋" w:eastAsia="仿宋" w:cs="仿宋"/>
                <w:sz w:val="24"/>
                <w:szCs w:val="24"/>
              </w:rPr>
              <w:t>符合</w:t>
            </w:r>
            <w:r>
              <w:rPr>
                <w:rFonts w:ascii="仿宋" w:hAnsi="仿宋" w:eastAsia="仿宋" w:cs="仿宋"/>
                <w:sz w:val="24"/>
                <w:szCs w:val="24"/>
              </w:rPr>
              <w:t>/</w:t>
            </w:r>
            <w:r>
              <w:rPr>
                <w:rFonts w:hint="eastAsia" w:ascii="仿宋" w:hAnsi="仿宋" w:eastAsia="仿宋" w:cs="仿宋"/>
                <w:sz w:val="32"/>
                <w:szCs w:val="32"/>
              </w:rPr>
              <w:t>□</w:t>
            </w:r>
            <w:r>
              <w:rPr>
                <w:rFonts w:hint="eastAsia" w:ascii="仿宋" w:hAnsi="仿宋" w:eastAsia="仿宋" w:cs="仿宋"/>
                <w:sz w:val="24"/>
                <w:szCs w:val="24"/>
              </w:rPr>
              <w:t>不符合）缺陷责任期返工工作清单和计划；</w:t>
            </w:r>
          </w:p>
          <w:p>
            <w:pPr>
              <w:spacing w:line="360" w:lineRule="auto"/>
              <w:ind w:left="-28" w:firstLine="550"/>
              <w:rPr>
                <w:rFonts w:ascii="仿宋" w:hAnsi="仿宋" w:eastAsia="仿宋" w:cs="Times New Roman"/>
                <w:sz w:val="24"/>
                <w:szCs w:val="24"/>
              </w:rPr>
            </w:pPr>
            <w:r>
              <w:rPr>
                <w:rFonts w:ascii="仿宋" w:hAnsi="仿宋" w:eastAsia="仿宋" w:cs="仿宋"/>
                <w:sz w:val="24"/>
                <w:szCs w:val="24"/>
              </w:rPr>
              <w:t>5.</w:t>
            </w:r>
            <w:r>
              <w:rPr>
                <w:rFonts w:hint="eastAsia" w:ascii="仿宋" w:hAnsi="仿宋" w:eastAsia="仿宋" w:cs="仿宋"/>
                <w:sz w:val="24"/>
                <w:szCs w:val="24"/>
              </w:rPr>
              <w:t>（</w:t>
            </w:r>
            <w:r>
              <w:rPr>
                <w:rFonts w:hint="eastAsia" w:ascii="仿宋" w:hAnsi="仿宋" w:eastAsia="仿宋" w:cs="仿宋"/>
                <w:sz w:val="32"/>
                <w:szCs w:val="32"/>
              </w:rPr>
              <w:t>□</w:t>
            </w:r>
            <w:r>
              <w:rPr>
                <w:rFonts w:hint="eastAsia" w:ascii="仿宋" w:hAnsi="仿宋" w:eastAsia="仿宋" w:cs="仿宋"/>
                <w:sz w:val="24"/>
                <w:szCs w:val="24"/>
              </w:rPr>
              <w:t>符合</w:t>
            </w:r>
            <w:r>
              <w:rPr>
                <w:rFonts w:ascii="仿宋" w:hAnsi="仿宋" w:eastAsia="仿宋" w:cs="仿宋"/>
                <w:sz w:val="24"/>
                <w:szCs w:val="24"/>
              </w:rPr>
              <w:t>/</w:t>
            </w:r>
            <w:r>
              <w:rPr>
                <w:rFonts w:hint="eastAsia" w:ascii="仿宋" w:hAnsi="仿宋" w:eastAsia="仿宋" w:cs="仿宋"/>
                <w:sz w:val="32"/>
                <w:szCs w:val="32"/>
              </w:rPr>
              <w:t>□</w:t>
            </w:r>
            <w:r>
              <w:rPr>
                <w:rFonts w:hint="eastAsia" w:ascii="仿宋" w:hAnsi="仿宋" w:eastAsia="仿宋" w:cs="仿宋"/>
                <w:sz w:val="24"/>
                <w:szCs w:val="24"/>
              </w:rPr>
              <w:t>不符合）竣工验收资料清单。</w:t>
            </w:r>
          </w:p>
          <w:p>
            <w:pPr>
              <w:spacing w:line="360" w:lineRule="auto"/>
              <w:ind w:right="-56" w:hanging="3"/>
              <w:rPr>
                <w:rFonts w:ascii="仿宋" w:hAnsi="仿宋" w:eastAsia="仿宋" w:cs="Times New Roman"/>
                <w:sz w:val="24"/>
                <w:szCs w:val="24"/>
              </w:rPr>
            </w:pPr>
            <w:r>
              <w:rPr>
                <w:rFonts w:hint="eastAsia" w:ascii="仿宋" w:hAnsi="仿宋" w:eastAsia="仿宋" w:cs="仿宋"/>
                <w:sz w:val="24"/>
                <w:szCs w:val="24"/>
              </w:rPr>
              <w:t>综上所述，该工程初步验收</w:t>
            </w:r>
            <w:r>
              <w:rPr>
                <w:rFonts w:ascii="仿宋" w:hAnsi="仿宋" w:eastAsia="仿宋" w:cs="仿宋"/>
                <w:sz w:val="24"/>
                <w:szCs w:val="24"/>
              </w:rPr>
              <w:t xml:space="preserve"> </w:t>
            </w:r>
            <w:r>
              <w:rPr>
                <w:rFonts w:hint="eastAsia" w:ascii="仿宋" w:hAnsi="仿宋" w:eastAsia="仿宋" w:cs="仿宋"/>
                <w:sz w:val="24"/>
                <w:szCs w:val="24"/>
              </w:rPr>
              <w:t>（</w:t>
            </w:r>
            <w:r>
              <w:rPr>
                <w:rFonts w:hint="eastAsia" w:ascii="仿宋" w:hAnsi="仿宋" w:eastAsia="仿宋" w:cs="仿宋"/>
                <w:sz w:val="32"/>
                <w:szCs w:val="32"/>
              </w:rPr>
              <w:t>□</w:t>
            </w:r>
            <w:r>
              <w:rPr>
                <w:rFonts w:hint="eastAsia" w:ascii="仿宋" w:hAnsi="仿宋" w:eastAsia="仿宋" w:cs="仿宋"/>
                <w:sz w:val="24"/>
                <w:szCs w:val="24"/>
              </w:rPr>
              <w:t>合格</w:t>
            </w:r>
            <w:r>
              <w:rPr>
                <w:rFonts w:ascii="仿宋" w:hAnsi="仿宋" w:eastAsia="仿宋" w:cs="仿宋"/>
                <w:sz w:val="24"/>
                <w:szCs w:val="24"/>
              </w:rPr>
              <w:t>/</w:t>
            </w:r>
            <w:r>
              <w:rPr>
                <w:rFonts w:hint="eastAsia" w:ascii="仿宋" w:hAnsi="仿宋" w:eastAsia="仿宋" w:cs="仿宋"/>
                <w:sz w:val="32"/>
                <w:szCs w:val="32"/>
              </w:rPr>
              <w:t>□</w:t>
            </w:r>
            <w:r>
              <w:rPr>
                <w:rFonts w:hint="eastAsia" w:ascii="仿宋" w:hAnsi="仿宋" w:eastAsia="仿宋" w:cs="仿宋"/>
                <w:sz w:val="24"/>
                <w:szCs w:val="24"/>
              </w:rPr>
              <w:t>不合格），（</w:t>
            </w:r>
            <w:r>
              <w:rPr>
                <w:rFonts w:hint="eastAsia" w:ascii="仿宋" w:hAnsi="仿宋" w:eastAsia="仿宋" w:cs="仿宋"/>
                <w:sz w:val="32"/>
                <w:szCs w:val="32"/>
              </w:rPr>
              <w:t>□</w:t>
            </w:r>
            <w:r>
              <w:rPr>
                <w:rFonts w:hint="eastAsia" w:ascii="仿宋" w:hAnsi="仿宋" w:eastAsia="仿宋" w:cs="仿宋"/>
                <w:sz w:val="24"/>
                <w:szCs w:val="24"/>
              </w:rPr>
              <w:t>可以</w:t>
            </w:r>
            <w:r>
              <w:rPr>
                <w:rFonts w:ascii="仿宋" w:hAnsi="仿宋" w:eastAsia="仿宋" w:cs="仿宋"/>
                <w:sz w:val="24"/>
                <w:szCs w:val="24"/>
              </w:rPr>
              <w:t>/</w:t>
            </w:r>
            <w:r>
              <w:rPr>
                <w:rFonts w:hint="eastAsia" w:ascii="仿宋" w:hAnsi="仿宋" w:eastAsia="仿宋" w:cs="仿宋"/>
                <w:sz w:val="32"/>
                <w:szCs w:val="32"/>
              </w:rPr>
              <w:t>□</w:t>
            </w:r>
            <w:r>
              <w:rPr>
                <w:rFonts w:hint="eastAsia" w:ascii="仿宋" w:hAnsi="仿宋" w:eastAsia="仿宋" w:cs="仿宋"/>
                <w:sz w:val="24"/>
                <w:szCs w:val="24"/>
              </w:rPr>
              <w:t>不可以）组织正式验收。</w:t>
            </w:r>
          </w:p>
          <w:p>
            <w:pPr>
              <w:spacing w:line="360" w:lineRule="auto"/>
              <w:ind w:right="-56"/>
              <w:rPr>
                <w:rFonts w:ascii="仿宋" w:hAnsi="仿宋" w:eastAsia="仿宋" w:cs="Times New Roman"/>
                <w:sz w:val="24"/>
                <w:szCs w:val="24"/>
              </w:rPr>
            </w:pPr>
          </w:p>
          <w:p>
            <w:pPr>
              <w:spacing w:line="360" w:lineRule="auto"/>
              <w:ind w:right="-56"/>
              <w:rPr>
                <w:rFonts w:ascii="仿宋" w:hAnsi="仿宋" w:eastAsia="仿宋" w:cs="Times New Roman"/>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434" w:hRule="atLeast"/>
        </w:trPr>
        <w:tc>
          <w:tcPr>
            <w:tcW w:w="10443" w:type="dxa"/>
            <w:tcBorders>
              <w:top w:val="nil"/>
            </w:tcBorders>
            <w:vAlign w:val="top"/>
          </w:tcPr>
          <w:p>
            <w:pPr>
              <w:spacing w:line="360" w:lineRule="auto"/>
              <w:ind w:right="-56" w:firstLine="6295" w:firstLineChars="2623"/>
              <w:rPr>
                <w:rFonts w:ascii="仿宋" w:hAnsi="仿宋" w:eastAsia="仿宋" w:cs="Times New Roman"/>
                <w:sz w:val="24"/>
                <w:szCs w:val="24"/>
              </w:rPr>
            </w:pPr>
            <w:r>
              <w:rPr>
                <w:rFonts w:hint="eastAsia" w:ascii="仿宋" w:hAnsi="仿宋" w:eastAsia="仿宋" w:cs="仿宋"/>
                <w:sz w:val="24"/>
                <w:szCs w:val="24"/>
              </w:rPr>
              <w:t>监理人（章）</w:t>
            </w:r>
            <w:r>
              <w:rPr>
                <w:rFonts w:ascii="仿宋" w:hAnsi="仿宋" w:eastAsia="仿宋" w:cs="仿宋"/>
                <w:sz w:val="24"/>
                <w:szCs w:val="24"/>
              </w:rPr>
              <w:t xml:space="preserve">       </w:t>
            </w:r>
          </w:p>
          <w:p>
            <w:pPr>
              <w:spacing w:line="360" w:lineRule="auto"/>
              <w:ind w:right="-56" w:firstLine="6295" w:firstLineChars="2623"/>
              <w:rPr>
                <w:rFonts w:ascii="仿宋" w:hAnsi="仿宋" w:eastAsia="仿宋" w:cs="仿宋"/>
                <w:sz w:val="24"/>
                <w:szCs w:val="24"/>
              </w:rPr>
            </w:pPr>
            <w:r>
              <w:rPr>
                <w:rFonts w:hint="eastAsia" w:ascii="仿宋" w:hAnsi="仿宋" w:eastAsia="仿宋" w:cs="仿宋"/>
                <w:sz w:val="24"/>
                <w:szCs w:val="24"/>
              </w:rPr>
              <w:t>监理工程师</w:t>
            </w:r>
            <w:r>
              <w:rPr>
                <w:rFonts w:ascii="仿宋" w:hAnsi="仿宋" w:eastAsia="仿宋" w:cs="仿宋"/>
                <w:sz w:val="24"/>
                <w:szCs w:val="24"/>
                <w:u w:val="single"/>
              </w:rPr>
              <w:t xml:space="preserve">            </w:t>
            </w:r>
            <w:r>
              <w:rPr>
                <w:rFonts w:ascii="仿宋" w:hAnsi="仿宋" w:eastAsia="仿宋" w:cs="仿宋"/>
                <w:sz w:val="24"/>
                <w:szCs w:val="24"/>
              </w:rPr>
              <w:t xml:space="preserve"> </w:t>
            </w:r>
          </w:p>
          <w:p>
            <w:pPr>
              <w:spacing w:line="360" w:lineRule="auto"/>
              <w:ind w:firstLine="6295" w:firstLineChars="2623"/>
              <w:rPr>
                <w:rFonts w:ascii="仿宋" w:hAnsi="仿宋" w:eastAsia="仿宋" w:cs="Times New Roman"/>
                <w:sz w:val="24"/>
                <w:szCs w:val="24"/>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bl>
    <w:p>
      <w:pPr>
        <w:rPr>
          <w:rFonts w:ascii="仿宋" w:hAnsi="仿宋" w:eastAsia="仿宋" w:cs="Times New Roman"/>
          <w:sz w:val="24"/>
          <w:szCs w:val="24"/>
        </w:rPr>
      </w:pPr>
      <w:r>
        <w:rPr>
          <w:rFonts w:hint="eastAsia" w:ascii="仿宋" w:hAnsi="仿宋" w:eastAsia="仿宋" w:cs="仿宋"/>
          <w:sz w:val="24"/>
          <w:szCs w:val="24"/>
        </w:rPr>
        <w:t>说明：</w:t>
      </w:r>
      <w:r>
        <w:rPr>
          <w:rFonts w:ascii="仿宋" w:hAnsi="仿宋" w:eastAsia="仿宋" w:cs="仿宋"/>
          <w:sz w:val="24"/>
          <w:szCs w:val="24"/>
        </w:rPr>
        <w:t>1</w:t>
      </w:r>
      <w:r>
        <w:rPr>
          <w:rFonts w:hint="eastAsia" w:ascii="仿宋" w:hAnsi="仿宋" w:eastAsia="仿宋" w:cs="仿宋"/>
          <w:sz w:val="24"/>
          <w:szCs w:val="24"/>
        </w:rPr>
        <w:t>．在需要选择的栏中的“</w:t>
      </w:r>
      <w:r>
        <w:rPr>
          <w:rFonts w:hint="eastAsia" w:ascii="仿宋" w:hAnsi="仿宋" w:eastAsia="仿宋" w:cs="仿宋"/>
          <w:sz w:val="32"/>
          <w:szCs w:val="32"/>
        </w:rPr>
        <w:t>□</w:t>
      </w:r>
      <w:r>
        <w:rPr>
          <w:rFonts w:hint="eastAsia" w:ascii="仿宋" w:hAnsi="仿宋" w:eastAsia="仿宋" w:cs="仿宋"/>
          <w:sz w:val="24"/>
          <w:szCs w:val="24"/>
        </w:rPr>
        <w:t>”内作标识“√”。</w:t>
      </w:r>
    </w:p>
    <w:p>
      <w:pPr>
        <w:ind w:left="1078" w:leftChars="342" w:hanging="360" w:hangingChars="150"/>
        <w:rPr>
          <w:rFonts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．本表一式三份，由承包人、监理工程师按合同规定程序填制，并连同发包人各存一份。</w:t>
      </w:r>
    </w:p>
    <w:p>
      <w:pPr>
        <w:spacing w:line="360" w:lineRule="auto"/>
        <w:ind w:left="720" w:hanging="720" w:hangingChars="300"/>
        <w:outlineLvl w:val="1"/>
        <w:rPr>
          <w:rFonts w:ascii="仿宋" w:hAnsi="仿宋" w:eastAsia="仿宋" w:cs="仿宋"/>
          <w:b/>
          <w:bCs/>
          <w:color w:val="000000"/>
          <w:kern w:val="0"/>
          <w:sz w:val="24"/>
          <w:szCs w:val="24"/>
        </w:rPr>
      </w:pPr>
      <w:r>
        <w:rPr>
          <w:rFonts w:ascii="仿宋" w:hAnsi="仿宋" w:eastAsia="仿宋" w:cs="Times New Roman"/>
          <w:kern w:val="0"/>
          <w:sz w:val="24"/>
          <w:szCs w:val="24"/>
        </w:rPr>
        <w:br w:type="page"/>
      </w:r>
      <w:bookmarkStart w:id="782" w:name="_Toc469384158"/>
      <w:bookmarkStart w:id="783" w:name="_Toc266892943"/>
      <w:bookmarkStart w:id="784" w:name="_Toc10625002"/>
      <w:r>
        <w:rPr>
          <w:rFonts w:hint="eastAsia" w:ascii="仿宋" w:hAnsi="仿宋" w:eastAsia="仿宋" w:cs="仿宋"/>
          <w:b/>
          <w:bCs/>
          <w:color w:val="000000"/>
          <w:kern w:val="0"/>
          <w:sz w:val="24"/>
          <w:szCs w:val="24"/>
        </w:rPr>
        <w:t>格式</w:t>
      </w:r>
      <w:r>
        <w:rPr>
          <w:rFonts w:ascii="仿宋" w:hAnsi="仿宋" w:eastAsia="仿宋" w:cs="仿宋"/>
          <w:b/>
          <w:bCs/>
          <w:color w:val="000000"/>
          <w:kern w:val="0"/>
          <w:sz w:val="24"/>
          <w:szCs w:val="24"/>
        </w:rPr>
        <w:t>17</w:t>
      </w:r>
      <w:bookmarkEnd w:id="782"/>
      <w:bookmarkEnd w:id="783"/>
      <w:bookmarkEnd w:id="784"/>
    </w:p>
    <w:p>
      <w:pPr>
        <w:spacing w:line="360" w:lineRule="auto"/>
        <w:jc w:val="center"/>
        <w:rPr>
          <w:rFonts w:ascii="仿宋" w:hAnsi="仿宋" w:eastAsia="仿宋" w:cs="Times New Roman"/>
          <w:b/>
          <w:bCs/>
          <w:spacing w:val="30"/>
          <w:sz w:val="44"/>
          <w:szCs w:val="44"/>
        </w:rPr>
      </w:pPr>
      <w:r>
        <w:rPr>
          <w:rFonts w:hint="eastAsia" w:ascii="仿宋" w:hAnsi="仿宋" w:eastAsia="仿宋" w:cs="仿宋"/>
          <w:b/>
          <w:bCs/>
          <w:spacing w:val="30"/>
          <w:sz w:val="44"/>
          <w:szCs w:val="44"/>
        </w:rPr>
        <w:t>工程竣工验收记录</w:t>
      </w:r>
    </w:p>
    <w:p>
      <w:pPr>
        <w:spacing w:line="360" w:lineRule="auto"/>
        <w:rPr>
          <w:rFonts w:ascii="仿宋" w:hAnsi="仿宋" w:eastAsia="仿宋" w:cs="Times New Roman"/>
          <w:sz w:val="24"/>
          <w:szCs w:val="24"/>
        </w:rPr>
      </w:pPr>
      <w:r>
        <w:rPr>
          <w:rFonts w:hint="eastAsia" w:ascii="仿宋" w:hAnsi="仿宋" w:eastAsia="仿宋" w:cs="仿宋"/>
          <w:sz w:val="24"/>
          <w:szCs w:val="24"/>
        </w:rPr>
        <w:t>工程名称</w:t>
      </w:r>
      <w:r>
        <w:rPr>
          <w:rFonts w:ascii="仿宋" w:hAnsi="仿宋" w:eastAsia="仿宋" w:cs="仿宋"/>
          <w:sz w:val="24"/>
          <w:szCs w:val="24"/>
        </w:rPr>
        <w:t>:</w:t>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编号</w:t>
      </w:r>
      <w:r>
        <w:rPr>
          <w:rFonts w:ascii="仿宋" w:hAnsi="仿宋" w:eastAsia="仿宋" w:cs="仿宋"/>
          <w:sz w:val="24"/>
          <w:szCs w:val="24"/>
        </w:rPr>
        <w:t>:</w:t>
      </w:r>
    </w:p>
    <w:tbl>
      <w:tblPr>
        <w:tblStyle w:val="40"/>
        <w:tblW w:w="10359"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35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02" w:hRule="atLeast"/>
        </w:trPr>
        <w:tc>
          <w:tcPr>
            <w:tcW w:w="10359" w:type="dxa"/>
            <w:tcBorders>
              <w:bottom w:val="single" w:color="auto" w:sz="4" w:space="0"/>
            </w:tcBorders>
            <w:vAlign w:val="top"/>
          </w:tcPr>
          <w:p>
            <w:pPr>
              <w:spacing w:before="120" w:line="360" w:lineRule="auto"/>
              <w:ind w:left="-27" w:leftChars="-13" w:firstLine="540" w:firstLineChars="225"/>
              <w:rPr>
                <w:rFonts w:ascii="仿宋" w:hAnsi="仿宋" w:eastAsia="仿宋" w:cs="Times New Roman"/>
                <w:sz w:val="24"/>
                <w:szCs w:val="24"/>
              </w:rPr>
            </w:pPr>
            <w:r>
              <w:rPr>
                <w:rFonts w:hint="eastAsia" w:ascii="仿宋" w:hAnsi="仿宋" w:eastAsia="仿宋" w:cs="仿宋"/>
                <w:sz w:val="24"/>
                <w:szCs w:val="24"/>
              </w:rPr>
              <w:t>致</w:t>
            </w:r>
            <w:r>
              <w:rPr>
                <w:rFonts w:ascii="仿宋" w:hAnsi="仿宋" w:eastAsia="仿宋" w:cs="仿宋"/>
                <w:sz w:val="24"/>
                <w:szCs w:val="24"/>
              </w:rPr>
              <w:t>:</w:t>
            </w:r>
            <w:r>
              <w:rPr>
                <w:rFonts w:ascii="仿宋" w:hAnsi="仿宋" w:eastAsia="仿宋" w:cs="仿宋"/>
                <w:sz w:val="24"/>
                <w:szCs w:val="24"/>
                <w:u w:val="single"/>
              </w:rPr>
              <w:t xml:space="preserve">                                                  </w:t>
            </w:r>
            <w:r>
              <w:rPr>
                <w:rFonts w:hint="eastAsia" w:ascii="仿宋" w:hAnsi="仿宋" w:eastAsia="仿宋" w:cs="仿宋"/>
                <w:sz w:val="24"/>
                <w:szCs w:val="24"/>
              </w:rPr>
              <w:t>（发包人全称）</w:t>
            </w:r>
          </w:p>
          <w:p>
            <w:pPr>
              <w:spacing w:line="360" w:lineRule="auto"/>
              <w:ind w:firstLine="480" w:firstLineChars="200"/>
              <w:rPr>
                <w:rFonts w:ascii="仿宋" w:hAnsi="仿宋" w:eastAsia="仿宋" w:cs="Times New Roman"/>
                <w:sz w:val="24"/>
                <w:szCs w:val="24"/>
              </w:rPr>
            </w:pPr>
            <w:r>
              <w:rPr>
                <w:rFonts w:hint="eastAsia" w:ascii="仿宋" w:hAnsi="仿宋" w:eastAsia="仿宋" w:cs="仿宋"/>
                <w:sz w:val="24"/>
                <w:szCs w:val="24"/>
              </w:rPr>
              <w:t>我方按合同要求参加了</w:t>
            </w:r>
            <w:r>
              <w:rPr>
                <w:rFonts w:ascii="仿宋" w:hAnsi="仿宋" w:eastAsia="仿宋" w:cs="仿宋"/>
                <w:sz w:val="24"/>
                <w:szCs w:val="24"/>
                <w:u w:val="single"/>
              </w:rPr>
              <w:t xml:space="preserve">                                     </w:t>
            </w:r>
            <w:r>
              <w:rPr>
                <w:rFonts w:hint="eastAsia" w:ascii="仿宋" w:hAnsi="仿宋" w:eastAsia="仿宋" w:cs="仿宋"/>
                <w:sz w:val="24"/>
                <w:szCs w:val="24"/>
              </w:rPr>
              <w:t>工程竣工验收</w:t>
            </w:r>
            <w:r>
              <w:rPr>
                <w:rFonts w:ascii="仿宋" w:hAnsi="仿宋" w:eastAsia="仿宋" w:cs="仿宋"/>
                <w:sz w:val="24"/>
                <w:szCs w:val="24"/>
              </w:rPr>
              <w:t>,</w:t>
            </w:r>
            <w:r>
              <w:rPr>
                <w:rFonts w:hint="eastAsia" w:ascii="仿宋" w:hAnsi="仿宋" w:eastAsia="仿宋" w:cs="仿宋"/>
                <w:sz w:val="24"/>
                <w:szCs w:val="24"/>
              </w:rPr>
              <w:t>经参加验收各方共同验收，记录如下：</w:t>
            </w:r>
          </w:p>
          <w:tbl>
            <w:tblPr>
              <w:tblStyle w:val="40"/>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2520"/>
              <w:gridCol w:w="6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ascii="仿宋" w:hAnsi="仿宋" w:eastAsia="仿宋" w:cs="Times New Roman"/>
                      <w:sz w:val="24"/>
                      <w:szCs w:val="24"/>
                    </w:rPr>
                  </w:pPr>
                  <w:r>
                    <w:rPr>
                      <w:rFonts w:hint="eastAsia" w:ascii="仿宋" w:hAnsi="仿宋" w:eastAsia="仿宋" w:cs="仿宋"/>
                      <w:sz w:val="24"/>
                      <w:szCs w:val="24"/>
                    </w:rPr>
                    <w:t>序号</w:t>
                  </w:r>
                </w:p>
              </w:tc>
              <w:tc>
                <w:tcPr>
                  <w:tcW w:w="2520" w:type="dxa"/>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ascii="仿宋" w:hAnsi="仿宋" w:eastAsia="仿宋" w:cs="Times New Roman"/>
                      <w:sz w:val="24"/>
                      <w:szCs w:val="24"/>
                    </w:rPr>
                  </w:pPr>
                  <w:r>
                    <w:rPr>
                      <w:rFonts w:hint="eastAsia" w:ascii="仿宋" w:hAnsi="仿宋" w:eastAsia="仿宋" w:cs="仿宋"/>
                      <w:sz w:val="24"/>
                      <w:szCs w:val="24"/>
                    </w:rPr>
                    <w:t>项</w:t>
                  </w:r>
                  <w:r>
                    <w:rPr>
                      <w:rFonts w:ascii="仿宋" w:hAnsi="仿宋" w:eastAsia="仿宋" w:cs="仿宋"/>
                      <w:sz w:val="24"/>
                      <w:szCs w:val="24"/>
                    </w:rPr>
                    <w:t xml:space="preserve">  </w:t>
                  </w:r>
                  <w:r>
                    <w:rPr>
                      <w:rFonts w:hint="eastAsia" w:ascii="仿宋" w:hAnsi="仿宋" w:eastAsia="仿宋" w:cs="仿宋"/>
                      <w:sz w:val="24"/>
                      <w:szCs w:val="24"/>
                    </w:rPr>
                    <w:t>目</w:t>
                  </w:r>
                </w:p>
              </w:tc>
              <w:tc>
                <w:tcPr>
                  <w:tcW w:w="6641" w:type="dxa"/>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ascii="仿宋" w:hAnsi="仿宋" w:eastAsia="仿宋" w:cs="Times New Roman"/>
                      <w:sz w:val="24"/>
                      <w:szCs w:val="24"/>
                    </w:rPr>
                  </w:pPr>
                  <w:r>
                    <w:rPr>
                      <w:rFonts w:hint="eastAsia" w:ascii="仿宋" w:hAnsi="仿宋" w:eastAsia="仿宋" w:cs="仿宋"/>
                      <w:sz w:val="24"/>
                      <w:szCs w:val="24"/>
                    </w:rPr>
                    <w:t>验</w:t>
                  </w:r>
                  <w:r>
                    <w:rPr>
                      <w:rFonts w:ascii="仿宋" w:hAnsi="仿宋" w:eastAsia="仿宋" w:cs="仿宋"/>
                      <w:sz w:val="24"/>
                      <w:szCs w:val="24"/>
                    </w:rPr>
                    <w:t xml:space="preserve"> </w:t>
                  </w:r>
                  <w:r>
                    <w:rPr>
                      <w:rFonts w:hint="eastAsia" w:ascii="仿宋" w:hAnsi="仿宋" w:eastAsia="仿宋" w:cs="仿宋"/>
                      <w:sz w:val="24"/>
                      <w:szCs w:val="24"/>
                    </w:rPr>
                    <w:t>收</w:t>
                  </w:r>
                  <w:r>
                    <w:rPr>
                      <w:rFonts w:ascii="仿宋" w:hAnsi="仿宋" w:eastAsia="仿宋" w:cs="仿宋"/>
                      <w:sz w:val="24"/>
                      <w:szCs w:val="24"/>
                    </w:rPr>
                    <w:t xml:space="preserve"> </w:t>
                  </w:r>
                  <w:r>
                    <w:rPr>
                      <w:rFonts w:hint="eastAsia" w:ascii="仿宋" w:hAnsi="仿宋" w:eastAsia="仿宋" w:cs="仿宋"/>
                      <w:sz w:val="24"/>
                      <w:szCs w:val="24"/>
                    </w:rPr>
                    <w:t>记</w:t>
                  </w:r>
                  <w:r>
                    <w:rPr>
                      <w:rFonts w:ascii="仿宋" w:hAnsi="仿宋" w:eastAsia="仿宋" w:cs="仿宋"/>
                      <w:sz w:val="24"/>
                      <w:szCs w:val="24"/>
                    </w:rPr>
                    <w:t xml:space="preserve"> </w:t>
                  </w:r>
                  <w:r>
                    <w:rPr>
                      <w:rFonts w:hint="eastAsia" w:ascii="仿宋" w:hAnsi="仿宋" w:eastAsia="仿宋" w:cs="仿宋"/>
                      <w:sz w:val="24"/>
                      <w:szCs w:val="24"/>
                    </w:rPr>
                    <w:t>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Borders>
                    <w:top w:val="single" w:color="auto" w:sz="4" w:space="0"/>
                    <w:left w:val="single" w:color="auto" w:sz="4" w:space="0"/>
                    <w:bottom w:val="single" w:color="auto" w:sz="4" w:space="0"/>
                    <w:right w:val="single" w:color="auto" w:sz="4" w:space="0"/>
                  </w:tcBorders>
                  <w:vAlign w:val="top"/>
                </w:tcPr>
                <w:p>
                  <w:pPr>
                    <w:spacing w:line="360" w:lineRule="auto"/>
                    <w:rPr>
                      <w:rFonts w:ascii="仿宋" w:hAnsi="仿宋" w:eastAsia="仿宋" w:cs="Times New Roman"/>
                      <w:sz w:val="24"/>
                      <w:szCs w:val="24"/>
                    </w:rPr>
                  </w:pPr>
                  <w:r>
                    <w:rPr>
                      <w:rFonts w:ascii="仿宋" w:hAnsi="仿宋" w:eastAsia="仿宋" w:cs="仿宋"/>
                      <w:sz w:val="24"/>
                      <w:szCs w:val="24"/>
                    </w:rPr>
                    <w:t>1</w:t>
                  </w:r>
                </w:p>
              </w:tc>
              <w:tc>
                <w:tcPr>
                  <w:tcW w:w="252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仿宋" w:hAnsi="仿宋" w:eastAsia="仿宋" w:cs="Times New Roman"/>
                      <w:sz w:val="24"/>
                      <w:szCs w:val="24"/>
                    </w:rPr>
                  </w:pPr>
                  <w:r>
                    <w:rPr>
                      <w:rFonts w:hint="eastAsia" w:ascii="仿宋" w:hAnsi="仿宋" w:eastAsia="仿宋" w:cs="仿宋"/>
                      <w:sz w:val="24"/>
                      <w:szCs w:val="24"/>
                    </w:rPr>
                    <w:t>分部分项</w:t>
                  </w:r>
                </w:p>
              </w:tc>
              <w:tc>
                <w:tcPr>
                  <w:tcW w:w="6641" w:type="dxa"/>
                  <w:tcBorders>
                    <w:top w:val="single" w:color="auto" w:sz="4" w:space="0"/>
                    <w:left w:val="single" w:color="auto" w:sz="4" w:space="0"/>
                    <w:bottom w:val="single" w:color="auto" w:sz="4" w:space="0"/>
                    <w:right w:val="single" w:color="auto" w:sz="4" w:space="0"/>
                  </w:tcBorders>
                  <w:vAlign w:val="top"/>
                </w:tcPr>
                <w:p>
                  <w:pPr>
                    <w:spacing w:line="360" w:lineRule="auto"/>
                    <w:rPr>
                      <w:rFonts w:ascii="仿宋" w:hAnsi="仿宋" w:eastAsia="仿宋" w:cs="Times New Roman"/>
                      <w:sz w:val="24"/>
                      <w:szCs w:val="24"/>
                    </w:rPr>
                  </w:pPr>
                  <w:r>
                    <w:rPr>
                      <w:rFonts w:hint="eastAsia" w:ascii="仿宋" w:hAnsi="仿宋" w:eastAsia="仿宋" w:cs="仿宋"/>
                      <w:sz w:val="24"/>
                      <w:szCs w:val="24"/>
                    </w:rPr>
                    <w:t>共</w:t>
                  </w:r>
                  <w:r>
                    <w:rPr>
                      <w:rFonts w:ascii="仿宋" w:hAnsi="仿宋" w:eastAsia="仿宋" w:cs="仿宋"/>
                      <w:sz w:val="24"/>
                      <w:szCs w:val="24"/>
                    </w:rPr>
                    <w:t xml:space="preserve">    </w:t>
                  </w:r>
                  <w:r>
                    <w:rPr>
                      <w:rFonts w:hint="eastAsia" w:ascii="仿宋" w:hAnsi="仿宋" w:eastAsia="仿宋" w:cs="仿宋"/>
                      <w:sz w:val="24"/>
                      <w:szCs w:val="24"/>
                    </w:rPr>
                    <w:t>分部，经查</w:t>
                  </w:r>
                  <w:r>
                    <w:rPr>
                      <w:rFonts w:ascii="仿宋" w:hAnsi="仿宋" w:eastAsia="仿宋" w:cs="仿宋"/>
                      <w:sz w:val="24"/>
                      <w:szCs w:val="24"/>
                    </w:rPr>
                    <w:t xml:space="preserve">  </w:t>
                  </w:r>
                  <w:r>
                    <w:rPr>
                      <w:rFonts w:hint="eastAsia" w:ascii="仿宋" w:hAnsi="仿宋" w:eastAsia="仿宋" w:cs="仿宋"/>
                      <w:sz w:val="24"/>
                      <w:szCs w:val="24"/>
                    </w:rPr>
                    <w:t>分部，符合标准与规范、设计要求</w:t>
                  </w:r>
                  <w:r>
                    <w:rPr>
                      <w:rFonts w:ascii="仿宋" w:hAnsi="仿宋" w:eastAsia="仿宋" w:cs="仿宋"/>
                      <w:sz w:val="24"/>
                      <w:szCs w:val="24"/>
                    </w:rPr>
                    <w:t xml:space="preserve">  </w:t>
                  </w:r>
                  <w:r>
                    <w:rPr>
                      <w:rFonts w:hint="eastAsia" w:ascii="仿宋" w:hAnsi="仿宋" w:eastAsia="仿宋" w:cs="仿宋"/>
                      <w:sz w:val="24"/>
                      <w:szCs w:val="24"/>
                    </w:rPr>
                    <w:t>分部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Borders>
                    <w:top w:val="single" w:color="auto" w:sz="4" w:space="0"/>
                    <w:left w:val="single" w:color="auto" w:sz="4" w:space="0"/>
                    <w:bottom w:val="single" w:color="auto" w:sz="4" w:space="0"/>
                    <w:right w:val="single" w:color="auto" w:sz="4" w:space="0"/>
                  </w:tcBorders>
                  <w:vAlign w:val="top"/>
                </w:tcPr>
                <w:p>
                  <w:pPr>
                    <w:spacing w:line="360" w:lineRule="auto"/>
                    <w:rPr>
                      <w:rFonts w:ascii="仿宋" w:hAnsi="仿宋" w:eastAsia="仿宋" w:cs="Times New Roman"/>
                      <w:sz w:val="24"/>
                      <w:szCs w:val="24"/>
                    </w:rPr>
                  </w:pPr>
                  <w:r>
                    <w:rPr>
                      <w:rFonts w:ascii="仿宋" w:hAnsi="仿宋" w:eastAsia="仿宋" w:cs="仿宋"/>
                      <w:sz w:val="24"/>
                      <w:szCs w:val="24"/>
                    </w:rPr>
                    <w:t>2</w:t>
                  </w:r>
                </w:p>
              </w:tc>
              <w:tc>
                <w:tcPr>
                  <w:tcW w:w="252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仿宋" w:hAnsi="仿宋" w:eastAsia="仿宋" w:cs="Times New Roman"/>
                      <w:sz w:val="24"/>
                      <w:szCs w:val="24"/>
                    </w:rPr>
                  </w:pPr>
                  <w:r>
                    <w:rPr>
                      <w:rFonts w:hint="eastAsia" w:ascii="仿宋" w:hAnsi="仿宋" w:eastAsia="仿宋" w:cs="仿宋"/>
                      <w:sz w:val="24"/>
                      <w:szCs w:val="24"/>
                    </w:rPr>
                    <w:t>质量控制资料核查</w:t>
                  </w:r>
                </w:p>
              </w:tc>
              <w:tc>
                <w:tcPr>
                  <w:tcW w:w="6641" w:type="dxa"/>
                  <w:tcBorders>
                    <w:top w:val="single" w:color="auto" w:sz="4" w:space="0"/>
                    <w:left w:val="single" w:color="auto" w:sz="4" w:space="0"/>
                    <w:bottom w:val="single" w:color="auto" w:sz="4" w:space="0"/>
                    <w:right w:val="single" w:color="auto" w:sz="4" w:space="0"/>
                  </w:tcBorders>
                  <w:vAlign w:val="top"/>
                </w:tcPr>
                <w:p>
                  <w:pPr>
                    <w:spacing w:line="360" w:lineRule="auto"/>
                    <w:rPr>
                      <w:rFonts w:ascii="仿宋" w:hAnsi="仿宋" w:eastAsia="仿宋" w:cs="Times New Roman"/>
                      <w:sz w:val="24"/>
                      <w:szCs w:val="24"/>
                    </w:rPr>
                  </w:pPr>
                  <w:r>
                    <w:rPr>
                      <w:rFonts w:hint="eastAsia" w:ascii="仿宋" w:hAnsi="仿宋" w:eastAsia="仿宋" w:cs="仿宋"/>
                      <w:sz w:val="24"/>
                      <w:szCs w:val="24"/>
                    </w:rPr>
                    <w:t>共</w:t>
                  </w:r>
                  <w:r>
                    <w:rPr>
                      <w:rFonts w:ascii="仿宋" w:hAnsi="仿宋" w:eastAsia="仿宋" w:cs="仿宋"/>
                      <w:sz w:val="24"/>
                      <w:szCs w:val="24"/>
                    </w:rPr>
                    <w:t xml:space="preserve">   </w:t>
                  </w:r>
                  <w:r>
                    <w:rPr>
                      <w:rFonts w:hint="eastAsia" w:ascii="仿宋" w:hAnsi="仿宋" w:eastAsia="仿宋" w:cs="仿宋"/>
                      <w:sz w:val="24"/>
                      <w:szCs w:val="24"/>
                    </w:rPr>
                    <w:t>项，经核查符合要求</w:t>
                  </w:r>
                  <w:r>
                    <w:rPr>
                      <w:rFonts w:ascii="仿宋" w:hAnsi="仿宋" w:eastAsia="仿宋" w:cs="仿宋"/>
                      <w:sz w:val="24"/>
                      <w:szCs w:val="24"/>
                    </w:rPr>
                    <w:t xml:space="preserve">  </w:t>
                  </w:r>
                  <w:r>
                    <w:rPr>
                      <w:rFonts w:hint="eastAsia" w:ascii="仿宋" w:hAnsi="仿宋" w:eastAsia="仿宋" w:cs="仿宋"/>
                      <w:sz w:val="24"/>
                      <w:szCs w:val="24"/>
                    </w:rPr>
                    <w:t>项，其中符合标准与规范要求</w:t>
                  </w:r>
                  <w:r>
                    <w:rPr>
                      <w:rFonts w:ascii="仿宋" w:hAnsi="仿宋" w:eastAsia="仿宋" w:cs="仿宋"/>
                      <w:sz w:val="24"/>
                      <w:szCs w:val="24"/>
                    </w:rPr>
                    <w:t xml:space="preserve">  </w:t>
                  </w:r>
                  <w:r>
                    <w:rPr>
                      <w:rFonts w:hint="eastAsia" w:ascii="仿宋" w:hAnsi="仿宋" w:eastAsia="仿宋" w:cs="仿宋"/>
                      <w:sz w:val="24"/>
                      <w:szCs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Borders>
                    <w:top w:val="single" w:color="auto" w:sz="4" w:space="0"/>
                    <w:left w:val="single" w:color="auto" w:sz="4" w:space="0"/>
                    <w:bottom w:val="single" w:color="auto" w:sz="4" w:space="0"/>
                    <w:right w:val="single" w:color="auto" w:sz="4" w:space="0"/>
                  </w:tcBorders>
                  <w:vAlign w:val="top"/>
                </w:tcPr>
                <w:p>
                  <w:pPr>
                    <w:spacing w:line="360" w:lineRule="auto"/>
                    <w:rPr>
                      <w:rFonts w:ascii="仿宋" w:hAnsi="仿宋" w:eastAsia="仿宋" w:cs="Times New Roman"/>
                      <w:sz w:val="24"/>
                      <w:szCs w:val="24"/>
                    </w:rPr>
                  </w:pPr>
                  <w:r>
                    <w:rPr>
                      <w:rFonts w:ascii="仿宋" w:hAnsi="仿宋" w:eastAsia="仿宋" w:cs="仿宋"/>
                      <w:sz w:val="24"/>
                      <w:szCs w:val="24"/>
                    </w:rPr>
                    <w:t>3</w:t>
                  </w:r>
                </w:p>
              </w:tc>
              <w:tc>
                <w:tcPr>
                  <w:tcW w:w="252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仿宋" w:hAnsi="仿宋" w:eastAsia="仿宋" w:cs="Times New Roman"/>
                      <w:sz w:val="24"/>
                      <w:szCs w:val="24"/>
                    </w:rPr>
                  </w:pPr>
                  <w:r>
                    <w:rPr>
                      <w:rFonts w:hint="eastAsia" w:ascii="仿宋" w:hAnsi="仿宋" w:eastAsia="仿宋" w:cs="仿宋"/>
                      <w:sz w:val="24"/>
                      <w:szCs w:val="24"/>
                    </w:rPr>
                    <w:t>安全和主要使用功能核查及抽查结果</w:t>
                  </w:r>
                </w:p>
              </w:tc>
              <w:tc>
                <w:tcPr>
                  <w:tcW w:w="6641" w:type="dxa"/>
                  <w:tcBorders>
                    <w:top w:val="single" w:color="auto" w:sz="4" w:space="0"/>
                    <w:left w:val="single" w:color="auto" w:sz="4" w:space="0"/>
                    <w:bottom w:val="single" w:color="auto" w:sz="4" w:space="0"/>
                    <w:right w:val="single" w:color="auto" w:sz="4" w:space="0"/>
                  </w:tcBorders>
                  <w:vAlign w:val="top"/>
                </w:tcPr>
                <w:p>
                  <w:pPr>
                    <w:spacing w:line="360" w:lineRule="auto"/>
                    <w:rPr>
                      <w:rFonts w:ascii="仿宋" w:hAnsi="仿宋" w:eastAsia="仿宋" w:cs="Times New Roman"/>
                      <w:sz w:val="24"/>
                      <w:szCs w:val="24"/>
                    </w:rPr>
                  </w:pPr>
                  <w:r>
                    <w:rPr>
                      <w:rFonts w:hint="eastAsia" w:ascii="仿宋" w:hAnsi="仿宋" w:eastAsia="仿宋" w:cs="仿宋"/>
                      <w:sz w:val="24"/>
                      <w:szCs w:val="24"/>
                    </w:rPr>
                    <w:t>共核查</w:t>
                  </w:r>
                  <w:r>
                    <w:rPr>
                      <w:rFonts w:ascii="仿宋" w:hAnsi="仿宋" w:eastAsia="仿宋" w:cs="仿宋"/>
                      <w:sz w:val="24"/>
                      <w:szCs w:val="24"/>
                    </w:rPr>
                    <w:t xml:space="preserve">    </w:t>
                  </w:r>
                  <w:r>
                    <w:rPr>
                      <w:rFonts w:hint="eastAsia" w:ascii="仿宋" w:hAnsi="仿宋" w:eastAsia="仿宋" w:cs="仿宋"/>
                      <w:sz w:val="24"/>
                      <w:szCs w:val="24"/>
                    </w:rPr>
                    <w:t>项，符合要求</w:t>
                  </w:r>
                  <w:r>
                    <w:rPr>
                      <w:rFonts w:ascii="仿宋" w:hAnsi="仿宋" w:eastAsia="仿宋" w:cs="仿宋"/>
                      <w:sz w:val="24"/>
                      <w:szCs w:val="24"/>
                    </w:rPr>
                    <w:t xml:space="preserve">  </w:t>
                  </w:r>
                  <w:r>
                    <w:rPr>
                      <w:rFonts w:hint="eastAsia" w:ascii="仿宋" w:hAnsi="仿宋" w:eastAsia="仿宋" w:cs="仿宋"/>
                      <w:sz w:val="24"/>
                      <w:szCs w:val="24"/>
                    </w:rPr>
                    <w:t>项；共抽查</w:t>
                  </w:r>
                  <w:r>
                    <w:rPr>
                      <w:rFonts w:ascii="仿宋" w:hAnsi="仿宋" w:eastAsia="仿宋" w:cs="仿宋"/>
                      <w:sz w:val="24"/>
                      <w:szCs w:val="24"/>
                    </w:rPr>
                    <w:t xml:space="preserve">  </w:t>
                  </w:r>
                  <w:r>
                    <w:rPr>
                      <w:rFonts w:hint="eastAsia" w:ascii="仿宋" w:hAnsi="仿宋" w:eastAsia="仿宋" w:cs="仿宋"/>
                      <w:sz w:val="24"/>
                      <w:szCs w:val="24"/>
                    </w:rPr>
                    <w:t>项，符合要求</w:t>
                  </w:r>
                  <w:r>
                    <w:rPr>
                      <w:rFonts w:ascii="仿宋" w:hAnsi="仿宋" w:eastAsia="仿宋" w:cs="仿宋"/>
                      <w:sz w:val="24"/>
                      <w:szCs w:val="24"/>
                    </w:rPr>
                    <w:t xml:space="preserve">  </w:t>
                  </w:r>
                  <w:r>
                    <w:rPr>
                      <w:rFonts w:hint="eastAsia" w:ascii="仿宋" w:hAnsi="仿宋" w:eastAsia="仿宋" w:cs="仿宋"/>
                      <w:sz w:val="24"/>
                      <w:szCs w:val="24"/>
                    </w:rPr>
                    <w:t>项；经返工处理符合要求</w:t>
                  </w:r>
                  <w:r>
                    <w:rPr>
                      <w:rFonts w:ascii="仿宋" w:hAnsi="仿宋" w:eastAsia="仿宋" w:cs="仿宋"/>
                      <w:sz w:val="24"/>
                      <w:szCs w:val="24"/>
                    </w:rPr>
                    <w:t xml:space="preserve">  </w:t>
                  </w:r>
                  <w:r>
                    <w:rPr>
                      <w:rFonts w:hint="eastAsia" w:ascii="仿宋" w:hAnsi="仿宋" w:eastAsia="仿宋" w:cs="仿宋"/>
                      <w:sz w:val="24"/>
                      <w:szCs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Borders>
                    <w:top w:val="single" w:color="auto" w:sz="4" w:space="0"/>
                    <w:left w:val="single" w:color="auto" w:sz="4" w:space="0"/>
                    <w:bottom w:val="single" w:color="auto" w:sz="4" w:space="0"/>
                    <w:right w:val="single" w:color="auto" w:sz="4" w:space="0"/>
                  </w:tcBorders>
                  <w:vAlign w:val="top"/>
                </w:tcPr>
                <w:p>
                  <w:pPr>
                    <w:spacing w:line="360" w:lineRule="auto"/>
                    <w:rPr>
                      <w:rFonts w:ascii="仿宋" w:hAnsi="仿宋" w:eastAsia="仿宋" w:cs="Times New Roman"/>
                      <w:sz w:val="24"/>
                      <w:szCs w:val="24"/>
                    </w:rPr>
                  </w:pPr>
                  <w:r>
                    <w:rPr>
                      <w:rFonts w:ascii="仿宋" w:hAnsi="仿宋" w:eastAsia="仿宋" w:cs="仿宋"/>
                      <w:sz w:val="24"/>
                      <w:szCs w:val="24"/>
                    </w:rPr>
                    <w:t>4</w:t>
                  </w:r>
                </w:p>
              </w:tc>
              <w:tc>
                <w:tcPr>
                  <w:tcW w:w="252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仿宋" w:hAnsi="仿宋" w:eastAsia="仿宋" w:cs="Times New Roman"/>
                      <w:sz w:val="24"/>
                      <w:szCs w:val="24"/>
                    </w:rPr>
                  </w:pPr>
                  <w:r>
                    <w:rPr>
                      <w:rFonts w:hint="eastAsia" w:ascii="仿宋" w:hAnsi="仿宋" w:eastAsia="仿宋" w:cs="仿宋"/>
                      <w:sz w:val="24"/>
                      <w:szCs w:val="24"/>
                    </w:rPr>
                    <w:t>观感质量验收</w:t>
                  </w:r>
                </w:p>
              </w:tc>
              <w:tc>
                <w:tcPr>
                  <w:tcW w:w="6641" w:type="dxa"/>
                  <w:tcBorders>
                    <w:top w:val="single" w:color="auto" w:sz="4" w:space="0"/>
                    <w:left w:val="single" w:color="auto" w:sz="4" w:space="0"/>
                    <w:bottom w:val="single" w:color="auto" w:sz="4" w:space="0"/>
                    <w:right w:val="single" w:color="auto" w:sz="4" w:space="0"/>
                  </w:tcBorders>
                  <w:vAlign w:val="top"/>
                </w:tcPr>
                <w:p>
                  <w:pPr>
                    <w:spacing w:line="360" w:lineRule="auto"/>
                    <w:rPr>
                      <w:rFonts w:ascii="仿宋" w:hAnsi="仿宋" w:eastAsia="仿宋" w:cs="Times New Roman"/>
                      <w:sz w:val="24"/>
                      <w:szCs w:val="24"/>
                    </w:rPr>
                  </w:pPr>
                  <w:r>
                    <w:rPr>
                      <w:rFonts w:hint="eastAsia" w:ascii="仿宋" w:hAnsi="仿宋" w:eastAsia="仿宋" w:cs="仿宋"/>
                      <w:sz w:val="24"/>
                      <w:szCs w:val="24"/>
                    </w:rPr>
                    <w:t>共抽查</w:t>
                  </w:r>
                  <w:r>
                    <w:rPr>
                      <w:rFonts w:ascii="仿宋" w:hAnsi="仿宋" w:eastAsia="仿宋" w:cs="仿宋"/>
                      <w:sz w:val="24"/>
                      <w:szCs w:val="24"/>
                    </w:rPr>
                    <w:t xml:space="preserve">    </w:t>
                  </w:r>
                  <w:r>
                    <w:rPr>
                      <w:rFonts w:hint="eastAsia" w:ascii="仿宋" w:hAnsi="仿宋" w:eastAsia="仿宋" w:cs="仿宋"/>
                      <w:sz w:val="24"/>
                      <w:szCs w:val="24"/>
                    </w:rPr>
                    <w:t>项，符合要求</w:t>
                  </w:r>
                  <w:r>
                    <w:rPr>
                      <w:rFonts w:ascii="仿宋" w:hAnsi="仿宋" w:eastAsia="仿宋" w:cs="仿宋"/>
                      <w:sz w:val="24"/>
                      <w:szCs w:val="24"/>
                    </w:rPr>
                    <w:t xml:space="preserve">  </w:t>
                  </w:r>
                  <w:r>
                    <w:rPr>
                      <w:rFonts w:hint="eastAsia" w:ascii="仿宋" w:hAnsi="仿宋" w:eastAsia="仿宋" w:cs="仿宋"/>
                      <w:sz w:val="24"/>
                      <w:szCs w:val="24"/>
                    </w:rPr>
                    <w:t>项，不符合要求</w:t>
                  </w:r>
                  <w:r>
                    <w:rPr>
                      <w:rFonts w:ascii="仿宋" w:hAnsi="仿宋" w:eastAsia="仿宋" w:cs="仿宋"/>
                      <w:sz w:val="24"/>
                      <w:szCs w:val="24"/>
                    </w:rPr>
                    <w:t xml:space="preserve">  </w:t>
                  </w:r>
                  <w:r>
                    <w:rPr>
                      <w:rFonts w:hint="eastAsia" w:ascii="仿宋" w:hAnsi="仿宋" w:eastAsia="仿宋" w:cs="仿宋"/>
                      <w:sz w:val="24"/>
                      <w:szCs w:val="24"/>
                    </w:rPr>
                    <w:t>项</w:t>
                  </w:r>
                </w:p>
              </w:tc>
            </w:tr>
          </w:tbl>
          <w:p>
            <w:pPr>
              <w:spacing w:line="360" w:lineRule="auto"/>
              <w:ind w:firstLine="6240" w:firstLineChars="2600"/>
              <w:rPr>
                <w:rFonts w:ascii="仿宋" w:hAnsi="仿宋" w:eastAsia="仿宋" w:cs="Times New Roman"/>
                <w:sz w:val="24"/>
                <w:szCs w:val="24"/>
              </w:rPr>
            </w:pPr>
          </w:p>
          <w:p>
            <w:pPr>
              <w:spacing w:line="360" w:lineRule="auto"/>
              <w:ind w:firstLine="6552" w:firstLineChars="2730"/>
              <w:rPr>
                <w:rFonts w:ascii="仿宋" w:hAnsi="仿宋" w:eastAsia="仿宋" w:cs="Times New Roman"/>
                <w:sz w:val="24"/>
                <w:szCs w:val="24"/>
                <w:u w:val="single"/>
              </w:rPr>
            </w:pPr>
            <w:r>
              <w:rPr>
                <w:rFonts w:hint="eastAsia" w:ascii="仿宋" w:hAnsi="仿宋" w:eastAsia="仿宋" w:cs="仿宋"/>
                <w:sz w:val="24"/>
                <w:szCs w:val="24"/>
              </w:rPr>
              <w:t>发包人（章）</w:t>
            </w:r>
            <w:r>
              <w:rPr>
                <w:rFonts w:ascii="仿宋" w:hAnsi="仿宋" w:eastAsia="仿宋" w:cs="仿宋"/>
                <w:sz w:val="24"/>
                <w:szCs w:val="24"/>
              </w:rPr>
              <w:t xml:space="preserve">               </w:t>
            </w:r>
          </w:p>
          <w:p>
            <w:pPr>
              <w:tabs>
                <w:tab w:val="left" w:pos="7092"/>
              </w:tabs>
              <w:spacing w:line="360" w:lineRule="auto"/>
              <w:ind w:firstLine="6552" w:firstLineChars="2730"/>
              <w:rPr>
                <w:rFonts w:ascii="仿宋" w:hAnsi="仿宋" w:eastAsia="仿宋" w:cs="仿宋"/>
                <w:sz w:val="24"/>
                <w:szCs w:val="24"/>
                <w:u w:val="single"/>
              </w:rPr>
            </w:pPr>
            <w:r>
              <w:rPr>
                <w:rFonts w:hint="eastAsia" w:ascii="仿宋" w:hAnsi="仿宋" w:eastAsia="仿宋" w:cs="仿宋"/>
                <w:sz w:val="24"/>
                <w:szCs w:val="24"/>
              </w:rPr>
              <w:t>发包人代表</w:t>
            </w:r>
            <w:r>
              <w:rPr>
                <w:rFonts w:ascii="仿宋" w:hAnsi="仿宋" w:eastAsia="仿宋" w:cs="仿宋"/>
                <w:sz w:val="24"/>
                <w:szCs w:val="24"/>
                <w:u w:val="single"/>
              </w:rPr>
              <w:t xml:space="preserve">           </w:t>
            </w:r>
          </w:p>
          <w:p>
            <w:pPr>
              <w:spacing w:line="360" w:lineRule="auto"/>
              <w:ind w:firstLine="6552" w:firstLineChars="2730"/>
              <w:rPr>
                <w:rFonts w:ascii="仿宋" w:hAnsi="仿宋" w:eastAsia="仿宋" w:cs="Times New Roman"/>
                <w:sz w:val="24"/>
                <w:szCs w:val="24"/>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44" w:hRule="atLeast"/>
        </w:trPr>
        <w:tc>
          <w:tcPr>
            <w:tcW w:w="10359" w:type="dxa"/>
            <w:tcBorders>
              <w:top w:val="single" w:color="auto" w:sz="4" w:space="0"/>
            </w:tcBorders>
            <w:vAlign w:val="top"/>
          </w:tcPr>
          <w:p>
            <w:pPr>
              <w:spacing w:line="360" w:lineRule="auto"/>
              <w:rPr>
                <w:rFonts w:ascii="仿宋" w:hAnsi="仿宋" w:eastAsia="仿宋" w:cs="Times New Roman"/>
                <w:sz w:val="24"/>
                <w:szCs w:val="24"/>
              </w:rPr>
            </w:pPr>
            <w:r>
              <w:rPr>
                <w:rFonts w:hint="eastAsia" w:ascii="仿宋" w:hAnsi="仿宋" w:eastAsia="仿宋" w:cs="仿宋"/>
                <w:sz w:val="24"/>
                <w:szCs w:val="24"/>
              </w:rPr>
              <w:t>验收结论：</w:t>
            </w:r>
          </w:p>
          <w:p>
            <w:pPr>
              <w:spacing w:line="360" w:lineRule="auto"/>
              <w:rPr>
                <w:rFonts w:ascii="仿宋" w:hAnsi="仿宋" w:eastAsia="仿宋" w:cs="Times New Roman"/>
                <w:sz w:val="24"/>
                <w:szCs w:val="24"/>
              </w:rPr>
            </w:pPr>
          </w:p>
          <w:p>
            <w:pPr>
              <w:spacing w:line="360" w:lineRule="auto"/>
              <w:rPr>
                <w:rFonts w:ascii="仿宋" w:hAnsi="仿宋" w:eastAsia="仿宋" w:cs="Times New Roman"/>
                <w:sz w:val="24"/>
                <w:szCs w:val="24"/>
              </w:rPr>
            </w:pPr>
            <w:r>
              <w:rPr>
                <w:rFonts w:hint="eastAsia" w:ascii="仿宋" w:hAnsi="仿宋" w:eastAsia="仿宋" w:cs="仿宋"/>
                <w:sz w:val="24"/>
                <w:szCs w:val="24"/>
              </w:rPr>
              <w:t>设计人（章）</w:t>
            </w:r>
            <w:r>
              <w:rPr>
                <w:rFonts w:ascii="仿宋" w:hAnsi="仿宋" w:eastAsia="仿宋" w:cs="仿宋"/>
                <w:sz w:val="24"/>
                <w:szCs w:val="24"/>
              </w:rPr>
              <w:t xml:space="preserve">               </w:t>
            </w:r>
            <w:r>
              <w:rPr>
                <w:rFonts w:hint="eastAsia" w:ascii="仿宋" w:hAnsi="仿宋" w:eastAsia="仿宋" w:cs="仿宋"/>
                <w:sz w:val="24"/>
                <w:szCs w:val="24"/>
              </w:rPr>
              <w:t>监理人（章）</w:t>
            </w:r>
            <w:r>
              <w:rPr>
                <w:rFonts w:ascii="仿宋" w:hAnsi="仿宋" w:eastAsia="仿宋" w:cs="仿宋"/>
                <w:sz w:val="24"/>
                <w:szCs w:val="24"/>
              </w:rPr>
              <w:t xml:space="preserve">              </w:t>
            </w:r>
            <w:r>
              <w:rPr>
                <w:rFonts w:hint="eastAsia" w:ascii="仿宋" w:hAnsi="仿宋" w:eastAsia="仿宋" w:cs="仿宋"/>
                <w:sz w:val="24"/>
                <w:szCs w:val="24"/>
              </w:rPr>
              <w:t>造价咨询人（如有）（章）</w:t>
            </w:r>
          </w:p>
          <w:p>
            <w:pPr>
              <w:spacing w:line="360" w:lineRule="auto"/>
              <w:rPr>
                <w:rFonts w:ascii="仿宋" w:hAnsi="仿宋" w:eastAsia="仿宋" w:cs="Times New Roman"/>
                <w:sz w:val="24"/>
                <w:szCs w:val="24"/>
              </w:rPr>
            </w:pPr>
            <w:r>
              <w:rPr>
                <w:rFonts w:hint="eastAsia" w:ascii="仿宋" w:hAnsi="仿宋" w:eastAsia="仿宋" w:cs="仿宋"/>
                <w:sz w:val="24"/>
                <w:szCs w:val="24"/>
              </w:rPr>
              <w:t>建筑师</w:t>
            </w:r>
            <w:r>
              <w:rPr>
                <w:rFonts w:ascii="仿宋" w:hAnsi="仿宋" w:eastAsia="仿宋" w:cs="仿宋"/>
                <w:sz w:val="24"/>
                <w:szCs w:val="24"/>
              </w:rPr>
              <w:t>/</w:t>
            </w:r>
            <w:r>
              <w:rPr>
                <w:rFonts w:hint="eastAsia" w:ascii="仿宋" w:hAnsi="仿宋" w:eastAsia="仿宋" w:cs="仿宋"/>
                <w:sz w:val="24"/>
                <w:szCs w:val="24"/>
              </w:rPr>
              <w:t>结构师</w:t>
            </w:r>
            <w:r>
              <w:rPr>
                <w:rFonts w:ascii="仿宋" w:hAnsi="仿宋" w:eastAsia="仿宋" w:cs="仿宋"/>
                <w:sz w:val="24"/>
                <w:szCs w:val="24"/>
                <w:u w:val="single"/>
              </w:rPr>
              <w:t xml:space="preserve">         </w:t>
            </w:r>
            <w:r>
              <w:rPr>
                <w:rFonts w:ascii="仿宋" w:hAnsi="仿宋" w:eastAsia="仿宋" w:cs="仿宋"/>
                <w:sz w:val="24"/>
                <w:szCs w:val="24"/>
              </w:rPr>
              <w:t xml:space="preserve">     </w:t>
            </w:r>
            <w:r>
              <w:rPr>
                <w:rFonts w:hint="eastAsia" w:ascii="仿宋" w:hAnsi="仿宋" w:eastAsia="仿宋" w:cs="仿宋"/>
                <w:sz w:val="24"/>
                <w:szCs w:val="24"/>
              </w:rPr>
              <w:t>监理工程师</w:t>
            </w:r>
            <w:r>
              <w:rPr>
                <w:rFonts w:ascii="仿宋" w:hAnsi="仿宋" w:eastAsia="仿宋" w:cs="仿宋"/>
                <w:sz w:val="24"/>
                <w:szCs w:val="24"/>
                <w:u w:val="single"/>
              </w:rPr>
              <w:t xml:space="preserve">         </w:t>
            </w:r>
            <w:r>
              <w:rPr>
                <w:rFonts w:ascii="仿宋" w:hAnsi="仿宋" w:eastAsia="仿宋" w:cs="仿宋"/>
                <w:sz w:val="24"/>
                <w:szCs w:val="24"/>
              </w:rPr>
              <w:t xml:space="preserve">       </w:t>
            </w:r>
            <w:r>
              <w:rPr>
                <w:rFonts w:hint="eastAsia" w:ascii="仿宋" w:hAnsi="仿宋" w:eastAsia="仿宋" w:cs="仿宋"/>
                <w:sz w:val="24"/>
                <w:szCs w:val="24"/>
              </w:rPr>
              <w:t>造价工程师</w:t>
            </w:r>
            <w:r>
              <w:rPr>
                <w:rFonts w:ascii="仿宋" w:hAnsi="仿宋" w:eastAsia="仿宋" w:cs="仿宋"/>
                <w:sz w:val="24"/>
                <w:szCs w:val="24"/>
                <w:u w:val="single"/>
              </w:rPr>
              <w:t xml:space="preserve">          </w:t>
            </w:r>
          </w:p>
          <w:p>
            <w:pPr>
              <w:spacing w:line="360" w:lineRule="auto"/>
              <w:rPr>
                <w:rFonts w:ascii="仿宋" w:hAnsi="仿宋" w:eastAsia="仿宋" w:cs="Times New Roman"/>
                <w:sz w:val="24"/>
                <w:szCs w:val="24"/>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r>
              <w:rPr>
                <w:rFonts w:ascii="仿宋" w:hAnsi="仿宋" w:eastAsia="仿宋" w:cs="仿宋"/>
                <w:sz w:val="24"/>
                <w:szCs w:val="24"/>
              </w:rPr>
              <w:t xml:space="preserve">     </w:t>
            </w: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r>
              <w:rPr>
                <w:rFonts w:ascii="仿宋" w:hAnsi="仿宋" w:eastAsia="仿宋" w:cs="仿宋"/>
                <w:sz w:val="24"/>
                <w:szCs w:val="24"/>
              </w:rPr>
              <w:t xml:space="preserve">       </w:t>
            </w: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284" w:hRule="atLeast"/>
        </w:trPr>
        <w:tc>
          <w:tcPr>
            <w:tcW w:w="10359" w:type="dxa"/>
            <w:tcBorders>
              <w:top w:val="nil"/>
            </w:tcBorders>
            <w:vAlign w:val="top"/>
          </w:tcPr>
          <w:p>
            <w:pPr>
              <w:spacing w:line="360" w:lineRule="auto"/>
              <w:rPr>
                <w:rFonts w:ascii="仿宋" w:hAnsi="仿宋" w:eastAsia="仿宋" w:cs="Times New Roman"/>
                <w:sz w:val="24"/>
                <w:szCs w:val="24"/>
              </w:rPr>
            </w:pPr>
            <w:r>
              <w:rPr>
                <w:rFonts w:hint="eastAsia" w:ascii="仿宋" w:hAnsi="仿宋" w:eastAsia="仿宋" w:cs="仿宋"/>
                <w:sz w:val="24"/>
                <w:szCs w:val="24"/>
              </w:rPr>
              <w:t>综合验收结论：</w:t>
            </w:r>
          </w:p>
          <w:p>
            <w:pPr>
              <w:spacing w:line="360" w:lineRule="auto"/>
              <w:ind w:firstLine="6240" w:firstLineChars="2600"/>
              <w:rPr>
                <w:rFonts w:ascii="仿宋" w:hAnsi="仿宋" w:eastAsia="仿宋" w:cs="Times New Roman"/>
                <w:sz w:val="24"/>
                <w:szCs w:val="24"/>
              </w:rPr>
            </w:pPr>
          </w:p>
          <w:p>
            <w:pPr>
              <w:spacing w:line="360" w:lineRule="auto"/>
              <w:ind w:firstLine="6240" w:firstLineChars="2600"/>
              <w:rPr>
                <w:rFonts w:ascii="仿宋" w:hAnsi="仿宋" w:eastAsia="仿宋" w:cs="Times New Roman"/>
                <w:sz w:val="24"/>
                <w:szCs w:val="24"/>
                <w:u w:val="single"/>
              </w:rPr>
            </w:pPr>
            <w:r>
              <w:rPr>
                <w:rFonts w:hint="eastAsia" w:ascii="仿宋" w:hAnsi="仿宋" w:eastAsia="仿宋" w:cs="仿宋"/>
                <w:sz w:val="24"/>
                <w:szCs w:val="24"/>
              </w:rPr>
              <w:t>发包人（章）</w:t>
            </w:r>
            <w:r>
              <w:rPr>
                <w:rFonts w:ascii="仿宋" w:hAnsi="仿宋" w:eastAsia="仿宋" w:cs="仿宋"/>
                <w:sz w:val="24"/>
                <w:szCs w:val="24"/>
              </w:rPr>
              <w:t xml:space="preserve">               </w:t>
            </w:r>
          </w:p>
          <w:p>
            <w:pPr>
              <w:tabs>
                <w:tab w:val="left" w:pos="7092"/>
              </w:tabs>
              <w:spacing w:line="360" w:lineRule="auto"/>
              <w:ind w:firstLine="6240" w:firstLineChars="2600"/>
              <w:rPr>
                <w:rFonts w:ascii="仿宋" w:hAnsi="仿宋" w:eastAsia="仿宋" w:cs="仿宋"/>
                <w:sz w:val="24"/>
                <w:szCs w:val="24"/>
                <w:u w:val="single"/>
              </w:rPr>
            </w:pPr>
            <w:r>
              <w:rPr>
                <w:rFonts w:hint="eastAsia" w:ascii="仿宋" w:hAnsi="仿宋" w:eastAsia="仿宋" w:cs="仿宋"/>
                <w:sz w:val="24"/>
                <w:szCs w:val="24"/>
              </w:rPr>
              <w:t>发包人代表</w:t>
            </w:r>
            <w:r>
              <w:rPr>
                <w:rFonts w:ascii="仿宋" w:hAnsi="仿宋" w:eastAsia="仿宋" w:cs="仿宋"/>
                <w:sz w:val="24"/>
                <w:szCs w:val="24"/>
                <w:u w:val="single"/>
              </w:rPr>
              <w:t xml:space="preserve">           </w:t>
            </w:r>
          </w:p>
          <w:p>
            <w:pPr>
              <w:spacing w:line="360" w:lineRule="auto"/>
              <w:ind w:firstLine="6240" w:firstLineChars="2600"/>
              <w:rPr>
                <w:rFonts w:ascii="仿宋" w:hAnsi="仿宋" w:eastAsia="仿宋" w:cs="Times New Roman"/>
                <w:sz w:val="24"/>
                <w:szCs w:val="24"/>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bl>
    <w:p>
      <w:pPr>
        <w:ind w:left="1081" w:leftChars="172" w:hanging="720" w:hangingChars="300"/>
        <w:rPr>
          <w:rFonts w:ascii="仿宋" w:hAnsi="仿宋" w:eastAsia="仿宋" w:cs="Times New Roman"/>
          <w:sz w:val="24"/>
          <w:szCs w:val="24"/>
        </w:rPr>
      </w:pPr>
      <w:r>
        <w:rPr>
          <w:rFonts w:hint="eastAsia" w:ascii="仿宋" w:hAnsi="仿宋" w:eastAsia="仿宋" w:cs="仿宋"/>
          <w:sz w:val="24"/>
          <w:szCs w:val="24"/>
        </w:rPr>
        <w:t>说明：</w:t>
      </w:r>
      <w:r>
        <w:rPr>
          <w:rFonts w:ascii="仿宋" w:hAnsi="仿宋" w:eastAsia="仿宋" w:cs="仿宋"/>
          <w:sz w:val="24"/>
          <w:szCs w:val="24"/>
        </w:rPr>
        <w:t>1</w:t>
      </w:r>
      <w:r>
        <w:rPr>
          <w:rFonts w:hint="eastAsia" w:ascii="仿宋" w:hAnsi="仿宋" w:eastAsia="仿宋" w:cs="仿宋"/>
          <w:sz w:val="24"/>
          <w:szCs w:val="24"/>
        </w:rPr>
        <w:t>．表中验收记录由承包人填写，验收结论由监理人（发包人）填写。综合验收结论由参加验收各方共同商定，发包人填写，应对工程质量是否符合标准与规范、设计要求及总体质量作出评价。</w:t>
      </w:r>
    </w:p>
    <w:p>
      <w:pPr>
        <w:ind w:left="480" w:firstLine="600" w:firstLineChars="250"/>
        <w:rPr>
          <w:rFonts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本表一式五份，由发包人、设计人、监理人、工程造价咨询人（如有）按和承包人各存一份。</w:t>
      </w:r>
    </w:p>
    <w:p>
      <w:pPr>
        <w:spacing w:before="120" w:beforeLines="50" w:after="120" w:afterLines="50" w:line="360" w:lineRule="auto"/>
        <w:outlineLvl w:val="1"/>
        <w:rPr>
          <w:rFonts w:ascii="仿宋" w:hAnsi="仿宋" w:eastAsia="仿宋" w:cs="仿宋"/>
          <w:b/>
          <w:bCs/>
          <w:color w:val="000000"/>
          <w:kern w:val="0"/>
          <w:sz w:val="24"/>
          <w:szCs w:val="24"/>
        </w:rPr>
      </w:pPr>
      <w:r>
        <w:rPr>
          <w:rFonts w:ascii="仿宋" w:hAnsi="仿宋" w:eastAsia="仿宋" w:cs="Times New Roman"/>
          <w:kern w:val="0"/>
          <w:sz w:val="24"/>
          <w:szCs w:val="24"/>
        </w:rPr>
        <w:br w:type="page"/>
      </w:r>
      <w:bookmarkStart w:id="785" w:name="_Toc266892944"/>
      <w:bookmarkStart w:id="786" w:name="_Toc10625003"/>
      <w:bookmarkStart w:id="787" w:name="_Toc469384159"/>
      <w:r>
        <w:rPr>
          <w:rFonts w:hint="eastAsia" w:ascii="仿宋" w:hAnsi="仿宋" w:eastAsia="仿宋" w:cs="仿宋"/>
          <w:b/>
          <w:bCs/>
          <w:color w:val="000000"/>
          <w:kern w:val="0"/>
          <w:sz w:val="24"/>
          <w:szCs w:val="24"/>
        </w:rPr>
        <w:t>格式</w:t>
      </w:r>
      <w:r>
        <w:rPr>
          <w:rFonts w:ascii="仿宋" w:hAnsi="仿宋" w:eastAsia="仿宋" w:cs="仿宋"/>
          <w:b/>
          <w:bCs/>
          <w:color w:val="000000"/>
          <w:kern w:val="0"/>
          <w:sz w:val="24"/>
          <w:szCs w:val="24"/>
        </w:rPr>
        <w:t>18</w:t>
      </w:r>
      <w:bookmarkEnd w:id="785"/>
      <w:bookmarkEnd w:id="786"/>
      <w:bookmarkEnd w:id="787"/>
    </w:p>
    <w:p>
      <w:pPr>
        <w:spacing w:line="360" w:lineRule="auto"/>
        <w:jc w:val="center"/>
        <w:rPr>
          <w:rFonts w:ascii="仿宋" w:hAnsi="仿宋" w:eastAsia="仿宋" w:cs="Times New Roman"/>
          <w:b/>
          <w:bCs/>
          <w:spacing w:val="30"/>
          <w:sz w:val="44"/>
          <w:szCs w:val="44"/>
        </w:rPr>
      </w:pPr>
      <w:r>
        <w:rPr>
          <w:rFonts w:hint="eastAsia" w:ascii="仿宋" w:hAnsi="仿宋" w:eastAsia="仿宋" w:cs="仿宋"/>
          <w:b/>
          <w:bCs/>
          <w:spacing w:val="30"/>
          <w:sz w:val="44"/>
          <w:szCs w:val="44"/>
        </w:rPr>
        <w:t>工程接收证书</w:t>
      </w:r>
    </w:p>
    <w:p>
      <w:pPr>
        <w:spacing w:line="360" w:lineRule="auto"/>
        <w:rPr>
          <w:rFonts w:ascii="仿宋" w:hAnsi="仿宋" w:eastAsia="仿宋" w:cs="Times New Roman"/>
          <w:sz w:val="24"/>
          <w:szCs w:val="24"/>
        </w:rPr>
      </w:pPr>
      <w:r>
        <w:rPr>
          <w:rFonts w:hint="eastAsia" w:ascii="仿宋" w:hAnsi="仿宋" w:eastAsia="仿宋" w:cs="仿宋"/>
          <w:sz w:val="24"/>
          <w:szCs w:val="24"/>
        </w:rPr>
        <w:t>工程名称</w:t>
      </w:r>
      <w:r>
        <w:rPr>
          <w:rFonts w:ascii="仿宋" w:hAnsi="仿宋" w:eastAsia="仿宋" w:cs="仿宋"/>
          <w:sz w:val="24"/>
          <w:szCs w:val="24"/>
        </w:rPr>
        <w:t>:</w:t>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编号</w:t>
      </w:r>
      <w:r>
        <w:rPr>
          <w:rFonts w:ascii="仿宋" w:hAnsi="仿宋" w:eastAsia="仿宋" w:cs="仿宋"/>
          <w:sz w:val="24"/>
          <w:szCs w:val="24"/>
        </w:rPr>
        <w:t>:</w:t>
      </w:r>
    </w:p>
    <w:tbl>
      <w:tblPr>
        <w:tblStyle w:val="40"/>
        <w:tblW w:w="10441"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44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387" w:hRule="atLeast"/>
        </w:trPr>
        <w:tc>
          <w:tcPr>
            <w:tcW w:w="10441" w:type="dxa"/>
            <w:vAlign w:val="top"/>
          </w:tcPr>
          <w:p>
            <w:pPr>
              <w:spacing w:before="120" w:line="360" w:lineRule="auto"/>
              <w:ind w:left="-28" w:firstLine="181"/>
              <w:rPr>
                <w:rFonts w:ascii="仿宋" w:hAnsi="仿宋" w:eastAsia="仿宋" w:cs="Times New Roman"/>
                <w:sz w:val="24"/>
                <w:szCs w:val="24"/>
              </w:rPr>
            </w:pPr>
            <w:r>
              <w:rPr>
                <w:rFonts w:hint="eastAsia" w:ascii="仿宋" w:hAnsi="仿宋" w:eastAsia="仿宋" w:cs="仿宋"/>
                <w:sz w:val="24"/>
                <w:szCs w:val="24"/>
              </w:rPr>
              <w:t>致</w:t>
            </w:r>
            <w:r>
              <w:rPr>
                <w:rFonts w:ascii="仿宋" w:hAnsi="仿宋" w:eastAsia="仿宋" w:cs="仿宋"/>
                <w:sz w:val="24"/>
                <w:szCs w:val="24"/>
              </w:rPr>
              <w:t>:</w:t>
            </w:r>
            <w:r>
              <w:rPr>
                <w:rFonts w:ascii="仿宋" w:hAnsi="仿宋" w:eastAsia="仿宋" w:cs="仿宋"/>
                <w:sz w:val="24"/>
                <w:szCs w:val="24"/>
                <w:u w:val="single"/>
              </w:rPr>
              <w:t xml:space="preserve">                                                 </w:t>
            </w:r>
            <w:r>
              <w:rPr>
                <w:rFonts w:hint="eastAsia" w:ascii="仿宋" w:hAnsi="仿宋" w:eastAsia="仿宋" w:cs="仿宋"/>
                <w:sz w:val="24"/>
                <w:szCs w:val="24"/>
              </w:rPr>
              <w:t>（监理人全称）</w:t>
            </w:r>
          </w:p>
          <w:p>
            <w:pPr>
              <w:spacing w:line="360" w:lineRule="auto"/>
              <w:ind w:left="-28" w:firstLine="482"/>
              <w:rPr>
                <w:rFonts w:ascii="仿宋" w:hAnsi="仿宋" w:eastAsia="仿宋" w:cs="Times New Roman"/>
                <w:sz w:val="24"/>
                <w:szCs w:val="24"/>
              </w:rPr>
            </w:pPr>
            <w:r>
              <w:rPr>
                <w:rFonts w:hint="eastAsia" w:ascii="仿宋" w:hAnsi="仿宋" w:eastAsia="仿宋" w:cs="仿宋"/>
                <w:sz w:val="24"/>
                <w:szCs w:val="24"/>
              </w:rPr>
              <w:t>你方按照合同要求于</w:t>
            </w:r>
            <w:r>
              <w:rPr>
                <w:rFonts w:ascii="仿宋" w:hAnsi="仿宋" w:eastAsia="仿宋" w:cs="仿宋"/>
                <w:sz w:val="24"/>
                <w:szCs w:val="24"/>
                <w:u w:val="single"/>
              </w:rPr>
              <w:t xml:space="preserve">         </w:t>
            </w:r>
            <w:r>
              <w:rPr>
                <w:rFonts w:hint="eastAsia" w:ascii="仿宋" w:hAnsi="仿宋" w:eastAsia="仿宋" w:cs="仿宋"/>
                <w:sz w:val="24"/>
                <w:szCs w:val="24"/>
              </w:rPr>
              <w:t>年</w:t>
            </w:r>
            <w:r>
              <w:rPr>
                <w:rFonts w:ascii="仿宋" w:hAnsi="仿宋" w:eastAsia="仿宋" w:cs="仿宋"/>
                <w:sz w:val="24"/>
                <w:szCs w:val="24"/>
                <w:u w:val="single"/>
              </w:rPr>
              <w:t xml:space="preserve">     </w:t>
            </w:r>
            <w:r>
              <w:rPr>
                <w:rFonts w:hint="eastAsia" w:ascii="仿宋" w:hAnsi="仿宋" w:eastAsia="仿宋" w:cs="仿宋"/>
                <w:sz w:val="24"/>
                <w:szCs w:val="24"/>
              </w:rPr>
              <w:t>月</w:t>
            </w:r>
            <w:r>
              <w:rPr>
                <w:rFonts w:ascii="仿宋" w:hAnsi="仿宋" w:eastAsia="仿宋" w:cs="仿宋"/>
                <w:sz w:val="24"/>
                <w:szCs w:val="24"/>
                <w:u w:val="single"/>
              </w:rPr>
              <w:t xml:space="preserve">     </w:t>
            </w:r>
            <w:r>
              <w:rPr>
                <w:rFonts w:hint="eastAsia" w:ascii="仿宋" w:hAnsi="仿宋" w:eastAsia="仿宋" w:cs="仿宋"/>
                <w:sz w:val="24"/>
                <w:szCs w:val="24"/>
              </w:rPr>
              <w:t>日提出鞠躬验收，净我方组织你方、设计人、监理人、工程造价咨询人（如有）共同验收，该工程验收合格，现予颁发工程接收证书，</w:t>
            </w:r>
          </w:p>
          <w:p>
            <w:pPr>
              <w:spacing w:line="360" w:lineRule="auto"/>
              <w:ind w:left="-28" w:firstLine="482"/>
              <w:rPr>
                <w:rFonts w:ascii="仿宋" w:hAnsi="仿宋" w:eastAsia="仿宋" w:cs="Times New Roman"/>
                <w:sz w:val="24"/>
                <w:szCs w:val="24"/>
              </w:rPr>
            </w:pPr>
            <w:r>
              <w:rPr>
                <w:rFonts w:hint="eastAsia" w:ascii="仿宋" w:hAnsi="仿宋" w:eastAsia="仿宋" w:cs="仿宋"/>
                <w:sz w:val="24"/>
                <w:szCs w:val="24"/>
              </w:rPr>
              <w:t>按照合同约定，该工程实际竣工日期是</w:t>
            </w:r>
            <w:r>
              <w:rPr>
                <w:rFonts w:ascii="仿宋" w:hAnsi="仿宋" w:eastAsia="仿宋" w:cs="仿宋"/>
                <w:sz w:val="24"/>
                <w:szCs w:val="24"/>
                <w:u w:val="single"/>
              </w:rPr>
              <w:t xml:space="preserve">         </w:t>
            </w:r>
            <w:r>
              <w:rPr>
                <w:rFonts w:hint="eastAsia" w:ascii="仿宋" w:hAnsi="仿宋" w:eastAsia="仿宋" w:cs="仿宋"/>
                <w:sz w:val="24"/>
                <w:szCs w:val="24"/>
              </w:rPr>
              <w:t>年</w:t>
            </w:r>
            <w:r>
              <w:rPr>
                <w:rFonts w:ascii="仿宋" w:hAnsi="仿宋" w:eastAsia="仿宋" w:cs="仿宋"/>
                <w:sz w:val="24"/>
                <w:szCs w:val="24"/>
                <w:u w:val="single"/>
              </w:rPr>
              <w:t xml:space="preserve">     </w:t>
            </w:r>
            <w:r>
              <w:rPr>
                <w:rFonts w:hint="eastAsia" w:ascii="仿宋" w:hAnsi="仿宋" w:eastAsia="仿宋" w:cs="仿宋"/>
                <w:sz w:val="24"/>
                <w:szCs w:val="24"/>
              </w:rPr>
              <w:t>月</w:t>
            </w:r>
            <w:r>
              <w:rPr>
                <w:rFonts w:ascii="仿宋" w:hAnsi="仿宋" w:eastAsia="仿宋" w:cs="仿宋"/>
                <w:sz w:val="24"/>
                <w:szCs w:val="24"/>
                <w:u w:val="single"/>
              </w:rPr>
              <w:t xml:space="preserve">     </w:t>
            </w:r>
            <w:r>
              <w:rPr>
                <w:rFonts w:hint="eastAsia" w:ascii="仿宋" w:hAnsi="仿宋" w:eastAsia="仿宋" w:cs="仿宋"/>
                <w:sz w:val="24"/>
                <w:szCs w:val="24"/>
              </w:rPr>
              <w:t>日。</w:t>
            </w:r>
          </w:p>
          <w:p>
            <w:pPr>
              <w:spacing w:line="360" w:lineRule="auto"/>
              <w:ind w:left="-28" w:firstLine="482"/>
              <w:rPr>
                <w:rFonts w:ascii="仿宋" w:hAnsi="仿宋" w:eastAsia="仿宋" w:cs="Times New Roman"/>
                <w:sz w:val="24"/>
                <w:szCs w:val="24"/>
              </w:rPr>
            </w:pPr>
          </w:p>
          <w:p>
            <w:pPr>
              <w:spacing w:line="360" w:lineRule="auto"/>
              <w:ind w:left="-28" w:firstLine="482"/>
              <w:rPr>
                <w:rFonts w:ascii="仿宋" w:hAnsi="仿宋" w:eastAsia="仿宋" w:cs="Times New Roman"/>
                <w:sz w:val="24"/>
                <w:szCs w:val="24"/>
              </w:rPr>
            </w:pPr>
            <w:r>
              <w:rPr>
                <w:rFonts w:hint="eastAsia" w:ascii="仿宋" w:hAnsi="仿宋" w:eastAsia="仿宋" w:cs="仿宋"/>
                <w:sz w:val="24"/>
                <w:szCs w:val="24"/>
              </w:rPr>
              <w:t>我方颁发工程接收</w:t>
            </w:r>
            <w:r>
              <w:rPr>
                <w:rFonts w:ascii="仿宋" w:hAnsi="仿宋" w:eastAsia="仿宋" w:cs="仿宋"/>
                <w:sz w:val="24"/>
                <w:szCs w:val="24"/>
              </w:rPr>
              <w:t xml:space="preserve"> </w:t>
            </w:r>
            <w:r>
              <w:rPr>
                <w:rFonts w:hint="eastAsia" w:ascii="仿宋" w:hAnsi="仿宋" w:eastAsia="仿宋" w:cs="仿宋"/>
                <w:sz w:val="24"/>
                <w:szCs w:val="24"/>
              </w:rPr>
              <w:t>证书，则标明自颁发之日起，由我方负责照管工程，但并不代表你方已完成施工合同赋予的一切义务和责任，你方仍应承担工程的质量缺陷和质量保修责任。</w:t>
            </w:r>
          </w:p>
          <w:p>
            <w:pPr>
              <w:spacing w:line="360" w:lineRule="auto"/>
              <w:ind w:left="-28"/>
              <w:rPr>
                <w:rFonts w:ascii="仿宋" w:hAnsi="仿宋" w:eastAsia="仿宋" w:cs="Times New Roman"/>
                <w:sz w:val="24"/>
                <w:szCs w:val="24"/>
              </w:rPr>
            </w:pPr>
          </w:p>
          <w:p>
            <w:pPr>
              <w:spacing w:line="360" w:lineRule="auto"/>
              <w:ind w:left="-28"/>
              <w:rPr>
                <w:rFonts w:ascii="仿宋" w:hAnsi="仿宋" w:eastAsia="仿宋" w:cs="Times New Roman"/>
                <w:sz w:val="24"/>
                <w:szCs w:val="24"/>
              </w:rPr>
            </w:pPr>
          </w:p>
          <w:p>
            <w:pPr>
              <w:spacing w:line="360" w:lineRule="auto"/>
              <w:ind w:left="-28"/>
              <w:rPr>
                <w:rFonts w:ascii="仿宋" w:hAnsi="仿宋" w:eastAsia="仿宋" w:cs="Times New Roman"/>
                <w:sz w:val="24"/>
                <w:szCs w:val="24"/>
              </w:rPr>
            </w:pPr>
          </w:p>
          <w:p>
            <w:pPr>
              <w:spacing w:line="360" w:lineRule="auto"/>
              <w:ind w:left="-28"/>
              <w:rPr>
                <w:rFonts w:ascii="仿宋" w:hAnsi="仿宋" w:eastAsia="仿宋" w:cs="Times New Roman"/>
                <w:sz w:val="24"/>
                <w:szCs w:val="24"/>
              </w:rPr>
            </w:pPr>
          </w:p>
          <w:p>
            <w:pPr>
              <w:spacing w:line="360" w:lineRule="auto"/>
              <w:ind w:left="-28"/>
              <w:rPr>
                <w:rFonts w:ascii="仿宋" w:hAnsi="仿宋" w:eastAsia="仿宋" w:cs="Times New Roman"/>
                <w:sz w:val="24"/>
                <w:szCs w:val="24"/>
              </w:rPr>
            </w:pPr>
          </w:p>
          <w:p>
            <w:pPr>
              <w:spacing w:line="360" w:lineRule="auto"/>
              <w:ind w:left="-28"/>
              <w:rPr>
                <w:rFonts w:ascii="仿宋" w:hAnsi="仿宋" w:eastAsia="仿宋" w:cs="Times New Roman"/>
                <w:sz w:val="24"/>
                <w:szCs w:val="24"/>
              </w:rPr>
            </w:pPr>
          </w:p>
          <w:p>
            <w:pPr>
              <w:spacing w:line="360" w:lineRule="auto"/>
              <w:ind w:left="-28"/>
              <w:rPr>
                <w:rFonts w:ascii="仿宋" w:hAnsi="仿宋" w:eastAsia="仿宋" w:cs="Times New Roman"/>
                <w:sz w:val="24"/>
                <w:szCs w:val="24"/>
              </w:rPr>
            </w:pPr>
          </w:p>
          <w:p>
            <w:pPr>
              <w:spacing w:line="360" w:lineRule="auto"/>
              <w:ind w:left="-28"/>
              <w:rPr>
                <w:rFonts w:ascii="仿宋" w:hAnsi="仿宋" w:eastAsia="仿宋" w:cs="Times New Roman"/>
                <w:sz w:val="24"/>
                <w:szCs w:val="24"/>
              </w:rPr>
            </w:pPr>
          </w:p>
          <w:p>
            <w:pPr>
              <w:spacing w:line="360" w:lineRule="auto"/>
              <w:ind w:left="-28"/>
              <w:rPr>
                <w:rFonts w:ascii="仿宋" w:hAnsi="仿宋" w:eastAsia="仿宋" w:cs="Times New Roman"/>
                <w:sz w:val="24"/>
                <w:szCs w:val="24"/>
              </w:rPr>
            </w:pPr>
          </w:p>
          <w:p>
            <w:pPr>
              <w:spacing w:line="360" w:lineRule="auto"/>
              <w:ind w:left="-28"/>
              <w:rPr>
                <w:rFonts w:ascii="仿宋" w:hAnsi="仿宋" w:eastAsia="仿宋" w:cs="Times New Roman"/>
                <w:sz w:val="24"/>
                <w:szCs w:val="24"/>
              </w:rPr>
            </w:pPr>
          </w:p>
          <w:p>
            <w:pPr>
              <w:spacing w:line="360" w:lineRule="auto"/>
              <w:ind w:left="-28"/>
              <w:rPr>
                <w:rFonts w:ascii="仿宋" w:hAnsi="仿宋" w:eastAsia="仿宋" w:cs="Times New Roman"/>
                <w:sz w:val="24"/>
                <w:szCs w:val="24"/>
              </w:rPr>
            </w:pPr>
          </w:p>
          <w:p>
            <w:pPr>
              <w:spacing w:line="360" w:lineRule="auto"/>
              <w:ind w:left="-28"/>
              <w:rPr>
                <w:rFonts w:ascii="仿宋" w:hAnsi="仿宋" w:eastAsia="仿宋" w:cs="Times New Roman"/>
                <w:sz w:val="24"/>
                <w:szCs w:val="24"/>
              </w:rPr>
            </w:pPr>
          </w:p>
          <w:p>
            <w:pPr>
              <w:spacing w:line="360" w:lineRule="auto"/>
              <w:ind w:left="-28"/>
              <w:rPr>
                <w:rFonts w:ascii="仿宋" w:hAnsi="仿宋" w:eastAsia="仿宋" w:cs="Times New Roman"/>
                <w:sz w:val="24"/>
                <w:szCs w:val="24"/>
              </w:rPr>
            </w:pPr>
          </w:p>
          <w:p>
            <w:pPr>
              <w:spacing w:line="360" w:lineRule="auto"/>
              <w:ind w:left="-28"/>
              <w:rPr>
                <w:rFonts w:ascii="仿宋" w:hAnsi="仿宋" w:eastAsia="仿宋" w:cs="Times New Roman"/>
                <w:sz w:val="24"/>
                <w:szCs w:val="24"/>
              </w:rPr>
            </w:pPr>
          </w:p>
          <w:p>
            <w:pPr>
              <w:spacing w:line="360" w:lineRule="auto"/>
              <w:ind w:left="-28"/>
              <w:rPr>
                <w:rFonts w:ascii="仿宋" w:hAnsi="仿宋" w:eastAsia="仿宋" w:cs="Times New Roman"/>
                <w:sz w:val="24"/>
                <w:szCs w:val="24"/>
              </w:rPr>
            </w:pPr>
          </w:p>
          <w:p>
            <w:pPr>
              <w:spacing w:line="360" w:lineRule="auto"/>
              <w:rPr>
                <w:rFonts w:ascii="仿宋" w:hAnsi="仿宋" w:eastAsia="仿宋" w:cs="Times New Roman"/>
                <w:sz w:val="24"/>
                <w:szCs w:val="24"/>
                <w:u w:val="single"/>
              </w:rPr>
            </w:pPr>
            <w:r>
              <w:rPr>
                <w:rFonts w:ascii="仿宋" w:hAnsi="仿宋" w:eastAsia="仿宋" w:cs="仿宋"/>
                <w:sz w:val="24"/>
                <w:szCs w:val="24"/>
              </w:rPr>
              <w:t xml:space="preserve">                                                  </w:t>
            </w:r>
            <w:r>
              <w:rPr>
                <w:rFonts w:hint="eastAsia" w:ascii="仿宋" w:hAnsi="仿宋" w:eastAsia="仿宋" w:cs="仿宋"/>
                <w:sz w:val="24"/>
                <w:szCs w:val="24"/>
              </w:rPr>
              <w:t>发</w:t>
            </w:r>
            <w:r>
              <w:rPr>
                <w:rFonts w:ascii="仿宋" w:hAnsi="仿宋" w:eastAsia="仿宋" w:cs="仿宋"/>
                <w:sz w:val="24"/>
                <w:szCs w:val="24"/>
              </w:rPr>
              <w:t xml:space="preserve"> </w:t>
            </w:r>
            <w:r>
              <w:rPr>
                <w:rFonts w:hint="eastAsia" w:ascii="仿宋" w:hAnsi="仿宋" w:eastAsia="仿宋" w:cs="仿宋"/>
                <w:sz w:val="24"/>
                <w:szCs w:val="24"/>
              </w:rPr>
              <w:t>包</w:t>
            </w:r>
            <w:r>
              <w:rPr>
                <w:rFonts w:ascii="仿宋" w:hAnsi="仿宋" w:eastAsia="仿宋" w:cs="仿宋"/>
                <w:sz w:val="24"/>
                <w:szCs w:val="24"/>
              </w:rPr>
              <w:t xml:space="preserve"> </w:t>
            </w:r>
            <w:r>
              <w:rPr>
                <w:rFonts w:hint="eastAsia" w:ascii="仿宋" w:hAnsi="仿宋" w:eastAsia="仿宋" w:cs="仿宋"/>
                <w:sz w:val="24"/>
                <w:szCs w:val="24"/>
              </w:rPr>
              <w:t>人（章）</w:t>
            </w:r>
            <w:r>
              <w:rPr>
                <w:rFonts w:ascii="仿宋" w:hAnsi="仿宋" w:eastAsia="仿宋" w:cs="仿宋"/>
                <w:sz w:val="24"/>
                <w:szCs w:val="24"/>
              </w:rPr>
              <w:t xml:space="preserve">                 </w:t>
            </w:r>
          </w:p>
          <w:p>
            <w:pPr>
              <w:spacing w:line="360" w:lineRule="auto"/>
              <w:ind w:firstLine="6000" w:firstLineChars="2500"/>
              <w:rPr>
                <w:rFonts w:ascii="仿宋" w:hAnsi="仿宋" w:eastAsia="仿宋" w:cs="仿宋"/>
                <w:sz w:val="24"/>
                <w:szCs w:val="24"/>
                <w:u w:val="single"/>
              </w:rPr>
            </w:pPr>
            <w:r>
              <w:rPr>
                <w:rFonts w:hint="eastAsia" w:ascii="仿宋" w:hAnsi="仿宋" w:eastAsia="仿宋" w:cs="仿宋"/>
                <w:sz w:val="24"/>
                <w:szCs w:val="24"/>
              </w:rPr>
              <w:t>承包人代表</w:t>
            </w:r>
            <w:r>
              <w:rPr>
                <w:rFonts w:ascii="仿宋" w:hAnsi="仿宋" w:eastAsia="仿宋" w:cs="仿宋"/>
                <w:sz w:val="24"/>
                <w:szCs w:val="24"/>
                <w:u w:val="single"/>
              </w:rPr>
              <w:t xml:space="preserve">                </w:t>
            </w:r>
          </w:p>
          <w:p>
            <w:pPr>
              <w:spacing w:line="360" w:lineRule="auto"/>
              <w:ind w:firstLine="6012"/>
              <w:rPr>
                <w:rFonts w:ascii="仿宋" w:hAnsi="仿宋" w:eastAsia="仿宋" w:cs="Times New Roman"/>
                <w:sz w:val="24"/>
                <w:szCs w:val="24"/>
                <w:u w:val="single"/>
              </w:rPr>
            </w:pPr>
            <w:r>
              <w:rPr>
                <w:rFonts w:ascii="仿宋" w:hAnsi="仿宋" w:eastAsia="仿宋" w:cs="仿宋"/>
                <w:sz w:val="24"/>
                <w:szCs w:val="24"/>
              </w:rPr>
              <w:t xml:space="preserve">       </w:t>
            </w:r>
            <w:r>
              <w:rPr>
                <w:rFonts w:hint="eastAsia" w:ascii="仿宋" w:hAnsi="仿宋" w:eastAsia="仿宋" w:cs="仿宋"/>
                <w:sz w:val="24"/>
                <w:szCs w:val="24"/>
              </w:rPr>
              <w:t>年</w:t>
            </w:r>
            <w:r>
              <w:rPr>
                <w:rFonts w:ascii="仿宋" w:hAnsi="仿宋" w:eastAsia="仿宋" w:cs="仿宋"/>
                <w:sz w:val="24"/>
                <w:szCs w:val="24"/>
              </w:rPr>
              <w:t xml:space="preserve">     </w:t>
            </w:r>
            <w:r>
              <w:rPr>
                <w:rFonts w:hint="eastAsia" w:ascii="仿宋" w:hAnsi="仿宋" w:eastAsia="仿宋" w:cs="仿宋"/>
                <w:sz w:val="24"/>
                <w:szCs w:val="24"/>
              </w:rPr>
              <w:t>月</w:t>
            </w:r>
            <w:r>
              <w:rPr>
                <w:rFonts w:ascii="仿宋" w:hAnsi="仿宋" w:eastAsia="仿宋" w:cs="仿宋"/>
                <w:sz w:val="24"/>
                <w:szCs w:val="24"/>
              </w:rPr>
              <w:t xml:space="preserve">    </w:t>
            </w:r>
            <w:r>
              <w:rPr>
                <w:rFonts w:hint="eastAsia" w:ascii="仿宋" w:hAnsi="仿宋" w:eastAsia="仿宋" w:cs="仿宋"/>
                <w:sz w:val="24"/>
                <w:szCs w:val="24"/>
              </w:rPr>
              <w:t>日</w:t>
            </w:r>
          </w:p>
        </w:tc>
      </w:tr>
    </w:tbl>
    <w:p>
      <w:pPr>
        <w:spacing w:line="360" w:lineRule="auto"/>
        <w:rPr>
          <w:rFonts w:ascii="仿宋" w:hAnsi="仿宋" w:eastAsia="仿宋" w:cs="Times New Roman"/>
          <w:sz w:val="24"/>
          <w:szCs w:val="24"/>
        </w:rPr>
      </w:pPr>
      <w:r>
        <w:rPr>
          <w:rFonts w:hint="eastAsia" w:ascii="仿宋" w:hAnsi="仿宋" w:eastAsia="仿宋" w:cs="仿宋"/>
          <w:sz w:val="24"/>
          <w:szCs w:val="24"/>
        </w:rPr>
        <w:t>说明：本表由发包人填制，承包人、发包人各存一份。</w:t>
      </w:r>
    </w:p>
    <w:p>
      <w:pPr>
        <w:spacing w:line="360" w:lineRule="auto"/>
        <w:outlineLvl w:val="1"/>
        <w:rPr>
          <w:rFonts w:ascii="仿宋" w:hAnsi="仿宋" w:eastAsia="仿宋" w:cs="仿宋"/>
          <w:b/>
          <w:bCs/>
          <w:color w:val="000000"/>
          <w:kern w:val="0"/>
          <w:sz w:val="24"/>
          <w:szCs w:val="24"/>
        </w:rPr>
      </w:pPr>
      <w:r>
        <w:rPr>
          <w:rFonts w:ascii="仿宋" w:hAnsi="仿宋" w:eastAsia="仿宋" w:cs="Times New Roman"/>
          <w:kern w:val="0"/>
          <w:sz w:val="24"/>
          <w:szCs w:val="24"/>
        </w:rPr>
        <w:br w:type="page"/>
      </w:r>
      <w:bookmarkStart w:id="788" w:name="_Toc266892945"/>
      <w:bookmarkStart w:id="789" w:name="_Toc469384160"/>
      <w:bookmarkStart w:id="790" w:name="_Toc10625004"/>
      <w:r>
        <w:rPr>
          <w:rFonts w:hint="eastAsia" w:ascii="仿宋" w:hAnsi="仿宋" w:eastAsia="仿宋" w:cs="仿宋"/>
          <w:b/>
          <w:bCs/>
          <w:color w:val="000000"/>
          <w:kern w:val="0"/>
          <w:sz w:val="24"/>
          <w:szCs w:val="24"/>
        </w:rPr>
        <w:t>格式</w:t>
      </w:r>
      <w:r>
        <w:rPr>
          <w:rFonts w:ascii="仿宋" w:hAnsi="仿宋" w:eastAsia="仿宋" w:cs="仿宋"/>
          <w:b/>
          <w:bCs/>
          <w:color w:val="000000"/>
          <w:kern w:val="0"/>
          <w:sz w:val="24"/>
          <w:szCs w:val="24"/>
        </w:rPr>
        <w:t>19</w:t>
      </w:r>
      <w:bookmarkEnd w:id="788"/>
      <w:bookmarkEnd w:id="789"/>
      <w:bookmarkEnd w:id="790"/>
    </w:p>
    <w:p>
      <w:pPr>
        <w:spacing w:line="360" w:lineRule="auto"/>
        <w:jc w:val="center"/>
        <w:rPr>
          <w:rFonts w:ascii="仿宋" w:hAnsi="仿宋" w:eastAsia="仿宋" w:cs="Times New Roman"/>
          <w:b/>
          <w:bCs/>
          <w:spacing w:val="30"/>
          <w:sz w:val="44"/>
          <w:szCs w:val="44"/>
        </w:rPr>
      </w:pPr>
      <w:r>
        <w:rPr>
          <w:rFonts w:hint="eastAsia" w:ascii="仿宋" w:hAnsi="仿宋" w:eastAsia="仿宋" w:cs="仿宋"/>
          <w:b/>
          <w:bCs/>
          <w:spacing w:val="30"/>
          <w:sz w:val="44"/>
          <w:szCs w:val="44"/>
        </w:rPr>
        <w:t>暂列金额确认表</w:t>
      </w:r>
    </w:p>
    <w:p>
      <w:pPr>
        <w:spacing w:line="360" w:lineRule="auto"/>
        <w:rPr>
          <w:rFonts w:ascii="仿宋" w:hAnsi="仿宋" w:eastAsia="仿宋" w:cs="Times New Roman"/>
          <w:sz w:val="24"/>
          <w:szCs w:val="24"/>
        </w:rPr>
      </w:pPr>
      <w:r>
        <w:rPr>
          <w:rFonts w:hint="eastAsia" w:ascii="仿宋" w:hAnsi="仿宋" w:eastAsia="仿宋" w:cs="仿宋"/>
          <w:sz w:val="24"/>
          <w:szCs w:val="24"/>
        </w:rPr>
        <w:t>工程名称</w:t>
      </w:r>
      <w:r>
        <w:rPr>
          <w:rFonts w:ascii="仿宋" w:hAnsi="仿宋" w:eastAsia="仿宋" w:cs="仿宋"/>
          <w:sz w:val="24"/>
          <w:szCs w:val="24"/>
        </w:rPr>
        <w:t>:</w:t>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编号</w:t>
      </w:r>
      <w:r>
        <w:rPr>
          <w:rFonts w:ascii="仿宋" w:hAnsi="仿宋" w:eastAsia="仿宋" w:cs="仿宋"/>
          <w:sz w:val="24"/>
          <w:szCs w:val="24"/>
        </w:rPr>
        <w:t>:</w:t>
      </w:r>
    </w:p>
    <w:tbl>
      <w:tblPr>
        <w:tblStyle w:val="40"/>
        <w:tblW w:w="1056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0"/>
        <w:gridCol w:w="3246"/>
        <w:gridCol w:w="1443"/>
        <w:gridCol w:w="1441"/>
        <w:gridCol w:w="1441"/>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010" w:type="dxa"/>
            <w:vAlign w:val="center"/>
          </w:tcPr>
          <w:p>
            <w:pPr>
              <w:spacing w:line="360" w:lineRule="auto"/>
              <w:jc w:val="center"/>
              <w:rPr>
                <w:rFonts w:ascii="仿宋" w:hAnsi="仿宋" w:eastAsia="仿宋" w:cs="Times New Roman"/>
                <w:sz w:val="24"/>
                <w:szCs w:val="24"/>
              </w:rPr>
            </w:pPr>
            <w:r>
              <w:rPr>
                <w:rFonts w:hint="eastAsia" w:ascii="仿宋" w:hAnsi="仿宋" w:eastAsia="仿宋" w:cs="仿宋"/>
                <w:sz w:val="24"/>
                <w:szCs w:val="24"/>
              </w:rPr>
              <w:t>序号</w:t>
            </w:r>
          </w:p>
        </w:tc>
        <w:tc>
          <w:tcPr>
            <w:tcW w:w="3246" w:type="dxa"/>
            <w:vAlign w:val="center"/>
          </w:tcPr>
          <w:p>
            <w:pPr>
              <w:spacing w:line="360" w:lineRule="auto"/>
              <w:jc w:val="center"/>
              <w:rPr>
                <w:rFonts w:ascii="仿宋" w:hAnsi="仿宋" w:eastAsia="仿宋" w:cs="Times New Roman"/>
                <w:sz w:val="24"/>
                <w:szCs w:val="24"/>
              </w:rPr>
            </w:pPr>
            <w:r>
              <w:rPr>
                <w:rFonts w:hint="eastAsia" w:ascii="仿宋" w:hAnsi="仿宋" w:eastAsia="仿宋" w:cs="仿宋"/>
                <w:sz w:val="24"/>
                <w:szCs w:val="24"/>
              </w:rPr>
              <w:t>项目名称</w:t>
            </w:r>
          </w:p>
        </w:tc>
        <w:tc>
          <w:tcPr>
            <w:tcW w:w="1443" w:type="dxa"/>
            <w:vAlign w:val="center"/>
          </w:tcPr>
          <w:p>
            <w:pPr>
              <w:spacing w:line="360" w:lineRule="auto"/>
              <w:jc w:val="center"/>
              <w:rPr>
                <w:rFonts w:ascii="仿宋" w:hAnsi="仿宋" w:eastAsia="仿宋" w:cs="Times New Roman"/>
                <w:sz w:val="24"/>
                <w:szCs w:val="24"/>
              </w:rPr>
            </w:pPr>
            <w:r>
              <w:rPr>
                <w:rFonts w:hint="eastAsia" w:ascii="仿宋" w:hAnsi="仿宋" w:eastAsia="仿宋" w:cs="仿宋"/>
                <w:sz w:val="24"/>
                <w:szCs w:val="24"/>
              </w:rPr>
              <w:t>计量</w:t>
            </w:r>
          </w:p>
          <w:p>
            <w:pPr>
              <w:spacing w:line="360" w:lineRule="auto"/>
              <w:jc w:val="center"/>
              <w:rPr>
                <w:rFonts w:ascii="仿宋" w:hAnsi="仿宋" w:eastAsia="仿宋" w:cs="Times New Roman"/>
                <w:sz w:val="24"/>
                <w:szCs w:val="24"/>
              </w:rPr>
            </w:pPr>
            <w:r>
              <w:rPr>
                <w:rFonts w:hint="eastAsia" w:ascii="仿宋" w:hAnsi="仿宋" w:eastAsia="仿宋" w:cs="仿宋"/>
                <w:sz w:val="24"/>
                <w:szCs w:val="24"/>
              </w:rPr>
              <w:t>单位</w:t>
            </w:r>
          </w:p>
        </w:tc>
        <w:tc>
          <w:tcPr>
            <w:tcW w:w="1441" w:type="dxa"/>
            <w:vAlign w:val="center"/>
          </w:tcPr>
          <w:p>
            <w:pPr>
              <w:spacing w:line="360" w:lineRule="auto"/>
              <w:jc w:val="center"/>
              <w:rPr>
                <w:rFonts w:ascii="仿宋" w:hAnsi="仿宋" w:eastAsia="仿宋" w:cs="Times New Roman"/>
                <w:sz w:val="24"/>
                <w:szCs w:val="24"/>
              </w:rPr>
            </w:pPr>
            <w:r>
              <w:rPr>
                <w:rFonts w:hint="eastAsia" w:ascii="仿宋" w:hAnsi="仿宋" w:eastAsia="仿宋" w:cs="仿宋"/>
                <w:sz w:val="24"/>
                <w:szCs w:val="24"/>
              </w:rPr>
              <w:t>暂列金额</w:t>
            </w:r>
          </w:p>
          <w:p>
            <w:pPr>
              <w:spacing w:line="360" w:lineRule="auto"/>
              <w:jc w:val="center"/>
              <w:rPr>
                <w:rFonts w:ascii="仿宋" w:hAnsi="仿宋" w:eastAsia="仿宋" w:cs="Times New Roman"/>
                <w:sz w:val="24"/>
                <w:szCs w:val="24"/>
              </w:rPr>
            </w:pPr>
            <w:r>
              <w:rPr>
                <w:rFonts w:hint="eastAsia" w:ascii="仿宋" w:hAnsi="仿宋" w:eastAsia="仿宋" w:cs="仿宋"/>
                <w:sz w:val="24"/>
                <w:szCs w:val="24"/>
              </w:rPr>
              <w:t>（元）</w:t>
            </w:r>
          </w:p>
        </w:tc>
        <w:tc>
          <w:tcPr>
            <w:tcW w:w="1441" w:type="dxa"/>
            <w:vAlign w:val="center"/>
          </w:tcPr>
          <w:p>
            <w:pPr>
              <w:spacing w:line="360" w:lineRule="auto"/>
              <w:jc w:val="center"/>
              <w:rPr>
                <w:rFonts w:ascii="仿宋" w:hAnsi="仿宋" w:eastAsia="仿宋" w:cs="Times New Roman"/>
                <w:sz w:val="24"/>
                <w:szCs w:val="24"/>
              </w:rPr>
            </w:pPr>
            <w:r>
              <w:rPr>
                <w:rFonts w:hint="eastAsia" w:ascii="仿宋" w:hAnsi="仿宋" w:eastAsia="仿宋" w:cs="仿宋"/>
                <w:sz w:val="24"/>
                <w:szCs w:val="24"/>
              </w:rPr>
              <w:t>实际金额</w:t>
            </w:r>
          </w:p>
          <w:p>
            <w:pPr>
              <w:spacing w:line="360" w:lineRule="auto"/>
              <w:jc w:val="center"/>
              <w:rPr>
                <w:rFonts w:ascii="仿宋" w:hAnsi="仿宋" w:eastAsia="仿宋" w:cs="Times New Roman"/>
                <w:sz w:val="24"/>
                <w:szCs w:val="24"/>
              </w:rPr>
            </w:pPr>
            <w:r>
              <w:rPr>
                <w:rFonts w:hint="eastAsia" w:ascii="仿宋" w:hAnsi="仿宋" w:eastAsia="仿宋" w:cs="仿宋"/>
                <w:sz w:val="24"/>
                <w:szCs w:val="24"/>
              </w:rPr>
              <w:t>（元）</w:t>
            </w:r>
          </w:p>
        </w:tc>
        <w:tc>
          <w:tcPr>
            <w:tcW w:w="1984" w:type="dxa"/>
            <w:vAlign w:val="center"/>
          </w:tcPr>
          <w:p>
            <w:pPr>
              <w:spacing w:line="360" w:lineRule="auto"/>
              <w:jc w:val="center"/>
              <w:rPr>
                <w:rFonts w:ascii="仿宋" w:hAnsi="仿宋" w:eastAsia="仿宋" w:cs="Times New Roman"/>
                <w:sz w:val="24"/>
                <w:szCs w:val="24"/>
              </w:rPr>
            </w:pPr>
            <w:r>
              <w:rPr>
                <w:rFonts w:hint="eastAsia" w:ascii="仿宋" w:hAnsi="仿宋" w:eastAsia="仿宋" w:cs="仿宋"/>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010" w:type="dxa"/>
            <w:vAlign w:val="center"/>
          </w:tcPr>
          <w:p>
            <w:pPr>
              <w:spacing w:line="360" w:lineRule="auto"/>
              <w:jc w:val="center"/>
              <w:rPr>
                <w:rFonts w:ascii="仿宋" w:hAnsi="仿宋" w:eastAsia="仿宋" w:cs="Times New Roman"/>
                <w:sz w:val="24"/>
                <w:szCs w:val="24"/>
              </w:rPr>
            </w:pPr>
            <w:r>
              <w:rPr>
                <w:rFonts w:ascii="仿宋" w:hAnsi="仿宋" w:eastAsia="仿宋" w:cs="仿宋"/>
                <w:sz w:val="24"/>
                <w:szCs w:val="24"/>
              </w:rPr>
              <w:t>1</w:t>
            </w:r>
          </w:p>
        </w:tc>
        <w:tc>
          <w:tcPr>
            <w:tcW w:w="3246" w:type="dxa"/>
            <w:vAlign w:val="center"/>
          </w:tcPr>
          <w:p>
            <w:pPr>
              <w:spacing w:line="360" w:lineRule="auto"/>
              <w:jc w:val="center"/>
              <w:rPr>
                <w:rFonts w:ascii="仿宋" w:hAnsi="仿宋" w:eastAsia="仿宋" w:cs="Times New Roman"/>
                <w:sz w:val="24"/>
                <w:szCs w:val="24"/>
              </w:rPr>
            </w:pPr>
          </w:p>
        </w:tc>
        <w:tc>
          <w:tcPr>
            <w:tcW w:w="1443" w:type="dxa"/>
            <w:vAlign w:val="center"/>
          </w:tcPr>
          <w:p>
            <w:pPr>
              <w:spacing w:line="360" w:lineRule="auto"/>
              <w:jc w:val="center"/>
              <w:rPr>
                <w:rFonts w:ascii="仿宋" w:hAnsi="仿宋" w:eastAsia="仿宋" w:cs="Times New Roman"/>
                <w:sz w:val="24"/>
                <w:szCs w:val="24"/>
              </w:rPr>
            </w:pPr>
          </w:p>
        </w:tc>
        <w:tc>
          <w:tcPr>
            <w:tcW w:w="1441" w:type="dxa"/>
            <w:vAlign w:val="center"/>
          </w:tcPr>
          <w:p>
            <w:pPr>
              <w:spacing w:line="360" w:lineRule="auto"/>
              <w:jc w:val="center"/>
              <w:rPr>
                <w:rFonts w:ascii="仿宋" w:hAnsi="仿宋" w:eastAsia="仿宋" w:cs="Times New Roman"/>
                <w:sz w:val="24"/>
                <w:szCs w:val="24"/>
              </w:rPr>
            </w:pPr>
          </w:p>
        </w:tc>
        <w:tc>
          <w:tcPr>
            <w:tcW w:w="1441" w:type="dxa"/>
            <w:vAlign w:val="center"/>
          </w:tcPr>
          <w:p>
            <w:pPr>
              <w:spacing w:line="360" w:lineRule="auto"/>
              <w:jc w:val="center"/>
              <w:rPr>
                <w:rFonts w:ascii="仿宋" w:hAnsi="仿宋" w:eastAsia="仿宋" w:cs="Times New Roman"/>
                <w:sz w:val="24"/>
                <w:szCs w:val="24"/>
              </w:rPr>
            </w:pPr>
          </w:p>
        </w:tc>
        <w:tc>
          <w:tcPr>
            <w:tcW w:w="1984" w:type="dxa"/>
            <w:vAlign w:val="center"/>
          </w:tcPr>
          <w:p>
            <w:pPr>
              <w:spacing w:line="360" w:lineRule="auto"/>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010" w:type="dxa"/>
            <w:vAlign w:val="center"/>
          </w:tcPr>
          <w:p>
            <w:pPr>
              <w:spacing w:line="360" w:lineRule="auto"/>
              <w:jc w:val="center"/>
              <w:rPr>
                <w:rFonts w:ascii="仿宋" w:hAnsi="仿宋" w:eastAsia="仿宋" w:cs="Times New Roman"/>
                <w:sz w:val="24"/>
                <w:szCs w:val="24"/>
              </w:rPr>
            </w:pPr>
            <w:r>
              <w:rPr>
                <w:rFonts w:ascii="仿宋" w:hAnsi="仿宋" w:eastAsia="仿宋" w:cs="仿宋"/>
                <w:sz w:val="24"/>
                <w:szCs w:val="24"/>
              </w:rPr>
              <w:t>2</w:t>
            </w:r>
          </w:p>
        </w:tc>
        <w:tc>
          <w:tcPr>
            <w:tcW w:w="3246" w:type="dxa"/>
            <w:vAlign w:val="center"/>
          </w:tcPr>
          <w:p>
            <w:pPr>
              <w:spacing w:line="360" w:lineRule="auto"/>
              <w:jc w:val="center"/>
              <w:rPr>
                <w:rFonts w:ascii="仿宋" w:hAnsi="仿宋" w:eastAsia="仿宋" w:cs="Times New Roman"/>
                <w:sz w:val="24"/>
                <w:szCs w:val="24"/>
              </w:rPr>
            </w:pPr>
          </w:p>
        </w:tc>
        <w:tc>
          <w:tcPr>
            <w:tcW w:w="1443" w:type="dxa"/>
            <w:vAlign w:val="center"/>
          </w:tcPr>
          <w:p>
            <w:pPr>
              <w:spacing w:line="360" w:lineRule="auto"/>
              <w:jc w:val="center"/>
              <w:rPr>
                <w:rFonts w:ascii="仿宋" w:hAnsi="仿宋" w:eastAsia="仿宋" w:cs="Times New Roman"/>
                <w:sz w:val="24"/>
                <w:szCs w:val="24"/>
              </w:rPr>
            </w:pPr>
          </w:p>
        </w:tc>
        <w:tc>
          <w:tcPr>
            <w:tcW w:w="1441" w:type="dxa"/>
            <w:vAlign w:val="center"/>
          </w:tcPr>
          <w:p>
            <w:pPr>
              <w:spacing w:line="360" w:lineRule="auto"/>
              <w:jc w:val="center"/>
              <w:rPr>
                <w:rFonts w:ascii="仿宋" w:hAnsi="仿宋" w:eastAsia="仿宋" w:cs="Times New Roman"/>
                <w:sz w:val="24"/>
                <w:szCs w:val="24"/>
              </w:rPr>
            </w:pPr>
          </w:p>
        </w:tc>
        <w:tc>
          <w:tcPr>
            <w:tcW w:w="1441" w:type="dxa"/>
            <w:vAlign w:val="center"/>
          </w:tcPr>
          <w:p>
            <w:pPr>
              <w:spacing w:line="360" w:lineRule="auto"/>
              <w:jc w:val="center"/>
              <w:rPr>
                <w:rFonts w:ascii="仿宋" w:hAnsi="仿宋" w:eastAsia="仿宋" w:cs="Times New Roman"/>
                <w:sz w:val="24"/>
                <w:szCs w:val="24"/>
              </w:rPr>
            </w:pPr>
          </w:p>
        </w:tc>
        <w:tc>
          <w:tcPr>
            <w:tcW w:w="1984" w:type="dxa"/>
            <w:vAlign w:val="center"/>
          </w:tcPr>
          <w:p>
            <w:pPr>
              <w:spacing w:line="360" w:lineRule="auto"/>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010" w:type="dxa"/>
            <w:vAlign w:val="center"/>
          </w:tcPr>
          <w:p>
            <w:pPr>
              <w:spacing w:line="360" w:lineRule="auto"/>
              <w:jc w:val="center"/>
              <w:rPr>
                <w:rFonts w:ascii="仿宋" w:hAnsi="仿宋" w:eastAsia="仿宋" w:cs="Times New Roman"/>
                <w:sz w:val="24"/>
                <w:szCs w:val="24"/>
              </w:rPr>
            </w:pPr>
            <w:r>
              <w:rPr>
                <w:rFonts w:ascii="仿宋" w:hAnsi="仿宋" w:eastAsia="仿宋" w:cs="仿宋"/>
                <w:sz w:val="24"/>
                <w:szCs w:val="24"/>
              </w:rPr>
              <w:t>3</w:t>
            </w:r>
          </w:p>
        </w:tc>
        <w:tc>
          <w:tcPr>
            <w:tcW w:w="3246" w:type="dxa"/>
            <w:vAlign w:val="center"/>
          </w:tcPr>
          <w:p>
            <w:pPr>
              <w:spacing w:line="360" w:lineRule="auto"/>
              <w:jc w:val="center"/>
              <w:rPr>
                <w:rFonts w:ascii="仿宋" w:hAnsi="仿宋" w:eastAsia="仿宋" w:cs="Times New Roman"/>
                <w:sz w:val="24"/>
                <w:szCs w:val="24"/>
              </w:rPr>
            </w:pPr>
          </w:p>
        </w:tc>
        <w:tc>
          <w:tcPr>
            <w:tcW w:w="1443" w:type="dxa"/>
            <w:vAlign w:val="center"/>
          </w:tcPr>
          <w:p>
            <w:pPr>
              <w:spacing w:line="360" w:lineRule="auto"/>
              <w:jc w:val="center"/>
              <w:rPr>
                <w:rFonts w:ascii="仿宋" w:hAnsi="仿宋" w:eastAsia="仿宋" w:cs="Times New Roman"/>
                <w:sz w:val="24"/>
                <w:szCs w:val="24"/>
              </w:rPr>
            </w:pPr>
          </w:p>
        </w:tc>
        <w:tc>
          <w:tcPr>
            <w:tcW w:w="1441" w:type="dxa"/>
            <w:vAlign w:val="center"/>
          </w:tcPr>
          <w:p>
            <w:pPr>
              <w:spacing w:line="360" w:lineRule="auto"/>
              <w:jc w:val="center"/>
              <w:rPr>
                <w:rFonts w:ascii="仿宋" w:hAnsi="仿宋" w:eastAsia="仿宋" w:cs="Times New Roman"/>
                <w:sz w:val="24"/>
                <w:szCs w:val="24"/>
              </w:rPr>
            </w:pPr>
          </w:p>
        </w:tc>
        <w:tc>
          <w:tcPr>
            <w:tcW w:w="1441" w:type="dxa"/>
            <w:vAlign w:val="center"/>
          </w:tcPr>
          <w:p>
            <w:pPr>
              <w:spacing w:line="360" w:lineRule="auto"/>
              <w:jc w:val="center"/>
              <w:rPr>
                <w:rFonts w:ascii="仿宋" w:hAnsi="仿宋" w:eastAsia="仿宋" w:cs="Times New Roman"/>
                <w:sz w:val="24"/>
                <w:szCs w:val="24"/>
              </w:rPr>
            </w:pPr>
          </w:p>
        </w:tc>
        <w:tc>
          <w:tcPr>
            <w:tcW w:w="1984" w:type="dxa"/>
            <w:vAlign w:val="center"/>
          </w:tcPr>
          <w:p>
            <w:pPr>
              <w:spacing w:line="360" w:lineRule="auto"/>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010" w:type="dxa"/>
            <w:vAlign w:val="center"/>
          </w:tcPr>
          <w:p>
            <w:pPr>
              <w:spacing w:line="360" w:lineRule="auto"/>
              <w:jc w:val="center"/>
              <w:rPr>
                <w:rFonts w:ascii="仿宋" w:hAnsi="仿宋" w:eastAsia="仿宋" w:cs="Times New Roman"/>
                <w:sz w:val="24"/>
                <w:szCs w:val="24"/>
              </w:rPr>
            </w:pPr>
            <w:r>
              <w:rPr>
                <w:rFonts w:ascii="仿宋" w:hAnsi="仿宋" w:eastAsia="仿宋" w:cs="仿宋"/>
                <w:sz w:val="24"/>
                <w:szCs w:val="24"/>
              </w:rPr>
              <w:t>4</w:t>
            </w:r>
          </w:p>
        </w:tc>
        <w:tc>
          <w:tcPr>
            <w:tcW w:w="3246" w:type="dxa"/>
            <w:vAlign w:val="center"/>
          </w:tcPr>
          <w:p>
            <w:pPr>
              <w:spacing w:line="360" w:lineRule="auto"/>
              <w:jc w:val="center"/>
              <w:rPr>
                <w:rFonts w:ascii="仿宋" w:hAnsi="仿宋" w:eastAsia="仿宋" w:cs="Times New Roman"/>
                <w:sz w:val="24"/>
                <w:szCs w:val="24"/>
              </w:rPr>
            </w:pPr>
          </w:p>
        </w:tc>
        <w:tc>
          <w:tcPr>
            <w:tcW w:w="1443" w:type="dxa"/>
            <w:vAlign w:val="center"/>
          </w:tcPr>
          <w:p>
            <w:pPr>
              <w:spacing w:line="360" w:lineRule="auto"/>
              <w:jc w:val="center"/>
              <w:rPr>
                <w:rFonts w:ascii="仿宋" w:hAnsi="仿宋" w:eastAsia="仿宋" w:cs="Times New Roman"/>
                <w:sz w:val="24"/>
                <w:szCs w:val="24"/>
              </w:rPr>
            </w:pPr>
          </w:p>
        </w:tc>
        <w:tc>
          <w:tcPr>
            <w:tcW w:w="1441" w:type="dxa"/>
            <w:vAlign w:val="center"/>
          </w:tcPr>
          <w:p>
            <w:pPr>
              <w:spacing w:line="360" w:lineRule="auto"/>
              <w:jc w:val="center"/>
              <w:rPr>
                <w:rFonts w:ascii="仿宋" w:hAnsi="仿宋" w:eastAsia="仿宋" w:cs="Times New Roman"/>
                <w:sz w:val="24"/>
                <w:szCs w:val="24"/>
              </w:rPr>
            </w:pPr>
          </w:p>
        </w:tc>
        <w:tc>
          <w:tcPr>
            <w:tcW w:w="1441" w:type="dxa"/>
            <w:vAlign w:val="center"/>
          </w:tcPr>
          <w:p>
            <w:pPr>
              <w:spacing w:line="360" w:lineRule="auto"/>
              <w:jc w:val="center"/>
              <w:rPr>
                <w:rFonts w:ascii="仿宋" w:hAnsi="仿宋" w:eastAsia="仿宋" w:cs="Times New Roman"/>
                <w:sz w:val="24"/>
                <w:szCs w:val="24"/>
              </w:rPr>
            </w:pPr>
          </w:p>
        </w:tc>
        <w:tc>
          <w:tcPr>
            <w:tcW w:w="1984" w:type="dxa"/>
            <w:vAlign w:val="center"/>
          </w:tcPr>
          <w:p>
            <w:pPr>
              <w:spacing w:line="360" w:lineRule="auto"/>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1010" w:type="dxa"/>
            <w:vAlign w:val="center"/>
          </w:tcPr>
          <w:p>
            <w:pPr>
              <w:spacing w:line="360" w:lineRule="auto"/>
              <w:jc w:val="center"/>
              <w:rPr>
                <w:rFonts w:ascii="仿宋" w:hAnsi="仿宋" w:eastAsia="仿宋" w:cs="Times New Roman"/>
                <w:sz w:val="24"/>
                <w:szCs w:val="24"/>
              </w:rPr>
            </w:pPr>
            <w:r>
              <w:rPr>
                <w:rFonts w:ascii="仿宋" w:hAnsi="仿宋" w:eastAsia="仿宋" w:cs="仿宋"/>
                <w:sz w:val="24"/>
                <w:szCs w:val="24"/>
              </w:rPr>
              <w:t>5</w:t>
            </w:r>
          </w:p>
        </w:tc>
        <w:tc>
          <w:tcPr>
            <w:tcW w:w="3246" w:type="dxa"/>
            <w:vAlign w:val="center"/>
          </w:tcPr>
          <w:p>
            <w:pPr>
              <w:spacing w:line="360" w:lineRule="auto"/>
              <w:jc w:val="center"/>
              <w:rPr>
                <w:rFonts w:ascii="仿宋" w:hAnsi="仿宋" w:eastAsia="仿宋" w:cs="Times New Roman"/>
                <w:sz w:val="24"/>
                <w:szCs w:val="24"/>
              </w:rPr>
            </w:pPr>
          </w:p>
        </w:tc>
        <w:tc>
          <w:tcPr>
            <w:tcW w:w="1443" w:type="dxa"/>
            <w:vAlign w:val="center"/>
          </w:tcPr>
          <w:p>
            <w:pPr>
              <w:spacing w:line="360" w:lineRule="auto"/>
              <w:jc w:val="center"/>
              <w:rPr>
                <w:rFonts w:ascii="仿宋" w:hAnsi="仿宋" w:eastAsia="仿宋" w:cs="Times New Roman"/>
                <w:sz w:val="24"/>
                <w:szCs w:val="24"/>
              </w:rPr>
            </w:pPr>
          </w:p>
        </w:tc>
        <w:tc>
          <w:tcPr>
            <w:tcW w:w="1441" w:type="dxa"/>
            <w:vAlign w:val="center"/>
          </w:tcPr>
          <w:p>
            <w:pPr>
              <w:spacing w:line="360" w:lineRule="auto"/>
              <w:jc w:val="center"/>
              <w:rPr>
                <w:rFonts w:ascii="仿宋" w:hAnsi="仿宋" w:eastAsia="仿宋" w:cs="Times New Roman"/>
                <w:sz w:val="24"/>
                <w:szCs w:val="24"/>
              </w:rPr>
            </w:pPr>
          </w:p>
        </w:tc>
        <w:tc>
          <w:tcPr>
            <w:tcW w:w="1441" w:type="dxa"/>
            <w:vAlign w:val="center"/>
          </w:tcPr>
          <w:p>
            <w:pPr>
              <w:spacing w:line="360" w:lineRule="auto"/>
              <w:jc w:val="center"/>
              <w:rPr>
                <w:rFonts w:ascii="仿宋" w:hAnsi="仿宋" w:eastAsia="仿宋" w:cs="Times New Roman"/>
                <w:sz w:val="24"/>
                <w:szCs w:val="24"/>
              </w:rPr>
            </w:pPr>
          </w:p>
        </w:tc>
        <w:tc>
          <w:tcPr>
            <w:tcW w:w="1984" w:type="dxa"/>
            <w:vAlign w:val="center"/>
          </w:tcPr>
          <w:p>
            <w:pPr>
              <w:spacing w:line="360" w:lineRule="auto"/>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010" w:type="dxa"/>
            <w:vAlign w:val="center"/>
          </w:tcPr>
          <w:p>
            <w:pPr>
              <w:spacing w:line="360" w:lineRule="auto"/>
              <w:jc w:val="center"/>
              <w:rPr>
                <w:rFonts w:ascii="仿宋" w:hAnsi="仿宋" w:eastAsia="仿宋" w:cs="Times New Roman"/>
                <w:sz w:val="24"/>
                <w:szCs w:val="24"/>
              </w:rPr>
            </w:pPr>
            <w:r>
              <w:rPr>
                <w:rFonts w:ascii="仿宋" w:hAnsi="仿宋" w:eastAsia="仿宋" w:cs="仿宋"/>
                <w:sz w:val="24"/>
                <w:szCs w:val="24"/>
              </w:rPr>
              <w:t>6</w:t>
            </w:r>
          </w:p>
        </w:tc>
        <w:tc>
          <w:tcPr>
            <w:tcW w:w="3246" w:type="dxa"/>
            <w:vAlign w:val="center"/>
          </w:tcPr>
          <w:p>
            <w:pPr>
              <w:spacing w:line="360" w:lineRule="auto"/>
              <w:jc w:val="center"/>
              <w:rPr>
                <w:rFonts w:ascii="仿宋" w:hAnsi="仿宋" w:eastAsia="仿宋" w:cs="Times New Roman"/>
                <w:sz w:val="24"/>
                <w:szCs w:val="24"/>
              </w:rPr>
            </w:pPr>
          </w:p>
        </w:tc>
        <w:tc>
          <w:tcPr>
            <w:tcW w:w="1443" w:type="dxa"/>
            <w:vAlign w:val="center"/>
          </w:tcPr>
          <w:p>
            <w:pPr>
              <w:spacing w:line="360" w:lineRule="auto"/>
              <w:jc w:val="center"/>
              <w:rPr>
                <w:rFonts w:ascii="仿宋" w:hAnsi="仿宋" w:eastAsia="仿宋" w:cs="Times New Roman"/>
                <w:sz w:val="24"/>
                <w:szCs w:val="24"/>
              </w:rPr>
            </w:pPr>
          </w:p>
        </w:tc>
        <w:tc>
          <w:tcPr>
            <w:tcW w:w="1441" w:type="dxa"/>
            <w:vAlign w:val="center"/>
          </w:tcPr>
          <w:p>
            <w:pPr>
              <w:spacing w:line="360" w:lineRule="auto"/>
              <w:jc w:val="center"/>
              <w:rPr>
                <w:rFonts w:ascii="仿宋" w:hAnsi="仿宋" w:eastAsia="仿宋" w:cs="Times New Roman"/>
                <w:sz w:val="24"/>
                <w:szCs w:val="24"/>
              </w:rPr>
            </w:pPr>
          </w:p>
        </w:tc>
        <w:tc>
          <w:tcPr>
            <w:tcW w:w="1441" w:type="dxa"/>
            <w:vAlign w:val="center"/>
          </w:tcPr>
          <w:p>
            <w:pPr>
              <w:spacing w:line="360" w:lineRule="auto"/>
              <w:jc w:val="center"/>
              <w:rPr>
                <w:rFonts w:ascii="仿宋" w:hAnsi="仿宋" w:eastAsia="仿宋" w:cs="Times New Roman"/>
                <w:sz w:val="24"/>
                <w:szCs w:val="24"/>
              </w:rPr>
            </w:pPr>
          </w:p>
        </w:tc>
        <w:tc>
          <w:tcPr>
            <w:tcW w:w="1984" w:type="dxa"/>
            <w:vAlign w:val="center"/>
          </w:tcPr>
          <w:p>
            <w:pPr>
              <w:spacing w:line="360" w:lineRule="auto"/>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010" w:type="dxa"/>
            <w:vAlign w:val="center"/>
          </w:tcPr>
          <w:p>
            <w:pPr>
              <w:spacing w:line="360" w:lineRule="auto"/>
              <w:jc w:val="center"/>
              <w:rPr>
                <w:rFonts w:ascii="仿宋" w:hAnsi="仿宋" w:eastAsia="仿宋" w:cs="Times New Roman"/>
                <w:sz w:val="24"/>
                <w:szCs w:val="24"/>
              </w:rPr>
            </w:pPr>
            <w:r>
              <w:rPr>
                <w:rFonts w:ascii="仿宋" w:hAnsi="仿宋" w:eastAsia="仿宋" w:cs="仿宋"/>
                <w:sz w:val="24"/>
                <w:szCs w:val="24"/>
              </w:rPr>
              <w:t>7</w:t>
            </w:r>
          </w:p>
        </w:tc>
        <w:tc>
          <w:tcPr>
            <w:tcW w:w="3246" w:type="dxa"/>
            <w:vAlign w:val="center"/>
          </w:tcPr>
          <w:p>
            <w:pPr>
              <w:spacing w:line="360" w:lineRule="auto"/>
              <w:jc w:val="center"/>
              <w:rPr>
                <w:rFonts w:ascii="仿宋" w:hAnsi="仿宋" w:eastAsia="仿宋" w:cs="Times New Roman"/>
                <w:sz w:val="24"/>
                <w:szCs w:val="24"/>
              </w:rPr>
            </w:pPr>
          </w:p>
        </w:tc>
        <w:tc>
          <w:tcPr>
            <w:tcW w:w="1443" w:type="dxa"/>
            <w:vAlign w:val="center"/>
          </w:tcPr>
          <w:p>
            <w:pPr>
              <w:spacing w:line="360" w:lineRule="auto"/>
              <w:jc w:val="center"/>
              <w:rPr>
                <w:rFonts w:ascii="仿宋" w:hAnsi="仿宋" w:eastAsia="仿宋" w:cs="Times New Roman"/>
                <w:sz w:val="24"/>
                <w:szCs w:val="24"/>
              </w:rPr>
            </w:pPr>
          </w:p>
        </w:tc>
        <w:tc>
          <w:tcPr>
            <w:tcW w:w="1441" w:type="dxa"/>
            <w:vAlign w:val="center"/>
          </w:tcPr>
          <w:p>
            <w:pPr>
              <w:spacing w:line="360" w:lineRule="auto"/>
              <w:jc w:val="center"/>
              <w:rPr>
                <w:rFonts w:ascii="仿宋" w:hAnsi="仿宋" w:eastAsia="仿宋" w:cs="Times New Roman"/>
                <w:sz w:val="24"/>
                <w:szCs w:val="24"/>
              </w:rPr>
            </w:pPr>
          </w:p>
        </w:tc>
        <w:tc>
          <w:tcPr>
            <w:tcW w:w="1441" w:type="dxa"/>
            <w:vAlign w:val="center"/>
          </w:tcPr>
          <w:p>
            <w:pPr>
              <w:spacing w:line="360" w:lineRule="auto"/>
              <w:jc w:val="center"/>
              <w:rPr>
                <w:rFonts w:ascii="仿宋" w:hAnsi="仿宋" w:eastAsia="仿宋" w:cs="Times New Roman"/>
                <w:sz w:val="24"/>
                <w:szCs w:val="24"/>
              </w:rPr>
            </w:pPr>
          </w:p>
        </w:tc>
        <w:tc>
          <w:tcPr>
            <w:tcW w:w="1984" w:type="dxa"/>
            <w:vAlign w:val="center"/>
          </w:tcPr>
          <w:p>
            <w:pPr>
              <w:spacing w:line="360" w:lineRule="auto"/>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010" w:type="dxa"/>
            <w:vAlign w:val="center"/>
          </w:tcPr>
          <w:p>
            <w:pPr>
              <w:spacing w:line="360" w:lineRule="auto"/>
              <w:jc w:val="center"/>
              <w:rPr>
                <w:rFonts w:ascii="仿宋" w:hAnsi="仿宋" w:eastAsia="仿宋" w:cs="Times New Roman"/>
                <w:sz w:val="24"/>
                <w:szCs w:val="24"/>
              </w:rPr>
            </w:pPr>
            <w:r>
              <w:rPr>
                <w:rFonts w:ascii="仿宋" w:hAnsi="仿宋" w:eastAsia="仿宋" w:cs="仿宋"/>
                <w:sz w:val="24"/>
                <w:szCs w:val="24"/>
              </w:rPr>
              <w:t>8</w:t>
            </w:r>
          </w:p>
        </w:tc>
        <w:tc>
          <w:tcPr>
            <w:tcW w:w="3246" w:type="dxa"/>
            <w:vAlign w:val="center"/>
          </w:tcPr>
          <w:p>
            <w:pPr>
              <w:spacing w:line="360" w:lineRule="auto"/>
              <w:jc w:val="center"/>
              <w:rPr>
                <w:rFonts w:ascii="仿宋" w:hAnsi="仿宋" w:eastAsia="仿宋" w:cs="Times New Roman"/>
                <w:sz w:val="24"/>
                <w:szCs w:val="24"/>
              </w:rPr>
            </w:pPr>
          </w:p>
        </w:tc>
        <w:tc>
          <w:tcPr>
            <w:tcW w:w="1443" w:type="dxa"/>
            <w:vAlign w:val="center"/>
          </w:tcPr>
          <w:p>
            <w:pPr>
              <w:spacing w:line="360" w:lineRule="auto"/>
              <w:jc w:val="center"/>
              <w:rPr>
                <w:rFonts w:ascii="仿宋" w:hAnsi="仿宋" w:eastAsia="仿宋" w:cs="Times New Roman"/>
                <w:sz w:val="24"/>
                <w:szCs w:val="24"/>
              </w:rPr>
            </w:pPr>
          </w:p>
        </w:tc>
        <w:tc>
          <w:tcPr>
            <w:tcW w:w="1441" w:type="dxa"/>
            <w:vAlign w:val="center"/>
          </w:tcPr>
          <w:p>
            <w:pPr>
              <w:spacing w:line="360" w:lineRule="auto"/>
              <w:jc w:val="center"/>
              <w:rPr>
                <w:rFonts w:ascii="仿宋" w:hAnsi="仿宋" w:eastAsia="仿宋" w:cs="Times New Roman"/>
                <w:sz w:val="24"/>
                <w:szCs w:val="24"/>
              </w:rPr>
            </w:pPr>
          </w:p>
        </w:tc>
        <w:tc>
          <w:tcPr>
            <w:tcW w:w="1441" w:type="dxa"/>
            <w:vAlign w:val="center"/>
          </w:tcPr>
          <w:p>
            <w:pPr>
              <w:spacing w:line="360" w:lineRule="auto"/>
              <w:jc w:val="center"/>
              <w:rPr>
                <w:rFonts w:ascii="仿宋" w:hAnsi="仿宋" w:eastAsia="仿宋" w:cs="Times New Roman"/>
                <w:sz w:val="24"/>
                <w:szCs w:val="24"/>
              </w:rPr>
            </w:pPr>
          </w:p>
        </w:tc>
        <w:tc>
          <w:tcPr>
            <w:tcW w:w="1984" w:type="dxa"/>
            <w:vAlign w:val="center"/>
          </w:tcPr>
          <w:p>
            <w:pPr>
              <w:spacing w:line="360" w:lineRule="auto"/>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010" w:type="dxa"/>
            <w:vAlign w:val="center"/>
          </w:tcPr>
          <w:p>
            <w:pPr>
              <w:spacing w:line="360" w:lineRule="auto"/>
              <w:jc w:val="center"/>
              <w:rPr>
                <w:rFonts w:ascii="仿宋" w:hAnsi="仿宋" w:eastAsia="仿宋" w:cs="Times New Roman"/>
                <w:sz w:val="24"/>
                <w:szCs w:val="24"/>
              </w:rPr>
            </w:pPr>
            <w:r>
              <w:rPr>
                <w:rFonts w:ascii="仿宋" w:hAnsi="仿宋" w:eastAsia="仿宋" w:cs="仿宋"/>
                <w:sz w:val="24"/>
                <w:szCs w:val="24"/>
              </w:rPr>
              <w:t>9</w:t>
            </w:r>
          </w:p>
        </w:tc>
        <w:tc>
          <w:tcPr>
            <w:tcW w:w="3246" w:type="dxa"/>
            <w:vAlign w:val="center"/>
          </w:tcPr>
          <w:p>
            <w:pPr>
              <w:spacing w:line="360" w:lineRule="auto"/>
              <w:jc w:val="center"/>
              <w:rPr>
                <w:rFonts w:ascii="仿宋" w:hAnsi="仿宋" w:eastAsia="仿宋" w:cs="Times New Roman"/>
                <w:sz w:val="24"/>
                <w:szCs w:val="24"/>
              </w:rPr>
            </w:pPr>
          </w:p>
        </w:tc>
        <w:tc>
          <w:tcPr>
            <w:tcW w:w="1443" w:type="dxa"/>
            <w:vAlign w:val="center"/>
          </w:tcPr>
          <w:p>
            <w:pPr>
              <w:spacing w:line="360" w:lineRule="auto"/>
              <w:jc w:val="center"/>
              <w:rPr>
                <w:rFonts w:ascii="仿宋" w:hAnsi="仿宋" w:eastAsia="仿宋" w:cs="Times New Roman"/>
                <w:sz w:val="24"/>
                <w:szCs w:val="24"/>
              </w:rPr>
            </w:pPr>
          </w:p>
        </w:tc>
        <w:tc>
          <w:tcPr>
            <w:tcW w:w="1441" w:type="dxa"/>
            <w:vAlign w:val="center"/>
          </w:tcPr>
          <w:p>
            <w:pPr>
              <w:spacing w:line="360" w:lineRule="auto"/>
              <w:jc w:val="center"/>
              <w:rPr>
                <w:rFonts w:ascii="仿宋" w:hAnsi="仿宋" w:eastAsia="仿宋" w:cs="Times New Roman"/>
                <w:sz w:val="24"/>
                <w:szCs w:val="24"/>
              </w:rPr>
            </w:pPr>
          </w:p>
        </w:tc>
        <w:tc>
          <w:tcPr>
            <w:tcW w:w="1441" w:type="dxa"/>
            <w:vAlign w:val="center"/>
          </w:tcPr>
          <w:p>
            <w:pPr>
              <w:spacing w:line="360" w:lineRule="auto"/>
              <w:jc w:val="center"/>
              <w:rPr>
                <w:rFonts w:ascii="仿宋" w:hAnsi="仿宋" w:eastAsia="仿宋" w:cs="Times New Roman"/>
                <w:sz w:val="24"/>
                <w:szCs w:val="24"/>
              </w:rPr>
            </w:pPr>
          </w:p>
        </w:tc>
        <w:tc>
          <w:tcPr>
            <w:tcW w:w="1984" w:type="dxa"/>
            <w:vAlign w:val="center"/>
          </w:tcPr>
          <w:p>
            <w:pPr>
              <w:spacing w:line="360" w:lineRule="auto"/>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010" w:type="dxa"/>
            <w:vAlign w:val="center"/>
          </w:tcPr>
          <w:p>
            <w:pPr>
              <w:spacing w:line="360" w:lineRule="auto"/>
              <w:jc w:val="center"/>
              <w:rPr>
                <w:rFonts w:ascii="仿宋" w:hAnsi="仿宋" w:eastAsia="仿宋" w:cs="Times New Roman"/>
                <w:sz w:val="24"/>
                <w:szCs w:val="24"/>
              </w:rPr>
            </w:pPr>
            <w:r>
              <w:rPr>
                <w:rFonts w:ascii="仿宋" w:hAnsi="仿宋" w:eastAsia="仿宋" w:cs="仿宋"/>
                <w:sz w:val="24"/>
                <w:szCs w:val="24"/>
              </w:rPr>
              <w:t>10</w:t>
            </w:r>
          </w:p>
        </w:tc>
        <w:tc>
          <w:tcPr>
            <w:tcW w:w="3246" w:type="dxa"/>
            <w:vAlign w:val="center"/>
          </w:tcPr>
          <w:p>
            <w:pPr>
              <w:spacing w:line="360" w:lineRule="auto"/>
              <w:jc w:val="center"/>
              <w:rPr>
                <w:rFonts w:ascii="仿宋" w:hAnsi="仿宋" w:eastAsia="仿宋" w:cs="Times New Roman"/>
                <w:sz w:val="24"/>
                <w:szCs w:val="24"/>
              </w:rPr>
            </w:pPr>
          </w:p>
        </w:tc>
        <w:tc>
          <w:tcPr>
            <w:tcW w:w="1443" w:type="dxa"/>
            <w:vAlign w:val="center"/>
          </w:tcPr>
          <w:p>
            <w:pPr>
              <w:spacing w:line="360" w:lineRule="auto"/>
              <w:jc w:val="center"/>
              <w:rPr>
                <w:rFonts w:ascii="仿宋" w:hAnsi="仿宋" w:eastAsia="仿宋" w:cs="Times New Roman"/>
                <w:sz w:val="24"/>
                <w:szCs w:val="24"/>
              </w:rPr>
            </w:pPr>
          </w:p>
        </w:tc>
        <w:tc>
          <w:tcPr>
            <w:tcW w:w="1441" w:type="dxa"/>
            <w:vAlign w:val="center"/>
          </w:tcPr>
          <w:p>
            <w:pPr>
              <w:spacing w:line="360" w:lineRule="auto"/>
              <w:jc w:val="center"/>
              <w:rPr>
                <w:rFonts w:ascii="仿宋" w:hAnsi="仿宋" w:eastAsia="仿宋" w:cs="Times New Roman"/>
                <w:sz w:val="24"/>
                <w:szCs w:val="24"/>
              </w:rPr>
            </w:pPr>
          </w:p>
        </w:tc>
        <w:tc>
          <w:tcPr>
            <w:tcW w:w="1441" w:type="dxa"/>
            <w:vAlign w:val="center"/>
          </w:tcPr>
          <w:p>
            <w:pPr>
              <w:spacing w:line="360" w:lineRule="auto"/>
              <w:jc w:val="center"/>
              <w:rPr>
                <w:rFonts w:ascii="仿宋" w:hAnsi="仿宋" w:eastAsia="仿宋" w:cs="Times New Roman"/>
                <w:sz w:val="24"/>
                <w:szCs w:val="24"/>
              </w:rPr>
            </w:pPr>
          </w:p>
        </w:tc>
        <w:tc>
          <w:tcPr>
            <w:tcW w:w="1984" w:type="dxa"/>
            <w:vAlign w:val="center"/>
          </w:tcPr>
          <w:p>
            <w:pPr>
              <w:spacing w:line="360" w:lineRule="auto"/>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010" w:type="dxa"/>
            <w:vAlign w:val="center"/>
          </w:tcPr>
          <w:p>
            <w:pPr>
              <w:spacing w:line="360" w:lineRule="auto"/>
              <w:jc w:val="center"/>
              <w:rPr>
                <w:rFonts w:ascii="仿宋" w:hAnsi="仿宋" w:eastAsia="仿宋" w:cs="Times New Roman"/>
                <w:sz w:val="24"/>
                <w:szCs w:val="24"/>
              </w:rPr>
            </w:pPr>
            <w:r>
              <w:rPr>
                <w:rFonts w:ascii="仿宋" w:hAnsi="仿宋" w:eastAsia="仿宋" w:cs="仿宋"/>
                <w:sz w:val="24"/>
                <w:szCs w:val="24"/>
              </w:rPr>
              <w:t>11</w:t>
            </w:r>
          </w:p>
        </w:tc>
        <w:tc>
          <w:tcPr>
            <w:tcW w:w="3246" w:type="dxa"/>
            <w:vAlign w:val="center"/>
          </w:tcPr>
          <w:p>
            <w:pPr>
              <w:spacing w:line="360" w:lineRule="auto"/>
              <w:jc w:val="center"/>
              <w:rPr>
                <w:rFonts w:ascii="仿宋" w:hAnsi="仿宋" w:eastAsia="仿宋" w:cs="Times New Roman"/>
                <w:sz w:val="24"/>
                <w:szCs w:val="24"/>
              </w:rPr>
            </w:pPr>
          </w:p>
        </w:tc>
        <w:tc>
          <w:tcPr>
            <w:tcW w:w="1443" w:type="dxa"/>
            <w:vAlign w:val="center"/>
          </w:tcPr>
          <w:p>
            <w:pPr>
              <w:spacing w:line="360" w:lineRule="auto"/>
              <w:jc w:val="center"/>
              <w:rPr>
                <w:rFonts w:ascii="仿宋" w:hAnsi="仿宋" w:eastAsia="仿宋" w:cs="Times New Roman"/>
                <w:sz w:val="24"/>
                <w:szCs w:val="24"/>
              </w:rPr>
            </w:pPr>
          </w:p>
        </w:tc>
        <w:tc>
          <w:tcPr>
            <w:tcW w:w="1441" w:type="dxa"/>
            <w:vAlign w:val="center"/>
          </w:tcPr>
          <w:p>
            <w:pPr>
              <w:spacing w:line="360" w:lineRule="auto"/>
              <w:jc w:val="center"/>
              <w:rPr>
                <w:rFonts w:ascii="仿宋" w:hAnsi="仿宋" w:eastAsia="仿宋" w:cs="Times New Roman"/>
                <w:sz w:val="24"/>
                <w:szCs w:val="24"/>
              </w:rPr>
            </w:pPr>
          </w:p>
        </w:tc>
        <w:tc>
          <w:tcPr>
            <w:tcW w:w="1441" w:type="dxa"/>
            <w:vAlign w:val="center"/>
          </w:tcPr>
          <w:p>
            <w:pPr>
              <w:spacing w:line="360" w:lineRule="auto"/>
              <w:jc w:val="center"/>
              <w:rPr>
                <w:rFonts w:ascii="仿宋" w:hAnsi="仿宋" w:eastAsia="仿宋" w:cs="Times New Roman"/>
                <w:sz w:val="24"/>
                <w:szCs w:val="24"/>
              </w:rPr>
            </w:pPr>
          </w:p>
        </w:tc>
        <w:tc>
          <w:tcPr>
            <w:tcW w:w="1984" w:type="dxa"/>
            <w:vAlign w:val="center"/>
          </w:tcPr>
          <w:p>
            <w:pPr>
              <w:spacing w:line="360" w:lineRule="auto"/>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5699" w:type="dxa"/>
            <w:gridSpan w:val="3"/>
            <w:vAlign w:val="center"/>
          </w:tcPr>
          <w:p>
            <w:pPr>
              <w:spacing w:line="360" w:lineRule="auto"/>
              <w:jc w:val="center"/>
              <w:rPr>
                <w:rFonts w:ascii="仿宋" w:hAnsi="仿宋" w:eastAsia="仿宋" w:cs="Times New Roman"/>
                <w:sz w:val="24"/>
                <w:szCs w:val="24"/>
              </w:rPr>
            </w:pPr>
            <w:r>
              <w:rPr>
                <w:rFonts w:hint="eastAsia" w:ascii="仿宋" w:hAnsi="仿宋" w:eastAsia="仿宋" w:cs="仿宋"/>
                <w:sz w:val="24"/>
                <w:szCs w:val="24"/>
              </w:rPr>
              <w:t>合</w:t>
            </w:r>
            <w:r>
              <w:rPr>
                <w:rFonts w:ascii="仿宋" w:hAnsi="仿宋" w:eastAsia="仿宋" w:cs="仿宋"/>
                <w:sz w:val="24"/>
                <w:szCs w:val="24"/>
              </w:rPr>
              <w:t xml:space="preserve">  </w:t>
            </w:r>
            <w:r>
              <w:rPr>
                <w:rFonts w:hint="eastAsia" w:ascii="仿宋" w:hAnsi="仿宋" w:eastAsia="仿宋" w:cs="仿宋"/>
                <w:sz w:val="24"/>
                <w:szCs w:val="24"/>
              </w:rPr>
              <w:t>计</w:t>
            </w:r>
          </w:p>
        </w:tc>
        <w:tc>
          <w:tcPr>
            <w:tcW w:w="1441" w:type="dxa"/>
            <w:vAlign w:val="center"/>
          </w:tcPr>
          <w:p>
            <w:pPr>
              <w:spacing w:line="360" w:lineRule="auto"/>
              <w:jc w:val="center"/>
              <w:rPr>
                <w:rFonts w:ascii="仿宋" w:hAnsi="仿宋" w:eastAsia="仿宋" w:cs="Times New Roman"/>
                <w:sz w:val="24"/>
                <w:szCs w:val="24"/>
              </w:rPr>
            </w:pPr>
          </w:p>
        </w:tc>
        <w:tc>
          <w:tcPr>
            <w:tcW w:w="1441" w:type="dxa"/>
            <w:vAlign w:val="center"/>
          </w:tcPr>
          <w:p>
            <w:pPr>
              <w:spacing w:line="360" w:lineRule="auto"/>
              <w:jc w:val="center"/>
              <w:rPr>
                <w:rFonts w:ascii="仿宋" w:hAnsi="仿宋" w:eastAsia="仿宋" w:cs="Times New Roman"/>
                <w:sz w:val="24"/>
                <w:szCs w:val="24"/>
              </w:rPr>
            </w:pPr>
          </w:p>
        </w:tc>
        <w:tc>
          <w:tcPr>
            <w:tcW w:w="1984" w:type="dxa"/>
            <w:vAlign w:val="center"/>
          </w:tcPr>
          <w:p>
            <w:pPr>
              <w:spacing w:line="360" w:lineRule="auto"/>
              <w:jc w:val="center"/>
              <w:rPr>
                <w:rFonts w:ascii="仿宋" w:hAnsi="仿宋" w:eastAsia="仿宋" w:cs="Times New Roman"/>
                <w:sz w:val="24"/>
                <w:szCs w:val="24"/>
              </w:rPr>
            </w:pPr>
          </w:p>
        </w:tc>
      </w:tr>
    </w:tbl>
    <w:p>
      <w:pPr>
        <w:spacing w:line="360" w:lineRule="auto"/>
        <w:rPr>
          <w:rFonts w:ascii="仿宋" w:hAnsi="仿宋" w:eastAsia="仿宋" w:cs="Times New Roman"/>
          <w:sz w:val="24"/>
          <w:szCs w:val="24"/>
        </w:rPr>
      </w:pPr>
      <w:r>
        <w:rPr>
          <w:rFonts w:hint="eastAsia" w:ascii="仿宋" w:hAnsi="仿宋" w:eastAsia="仿宋" w:cs="仿宋"/>
          <w:sz w:val="24"/>
          <w:szCs w:val="24"/>
        </w:rPr>
        <w:t>说明：</w:t>
      </w:r>
      <w:r>
        <w:rPr>
          <w:rFonts w:ascii="仿宋" w:hAnsi="仿宋" w:eastAsia="仿宋" w:cs="仿宋"/>
          <w:sz w:val="24"/>
          <w:szCs w:val="24"/>
        </w:rPr>
        <w:t>1.</w:t>
      </w:r>
      <w:r>
        <w:rPr>
          <w:rFonts w:hint="eastAsia" w:ascii="仿宋" w:hAnsi="仿宋" w:eastAsia="仿宋" w:cs="仿宋"/>
          <w:sz w:val="24"/>
          <w:szCs w:val="24"/>
        </w:rPr>
        <w:t>本表由承包人填制，承包人应按照合同约定填报项目名称、实际金额，提交造价工程核实并由其报发包人确认后，列入合同价款内。</w:t>
      </w:r>
    </w:p>
    <w:p>
      <w:pPr>
        <w:spacing w:line="360" w:lineRule="auto"/>
        <w:ind w:firstLine="720" w:firstLineChars="300"/>
        <w:rPr>
          <w:rFonts w:ascii="仿宋" w:hAnsi="仿宋" w:eastAsia="仿宋" w:cs="仿宋"/>
          <w:b/>
          <w:bCs/>
          <w:color w:val="000000"/>
          <w:kern w:val="0"/>
          <w:sz w:val="24"/>
          <w:szCs w:val="24"/>
        </w:rPr>
      </w:pPr>
      <w:r>
        <w:rPr>
          <w:rFonts w:ascii="仿宋" w:hAnsi="仿宋" w:eastAsia="仿宋" w:cs="仿宋"/>
          <w:sz w:val="24"/>
          <w:szCs w:val="24"/>
        </w:rPr>
        <w:t>2.</w:t>
      </w:r>
      <w:r>
        <w:rPr>
          <w:rFonts w:hint="eastAsia" w:ascii="仿宋" w:hAnsi="仿宋" w:eastAsia="仿宋" w:cs="仿宋"/>
          <w:sz w:val="24"/>
          <w:szCs w:val="24"/>
        </w:rPr>
        <w:t>本表一式四份，发包人、监理人、工程造价咨询人（如有）、承包人各存一份。</w:t>
      </w:r>
      <w:r>
        <w:rPr>
          <w:rFonts w:ascii="仿宋" w:hAnsi="仿宋" w:eastAsia="仿宋" w:cs="Times New Roman"/>
          <w:sz w:val="24"/>
          <w:szCs w:val="24"/>
        </w:rPr>
        <w:br w:type="page"/>
      </w:r>
      <w:bookmarkStart w:id="791" w:name="_Toc266892946"/>
      <w:r>
        <w:rPr>
          <w:rFonts w:hint="eastAsia" w:ascii="仿宋" w:hAnsi="仿宋" w:eastAsia="仿宋" w:cs="仿宋"/>
          <w:b/>
          <w:bCs/>
          <w:color w:val="000000"/>
          <w:kern w:val="0"/>
          <w:sz w:val="24"/>
          <w:szCs w:val="24"/>
        </w:rPr>
        <w:t>格式</w:t>
      </w:r>
      <w:r>
        <w:rPr>
          <w:rFonts w:ascii="仿宋" w:hAnsi="仿宋" w:eastAsia="仿宋" w:cs="仿宋"/>
          <w:b/>
          <w:bCs/>
          <w:color w:val="000000"/>
          <w:kern w:val="0"/>
          <w:sz w:val="24"/>
          <w:szCs w:val="24"/>
        </w:rPr>
        <w:t>20</w:t>
      </w:r>
      <w:bookmarkEnd w:id="791"/>
    </w:p>
    <w:p>
      <w:pPr>
        <w:spacing w:line="360" w:lineRule="auto"/>
        <w:jc w:val="center"/>
        <w:rPr>
          <w:rFonts w:ascii="仿宋" w:hAnsi="仿宋" w:eastAsia="仿宋" w:cs="Times New Roman"/>
          <w:b/>
          <w:bCs/>
          <w:spacing w:val="30"/>
          <w:sz w:val="44"/>
          <w:szCs w:val="44"/>
        </w:rPr>
      </w:pPr>
      <w:r>
        <w:rPr>
          <w:rFonts w:hint="eastAsia" w:ascii="仿宋" w:hAnsi="仿宋" w:eastAsia="仿宋" w:cs="仿宋"/>
          <w:b/>
          <w:bCs/>
          <w:spacing w:val="30"/>
          <w:sz w:val="44"/>
          <w:szCs w:val="44"/>
        </w:rPr>
        <w:t>计日工记录</w:t>
      </w:r>
    </w:p>
    <w:p>
      <w:pPr>
        <w:spacing w:line="360" w:lineRule="auto"/>
        <w:rPr>
          <w:rFonts w:ascii="仿宋" w:hAnsi="仿宋" w:eastAsia="仿宋" w:cs="Times New Roman"/>
          <w:sz w:val="24"/>
          <w:szCs w:val="24"/>
        </w:rPr>
      </w:pPr>
      <w:r>
        <w:rPr>
          <w:rFonts w:hint="eastAsia" w:ascii="仿宋" w:hAnsi="仿宋" w:eastAsia="仿宋" w:cs="仿宋"/>
          <w:sz w:val="24"/>
          <w:szCs w:val="24"/>
        </w:rPr>
        <w:t>工程名称</w:t>
      </w:r>
      <w:r>
        <w:rPr>
          <w:rFonts w:ascii="仿宋" w:hAnsi="仿宋" w:eastAsia="仿宋" w:cs="仿宋"/>
          <w:sz w:val="24"/>
          <w:szCs w:val="24"/>
        </w:rPr>
        <w:t>:</w:t>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编号</w:t>
      </w:r>
      <w:r>
        <w:rPr>
          <w:rFonts w:ascii="仿宋" w:hAnsi="仿宋" w:eastAsia="仿宋" w:cs="仿宋"/>
          <w:sz w:val="24"/>
          <w:szCs w:val="24"/>
        </w:rPr>
        <w:t>:</w:t>
      </w:r>
    </w:p>
    <w:tbl>
      <w:tblPr>
        <w:tblStyle w:val="40"/>
        <w:tblW w:w="1032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6"/>
        <w:gridCol w:w="3050"/>
        <w:gridCol w:w="1262"/>
        <w:gridCol w:w="1262"/>
        <w:gridCol w:w="1263"/>
        <w:gridCol w:w="1262"/>
        <w:gridCol w:w="1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vAlign w:val="center"/>
          </w:tcPr>
          <w:p>
            <w:pPr>
              <w:spacing w:line="360" w:lineRule="auto"/>
              <w:jc w:val="center"/>
              <w:rPr>
                <w:rFonts w:ascii="仿宋" w:hAnsi="仿宋" w:eastAsia="仿宋" w:cs="Times New Roman"/>
                <w:sz w:val="24"/>
                <w:szCs w:val="24"/>
              </w:rPr>
            </w:pPr>
            <w:r>
              <w:rPr>
                <w:rFonts w:hint="eastAsia" w:ascii="仿宋" w:hAnsi="仿宋" w:eastAsia="仿宋" w:cs="仿宋"/>
                <w:sz w:val="24"/>
                <w:szCs w:val="24"/>
              </w:rPr>
              <w:t>编号</w:t>
            </w:r>
          </w:p>
        </w:tc>
        <w:tc>
          <w:tcPr>
            <w:tcW w:w="3050" w:type="dxa"/>
            <w:vAlign w:val="center"/>
          </w:tcPr>
          <w:p>
            <w:pPr>
              <w:spacing w:line="360" w:lineRule="auto"/>
              <w:jc w:val="center"/>
              <w:rPr>
                <w:rFonts w:ascii="仿宋" w:hAnsi="仿宋" w:eastAsia="仿宋" w:cs="Times New Roman"/>
                <w:sz w:val="24"/>
                <w:szCs w:val="24"/>
              </w:rPr>
            </w:pPr>
            <w:r>
              <w:rPr>
                <w:rFonts w:hint="eastAsia" w:ascii="仿宋" w:hAnsi="仿宋" w:eastAsia="仿宋" w:cs="仿宋"/>
                <w:sz w:val="24"/>
                <w:szCs w:val="24"/>
              </w:rPr>
              <w:t>项目名称</w:t>
            </w:r>
          </w:p>
        </w:tc>
        <w:tc>
          <w:tcPr>
            <w:tcW w:w="1262" w:type="dxa"/>
            <w:vAlign w:val="center"/>
          </w:tcPr>
          <w:p>
            <w:pPr>
              <w:spacing w:line="360" w:lineRule="auto"/>
              <w:jc w:val="center"/>
              <w:rPr>
                <w:rFonts w:ascii="仿宋" w:hAnsi="仿宋" w:eastAsia="仿宋" w:cs="Times New Roman"/>
                <w:sz w:val="24"/>
                <w:szCs w:val="24"/>
              </w:rPr>
            </w:pPr>
            <w:r>
              <w:rPr>
                <w:rFonts w:hint="eastAsia" w:ascii="仿宋" w:hAnsi="仿宋" w:eastAsia="仿宋" w:cs="仿宋"/>
                <w:sz w:val="24"/>
                <w:szCs w:val="24"/>
              </w:rPr>
              <w:t>单位</w:t>
            </w:r>
          </w:p>
        </w:tc>
        <w:tc>
          <w:tcPr>
            <w:tcW w:w="1262" w:type="dxa"/>
            <w:vAlign w:val="center"/>
          </w:tcPr>
          <w:p>
            <w:pPr>
              <w:spacing w:line="360" w:lineRule="auto"/>
              <w:jc w:val="center"/>
              <w:rPr>
                <w:rFonts w:ascii="仿宋" w:hAnsi="仿宋" w:eastAsia="仿宋" w:cs="Times New Roman"/>
                <w:sz w:val="24"/>
                <w:szCs w:val="24"/>
              </w:rPr>
            </w:pPr>
            <w:r>
              <w:rPr>
                <w:rFonts w:hint="eastAsia" w:ascii="仿宋" w:hAnsi="仿宋" w:eastAsia="仿宋" w:cs="仿宋"/>
                <w:sz w:val="24"/>
                <w:szCs w:val="24"/>
              </w:rPr>
              <w:t>暂定数量</w:t>
            </w:r>
          </w:p>
        </w:tc>
        <w:tc>
          <w:tcPr>
            <w:tcW w:w="1263" w:type="dxa"/>
            <w:vAlign w:val="center"/>
          </w:tcPr>
          <w:p>
            <w:pPr>
              <w:spacing w:line="360" w:lineRule="auto"/>
              <w:jc w:val="center"/>
              <w:rPr>
                <w:rFonts w:ascii="仿宋" w:hAnsi="仿宋" w:eastAsia="仿宋" w:cs="Times New Roman"/>
                <w:sz w:val="24"/>
                <w:szCs w:val="24"/>
              </w:rPr>
            </w:pPr>
            <w:r>
              <w:rPr>
                <w:rFonts w:hint="eastAsia" w:ascii="仿宋" w:hAnsi="仿宋" w:eastAsia="仿宋" w:cs="仿宋"/>
                <w:sz w:val="24"/>
                <w:szCs w:val="24"/>
              </w:rPr>
              <w:t>实际数量</w:t>
            </w:r>
          </w:p>
        </w:tc>
        <w:tc>
          <w:tcPr>
            <w:tcW w:w="1262" w:type="dxa"/>
            <w:vAlign w:val="center"/>
          </w:tcPr>
          <w:p>
            <w:pPr>
              <w:spacing w:line="360" w:lineRule="auto"/>
              <w:jc w:val="center"/>
              <w:rPr>
                <w:rFonts w:ascii="仿宋" w:hAnsi="仿宋" w:eastAsia="仿宋" w:cs="Times New Roman"/>
                <w:sz w:val="24"/>
                <w:szCs w:val="24"/>
              </w:rPr>
            </w:pPr>
            <w:r>
              <w:rPr>
                <w:rFonts w:hint="eastAsia" w:ascii="仿宋" w:hAnsi="仿宋" w:eastAsia="仿宋" w:cs="仿宋"/>
                <w:sz w:val="24"/>
                <w:szCs w:val="24"/>
              </w:rPr>
              <w:t>综合单价</w:t>
            </w:r>
          </w:p>
        </w:tc>
        <w:tc>
          <w:tcPr>
            <w:tcW w:w="1084" w:type="dxa"/>
            <w:vAlign w:val="center"/>
          </w:tcPr>
          <w:p>
            <w:pPr>
              <w:spacing w:line="360" w:lineRule="auto"/>
              <w:jc w:val="center"/>
              <w:rPr>
                <w:rFonts w:ascii="仿宋" w:hAnsi="仿宋" w:eastAsia="仿宋" w:cs="Times New Roman"/>
                <w:sz w:val="24"/>
                <w:szCs w:val="24"/>
              </w:rPr>
            </w:pPr>
            <w:r>
              <w:rPr>
                <w:rFonts w:hint="eastAsia" w:ascii="仿宋" w:hAnsi="仿宋" w:eastAsia="仿宋" w:cs="仿宋"/>
                <w:sz w:val="24"/>
                <w:szCs w:val="24"/>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vAlign w:val="center"/>
          </w:tcPr>
          <w:p>
            <w:pPr>
              <w:spacing w:line="360" w:lineRule="auto"/>
              <w:jc w:val="center"/>
              <w:rPr>
                <w:rFonts w:ascii="仿宋" w:hAnsi="仿宋" w:eastAsia="仿宋" w:cs="Times New Roman"/>
                <w:sz w:val="24"/>
                <w:szCs w:val="24"/>
              </w:rPr>
            </w:pPr>
            <w:r>
              <w:rPr>
                <w:rFonts w:hint="eastAsia" w:ascii="仿宋" w:hAnsi="仿宋" w:eastAsia="仿宋" w:cs="仿宋"/>
                <w:sz w:val="24"/>
                <w:szCs w:val="24"/>
              </w:rPr>
              <w:t>一</w:t>
            </w:r>
          </w:p>
        </w:tc>
        <w:tc>
          <w:tcPr>
            <w:tcW w:w="3050" w:type="dxa"/>
            <w:vAlign w:val="center"/>
          </w:tcPr>
          <w:p>
            <w:pPr>
              <w:spacing w:line="360" w:lineRule="auto"/>
              <w:rPr>
                <w:rFonts w:ascii="仿宋" w:hAnsi="仿宋" w:eastAsia="仿宋" w:cs="Times New Roman"/>
                <w:sz w:val="24"/>
                <w:szCs w:val="24"/>
              </w:rPr>
            </w:pPr>
            <w:r>
              <w:rPr>
                <w:rFonts w:hint="eastAsia" w:ascii="仿宋" w:hAnsi="仿宋" w:eastAsia="仿宋" w:cs="仿宋"/>
                <w:sz w:val="24"/>
                <w:szCs w:val="24"/>
              </w:rPr>
              <w:t>人工</w:t>
            </w:r>
          </w:p>
        </w:tc>
        <w:tc>
          <w:tcPr>
            <w:tcW w:w="1262"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c>
          <w:tcPr>
            <w:tcW w:w="1263"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c>
          <w:tcPr>
            <w:tcW w:w="1084" w:type="dxa"/>
            <w:vAlign w:val="center"/>
          </w:tcPr>
          <w:p>
            <w:pPr>
              <w:spacing w:line="360" w:lineRule="auto"/>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vAlign w:val="center"/>
          </w:tcPr>
          <w:p>
            <w:pPr>
              <w:spacing w:line="360" w:lineRule="auto"/>
              <w:jc w:val="center"/>
              <w:rPr>
                <w:rFonts w:ascii="仿宋" w:hAnsi="仿宋" w:eastAsia="仿宋" w:cs="Times New Roman"/>
                <w:sz w:val="24"/>
                <w:szCs w:val="24"/>
              </w:rPr>
            </w:pPr>
            <w:r>
              <w:rPr>
                <w:rFonts w:ascii="仿宋" w:hAnsi="仿宋" w:eastAsia="仿宋" w:cs="仿宋"/>
                <w:sz w:val="24"/>
                <w:szCs w:val="24"/>
              </w:rPr>
              <w:t>1</w:t>
            </w:r>
          </w:p>
        </w:tc>
        <w:tc>
          <w:tcPr>
            <w:tcW w:w="3050"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c>
          <w:tcPr>
            <w:tcW w:w="1263"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c>
          <w:tcPr>
            <w:tcW w:w="1084" w:type="dxa"/>
            <w:vAlign w:val="center"/>
          </w:tcPr>
          <w:p>
            <w:pPr>
              <w:spacing w:line="360" w:lineRule="auto"/>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vAlign w:val="center"/>
          </w:tcPr>
          <w:p>
            <w:pPr>
              <w:spacing w:line="360" w:lineRule="auto"/>
              <w:jc w:val="center"/>
              <w:rPr>
                <w:rFonts w:ascii="仿宋" w:hAnsi="仿宋" w:eastAsia="仿宋" w:cs="Times New Roman"/>
                <w:sz w:val="24"/>
                <w:szCs w:val="24"/>
              </w:rPr>
            </w:pPr>
            <w:r>
              <w:rPr>
                <w:rFonts w:ascii="仿宋" w:hAnsi="仿宋" w:eastAsia="仿宋" w:cs="仿宋"/>
                <w:sz w:val="24"/>
                <w:szCs w:val="24"/>
              </w:rPr>
              <w:t>2</w:t>
            </w:r>
          </w:p>
        </w:tc>
        <w:tc>
          <w:tcPr>
            <w:tcW w:w="3050"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c>
          <w:tcPr>
            <w:tcW w:w="1263"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c>
          <w:tcPr>
            <w:tcW w:w="1084" w:type="dxa"/>
            <w:vAlign w:val="center"/>
          </w:tcPr>
          <w:p>
            <w:pPr>
              <w:spacing w:line="360" w:lineRule="auto"/>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vAlign w:val="center"/>
          </w:tcPr>
          <w:p>
            <w:pPr>
              <w:spacing w:line="360" w:lineRule="auto"/>
              <w:jc w:val="center"/>
              <w:rPr>
                <w:rFonts w:ascii="仿宋" w:hAnsi="仿宋" w:eastAsia="仿宋" w:cs="Times New Roman"/>
                <w:sz w:val="24"/>
                <w:szCs w:val="24"/>
              </w:rPr>
            </w:pPr>
            <w:r>
              <w:rPr>
                <w:rFonts w:ascii="仿宋" w:hAnsi="仿宋" w:eastAsia="仿宋" w:cs="仿宋"/>
                <w:sz w:val="24"/>
                <w:szCs w:val="24"/>
              </w:rPr>
              <w:t>3</w:t>
            </w:r>
          </w:p>
        </w:tc>
        <w:tc>
          <w:tcPr>
            <w:tcW w:w="3050"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c>
          <w:tcPr>
            <w:tcW w:w="1263"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c>
          <w:tcPr>
            <w:tcW w:w="1084" w:type="dxa"/>
            <w:vAlign w:val="center"/>
          </w:tcPr>
          <w:p>
            <w:pPr>
              <w:spacing w:line="360" w:lineRule="auto"/>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146" w:type="dxa"/>
            <w:vAlign w:val="center"/>
          </w:tcPr>
          <w:p>
            <w:pPr>
              <w:spacing w:line="360" w:lineRule="auto"/>
              <w:jc w:val="center"/>
              <w:rPr>
                <w:rFonts w:ascii="仿宋" w:hAnsi="仿宋" w:eastAsia="仿宋" w:cs="Times New Roman"/>
                <w:sz w:val="24"/>
                <w:szCs w:val="24"/>
              </w:rPr>
            </w:pPr>
            <w:r>
              <w:rPr>
                <w:rFonts w:ascii="仿宋" w:hAnsi="仿宋" w:eastAsia="仿宋" w:cs="仿宋"/>
                <w:sz w:val="24"/>
                <w:szCs w:val="24"/>
              </w:rPr>
              <w:t>4</w:t>
            </w:r>
          </w:p>
        </w:tc>
        <w:tc>
          <w:tcPr>
            <w:tcW w:w="3050"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c>
          <w:tcPr>
            <w:tcW w:w="1263"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c>
          <w:tcPr>
            <w:tcW w:w="1084" w:type="dxa"/>
            <w:vAlign w:val="center"/>
          </w:tcPr>
          <w:p>
            <w:pPr>
              <w:spacing w:line="360" w:lineRule="auto"/>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983" w:type="dxa"/>
            <w:gridSpan w:val="5"/>
            <w:vAlign w:val="center"/>
          </w:tcPr>
          <w:p>
            <w:pPr>
              <w:spacing w:line="360" w:lineRule="auto"/>
              <w:jc w:val="center"/>
              <w:rPr>
                <w:rFonts w:ascii="仿宋" w:hAnsi="仿宋" w:eastAsia="仿宋" w:cs="Times New Roman"/>
                <w:sz w:val="24"/>
                <w:szCs w:val="24"/>
              </w:rPr>
            </w:pPr>
            <w:r>
              <w:rPr>
                <w:rFonts w:hint="eastAsia" w:ascii="仿宋" w:hAnsi="仿宋" w:eastAsia="仿宋" w:cs="仿宋"/>
                <w:sz w:val="24"/>
                <w:szCs w:val="24"/>
              </w:rPr>
              <w:t>人工小计</w:t>
            </w:r>
          </w:p>
        </w:tc>
        <w:tc>
          <w:tcPr>
            <w:tcW w:w="1262" w:type="dxa"/>
            <w:vAlign w:val="center"/>
          </w:tcPr>
          <w:p>
            <w:pPr>
              <w:spacing w:line="360" w:lineRule="auto"/>
              <w:jc w:val="center"/>
              <w:rPr>
                <w:rFonts w:ascii="仿宋" w:hAnsi="仿宋" w:eastAsia="仿宋" w:cs="Times New Roman"/>
                <w:sz w:val="24"/>
                <w:szCs w:val="24"/>
              </w:rPr>
            </w:pPr>
          </w:p>
        </w:tc>
        <w:tc>
          <w:tcPr>
            <w:tcW w:w="1084" w:type="dxa"/>
            <w:vAlign w:val="center"/>
          </w:tcPr>
          <w:p>
            <w:pPr>
              <w:spacing w:line="360" w:lineRule="auto"/>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vAlign w:val="center"/>
          </w:tcPr>
          <w:p>
            <w:pPr>
              <w:spacing w:line="360" w:lineRule="auto"/>
              <w:jc w:val="center"/>
              <w:rPr>
                <w:rFonts w:ascii="仿宋" w:hAnsi="仿宋" w:eastAsia="仿宋" w:cs="Times New Roman"/>
                <w:sz w:val="24"/>
                <w:szCs w:val="24"/>
              </w:rPr>
            </w:pPr>
            <w:r>
              <w:rPr>
                <w:rFonts w:hint="eastAsia" w:ascii="仿宋" w:hAnsi="仿宋" w:eastAsia="仿宋" w:cs="仿宋"/>
                <w:sz w:val="24"/>
                <w:szCs w:val="24"/>
              </w:rPr>
              <w:t>二</w:t>
            </w:r>
          </w:p>
        </w:tc>
        <w:tc>
          <w:tcPr>
            <w:tcW w:w="3050" w:type="dxa"/>
            <w:vAlign w:val="center"/>
          </w:tcPr>
          <w:p>
            <w:pPr>
              <w:spacing w:line="360" w:lineRule="auto"/>
              <w:rPr>
                <w:rFonts w:ascii="仿宋" w:hAnsi="仿宋" w:eastAsia="仿宋" w:cs="Times New Roman"/>
                <w:sz w:val="24"/>
                <w:szCs w:val="24"/>
              </w:rPr>
            </w:pPr>
            <w:r>
              <w:rPr>
                <w:rFonts w:hint="eastAsia" w:ascii="仿宋" w:hAnsi="仿宋" w:eastAsia="仿宋" w:cs="仿宋"/>
                <w:sz w:val="24"/>
                <w:szCs w:val="24"/>
              </w:rPr>
              <w:t>材料</w:t>
            </w:r>
          </w:p>
        </w:tc>
        <w:tc>
          <w:tcPr>
            <w:tcW w:w="1262"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c>
          <w:tcPr>
            <w:tcW w:w="1263"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c>
          <w:tcPr>
            <w:tcW w:w="1084" w:type="dxa"/>
            <w:vAlign w:val="center"/>
          </w:tcPr>
          <w:p>
            <w:pPr>
              <w:spacing w:line="360" w:lineRule="auto"/>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vAlign w:val="center"/>
          </w:tcPr>
          <w:p>
            <w:pPr>
              <w:spacing w:line="360" w:lineRule="auto"/>
              <w:jc w:val="center"/>
              <w:rPr>
                <w:rFonts w:ascii="仿宋" w:hAnsi="仿宋" w:eastAsia="仿宋" w:cs="Times New Roman"/>
                <w:sz w:val="24"/>
                <w:szCs w:val="24"/>
              </w:rPr>
            </w:pPr>
            <w:r>
              <w:rPr>
                <w:rFonts w:ascii="仿宋" w:hAnsi="仿宋" w:eastAsia="仿宋" w:cs="仿宋"/>
                <w:sz w:val="24"/>
                <w:szCs w:val="24"/>
              </w:rPr>
              <w:t>1</w:t>
            </w:r>
          </w:p>
        </w:tc>
        <w:tc>
          <w:tcPr>
            <w:tcW w:w="3050"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c>
          <w:tcPr>
            <w:tcW w:w="1263"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c>
          <w:tcPr>
            <w:tcW w:w="1084" w:type="dxa"/>
            <w:vAlign w:val="center"/>
          </w:tcPr>
          <w:p>
            <w:pPr>
              <w:spacing w:line="360" w:lineRule="auto"/>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vAlign w:val="center"/>
          </w:tcPr>
          <w:p>
            <w:pPr>
              <w:spacing w:line="360" w:lineRule="auto"/>
              <w:jc w:val="center"/>
              <w:rPr>
                <w:rFonts w:ascii="仿宋" w:hAnsi="仿宋" w:eastAsia="仿宋" w:cs="Times New Roman"/>
                <w:sz w:val="24"/>
                <w:szCs w:val="24"/>
              </w:rPr>
            </w:pPr>
            <w:r>
              <w:rPr>
                <w:rFonts w:ascii="仿宋" w:hAnsi="仿宋" w:eastAsia="仿宋" w:cs="仿宋"/>
                <w:sz w:val="24"/>
                <w:szCs w:val="24"/>
              </w:rPr>
              <w:t>2</w:t>
            </w:r>
          </w:p>
        </w:tc>
        <w:tc>
          <w:tcPr>
            <w:tcW w:w="3050"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c>
          <w:tcPr>
            <w:tcW w:w="1263"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c>
          <w:tcPr>
            <w:tcW w:w="1084" w:type="dxa"/>
            <w:vAlign w:val="center"/>
          </w:tcPr>
          <w:p>
            <w:pPr>
              <w:spacing w:line="360" w:lineRule="auto"/>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vAlign w:val="center"/>
          </w:tcPr>
          <w:p>
            <w:pPr>
              <w:spacing w:line="360" w:lineRule="auto"/>
              <w:jc w:val="center"/>
              <w:rPr>
                <w:rFonts w:ascii="仿宋" w:hAnsi="仿宋" w:eastAsia="仿宋" w:cs="Times New Roman"/>
                <w:sz w:val="24"/>
                <w:szCs w:val="24"/>
              </w:rPr>
            </w:pPr>
            <w:r>
              <w:rPr>
                <w:rFonts w:ascii="仿宋" w:hAnsi="仿宋" w:eastAsia="仿宋" w:cs="仿宋"/>
                <w:sz w:val="24"/>
                <w:szCs w:val="24"/>
              </w:rPr>
              <w:t>3</w:t>
            </w:r>
          </w:p>
        </w:tc>
        <w:tc>
          <w:tcPr>
            <w:tcW w:w="3050"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c>
          <w:tcPr>
            <w:tcW w:w="1263"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c>
          <w:tcPr>
            <w:tcW w:w="1084" w:type="dxa"/>
            <w:vAlign w:val="center"/>
          </w:tcPr>
          <w:p>
            <w:pPr>
              <w:spacing w:line="360" w:lineRule="auto"/>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vAlign w:val="center"/>
          </w:tcPr>
          <w:p>
            <w:pPr>
              <w:spacing w:line="360" w:lineRule="auto"/>
              <w:jc w:val="center"/>
              <w:rPr>
                <w:rFonts w:ascii="仿宋" w:hAnsi="仿宋" w:eastAsia="仿宋" w:cs="Times New Roman"/>
                <w:sz w:val="24"/>
                <w:szCs w:val="24"/>
              </w:rPr>
            </w:pPr>
            <w:r>
              <w:rPr>
                <w:rFonts w:ascii="仿宋" w:hAnsi="仿宋" w:eastAsia="仿宋" w:cs="仿宋"/>
                <w:sz w:val="24"/>
                <w:szCs w:val="24"/>
              </w:rPr>
              <w:t>4</w:t>
            </w:r>
          </w:p>
        </w:tc>
        <w:tc>
          <w:tcPr>
            <w:tcW w:w="3050"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c>
          <w:tcPr>
            <w:tcW w:w="1263"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c>
          <w:tcPr>
            <w:tcW w:w="1084" w:type="dxa"/>
            <w:vAlign w:val="center"/>
          </w:tcPr>
          <w:p>
            <w:pPr>
              <w:spacing w:line="360" w:lineRule="auto"/>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vAlign w:val="center"/>
          </w:tcPr>
          <w:p>
            <w:pPr>
              <w:spacing w:line="360" w:lineRule="auto"/>
              <w:jc w:val="center"/>
              <w:rPr>
                <w:rFonts w:ascii="仿宋" w:hAnsi="仿宋" w:eastAsia="仿宋" w:cs="Times New Roman"/>
                <w:sz w:val="24"/>
                <w:szCs w:val="24"/>
              </w:rPr>
            </w:pPr>
            <w:r>
              <w:rPr>
                <w:rFonts w:ascii="仿宋" w:hAnsi="仿宋" w:eastAsia="仿宋" w:cs="仿宋"/>
                <w:sz w:val="24"/>
                <w:szCs w:val="24"/>
              </w:rPr>
              <w:t>5</w:t>
            </w:r>
          </w:p>
        </w:tc>
        <w:tc>
          <w:tcPr>
            <w:tcW w:w="3050"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c>
          <w:tcPr>
            <w:tcW w:w="1263"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c>
          <w:tcPr>
            <w:tcW w:w="1084" w:type="dxa"/>
            <w:vAlign w:val="center"/>
          </w:tcPr>
          <w:p>
            <w:pPr>
              <w:spacing w:line="360" w:lineRule="auto"/>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vAlign w:val="center"/>
          </w:tcPr>
          <w:p>
            <w:pPr>
              <w:spacing w:line="360" w:lineRule="auto"/>
              <w:jc w:val="center"/>
              <w:rPr>
                <w:rFonts w:ascii="仿宋" w:hAnsi="仿宋" w:eastAsia="仿宋" w:cs="Times New Roman"/>
                <w:sz w:val="24"/>
                <w:szCs w:val="24"/>
              </w:rPr>
            </w:pPr>
            <w:r>
              <w:rPr>
                <w:rFonts w:ascii="仿宋" w:hAnsi="仿宋" w:eastAsia="仿宋" w:cs="仿宋"/>
                <w:sz w:val="24"/>
                <w:szCs w:val="24"/>
              </w:rPr>
              <w:t>6</w:t>
            </w:r>
          </w:p>
        </w:tc>
        <w:tc>
          <w:tcPr>
            <w:tcW w:w="3050"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c>
          <w:tcPr>
            <w:tcW w:w="1263"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c>
          <w:tcPr>
            <w:tcW w:w="1084" w:type="dxa"/>
            <w:vAlign w:val="center"/>
          </w:tcPr>
          <w:p>
            <w:pPr>
              <w:spacing w:line="360" w:lineRule="auto"/>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983" w:type="dxa"/>
            <w:gridSpan w:val="5"/>
            <w:vAlign w:val="center"/>
          </w:tcPr>
          <w:p>
            <w:pPr>
              <w:spacing w:line="360" w:lineRule="auto"/>
              <w:jc w:val="center"/>
              <w:rPr>
                <w:rFonts w:ascii="仿宋" w:hAnsi="仿宋" w:eastAsia="仿宋" w:cs="Times New Roman"/>
                <w:sz w:val="24"/>
                <w:szCs w:val="24"/>
              </w:rPr>
            </w:pPr>
            <w:r>
              <w:rPr>
                <w:rFonts w:hint="eastAsia" w:ascii="仿宋" w:hAnsi="仿宋" w:eastAsia="仿宋" w:cs="仿宋"/>
                <w:sz w:val="24"/>
                <w:szCs w:val="24"/>
              </w:rPr>
              <w:t>材料小计</w:t>
            </w:r>
          </w:p>
        </w:tc>
        <w:tc>
          <w:tcPr>
            <w:tcW w:w="1262" w:type="dxa"/>
            <w:vAlign w:val="center"/>
          </w:tcPr>
          <w:p>
            <w:pPr>
              <w:spacing w:line="360" w:lineRule="auto"/>
              <w:jc w:val="center"/>
              <w:rPr>
                <w:rFonts w:ascii="仿宋" w:hAnsi="仿宋" w:eastAsia="仿宋" w:cs="Times New Roman"/>
                <w:sz w:val="24"/>
                <w:szCs w:val="24"/>
              </w:rPr>
            </w:pPr>
          </w:p>
        </w:tc>
        <w:tc>
          <w:tcPr>
            <w:tcW w:w="1084" w:type="dxa"/>
            <w:vAlign w:val="center"/>
          </w:tcPr>
          <w:p>
            <w:pPr>
              <w:spacing w:line="360" w:lineRule="auto"/>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vAlign w:val="center"/>
          </w:tcPr>
          <w:p>
            <w:pPr>
              <w:spacing w:line="360" w:lineRule="auto"/>
              <w:jc w:val="center"/>
              <w:rPr>
                <w:rFonts w:ascii="仿宋" w:hAnsi="仿宋" w:eastAsia="仿宋" w:cs="Times New Roman"/>
                <w:sz w:val="24"/>
                <w:szCs w:val="24"/>
              </w:rPr>
            </w:pPr>
            <w:r>
              <w:rPr>
                <w:rFonts w:hint="eastAsia" w:ascii="仿宋" w:hAnsi="仿宋" w:eastAsia="仿宋" w:cs="仿宋"/>
                <w:sz w:val="24"/>
                <w:szCs w:val="24"/>
              </w:rPr>
              <w:t>三</w:t>
            </w:r>
          </w:p>
        </w:tc>
        <w:tc>
          <w:tcPr>
            <w:tcW w:w="3050" w:type="dxa"/>
            <w:vAlign w:val="center"/>
          </w:tcPr>
          <w:p>
            <w:pPr>
              <w:spacing w:line="360" w:lineRule="auto"/>
              <w:rPr>
                <w:rFonts w:ascii="仿宋" w:hAnsi="仿宋" w:eastAsia="仿宋" w:cs="Times New Roman"/>
                <w:sz w:val="24"/>
                <w:szCs w:val="24"/>
              </w:rPr>
            </w:pPr>
            <w:r>
              <w:rPr>
                <w:rFonts w:hint="eastAsia" w:ascii="仿宋" w:hAnsi="仿宋" w:eastAsia="仿宋" w:cs="仿宋"/>
                <w:sz w:val="24"/>
                <w:szCs w:val="24"/>
              </w:rPr>
              <w:t>施工机械</w:t>
            </w:r>
          </w:p>
        </w:tc>
        <w:tc>
          <w:tcPr>
            <w:tcW w:w="1262"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c>
          <w:tcPr>
            <w:tcW w:w="1263"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c>
          <w:tcPr>
            <w:tcW w:w="1084" w:type="dxa"/>
            <w:vAlign w:val="center"/>
          </w:tcPr>
          <w:p>
            <w:pPr>
              <w:spacing w:line="360" w:lineRule="auto"/>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vAlign w:val="center"/>
          </w:tcPr>
          <w:p>
            <w:pPr>
              <w:spacing w:line="360" w:lineRule="auto"/>
              <w:jc w:val="center"/>
              <w:rPr>
                <w:rFonts w:ascii="仿宋" w:hAnsi="仿宋" w:eastAsia="仿宋" w:cs="Times New Roman"/>
                <w:sz w:val="24"/>
                <w:szCs w:val="24"/>
              </w:rPr>
            </w:pPr>
            <w:r>
              <w:rPr>
                <w:rFonts w:ascii="仿宋" w:hAnsi="仿宋" w:eastAsia="仿宋" w:cs="仿宋"/>
                <w:sz w:val="24"/>
                <w:szCs w:val="24"/>
              </w:rPr>
              <w:t>1</w:t>
            </w:r>
          </w:p>
        </w:tc>
        <w:tc>
          <w:tcPr>
            <w:tcW w:w="3050"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c>
          <w:tcPr>
            <w:tcW w:w="1263"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c>
          <w:tcPr>
            <w:tcW w:w="1084" w:type="dxa"/>
            <w:vAlign w:val="center"/>
          </w:tcPr>
          <w:p>
            <w:pPr>
              <w:spacing w:line="360" w:lineRule="auto"/>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146" w:type="dxa"/>
            <w:vAlign w:val="center"/>
          </w:tcPr>
          <w:p>
            <w:pPr>
              <w:spacing w:line="360" w:lineRule="auto"/>
              <w:jc w:val="center"/>
              <w:rPr>
                <w:rFonts w:ascii="仿宋" w:hAnsi="仿宋" w:eastAsia="仿宋" w:cs="Times New Roman"/>
                <w:sz w:val="24"/>
                <w:szCs w:val="24"/>
              </w:rPr>
            </w:pPr>
            <w:r>
              <w:rPr>
                <w:rFonts w:ascii="仿宋" w:hAnsi="仿宋" w:eastAsia="仿宋" w:cs="仿宋"/>
                <w:sz w:val="24"/>
                <w:szCs w:val="24"/>
              </w:rPr>
              <w:t>2</w:t>
            </w:r>
          </w:p>
        </w:tc>
        <w:tc>
          <w:tcPr>
            <w:tcW w:w="3050"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c>
          <w:tcPr>
            <w:tcW w:w="1263"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c>
          <w:tcPr>
            <w:tcW w:w="1084" w:type="dxa"/>
            <w:vAlign w:val="center"/>
          </w:tcPr>
          <w:p>
            <w:pPr>
              <w:spacing w:line="360" w:lineRule="auto"/>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vAlign w:val="center"/>
          </w:tcPr>
          <w:p>
            <w:pPr>
              <w:spacing w:line="360" w:lineRule="auto"/>
              <w:jc w:val="center"/>
              <w:rPr>
                <w:rFonts w:ascii="仿宋" w:hAnsi="仿宋" w:eastAsia="仿宋" w:cs="Times New Roman"/>
                <w:sz w:val="24"/>
                <w:szCs w:val="24"/>
              </w:rPr>
            </w:pPr>
            <w:r>
              <w:rPr>
                <w:rFonts w:ascii="仿宋" w:hAnsi="仿宋" w:eastAsia="仿宋" w:cs="仿宋"/>
                <w:sz w:val="24"/>
                <w:szCs w:val="24"/>
              </w:rPr>
              <w:t>3</w:t>
            </w:r>
          </w:p>
        </w:tc>
        <w:tc>
          <w:tcPr>
            <w:tcW w:w="3050"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c>
          <w:tcPr>
            <w:tcW w:w="1263"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c>
          <w:tcPr>
            <w:tcW w:w="1084" w:type="dxa"/>
            <w:vAlign w:val="center"/>
          </w:tcPr>
          <w:p>
            <w:pPr>
              <w:spacing w:line="360" w:lineRule="auto"/>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vAlign w:val="center"/>
          </w:tcPr>
          <w:p>
            <w:pPr>
              <w:spacing w:line="360" w:lineRule="auto"/>
              <w:jc w:val="center"/>
              <w:rPr>
                <w:rFonts w:ascii="仿宋" w:hAnsi="仿宋" w:eastAsia="仿宋" w:cs="Times New Roman"/>
                <w:sz w:val="24"/>
                <w:szCs w:val="24"/>
              </w:rPr>
            </w:pPr>
            <w:r>
              <w:rPr>
                <w:rFonts w:ascii="仿宋" w:hAnsi="仿宋" w:eastAsia="仿宋" w:cs="仿宋"/>
                <w:sz w:val="24"/>
                <w:szCs w:val="24"/>
              </w:rPr>
              <w:t>4</w:t>
            </w:r>
          </w:p>
        </w:tc>
        <w:tc>
          <w:tcPr>
            <w:tcW w:w="3050"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c>
          <w:tcPr>
            <w:tcW w:w="1263"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c>
          <w:tcPr>
            <w:tcW w:w="1084" w:type="dxa"/>
            <w:vAlign w:val="center"/>
          </w:tcPr>
          <w:p>
            <w:pPr>
              <w:spacing w:line="360" w:lineRule="auto"/>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983" w:type="dxa"/>
            <w:gridSpan w:val="5"/>
            <w:vAlign w:val="center"/>
          </w:tcPr>
          <w:p>
            <w:pPr>
              <w:spacing w:line="360" w:lineRule="auto"/>
              <w:jc w:val="center"/>
              <w:rPr>
                <w:rFonts w:ascii="仿宋" w:hAnsi="仿宋" w:eastAsia="仿宋" w:cs="Times New Roman"/>
                <w:sz w:val="24"/>
                <w:szCs w:val="24"/>
              </w:rPr>
            </w:pPr>
            <w:r>
              <w:rPr>
                <w:rFonts w:hint="eastAsia" w:ascii="仿宋" w:hAnsi="仿宋" w:eastAsia="仿宋" w:cs="仿宋"/>
                <w:sz w:val="24"/>
                <w:szCs w:val="24"/>
              </w:rPr>
              <w:t>施工机械小计</w:t>
            </w:r>
          </w:p>
        </w:tc>
        <w:tc>
          <w:tcPr>
            <w:tcW w:w="1262" w:type="dxa"/>
            <w:vAlign w:val="center"/>
          </w:tcPr>
          <w:p>
            <w:pPr>
              <w:spacing w:line="360" w:lineRule="auto"/>
              <w:jc w:val="center"/>
              <w:rPr>
                <w:rFonts w:ascii="仿宋" w:hAnsi="仿宋" w:eastAsia="仿宋" w:cs="Times New Roman"/>
                <w:sz w:val="24"/>
                <w:szCs w:val="24"/>
              </w:rPr>
            </w:pPr>
          </w:p>
        </w:tc>
        <w:tc>
          <w:tcPr>
            <w:tcW w:w="1084" w:type="dxa"/>
            <w:vAlign w:val="center"/>
          </w:tcPr>
          <w:p>
            <w:pPr>
              <w:spacing w:line="360" w:lineRule="auto"/>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7983" w:type="dxa"/>
            <w:gridSpan w:val="5"/>
            <w:vAlign w:val="center"/>
          </w:tcPr>
          <w:p>
            <w:pPr>
              <w:spacing w:line="360" w:lineRule="auto"/>
              <w:jc w:val="center"/>
              <w:rPr>
                <w:rFonts w:ascii="仿宋" w:hAnsi="仿宋" w:eastAsia="仿宋" w:cs="Times New Roman"/>
                <w:sz w:val="24"/>
                <w:szCs w:val="24"/>
              </w:rPr>
            </w:pPr>
            <w:r>
              <w:rPr>
                <w:rFonts w:hint="eastAsia" w:ascii="仿宋" w:hAnsi="仿宋" w:eastAsia="仿宋" w:cs="仿宋"/>
                <w:sz w:val="24"/>
                <w:szCs w:val="24"/>
              </w:rPr>
              <w:t>总</w:t>
            </w:r>
            <w:r>
              <w:rPr>
                <w:rFonts w:ascii="仿宋" w:hAnsi="仿宋" w:eastAsia="仿宋" w:cs="仿宋"/>
                <w:sz w:val="24"/>
                <w:szCs w:val="24"/>
              </w:rPr>
              <w:t xml:space="preserve">  </w:t>
            </w:r>
            <w:r>
              <w:rPr>
                <w:rFonts w:hint="eastAsia" w:ascii="仿宋" w:hAnsi="仿宋" w:eastAsia="仿宋" w:cs="仿宋"/>
                <w:sz w:val="24"/>
                <w:szCs w:val="24"/>
              </w:rPr>
              <w:t>计</w:t>
            </w:r>
          </w:p>
        </w:tc>
        <w:tc>
          <w:tcPr>
            <w:tcW w:w="1262" w:type="dxa"/>
            <w:vAlign w:val="center"/>
          </w:tcPr>
          <w:p>
            <w:pPr>
              <w:spacing w:line="360" w:lineRule="auto"/>
              <w:jc w:val="center"/>
              <w:rPr>
                <w:rFonts w:ascii="仿宋" w:hAnsi="仿宋" w:eastAsia="仿宋" w:cs="Times New Roman"/>
                <w:sz w:val="24"/>
                <w:szCs w:val="24"/>
              </w:rPr>
            </w:pPr>
          </w:p>
        </w:tc>
        <w:tc>
          <w:tcPr>
            <w:tcW w:w="1084" w:type="dxa"/>
            <w:vAlign w:val="center"/>
          </w:tcPr>
          <w:p>
            <w:pPr>
              <w:spacing w:line="360" w:lineRule="auto"/>
              <w:jc w:val="center"/>
              <w:rPr>
                <w:rFonts w:ascii="仿宋" w:hAnsi="仿宋" w:eastAsia="仿宋" w:cs="Times New Roman"/>
                <w:sz w:val="24"/>
                <w:szCs w:val="24"/>
              </w:rPr>
            </w:pPr>
          </w:p>
        </w:tc>
      </w:tr>
    </w:tbl>
    <w:p>
      <w:pPr>
        <w:spacing w:line="360" w:lineRule="auto"/>
        <w:rPr>
          <w:rFonts w:ascii="仿宋" w:hAnsi="仿宋" w:eastAsia="仿宋" w:cs="Times New Roman"/>
          <w:sz w:val="24"/>
          <w:szCs w:val="24"/>
        </w:rPr>
      </w:pPr>
      <w:r>
        <w:rPr>
          <w:rFonts w:hint="eastAsia" w:ascii="仿宋" w:hAnsi="仿宋" w:eastAsia="仿宋" w:cs="仿宋"/>
          <w:sz w:val="24"/>
          <w:szCs w:val="24"/>
        </w:rPr>
        <w:t>说明：</w:t>
      </w:r>
      <w:r>
        <w:rPr>
          <w:rFonts w:ascii="仿宋" w:hAnsi="仿宋" w:eastAsia="仿宋" w:cs="仿宋"/>
          <w:sz w:val="24"/>
          <w:szCs w:val="24"/>
        </w:rPr>
        <w:t>1.</w:t>
      </w:r>
      <w:r>
        <w:rPr>
          <w:rFonts w:hint="eastAsia" w:ascii="仿宋" w:hAnsi="仿宋" w:eastAsia="仿宋" w:cs="仿宋"/>
          <w:sz w:val="24"/>
          <w:szCs w:val="24"/>
        </w:rPr>
        <w:t>本表由承包人填制，承包人应按照合同约定填报实际数量，提交造价工程核实并由其报发包人确认后，列入合同价款内。</w:t>
      </w:r>
    </w:p>
    <w:p>
      <w:pPr>
        <w:spacing w:line="360" w:lineRule="auto"/>
        <w:ind w:firstLine="720" w:firstLineChars="300"/>
        <w:rPr>
          <w:rFonts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本表一式四份，发包人、监理人、工程造价咨询人（如有）、承包人各存一份。</w:t>
      </w:r>
    </w:p>
    <w:p>
      <w:pPr>
        <w:spacing w:line="360" w:lineRule="auto"/>
        <w:outlineLvl w:val="1"/>
        <w:rPr>
          <w:rFonts w:ascii="仿宋" w:hAnsi="仿宋" w:eastAsia="仿宋" w:cs="仿宋"/>
          <w:b/>
          <w:bCs/>
          <w:color w:val="000000"/>
          <w:kern w:val="0"/>
          <w:sz w:val="24"/>
          <w:szCs w:val="24"/>
        </w:rPr>
      </w:pPr>
      <w:r>
        <w:rPr>
          <w:rFonts w:ascii="仿宋" w:hAnsi="仿宋" w:eastAsia="仿宋" w:cs="Times New Roman"/>
          <w:kern w:val="0"/>
          <w:sz w:val="24"/>
          <w:szCs w:val="24"/>
        </w:rPr>
        <w:br w:type="page"/>
      </w:r>
      <w:bookmarkStart w:id="792" w:name="_Toc266892947"/>
      <w:bookmarkStart w:id="793" w:name="_Toc469384161"/>
      <w:bookmarkStart w:id="794" w:name="_Toc10625005"/>
      <w:r>
        <w:rPr>
          <w:rFonts w:hint="eastAsia" w:ascii="仿宋" w:hAnsi="仿宋" w:eastAsia="仿宋" w:cs="仿宋"/>
          <w:b/>
          <w:bCs/>
          <w:color w:val="000000"/>
          <w:kern w:val="0"/>
          <w:sz w:val="24"/>
          <w:szCs w:val="24"/>
        </w:rPr>
        <w:t>格式</w:t>
      </w:r>
      <w:r>
        <w:rPr>
          <w:rFonts w:ascii="仿宋" w:hAnsi="仿宋" w:eastAsia="仿宋" w:cs="仿宋"/>
          <w:b/>
          <w:bCs/>
          <w:color w:val="000000"/>
          <w:kern w:val="0"/>
          <w:sz w:val="24"/>
          <w:szCs w:val="24"/>
        </w:rPr>
        <w:t>21</w:t>
      </w:r>
      <w:bookmarkEnd w:id="792"/>
      <w:bookmarkEnd w:id="793"/>
      <w:bookmarkEnd w:id="794"/>
    </w:p>
    <w:p>
      <w:pPr>
        <w:spacing w:line="360" w:lineRule="auto"/>
        <w:jc w:val="center"/>
        <w:rPr>
          <w:rFonts w:ascii="仿宋" w:hAnsi="仿宋" w:eastAsia="仿宋" w:cs="Times New Roman"/>
          <w:b/>
          <w:bCs/>
          <w:spacing w:val="30"/>
          <w:sz w:val="44"/>
          <w:szCs w:val="44"/>
        </w:rPr>
      </w:pPr>
      <w:r>
        <w:rPr>
          <w:rFonts w:hint="eastAsia" w:ascii="仿宋" w:hAnsi="仿宋" w:eastAsia="仿宋" w:cs="仿宋"/>
          <w:b/>
          <w:bCs/>
          <w:spacing w:val="30"/>
          <w:sz w:val="44"/>
          <w:szCs w:val="44"/>
        </w:rPr>
        <w:t>材料</w:t>
      </w:r>
      <w:r>
        <w:rPr>
          <w:rFonts w:ascii="仿宋" w:hAnsi="仿宋" w:eastAsia="仿宋" w:cs="仿宋"/>
          <w:b/>
          <w:bCs/>
          <w:spacing w:val="30"/>
          <w:sz w:val="44"/>
          <w:szCs w:val="44"/>
        </w:rPr>
        <w:t>/</w:t>
      </w:r>
      <w:r>
        <w:rPr>
          <w:rFonts w:hint="eastAsia" w:ascii="仿宋" w:hAnsi="仿宋" w:eastAsia="仿宋" w:cs="仿宋"/>
          <w:b/>
          <w:bCs/>
          <w:spacing w:val="30"/>
          <w:sz w:val="44"/>
          <w:szCs w:val="44"/>
        </w:rPr>
        <w:t>工程设备暂估价调整表</w:t>
      </w:r>
    </w:p>
    <w:p>
      <w:pPr>
        <w:spacing w:line="360" w:lineRule="auto"/>
        <w:rPr>
          <w:rFonts w:ascii="仿宋" w:hAnsi="仿宋" w:eastAsia="仿宋" w:cs="Times New Roman"/>
          <w:sz w:val="24"/>
          <w:szCs w:val="24"/>
        </w:rPr>
      </w:pPr>
      <w:r>
        <w:rPr>
          <w:rFonts w:hint="eastAsia" w:ascii="仿宋" w:hAnsi="仿宋" w:eastAsia="仿宋" w:cs="仿宋"/>
          <w:sz w:val="24"/>
          <w:szCs w:val="24"/>
        </w:rPr>
        <w:t>工程名称</w:t>
      </w:r>
      <w:r>
        <w:rPr>
          <w:rFonts w:ascii="仿宋" w:hAnsi="仿宋" w:eastAsia="仿宋" w:cs="仿宋"/>
          <w:sz w:val="24"/>
          <w:szCs w:val="24"/>
        </w:rPr>
        <w:t>:</w:t>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编号</w:t>
      </w:r>
      <w:r>
        <w:rPr>
          <w:rFonts w:ascii="仿宋" w:hAnsi="仿宋" w:eastAsia="仿宋" w:cs="仿宋"/>
          <w:sz w:val="24"/>
          <w:szCs w:val="24"/>
        </w:rPr>
        <w:t>:</w:t>
      </w:r>
    </w:p>
    <w:tbl>
      <w:tblPr>
        <w:tblStyle w:val="40"/>
        <w:tblW w:w="1033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3787"/>
        <w:gridCol w:w="1262"/>
        <w:gridCol w:w="1442"/>
        <w:gridCol w:w="1262"/>
        <w:gridCol w:w="1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vAlign w:val="center"/>
          </w:tcPr>
          <w:p>
            <w:pPr>
              <w:spacing w:line="360" w:lineRule="auto"/>
              <w:jc w:val="center"/>
              <w:rPr>
                <w:rFonts w:ascii="仿宋" w:hAnsi="仿宋" w:eastAsia="仿宋" w:cs="Times New Roman"/>
                <w:sz w:val="24"/>
                <w:szCs w:val="24"/>
              </w:rPr>
            </w:pPr>
            <w:r>
              <w:rPr>
                <w:rFonts w:hint="eastAsia" w:ascii="仿宋" w:hAnsi="仿宋" w:eastAsia="仿宋" w:cs="仿宋"/>
                <w:sz w:val="24"/>
                <w:szCs w:val="24"/>
              </w:rPr>
              <w:t>序号</w:t>
            </w:r>
          </w:p>
        </w:tc>
        <w:tc>
          <w:tcPr>
            <w:tcW w:w="3787" w:type="dxa"/>
            <w:vAlign w:val="center"/>
          </w:tcPr>
          <w:p>
            <w:pPr>
              <w:spacing w:line="360" w:lineRule="auto"/>
              <w:jc w:val="center"/>
              <w:rPr>
                <w:rFonts w:ascii="仿宋" w:hAnsi="仿宋" w:eastAsia="仿宋" w:cs="Times New Roman"/>
                <w:sz w:val="24"/>
                <w:szCs w:val="24"/>
              </w:rPr>
            </w:pPr>
            <w:r>
              <w:rPr>
                <w:rFonts w:hint="eastAsia" w:ascii="仿宋" w:hAnsi="仿宋" w:eastAsia="仿宋" w:cs="仿宋"/>
                <w:sz w:val="24"/>
                <w:szCs w:val="24"/>
              </w:rPr>
              <w:t>材料设备名称、规格、型号</w:t>
            </w:r>
          </w:p>
        </w:tc>
        <w:tc>
          <w:tcPr>
            <w:tcW w:w="1262" w:type="dxa"/>
            <w:vAlign w:val="center"/>
          </w:tcPr>
          <w:p>
            <w:pPr>
              <w:spacing w:line="360" w:lineRule="auto"/>
              <w:jc w:val="center"/>
              <w:rPr>
                <w:rFonts w:ascii="仿宋" w:hAnsi="仿宋" w:eastAsia="仿宋" w:cs="Times New Roman"/>
                <w:sz w:val="24"/>
                <w:szCs w:val="24"/>
              </w:rPr>
            </w:pPr>
            <w:r>
              <w:rPr>
                <w:rFonts w:hint="eastAsia" w:ascii="仿宋" w:hAnsi="仿宋" w:eastAsia="仿宋" w:cs="仿宋"/>
                <w:sz w:val="24"/>
                <w:szCs w:val="24"/>
              </w:rPr>
              <w:t>计量单位</w:t>
            </w:r>
          </w:p>
        </w:tc>
        <w:tc>
          <w:tcPr>
            <w:tcW w:w="1442" w:type="dxa"/>
            <w:vAlign w:val="center"/>
          </w:tcPr>
          <w:p>
            <w:pPr>
              <w:spacing w:line="360" w:lineRule="auto"/>
              <w:jc w:val="center"/>
              <w:rPr>
                <w:rFonts w:ascii="仿宋" w:hAnsi="仿宋" w:eastAsia="仿宋" w:cs="Times New Roman"/>
                <w:sz w:val="24"/>
                <w:szCs w:val="24"/>
              </w:rPr>
            </w:pPr>
            <w:r>
              <w:rPr>
                <w:rFonts w:hint="eastAsia" w:ascii="仿宋" w:hAnsi="仿宋" w:eastAsia="仿宋" w:cs="仿宋"/>
                <w:sz w:val="24"/>
                <w:szCs w:val="24"/>
              </w:rPr>
              <w:t>暂估单价</w:t>
            </w:r>
          </w:p>
          <w:p>
            <w:pPr>
              <w:spacing w:line="360" w:lineRule="auto"/>
              <w:jc w:val="center"/>
              <w:rPr>
                <w:rFonts w:ascii="仿宋" w:hAnsi="仿宋" w:eastAsia="仿宋" w:cs="Times New Roman"/>
                <w:sz w:val="24"/>
                <w:szCs w:val="24"/>
              </w:rPr>
            </w:pPr>
            <w:r>
              <w:rPr>
                <w:rFonts w:hint="eastAsia" w:ascii="仿宋" w:hAnsi="仿宋" w:eastAsia="仿宋" w:cs="仿宋"/>
                <w:sz w:val="24"/>
                <w:szCs w:val="24"/>
              </w:rPr>
              <w:t>（元）</w:t>
            </w:r>
          </w:p>
        </w:tc>
        <w:tc>
          <w:tcPr>
            <w:tcW w:w="1262" w:type="dxa"/>
            <w:vAlign w:val="center"/>
          </w:tcPr>
          <w:p>
            <w:pPr>
              <w:spacing w:line="360" w:lineRule="auto"/>
              <w:jc w:val="center"/>
              <w:rPr>
                <w:rFonts w:ascii="仿宋" w:hAnsi="仿宋" w:eastAsia="仿宋" w:cs="Times New Roman"/>
                <w:sz w:val="24"/>
                <w:szCs w:val="24"/>
              </w:rPr>
            </w:pPr>
            <w:r>
              <w:rPr>
                <w:rFonts w:hint="eastAsia" w:ascii="仿宋" w:hAnsi="仿宋" w:eastAsia="仿宋" w:cs="仿宋"/>
                <w:sz w:val="24"/>
                <w:szCs w:val="24"/>
              </w:rPr>
              <w:t>实际单价</w:t>
            </w:r>
          </w:p>
          <w:p>
            <w:pPr>
              <w:spacing w:line="360" w:lineRule="auto"/>
              <w:jc w:val="center"/>
              <w:rPr>
                <w:rFonts w:ascii="仿宋" w:hAnsi="仿宋" w:eastAsia="仿宋" w:cs="Times New Roman"/>
                <w:sz w:val="24"/>
                <w:szCs w:val="24"/>
              </w:rPr>
            </w:pPr>
            <w:r>
              <w:rPr>
                <w:rFonts w:ascii="仿宋" w:hAnsi="仿宋" w:eastAsia="仿宋" w:cs="仿宋"/>
                <w:sz w:val="24"/>
                <w:szCs w:val="24"/>
              </w:rPr>
              <w:t>(</w:t>
            </w:r>
            <w:r>
              <w:rPr>
                <w:rFonts w:hint="eastAsia" w:ascii="仿宋" w:hAnsi="仿宋" w:eastAsia="仿宋" w:cs="仿宋"/>
                <w:sz w:val="24"/>
                <w:szCs w:val="24"/>
              </w:rPr>
              <w:t>元</w:t>
            </w:r>
            <w:r>
              <w:rPr>
                <w:rFonts w:ascii="仿宋" w:hAnsi="仿宋" w:eastAsia="仿宋" w:cs="仿宋"/>
                <w:sz w:val="24"/>
                <w:szCs w:val="24"/>
              </w:rPr>
              <w:t>)</w:t>
            </w:r>
          </w:p>
        </w:tc>
        <w:tc>
          <w:tcPr>
            <w:tcW w:w="1808" w:type="dxa"/>
            <w:vAlign w:val="center"/>
          </w:tcPr>
          <w:p>
            <w:pPr>
              <w:spacing w:line="360" w:lineRule="auto"/>
              <w:jc w:val="center"/>
              <w:rPr>
                <w:rFonts w:ascii="仿宋" w:hAnsi="仿宋" w:eastAsia="仿宋" w:cs="Times New Roman"/>
                <w:sz w:val="24"/>
                <w:szCs w:val="24"/>
              </w:rPr>
            </w:pPr>
            <w:r>
              <w:rPr>
                <w:rFonts w:hint="eastAsia" w:ascii="仿宋" w:hAnsi="仿宋" w:eastAsia="仿宋" w:cs="仿宋"/>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vAlign w:val="center"/>
          </w:tcPr>
          <w:p>
            <w:pPr>
              <w:spacing w:line="360" w:lineRule="auto"/>
              <w:jc w:val="center"/>
              <w:rPr>
                <w:rFonts w:ascii="仿宋" w:hAnsi="仿宋" w:eastAsia="仿宋" w:cs="Times New Roman"/>
                <w:sz w:val="24"/>
                <w:szCs w:val="24"/>
              </w:rPr>
            </w:pPr>
          </w:p>
        </w:tc>
        <w:tc>
          <w:tcPr>
            <w:tcW w:w="3787"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c>
          <w:tcPr>
            <w:tcW w:w="1442"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c>
          <w:tcPr>
            <w:tcW w:w="1808" w:type="dxa"/>
            <w:vAlign w:val="center"/>
          </w:tcPr>
          <w:p>
            <w:pPr>
              <w:spacing w:line="360" w:lineRule="auto"/>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vAlign w:val="center"/>
          </w:tcPr>
          <w:p>
            <w:pPr>
              <w:spacing w:line="360" w:lineRule="auto"/>
              <w:jc w:val="center"/>
              <w:rPr>
                <w:rFonts w:ascii="仿宋" w:hAnsi="仿宋" w:eastAsia="仿宋" w:cs="Times New Roman"/>
                <w:sz w:val="24"/>
                <w:szCs w:val="24"/>
              </w:rPr>
            </w:pPr>
          </w:p>
        </w:tc>
        <w:tc>
          <w:tcPr>
            <w:tcW w:w="3787"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c>
          <w:tcPr>
            <w:tcW w:w="1442"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c>
          <w:tcPr>
            <w:tcW w:w="1808" w:type="dxa"/>
            <w:vAlign w:val="center"/>
          </w:tcPr>
          <w:p>
            <w:pPr>
              <w:spacing w:line="360" w:lineRule="auto"/>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vAlign w:val="center"/>
          </w:tcPr>
          <w:p>
            <w:pPr>
              <w:spacing w:line="360" w:lineRule="auto"/>
              <w:jc w:val="center"/>
              <w:rPr>
                <w:rFonts w:ascii="仿宋" w:hAnsi="仿宋" w:eastAsia="仿宋" w:cs="Times New Roman"/>
                <w:sz w:val="24"/>
                <w:szCs w:val="24"/>
              </w:rPr>
            </w:pPr>
          </w:p>
        </w:tc>
        <w:tc>
          <w:tcPr>
            <w:tcW w:w="3787"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c>
          <w:tcPr>
            <w:tcW w:w="1442"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c>
          <w:tcPr>
            <w:tcW w:w="1808" w:type="dxa"/>
            <w:vAlign w:val="center"/>
          </w:tcPr>
          <w:p>
            <w:pPr>
              <w:spacing w:line="360" w:lineRule="auto"/>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vAlign w:val="center"/>
          </w:tcPr>
          <w:p>
            <w:pPr>
              <w:spacing w:line="360" w:lineRule="auto"/>
              <w:jc w:val="center"/>
              <w:rPr>
                <w:rFonts w:ascii="仿宋" w:hAnsi="仿宋" w:eastAsia="仿宋" w:cs="Times New Roman"/>
                <w:sz w:val="24"/>
                <w:szCs w:val="24"/>
              </w:rPr>
            </w:pPr>
          </w:p>
        </w:tc>
        <w:tc>
          <w:tcPr>
            <w:tcW w:w="3787"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c>
          <w:tcPr>
            <w:tcW w:w="1442"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c>
          <w:tcPr>
            <w:tcW w:w="1808" w:type="dxa"/>
            <w:vAlign w:val="center"/>
          </w:tcPr>
          <w:p>
            <w:pPr>
              <w:spacing w:line="360" w:lineRule="auto"/>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772" w:type="dxa"/>
            <w:vAlign w:val="center"/>
          </w:tcPr>
          <w:p>
            <w:pPr>
              <w:spacing w:line="360" w:lineRule="auto"/>
              <w:jc w:val="center"/>
              <w:rPr>
                <w:rFonts w:ascii="仿宋" w:hAnsi="仿宋" w:eastAsia="仿宋" w:cs="Times New Roman"/>
                <w:sz w:val="24"/>
                <w:szCs w:val="24"/>
              </w:rPr>
            </w:pPr>
          </w:p>
        </w:tc>
        <w:tc>
          <w:tcPr>
            <w:tcW w:w="3787"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c>
          <w:tcPr>
            <w:tcW w:w="1442"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c>
          <w:tcPr>
            <w:tcW w:w="1808" w:type="dxa"/>
            <w:vAlign w:val="center"/>
          </w:tcPr>
          <w:p>
            <w:pPr>
              <w:spacing w:line="360" w:lineRule="auto"/>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vAlign w:val="center"/>
          </w:tcPr>
          <w:p>
            <w:pPr>
              <w:spacing w:line="360" w:lineRule="auto"/>
              <w:jc w:val="center"/>
              <w:rPr>
                <w:rFonts w:ascii="仿宋" w:hAnsi="仿宋" w:eastAsia="仿宋" w:cs="Times New Roman"/>
                <w:sz w:val="24"/>
                <w:szCs w:val="24"/>
              </w:rPr>
            </w:pPr>
          </w:p>
        </w:tc>
        <w:tc>
          <w:tcPr>
            <w:tcW w:w="3787"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c>
          <w:tcPr>
            <w:tcW w:w="1442"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c>
          <w:tcPr>
            <w:tcW w:w="1808" w:type="dxa"/>
            <w:vAlign w:val="center"/>
          </w:tcPr>
          <w:p>
            <w:pPr>
              <w:spacing w:line="360" w:lineRule="auto"/>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vAlign w:val="center"/>
          </w:tcPr>
          <w:p>
            <w:pPr>
              <w:spacing w:line="360" w:lineRule="auto"/>
              <w:jc w:val="center"/>
              <w:rPr>
                <w:rFonts w:ascii="仿宋" w:hAnsi="仿宋" w:eastAsia="仿宋" w:cs="Times New Roman"/>
                <w:sz w:val="24"/>
                <w:szCs w:val="24"/>
              </w:rPr>
            </w:pPr>
          </w:p>
        </w:tc>
        <w:tc>
          <w:tcPr>
            <w:tcW w:w="3787"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c>
          <w:tcPr>
            <w:tcW w:w="1442"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c>
          <w:tcPr>
            <w:tcW w:w="1808" w:type="dxa"/>
            <w:vAlign w:val="center"/>
          </w:tcPr>
          <w:p>
            <w:pPr>
              <w:spacing w:line="360" w:lineRule="auto"/>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vAlign w:val="center"/>
          </w:tcPr>
          <w:p>
            <w:pPr>
              <w:spacing w:line="360" w:lineRule="auto"/>
              <w:jc w:val="center"/>
              <w:rPr>
                <w:rFonts w:ascii="仿宋" w:hAnsi="仿宋" w:eastAsia="仿宋" w:cs="Times New Roman"/>
                <w:sz w:val="24"/>
                <w:szCs w:val="24"/>
              </w:rPr>
            </w:pPr>
          </w:p>
        </w:tc>
        <w:tc>
          <w:tcPr>
            <w:tcW w:w="3787"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c>
          <w:tcPr>
            <w:tcW w:w="1442"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c>
          <w:tcPr>
            <w:tcW w:w="1808" w:type="dxa"/>
            <w:vAlign w:val="center"/>
          </w:tcPr>
          <w:p>
            <w:pPr>
              <w:spacing w:line="360" w:lineRule="auto"/>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vAlign w:val="center"/>
          </w:tcPr>
          <w:p>
            <w:pPr>
              <w:spacing w:line="360" w:lineRule="auto"/>
              <w:jc w:val="center"/>
              <w:rPr>
                <w:rFonts w:ascii="仿宋" w:hAnsi="仿宋" w:eastAsia="仿宋" w:cs="Times New Roman"/>
                <w:sz w:val="24"/>
                <w:szCs w:val="24"/>
              </w:rPr>
            </w:pPr>
          </w:p>
        </w:tc>
        <w:tc>
          <w:tcPr>
            <w:tcW w:w="3787"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c>
          <w:tcPr>
            <w:tcW w:w="1442"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c>
          <w:tcPr>
            <w:tcW w:w="1808" w:type="dxa"/>
            <w:vAlign w:val="center"/>
          </w:tcPr>
          <w:p>
            <w:pPr>
              <w:spacing w:line="360" w:lineRule="auto"/>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vAlign w:val="center"/>
          </w:tcPr>
          <w:p>
            <w:pPr>
              <w:spacing w:line="360" w:lineRule="auto"/>
              <w:jc w:val="center"/>
              <w:rPr>
                <w:rFonts w:ascii="仿宋" w:hAnsi="仿宋" w:eastAsia="仿宋" w:cs="Times New Roman"/>
                <w:sz w:val="24"/>
                <w:szCs w:val="24"/>
              </w:rPr>
            </w:pPr>
          </w:p>
        </w:tc>
        <w:tc>
          <w:tcPr>
            <w:tcW w:w="3787"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c>
          <w:tcPr>
            <w:tcW w:w="1442"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c>
          <w:tcPr>
            <w:tcW w:w="1808" w:type="dxa"/>
            <w:vAlign w:val="center"/>
          </w:tcPr>
          <w:p>
            <w:pPr>
              <w:spacing w:line="360" w:lineRule="auto"/>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vAlign w:val="center"/>
          </w:tcPr>
          <w:p>
            <w:pPr>
              <w:spacing w:line="360" w:lineRule="auto"/>
              <w:jc w:val="center"/>
              <w:rPr>
                <w:rFonts w:ascii="仿宋" w:hAnsi="仿宋" w:eastAsia="仿宋" w:cs="Times New Roman"/>
                <w:sz w:val="24"/>
                <w:szCs w:val="24"/>
              </w:rPr>
            </w:pPr>
          </w:p>
        </w:tc>
        <w:tc>
          <w:tcPr>
            <w:tcW w:w="3787"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c>
          <w:tcPr>
            <w:tcW w:w="1442"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c>
          <w:tcPr>
            <w:tcW w:w="1808" w:type="dxa"/>
            <w:vAlign w:val="center"/>
          </w:tcPr>
          <w:p>
            <w:pPr>
              <w:spacing w:line="360" w:lineRule="auto"/>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vAlign w:val="center"/>
          </w:tcPr>
          <w:p>
            <w:pPr>
              <w:spacing w:line="360" w:lineRule="auto"/>
              <w:jc w:val="center"/>
              <w:rPr>
                <w:rFonts w:ascii="仿宋" w:hAnsi="仿宋" w:eastAsia="仿宋" w:cs="Times New Roman"/>
                <w:sz w:val="24"/>
                <w:szCs w:val="24"/>
              </w:rPr>
            </w:pPr>
          </w:p>
        </w:tc>
        <w:tc>
          <w:tcPr>
            <w:tcW w:w="3787"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c>
          <w:tcPr>
            <w:tcW w:w="1442"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c>
          <w:tcPr>
            <w:tcW w:w="1808" w:type="dxa"/>
            <w:vAlign w:val="center"/>
          </w:tcPr>
          <w:p>
            <w:pPr>
              <w:spacing w:line="360" w:lineRule="auto"/>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vAlign w:val="center"/>
          </w:tcPr>
          <w:p>
            <w:pPr>
              <w:spacing w:line="360" w:lineRule="auto"/>
              <w:jc w:val="center"/>
              <w:rPr>
                <w:rFonts w:ascii="仿宋" w:hAnsi="仿宋" w:eastAsia="仿宋" w:cs="Times New Roman"/>
                <w:sz w:val="24"/>
                <w:szCs w:val="24"/>
              </w:rPr>
            </w:pPr>
          </w:p>
        </w:tc>
        <w:tc>
          <w:tcPr>
            <w:tcW w:w="3787"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c>
          <w:tcPr>
            <w:tcW w:w="1442"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c>
          <w:tcPr>
            <w:tcW w:w="1808" w:type="dxa"/>
            <w:vAlign w:val="center"/>
          </w:tcPr>
          <w:p>
            <w:pPr>
              <w:spacing w:line="360" w:lineRule="auto"/>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vAlign w:val="center"/>
          </w:tcPr>
          <w:p>
            <w:pPr>
              <w:spacing w:line="360" w:lineRule="auto"/>
              <w:jc w:val="center"/>
              <w:rPr>
                <w:rFonts w:ascii="仿宋" w:hAnsi="仿宋" w:eastAsia="仿宋" w:cs="Times New Roman"/>
                <w:sz w:val="24"/>
                <w:szCs w:val="24"/>
              </w:rPr>
            </w:pPr>
          </w:p>
        </w:tc>
        <w:tc>
          <w:tcPr>
            <w:tcW w:w="3787"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c>
          <w:tcPr>
            <w:tcW w:w="1442"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c>
          <w:tcPr>
            <w:tcW w:w="1808" w:type="dxa"/>
            <w:vAlign w:val="center"/>
          </w:tcPr>
          <w:p>
            <w:pPr>
              <w:spacing w:line="360" w:lineRule="auto"/>
              <w:jc w:val="center"/>
              <w:rPr>
                <w:rFonts w:ascii="仿宋" w:hAnsi="仿宋" w:eastAsia="仿宋" w:cs="Times New Roman"/>
                <w:sz w:val="24"/>
                <w:szCs w:val="24"/>
              </w:rPr>
            </w:pPr>
          </w:p>
        </w:tc>
      </w:tr>
    </w:tbl>
    <w:p>
      <w:pPr>
        <w:spacing w:line="360" w:lineRule="auto"/>
        <w:rPr>
          <w:rFonts w:ascii="仿宋" w:hAnsi="仿宋" w:eastAsia="仿宋" w:cs="Times New Roman"/>
          <w:sz w:val="24"/>
          <w:szCs w:val="24"/>
        </w:rPr>
      </w:pPr>
      <w:r>
        <w:rPr>
          <w:rFonts w:hint="eastAsia" w:ascii="仿宋" w:hAnsi="仿宋" w:eastAsia="仿宋" w:cs="仿宋"/>
          <w:sz w:val="24"/>
          <w:szCs w:val="24"/>
        </w:rPr>
        <w:t>说明：</w:t>
      </w:r>
      <w:r>
        <w:rPr>
          <w:rFonts w:ascii="仿宋" w:hAnsi="仿宋" w:eastAsia="仿宋" w:cs="仿宋"/>
          <w:sz w:val="24"/>
          <w:szCs w:val="24"/>
        </w:rPr>
        <w:t>1.</w:t>
      </w:r>
      <w:r>
        <w:rPr>
          <w:rFonts w:hint="eastAsia" w:ascii="仿宋" w:hAnsi="仿宋" w:eastAsia="仿宋" w:cs="仿宋"/>
          <w:sz w:val="24"/>
          <w:szCs w:val="24"/>
        </w:rPr>
        <w:t>本表由承包人填制，承包人应按照合同约定填报实际单价，提交造价工程核实并由其报发包人确认后，将该单价与暂估单价的差额以及相关费用列入合同价款内。</w:t>
      </w:r>
    </w:p>
    <w:p>
      <w:pPr>
        <w:spacing w:line="360" w:lineRule="auto"/>
        <w:ind w:firstLine="720" w:firstLineChars="300"/>
        <w:rPr>
          <w:rFonts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本表一式四份，发包人、监理人、工程造价咨询人（如有）、承包人各存一份。</w:t>
      </w:r>
    </w:p>
    <w:p>
      <w:pPr>
        <w:spacing w:line="360" w:lineRule="auto"/>
        <w:outlineLvl w:val="1"/>
        <w:rPr>
          <w:rFonts w:ascii="仿宋" w:hAnsi="仿宋" w:eastAsia="仿宋" w:cs="Times New Roman"/>
          <w:sz w:val="30"/>
          <w:szCs w:val="30"/>
        </w:rPr>
      </w:pPr>
      <w:r>
        <w:rPr>
          <w:rFonts w:ascii="仿宋" w:hAnsi="仿宋" w:eastAsia="仿宋" w:cs="Times New Roman"/>
          <w:kern w:val="0"/>
          <w:sz w:val="24"/>
          <w:szCs w:val="24"/>
        </w:rPr>
        <w:br w:type="page"/>
      </w:r>
      <w:bookmarkStart w:id="795" w:name="_Toc266892948"/>
      <w:bookmarkStart w:id="796" w:name="_Toc10625006"/>
      <w:bookmarkStart w:id="797" w:name="_Toc469384162"/>
      <w:r>
        <w:rPr>
          <w:rFonts w:hint="eastAsia" w:ascii="仿宋" w:hAnsi="仿宋" w:eastAsia="仿宋" w:cs="仿宋"/>
          <w:b/>
          <w:bCs/>
          <w:color w:val="000000"/>
          <w:kern w:val="0"/>
          <w:sz w:val="24"/>
          <w:szCs w:val="24"/>
        </w:rPr>
        <w:t>格式</w:t>
      </w:r>
      <w:r>
        <w:rPr>
          <w:rFonts w:ascii="仿宋" w:hAnsi="仿宋" w:eastAsia="仿宋" w:cs="仿宋"/>
          <w:b/>
          <w:bCs/>
          <w:color w:val="000000"/>
          <w:kern w:val="0"/>
          <w:sz w:val="24"/>
          <w:szCs w:val="24"/>
        </w:rPr>
        <w:t>22</w:t>
      </w:r>
      <w:bookmarkEnd w:id="795"/>
      <w:bookmarkEnd w:id="796"/>
      <w:bookmarkEnd w:id="797"/>
    </w:p>
    <w:p>
      <w:pPr>
        <w:spacing w:line="360" w:lineRule="auto"/>
        <w:jc w:val="center"/>
        <w:rPr>
          <w:rFonts w:ascii="仿宋" w:hAnsi="仿宋" w:eastAsia="仿宋" w:cs="Times New Roman"/>
          <w:b/>
          <w:bCs/>
          <w:spacing w:val="30"/>
          <w:sz w:val="44"/>
          <w:szCs w:val="44"/>
        </w:rPr>
      </w:pPr>
      <w:r>
        <w:rPr>
          <w:rFonts w:hint="eastAsia" w:ascii="仿宋" w:hAnsi="仿宋" w:eastAsia="仿宋" w:cs="仿宋"/>
          <w:b/>
          <w:bCs/>
          <w:spacing w:val="30"/>
          <w:sz w:val="44"/>
          <w:szCs w:val="44"/>
        </w:rPr>
        <w:t>专业工程暂估价调整表</w:t>
      </w:r>
    </w:p>
    <w:p>
      <w:pPr>
        <w:spacing w:line="360" w:lineRule="auto"/>
        <w:rPr>
          <w:rFonts w:ascii="仿宋" w:hAnsi="仿宋" w:eastAsia="仿宋" w:cs="Times New Roman"/>
          <w:sz w:val="24"/>
          <w:szCs w:val="24"/>
        </w:rPr>
      </w:pPr>
      <w:r>
        <w:rPr>
          <w:rFonts w:hint="eastAsia" w:ascii="仿宋" w:hAnsi="仿宋" w:eastAsia="仿宋" w:cs="仿宋"/>
          <w:sz w:val="24"/>
          <w:szCs w:val="24"/>
        </w:rPr>
        <w:t>工程名称</w:t>
      </w:r>
      <w:r>
        <w:rPr>
          <w:rFonts w:ascii="仿宋" w:hAnsi="仿宋" w:eastAsia="仿宋" w:cs="仿宋"/>
          <w:sz w:val="24"/>
          <w:szCs w:val="24"/>
        </w:rPr>
        <w:t>:</w:t>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编号</w:t>
      </w:r>
      <w:r>
        <w:rPr>
          <w:rFonts w:ascii="仿宋" w:hAnsi="仿宋" w:eastAsia="仿宋" w:cs="仿宋"/>
          <w:sz w:val="24"/>
          <w:szCs w:val="24"/>
        </w:rPr>
        <w:t>:</w:t>
      </w:r>
    </w:p>
    <w:tbl>
      <w:tblPr>
        <w:tblStyle w:val="40"/>
        <w:tblW w:w="1033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2886"/>
        <w:gridCol w:w="2886"/>
        <w:gridCol w:w="1263"/>
        <w:gridCol w:w="1263"/>
        <w:gridCol w:w="1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vAlign w:val="center"/>
          </w:tcPr>
          <w:p>
            <w:pPr>
              <w:spacing w:line="360" w:lineRule="auto"/>
              <w:jc w:val="center"/>
              <w:rPr>
                <w:rFonts w:ascii="仿宋" w:hAnsi="仿宋" w:eastAsia="仿宋" w:cs="Times New Roman"/>
                <w:sz w:val="24"/>
                <w:szCs w:val="24"/>
              </w:rPr>
            </w:pPr>
            <w:r>
              <w:rPr>
                <w:rFonts w:hint="eastAsia" w:ascii="仿宋" w:hAnsi="仿宋" w:eastAsia="仿宋" w:cs="仿宋"/>
                <w:sz w:val="24"/>
                <w:szCs w:val="24"/>
              </w:rPr>
              <w:t>序号</w:t>
            </w:r>
          </w:p>
        </w:tc>
        <w:tc>
          <w:tcPr>
            <w:tcW w:w="2886" w:type="dxa"/>
            <w:vAlign w:val="center"/>
          </w:tcPr>
          <w:p>
            <w:pPr>
              <w:spacing w:line="360" w:lineRule="auto"/>
              <w:jc w:val="center"/>
              <w:rPr>
                <w:rFonts w:ascii="仿宋" w:hAnsi="仿宋" w:eastAsia="仿宋" w:cs="Times New Roman"/>
                <w:sz w:val="24"/>
                <w:szCs w:val="24"/>
              </w:rPr>
            </w:pPr>
            <w:r>
              <w:rPr>
                <w:rFonts w:hint="eastAsia" w:ascii="仿宋" w:hAnsi="仿宋" w:eastAsia="仿宋" w:cs="仿宋"/>
                <w:sz w:val="24"/>
                <w:szCs w:val="24"/>
              </w:rPr>
              <w:t>工程名称</w:t>
            </w:r>
          </w:p>
        </w:tc>
        <w:tc>
          <w:tcPr>
            <w:tcW w:w="2886" w:type="dxa"/>
            <w:vAlign w:val="center"/>
          </w:tcPr>
          <w:p>
            <w:pPr>
              <w:spacing w:line="360" w:lineRule="auto"/>
              <w:jc w:val="center"/>
              <w:rPr>
                <w:rFonts w:ascii="仿宋" w:hAnsi="仿宋" w:eastAsia="仿宋" w:cs="Times New Roman"/>
                <w:sz w:val="24"/>
                <w:szCs w:val="24"/>
              </w:rPr>
            </w:pPr>
            <w:r>
              <w:rPr>
                <w:rFonts w:hint="eastAsia" w:ascii="仿宋" w:hAnsi="仿宋" w:eastAsia="仿宋" w:cs="仿宋"/>
                <w:sz w:val="24"/>
                <w:szCs w:val="24"/>
              </w:rPr>
              <w:t>工程内容</w:t>
            </w:r>
          </w:p>
        </w:tc>
        <w:tc>
          <w:tcPr>
            <w:tcW w:w="1263" w:type="dxa"/>
            <w:vAlign w:val="center"/>
          </w:tcPr>
          <w:p>
            <w:pPr>
              <w:spacing w:line="360" w:lineRule="auto"/>
              <w:jc w:val="center"/>
              <w:rPr>
                <w:rFonts w:ascii="仿宋" w:hAnsi="仿宋" w:eastAsia="仿宋" w:cs="Times New Roman"/>
                <w:sz w:val="24"/>
                <w:szCs w:val="24"/>
              </w:rPr>
            </w:pPr>
            <w:r>
              <w:rPr>
                <w:rFonts w:hint="eastAsia" w:ascii="仿宋" w:hAnsi="仿宋" w:eastAsia="仿宋" w:cs="仿宋"/>
                <w:sz w:val="24"/>
                <w:szCs w:val="24"/>
              </w:rPr>
              <w:t>暂列金额</w:t>
            </w:r>
          </w:p>
          <w:p>
            <w:pPr>
              <w:spacing w:line="360" w:lineRule="auto"/>
              <w:jc w:val="center"/>
              <w:rPr>
                <w:rFonts w:ascii="仿宋" w:hAnsi="仿宋" w:eastAsia="仿宋" w:cs="Times New Roman"/>
                <w:sz w:val="24"/>
                <w:szCs w:val="24"/>
              </w:rPr>
            </w:pPr>
            <w:r>
              <w:rPr>
                <w:rFonts w:hint="eastAsia" w:ascii="仿宋" w:hAnsi="仿宋" w:eastAsia="仿宋" w:cs="仿宋"/>
                <w:sz w:val="24"/>
                <w:szCs w:val="24"/>
              </w:rPr>
              <w:t>（元）</w:t>
            </w:r>
          </w:p>
        </w:tc>
        <w:tc>
          <w:tcPr>
            <w:tcW w:w="1263" w:type="dxa"/>
            <w:vAlign w:val="center"/>
          </w:tcPr>
          <w:p>
            <w:pPr>
              <w:spacing w:line="360" w:lineRule="auto"/>
              <w:jc w:val="center"/>
              <w:rPr>
                <w:rFonts w:ascii="仿宋" w:hAnsi="仿宋" w:eastAsia="仿宋" w:cs="Times New Roman"/>
                <w:sz w:val="24"/>
                <w:szCs w:val="24"/>
              </w:rPr>
            </w:pPr>
            <w:r>
              <w:rPr>
                <w:rFonts w:hint="eastAsia" w:ascii="仿宋" w:hAnsi="仿宋" w:eastAsia="仿宋" w:cs="仿宋"/>
                <w:sz w:val="24"/>
                <w:szCs w:val="24"/>
              </w:rPr>
              <w:t>实际金额</w:t>
            </w:r>
          </w:p>
          <w:p>
            <w:pPr>
              <w:spacing w:line="360" w:lineRule="auto"/>
              <w:jc w:val="center"/>
              <w:rPr>
                <w:rFonts w:ascii="仿宋" w:hAnsi="仿宋" w:eastAsia="仿宋" w:cs="Times New Roman"/>
                <w:sz w:val="24"/>
                <w:szCs w:val="24"/>
              </w:rPr>
            </w:pPr>
            <w:r>
              <w:rPr>
                <w:rFonts w:hint="eastAsia" w:ascii="仿宋" w:hAnsi="仿宋" w:eastAsia="仿宋" w:cs="仿宋"/>
                <w:sz w:val="24"/>
                <w:szCs w:val="24"/>
              </w:rPr>
              <w:t>（元）</w:t>
            </w:r>
          </w:p>
        </w:tc>
        <w:tc>
          <w:tcPr>
            <w:tcW w:w="1262" w:type="dxa"/>
            <w:vAlign w:val="center"/>
          </w:tcPr>
          <w:p>
            <w:pPr>
              <w:spacing w:line="360" w:lineRule="auto"/>
              <w:jc w:val="center"/>
              <w:rPr>
                <w:rFonts w:ascii="仿宋" w:hAnsi="仿宋" w:eastAsia="仿宋" w:cs="Times New Roman"/>
                <w:sz w:val="24"/>
                <w:szCs w:val="24"/>
              </w:rPr>
            </w:pPr>
            <w:r>
              <w:rPr>
                <w:rFonts w:hint="eastAsia" w:ascii="仿宋" w:hAnsi="仿宋" w:eastAsia="仿宋" w:cs="仿宋"/>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vAlign w:val="center"/>
          </w:tcPr>
          <w:p>
            <w:pPr>
              <w:spacing w:line="360" w:lineRule="auto"/>
              <w:jc w:val="center"/>
              <w:rPr>
                <w:rFonts w:ascii="仿宋" w:hAnsi="仿宋" w:eastAsia="仿宋" w:cs="Times New Roman"/>
                <w:sz w:val="24"/>
                <w:szCs w:val="24"/>
              </w:rPr>
            </w:pPr>
          </w:p>
        </w:tc>
        <w:tc>
          <w:tcPr>
            <w:tcW w:w="2886" w:type="dxa"/>
            <w:vAlign w:val="center"/>
          </w:tcPr>
          <w:p>
            <w:pPr>
              <w:spacing w:line="360" w:lineRule="auto"/>
              <w:jc w:val="center"/>
              <w:rPr>
                <w:rFonts w:ascii="仿宋" w:hAnsi="仿宋" w:eastAsia="仿宋" w:cs="Times New Roman"/>
                <w:sz w:val="24"/>
                <w:szCs w:val="24"/>
              </w:rPr>
            </w:pPr>
          </w:p>
        </w:tc>
        <w:tc>
          <w:tcPr>
            <w:tcW w:w="2886" w:type="dxa"/>
            <w:vAlign w:val="center"/>
          </w:tcPr>
          <w:p>
            <w:pPr>
              <w:spacing w:line="360" w:lineRule="auto"/>
              <w:jc w:val="center"/>
              <w:rPr>
                <w:rFonts w:ascii="仿宋" w:hAnsi="仿宋" w:eastAsia="仿宋" w:cs="Times New Roman"/>
                <w:sz w:val="24"/>
                <w:szCs w:val="24"/>
              </w:rPr>
            </w:pPr>
          </w:p>
        </w:tc>
        <w:tc>
          <w:tcPr>
            <w:tcW w:w="1263" w:type="dxa"/>
            <w:vAlign w:val="center"/>
          </w:tcPr>
          <w:p>
            <w:pPr>
              <w:spacing w:line="360" w:lineRule="auto"/>
              <w:jc w:val="center"/>
              <w:rPr>
                <w:rFonts w:ascii="仿宋" w:hAnsi="仿宋" w:eastAsia="仿宋" w:cs="Times New Roman"/>
                <w:sz w:val="24"/>
                <w:szCs w:val="24"/>
              </w:rPr>
            </w:pPr>
          </w:p>
        </w:tc>
        <w:tc>
          <w:tcPr>
            <w:tcW w:w="1263"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vAlign w:val="center"/>
          </w:tcPr>
          <w:p>
            <w:pPr>
              <w:spacing w:line="360" w:lineRule="auto"/>
              <w:jc w:val="center"/>
              <w:rPr>
                <w:rFonts w:ascii="仿宋" w:hAnsi="仿宋" w:eastAsia="仿宋" w:cs="Times New Roman"/>
                <w:sz w:val="24"/>
                <w:szCs w:val="24"/>
              </w:rPr>
            </w:pPr>
          </w:p>
        </w:tc>
        <w:tc>
          <w:tcPr>
            <w:tcW w:w="2886" w:type="dxa"/>
            <w:vAlign w:val="center"/>
          </w:tcPr>
          <w:p>
            <w:pPr>
              <w:spacing w:line="360" w:lineRule="auto"/>
              <w:jc w:val="center"/>
              <w:rPr>
                <w:rFonts w:ascii="仿宋" w:hAnsi="仿宋" w:eastAsia="仿宋" w:cs="Times New Roman"/>
                <w:sz w:val="24"/>
                <w:szCs w:val="24"/>
              </w:rPr>
            </w:pPr>
          </w:p>
        </w:tc>
        <w:tc>
          <w:tcPr>
            <w:tcW w:w="2886" w:type="dxa"/>
            <w:vAlign w:val="center"/>
          </w:tcPr>
          <w:p>
            <w:pPr>
              <w:spacing w:line="360" w:lineRule="auto"/>
              <w:jc w:val="center"/>
              <w:rPr>
                <w:rFonts w:ascii="仿宋" w:hAnsi="仿宋" w:eastAsia="仿宋" w:cs="Times New Roman"/>
                <w:sz w:val="24"/>
                <w:szCs w:val="24"/>
              </w:rPr>
            </w:pPr>
          </w:p>
        </w:tc>
        <w:tc>
          <w:tcPr>
            <w:tcW w:w="1263" w:type="dxa"/>
            <w:vAlign w:val="center"/>
          </w:tcPr>
          <w:p>
            <w:pPr>
              <w:spacing w:line="360" w:lineRule="auto"/>
              <w:jc w:val="center"/>
              <w:rPr>
                <w:rFonts w:ascii="仿宋" w:hAnsi="仿宋" w:eastAsia="仿宋" w:cs="Times New Roman"/>
                <w:sz w:val="24"/>
                <w:szCs w:val="24"/>
              </w:rPr>
            </w:pPr>
          </w:p>
        </w:tc>
        <w:tc>
          <w:tcPr>
            <w:tcW w:w="1263"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vAlign w:val="center"/>
          </w:tcPr>
          <w:p>
            <w:pPr>
              <w:spacing w:line="360" w:lineRule="auto"/>
              <w:jc w:val="center"/>
              <w:rPr>
                <w:rFonts w:ascii="仿宋" w:hAnsi="仿宋" w:eastAsia="仿宋" w:cs="Times New Roman"/>
                <w:sz w:val="24"/>
                <w:szCs w:val="24"/>
              </w:rPr>
            </w:pPr>
          </w:p>
        </w:tc>
        <w:tc>
          <w:tcPr>
            <w:tcW w:w="2886" w:type="dxa"/>
            <w:vAlign w:val="center"/>
          </w:tcPr>
          <w:p>
            <w:pPr>
              <w:spacing w:line="360" w:lineRule="auto"/>
              <w:jc w:val="center"/>
              <w:rPr>
                <w:rFonts w:ascii="仿宋" w:hAnsi="仿宋" w:eastAsia="仿宋" w:cs="Times New Roman"/>
                <w:sz w:val="24"/>
                <w:szCs w:val="24"/>
              </w:rPr>
            </w:pPr>
          </w:p>
        </w:tc>
        <w:tc>
          <w:tcPr>
            <w:tcW w:w="2886" w:type="dxa"/>
            <w:vAlign w:val="center"/>
          </w:tcPr>
          <w:p>
            <w:pPr>
              <w:spacing w:line="360" w:lineRule="auto"/>
              <w:jc w:val="center"/>
              <w:rPr>
                <w:rFonts w:ascii="仿宋" w:hAnsi="仿宋" w:eastAsia="仿宋" w:cs="Times New Roman"/>
                <w:sz w:val="24"/>
                <w:szCs w:val="24"/>
              </w:rPr>
            </w:pPr>
          </w:p>
        </w:tc>
        <w:tc>
          <w:tcPr>
            <w:tcW w:w="1263" w:type="dxa"/>
            <w:vAlign w:val="center"/>
          </w:tcPr>
          <w:p>
            <w:pPr>
              <w:spacing w:line="360" w:lineRule="auto"/>
              <w:jc w:val="center"/>
              <w:rPr>
                <w:rFonts w:ascii="仿宋" w:hAnsi="仿宋" w:eastAsia="仿宋" w:cs="Times New Roman"/>
                <w:sz w:val="24"/>
                <w:szCs w:val="24"/>
              </w:rPr>
            </w:pPr>
          </w:p>
        </w:tc>
        <w:tc>
          <w:tcPr>
            <w:tcW w:w="1263"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vAlign w:val="center"/>
          </w:tcPr>
          <w:p>
            <w:pPr>
              <w:spacing w:line="360" w:lineRule="auto"/>
              <w:jc w:val="center"/>
              <w:rPr>
                <w:rFonts w:ascii="仿宋" w:hAnsi="仿宋" w:eastAsia="仿宋" w:cs="Times New Roman"/>
                <w:sz w:val="24"/>
                <w:szCs w:val="24"/>
              </w:rPr>
            </w:pPr>
          </w:p>
        </w:tc>
        <w:tc>
          <w:tcPr>
            <w:tcW w:w="2886" w:type="dxa"/>
            <w:vAlign w:val="center"/>
          </w:tcPr>
          <w:p>
            <w:pPr>
              <w:spacing w:line="360" w:lineRule="auto"/>
              <w:jc w:val="center"/>
              <w:rPr>
                <w:rFonts w:ascii="仿宋" w:hAnsi="仿宋" w:eastAsia="仿宋" w:cs="Times New Roman"/>
                <w:sz w:val="24"/>
                <w:szCs w:val="24"/>
              </w:rPr>
            </w:pPr>
          </w:p>
        </w:tc>
        <w:tc>
          <w:tcPr>
            <w:tcW w:w="2886" w:type="dxa"/>
            <w:vAlign w:val="center"/>
          </w:tcPr>
          <w:p>
            <w:pPr>
              <w:spacing w:line="360" w:lineRule="auto"/>
              <w:jc w:val="center"/>
              <w:rPr>
                <w:rFonts w:ascii="仿宋" w:hAnsi="仿宋" w:eastAsia="仿宋" w:cs="Times New Roman"/>
                <w:sz w:val="24"/>
                <w:szCs w:val="24"/>
              </w:rPr>
            </w:pPr>
          </w:p>
        </w:tc>
        <w:tc>
          <w:tcPr>
            <w:tcW w:w="1263" w:type="dxa"/>
            <w:vAlign w:val="center"/>
          </w:tcPr>
          <w:p>
            <w:pPr>
              <w:spacing w:line="360" w:lineRule="auto"/>
              <w:jc w:val="center"/>
              <w:rPr>
                <w:rFonts w:ascii="仿宋" w:hAnsi="仿宋" w:eastAsia="仿宋" w:cs="Times New Roman"/>
                <w:sz w:val="24"/>
                <w:szCs w:val="24"/>
              </w:rPr>
            </w:pPr>
          </w:p>
        </w:tc>
        <w:tc>
          <w:tcPr>
            <w:tcW w:w="1263"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772" w:type="dxa"/>
            <w:vAlign w:val="center"/>
          </w:tcPr>
          <w:p>
            <w:pPr>
              <w:spacing w:line="360" w:lineRule="auto"/>
              <w:jc w:val="center"/>
              <w:rPr>
                <w:rFonts w:ascii="仿宋" w:hAnsi="仿宋" w:eastAsia="仿宋" w:cs="Times New Roman"/>
                <w:sz w:val="24"/>
                <w:szCs w:val="24"/>
              </w:rPr>
            </w:pPr>
          </w:p>
        </w:tc>
        <w:tc>
          <w:tcPr>
            <w:tcW w:w="2886" w:type="dxa"/>
            <w:vAlign w:val="center"/>
          </w:tcPr>
          <w:p>
            <w:pPr>
              <w:spacing w:line="360" w:lineRule="auto"/>
              <w:jc w:val="center"/>
              <w:rPr>
                <w:rFonts w:ascii="仿宋" w:hAnsi="仿宋" w:eastAsia="仿宋" w:cs="Times New Roman"/>
                <w:sz w:val="24"/>
                <w:szCs w:val="24"/>
              </w:rPr>
            </w:pPr>
          </w:p>
        </w:tc>
        <w:tc>
          <w:tcPr>
            <w:tcW w:w="2886" w:type="dxa"/>
            <w:vAlign w:val="center"/>
          </w:tcPr>
          <w:p>
            <w:pPr>
              <w:spacing w:line="360" w:lineRule="auto"/>
              <w:jc w:val="center"/>
              <w:rPr>
                <w:rFonts w:ascii="仿宋" w:hAnsi="仿宋" w:eastAsia="仿宋" w:cs="Times New Roman"/>
                <w:sz w:val="24"/>
                <w:szCs w:val="24"/>
              </w:rPr>
            </w:pPr>
          </w:p>
        </w:tc>
        <w:tc>
          <w:tcPr>
            <w:tcW w:w="1263" w:type="dxa"/>
            <w:vAlign w:val="center"/>
          </w:tcPr>
          <w:p>
            <w:pPr>
              <w:spacing w:line="360" w:lineRule="auto"/>
              <w:jc w:val="center"/>
              <w:rPr>
                <w:rFonts w:ascii="仿宋" w:hAnsi="仿宋" w:eastAsia="仿宋" w:cs="Times New Roman"/>
                <w:sz w:val="24"/>
                <w:szCs w:val="24"/>
              </w:rPr>
            </w:pPr>
          </w:p>
        </w:tc>
        <w:tc>
          <w:tcPr>
            <w:tcW w:w="1263"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vAlign w:val="center"/>
          </w:tcPr>
          <w:p>
            <w:pPr>
              <w:spacing w:line="360" w:lineRule="auto"/>
              <w:jc w:val="center"/>
              <w:rPr>
                <w:rFonts w:ascii="仿宋" w:hAnsi="仿宋" w:eastAsia="仿宋" w:cs="Times New Roman"/>
                <w:sz w:val="24"/>
                <w:szCs w:val="24"/>
              </w:rPr>
            </w:pPr>
          </w:p>
        </w:tc>
        <w:tc>
          <w:tcPr>
            <w:tcW w:w="2886" w:type="dxa"/>
            <w:vAlign w:val="center"/>
          </w:tcPr>
          <w:p>
            <w:pPr>
              <w:spacing w:line="360" w:lineRule="auto"/>
              <w:jc w:val="center"/>
              <w:rPr>
                <w:rFonts w:ascii="仿宋" w:hAnsi="仿宋" w:eastAsia="仿宋" w:cs="Times New Roman"/>
                <w:sz w:val="24"/>
                <w:szCs w:val="24"/>
              </w:rPr>
            </w:pPr>
          </w:p>
        </w:tc>
        <w:tc>
          <w:tcPr>
            <w:tcW w:w="2886" w:type="dxa"/>
            <w:vAlign w:val="center"/>
          </w:tcPr>
          <w:p>
            <w:pPr>
              <w:spacing w:line="360" w:lineRule="auto"/>
              <w:jc w:val="center"/>
              <w:rPr>
                <w:rFonts w:ascii="仿宋" w:hAnsi="仿宋" w:eastAsia="仿宋" w:cs="Times New Roman"/>
                <w:sz w:val="24"/>
                <w:szCs w:val="24"/>
              </w:rPr>
            </w:pPr>
          </w:p>
        </w:tc>
        <w:tc>
          <w:tcPr>
            <w:tcW w:w="1263" w:type="dxa"/>
            <w:vAlign w:val="center"/>
          </w:tcPr>
          <w:p>
            <w:pPr>
              <w:spacing w:line="360" w:lineRule="auto"/>
              <w:jc w:val="center"/>
              <w:rPr>
                <w:rFonts w:ascii="仿宋" w:hAnsi="仿宋" w:eastAsia="仿宋" w:cs="Times New Roman"/>
                <w:sz w:val="24"/>
                <w:szCs w:val="24"/>
              </w:rPr>
            </w:pPr>
          </w:p>
        </w:tc>
        <w:tc>
          <w:tcPr>
            <w:tcW w:w="1263"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vAlign w:val="center"/>
          </w:tcPr>
          <w:p>
            <w:pPr>
              <w:spacing w:line="360" w:lineRule="auto"/>
              <w:jc w:val="center"/>
              <w:rPr>
                <w:rFonts w:ascii="仿宋" w:hAnsi="仿宋" w:eastAsia="仿宋" w:cs="Times New Roman"/>
                <w:sz w:val="24"/>
                <w:szCs w:val="24"/>
              </w:rPr>
            </w:pPr>
          </w:p>
        </w:tc>
        <w:tc>
          <w:tcPr>
            <w:tcW w:w="2886" w:type="dxa"/>
            <w:vAlign w:val="center"/>
          </w:tcPr>
          <w:p>
            <w:pPr>
              <w:spacing w:line="360" w:lineRule="auto"/>
              <w:jc w:val="center"/>
              <w:rPr>
                <w:rFonts w:ascii="仿宋" w:hAnsi="仿宋" w:eastAsia="仿宋" w:cs="Times New Roman"/>
                <w:sz w:val="24"/>
                <w:szCs w:val="24"/>
              </w:rPr>
            </w:pPr>
          </w:p>
        </w:tc>
        <w:tc>
          <w:tcPr>
            <w:tcW w:w="2886" w:type="dxa"/>
            <w:vAlign w:val="center"/>
          </w:tcPr>
          <w:p>
            <w:pPr>
              <w:spacing w:line="360" w:lineRule="auto"/>
              <w:jc w:val="center"/>
              <w:rPr>
                <w:rFonts w:ascii="仿宋" w:hAnsi="仿宋" w:eastAsia="仿宋" w:cs="Times New Roman"/>
                <w:sz w:val="24"/>
                <w:szCs w:val="24"/>
              </w:rPr>
            </w:pPr>
          </w:p>
        </w:tc>
        <w:tc>
          <w:tcPr>
            <w:tcW w:w="1263" w:type="dxa"/>
            <w:vAlign w:val="center"/>
          </w:tcPr>
          <w:p>
            <w:pPr>
              <w:spacing w:line="360" w:lineRule="auto"/>
              <w:jc w:val="center"/>
              <w:rPr>
                <w:rFonts w:ascii="仿宋" w:hAnsi="仿宋" w:eastAsia="仿宋" w:cs="Times New Roman"/>
                <w:sz w:val="24"/>
                <w:szCs w:val="24"/>
              </w:rPr>
            </w:pPr>
          </w:p>
        </w:tc>
        <w:tc>
          <w:tcPr>
            <w:tcW w:w="1263"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vAlign w:val="center"/>
          </w:tcPr>
          <w:p>
            <w:pPr>
              <w:spacing w:line="360" w:lineRule="auto"/>
              <w:jc w:val="center"/>
              <w:rPr>
                <w:rFonts w:ascii="仿宋" w:hAnsi="仿宋" w:eastAsia="仿宋" w:cs="Times New Roman"/>
                <w:sz w:val="24"/>
                <w:szCs w:val="24"/>
              </w:rPr>
            </w:pPr>
          </w:p>
        </w:tc>
        <w:tc>
          <w:tcPr>
            <w:tcW w:w="2886" w:type="dxa"/>
            <w:vAlign w:val="center"/>
          </w:tcPr>
          <w:p>
            <w:pPr>
              <w:spacing w:line="360" w:lineRule="auto"/>
              <w:jc w:val="center"/>
              <w:rPr>
                <w:rFonts w:ascii="仿宋" w:hAnsi="仿宋" w:eastAsia="仿宋" w:cs="Times New Roman"/>
                <w:sz w:val="24"/>
                <w:szCs w:val="24"/>
              </w:rPr>
            </w:pPr>
          </w:p>
        </w:tc>
        <w:tc>
          <w:tcPr>
            <w:tcW w:w="2886" w:type="dxa"/>
            <w:vAlign w:val="center"/>
          </w:tcPr>
          <w:p>
            <w:pPr>
              <w:spacing w:line="360" w:lineRule="auto"/>
              <w:jc w:val="center"/>
              <w:rPr>
                <w:rFonts w:ascii="仿宋" w:hAnsi="仿宋" w:eastAsia="仿宋" w:cs="Times New Roman"/>
                <w:sz w:val="24"/>
                <w:szCs w:val="24"/>
              </w:rPr>
            </w:pPr>
          </w:p>
        </w:tc>
        <w:tc>
          <w:tcPr>
            <w:tcW w:w="1263" w:type="dxa"/>
            <w:vAlign w:val="center"/>
          </w:tcPr>
          <w:p>
            <w:pPr>
              <w:spacing w:line="360" w:lineRule="auto"/>
              <w:jc w:val="center"/>
              <w:rPr>
                <w:rFonts w:ascii="仿宋" w:hAnsi="仿宋" w:eastAsia="仿宋" w:cs="Times New Roman"/>
                <w:sz w:val="24"/>
                <w:szCs w:val="24"/>
              </w:rPr>
            </w:pPr>
          </w:p>
        </w:tc>
        <w:tc>
          <w:tcPr>
            <w:tcW w:w="1263"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vAlign w:val="center"/>
          </w:tcPr>
          <w:p>
            <w:pPr>
              <w:spacing w:line="360" w:lineRule="auto"/>
              <w:jc w:val="center"/>
              <w:rPr>
                <w:rFonts w:ascii="仿宋" w:hAnsi="仿宋" w:eastAsia="仿宋" w:cs="Times New Roman"/>
                <w:sz w:val="24"/>
                <w:szCs w:val="24"/>
              </w:rPr>
            </w:pPr>
          </w:p>
        </w:tc>
        <w:tc>
          <w:tcPr>
            <w:tcW w:w="2886" w:type="dxa"/>
            <w:vAlign w:val="center"/>
          </w:tcPr>
          <w:p>
            <w:pPr>
              <w:spacing w:line="360" w:lineRule="auto"/>
              <w:jc w:val="center"/>
              <w:rPr>
                <w:rFonts w:ascii="仿宋" w:hAnsi="仿宋" w:eastAsia="仿宋" w:cs="Times New Roman"/>
                <w:sz w:val="24"/>
                <w:szCs w:val="24"/>
              </w:rPr>
            </w:pPr>
          </w:p>
        </w:tc>
        <w:tc>
          <w:tcPr>
            <w:tcW w:w="2886" w:type="dxa"/>
            <w:vAlign w:val="center"/>
          </w:tcPr>
          <w:p>
            <w:pPr>
              <w:spacing w:line="360" w:lineRule="auto"/>
              <w:jc w:val="center"/>
              <w:rPr>
                <w:rFonts w:ascii="仿宋" w:hAnsi="仿宋" w:eastAsia="仿宋" w:cs="Times New Roman"/>
                <w:sz w:val="24"/>
                <w:szCs w:val="24"/>
              </w:rPr>
            </w:pPr>
          </w:p>
        </w:tc>
        <w:tc>
          <w:tcPr>
            <w:tcW w:w="1263" w:type="dxa"/>
            <w:vAlign w:val="center"/>
          </w:tcPr>
          <w:p>
            <w:pPr>
              <w:spacing w:line="360" w:lineRule="auto"/>
              <w:jc w:val="center"/>
              <w:rPr>
                <w:rFonts w:ascii="仿宋" w:hAnsi="仿宋" w:eastAsia="仿宋" w:cs="Times New Roman"/>
                <w:sz w:val="24"/>
                <w:szCs w:val="24"/>
              </w:rPr>
            </w:pPr>
          </w:p>
        </w:tc>
        <w:tc>
          <w:tcPr>
            <w:tcW w:w="1263"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vAlign w:val="center"/>
          </w:tcPr>
          <w:p>
            <w:pPr>
              <w:spacing w:line="360" w:lineRule="auto"/>
              <w:jc w:val="center"/>
              <w:rPr>
                <w:rFonts w:ascii="仿宋" w:hAnsi="仿宋" w:eastAsia="仿宋" w:cs="Times New Roman"/>
                <w:sz w:val="24"/>
                <w:szCs w:val="24"/>
              </w:rPr>
            </w:pPr>
          </w:p>
        </w:tc>
        <w:tc>
          <w:tcPr>
            <w:tcW w:w="2886" w:type="dxa"/>
            <w:vAlign w:val="center"/>
          </w:tcPr>
          <w:p>
            <w:pPr>
              <w:spacing w:line="360" w:lineRule="auto"/>
              <w:jc w:val="center"/>
              <w:rPr>
                <w:rFonts w:ascii="仿宋" w:hAnsi="仿宋" w:eastAsia="仿宋" w:cs="Times New Roman"/>
                <w:sz w:val="24"/>
                <w:szCs w:val="24"/>
              </w:rPr>
            </w:pPr>
          </w:p>
        </w:tc>
        <w:tc>
          <w:tcPr>
            <w:tcW w:w="2886" w:type="dxa"/>
            <w:vAlign w:val="center"/>
          </w:tcPr>
          <w:p>
            <w:pPr>
              <w:spacing w:line="360" w:lineRule="auto"/>
              <w:jc w:val="center"/>
              <w:rPr>
                <w:rFonts w:ascii="仿宋" w:hAnsi="仿宋" w:eastAsia="仿宋" w:cs="Times New Roman"/>
                <w:sz w:val="24"/>
                <w:szCs w:val="24"/>
              </w:rPr>
            </w:pPr>
          </w:p>
        </w:tc>
        <w:tc>
          <w:tcPr>
            <w:tcW w:w="1263" w:type="dxa"/>
            <w:vAlign w:val="center"/>
          </w:tcPr>
          <w:p>
            <w:pPr>
              <w:spacing w:line="360" w:lineRule="auto"/>
              <w:jc w:val="center"/>
              <w:rPr>
                <w:rFonts w:ascii="仿宋" w:hAnsi="仿宋" w:eastAsia="仿宋" w:cs="Times New Roman"/>
                <w:sz w:val="24"/>
                <w:szCs w:val="24"/>
              </w:rPr>
            </w:pPr>
          </w:p>
        </w:tc>
        <w:tc>
          <w:tcPr>
            <w:tcW w:w="1263"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vAlign w:val="center"/>
          </w:tcPr>
          <w:p>
            <w:pPr>
              <w:spacing w:line="360" w:lineRule="auto"/>
              <w:jc w:val="center"/>
              <w:rPr>
                <w:rFonts w:ascii="仿宋" w:hAnsi="仿宋" w:eastAsia="仿宋" w:cs="Times New Roman"/>
                <w:sz w:val="24"/>
                <w:szCs w:val="24"/>
              </w:rPr>
            </w:pPr>
          </w:p>
        </w:tc>
        <w:tc>
          <w:tcPr>
            <w:tcW w:w="2886" w:type="dxa"/>
            <w:vAlign w:val="center"/>
          </w:tcPr>
          <w:p>
            <w:pPr>
              <w:spacing w:line="360" w:lineRule="auto"/>
              <w:jc w:val="center"/>
              <w:rPr>
                <w:rFonts w:ascii="仿宋" w:hAnsi="仿宋" w:eastAsia="仿宋" w:cs="Times New Roman"/>
                <w:sz w:val="24"/>
                <w:szCs w:val="24"/>
              </w:rPr>
            </w:pPr>
          </w:p>
        </w:tc>
        <w:tc>
          <w:tcPr>
            <w:tcW w:w="2886" w:type="dxa"/>
            <w:vAlign w:val="center"/>
          </w:tcPr>
          <w:p>
            <w:pPr>
              <w:spacing w:line="360" w:lineRule="auto"/>
              <w:jc w:val="center"/>
              <w:rPr>
                <w:rFonts w:ascii="仿宋" w:hAnsi="仿宋" w:eastAsia="仿宋" w:cs="Times New Roman"/>
                <w:sz w:val="24"/>
                <w:szCs w:val="24"/>
              </w:rPr>
            </w:pPr>
          </w:p>
        </w:tc>
        <w:tc>
          <w:tcPr>
            <w:tcW w:w="1263" w:type="dxa"/>
            <w:vAlign w:val="center"/>
          </w:tcPr>
          <w:p>
            <w:pPr>
              <w:spacing w:line="360" w:lineRule="auto"/>
              <w:jc w:val="center"/>
              <w:rPr>
                <w:rFonts w:ascii="仿宋" w:hAnsi="仿宋" w:eastAsia="仿宋" w:cs="Times New Roman"/>
                <w:sz w:val="24"/>
                <w:szCs w:val="24"/>
              </w:rPr>
            </w:pPr>
          </w:p>
        </w:tc>
        <w:tc>
          <w:tcPr>
            <w:tcW w:w="1263"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vAlign w:val="center"/>
          </w:tcPr>
          <w:p>
            <w:pPr>
              <w:spacing w:line="360" w:lineRule="auto"/>
              <w:jc w:val="center"/>
              <w:rPr>
                <w:rFonts w:ascii="仿宋" w:hAnsi="仿宋" w:eastAsia="仿宋" w:cs="Times New Roman"/>
                <w:sz w:val="24"/>
                <w:szCs w:val="24"/>
              </w:rPr>
            </w:pPr>
          </w:p>
        </w:tc>
        <w:tc>
          <w:tcPr>
            <w:tcW w:w="2886" w:type="dxa"/>
            <w:vAlign w:val="center"/>
          </w:tcPr>
          <w:p>
            <w:pPr>
              <w:spacing w:line="360" w:lineRule="auto"/>
              <w:jc w:val="center"/>
              <w:rPr>
                <w:rFonts w:ascii="仿宋" w:hAnsi="仿宋" w:eastAsia="仿宋" w:cs="Times New Roman"/>
                <w:sz w:val="24"/>
                <w:szCs w:val="24"/>
              </w:rPr>
            </w:pPr>
          </w:p>
        </w:tc>
        <w:tc>
          <w:tcPr>
            <w:tcW w:w="2886" w:type="dxa"/>
            <w:vAlign w:val="center"/>
          </w:tcPr>
          <w:p>
            <w:pPr>
              <w:spacing w:line="360" w:lineRule="auto"/>
              <w:jc w:val="center"/>
              <w:rPr>
                <w:rFonts w:ascii="仿宋" w:hAnsi="仿宋" w:eastAsia="仿宋" w:cs="Times New Roman"/>
                <w:sz w:val="24"/>
                <w:szCs w:val="24"/>
              </w:rPr>
            </w:pPr>
          </w:p>
        </w:tc>
        <w:tc>
          <w:tcPr>
            <w:tcW w:w="1263" w:type="dxa"/>
            <w:vAlign w:val="center"/>
          </w:tcPr>
          <w:p>
            <w:pPr>
              <w:spacing w:line="360" w:lineRule="auto"/>
              <w:jc w:val="center"/>
              <w:rPr>
                <w:rFonts w:ascii="仿宋" w:hAnsi="仿宋" w:eastAsia="仿宋" w:cs="Times New Roman"/>
                <w:sz w:val="24"/>
                <w:szCs w:val="24"/>
              </w:rPr>
            </w:pPr>
          </w:p>
        </w:tc>
        <w:tc>
          <w:tcPr>
            <w:tcW w:w="1263"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vAlign w:val="center"/>
          </w:tcPr>
          <w:p>
            <w:pPr>
              <w:spacing w:line="360" w:lineRule="auto"/>
              <w:jc w:val="center"/>
              <w:rPr>
                <w:rFonts w:ascii="仿宋" w:hAnsi="仿宋" w:eastAsia="仿宋" w:cs="Times New Roman"/>
                <w:sz w:val="24"/>
                <w:szCs w:val="24"/>
              </w:rPr>
            </w:pPr>
          </w:p>
        </w:tc>
        <w:tc>
          <w:tcPr>
            <w:tcW w:w="2886" w:type="dxa"/>
            <w:vAlign w:val="center"/>
          </w:tcPr>
          <w:p>
            <w:pPr>
              <w:spacing w:line="360" w:lineRule="auto"/>
              <w:rPr>
                <w:rFonts w:ascii="仿宋" w:hAnsi="仿宋" w:eastAsia="仿宋" w:cs="Times New Roman"/>
                <w:sz w:val="24"/>
                <w:szCs w:val="24"/>
              </w:rPr>
            </w:pPr>
          </w:p>
        </w:tc>
        <w:tc>
          <w:tcPr>
            <w:tcW w:w="2886" w:type="dxa"/>
            <w:vAlign w:val="center"/>
          </w:tcPr>
          <w:p>
            <w:pPr>
              <w:spacing w:line="360" w:lineRule="auto"/>
              <w:jc w:val="center"/>
              <w:rPr>
                <w:rFonts w:ascii="仿宋" w:hAnsi="仿宋" w:eastAsia="仿宋" w:cs="Times New Roman"/>
                <w:sz w:val="24"/>
                <w:szCs w:val="24"/>
              </w:rPr>
            </w:pPr>
          </w:p>
        </w:tc>
        <w:tc>
          <w:tcPr>
            <w:tcW w:w="1263" w:type="dxa"/>
            <w:vAlign w:val="center"/>
          </w:tcPr>
          <w:p>
            <w:pPr>
              <w:spacing w:line="360" w:lineRule="auto"/>
              <w:jc w:val="center"/>
              <w:rPr>
                <w:rFonts w:ascii="仿宋" w:hAnsi="仿宋" w:eastAsia="仿宋" w:cs="Times New Roman"/>
                <w:sz w:val="24"/>
                <w:szCs w:val="24"/>
              </w:rPr>
            </w:pPr>
          </w:p>
        </w:tc>
        <w:tc>
          <w:tcPr>
            <w:tcW w:w="1263"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544" w:type="dxa"/>
            <w:gridSpan w:val="3"/>
            <w:vAlign w:val="center"/>
          </w:tcPr>
          <w:p>
            <w:pPr>
              <w:spacing w:line="360" w:lineRule="auto"/>
              <w:jc w:val="center"/>
              <w:rPr>
                <w:rFonts w:ascii="仿宋" w:hAnsi="仿宋" w:eastAsia="仿宋" w:cs="Times New Roman"/>
                <w:sz w:val="24"/>
                <w:szCs w:val="24"/>
              </w:rPr>
            </w:pPr>
            <w:r>
              <w:rPr>
                <w:rFonts w:hint="eastAsia" w:ascii="仿宋" w:hAnsi="仿宋" w:eastAsia="仿宋" w:cs="仿宋"/>
                <w:sz w:val="24"/>
                <w:szCs w:val="24"/>
              </w:rPr>
              <w:t>合</w:t>
            </w:r>
            <w:r>
              <w:rPr>
                <w:rFonts w:ascii="仿宋" w:hAnsi="仿宋" w:eastAsia="仿宋" w:cs="仿宋"/>
                <w:sz w:val="24"/>
                <w:szCs w:val="24"/>
              </w:rPr>
              <w:t xml:space="preserve">  </w:t>
            </w:r>
            <w:r>
              <w:rPr>
                <w:rFonts w:hint="eastAsia" w:ascii="仿宋" w:hAnsi="仿宋" w:eastAsia="仿宋" w:cs="仿宋"/>
                <w:sz w:val="24"/>
                <w:szCs w:val="24"/>
              </w:rPr>
              <w:t>计</w:t>
            </w:r>
          </w:p>
        </w:tc>
        <w:tc>
          <w:tcPr>
            <w:tcW w:w="1263" w:type="dxa"/>
            <w:vAlign w:val="center"/>
          </w:tcPr>
          <w:p>
            <w:pPr>
              <w:spacing w:line="360" w:lineRule="auto"/>
              <w:jc w:val="center"/>
              <w:rPr>
                <w:rFonts w:ascii="仿宋" w:hAnsi="仿宋" w:eastAsia="仿宋" w:cs="Times New Roman"/>
                <w:sz w:val="24"/>
                <w:szCs w:val="24"/>
              </w:rPr>
            </w:pPr>
          </w:p>
        </w:tc>
        <w:tc>
          <w:tcPr>
            <w:tcW w:w="1263" w:type="dxa"/>
            <w:vAlign w:val="center"/>
          </w:tcPr>
          <w:p>
            <w:pPr>
              <w:spacing w:line="360" w:lineRule="auto"/>
              <w:jc w:val="center"/>
              <w:rPr>
                <w:rFonts w:ascii="仿宋" w:hAnsi="仿宋" w:eastAsia="仿宋" w:cs="Times New Roman"/>
                <w:sz w:val="24"/>
                <w:szCs w:val="24"/>
              </w:rPr>
            </w:pPr>
          </w:p>
        </w:tc>
        <w:tc>
          <w:tcPr>
            <w:tcW w:w="1262" w:type="dxa"/>
            <w:vAlign w:val="center"/>
          </w:tcPr>
          <w:p>
            <w:pPr>
              <w:spacing w:line="360" w:lineRule="auto"/>
              <w:jc w:val="center"/>
              <w:rPr>
                <w:rFonts w:ascii="仿宋" w:hAnsi="仿宋" w:eastAsia="仿宋" w:cs="Times New Roman"/>
                <w:sz w:val="24"/>
                <w:szCs w:val="24"/>
              </w:rPr>
            </w:pPr>
          </w:p>
        </w:tc>
      </w:tr>
    </w:tbl>
    <w:p>
      <w:pPr>
        <w:spacing w:line="360" w:lineRule="auto"/>
        <w:rPr>
          <w:rFonts w:ascii="仿宋" w:hAnsi="仿宋" w:eastAsia="仿宋" w:cs="Times New Roman"/>
          <w:sz w:val="24"/>
          <w:szCs w:val="24"/>
        </w:rPr>
      </w:pPr>
      <w:r>
        <w:rPr>
          <w:rFonts w:hint="eastAsia" w:ascii="仿宋" w:hAnsi="仿宋" w:eastAsia="仿宋" w:cs="仿宋"/>
          <w:sz w:val="24"/>
          <w:szCs w:val="24"/>
        </w:rPr>
        <w:t>说明：</w:t>
      </w:r>
      <w:r>
        <w:rPr>
          <w:rFonts w:ascii="仿宋" w:hAnsi="仿宋" w:eastAsia="仿宋" w:cs="仿宋"/>
          <w:sz w:val="24"/>
          <w:szCs w:val="24"/>
        </w:rPr>
        <w:t>1.</w:t>
      </w:r>
      <w:r>
        <w:rPr>
          <w:rFonts w:hint="eastAsia" w:ascii="仿宋" w:hAnsi="仿宋" w:eastAsia="仿宋" w:cs="仿宋"/>
          <w:sz w:val="24"/>
          <w:szCs w:val="24"/>
        </w:rPr>
        <w:t>本表由承包人填制，承包人应按照合同约定填报实际数量，提交造价工程核实并由其报发包人确认后，将金额与暂估价金额以及相关费用列入合同价款内。</w:t>
      </w:r>
    </w:p>
    <w:p>
      <w:pPr>
        <w:spacing w:line="360" w:lineRule="auto"/>
        <w:ind w:firstLine="720" w:firstLineChars="300"/>
        <w:rPr>
          <w:rFonts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本表一式四份，发包人、监理人、工程造价咨询人（如有）、承包人各存一份。</w:t>
      </w:r>
    </w:p>
    <w:p>
      <w:pPr>
        <w:spacing w:line="360" w:lineRule="auto"/>
        <w:outlineLvl w:val="1"/>
        <w:rPr>
          <w:rFonts w:ascii="仿宋" w:hAnsi="仿宋" w:eastAsia="仿宋" w:cs="仿宋"/>
          <w:b/>
          <w:bCs/>
          <w:color w:val="000000"/>
          <w:kern w:val="0"/>
          <w:sz w:val="24"/>
          <w:szCs w:val="24"/>
        </w:rPr>
      </w:pPr>
      <w:r>
        <w:rPr>
          <w:rFonts w:ascii="仿宋" w:hAnsi="仿宋" w:eastAsia="仿宋" w:cs="Times New Roman"/>
          <w:kern w:val="0"/>
          <w:sz w:val="24"/>
          <w:szCs w:val="24"/>
        </w:rPr>
        <w:br w:type="page"/>
      </w:r>
      <w:bookmarkStart w:id="798" w:name="_Toc10625007"/>
      <w:bookmarkStart w:id="799" w:name="_Toc469384163"/>
      <w:bookmarkStart w:id="800" w:name="_Toc266892949"/>
      <w:r>
        <w:rPr>
          <w:rFonts w:hint="eastAsia" w:ascii="仿宋" w:hAnsi="仿宋" w:eastAsia="仿宋" w:cs="仿宋"/>
          <w:b/>
          <w:bCs/>
          <w:color w:val="000000"/>
          <w:kern w:val="0"/>
          <w:sz w:val="24"/>
          <w:szCs w:val="24"/>
        </w:rPr>
        <w:t>格式</w:t>
      </w:r>
      <w:r>
        <w:rPr>
          <w:rFonts w:ascii="仿宋" w:hAnsi="仿宋" w:eastAsia="仿宋" w:cs="仿宋"/>
          <w:b/>
          <w:bCs/>
          <w:color w:val="000000"/>
          <w:kern w:val="0"/>
          <w:sz w:val="24"/>
          <w:szCs w:val="24"/>
        </w:rPr>
        <w:t>23</w:t>
      </w:r>
      <w:bookmarkEnd w:id="798"/>
      <w:bookmarkEnd w:id="799"/>
      <w:bookmarkEnd w:id="800"/>
    </w:p>
    <w:p>
      <w:pPr>
        <w:spacing w:before="50" w:after="50" w:line="360" w:lineRule="auto"/>
        <w:jc w:val="center"/>
        <w:rPr>
          <w:rFonts w:ascii="仿宋" w:hAnsi="仿宋" w:eastAsia="仿宋" w:cs="Times New Roman"/>
          <w:b/>
          <w:bCs/>
          <w:spacing w:val="30"/>
          <w:sz w:val="44"/>
          <w:szCs w:val="44"/>
        </w:rPr>
      </w:pPr>
      <w:r>
        <w:rPr>
          <w:rFonts w:hint="eastAsia" w:ascii="仿宋" w:hAnsi="仿宋" w:eastAsia="仿宋" w:cs="仿宋"/>
          <w:b/>
          <w:bCs/>
          <w:spacing w:val="30"/>
          <w:sz w:val="44"/>
          <w:szCs w:val="44"/>
        </w:rPr>
        <w:t>费用索赔申请表</w:t>
      </w:r>
    </w:p>
    <w:p>
      <w:pPr>
        <w:spacing w:line="360" w:lineRule="auto"/>
        <w:rPr>
          <w:rFonts w:ascii="仿宋" w:hAnsi="仿宋" w:eastAsia="仿宋" w:cs="Times New Roman"/>
          <w:sz w:val="24"/>
          <w:szCs w:val="24"/>
        </w:rPr>
      </w:pPr>
      <w:r>
        <w:rPr>
          <w:rFonts w:hint="eastAsia" w:ascii="仿宋" w:hAnsi="仿宋" w:eastAsia="仿宋" w:cs="仿宋"/>
          <w:sz w:val="24"/>
          <w:szCs w:val="24"/>
        </w:rPr>
        <w:t>工程名称</w:t>
      </w:r>
      <w:r>
        <w:rPr>
          <w:rFonts w:ascii="仿宋" w:hAnsi="仿宋" w:eastAsia="仿宋" w:cs="仿宋"/>
          <w:sz w:val="24"/>
          <w:szCs w:val="24"/>
        </w:rPr>
        <w:t>:</w:t>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编号</w:t>
      </w:r>
      <w:r>
        <w:rPr>
          <w:rFonts w:ascii="仿宋" w:hAnsi="仿宋" w:eastAsia="仿宋" w:cs="仿宋"/>
          <w:sz w:val="24"/>
          <w:szCs w:val="24"/>
        </w:rPr>
        <w:t>:</w:t>
      </w:r>
    </w:p>
    <w:tbl>
      <w:tblPr>
        <w:tblStyle w:val="40"/>
        <w:tblW w:w="10443"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4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50" w:hRule="atLeast"/>
        </w:trPr>
        <w:tc>
          <w:tcPr>
            <w:tcW w:w="10443" w:type="dxa"/>
            <w:tcBorders>
              <w:bottom w:val="single" w:color="auto" w:sz="4" w:space="0"/>
            </w:tcBorders>
            <w:vAlign w:val="top"/>
          </w:tcPr>
          <w:p>
            <w:pPr>
              <w:spacing w:before="120" w:line="360" w:lineRule="auto"/>
              <w:ind w:left="-28" w:firstLine="181"/>
              <w:rPr>
                <w:rFonts w:ascii="仿宋" w:hAnsi="仿宋" w:eastAsia="仿宋" w:cs="Times New Roman"/>
                <w:sz w:val="24"/>
                <w:szCs w:val="24"/>
              </w:rPr>
            </w:pPr>
            <w:r>
              <w:rPr>
                <w:rFonts w:hint="eastAsia" w:ascii="仿宋" w:hAnsi="仿宋" w:eastAsia="仿宋" w:cs="仿宋"/>
                <w:sz w:val="24"/>
                <w:szCs w:val="24"/>
              </w:rPr>
              <w:t>致</w:t>
            </w:r>
            <w:r>
              <w:rPr>
                <w:rFonts w:ascii="仿宋" w:hAnsi="仿宋" w:eastAsia="仿宋" w:cs="仿宋"/>
                <w:sz w:val="24"/>
                <w:szCs w:val="24"/>
              </w:rPr>
              <w:t>:</w:t>
            </w:r>
            <w:r>
              <w:rPr>
                <w:rFonts w:ascii="仿宋" w:hAnsi="仿宋" w:eastAsia="仿宋" w:cs="仿宋"/>
                <w:sz w:val="24"/>
                <w:szCs w:val="24"/>
                <w:u w:val="single"/>
              </w:rPr>
              <w:t xml:space="preserve">                                                  </w:t>
            </w:r>
            <w:r>
              <w:rPr>
                <w:rFonts w:hint="eastAsia" w:ascii="仿宋" w:hAnsi="仿宋" w:eastAsia="仿宋" w:cs="仿宋"/>
                <w:sz w:val="24"/>
                <w:szCs w:val="24"/>
              </w:rPr>
              <w:t>（工程造价咨询人全称）</w:t>
            </w:r>
            <w:r>
              <w:rPr>
                <w:rFonts w:ascii="仿宋" w:hAnsi="仿宋" w:eastAsia="仿宋" w:cs="仿宋"/>
                <w:sz w:val="24"/>
                <w:szCs w:val="24"/>
              </w:rPr>
              <w:t xml:space="preserve"> </w:t>
            </w:r>
          </w:p>
          <w:p>
            <w:pPr>
              <w:spacing w:line="360" w:lineRule="auto"/>
              <w:ind w:left="-28" w:firstLine="482"/>
              <w:rPr>
                <w:rFonts w:ascii="仿宋" w:hAnsi="仿宋" w:eastAsia="仿宋" w:cs="Times New Roman"/>
                <w:sz w:val="24"/>
                <w:szCs w:val="24"/>
              </w:rPr>
            </w:pPr>
            <w:r>
              <w:rPr>
                <w:rFonts w:hint="eastAsia" w:ascii="仿宋" w:hAnsi="仿宋" w:eastAsia="仿宋" w:cs="仿宋"/>
                <w:sz w:val="24"/>
                <w:szCs w:val="24"/>
              </w:rPr>
              <w:t>根据施工合同第</w:t>
            </w:r>
            <w:r>
              <w:rPr>
                <w:rFonts w:ascii="仿宋" w:hAnsi="仿宋" w:eastAsia="仿宋" w:cs="仿宋"/>
                <w:sz w:val="24"/>
                <w:szCs w:val="24"/>
                <w:u w:val="single"/>
              </w:rPr>
              <w:t xml:space="preserve">              </w:t>
            </w:r>
            <w:r>
              <w:rPr>
                <w:rFonts w:hint="eastAsia" w:ascii="仿宋" w:hAnsi="仿宋" w:eastAsia="仿宋" w:cs="仿宋"/>
                <w:sz w:val="24"/>
                <w:szCs w:val="24"/>
              </w:rPr>
              <w:t>条规定，由于</w:t>
            </w:r>
            <w:r>
              <w:rPr>
                <w:rFonts w:ascii="仿宋" w:hAnsi="仿宋" w:eastAsia="仿宋" w:cs="仿宋"/>
                <w:sz w:val="24"/>
                <w:szCs w:val="24"/>
                <w:u w:val="single"/>
              </w:rPr>
              <w:t xml:space="preserve">                           </w:t>
            </w:r>
            <w:r>
              <w:rPr>
                <w:rFonts w:hint="eastAsia" w:ascii="仿宋" w:hAnsi="仿宋" w:eastAsia="仿宋" w:cs="仿宋"/>
                <w:sz w:val="24"/>
                <w:szCs w:val="24"/>
              </w:rPr>
              <w:t>原因</w:t>
            </w:r>
            <w:r>
              <w:rPr>
                <w:rFonts w:ascii="仿宋" w:hAnsi="仿宋" w:eastAsia="仿宋" w:cs="仿宋"/>
                <w:sz w:val="24"/>
                <w:szCs w:val="24"/>
              </w:rPr>
              <w:t>,</w:t>
            </w:r>
            <w:r>
              <w:rPr>
                <w:rFonts w:hint="eastAsia" w:ascii="仿宋" w:hAnsi="仿宋" w:eastAsia="仿宋" w:cs="仿宋"/>
                <w:sz w:val="24"/>
                <w:szCs w:val="24"/>
              </w:rPr>
              <w:t>我方要求索赔金额</w:t>
            </w:r>
            <w:r>
              <w:rPr>
                <w:rFonts w:ascii="仿宋" w:hAnsi="仿宋" w:eastAsia="仿宋" w:cs="仿宋"/>
                <w:sz w:val="24"/>
                <w:szCs w:val="24"/>
              </w:rPr>
              <w:t>(</w:t>
            </w:r>
            <w:r>
              <w:rPr>
                <w:rFonts w:hint="eastAsia" w:ascii="仿宋" w:hAnsi="仿宋" w:eastAsia="仿宋" w:cs="仿宋"/>
                <w:sz w:val="24"/>
                <w:szCs w:val="24"/>
              </w:rPr>
              <w:t>大写</w:t>
            </w:r>
            <w:r>
              <w:rPr>
                <w:rFonts w:ascii="仿宋" w:hAnsi="仿宋" w:eastAsia="仿宋" w:cs="仿宋"/>
                <w:sz w:val="24"/>
                <w:szCs w:val="24"/>
              </w:rPr>
              <w:t>)</w:t>
            </w:r>
            <w:r>
              <w:rPr>
                <w:rFonts w:ascii="仿宋" w:hAnsi="仿宋" w:eastAsia="仿宋" w:cs="仿宋"/>
                <w:sz w:val="24"/>
                <w:szCs w:val="24"/>
                <w:u w:val="single"/>
              </w:rPr>
              <w:t xml:space="preserve">                   </w:t>
            </w:r>
            <w:r>
              <w:rPr>
                <w:rFonts w:ascii="仿宋" w:hAnsi="仿宋" w:eastAsia="仿宋" w:cs="仿宋"/>
                <w:sz w:val="24"/>
                <w:szCs w:val="24"/>
              </w:rPr>
              <w:t>(</w:t>
            </w:r>
            <w:r>
              <w:rPr>
                <w:rFonts w:hint="eastAsia" w:ascii="仿宋" w:hAnsi="仿宋" w:eastAsia="仿宋" w:cs="仿宋"/>
                <w:sz w:val="24"/>
                <w:szCs w:val="24"/>
              </w:rPr>
              <w:t>小写</w:t>
            </w:r>
            <w:r>
              <w:rPr>
                <w:rFonts w:ascii="仿宋" w:hAnsi="仿宋" w:eastAsia="仿宋" w:cs="仿宋"/>
                <w:sz w:val="24"/>
                <w:szCs w:val="24"/>
              </w:rPr>
              <w:t xml:space="preserve"> </w:t>
            </w:r>
            <w:r>
              <w:rPr>
                <w:rFonts w:ascii="仿宋" w:hAnsi="仿宋" w:eastAsia="仿宋" w:cs="仿宋"/>
                <w:sz w:val="24"/>
                <w:szCs w:val="24"/>
                <w:u w:val="single"/>
              </w:rPr>
              <w:t xml:space="preserve">             </w:t>
            </w:r>
            <w:r>
              <w:rPr>
                <w:rFonts w:hint="eastAsia" w:ascii="仿宋" w:hAnsi="仿宋" w:eastAsia="仿宋" w:cs="仿宋"/>
                <w:sz w:val="24"/>
                <w:szCs w:val="24"/>
              </w:rPr>
              <w:t>元</w:t>
            </w:r>
            <w:r>
              <w:rPr>
                <w:rFonts w:ascii="仿宋" w:hAnsi="仿宋" w:eastAsia="仿宋" w:cs="仿宋"/>
                <w:sz w:val="24"/>
                <w:szCs w:val="24"/>
              </w:rPr>
              <w:t>)</w:t>
            </w:r>
            <w:r>
              <w:rPr>
                <w:rFonts w:hint="eastAsia" w:ascii="仿宋" w:hAnsi="仿宋" w:eastAsia="仿宋" w:cs="仿宋"/>
                <w:sz w:val="24"/>
                <w:szCs w:val="24"/>
              </w:rPr>
              <w:t>，请予以批准。</w:t>
            </w:r>
          </w:p>
          <w:p>
            <w:pPr>
              <w:spacing w:line="360" w:lineRule="auto"/>
              <w:ind w:left="480"/>
              <w:rPr>
                <w:rFonts w:ascii="仿宋" w:hAnsi="仿宋" w:eastAsia="仿宋" w:cs="Times New Roman"/>
                <w:sz w:val="24"/>
                <w:szCs w:val="24"/>
              </w:rPr>
            </w:pPr>
            <w:r>
              <w:rPr>
                <w:rFonts w:hint="eastAsia" w:ascii="仿宋" w:hAnsi="仿宋" w:eastAsia="仿宋" w:cs="仿宋"/>
                <w:sz w:val="24"/>
                <w:szCs w:val="24"/>
              </w:rPr>
              <w:t>１．费用索赔的详细理由和依据：</w:t>
            </w:r>
          </w:p>
          <w:p>
            <w:pPr>
              <w:spacing w:line="360" w:lineRule="auto"/>
              <w:rPr>
                <w:rFonts w:ascii="仿宋" w:hAnsi="仿宋" w:eastAsia="仿宋" w:cs="Times New Roman"/>
                <w:sz w:val="24"/>
                <w:szCs w:val="24"/>
              </w:rPr>
            </w:pPr>
          </w:p>
          <w:p>
            <w:pPr>
              <w:spacing w:line="360" w:lineRule="auto"/>
              <w:rPr>
                <w:rFonts w:ascii="仿宋" w:hAnsi="仿宋" w:eastAsia="仿宋" w:cs="Times New Roman"/>
                <w:sz w:val="24"/>
                <w:szCs w:val="24"/>
              </w:rPr>
            </w:pPr>
          </w:p>
          <w:p>
            <w:pPr>
              <w:spacing w:line="360" w:lineRule="auto"/>
              <w:rPr>
                <w:rFonts w:ascii="仿宋" w:hAnsi="仿宋" w:eastAsia="仿宋" w:cs="Times New Roman"/>
                <w:sz w:val="24"/>
                <w:szCs w:val="24"/>
              </w:rPr>
            </w:pPr>
          </w:p>
          <w:p>
            <w:pPr>
              <w:spacing w:line="360" w:lineRule="auto"/>
              <w:rPr>
                <w:rFonts w:ascii="仿宋" w:hAnsi="仿宋" w:eastAsia="仿宋" w:cs="Times New Roman"/>
                <w:sz w:val="24"/>
                <w:szCs w:val="24"/>
              </w:rPr>
            </w:pPr>
          </w:p>
          <w:p>
            <w:pPr>
              <w:spacing w:line="360" w:lineRule="auto"/>
              <w:ind w:firstLine="480" w:firstLineChars="200"/>
              <w:rPr>
                <w:rFonts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．索赔金额的计算：</w:t>
            </w:r>
          </w:p>
          <w:p>
            <w:pPr>
              <w:spacing w:line="360" w:lineRule="auto"/>
              <w:ind w:left="-28" w:firstLine="458"/>
              <w:rPr>
                <w:rFonts w:ascii="仿宋" w:hAnsi="仿宋" w:eastAsia="仿宋" w:cs="Times New Roman"/>
                <w:sz w:val="24"/>
                <w:szCs w:val="24"/>
              </w:rPr>
            </w:pPr>
          </w:p>
          <w:p>
            <w:pPr>
              <w:spacing w:line="360" w:lineRule="auto"/>
              <w:ind w:left="-28" w:firstLine="458"/>
              <w:rPr>
                <w:rFonts w:ascii="仿宋" w:hAnsi="仿宋" w:eastAsia="仿宋" w:cs="Times New Roman"/>
                <w:sz w:val="24"/>
                <w:szCs w:val="24"/>
              </w:rPr>
            </w:pPr>
          </w:p>
          <w:p>
            <w:pPr>
              <w:spacing w:line="360" w:lineRule="auto"/>
              <w:ind w:left="-28" w:firstLine="458"/>
              <w:rPr>
                <w:rFonts w:ascii="仿宋" w:hAnsi="仿宋" w:eastAsia="仿宋" w:cs="Times New Roman"/>
                <w:sz w:val="24"/>
                <w:szCs w:val="24"/>
              </w:rPr>
            </w:pPr>
          </w:p>
          <w:p>
            <w:pPr>
              <w:spacing w:line="360" w:lineRule="auto"/>
              <w:ind w:left="-28" w:firstLine="458"/>
              <w:rPr>
                <w:rFonts w:ascii="仿宋" w:hAnsi="仿宋" w:eastAsia="仿宋" w:cs="Times New Roman"/>
                <w:sz w:val="24"/>
                <w:szCs w:val="24"/>
              </w:rPr>
            </w:pPr>
          </w:p>
          <w:p>
            <w:pPr>
              <w:spacing w:line="360" w:lineRule="auto"/>
              <w:ind w:left="-28" w:firstLine="458"/>
              <w:rPr>
                <w:rFonts w:ascii="仿宋" w:hAnsi="仿宋" w:eastAsia="仿宋" w:cs="Times New Roman"/>
                <w:sz w:val="24"/>
                <w:szCs w:val="24"/>
              </w:rPr>
            </w:pPr>
          </w:p>
          <w:p>
            <w:pPr>
              <w:spacing w:line="360" w:lineRule="auto"/>
              <w:ind w:left="-28" w:firstLine="458"/>
              <w:rPr>
                <w:rFonts w:ascii="仿宋" w:hAnsi="仿宋" w:eastAsia="仿宋" w:cs="Times New Roman"/>
                <w:sz w:val="24"/>
                <w:szCs w:val="24"/>
              </w:rPr>
            </w:pPr>
          </w:p>
          <w:p>
            <w:pPr>
              <w:spacing w:line="360" w:lineRule="auto"/>
              <w:ind w:left="-28" w:firstLine="458"/>
              <w:rPr>
                <w:rFonts w:ascii="仿宋" w:hAnsi="仿宋" w:eastAsia="仿宋" w:cs="Times New Roman"/>
                <w:sz w:val="24"/>
                <w:szCs w:val="24"/>
              </w:rPr>
            </w:pPr>
            <w:r>
              <w:rPr>
                <w:rFonts w:ascii="仿宋" w:hAnsi="仿宋" w:eastAsia="仿宋" w:cs="仿宋"/>
                <w:sz w:val="24"/>
                <w:szCs w:val="24"/>
              </w:rPr>
              <w:t>3</w:t>
            </w:r>
            <w:r>
              <w:rPr>
                <w:rFonts w:hint="eastAsia" w:ascii="仿宋" w:hAnsi="仿宋" w:eastAsia="仿宋" w:cs="仿宋"/>
                <w:sz w:val="24"/>
                <w:szCs w:val="24"/>
              </w:rPr>
              <w:t>．证明材料：</w:t>
            </w:r>
          </w:p>
          <w:p>
            <w:pPr>
              <w:spacing w:line="360" w:lineRule="auto"/>
              <w:ind w:firstLine="480" w:firstLineChars="200"/>
              <w:rPr>
                <w:rFonts w:ascii="仿宋" w:hAnsi="仿宋" w:eastAsia="仿宋" w:cs="Times New Roman"/>
                <w:sz w:val="24"/>
                <w:szCs w:val="24"/>
              </w:rPr>
            </w:pPr>
          </w:p>
          <w:p>
            <w:pPr>
              <w:tabs>
                <w:tab w:val="left" w:pos="6912"/>
              </w:tabs>
              <w:spacing w:line="360" w:lineRule="auto"/>
              <w:ind w:firstLine="6000" w:firstLineChars="2500"/>
              <w:rPr>
                <w:rFonts w:ascii="仿宋" w:hAnsi="仿宋" w:eastAsia="仿宋" w:cs="Times New Roman"/>
                <w:sz w:val="24"/>
                <w:szCs w:val="24"/>
              </w:rPr>
            </w:pPr>
          </w:p>
          <w:p>
            <w:pPr>
              <w:tabs>
                <w:tab w:val="left" w:pos="6912"/>
              </w:tabs>
              <w:spacing w:line="360" w:lineRule="auto"/>
              <w:ind w:firstLine="6000" w:firstLineChars="2500"/>
              <w:rPr>
                <w:rFonts w:ascii="仿宋" w:hAnsi="仿宋" w:eastAsia="仿宋" w:cs="Times New Roman"/>
                <w:sz w:val="24"/>
                <w:szCs w:val="24"/>
              </w:rPr>
            </w:pPr>
          </w:p>
          <w:p>
            <w:pPr>
              <w:tabs>
                <w:tab w:val="left" w:pos="6912"/>
              </w:tabs>
              <w:spacing w:line="360" w:lineRule="auto"/>
              <w:ind w:firstLine="6000" w:firstLineChars="2500"/>
              <w:rPr>
                <w:rFonts w:ascii="仿宋" w:hAnsi="仿宋" w:eastAsia="仿宋" w:cs="Times New Roman"/>
                <w:sz w:val="24"/>
                <w:szCs w:val="24"/>
              </w:rPr>
            </w:pPr>
          </w:p>
          <w:p>
            <w:pPr>
              <w:tabs>
                <w:tab w:val="left" w:pos="6912"/>
              </w:tabs>
              <w:spacing w:line="360" w:lineRule="auto"/>
              <w:ind w:firstLine="6000" w:firstLineChars="2500"/>
              <w:rPr>
                <w:rFonts w:ascii="仿宋" w:hAnsi="仿宋" w:eastAsia="仿宋" w:cs="Times New Roman"/>
                <w:sz w:val="24"/>
                <w:szCs w:val="24"/>
              </w:rPr>
            </w:pPr>
          </w:p>
          <w:p>
            <w:pPr>
              <w:tabs>
                <w:tab w:val="left" w:pos="6912"/>
              </w:tabs>
              <w:spacing w:line="360" w:lineRule="auto"/>
              <w:ind w:firstLine="6000" w:firstLineChars="2500"/>
              <w:rPr>
                <w:rFonts w:ascii="仿宋" w:hAnsi="仿宋" w:eastAsia="仿宋" w:cs="Times New Roman"/>
                <w:sz w:val="24"/>
                <w:szCs w:val="24"/>
              </w:rPr>
            </w:pPr>
          </w:p>
          <w:p>
            <w:pPr>
              <w:tabs>
                <w:tab w:val="left" w:pos="6912"/>
              </w:tabs>
              <w:spacing w:line="360" w:lineRule="auto"/>
              <w:ind w:firstLine="6372" w:firstLineChars="2655"/>
              <w:rPr>
                <w:rFonts w:ascii="仿宋" w:hAnsi="仿宋" w:eastAsia="仿宋" w:cs="Times New Roman"/>
                <w:sz w:val="24"/>
                <w:szCs w:val="24"/>
                <w:u w:val="single"/>
              </w:rPr>
            </w:pPr>
            <w:r>
              <w:rPr>
                <w:rFonts w:hint="eastAsia" w:ascii="仿宋" w:hAnsi="仿宋" w:eastAsia="仿宋" w:cs="仿宋"/>
                <w:sz w:val="24"/>
                <w:szCs w:val="24"/>
              </w:rPr>
              <w:t>承包人（章）</w:t>
            </w:r>
            <w:r>
              <w:rPr>
                <w:rFonts w:ascii="仿宋" w:hAnsi="仿宋" w:eastAsia="仿宋" w:cs="仿宋"/>
                <w:sz w:val="24"/>
                <w:szCs w:val="24"/>
              </w:rPr>
              <w:t xml:space="preserve">                </w:t>
            </w:r>
          </w:p>
          <w:p>
            <w:pPr>
              <w:spacing w:line="360" w:lineRule="auto"/>
              <w:ind w:firstLine="6372" w:firstLineChars="2655"/>
              <w:rPr>
                <w:rFonts w:ascii="仿宋" w:hAnsi="仿宋" w:eastAsia="仿宋" w:cs="仿宋"/>
                <w:sz w:val="24"/>
                <w:szCs w:val="24"/>
                <w:u w:val="single"/>
              </w:rPr>
            </w:pPr>
            <w:r>
              <w:rPr>
                <w:rFonts w:hint="eastAsia" w:ascii="仿宋" w:hAnsi="仿宋" w:eastAsia="仿宋" w:cs="仿宋"/>
                <w:sz w:val="24"/>
                <w:szCs w:val="24"/>
              </w:rPr>
              <w:t>承包人代表</w:t>
            </w:r>
            <w:r>
              <w:rPr>
                <w:rFonts w:ascii="仿宋" w:hAnsi="仿宋" w:eastAsia="仿宋" w:cs="仿宋"/>
                <w:sz w:val="24"/>
                <w:szCs w:val="24"/>
                <w:u w:val="single"/>
              </w:rPr>
              <w:t xml:space="preserve">                </w:t>
            </w:r>
          </w:p>
          <w:p>
            <w:pPr>
              <w:tabs>
                <w:tab w:val="left" w:pos="7272"/>
              </w:tabs>
              <w:spacing w:line="360" w:lineRule="auto"/>
              <w:ind w:firstLine="6372" w:firstLineChars="2655"/>
              <w:rPr>
                <w:rFonts w:ascii="仿宋" w:hAnsi="仿宋" w:eastAsia="仿宋" w:cs="Times New Roman"/>
                <w:sz w:val="24"/>
                <w:szCs w:val="24"/>
                <w:u w:val="single"/>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bl>
    <w:p>
      <w:pPr>
        <w:spacing w:line="360" w:lineRule="auto"/>
        <w:rPr>
          <w:rFonts w:ascii="仿宋" w:hAnsi="仿宋" w:eastAsia="仿宋" w:cs="Times New Roman"/>
          <w:sz w:val="24"/>
          <w:szCs w:val="24"/>
        </w:rPr>
      </w:pPr>
      <w:r>
        <w:rPr>
          <w:rFonts w:hint="eastAsia" w:ascii="仿宋" w:hAnsi="仿宋" w:eastAsia="仿宋" w:cs="仿宋"/>
          <w:sz w:val="24"/>
          <w:szCs w:val="24"/>
        </w:rPr>
        <w:t>说明：本表一式三份，由承包人填制</w:t>
      </w:r>
      <w:r>
        <w:rPr>
          <w:rFonts w:ascii="仿宋" w:hAnsi="仿宋" w:eastAsia="仿宋" w:cs="仿宋"/>
          <w:sz w:val="24"/>
          <w:szCs w:val="24"/>
        </w:rPr>
        <w:t>,</w:t>
      </w:r>
      <w:r>
        <w:rPr>
          <w:rFonts w:hint="eastAsia" w:ascii="仿宋" w:hAnsi="仿宋" w:eastAsia="仿宋" w:cs="仿宋"/>
          <w:sz w:val="24"/>
          <w:szCs w:val="24"/>
        </w:rPr>
        <w:t>并连同发包人、工程造价咨询人（如有）各存一份。</w:t>
      </w:r>
    </w:p>
    <w:p>
      <w:pPr>
        <w:spacing w:line="360" w:lineRule="auto"/>
        <w:outlineLvl w:val="1"/>
        <w:rPr>
          <w:rFonts w:ascii="仿宋" w:hAnsi="仿宋" w:eastAsia="仿宋" w:cs="Times New Roman"/>
          <w:sz w:val="24"/>
          <w:szCs w:val="24"/>
        </w:rPr>
      </w:pPr>
      <w:r>
        <w:rPr>
          <w:rFonts w:ascii="仿宋" w:hAnsi="仿宋" w:eastAsia="仿宋" w:cs="Times New Roman"/>
          <w:kern w:val="0"/>
          <w:sz w:val="24"/>
          <w:szCs w:val="24"/>
        </w:rPr>
        <w:br w:type="page"/>
      </w:r>
      <w:bookmarkStart w:id="801" w:name="_Toc469384164"/>
      <w:bookmarkStart w:id="802" w:name="_Toc10625008"/>
      <w:bookmarkStart w:id="803" w:name="_Toc266892950"/>
      <w:r>
        <w:rPr>
          <w:rFonts w:hint="eastAsia" w:ascii="仿宋" w:hAnsi="仿宋" w:eastAsia="仿宋" w:cs="仿宋"/>
          <w:b/>
          <w:bCs/>
          <w:color w:val="000000"/>
          <w:kern w:val="0"/>
          <w:sz w:val="24"/>
          <w:szCs w:val="24"/>
        </w:rPr>
        <w:t>格式</w:t>
      </w:r>
      <w:r>
        <w:rPr>
          <w:rFonts w:ascii="仿宋" w:hAnsi="仿宋" w:eastAsia="仿宋" w:cs="仿宋"/>
          <w:b/>
          <w:bCs/>
          <w:color w:val="000000"/>
          <w:kern w:val="0"/>
          <w:sz w:val="24"/>
          <w:szCs w:val="24"/>
        </w:rPr>
        <w:t>24</w:t>
      </w:r>
      <w:bookmarkEnd w:id="801"/>
      <w:bookmarkEnd w:id="802"/>
      <w:bookmarkEnd w:id="803"/>
    </w:p>
    <w:p>
      <w:pPr>
        <w:spacing w:before="50" w:after="50" w:line="360" w:lineRule="auto"/>
        <w:jc w:val="center"/>
        <w:rPr>
          <w:rFonts w:ascii="仿宋" w:hAnsi="仿宋" w:eastAsia="仿宋" w:cs="Times New Roman"/>
          <w:b/>
          <w:bCs/>
        </w:rPr>
      </w:pPr>
      <w:r>
        <w:rPr>
          <w:rFonts w:hint="eastAsia" w:ascii="仿宋" w:hAnsi="仿宋" w:eastAsia="仿宋" w:cs="仿宋"/>
          <w:b/>
          <w:bCs/>
          <w:spacing w:val="30"/>
          <w:sz w:val="44"/>
          <w:szCs w:val="44"/>
        </w:rPr>
        <w:t>费用索赔审批表</w:t>
      </w:r>
    </w:p>
    <w:p>
      <w:pPr>
        <w:spacing w:line="360" w:lineRule="auto"/>
        <w:rPr>
          <w:rFonts w:ascii="仿宋" w:hAnsi="仿宋" w:eastAsia="仿宋" w:cs="仿宋"/>
          <w:sz w:val="24"/>
          <w:szCs w:val="24"/>
        </w:rPr>
      </w:pPr>
      <w:r>
        <w:rPr>
          <w:rFonts w:hint="eastAsia" w:ascii="仿宋" w:hAnsi="仿宋" w:eastAsia="仿宋" w:cs="仿宋"/>
          <w:sz w:val="24"/>
          <w:szCs w:val="24"/>
        </w:rPr>
        <w:t>工程名称</w:t>
      </w:r>
      <w:r>
        <w:rPr>
          <w:rFonts w:ascii="仿宋" w:hAnsi="仿宋" w:eastAsia="仿宋" w:cs="仿宋"/>
          <w:sz w:val="24"/>
          <w:szCs w:val="24"/>
        </w:rPr>
        <w:t>:</w:t>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编号</w:t>
      </w:r>
      <w:r>
        <w:rPr>
          <w:rFonts w:ascii="仿宋" w:hAnsi="仿宋" w:eastAsia="仿宋" w:cs="仿宋"/>
          <w:sz w:val="24"/>
          <w:szCs w:val="24"/>
        </w:rPr>
        <w:t>:</w:t>
      </w:r>
    </w:p>
    <w:tbl>
      <w:tblPr>
        <w:tblStyle w:val="40"/>
        <w:tblW w:w="10459"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45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266" w:hRule="atLeast"/>
        </w:trPr>
        <w:tc>
          <w:tcPr>
            <w:tcW w:w="10459" w:type="dxa"/>
            <w:tcBorders>
              <w:bottom w:val="single" w:color="auto" w:sz="4" w:space="0"/>
            </w:tcBorders>
            <w:vAlign w:val="top"/>
          </w:tcPr>
          <w:p>
            <w:pPr>
              <w:spacing w:before="120" w:line="360" w:lineRule="auto"/>
              <w:ind w:left="-28" w:firstLine="181"/>
              <w:rPr>
                <w:rFonts w:ascii="仿宋" w:hAnsi="仿宋" w:eastAsia="仿宋" w:cs="Times New Roman"/>
                <w:sz w:val="24"/>
                <w:szCs w:val="24"/>
              </w:rPr>
            </w:pPr>
            <w:r>
              <w:rPr>
                <w:rFonts w:hint="eastAsia" w:ascii="仿宋" w:hAnsi="仿宋" w:eastAsia="仿宋" w:cs="仿宋"/>
                <w:sz w:val="24"/>
                <w:szCs w:val="24"/>
              </w:rPr>
              <w:t>致</w:t>
            </w:r>
            <w:r>
              <w:rPr>
                <w:rFonts w:ascii="仿宋" w:hAnsi="仿宋" w:eastAsia="仿宋" w:cs="仿宋"/>
                <w:sz w:val="24"/>
                <w:szCs w:val="24"/>
              </w:rPr>
              <w:t>:</w:t>
            </w:r>
            <w:r>
              <w:rPr>
                <w:rFonts w:ascii="仿宋" w:hAnsi="仿宋" w:eastAsia="仿宋" w:cs="仿宋"/>
                <w:sz w:val="24"/>
                <w:szCs w:val="24"/>
                <w:u w:val="single"/>
              </w:rPr>
              <w:t xml:space="preserve">                                                  </w:t>
            </w:r>
            <w:r>
              <w:rPr>
                <w:rFonts w:hint="eastAsia" w:ascii="仿宋" w:hAnsi="仿宋" w:eastAsia="仿宋" w:cs="仿宋"/>
                <w:sz w:val="24"/>
                <w:szCs w:val="24"/>
              </w:rPr>
              <w:t>（承包人全称）</w:t>
            </w:r>
            <w:r>
              <w:rPr>
                <w:rFonts w:ascii="仿宋" w:hAnsi="仿宋" w:eastAsia="仿宋" w:cs="仿宋"/>
                <w:sz w:val="24"/>
                <w:szCs w:val="24"/>
              </w:rPr>
              <w:t xml:space="preserve"> </w:t>
            </w:r>
          </w:p>
          <w:p>
            <w:pPr>
              <w:spacing w:line="360" w:lineRule="auto"/>
              <w:ind w:left="-28" w:firstLine="482"/>
              <w:jc w:val="left"/>
              <w:rPr>
                <w:rFonts w:ascii="仿宋" w:hAnsi="仿宋" w:eastAsia="仿宋" w:cs="Times New Roman"/>
                <w:sz w:val="24"/>
                <w:szCs w:val="24"/>
              </w:rPr>
            </w:pPr>
            <w:r>
              <w:rPr>
                <w:rFonts w:hint="eastAsia" w:ascii="仿宋" w:hAnsi="仿宋" w:eastAsia="仿宋" w:cs="仿宋"/>
                <w:sz w:val="24"/>
                <w:szCs w:val="24"/>
              </w:rPr>
              <w:t>根据施工合同条款第</w:t>
            </w:r>
            <w:r>
              <w:rPr>
                <w:rFonts w:ascii="仿宋" w:hAnsi="仿宋" w:eastAsia="仿宋" w:cs="仿宋"/>
                <w:sz w:val="24"/>
                <w:szCs w:val="24"/>
                <w:u w:val="single"/>
              </w:rPr>
              <w:t xml:space="preserve">               </w:t>
            </w:r>
            <w:r>
              <w:rPr>
                <w:rFonts w:hint="eastAsia" w:ascii="仿宋" w:hAnsi="仿宋" w:eastAsia="仿宋" w:cs="仿宋"/>
                <w:sz w:val="24"/>
                <w:szCs w:val="24"/>
              </w:rPr>
              <w:t>的规定，你方提出的工期索赔申请第</w:t>
            </w:r>
            <w:r>
              <w:rPr>
                <w:rFonts w:ascii="仿宋" w:hAnsi="仿宋" w:eastAsia="仿宋" w:cs="仿宋"/>
                <w:sz w:val="24"/>
                <w:szCs w:val="24"/>
                <w:u w:val="single"/>
              </w:rPr>
              <w:t xml:space="preserve">    </w:t>
            </w:r>
            <w:r>
              <w:rPr>
                <w:rFonts w:hint="eastAsia" w:ascii="仿宋" w:hAnsi="仿宋" w:eastAsia="仿宋" w:cs="仿宋"/>
                <w:sz w:val="24"/>
                <w:szCs w:val="24"/>
              </w:rPr>
              <w:t>号</w:t>
            </w:r>
            <w:r>
              <w:rPr>
                <w:rFonts w:ascii="仿宋" w:hAnsi="仿宋" w:eastAsia="仿宋" w:cs="仿宋"/>
                <w:sz w:val="24"/>
                <w:szCs w:val="24"/>
              </w:rPr>
              <w:t>,</w:t>
            </w:r>
            <w:r>
              <w:rPr>
                <w:rFonts w:hint="eastAsia" w:ascii="仿宋" w:hAnsi="仿宋" w:eastAsia="仿宋" w:cs="仿宋"/>
                <w:sz w:val="24"/>
                <w:szCs w:val="24"/>
              </w:rPr>
              <w:t>索赔费用：</w:t>
            </w:r>
            <w:r>
              <w:rPr>
                <w:rFonts w:ascii="仿宋" w:hAnsi="仿宋" w:eastAsia="仿宋" w:cs="仿宋"/>
                <w:sz w:val="24"/>
                <w:szCs w:val="24"/>
              </w:rPr>
              <w:t>(</w:t>
            </w:r>
            <w:r>
              <w:rPr>
                <w:rFonts w:hint="eastAsia" w:ascii="仿宋" w:hAnsi="仿宋" w:eastAsia="仿宋" w:cs="仿宋"/>
                <w:sz w:val="24"/>
                <w:szCs w:val="24"/>
              </w:rPr>
              <w:t>大写</w:t>
            </w:r>
            <w:r>
              <w:rPr>
                <w:rFonts w:ascii="仿宋" w:hAnsi="仿宋" w:eastAsia="仿宋" w:cs="仿宋"/>
                <w:sz w:val="24"/>
                <w:szCs w:val="24"/>
              </w:rPr>
              <w:t>)</w:t>
            </w:r>
            <w:r>
              <w:rPr>
                <w:rFonts w:ascii="仿宋" w:hAnsi="仿宋" w:eastAsia="仿宋" w:cs="仿宋"/>
                <w:sz w:val="24"/>
                <w:szCs w:val="24"/>
                <w:u w:val="single"/>
              </w:rPr>
              <w:t xml:space="preserve">                   </w:t>
            </w:r>
            <w:r>
              <w:rPr>
                <w:rFonts w:ascii="仿宋" w:hAnsi="仿宋" w:eastAsia="仿宋" w:cs="仿宋"/>
                <w:sz w:val="24"/>
                <w:szCs w:val="24"/>
              </w:rPr>
              <w:t>(</w:t>
            </w:r>
            <w:r>
              <w:rPr>
                <w:rFonts w:hint="eastAsia" w:ascii="仿宋" w:hAnsi="仿宋" w:eastAsia="仿宋" w:cs="仿宋"/>
                <w:sz w:val="24"/>
                <w:szCs w:val="24"/>
              </w:rPr>
              <w:t>小写</w:t>
            </w:r>
            <w:r>
              <w:rPr>
                <w:rFonts w:ascii="仿宋" w:hAnsi="仿宋" w:eastAsia="仿宋" w:cs="仿宋"/>
                <w:sz w:val="24"/>
                <w:szCs w:val="24"/>
              </w:rPr>
              <w:t xml:space="preserve"> </w:t>
            </w:r>
            <w:r>
              <w:rPr>
                <w:rFonts w:ascii="仿宋" w:hAnsi="仿宋" w:eastAsia="仿宋" w:cs="仿宋"/>
                <w:sz w:val="24"/>
                <w:szCs w:val="24"/>
                <w:u w:val="single"/>
              </w:rPr>
              <w:t xml:space="preserve">             </w:t>
            </w:r>
            <w:r>
              <w:rPr>
                <w:rFonts w:hint="eastAsia" w:ascii="仿宋" w:hAnsi="仿宋" w:eastAsia="仿宋" w:cs="仿宋"/>
                <w:sz w:val="24"/>
                <w:szCs w:val="24"/>
              </w:rPr>
              <w:t>元</w:t>
            </w:r>
            <w:r>
              <w:rPr>
                <w:rFonts w:ascii="仿宋" w:hAnsi="仿宋" w:eastAsia="仿宋" w:cs="仿宋"/>
                <w:sz w:val="24"/>
                <w:szCs w:val="24"/>
              </w:rPr>
              <w:t>)</w:t>
            </w:r>
            <w:r>
              <w:rPr>
                <w:rFonts w:hint="eastAsia" w:ascii="仿宋" w:hAnsi="仿宋" w:eastAsia="仿宋" w:cs="仿宋"/>
                <w:sz w:val="24"/>
                <w:szCs w:val="24"/>
              </w:rPr>
              <w:t>，经我方审核：</w:t>
            </w:r>
          </w:p>
          <w:p>
            <w:pPr>
              <w:spacing w:line="360" w:lineRule="auto"/>
              <w:ind w:left="-28" w:firstLine="550"/>
              <w:rPr>
                <w:rFonts w:ascii="仿宋" w:hAnsi="仿宋" w:eastAsia="仿宋" w:cs="Times New Roman"/>
                <w:sz w:val="24"/>
                <w:szCs w:val="24"/>
              </w:rPr>
            </w:pPr>
            <w:r>
              <w:rPr>
                <w:rFonts w:hint="eastAsia" w:ascii="仿宋" w:hAnsi="仿宋" w:eastAsia="仿宋" w:cs="仿宋"/>
                <w:sz w:val="32"/>
                <w:szCs w:val="32"/>
              </w:rPr>
              <w:t>□</w:t>
            </w:r>
            <w:r>
              <w:rPr>
                <w:rFonts w:hint="eastAsia" w:ascii="仿宋" w:hAnsi="仿宋" w:eastAsia="仿宋" w:cs="仿宋"/>
                <w:sz w:val="24"/>
                <w:szCs w:val="24"/>
              </w:rPr>
              <w:t>不同意此项索赔。</w:t>
            </w:r>
          </w:p>
          <w:p>
            <w:pPr>
              <w:spacing w:line="360" w:lineRule="auto"/>
              <w:ind w:left="-28" w:firstLine="550"/>
              <w:rPr>
                <w:rFonts w:ascii="仿宋" w:hAnsi="仿宋" w:eastAsia="仿宋" w:cs="Times New Roman"/>
                <w:sz w:val="24"/>
                <w:szCs w:val="24"/>
              </w:rPr>
            </w:pPr>
            <w:r>
              <w:rPr>
                <w:rFonts w:hint="eastAsia" w:ascii="仿宋" w:hAnsi="仿宋" w:eastAsia="仿宋" w:cs="仿宋"/>
                <w:sz w:val="32"/>
                <w:szCs w:val="32"/>
              </w:rPr>
              <w:t>□</w:t>
            </w:r>
            <w:r>
              <w:rPr>
                <w:rFonts w:hint="eastAsia" w:ascii="仿宋" w:hAnsi="仿宋" w:eastAsia="仿宋" w:cs="仿宋"/>
                <w:sz w:val="24"/>
                <w:szCs w:val="24"/>
              </w:rPr>
              <w:t>同意此项索赔，金额</w:t>
            </w:r>
            <w:r>
              <w:rPr>
                <w:rFonts w:ascii="仿宋" w:hAnsi="仿宋" w:eastAsia="仿宋" w:cs="仿宋"/>
                <w:sz w:val="24"/>
                <w:szCs w:val="24"/>
              </w:rPr>
              <w:t>(</w:t>
            </w:r>
            <w:r>
              <w:rPr>
                <w:rFonts w:hint="eastAsia" w:ascii="仿宋" w:hAnsi="仿宋" w:eastAsia="仿宋" w:cs="仿宋"/>
                <w:sz w:val="24"/>
                <w:szCs w:val="24"/>
              </w:rPr>
              <w:t>大写</w:t>
            </w:r>
            <w:r>
              <w:rPr>
                <w:rFonts w:ascii="仿宋" w:hAnsi="仿宋" w:eastAsia="仿宋" w:cs="仿宋"/>
                <w:sz w:val="24"/>
                <w:szCs w:val="24"/>
              </w:rPr>
              <w:t>)</w:t>
            </w:r>
            <w:r>
              <w:rPr>
                <w:rFonts w:ascii="仿宋" w:hAnsi="仿宋" w:eastAsia="仿宋" w:cs="仿宋"/>
                <w:sz w:val="24"/>
                <w:szCs w:val="24"/>
                <w:u w:val="single"/>
              </w:rPr>
              <w:t xml:space="preserve">                   </w:t>
            </w:r>
            <w:r>
              <w:rPr>
                <w:rFonts w:ascii="仿宋" w:hAnsi="仿宋" w:eastAsia="仿宋" w:cs="仿宋"/>
                <w:sz w:val="24"/>
                <w:szCs w:val="24"/>
              </w:rPr>
              <w:t>(</w:t>
            </w:r>
            <w:r>
              <w:rPr>
                <w:rFonts w:hint="eastAsia" w:ascii="仿宋" w:hAnsi="仿宋" w:eastAsia="仿宋" w:cs="仿宋"/>
                <w:sz w:val="24"/>
                <w:szCs w:val="24"/>
              </w:rPr>
              <w:t>小写</w:t>
            </w:r>
            <w:r>
              <w:rPr>
                <w:rFonts w:ascii="仿宋" w:hAnsi="仿宋" w:eastAsia="仿宋" w:cs="仿宋"/>
                <w:sz w:val="24"/>
                <w:szCs w:val="24"/>
              </w:rPr>
              <w:t xml:space="preserve"> </w:t>
            </w:r>
            <w:r>
              <w:rPr>
                <w:rFonts w:ascii="仿宋" w:hAnsi="仿宋" w:eastAsia="仿宋" w:cs="仿宋"/>
                <w:sz w:val="24"/>
                <w:szCs w:val="24"/>
                <w:u w:val="single"/>
              </w:rPr>
              <w:t xml:space="preserve">             </w:t>
            </w:r>
            <w:r>
              <w:rPr>
                <w:rFonts w:hint="eastAsia" w:ascii="仿宋" w:hAnsi="仿宋" w:eastAsia="仿宋" w:cs="仿宋"/>
                <w:sz w:val="24"/>
                <w:szCs w:val="24"/>
              </w:rPr>
              <w:t>元</w:t>
            </w:r>
            <w:r>
              <w:rPr>
                <w:rFonts w:ascii="仿宋" w:hAnsi="仿宋" w:eastAsia="仿宋" w:cs="仿宋"/>
                <w:sz w:val="24"/>
                <w:szCs w:val="24"/>
              </w:rPr>
              <w:t>)</w:t>
            </w:r>
            <w:r>
              <w:rPr>
                <w:rFonts w:hint="eastAsia" w:ascii="仿宋" w:hAnsi="仿宋" w:eastAsia="仿宋" w:cs="仿宋"/>
                <w:sz w:val="24"/>
                <w:szCs w:val="24"/>
              </w:rPr>
              <w:t>。</w:t>
            </w:r>
          </w:p>
          <w:p>
            <w:pPr>
              <w:spacing w:line="360" w:lineRule="auto"/>
              <w:ind w:firstLine="480" w:firstLineChars="200"/>
              <w:rPr>
                <w:rFonts w:ascii="仿宋" w:hAnsi="仿宋" w:eastAsia="仿宋" w:cs="Times New Roman"/>
                <w:sz w:val="24"/>
                <w:szCs w:val="24"/>
              </w:rPr>
            </w:pPr>
            <w:r>
              <w:rPr>
                <w:rFonts w:hint="eastAsia" w:ascii="仿宋" w:hAnsi="仿宋" w:eastAsia="仿宋" w:cs="仿宋"/>
                <w:sz w:val="24"/>
                <w:szCs w:val="24"/>
              </w:rPr>
              <w:t>同意</w:t>
            </w:r>
            <w:r>
              <w:rPr>
                <w:rFonts w:ascii="仿宋" w:hAnsi="仿宋" w:eastAsia="仿宋" w:cs="仿宋"/>
                <w:sz w:val="24"/>
                <w:szCs w:val="24"/>
              </w:rPr>
              <w:t>/</w:t>
            </w:r>
            <w:r>
              <w:rPr>
                <w:rFonts w:hint="eastAsia" w:ascii="仿宋" w:hAnsi="仿宋" w:eastAsia="仿宋" w:cs="仿宋"/>
                <w:sz w:val="24"/>
                <w:szCs w:val="24"/>
              </w:rPr>
              <w:t>不同意索赔说明理由：</w:t>
            </w:r>
          </w:p>
          <w:p>
            <w:pPr>
              <w:spacing w:line="360" w:lineRule="auto"/>
              <w:ind w:firstLine="480" w:firstLineChars="200"/>
              <w:rPr>
                <w:rFonts w:ascii="仿宋" w:hAnsi="仿宋" w:eastAsia="仿宋" w:cs="Times New Roman"/>
                <w:sz w:val="24"/>
                <w:szCs w:val="24"/>
              </w:rPr>
            </w:pPr>
          </w:p>
          <w:p>
            <w:pPr>
              <w:spacing w:line="360" w:lineRule="auto"/>
              <w:ind w:firstLine="480" w:firstLineChars="200"/>
              <w:rPr>
                <w:rFonts w:ascii="仿宋" w:hAnsi="仿宋" w:eastAsia="仿宋" w:cs="Times New Roman"/>
                <w:sz w:val="24"/>
                <w:szCs w:val="24"/>
              </w:rPr>
            </w:pPr>
          </w:p>
          <w:p>
            <w:pPr>
              <w:spacing w:line="360" w:lineRule="auto"/>
              <w:ind w:firstLine="480" w:firstLineChars="200"/>
              <w:rPr>
                <w:rFonts w:ascii="仿宋" w:hAnsi="仿宋" w:eastAsia="仿宋" w:cs="Times New Roman"/>
                <w:sz w:val="24"/>
                <w:szCs w:val="24"/>
              </w:rPr>
            </w:pPr>
          </w:p>
          <w:p>
            <w:pPr>
              <w:spacing w:line="360" w:lineRule="auto"/>
              <w:ind w:firstLine="480" w:firstLineChars="200"/>
              <w:rPr>
                <w:rFonts w:ascii="仿宋" w:hAnsi="仿宋" w:eastAsia="仿宋" w:cs="Times New Roman"/>
                <w:sz w:val="24"/>
                <w:szCs w:val="24"/>
              </w:rPr>
            </w:pPr>
          </w:p>
          <w:p>
            <w:pPr>
              <w:spacing w:line="360" w:lineRule="auto"/>
              <w:ind w:firstLine="480" w:firstLineChars="200"/>
              <w:rPr>
                <w:rFonts w:ascii="仿宋" w:hAnsi="仿宋" w:eastAsia="仿宋" w:cs="Times New Roman"/>
                <w:sz w:val="24"/>
                <w:szCs w:val="24"/>
              </w:rPr>
            </w:pPr>
          </w:p>
          <w:p>
            <w:pPr>
              <w:spacing w:line="360" w:lineRule="auto"/>
              <w:ind w:firstLine="480" w:firstLineChars="200"/>
              <w:rPr>
                <w:rFonts w:ascii="仿宋" w:hAnsi="仿宋" w:eastAsia="仿宋" w:cs="Times New Roman"/>
                <w:sz w:val="24"/>
                <w:szCs w:val="24"/>
              </w:rPr>
            </w:pPr>
          </w:p>
          <w:p>
            <w:pPr>
              <w:spacing w:line="360" w:lineRule="auto"/>
              <w:ind w:left="-108" w:firstLine="590"/>
              <w:rPr>
                <w:rFonts w:ascii="仿宋" w:hAnsi="仿宋" w:eastAsia="仿宋" w:cs="Times New Roman"/>
                <w:sz w:val="24"/>
                <w:szCs w:val="24"/>
              </w:rPr>
            </w:pPr>
          </w:p>
          <w:p>
            <w:pPr>
              <w:spacing w:line="360" w:lineRule="auto"/>
              <w:ind w:left="-108" w:firstLine="590"/>
              <w:rPr>
                <w:rFonts w:ascii="仿宋" w:hAnsi="仿宋" w:eastAsia="仿宋" w:cs="Times New Roman"/>
                <w:sz w:val="24"/>
                <w:szCs w:val="24"/>
              </w:rPr>
            </w:pPr>
          </w:p>
          <w:p>
            <w:pPr>
              <w:spacing w:line="360" w:lineRule="auto"/>
              <w:ind w:left="-108" w:firstLine="590"/>
              <w:rPr>
                <w:rFonts w:ascii="仿宋" w:hAnsi="仿宋" w:eastAsia="仿宋" w:cs="Times New Roman"/>
                <w:sz w:val="24"/>
                <w:szCs w:val="24"/>
              </w:rPr>
            </w:pPr>
          </w:p>
          <w:p>
            <w:pPr>
              <w:spacing w:line="360" w:lineRule="auto"/>
              <w:ind w:left="-108" w:firstLine="590"/>
              <w:rPr>
                <w:rFonts w:ascii="仿宋" w:hAnsi="仿宋" w:eastAsia="仿宋" w:cs="Times New Roman"/>
                <w:sz w:val="24"/>
                <w:szCs w:val="24"/>
              </w:rPr>
            </w:pPr>
          </w:p>
          <w:p>
            <w:pPr>
              <w:spacing w:line="360" w:lineRule="auto"/>
              <w:ind w:left="-108" w:firstLine="590"/>
              <w:rPr>
                <w:rFonts w:ascii="仿宋" w:hAnsi="仿宋" w:eastAsia="仿宋" w:cs="Times New Roman"/>
                <w:sz w:val="24"/>
                <w:szCs w:val="24"/>
              </w:rPr>
            </w:pPr>
          </w:p>
          <w:p>
            <w:pPr>
              <w:spacing w:line="360" w:lineRule="auto"/>
              <w:ind w:left="-108" w:firstLine="590"/>
              <w:rPr>
                <w:rFonts w:ascii="仿宋" w:hAnsi="仿宋" w:eastAsia="仿宋" w:cs="Times New Roman"/>
                <w:sz w:val="24"/>
                <w:szCs w:val="24"/>
              </w:rPr>
            </w:pPr>
          </w:p>
          <w:p>
            <w:pPr>
              <w:spacing w:line="360" w:lineRule="auto"/>
              <w:ind w:left="-108" w:firstLine="590"/>
              <w:rPr>
                <w:rFonts w:ascii="仿宋" w:hAnsi="仿宋" w:eastAsia="仿宋" w:cs="Times New Roman"/>
                <w:sz w:val="24"/>
                <w:szCs w:val="24"/>
              </w:rPr>
            </w:pPr>
          </w:p>
          <w:p>
            <w:pPr>
              <w:spacing w:line="360" w:lineRule="auto"/>
              <w:ind w:left="-108" w:firstLine="590"/>
              <w:rPr>
                <w:rFonts w:ascii="仿宋" w:hAnsi="仿宋" w:eastAsia="仿宋" w:cs="Times New Roman"/>
                <w:sz w:val="24"/>
                <w:szCs w:val="24"/>
              </w:rPr>
            </w:pPr>
          </w:p>
          <w:p>
            <w:pPr>
              <w:spacing w:line="360" w:lineRule="auto"/>
              <w:rPr>
                <w:rFonts w:ascii="仿宋" w:hAnsi="仿宋" w:eastAsia="仿宋" w:cs="Times New Roman"/>
                <w:sz w:val="24"/>
                <w:szCs w:val="24"/>
              </w:rPr>
            </w:pPr>
          </w:p>
          <w:p>
            <w:pPr>
              <w:tabs>
                <w:tab w:val="left" w:pos="6912"/>
              </w:tabs>
              <w:spacing w:line="360" w:lineRule="auto"/>
              <w:ind w:firstLine="6000" w:firstLineChars="2500"/>
              <w:rPr>
                <w:rFonts w:ascii="仿宋" w:hAnsi="仿宋" w:eastAsia="仿宋" w:cs="Times New Roman"/>
                <w:sz w:val="24"/>
                <w:szCs w:val="24"/>
                <w:u w:val="single"/>
              </w:rPr>
            </w:pPr>
            <w:r>
              <w:rPr>
                <w:rFonts w:hint="eastAsia" w:ascii="仿宋" w:hAnsi="仿宋" w:eastAsia="仿宋" w:cs="仿宋"/>
                <w:sz w:val="24"/>
                <w:szCs w:val="24"/>
              </w:rPr>
              <w:t>工程造价咨询人（如有）（章）</w:t>
            </w:r>
            <w:r>
              <w:rPr>
                <w:rFonts w:ascii="仿宋" w:hAnsi="仿宋" w:eastAsia="仿宋" w:cs="仿宋"/>
                <w:sz w:val="24"/>
                <w:szCs w:val="24"/>
              </w:rPr>
              <w:t xml:space="preserve">                </w:t>
            </w:r>
          </w:p>
          <w:p>
            <w:pPr>
              <w:spacing w:line="360" w:lineRule="auto"/>
              <w:ind w:firstLine="6000"/>
              <w:rPr>
                <w:rFonts w:ascii="仿宋" w:hAnsi="仿宋" w:eastAsia="仿宋" w:cs="仿宋"/>
                <w:sz w:val="24"/>
                <w:szCs w:val="24"/>
                <w:u w:val="single"/>
              </w:rPr>
            </w:pPr>
            <w:r>
              <w:rPr>
                <w:rFonts w:hint="eastAsia" w:ascii="仿宋" w:hAnsi="仿宋" w:eastAsia="仿宋" w:cs="仿宋"/>
                <w:sz w:val="24"/>
                <w:szCs w:val="24"/>
              </w:rPr>
              <w:t>造价工程师</w:t>
            </w:r>
            <w:r>
              <w:rPr>
                <w:rFonts w:ascii="仿宋" w:hAnsi="仿宋" w:eastAsia="仿宋" w:cs="仿宋"/>
                <w:sz w:val="24"/>
                <w:szCs w:val="24"/>
                <w:u w:val="single"/>
              </w:rPr>
              <w:t xml:space="preserve">                </w:t>
            </w:r>
          </w:p>
          <w:p>
            <w:pPr>
              <w:tabs>
                <w:tab w:val="left" w:pos="7272"/>
              </w:tabs>
              <w:spacing w:line="360" w:lineRule="auto"/>
              <w:ind w:firstLine="6000"/>
              <w:rPr>
                <w:rFonts w:ascii="仿宋" w:hAnsi="仿宋" w:eastAsia="仿宋" w:cs="Times New Roman"/>
                <w:sz w:val="24"/>
                <w:szCs w:val="24"/>
                <w:u w:val="single"/>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bl>
    <w:p>
      <w:pPr>
        <w:rPr>
          <w:rFonts w:ascii="仿宋" w:hAnsi="仿宋" w:eastAsia="仿宋" w:cs="Times New Roman"/>
          <w:sz w:val="24"/>
          <w:szCs w:val="24"/>
        </w:rPr>
      </w:pPr>
      <w:r>
        <w:rPr>
          <w:rFonts w:hint="eastAsia" w:ascii="仿宋" w:hAnsi="仿宋" w:eastAsia="仿宋" w:cs="仿宋"/>
          <w:sz w:val="24"/>
          <w:szCs w:val="24"/>
        </w:rPr>
        <w:t>说明：</w:t>
      </w:r>
      <w:r>
        <w:rPr>
          <w:rFonts w:ascii="仿宋" w:hAnsi="仿宋" w:eastAsia="仿宋" w:cs="仿宋"/>
          <w:sz w:val="24"/>
          <w:szCs w:val="24"/>
        </w:rPr>
        <w:t>1</w:t>
      </w:r>
      <w:r>
        <w:rPr>
          <w:rFonts w:hint="eastAsia" w:ascii="仿宋" w:hAnsi="仿宋" w:eastAsia="仿宋" w:cs="仿宋"/>
          <w:sz w:val="24"/>
          <w:szCs w:val="24"/>
        </w:rPr>
        <w:t>．在需要选择的栏中的“□”内作标识“√”。</w:t>
      </w:r>
    </w:p>
    <w:p>
      <w:pPr>
        <w:spacing w:before="120" w:beforeLines="50" w:after="120" w:afterLines="50"/>
        <w:ind w:firstLine="720" w:firstLineChars="300"/>
        <w:rPr>
          <w:rFonts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．本表一式三份，由承包人填制</w:t>
      </w:r>
      <w:r>
        <w:rPr>
          <w:rFonts w:ascii="仿宋" w:hAnsi="仿宋" w:eastAsia="仿宋" w:cs="仿宋"/>
          <w:sz w:val="24"/>
          <w:szCs w:val="24"/>
        </w:rPr>
        <w:t>,</w:t>
      </w:r>
      <w:r>
        <w:rPr>
          <w:rFonts w:hint="eastAsia" w:ascii="仿宋" w:hAnsi="仿宋" w:eastAsia="仿宋" w:cs="仿宋"/>
          <w:sz w:val="24"/>
          <w:szCs w:val="24"/>
        </w:rPr>
        <w:t>并连同发包人、工程造价咨询人（如有）各存一份。</w:t>
      </w:r>
    </w:p>
    <w:p>
      <w:pPr>
        <w:spacing w:line="360" w:lineRule="auto"/>
        <w:outlineLvl w:val="1"/>
        <w:rPr>
          <w:rFonts w:ascii="仿宋" w:hAnsi="仿宋" w:eastAsia="仿宋" w:cs="仿宋"/>
          <w:b/>
          <w:bCs/>
          <w:color w:val="000000"/>
          <w:kern w:val="0"/>
          <w:sz w:val="24"/>
          <w:szCs w:val="24"/>
        </w:rPr>
      </w:pPr>
      <w:r>
        <w:rPr>
          <w:rFonts w:ascii="仿宋" w:hAnsi="仿宋" w:eastAsia="仿宋" w:cs="Times New Roman"/>
          <w:kern w:val="0"/>
          <w:sz w:val="24"/>
          <w:szCs w:val="24"/>
        </w:rPr>
        <w:br w:type="page"/>
      </w:r>
      <w:bookmarkStart w:id="804" w:name="_Toc10625009"/>
      <w:bookmarkStart w:id="805" w:name="_Toc266892951"/>
      <w:bookmarkStart w:id="806" w:name="_Toc469384165"/>
      <w:r>
        <w:rPr>
          <w:rFonts w:hint="eastAsia" w:ascii="仿宋" w:hAnsi="仿宋" w:eastAsia="仿宋" w:cs="仿宋"/>
          <w:b/>
          <w:bCs/>
          <w:color w:val="000000"/>
          <w:kern w:val="0"/>
          <w:sz w:val="24"/>
          <w:szCs w:val="24"/>
        </w:rPr>
        <w:t>格式</w:t>
      </w:r>
      <w:r>
        <w:rPr>
          <w:rFonts w:ascii="仿宋" w:hAnsi="仿宋" w:eastAsia="仿宋" w:cs="仿宋"/>
          <w:b/>
          <w:bCs/>
          <w:color w:val="000000"/>
          <w:kern w:val="0"/>
          <w:sz w:val="24"/>
          <w:szCs w:val="24"/>
        </w:rPr>
        <w:t>25</w:t>
      </w:r>
      <w:bookmarkEnd w:id="804"/>
      <w:bookmarkEnd w:id="805"/>
      <w:bookmarkEnd w:id="806"/>
    </w:p>
    <w:p>
      <w:pPr>
        <w:spacing w:line="360" w:lineRule="auto"/>
        <w:jc w:val="center"/>
        <w:rPr>
          <w:rFonts w:ascii="仿宋" w:hAnsi="仿宋" w:eastAsia="仿宋" w:cs="Times New Roman"/>
          <w:b/>
          <w:bCs/>
          <w:spacing w:val="30"/>
          <w:sz w:val="44"/>
          <w:szCs w:val="44"/>
        </w:rPr>
      </w:pPr>
      <w:r>
        <w:rPr>
          <w:rFonts w:hint="eastAsia" w:ascii="仿宋" w:hAnsi="仿宋" w:eastAsia="仿宋" w:cs="仿宋"/>
          <w:b/>
          <w:bCs/>
          <w:spacing w:val="30"/>
          <w:sz w:val="44"/>
          <w:szCs w:val="44"/>
        </w:rPr>
        <w:t>已完工程款额报告</w:t>
      </w:r>
    </w:p>
    <w:p>
      <w:pPr>
        <w:spacing w:line="360" w:lineRule="auto"/>
        <w:rPr>
          <w:rFonts w:ascii="仿宋" w:hAnsi="仿宋" w:eastAsia="仿宋" w:cs="Times New Roman"/>
          <w:sz w:val="24"/>
          <w:szCs w:val="24"/>
        </w:rPr>
      </w:pPr>
      <w:r>
        <w:rPr>
          <w:rFonts w:hint="eastAsia" w:ascii="仿宋" w:hAnsi="仿宋" w:eastAsia="仿宋" w:cs="仿宋"/>
          <w:sz w:val="24"/>
          <w:szCs w:val="24"/>
        </w:rPr>
        <w:t>工程名称</w:t>
      </w:r>
      <w:r>
        <w:rPr>
          <w:rFonts w:ascii="仿宋" w:hAnsi="仿宋" w:eastAsia="仿宋" w:cs="仿宋"/>
          <w:sz w:val="24"/>
          <w:szCs w:val="24"/>
        </w:rPr>
        <w:t>:</w:t>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编号</w:t>
      </w:r>
      <w:r>
        <w:rPr>
          <w:rFonts w:ascii="仿宋" w:hAnsi="仿宋" w:eastAsia="仿宋" w:cs="仿宋"/>
          <w:sz w:val="24"/>
          <w:szCs w:val="24"/>
        </w:rPr>
        <w:t>:</w:t>
      </w:r>
    </w:p>
    <w:tbl>
      <w:tblPr>
        <w:tblStyle w:val="40"/>
        <w:tblW w:w="10461"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538"/>
        <w:gridCol w:w="592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28" w:hRule="atLeast"/>
        </w:trPr>
        <w:tc>
          <w:tcPr>
            <w:tcW w:w="10461" w:type="dxa"/>
            <w:gridSpan w:val="2"/>
            <w:tcBorders>
              <w:bottom w:val="single" w:color="auto" w:sz="4" w:space="0"/>
            </w:tcBorders>
            <w:vAlign w:val="top"/>
          </w:tcPr>
          <w:p>
            <w:pPr>
              <w:spacing w:before="120" w:line="360" w:lineRule="auto"/>
              <w:rPr>
                <w:rFonts w:ascii="仿宋" w:hAnsi="仿宋" w:eastAsia="仿宋" w:cs="Times New Roman"/>
                <w:sz w:val="24"/>
                <w:szCs w:val="24"/>
              </w:rPr>
            </w:pPr>
            <w:r>
              <w:rPr>
                <w:rFonts w:hint="eastAsia" w:ascii="仿宋" w:hAnsi="仿宋" w:eastAsia="仿宋" w:cs="仿宋"/>
                <w:sz w:val="24"/>
                <w:szCs w:val="24"/>
              </w:rPr>
              <w:t>致</w:t>
            </w:r>
            <w:r>
              <w:rPr>
                <w:rFonts w:ascii="仿宋" w:hAnsi="仿宋" w:eastAsia="仿宋" w:cs="仿宋"/>
                <w:sz w:val="24"/>
                <w:szCs w:val="24"/>
              </w:rPr>
              <w:t>:</w:t>
            </w:r>
            <w:r>
              <w:rPr>
                <w:rFonts w:ascii="仿宋" w:hAnsi="仿宋" w:eastAsia="仿宋" w:cs="仿宋"/>
                <w:sz w:val="24"/>
                <w:szCs w:val="24"/>
                <w:u w:val="single"/>
              </w:rPr>
              <w:t xml:space="preserve">                                          </w:t>
            </w:r>
            <w:r>
              <w:rPr>
                <w:rFonts w:hint="eastAsia" w:ascii="仿宋" w:hAnsi="仿宋" w:eastAsia="仿宋" w:cs="仿宋"/>
                <w:sz w:val="24"/>
                <w:szCs w:val="24"/>
              </w:rPr>
              <w:t>（工程造价咨询人（如有）全称）</w:t>
            </w:r>
          </w:p>
          <w:p>
            <w:pPr>
              <w:spacing w:line="360" w:lineRule="auto"/>
              <w:ind w:left="-27" w:leftChars="-13" w:firstLine="480" w:firstLineChars="200"/>
              <w:rPr>
                <w:rFonts w:ascii="仿宋" w:hAnsi="仿宋" w:eastAsia="仿宋" w:cs="Times New Roman"/>
                <w:sz w:val="24"/>
                <w:szCs w:val="24"/>
              </w:rPr>
            </w:pPr>
            <w:r>
              <w:rPr>
                <w:rFonts w:hint="eastAsia" w:ascii="仿宋" w:hAnsi="仿宋" w:eastAsia="仿宋" w:cs="仿宋"/>
                <w:sz w:val="24"/>
                <w:szCs w:val="24"/>
              </w:rPr>
              <w:t>于</w:t>
            </w:r>
            <w:r>
              <w:rPr>
                <w:rFonts w:ascii="仿宋" w:hAnsi="仿宋" w:eastAsia="仿宋" w:cs="仿宋"/>
                <w:sz w:val="24"/>
                <w:szCs w:val="24"/>
                <w:u w:val="single"/>
              </w:rPr>
              <w:t xml:space="preserve">        </w:t>
            </w:r>
            <w:r>
              <w:rPr>
                <w:rFonts w:hint="eastAsia" w:ascii="仿宋" w:hAnsi="仿宋" w:eastAsia="仿宋" w:cs="仿宋"/>
                <w:sz w:val="24"/>
                <w:szCs w:val="24"/>
              </w:rPr>
              <w:t>至</w:t>
            </w:r>
            <w:r>
              <w:rPr>
                <w:rFonts w:ascii="仿宋" w:hAnsi="仿宋" w:eastAsia="仿宋" w:cs="仿宋"/>
                <w:sz w:val="24"/>
                <w:szCs w:val="24"/>
                <w:u w:val="single"/>
              </w:rPr>
              <w:t xml:space="preserve">        </w:t>
            </w:r>
            <w:r>
              <w:rPr>
                <w:rFonts w:hint="eastAsia" w:ascii="仿宋" w:hAnsi="仿宋" w:eastAsia="仿宋" w:cs="仿宋"/>
                <w:sz w:val="24"/>
                <w:szCs w:val="24"/>
              </w:rPr>
              <w:t>期间</w:t>
            </w:r>
            <w:r>
              <w:rPr>
                <w:rFonts w:ascii="仿宋" w:hAnsi="仿宋" w:eastAsia="仿宋" w:cs="仿宋"/>
                <w:sz w:val="24"/>
                <w:szCs w:val="24"/>
              </w:rPr>
              <w:t>,</w:t>
            </w:r>
            <w:r>
              <w:rPr>
                <w:rFonts w:hint="eastAsia" w:ascii="仿宋" w:hAnsi="仿宋" w:eastAsia="仿宋" w:cs="仿宋"/>
                <w:sz w:val="24"/>
                <w:szCs w:val="24"/>
              </w:rPr>
              <w:t>我方按照合同约定和监理工程师的指令，实际已完工程款额为（大写）</w:t>
            </w:r>
            <w:r>
              <w:rPr>
                <w:rFonts w:ascii="仿宋" w:hAnsi="仿宋" w:eastAsia="仿宋" w:cs="仿宋"/>
                <w:sz w:val="24"/>
                <w:szCs w:val="24"/>
                <w:u w:val="single"/>
              </w:rPr>
              <w:t xml:space="preserve">                         </w:t>
            </w:r>
            <w:r>
              <w:rPr>
                <w:rFonts w:hint="eastAsia" w:ascii="仿宋" w:hAnsi="仿宋" w:eastAsia="仿宋" w:cs="仿宋"/>
                <w:sz w:val="24"/>
                <w:szCs w:val="24"/>
                <w:u w:val="single"/>
              </w:rPr>
              <w:t>　　　　</w:t>
            </w:r>
            <w:r>
              <w:rPr>
                <w:rFonts w:hint="eastAsia" w:ascii="仿宋" w:hAnsi="仿宋" w:eastAsia="仿宋" w:cs="仿宋"/>
                <w:sz w:val="24"/>
                <w:szCs w:val="24"/>
              </w:rPr>
              <w:t>（小写</w:t>
            </w:r>
            <w:r>
              <w:rPr>
                <w:rFonts w:ascii="仿宋" w:hAnsi="仿宋" w:eastAsia="仿宋" w:cs="仿宋"/>
                <w:sz w:val="24"/>
                <w:szCs w:val="24"/>
                <w:u w:val="single"/>
              </w:rPr>
              <w:t xml:space="preserve">              </w:t>
            </w:r>
            <w:r>
              <w:rPr>
                <w:rFonts w:hint="eastAsia" w:ascii="仿宋" w:hAnsi="仿宋" w:eastAsia="仿宋" w:cs="仿宋"/>
                <w:sz w:val="24"/>
                <w:szCs w:val="24"/>
              </w:rPr>
              <w:t>），累计已完工程款额（大写）</w:t>
            </w:r>
            <w:r>
              <w:rPr>
                <w:rFonts w:ascii="仿宋" w:hAnsi="仿宋" w:eastAsia="仿宋" w:cs="仿宋"/>
                <w:sz w:val="24"/>
                <w:szCs w:val="24"/>
                <w:u w:val="single"/>
              </w:rPr>
              <w:t xml:space="preserve">                                      </w:t>
            </w:r>
            <w:r>
              <w:rPr>
                <w:rFonts w:hint="eastAsia" w:ascii="仿宋" w:hAnsi="仿宋" w:eastAsia="仿宋" w:cs="仿宋"/>
                <w:sz w:val="24"/>
                <w:szCs w:val="24"/>
              </w:rPr>
              <w:t>（小写</w:t>
            </w:r>
            <w:r>
              <w:rPr>
                <w:rFonts w:ascii="仿宋" w:hAnsi="仿宋" w:eastAsia="仿宋" w:cs="仿宋"/>
                <w:sz w:val="24"/>
                <w:szCs w:val="24"/>
                <w:u w:val="single"/>
              </w:rPr>
              <w:t xml:space="preserve">             </w:t>
            </w:r>
            <w:r>
              <w:rPr>
                <w:rFonts w:hint="eastAsia" w:ascii="仿宋" w:hAnsi="仿宋" w:eastAsia="仿宋" w:cs="仿宋"/>
                <w:sz w:val="24"/>
                <w:szCs w:val="24"/>
              </w:rPr>
              <w:t>）。根据施工合同条款</w:t>
            </w:r>
            <w:r>
              <w:rPr>
                <w:rFonts w:ascii="仿宋" w:hAnsi="仿宋" w:eastAsia="仿宋" w:cs="仿宋"/>
                <w:sz w:val="24"/>
                <w:szCs w:val="24"/>
                <w:u w:val="single"/>
              </w:rPr>
              <w:t xml:space="preserve">                                        </w:t>
            </w:r>
            <w:r>
              <w:rPr>
                <w:rFonts w:hint="eastAsia" w:ascii="仿宋" w:hAnsi="仿宋" w:eastAsia="仿宋" w:cs="仿宋"/>
                <w:sz w:val="24"/>
                <w:szCs w:val="24"/>
              </w:rPr>
              <w:t>的规定，现提出已完工程款额报告，请予复核和确认。</w:t>
            </w:r>
          </w:p>
          <w:p>
            <w:pPr>
              <w:spacing w:line="360" w:lineRule="auto"/>
              <w:rPr>
                <w:rFonts w:ascii="仿宋" w:hAnsi="仿宋" w:eastAsia="仿宋" w:cs="Times New Roman"/>
                <w:sz w:val="24"/>
                <w:szCs w:val="24"/>
              </w:rPr>
            </w:pPr>
            <w:r>
              <w:rPr>
                <w:rFonts w:hint="eastAsia" w:ascii="仿宋" w:hAnsi="仿宋" w:eastAsia="仿宋" w:cs="仿宋"/>
                <w:sz w:val="24"/>
                <w:szCs w:val="24"/>
              </w:rPr>
              <w:t>附：</w:t>
            </w:r>
            <w:r>
              <w:rPr>
                <w:rFonts w:ascii="仿宋" w:hAnsi="仿宋" w:eastAsia="仿宋" w:cs="仿宋"/>
                <w:sz w:val="24"/>
                <w:szCs w:val="24"/>
              </w:rPr>
              <w:t xml:space="preserve">1. </w:t>
            </w:r>
            <w:r>
              <w:rPr>
                <w:rFonts w:hint="eastAsia" w:ascii="仿宋" w:hAnsi="仿宋" w:eastAsia="仿宋" w:cs="仿宋"/>
                <w:sz w:val="24"/>
                <w:szCs w:val="24"/>
              </w:rPr>
              <w:t>已完工程款额明细表：</w:t>
            </w:r>
          </w:p>
          <w:p>
            <w:pPr>
              <w:spacing w:line="360" w:lineRule="auto"/>
              <w:ind w:left="-108" w:firstLine="590"/>
              <w:rPr>
                <w:rFonts w:ascii="仿宋" w:hAnsi="仿宋" w:eastAsia="仿宋" w:cs="Times New Roman"/>
                <w:sz w:val="24"/>
                <w:szCs w:val="24"/>
              </w:rPr>
            </w:pPr>
            <w:r>
              <w:rPr>
                <w:rFonts w:ascii="仿宋" w:hAnsi="仿宋" w:eastAsia="仿宋" w:cs="仿宋"/>
                <w:sz w:val="24"/>
                <w:szCs w:val="24"/>
              </w:rPr>
              <w:t xml:space="preserve">2. </w:t>
            </w:r>
            <w:r>
              <w:rPr>
                <w:rFonts w:hint="eastAsia" w:ascii="仿宋" w:hAnsi="仿宋" w:eastAsia="仿宋" w:cs="仿宋"/>
                <w:sz w:val="24"/>
                <w:szCs w:val="24"/>
              </w:rPr>
              <w:t>证明材料：</w:t>
            </w:r>
          </w:p>
          <w:p>
            <w:pPr>
              <w:tabs>
                <w:tab w:val="left" w:pos="6912"/>
              </w:tabs>
              <w:spacing w:line="360" w:lineRule="auto"/>
              <w:ind w:firstLine="6000" w:firstLineChars="2500"/>
              <w:rPr>
                <w:rFonts w:ascii="仿宋" w:hAnsi="仿宋" w:eastAsia="仿宋" w:cs="Times New Roman"/>
                <w:sz w:val="24"/>
                <w:szCs w:val="24"/>
                <w:u w:val="single"/>
              </w:rPr>
            </w:pPr>
            <w:r>
              <w:rPr>
                <w:rFonts w:hint="eastAsia" w:ascii="仿宋" w:hAnsi="仿宋" w:eastAsia="仿宋" w:cs="仿宋"/>
                <w:sz w:val="24"/>
                <w:szCs w:val="24"/>
              </w:rPr>
              <w:t>承包人（章）</w:t>
            </w:r>
            <w:r>
              <w:rPr>
                <w:rFonts w:ascii="仿宋" w:hAnsi="仿宋" w:eastAsia="仿宋" w:cs="仿宋"/>
                <w:sz w:val="24"/>
                <w:szCs w:val="24"/>
              </w:rPr>
              <w:t xml:space="preserve">                </w:t>
            </w:r>
          </w:p>
          <w:p>
            <w:pPr>
              <w:spacing w:line="360" w:lineRule="auto"/>
              <w:ind w:firstLine="6000"/>
              <w:rPr>
                <w:rFonts w:ascii="仿宋" w:hAnsi="仿宋" w:eastAsia="仿宋" w:cs="仿宋"/>
                <w:sz w:val="24"/>
                <w:szCs w:val="24"/>
                <w:u w:val="single"/>
              </w:rPr>
            </w:pPr>
            <w:r>
              <w:rPr>
                <w:rFonts w:hint="eastAsia" w:ascii="仿宋" w:hAnsi="仿宋" w:eastAsia="仿宋" w:cs="仿宋"/>
                <w:sz w:val="24"/>
                <w:szCs w:val="24"/>
              </w:rPr>
              <w:t>承包人代表</w:t>
            </w:r>
            <w:r>
              <w:rPr>
                <w:rFonts w:ascii="仿宋" w:hAnsi="仿宋" w:eastAsia="仿宋" w:cs="仿宋"/>
                <w:sz w:val="24"/>
                <w:szCs w:val="24"/>
                <w:u w:val="single"/>
              </w:rPr>
              <w:t xml:space="preserve">                </w:t>
            </w:r>
          </w:p>
          <w:p>
            <w:pPr>
              <w:tabs>
                <w:tab w:val="left" w:pos="7272"/>
              </w:tabs>
              <w:spacing w:line="360" w:lineRule="auto"/>
              <w:ind w:firstLine="6000"/>
              <w:rPr>
                <w:rFonts w:ascii="仿宋" w:hAnsi="仿宋" w:eastAsia="仿宋" w:cs="Times New Roman"/>
                <w:sz w:val="24"/>
                <w:szCs w:val="24"/>
                <w:u w:val="single"/>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31" w:hRule="atLeast"/>
        </w:trPr>
        <w:tc>
          <w:tcPr>
            <w:tcW w:w="4538" w:type="dxa"/>
            <w:tcBorders>
              <w:top w:val="single" w:color="auto" w:sz="4" w:space="0"/>
              <w:bottom w:val="single" w:color="auto" w:sz="4" w:space="0"/>
              <w:right w:val="single" w:color="auto" w:sz="4" w:space="0"/>
            </w:tcBorders>
            <w:vAlign w:val="top"/>
          </w:tcPr>
          <w:p>
            <w:pPr>
              <w:spacing w:line="360" w:lineRule="auto"/>
              <w:rPr>
                <w:rFonts w:ascii="仿宋" w:hAnsi="仿宋" w:eastAsia="仿宋" w:cs="Times New Roman"/>
                <w:sz w:val="24"/>
                <w:szCs w:val="24"/>
              </w:rPr>
            </w:pPr>
            <w:r>
              <w:rPr>
                <w:rFonts w:hint="eastAsia" w:ascii="仿宋" w:hAnsi="仿宋" w:eastAsia="仿宋" w:cs="仿宋"/>
                <w:sz w:val="24"/>
                <w:szCs w:val="24"/>
              </w:rPr>
              <w:t>复核意见：</w:t>
            </w:r>
          </w:p>
          <w:p>
            <w:pPr>
              <w:spacing w:line="360" w:lineRule="auto"/>
              <w:ind w:firstLine="640" w:firstLineChars="200"/>
              <w:rPr>
                <w:rFonts w:ascii="仿宋" w:hAnsi="仿宋" w:eastAsia="仿宋" w:cs="Times New Roman"/>
                <w:sz w:val="24"/>
                <w:szCs w:val="24"/>
              </w:rPr>
            </w:pPr>
            <w:r>
              <w:rPr>
                <w:rFonts w:hint="eastAsia" w:ascii="仿宋" w:hAnsi="仿宋" w:eastAsia="仿宋" w:cs="仿宋"/>
                <w:sz w:val="32"/>
                <w:szCs w:val="32"/>
              </w:rPr>
              <w:t>□</w:t>
            </w:r>
            <w:r>
              <w:rPr>
                <w:rFonts w:hint="eastAsia" w:ascii="仿宋" w:hAnsi="仿宋" w:eastAsia="仿宋" w:cs="仿宋"/>
                <w:sz w:val="24"/>
                <w:szCs w:val="24"/>
              </w:rPr>
              <w:t>与实际施工情况不相符，修改意见见附件；</w:t>
            </w:r>
          </w:p>
          <w:p>
            <w:pPr>
              <w:spacing w:line="360" w:lineRule="auto"/>
              <w:ind w:firstLine="640" w:firstLineChars="200"/>
              <w:rPr>
                <w:rFonts w:ascii="仿宋" w:hAnsi="仿宋" w:eastAsia="仿宋" w:cs="Times New Roman"/>
                <w:sz w:val="24"/>
                <w:szCs w:val="24"/>
              </w:rPr>
            </w:pPr>
            <w:r>
              <w:rPr>
                <w:rFonts w:hint="eastAsia" w:ascii="仿宋" w:hAnsi="仿宋" w:eastAsia="仿宋" w:cs="仿宋"/>
                <w:sz w:val="32"/>
                <w:szCs w:val="32"/>
              </w:rPr>
              <w:t>□</w:t>
            </w:r>
            <w:r>
              <w:rPr>
                <w:rFonts w:hint="eastAsia" w:ascii="仿宋" w:hAnsi="仿宋" w:eastAsia="仿宋" w:cs="仿宋"/>
                <w:sz w:val="24"/>
                <w:szCs w:val="24"/>
              </w:rPr>
              <w:t>与实际施工情况相符，具体金额由造价工程师复核。</w:t>
            </w:r>
          </w:p>
          <w:p>
            <w:pPr>
              <w:spacing w:line="360" w:lineRule="auto"/>
              <w:ind w:firstLine="480" w:firstLineChars="200"/>
              <w:rPr>
                <w:rFonts w:ascii="仿宋" w:hAnsi="仿宋" w:eastAsia="仿宋" w:cs="Times New Roman"/>
                <w:sz w:val="24"/>
                <w:szCs w:val="24"/>
              </w:rPr>
            </w:pPr>
          </w:p>
          <w:p>
            <w:pPr>
              <w:spacing w:line="360" w:lineRule="auto"/>
              <w:ind w:firstLine="1470" w:firstLineChars="700"/>
              <w:rPr>
                <w:rFonts w:ascii="仿宋" w:hAnsi="仿宋" w:eastAsia="仿宋" w:cs="Times New Roman"/>
                <w:u w:val="single"/>
              </w:rPr>
            </w:pPr>
            <w:r>
              <w:rPr>
                <w:rFonts w:hint="eastAsia" w:ascii="仿宋" w:hAnsi="仿宋" w:eastAsia="仿宋" w:cs="仿宋"/>
              </w:rPr>
              <w:t>监理人（章）</w:t>
            </w:r>
            <w:r>
              <w:rPr>
                <w:rFonts w:ascii="仿宋" w:hAnsi="仿宋" w:eastAsia="仿宋" w:cs="仿宋"/>
              </w:rPr>
              <w:t xml:space="preserve">   </w:t>
            </w:r>
          </w:p>
          <w:p>
            <w:pPr>
              <w:spacing w:line="360" w:lineRule="auto"/>
              <w:ind w:firstLine="1470" w:firstLineChars="700"/>
              <w:rPr>
                <w:rFonts w:ascii="仿宋" w:hAnsi="仿宋" w:eastAsia="仿宋" w:cs="仿宋"/>
                <w:u w:val="single"/>
              </w:rPr>
            </w:pPr>
            <w:r>
              <w:rPr>
                <w:rFonts w:hint="eastAsia" w:ascii="仿宋" w:hAnsi="仿宋" w:eastAsia="仿宋" w:cs="仿宋"/>
              </w:rPr>
              <w:t>监理工程师</w:t>
            </w:r>
            <w:r>
              <w:rPr>
                <w:rFonts w:ascii="仿宋" w:hAnsi="仿宋" w:eastAsia="仿宋" w:cs="仿宋"/>
                <w:u w:val="single"/>
              </w:rPr>
              <w:t xml:space="preserve">          </w:t>
            </w:r>
          </w:p>
          <w:p>
            <w:pPr>
              <w:spacing w:line="360" w:lineRule="auto"/>
              <w:ind w:firstLine="1470" w:firstLineChars="700"/>
              <w:rPr>
                <w:rFonts w:ascii="仿宋" w:hAnsi="仿宋" w:eastAsia="仿宋" w:cs="Times New Roman"/>
                <w:sz w:val="24"/>
                <w:szCs w:val="24"/>
              </w:rPr>
            </w:pPr>
            <w:r>
              <w:rPr>
                <w:rFonts w:hint="eastAsia" w:ascii="仿宋" w:hAnsi="仿宋" w:eastAsia="仿宋" w:cs="仿宋"/>
              </w:rPr>
              <w:t>日</w:t>
            </w:r>
            <w:r>
              <w:rPr>
                <w:rFonts w:ascii="仿宋" w:hAnsi="仿宋" w:eastAsia="仿宋" w:cs="仿宋"/>
              </w:rPr>
              <w:t xml:space="preserve">      </w:t>
            </w:r>
            <w:r>
              <w:rPr>
                <w:rFonts w:hint="eastAsia" w:ascii="仿宋" w:hAnsi="仿宋" w:eastAsia="仿宋" w:cs="仿宋"/>
              </w:rPr>
              <w:t>期</w:t>
            </w:r>
            <w:r>
              <w:rPr>
                <w:rFonts w:ascii="仿宋" w:hAnsi="仿宋" w:eastAsia="仿宋" w:cs="仿宋"/>
                <w:u w:val="single"/>
              </w:rPr>
              <w:t xml:space="preserve">          </w:t>
            </w:r>
          </w:p>
        </w:tc>
        <w:tc>
          <w:tcPr>
            <w:tcW w:w="5923" w:type="dxa"/>
            <w:tcBorders>
              <w:top w:val="single" w:color="auto" w:sz="4" w:space="0"/>
              <w:left w:val="single" w:color="auto" w:sz="4" w:space="0"/>
              <w:bottom w:val="single" w:color="auto" w:sz="4" w:space="0"/>
            </w:tcBorders>
            <w:vAlign w:val="top"/>
          </w:tcPr>
          <w:p>
            <w:pPr>
              <w:widowControl/>
              <w:spacing w:line="360" w:lineRule="auto"/>
              <w:jc w:val="left"/>
              <w:rPr>
                <w:rFonts w:ascii="仿宋" w:hAnsi="仿宋" w:eastAsia="仿宋" w:cs="Times New Roman"/>
                <w:sz w:val="24"/>
                <w:szCs w:val="24"/>
              </w:rPr>
            </w:pPr>
            <w:r>
              <w:rPr>
                <w:rFonts w:hint="eastAsia" w:ascii="仿宋" w:hAnsi="仿宋" w:eastAsia="仿宋" w:cs="仿宋"/>
                <w:sz w:val="24"/>
                <w:szCs w:val="24"/>
              </w:rPr>
              <w:t>复核意见：</w:t>
            </w:r>
          </w:p>
          <w:p>
            <w:pPr>
              <w:widowControl/>
              <w:spacing w:line="360" w:lineRule="auto"/>
              <w:ind w:firstLine="480" w:firstLineChars="200"/>
              <w:jc w:val="left"/>
              <w:rPr>
                <w:rFonts w:ascii="仿宋" w:hAnsi="仿宋" w:eastAsia="仿宋" w:cs="Times New Roman"/>
                <w:sz w:val="24"/>
                <w:szCs w:val="24"/>
              </w:rPr>
            </w:pPr>
            <w:r>
              <w:rPr>
                <w:rFonts w:hint="eastAsia" w:ascii="仿宋" w:hAnsi="仿宋" w:eastAsia="仿宋" w:cs="仿宋"/>
                <w:sz w:val="24"/>
                <w:szCs w:val="24"/>
              </w:rPr>
              <w:t>根据施工合同条款</w:t>
            </w:r>
            <w:r>
              <w:rPr>
                <w:rFonts w:ascii="仿宋" w:hAnsi="仿宋" w:eastAsia="仿宋" w:cs="仿宋"/>
                <w:sz w:val="24"/>
                <w:szCs w:val="24"/>
                <w:u w:val="single"/>
              </w:rPr>
              <w:t xml:space="preserve">         </w:t>
            </w:r>
            <w:r>
              <w:rPr>
                <w:rFonts w:hint="eastAsia" w:ascii="仿宋" w:hAnsi="仿宋" w:eastAsia="仿宋" w:cs="仿宋"/>
                <w:sz w:val="24"/>
                <w:szCs w:val="24"/>
                <w:u w:val="single"/>
              </w:rPr>
              <w:t>　</w:t>
            </w:r>
            <w:r>
              <w:rPr>
                <w:rFonts w:hint="eastAsia" w:ascii="仿宋" w:hAnsi="仿宋" w:eastAsia="仿宋" w:cs="仿宋"/>
                <w:sz w:val="24"/>
                <w:szCs w:val="24"/>
              </w:rPr>
              <w:t>的规定，经复核你方提出的已完工程款额报告（第</w:t>
            </w:r>
            <w:r>
              <w:rPr>
                <w:rFonts w:ascii="仿宋" w:hAnsi="仿宋" w:eastAsia="仿宋" w:cs="仿宋"/>
                <w:sz w:val="24"/>
                <w:szCs w:val="24"/>
                <w:u w:val="single"/>
              </w:rPr>
              <w:t xml:space="preserve">      </w:t>
            </w:r>
            <w:r>
              <w:rPr>
                <w:rFonts w:hint="eastAsia" w:ascii="仿宋" w:hAnsi="仿宋" w:eastAsia="仿宋" w:cs="仿宋"/>
                <w:sz w:val="24"/>
                <w:szCs w:val="24"/>
              </w:rPr>
              <w:t>号），截止</w:t>
            </w:r>
            <w:r>
              <w:rPr>
                <w:rFonts w:ascii="仿宋" w:hAnsi="仿宋" w:eastAsia="仿宋" w:cs="仿宋"/>
                <w:sz w:val="24"/>
                <w:szCs w:val="24"/>
                <w:u w:val="single"/>
              </w:rPr>
              <w:t xml:space="preserve">     </w:t>
            </w:r>
            <w:r>
              <w:rPr>
                <w:rFonts w:hint="eastAsia" w:ascii="仿宋" w:hAnsi="仿宋" w:eastAsia="仿宋" w:cs="仿宋"/>
                <w:sz w:val="24"/>
                <w:szCs w:val="24"/>
              </w:rPr>
              <w:t>月</w:t>
            </w:r>
            <w:r>
              <w:rPr>
                <w:rFonts w:ascii="仿宋" w:hAnsi="仿宋" w:eastAsia="仿宋" w:cs="仿宋"/>
                <w:sz w:val="24"/>
                <w:szCs w:val="24"/>
                <w:u w:val="single"/>
              </w:rPr>
              <w:t xml:space="preserve">     </w:t>
            </w:r>
            <w:r>
              <w:rPr>
                <w:rFonts w:hint="eastAsia" w:ascii="仿宋" w:hAnsi="仿宋" w:eastAsia="仿宋" w:cs="仿宋"/>
                <w:sz w:val="24"/>
                <w:szCs w:val="24"/>
              </w:rPr>
              <w:t>日，实际已完工程款为（大写）</w:t>
            </w:r>
            <w:r>
              <w:rPr>
                <w:rFonts w:ascii="仿宋" w:hAnsi="仿宋" w:eastAsia="仿宋" w:cs="仿宋"/>
                <w:sz w:val="24"/>
                <w:szCs w:val="24"/>
                <w:u w:val="single"/>
              </w:rPr>
              <w:t xml:space="preserve">             </w:t>
            </w:r>
            <w:r>
              <w:rPr>
                <w:rFonts w:hint="eastAsia" w:ascii="仿宋" w:hAnsi="仿宋" w:eastAsia="仿宋" w:cs="仿宋"/>
                <w:sz w:val="24"/>
                <w:szCs w:val="24"/>
              </w:rPr>
              <w:t>（小写</w:t>
            </w:r>
            <w:r>
              <w:rPr>
                <w:rFonts w:ascii="仿宋" w:hAnsi="仿宋" w:eastAsia="仿宋" w:cs="仿宋"/>
                <w:sz w:val="24"/>
                <w:szCs w:val="24"/>
                <w:u w:val="single"/>
              </w:rPr>
              <w:t xml:space="preserve">       </w:t>
            </w:r>
            <w:r>
              <w:rPr>
                <w:rFonts w:hint="eastAsia" w:ascii="仿宋" w:hAnsi="仿宋" w:eastAsia="仿宋" w:cs="仿宋"/>
                <w:sz w:val="24"/>
                <w:szCs w:val="24"/>
              </w:rPr>
              <w:t>），累计已完工程款额（大写）</w:t>
            </w:r>
            <w:r>
              <w:rPr>
                <w:rFonts w:ascii="仿宋" w:hAnsi="仿宋" w:eastAsia="仿宋" w:cs="仿宋"/>
                <w:sz w:val="24"/>
                <w:szCs w:val="24"/>
                <w:u w:val="single"/>
              </w:rPr>
              <w:t xml:space="preserve">                 </w:t>
            </w:r>
            <w:r>
              <w:rPr>
                <w:rFonts w:ascii="仿宋" w:hAnsi="仿宋" w:eastAsia="仿宋" w:cs="仿宋"/>
                <w:sz w:val="24"/>
                <w:szCs w:val="24"/>
              </w:rPr>
              <w:t xml:space="preserve"> </w:t>
            </w:r>
            <w:r>
              <w:rPr>
                <w:rFonts w:hint="eastAsia" w:ascii="仿宋" w:hAnsi="仿宋" w:eastAsia="仿宋" w:cs="仿宋"/>
                <w:sz w:val="24"/>
                <w:szCs w:val="24"/>
              </w:rPr>
              <w:t>（小写：</w:t>
            </w:r>
            <w:r>
              <w:rPr>
                <w:rFonts w:ascii="仿宋" w:hAnsi="仿宋" w:eastAsia="仿宋" w:cs="仿宋"/>
                <w:sz w:val="24"/>
                <w:szCs w:val="24"/>
                <w:u w:val="single"/>
              </w:rPr>
              <w:t xml:space="preserve">           </w:t>
            </w:r>
            <w:r>
              <w:rPr>
                <w:rFonts w:hint="eastAsia" w:ascii="仿宋" w:hAnsi="仿宋" w:eastAsia="仿宋" w:cs="仿宋"/>
                <w:sz w:val="24"/>
                <w:szCs w:val="24"/>
              </w:rPr>
              <w:t>）。</w:t>
            </w:r>
          </w:p>
          <w:p>
            <w:pPr>
              <w:widowControl/>
              <w:spacing w:line="360" w:lineRule="auto"/>
              <w:ind w:firstLine="480" w:firstLineChars="200"/>
              <w:jc w:val="left"/>
              <w:rPr>
                <w:rFonts w:ascii="仿宋" w:hAnsi="仿宋" w:eastAsia="仿宋" w:cs="Times New Roman"/>
                <w:sz w:val="24"/>
                <w:szCs w:val="24"/>
              </w:rPr>
            </w:pPr>
            <w:r>
              <w:rPr>
                <w:rFonts w:hint="eastAsia" w:ascii="仿宋" w:hAnsi="仿宋" w:eastAsia="仿宋" w:cs="仿宋"/>
                <w:sz w:val="24"/>
                <w:szCs w:val="24"/>
              </w:rPr>
              <w:t>附：已完工程款额明细复核表。</w:t>
            </w:r>
          </w:p>
          <w:p>
            <w:pPr>
              <w:spacing w:line="360" w:lineRule="auto"/>
              <w:ind w:firstLine="2083" w:firstLineChars="992"/>
              <w:rPr>
                <w:rFonts w:ascii="仿宋" w:hAnsi="仿宋" w:eastAsia="仿宋" w:cs="Times New Roman"/>
                <w:u w:val="single"/>
              </w:rPr>
            </w:pPr>
            <w:r>
              <w:rPr>
                <w:rFonts w:hint="eastAsia" w:ascii="仿宋" w:hAnsi="仿宋" w:eastAsia="仿宋" w:cs="仿宋"/>
              </w:rPr>
              <w:t>工程造价咨询人（如有）（章）</w:t>
            </w:r>
            <w:r>
              <w:rPr>
                <w:rFonts w:ascii="仿宋" w:hAnsi="仿宋" w:eastAsia="仿宋" w:cs="仿宋"/>
              </w:rPr>
              <w:t xml:space="preserve">             </w:t>
            </w:r>
          </w:p>
          <w:p>
            <w:pPr>
              <w:spacing w:line="360" w:lineRule="auto"/>
              <w:ind w:left="2020" w:leftChars="962" w:firstLine="315" w:firstLineChars="150"/>
              <w:rPr>
                <w:rFonts w:ascii="仿宋" w:hAnsi="仿宋" w:eastAsia="仿宋" w:cs="仿宋"/>
                <w:u w:val="single"/>
              </w:rPr>
            </w:pPr>
            <w:r>
              <w:rPr>
                <w:rFonts w:hint="eastAsia" w:ascii="仿宋" w:hAnsi="仿宋" w:eastAsia="仿宋" w:cs="仿宋"/>
              </w:rPr>
              <w:t>造价工程师</w:t>
            </w:r>
            <w:r>
              <w:rPr>
                <w:rFonts w:ascii="仿宋" w:hAnsi="仿宋" w:eastAsia="仿宋" w:cs="仿宋"/>
                <w:u w:val="single"/>
              </w:rPr>
              <w:t xml:space="preserve">            </w:t>
            </w:r>
          </w:p>
          <w:p>
            <w:pPr>
              <w:spacing w:line="360" w:lineRule="auto"/>
              <w:ind w:firstLine="2083" w:firstLineChars="992"/>
              <w:rPr>
                <w:rFonts w:ascii="仿宋" w:hAnsi="仿宋" w:eastAsia="仿宋" w:cs="Times New Roman"/>
                <w:sz w:val="24"/>
                <w:szCs w:val="24"/>
              </w:rPr>
            </w:pPr>
            <w:r>
              <w:rPr>
                <w:rFonts w:hint="eastAsia" w:ascii="仿宋" w:hAnsi="仿宋" w:eastAsia="仿宋" w:cs="仿宋"/>
              </w:rPr>
              <w:t>日</w:t>
            </w:r>
            <w:r>
              <w:rPr>
                <w:rFonts w:ascii="仿宋" w:hAnsi="仿宋" w:eastAsia="仿宋" w:cs="仿宋"/>
              </w:rPr>
              <w:t xml:space="preserve">      </w:t>
            </w:r>
            <w:r>
              <w:rPr>
                <w:rFonts w:hint="eastAsia" w:ascii="仿宋" w:hAnsi="仿宋" w:eastAsia="仿宋" w:cs="仿宋"/>
              </w:rPr>
              <w:t>期</w:t>
            </w:r>
            <w:r>
              <w:rPr>
                <w:rFonts w:ascii="仿宋" w:hAnsi="仿宋" w:eastAsia="仿宋" w:cs="仿宋"/>
                <w:u w:val="singl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86" w:hRule="atLeast"/>
        </w:trPr>
        <w:tc>
          <w:tcPr>
            <w:tcW w:w="10461" w:type="dxa"/>
            <w:gridSpan w:val="2"/>
            <w:tcBorders>
              <w:top w:val="single" w:color="auto" w:sz="4" w:space="0"/>
            </w:tcBorders>
            <w:vAlign w:val="top"/>
          </w:tcPr>
          <w:p>
            <w:pPr>
              <w:spacing w:line="360" w:lineRule="auto"/>
              <w:ind w:hanging="3"/>
              <w:jc w:val="left"/>
              <w:rPr>
                <w:rFonts w:ascii="仿宋" w:hAnsi="仿宋" w:eastAsia="仿宋" w:cs="Times New Roman"/>
                <w:sz w:val="24"/>
                <w:szCs w:val="24"/>
              </w:rPr>
            </w:pPr>
            <w:r>
              <w:rPr>
                <w:rFonts w:hint="eastAsia" w:ascii="仿宋" w:hAnsi="仿宋" w:eastAsia="仿宋" w:cs="仿宋"/>
                <w:sz w:val="24"/>
                <w:szCs w:val="24"/>
              </w:rPr>
              <w:t>确认意见：</w:t>
            </w:r>
          </w:p>
          <w:p>
            <w:pPr>
              <w:spacing w:line="360" w:lineRule="auto"/>
              <w:ind w:left="-28" w:firstLine="550"/>
              <w:rPr>
                <w:rFonts w:ascii="仿宋" w:hAnsi="仿宋" w:eastAsia="仿宋" w:cs="仿宋"/>
                <w:sz w:val="24"/>
                <w:szCs w:val="24"/>
              </w:rPr>
            </w:pPr>
            <w:r>
              <w:rPr>
                <w:rFonts w:hint="eastAsia" w:ascii="仿宋" w:hAnsi="仿宋" w:eastAsia="仿宋" w:cs="仿宋"/>
                <w:sz w:val="24"/>
                <w:szCs w:val="24"/>
              </w:rPr>
              <w:t>□不同意</w:t>
            </w:r>
            <w:r>
              <w:rPr>
                <w:rFonts w:ascii="仿宋" w:hAnsi="仿宋" w:eastAsia="仿宋" w:cs="仿宋"/>
                <w:sz w:val="24"/>
                <w:szCs w:val="24"/>
              </w:rPr>
              <w:t>/</w:t>
            </w:r>
            <w:r>
              <w:rPr>
                <w:rFonts w:hint="eastAsia" w:ascii="仿宋" w:hAnsi="仿宋" w:eastAsia="仿宋" w:cs="仿宋"/>
                <w:sz w:val="24"/>
                <w:szCs w:val="24"/>
              </w:rPr>
              <w:t>□同意。</w:t>
            </w:r>
            <w:r>
              <w:rPr>
                <w:rFonts w:ascii="仿宋" w:hAnsi="仿宋" w:eastAsia="仿宋" w:cs="仿宋"/>
                <w:sz w:val="24"/>
                <w:szCs w:val="24"/>
              </w:rPr>
              <w:t xml:space="preserve">   </w:t>
            </w:r>
          </w:p>
          <w:p>
            <w:pPr>
              <w:spacing w:line="360" w:lineRule="auto"/>
              <w:ind w:firstLine="480" w:firstLineChars="200"/>
              <w:jc w:val="center"/>
              <w:rPr>
                <w:rFonts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　　发　包　人（章）</w:t>
            </w:r>
          </w:p>
          <w:p>
            <w:pPr>
              <w:spacing w:line="360" w:lineRule="auto"/>
              <w:ind w:firstLine="480" w:firstLineChars="200"/>
              <w:jc w:val="center"/>
              <w:rPr>
                <w:rFonts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发包人代表</w:t>
            </w:r>
            <w:r>
              <w:rPr>
                <w:rFonts w:ascii="仿宋" w:hAnsi="仿宋" w:eastAsia="仿宋" w:cs="仿宋"/>
                <w:sz w:val="24"/>
                <w:szCs w:val="24"/>
                <w:u w:val="single"/>
              </w:rPr>
              <w:t xml:space="preserve">                     </w:t>
            </w:r>
          </w:p>
          <w:p>
            <w:pPr>
              <w:spacing w:line="360" w:lineRule="auto"/>
              <w:ind w:firstLine="480" w:firstLineChars="200"/>
              <w:jc w:val="center"/>
              <w:rPr>
                <w:rFonts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　日</w:t>
            </w:r>
            <w:r>
              <w:rPr>
                <w:rFonts w:ascii="仿宋" w:hAnsi="仿宋" w:eastAsia="仿宋" w:cs="仿宋"/>
                <w:sz w:val="24"/>
                <w:szCs w:val="24"/>
              </w:rPr>
              <w:t xml:space="preserve">   </w:t>
            </w:r>
            <w:r>
              <w:rPr>
                <w:rFonts w:hint="eastAsia" w:ascii="仿宋" w:hAnsi="仿宋" w:eastAsia="仿宋" w:cs="仿宋"/>
                <w:sz w:val="24"/>
                <w:szCs w:val="24"/>
              </w:rPr>
              <w:t>　</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rPr>
              <w:t xml:space="preserve"> </w:t>
            </w:r>
            <w:r>
              <w:rPr>
                <w:rFonts w:ascii="仿宋" w:hAnsi="仿宋" w:eastAsia="仿宋" w:cs="仿宋"/>
                <w:sz w:val="24"/>
                <w:szCs w:val="24"/>
                <w:u w:val="single"/>
              </w:rPr>
              <w:t xml:space="preserve">                     </w:t>
            </w:r>
          </w:p>
        </w:tc>
      </w:tr>
    </w:tbl>
    <w:p>
      <w:pPr>
        <w:rPr>
          <w:rFonts w:ascii="仿宋" w:hAnsi="仿宋" w:eastAsia="仿宋" w:cs="Times New Roman"/>
          <w:sz w:val="24"/>
          <w:szCs w:val="24"/>
        </w:rPr>
      </w:pPr>
      <w:r>
        <w:rPr>
          <w:rFonts w:hint="eastAsia" w:ascii="仿宋" w:hAnsi="仿宋" w:eastAsia="仿宋" w:cs="仿宋"/>
          <w:sz w:val="24"/>
          <w:szCs w:val="24"/>
        </w:rPr>
        <w:t>说明：</w:t>
      </w:r>
      <w:r>
        <w:rPr>
          <w:rFonts w:ascii="仿宋" w:hAnsi="仿宋" w:eastAsia="仿宋" w:cs="仿宋"/>
          <w:sz w:val="24"/>
          <w:szCs w:val="24"/>
        </w:rPr>
        <w:t>1</w:t>
      </w:r>
      <w:r>
        <w:rPr>
          <w:rFonts w:hint="eastAsia" w:ascii="仿宋" w:hAnsi="仿宋" w:eastAsia="仿宋" w:cs="仿宋"/>
          <w:sz w:val="24"/>
          <w:szCs w:val="24"/>
        </w:rPr>
        <w:t>、在需要选择的栏中的“□”内作标识“√”。</w:t>
      </w:r>
    </w:p>
    <w:p>
      <w:pPr>
        <w:ind w:left="1078" w:leftChars="342" w:hanging="360" w:hangingChars="150"/>
        <w:rPr>
          <w:rFonts w:ascii="仿宋" w:hAnsi="仿宋" w:eastAsia="仿宋" w:cs="Times New Roman"/>
        </w:rPr>
      </w:pPr>
      <w:r>
        <w:rPr>
          <w:rFonts w:ascii="仿宋" w:hAnsi="仿宋" w:eastAsia="仿宋" w:cs="仿宋"/>
          <w:sz w:val="24"/>
          <w:szCs w:val="24"/>
        </w:rPr>
        <w:t>2</w:t>
      </w:r>
      <w:r>
        <w:rPr>
          <w:rFonts w:hint="eastAsia" w:ascii="仿宋" w:hAnsi="仿宋" w:eastAsia="仿宋" w:cs="仿宋"/>
          <w:sz w:val="24"/>
          <w:szCs w:val="24"/>
        </w:rPr>
        <w:t>、本表一式五份，由承包人、监理人、工程造价咨询人（如有）、发包人按合同规定程序填制，发包人存二份，其他各存一份</w:t>
      </w:r>
      <w:r>
        <w:rPr>
          <w:rFonts w:hint="eastAsia" w:ascii="仿宋" w:hAnsi="仿宋" w:eastAsia="仿宋" w:cs="仿宋"/>
        </w:rPr>
        <w:t>。</w:t>
      </w:r>
    </w:p>
    <w:p>
      <w:pPr>
        <w:widowControl/>
        <w:jc w:val="left"/>
        <w:rPr>
          <w:rFonts w:ascii="仿宋" w:hAnsi="仿宋" w:eastAsia="仿宋" w:cs="Times New Roman"/>
          <w:kern w:val="0"/>
        </w:rPr>
        <w:sectPr>
          <w:endnotePr>
            <w:numFmt w:val="decimal"/>
          </w:endnotePr>
          <w:pgSz w:w="11906" w:h="16838"/>
          <w:pgMar w:top="1418" w:right="737" w:bottom="851" w:left="737" w:header="0" w:footer="0" w:gutter="0"/>
          <w:cols w:space="720" w:num="1"/>
        </w:sectPr>
      </w:pPr>
    </w:p>
    <w:p>
      <w:pPr>
        <w:spacing w:line="360" w:lineRule="auto"/>
        <w:outlineLvl w:val="1"/>
        <w:rPr>
          <w:rFonts w:ascii="仿宋" w:hAnsi="仿宋" w:eastAsia="仿宋" w:cs="仿宋"/>
          <w:b/>
          <w:bCs/>
          <w:color w:val="000000"/>
          <w:kern w:val="0"/>
          <w:sz w:val="24"/>
          <w:szCs w:val="24"/>
        </w:rPr>
      </w:pPr>
      <w:bookmarkStart w:id="807" w:name="_Toc266892952"/>
      <w:bookmarkStart w:id="808" w:name="_Toc469384166"/>
      <w:bookmarkStart w:id="809" w:name="_Toc10625010"/>
      <w:r>
        <w:rPr>
          <w:rFonts w:hint="eastAsia" w:ascii="仿宋" w:hAnsi="仿宋" w:eastAsia="仿宋" w:cs="仿宋"/>
          <w:b/>
          <w:bCs/>
          <w:color w:val="000000"/>
          <w:kern w:val="0"/>
          <w:sz w:val="24"/>
          <w:szCs w:val="24"/>
        </w:rPr>
        <w:t>格式</w:t>
      </w:r>
      <w:r>
        <w:rPr>
          <w:rFonts w:ascii="仿宋" w:hAnsi="仿宋" w:eastAsia="仿宋" w:cs="仿宋"/>
          <w:b/>
          <w:bCs/>
          <w:color w:val="000000"/>
          <w:kern w:val="0"/>
          <w:sz w:val="24"/>
          <w:szCs w:val="24"/>
        </w:rPr>
        <w:t>26</w:t>
      </w:r>
      <w:bookmarkEnd w:id="807"/>
      <w:bookmarkEnd w:id="808"/>
      <w:bookmarkEnd w:id="809"/>
    </w:p>
    <w:p>
      <w:pPr>
        <w:spacing w:line="360" w:lineRule="auto"/>
        <w:jc w:val="center"/>
        <w:rPr>
          <w:rFonts w:ascii="仿宋" w:hAnsi="仿宋" w:eastAsia="仿宋" w:cs="Times New Roman"/>
          <w:b/>
          <w:bCs/>
          <w:spacing w:val="30"/>
          <w:sz w:val="44"/>
          <w:szCs w:val="44"/>
        </w:rPr>
      </w:pPr>
      <w:r>
        <w:rPr>
          <w:rFonts w:hint="eastAsia" w:ascii="仿宋" w:hAnsi="仿宋" w:eastAsia="仿宋" w:cs="仿宋"/>
          <w:b/>
          <w:bCs/>
          <w:spacing w:val="30"/>
          <w:sz w:val="44"/>
          <w:szCs w:val="44"/>
        </w:rPr>
        <w:t>已完工程款额明细表</w:t>
      </w:r>
    </w:p>
    <w:p>
      <w:pPr>
        <w:spacing w:line="360" w:lineRule="auto"/>
        <w:ind w:firstLine="240" w:firstLineChars="100"/>
        <w:rPr>
          <w:rFonts w:ascii="仿宋" w:hAnsi="仿宋" w:eastAsia="仿宋" w:cs="Times New Roman"/>
          <w:sz w:val="24"/>
          <w:szCs w:val="24"/>
        </w:rPr>
      </w:pPr>
      <w:r>
        <w:rPr>
          <w:rFonts w:hint="eastAsia" w:ascii="仿宋" w:hAnsi="仿宋" w:eastAsia="仿宋" w:cs="仿宋"/>
          <w:sz w:val="24"/>
          <w:szCs w:val="24"/>
        </w:rPr>
        <w:t>工程名称：</w:t>
      </w:r>
      <w:r>
        <w:rPr>
          <w:rFonts w:ascii="仿宋" w:hAnsi="仿宋" w:eastAsia="仿宋" w:cs="仿宋"/>
          <w:sz w:val="24"/>
          <w:szCs w:val="24"/>
        </w:rPr>
        <w:t xml:space="preserve">                                              </w:t>
      </w:r>
      <w:r>
        <w:rPr>
          <w:rFonts w:hint="eastAsia" w:ascii="仿宋" w:hAnsi="仿宋" w:eastAsia="仿宋" w:cs="仿宋"/>
          <w:sz w:val="24"/>
          <w:szCs w:val="24"/>
        </w:rPr>
        <w:t>编号：</w:t>
      </w:r>
      <w:r>
        <w:rPr>
          <w:rFonts w:ascii="仿宋" w:hAnsi="仿宋" w:eastAsia="仿宋" w:cs="仿宋"/>
          <w:sz w:val="24"/>
          <w:szCs w:val="24"/>
        </w:rPr>
        <w:t xml:space="preserve">                       </w:t>
      </w:r>
      <w:r>
        <w:rPr>
          <w:rFonts w:hint="eastAsia" w:ascii="仿宋" w:hAnsi="仿宋" w:eastAsia="仿宋" w:cs="仿宋"/>
          <w:sz w:val="24"/>
          <w:szCs w:val="24"/>
        </w:rPr>
        <w:t>截止日期：</w:t>
      </w:r>
    </w:p>
    <w:tbl>
      <w:tblPr>
        <w:tblStyle w:val="40"/>
        <w:tblW w:w="146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923"/>
        <w:gridCol w:w="1639"/>
        <w:gridCol w:w="2550"/>
        <w:gridCol w:w="956"/>
        <w:gridCol w:w="859"/>
        <w:gridCol w:w="950"/>
        <w:gridCol w:w="860"/>
        <w:gridCol w:w="850"/>
        <w:gridCol w:w="865"/>
        <w:gridCol w:w="848"/>
        <w:gridCol w:w="892"/>
        <w:gridCol w:w="862"/>
        <w:gridCol w:w="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 w:hRule="atLeast"/>
          <w:jc w:val="center"/>
        </w:trPr>
        <w:tc>
          <w:tcPr>
            <w:tcW w:w="741" w:type="dxa"/>
            <w:vMerge w:val="restart"/>
            <w:vAlign w:val="center"/>
          </w:tcPr>
          <w:p>
            <w:pPr>
              <w:spacing w:line="360" w:lineRule="auto"/>
              <w:jc w:val="center"/>
              <w:rPr>
                <w:rFonts w:ascii="仿宋" w:hAnsi="仿宋" w:eastAsia="仿宋" w:cs="Times New Roman"/>
              </w:rPr>
            </w:pPr>
            <w:r>
              <w:rPr>
                <w:rFonts w:hint="eastAsia" w:ascii="仿宋" w:hAnsi="仿宋" w:eastAsia="仿宋" w:cs="仿宋"/>
              </w:rPr>
              <w:t>序号</w:t>
            </w:r>
          </w:p>
        </w:tc>
        <w:tc>
          <w:tcPr>
            <w:tcW w:w="923" w:type="dxa"/>
            <w:vMerge w:val="restart"/>
            <w:vAlign w:val="center"/>
          </w:tcPr>
          <w:p>
            <w:pPr>
              <w:spacing w:line="360" w:lineRule="auto"/>
              <w:jc w:val="center"/>
              <w:rPr>
                <w:rFonts w:ascii="仿宋" w:hAnsi="仿宋" w:eastAsia="仿宋" w:cs="Times New Roman"/>
              </w:rPr>
            </w:pPr>
            <w:r>
              <w:rPr>
                <w:rFonts w:hint="eastAsia" w:ascii="仿宋" w:hAnsi="仿宋" w:eastAsia="仿宋" w:cs="仿宋"/>
              </w:rPr>
              <w:t>项目</w:t>
            </w:r>
          </w:p>
          <w:p>
            <w:pPr>
              <w:spacing w:line="360" w:lineRule="auto"/>
              <w:jc w:val="center"/>
              <w:rPr>
                <w:rFonts w:ascii="仿宋" w:hAnsi="仿宋" w:eastAsia="仿宋" w:cs="Times New Roman"/>
              </w:rPr>
            </w:pPr>
            <w:r>
              <w:rPr>
                <w:rFonts w:hint="eastAsia" w:ascii="仿宋" w:hAnsi="仿宋" w:eastAsia="仿宋" w:cs="仿宋"/>
              </w:rPr>
              <w:t>编码</w:t>
            </w:r>
          </w:p>
        </w:tc>
        <w:tc>
          <w:tcPr>
            <w:tcW w:w="1639" w:type="dxa"/>
            <w:vMerge w:val="restart"/>
            <w:vAlign w:val="center"/>
          </w:tcPr>
          <w:p>
            <w:pPr>
              <w:spacing w:line="360" w:lineRule="auto"/>
              <w:jc w:val="center"/>
              <w:rPr>
                <w:rFonts w:ascii="仿宋" w:hAnsi="仿宋" w:eastAsia="仿宋" w:cs="Times New Roman"/>
              </w:rPr>
            </w:pPr>
            <w:r>
              <w:rPr>
                <w:rFonts w:hint="eastAsia" w:ascii="仿宋" w:hAnsi="仿宋" w:eastAsia="仿宋" w:cs="仿宋"/>
              </w:rPr>
              <w:t>项目名称</w:t>
            </w:r>
          </w:p>
        </w:tc>
        <w:tc>
          <w:tcPr>
            <w:tcW w:w="2550" w:type="dxa"/>
            <w:vMerge w:val="restart"/>
            <w:vAlign w:val="center"/>
          </w:tcPr>
          <w:p>
            <w:pPr>
              <w:spacing w:line="360" w:lineRule="auto"/>
              <w:jc w:val="center"/>
              <w:rPr>
                <w:rFonts w:ascii="仿宋" w:hAnsi="仿宋" w:eastAsia="仿宋" w:cs="Times New Roman"/>
              </w:rPr>
            </w:pPr>
            <w:r>
              <w:rPr>
                <w:rFonts w:hint="eastAsia" w:ascii="仿宋" w:hAnsi="仿宋" w:eastAsia="仿宋" w:cs="仿宋"/>
              </w:rPr>
              <w:t>单位</w:t>
            </w:r>
          </w:p>
        </w:tc>
        <w:tc>
          <w:tcPr>
            <w:tcW w:w="956" w:type="dxa"/>
            <w:vMerge w:val="restart"/>
            <w:vAlign w:val="center"/>
          </w:tcPr>
          <w:p>
            <w:pPr>
              <w:spacing w:line="360" w:lineRule="auto"/>
              <w:jc w:val="center"/>
              <w:rPr>
                <w:rFonts w:ascii="仿宋" w:hAnsi="仿宋" w:eastAsia="仿宋" w:cs="Times New Roman"/>
              </w:rPr>
            </w:pPr>
            <w:r>
              <w:rPr>
                <w:rFonts w:hint="eastAsia" w:ascii="仿宋" w:hAnsi="仿宋" w:eastAsia="仿宋" w:cs="仿宋"/>
              </w:rPr>
              <w:t>清单</w:t>
            </w:r>
          </w:p>
          <w:p>
            <w:pPr>
              <w:spacing w:line="360" w:lineRule="auto"/>
              <w:jc w:val="center"/>
              <w:rPr>
                <w:rFonts w:ascii="仿宋" w:hAnsi="仿宋" w:eastAsia="仿宋" w:cs="Times New Roman"/>
              </w:rPr>
            </w:pPr>
            <w:r>
              <w:rPr>
                <w:rFonts w:hint="eastAsia" w:ascii="仿宋" w:hAnsi="仿宋" w:eastAsia="仿宋" w:cs="仿宋"/>
              </w:rPr>
              <w:t>工程量</w:t>
            </w:r>
          </w:p>
        </w:tc>
        <w:tc>
          <w:tcPr>
            <w:tcW w:w="2669" w:type="dxa"/>
            <w:gridSpan w:val="3"/>
            <w:vAlign w:val="center"/>
          </w:tcPr>
          <w:p>
            <w:pPr>
              <w:spacing w:line="360" w:lineRule="auto"/>
              <w:jc w:val="center"/>
              <w:rPr>
                <w:rFonts w:ascii="仿宋" w:hAnsi="仿宋" w:eastAsia="仿宋" w:cs="Times New Roman"/>
              </w:rPr>
            </w:pPr>
            <w:r>
              <w:rPr>
                <w:rFonts w:hint="eastAsia" w:ascii="仿宋" w:hAnsi="仿宋" w:eastAsia="仿宋" w:cs="仿宋"/>
              </w:rPr>
              <w:t>项目单价（元）</w:t>
            </w:r>
          </w:p>
        </w:tc>
        <w:tc>
          <w:tcPr>
            <w:tcW w:w="1715" w:type="dxa"/>
            <w:gridSpan w:val="2"/>
            <w:vAlign w:val="center"/>
          </w:tcPr>
          <w:p>
            <w:pPr>
              <w:spacing w:line="360" w:lineRule="auto"/>
              <w:jc w:val="center"/>
              <w:rPr>
                <w:rFonts w:ascii="仿宋" w:hAnsi="仿宋" w:eastAsia="仿宋" w:cs="Times New Roman"/>
              </w:rPr>
            </w:pPr>
            <w:r>
              <w:rPr>
                <w:rFonts w:hint="eastAsia" w:ascii="仿宋" w:hAnsi="仿宋" w:eastAsia="仿宋" w:cs="仿宋"/>
              </w:rPr>
              <w:t>上期末累计</w:t>
            </w:r>
          </w:p>
        </w:tc>
        <w:tc>
          <w:tcPr>
            <w:tcW w:w="1740" w:type="dxa"/>
            <w:gridSpan w:val="2"/>
            <w:vAlign w:val="center"/>
          </w:tcPr>
          <w:p>
            <w:pPr>
              <w:spacing w:line="360" w:lineRule="auto"/>
              <w:jc w:val="center"/>
              <w:rPr>
                <w:rFonts w:ascii="仿宋" w:hAnsi="仿宋" w:eastAsia="仿宋" w:cs="Times New Roman"/>
              </w:rPr>
            </w:pPr>
            <w:r>
              <w:rPr>
                <w:rFonts w:hint="eastAsia" w:ascii="仿宋" w:hAnsi="仿宋" w:eastAsia="仿宋" w:cs="仿宋"/>
              </w:rPr>
              <w:t>本期间</w:t>
            </w:r>
          </w:p>
        </w:tc>
        <w:tc>
          <w:tcPr>
            <w:tcW w:w="1722" w:type="dxa"/>
            <w:gridSpan w:val="2"/>
            <w:vAlign w:val="center"/>
          </w:tcPr>
          <w:p>
            <w:pPr>
              <w:spacing w:line="360" w:lineRule="auto"/>
              <w:jc w:val="center"/>
              <w:rPr>
                <w:rFonts w:ascii="仿宋" w:hAnsi="仿宋" w:eastAsia="仿宋" w:cs="Times New Roman"/>
              </w:rPr>
            </w:pPr>
            <w:r>
              <w:rPr>
                <w:rFonts w:hint="eastAsia" w:ascii="仿宋" w:hAnsi="仿宋" w:eastAsia="仿宋" w:cs="仿宋"/>
              </w:rPr>
              <w:t>本期末累计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6" w:hRule="atLeast"/>
          <w:jc w:val="center"/>
        </w:trPr>
        <w:tc>
          <w:tcPr>
            <w:tcW w:w="741" w:type="dxa"/>
            <w:vMerge w:val="continue"/>
            <w:vAlign w:val="center"/>
          </w:tcPr>
          <w:p>
            <w:pPr>
              <w:widowControl/>
              <w:jc w:val="left"/>
              <w:rPr>
                <w:rFonts w:ascii="仿宋" w:hAnsi="仿宋" w:eastAsia="仿宋" w:cs="Times New Roman"/>
              </w:rPr>
            </w:pPr>
          </w:p>
        </w:tc>
        <w:tc>
          <w:tcPr>
            <w:tcW w:w="923" w:type="dxa"/>
            <w:vMerge w:val="continue"/>
            <w:vAlign w:val="center"/>
          </w:tcPr>
          <w:p>
            <w:pPr>
              <w:widowControl/>
              <w:jc w:val="left"/>
              <w:rPr>
                <w:rFonts w:ascii="仿宋" w:hAnsi="仿宋" w:eastAsia="仿宋" w:cs="Times New Roman"/>
              </w:rPr>
            </w:pPr>
          </w:p>
        </w:tc>
        <w:tc>
          <w:tcPr>
            <w:tcW w:w="1639" w:type="dxa"/>
            <w:vMerge w:val="continue"/>
            <w:vAlign w:val="center"/>
          </w:tcPr>
          <w:p>
            <w:pPr>
              <w:widowControl/>
              <w:jc w:val="left"/>
              <w:rPr>
                <w:rFonts w:ascii="仿宋" w:hAnsi="仿宋" w:eastAsia="仿宋" w:cs="Times New Roman"/>
              </w:rPr>
            </w:pPr>
          </w:p>
        </w:tc>
        <w:tc>
          <w:tcPr>
            <w:tcW w:w="2550" w:type="dxa"/>
            <w:vMerge w:val="continue"/>
            <w:vAlign w:val="center"/>
          </w:tcPr>
          <w:p>
            <w:pPr>
              <w:widowControl/>
              <w:jc w:val="left"/>
              <w:rPr>
                <w:rFonts w:ascii="仿宋" w:hAnsi="仿宋" w:eastAsia="仿宋" w:cs="Times New Roman"/>
              </w:rPr>
            </w:pPr>
          </w:p>
        </w:tc>
        <w:tc>
          <w:tcPr>
            <w:tcW w:w="956" w:type="dxa"/>
            <w:vMerge w:val="continue"/>
            <w:vAlign w:val="center"/>
          </w:tcPr>
          <w:p>
            <w:pPr>
              <w:widowControl/>
              <w:jc w:val="left"/>
              <w:rPr>
                <w:rFonts w:ascii="仿宋" w:hAnsi="仿宋" w:eastAsia="仿宋" w:cs="Times New Roman"/>
              </w:rPr>
            </w:pPr>
          </w:p>
        </w:tc>
        <w:tc>
          <w:tcPr>
            <w:tcW w:w="859" w:type="dxa"/>
            <w:vAlign w:val="center"/>
          </w:tcPr>
          <w:p>
            <w:pPr>
              <w:spacing w:line="360" w:lineRule="auto"/>
              <w:jc w:val="center"/>
              <w:rPr>
                <w:rFonts w:ascii="仿宋" w:hAnsi="仿宋" w:eastAsia="仿宋" w:cs="Times New Roman"/>
              </w:rPr>
            </w:pPr>
            <w:r>
              <w:rPr>
                <w:rFonts w:hint="eastAsia" w:ascii="仿宋" w:hAnsi="仿宋" w:eastAsia="仿宋" w:cs="仿宋"/>
              </w:rPr>
              <w:t>综合</w:t>
            </w:r>
          </w:p>
          <w:p>
            <w:pPr>
              <w:spacing w:line="360" w:lineRule="auto"/>
              <w:jc w:val="center"/>
              <w:rPr>
                <w:rFonts w:ascii="仿宋" w:hAnsi="仿宋" w:eastAsia="仿宋" w:cs="Times New Roman"/>
              </w:rPr>
            </w:pPr>
            <w:r>
              <w:rPr>
                <w:rFonts w:hint="eastAsia" w:ascii="仿宋" w:hAnsi="仿宋" w:eastAsia="仿宋" w:cs="仿宋"/>
              </w:rPr>
              <w:t>单价</w:t>
            </w:r>
          </w:p>
          <w:p>
            <w:pPr>
              <w:spacing w:line="360" w:lineRule="auto"/>
              <w:jc w:val="center"/>
              <w:rPr>
                <w:rFonts w:ascii="仿宋" w:hAnsi="仿宋" w:eastAsia="仿宋" w:cs="Times New Roman"/>
              </w:rPr>
            </w:pPr>
            <w:r>
              <w:rPr>
                <w:rFonts w:hint="eastAsia" w:ascii="仿宋" w:hAnsi="仿宋" w:eastAsia="仿宋" w:cs="仿宋"/>
              </w:rPr>
              <w:t>（元）</w:t>
            </w:r>
          </w:p>
        </w:tc>
        <w:tc>
          <w:tcPr>
            <w:tcW w:w="950" w:type="dxa"/>
            <w:vAlign w:val="center"/>
          </w:tcPr>
          <w:p>
            <w:pPr>
              <w:spacing w:line="360" w:lineRule="auto"/>
              <w:jc w:val="center"/>
              <w:rPr>
                <w:rFonts w:ascii="仿宋" w:hAnsi="仿宋" w:eastAsia="仿宋" w:cs="Times New Roman"/>
              </w:rPr>
            </w:pPr>
            <w:r>
              <w:rPr>
                <w:rFonts w:hint="eastAsia" w:ascii="仿宋" w:hAnsi="仿宋" w:eastAsia="仿宋" w:cs="仿宋"/>
              </w:rPr>
              <w:t>规费和</w:t>
            </w:r>
          </w:p>
          <w:p>
            <w:pPr>
              <w:spacing w:line="360" w:lineRule="auto"/>
              <w:jc w:val="center"/>
              <w:rPr>
                <w:rFonts w:ascii="仿宋" w:hAnsi="仿宋" w:eastAsia="仿宋" w:cs="Times New Roman"/>
              </w:rPr>
            </w:pPr>
            <w:r>
              <w:rPr>
                <w:rFonts w:hint="eastAsia" w:ascii="仿宋" w:hAnsi="仿宋" w:eastAsia="仿宋" w:cs="仿宋"/>
              </w:rPr>
              <w:t>税金</w:t>
            </w:r>
          </w:p>
          <w:p>
            <w:pPr>
              <w:spacing w:line="360" w:lineRule="auto"/>
              <w:jc w:val="center"/>
              <w:rPr>
                <w:rFonts w:ascii="仿宋" w:hAnsi="仿宋" w:eastAsia="仿宋" w:cs="Times New Roman"/>
              </w:rPr>
            </w:pPr>
            <w:r>
              <w:rPr>
                <w:rFonts w:hint="eastAsia" w:ascii="仿宋" w:hAnsi="仿宋" w:eastAsia="仿宋" w:cs="仿宋"/>
              </w:rPr>
              <w:t>（元）</w:t>
            </w:r>
          </w:p>
        </w:tc>
        <w:tc>
          <w:tcPr>
            <w:tcW w:w="860" w:type="dxa"/>
            <w:vAlign w:val="center"/>
          </w:tcPr>
          <w:p>
            <w:pPr>
              <w:spacing w:line="360" w:lineRule="auto"/>
              <w:jc w:val="center"/>
              <w:rPr>
                <w:rFonts w:ascii="仿宋" w:hAnsi="仿宋" w:eastAsia="仿宋" w:cs="Times New Roman"/>
              </w:rPr>
            </w:pPr>
            <w:r>
              <w:rPr>
                <w:rFonts w:hint="eastAsia" w:ascii="仿宋" w:hAnsi="仿宋" w:eastAsia="仿宋" w:cs="仿宋"/>
              </w:rPr>
              <w:t>合计</w:t>
            </w:r>
          </w:p>
          <w:p>
            <w:pPr>
              <w:spacing w:line="360" w:lineRule="auto"/>
              <w:jc w:val="center"/>
              <w:rPr>
                <w:rFonts w:ascii="仿宋" w:hAnsi="仿宋" w:eastAsia="仿宋" w:cs="Times New Roman"/>
              </w:rPr>
            </w:pPr>
            <w:r>
              <w:rPr>
                <w:rFonts w:hint="eastAsia" w:ascii="仿宋" w:hAnsi="仿宋" w:eastAsia="仿宋" w:cs="仿宋"/>
              </w:rPr>
              <w:t>（元）</w:t>
            </w:r>
          </w:p>
        </w:tc>
        <w:tc>
          <w:tcPr>
            <w:tcW w:w="850" w:type="dxa"/>
            <w:vAlign w:val="center"/>
          </w:tcPr>
          <w:p>
            <w:pPr>
              <w:spacing w:line="360" w:lineRule="auto"/>
              <w:jc w:val="center"/>
              <w:rPr>
                <w:rFonts w:ascii="仿宋" w:hAnsi="仿宋" w:eastAsia="仿宋" w:cs="Times New Roman"/>
              </w:rPr>
            </w:pPr>
            <w:r>
              <w:rPr>
                <w:rFonts w:hint="eastAsia" w:ascii="仿宋" w:hAnsi="仿宋" w:eastAsia="仿宋" w:cs="仿宋"/>
              </w:rPr>
              <w:t>已完</w:t>
            </w:r>
          </w:p>
          <w:p>
            <w:pPr>
              <w:spacing w:line="360" w:lineRule="auto"/>
              <w:jc w:val="center"/>
              <w:rPr>
                <w:rFonts w:ascii="仿宋" w:hAnsi="仿宋" w:eastAsia="仿宋" w:cs="Times New Roman"/>
              </w:rPr>
            </w:pPr>
            <w:r>
              <w:rPr>
                <w:rFonts w:hint="eastAsia" w:ascii="仿宋" w:hAnsi="仿宋" w:eastAsia="仿宋" w:cs="仿宋"/>
              </w:rPr>
              <w:t>工程量</w:t>
            </w:r>
          </w:p>
        </w:tc>
        <w:tc>
          <w:tcPr>
            <w:tcW w:w="865" w:type="dxa"/>
            <w:vAlign w:val="center"/>
          </w:tcPr>
          <w:p>
            <w:pPr>
              <w:spacing w:line="360" w:lineRule="auto"/>
              <w:jc w:val="center"/>
              <w:rPr>
                <w:rFonts w:ascii="仿宋" w:hAnsi="仿宋" w:eastAsia="仿宋" w:cs="Times New Roman"/>
              </w:rPr>
            </w:pPr>
            <w:r>
              <w:rPr>
                <w:rFonts w:hint="eastAsia" w:ascii="仿宋" w:hAnsi="仿宋" w:eastAsia="仿宋" w:cs="仿宋"/>
              </w:rPr>
              <w:t>合价</w:t>
            </w:r>
          </w:p>
          <w:p>
            <w:pPr>
              <w:spacing w:line="360" w:lineRule="auto"/>
              <w:jc w:val="center"/>
              <w:rPr>
                <w:rFonts w:ascii="仿宋" w:hAnsi="仿宋" w:eastAsia="仿宋" w:cs="Times New Roman"/>
              </w:rPr>
            </w:pPr>
            <w:r>
              <w:rPr>
                <w:rFonts w:hint="eastAsia" w:ascii="仿宋" w:hAnsi="仿宋" w:eastAsia="仿宋" w:cs="仿宋"/>
              </w:rPr>
              <w:t>（元）</w:t>
            </w:r>
          </w:p>
        </w:tc>
        <w:tc>
          <w:tcPr>
            <w:tcW w:w="848" w:type="dxa"/>
            <w:vAlign w:val="center"/>
          </w:tcPr>
          <w:p>
            <w:pPr>
              <w:spacing w:line="360" w:lineRule="auto"/>
              <w:jc w:val="center"/>
              <w:rPr>
                <w:rFonts w:ascii="仿宋" w:hAnsi="仿宋" w:eastAsia="仿宋" w:cs="Times New Roman"/>
              </w:rPr>
            </w:pPr>
            <w:r>
              <w:rPr>
                <w:rFonts w:hint="eastAsia" w:ascii="仿宋" w:hAnsi="仿宋" w:eastAsia="仿宋" w:cs="仿宋"/>
              </w:rPr>
              <w:t>完成</w:t>
            </w:r>
          </w:p>
          <w:p>
            <w:pPr>
              <w:spacing w:line="360" w:lineRule="auto"/>
              <w:jc w:val="center"/>
              <w:rPr>
                <w:rFonts w:ascii="仿宋" w:hAnsi="仿宋" w:eastAsia="仿宋" w:cs="Times New Roman"/>
              </w:rPr>
            </w:pPr>
            <w:r>
              <w:rPr>
                <w:rFonts w:hint="eastAsia" w:ascii="仿宋" w:hAnsi="仿宋" w:eastAsia="仿宋" w:cs="仿宋"/>
              </w:rPr>
              <w:t>工程量</w:t>
            </w:r>
          </w:p>
        </w:tc>
        <w:tc>
          <w:tcPr>
            <w:tcW w:w="892" w:type="dxa"/>
            <w:vAlign w:val="center"/>
          </w:tcPr>
          <w:p>
            <w:pPr>
              <w:spacing w:line="360" w:lineRule="auto"/>
              <w:jc w:val="center"/>
              <w:rPr>
                <w:rFonts w:ascii="仿宋" w:hAnsi="仿宋" w:eastAsia="仿宋" w:cs="Times New Roman"/>
              </w:rPr>
            </w:pPr>
            <w:r>
              <w:rPr>
                <w:rFonts w:hint="eastAsia" w:ascii="仿宋" w:hAnsi="仿宋" w:eastAsia="仿宋" w:cs="仿宋"/>
              </w:rPr>
              <w:t>合价</w:t>
            </w:r>
          </w:p>
          <w:p>
            <w:pPr>
              <w:spacing w:line="360" w:lineRule="auto"/>
              <w:jc w:val="center"/>
              <w:rPr>
                <w:rFonts w:ascii="仿宋" w:hAnsi="仿宋" w:eastAsia="仿宋" w:cs="Times New Roman"/>
              </w:rPr>
            </w:pPr>
            <w:r>
              <w:rPr>
                <w:rFonts w:hint="eastAsia" w:ascii="仿宋" w:hAnsi="仿宋" w:eastAsia="仿宋" w:cs="仿宋"/>
              </w:rPr>
              <w:t>（元）</w:t>
            </w:r>
          </w:p>
        </w:tc>
        <w:tc>
          <w:tcPr>
            <w:tcW w:w="862" w:type="dxa"/>
            <w:vAlign w:val="center"/>
          </w:tcPr>
          <w:p>
            <w:pPr>
              <w:spacing w:line="360" w:lineRule="auto"/>
              <w:jc w:val="center"/>
              <w:rPr>
                <w:rFonts w:ascii="仿宋" w:hAnsi="仿宋" w:eastAsia="仿宋" w:cs="Times New Roman"/>
              </w:rPr>
            </w:pPr>
            <w:r>
              <w:rPr>
                <w:rFonts w:hint="eastAsia" w:ascii="仿宋" w:hAnsi="仿宋" w:eastAsia="仿宋" w:cs="仿宋"/>
              </w:rPr>
              <w:t>已完</w:t>
            </w:r>
          </w:p>
          <w:p>
            <w:pPr>
              <w:spacing w:line="360" w:lineRule="auto"/>
              <w:jc w:val="center"/>
              <w:rPr>
                <w:rFonts w:ascii="仿宋" w:hAnsi="仿宋" w:eastAsia="仿宋" w:cs="Times New Roman"/>
              </w:rPr>
            </w:pPr>
            <w:r>
              <w:rPr>
                <w:rFonts w:hint="eastAsia" w:ascii="仿宋" w:hAnsi="仿宋" w:eastAsia="仿宋" w:cs="仿宋"/>
              </w:rPr>
              <w:t>工程量</w:t>
            </w:r>
          </w:p>
        </w:tc>
        <w:tc>
          <w:tcPr>
            <w:tcW w:w="860" w:type="dxa"/>
            <w:vAlign w:val="center"/>
          </w:tcPr>
          <w:p>
            <w:pPr>
              <w:spacing w:line="360" w:lineRule="auto"/>
              <w:rPr>
                <w:rFonts w:ascii="仿宋" w:hAnsi="仿宋" w:eastAsia="仿宋" w:cs="Times New Roman"/>
              </w:rPr>
            </w:pPr>
            <w:r>
              <w:rPr>
                <w:rFonts w:ascii="仿宋" w:hAnsi="仿宋" w:eastAsia="仿宋" w:cs="仿宋"/>
              </w:rPr>
              <w:t xml:space="preserve"> </w:t>
            </w:r>
            <w:r>
              <w:rPr>
                <w:rFonts w:hint="eastAsia" w:ascii="仿宋" w:hAnsi="仿宋" w:eastAsia="仿宋" w:cs="仿宋"/>
              </w:rPr>
              <w:t>合价</w:t>
            </w:r>
          </w:p>
          <w:p>
            <w:pPr>
              <w:spacing w:line="360" w:lineRule="auto"/>
              <w:rPr>
                <w:rFonts w:ascii="仿宋" w:hAnsi="仿宋" w:eastAsia="仿宋" w:cs="Times New Roman"/>
              </w:rPr>
            </w:pPr>
            <w:r>
              <w:rPr>
                <w:rFonts w:hint="eastAsia" w:ascii="仿宋" w:hAnsi="仿宋" w:eastAsia="仿宋" w:cs="仿宋"/>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vAlign w:val="center"/>
          </w:tcPr>
          <w:p>
            <w:pPr>
              <w:spacing w:line="360" w:lineRule="auto"/>
              <w:jc w:val="center"/>
              <w:rPr>
                <w:rFonts w:ascii="仿宋" w:hAnsi="仿宋" w:eastAsia="仿宋" w:cs="Times New Roman"/>
                <w:sz w:val="24"/>
                <w:szCs w:val="24"/>
              </w:rPr>
            </w:pPr>
          </w:p>
        </w:tc>
        <w:tc>
          <w:tcPr>
            <w:tcW w:w="923" w:type="dxa"/>
            <w:vAlign w:val="center"/>
          </w:tcPr>
          <w:p>
            <w:pPr>
              <w:spacing w:line="360" w:lineRule="auto"/>
              <w:jc w:val="center"/>
              <w:rPr>
                <w:rFonts w:ascii="仿宋" w:hAnsi="仿宋" w:eastAsia="仿宋" w:cs="Times New Roman"/>
                <w:sz w:val="24"/>
                <w:szCs w:val="24"/>
              </w:rPr>
            </w:pPr>
          </w:p>
        </w:tc>
        <w:tc>
          <w:tcPr>
            <w:tcW w:w="1639" w:type="dxa"/>
            <w:vAlign w:val="center"/>
          </w:tcPr>
          <w:p>
            <w:pPr>
              <w:spacing w:line="360" w:lineRule="auto"/>
              <w:jc w:val="center"/>
              <w:rPr>
                <w:rFonts w:ascii="仿宋" w:hAnsi="仿宋" w:eastAsia="仿宋" w:cs="Times New Roman"/>
                <w:sz w:val="24"/>
                <w:szCs w:val="24"/>
              </w:rPr>
            </w:pPr>
          </w:p>
        </w:tc>
        <w:tc>
          <w:tcPr>
            <w:tcW w:w="2550" w:type="dxa"/>
            <w:vAlign w:val="center"/>
          </w:tcPr>
          <w:p>
            <w:pPr>
              <w:spacing w:line="360" w:lineRule="auto"/>
              <w:jc w:val="center"/>
              <w:rPr>
                <w:rFonts w:ascii="仿宋" w:hAnsi="仿宋" w:eastAsia="仿宋" w:cs="Times New Roman"/>
                <w:sz w:val="24"/>
                <w:szCs w:val="24"/>
              </w:rPr>
            </w:pPr>
          </w:p>
        </w:tc>
        <w:tc>
          <w:tcPr>
            <w:tcW w:w="956" w:type="dxa"/>
            <w:vAlign w:val="center"/>
          </w:tcPr>
          <w:p>
            <w:pPr>
              <w:spacing w:line="360" w:lineRule="auto"/>
              <w:jc w:val="center"/>
              <w:rPr>
                <w:rFonts w:ascii="仿宋" w:hAnsi="仿宋" w:eastAsia="仿宋" w:cs="Times New Roman"/>
                <w:sz w:val="24"/>
                <w:szCs w:val="24"/>
              </w:rPr>
            </w:pPr>
          </w:p>
        </w:tc>
        <w:tc>
          <w:tcPr>
            <w:tcW w:w="859" w:type="dxa"/>
            <w:vAlign w:val="center"/>
          </w:tcPr>
          <w:p>
            <w:pPr>
              <w:spacing w:line="360" w:lineRule="auto"/>
              <w:jc w:val="center"/>
              <w:rPr>
                <w:rFonts w:ascii="仿宋" w:hAnsi="仿宋" w:eastAsia="仿宋" w:cs="Times New Roman"/>
                <w:sz w:val="24"/>
                <w:szCs w:val="24"/>
              </w:rPr>
            </w:pPr>
          </w:p>
        </w:tc>
        <w:tc>
          <w:tcPr>
            <w:tcW w:w="950" w:type="dxa"/>
            <w:vAlign w:val="center"/>
          </w:tcPr>
          <w:p>
            <w:pPr>
              <w:spacing w:line="360" w:lineRule="auto"/>
              <w:jc w:val="center"/>
              <w:rPr>
                <w:rFonts w:ascii="仿宋" w:hAnsi="仿宋" w:eastAsia="仿宋" w:cs="Times New Roman"/>
                <w:sz w:val="24"/>
                <w:szCs w:val="24"/>
              </w:rPr>
            </w:pPr>
          </w:p>
        </w:tc>
        <w:tc>
          <w:tcPr>
            <w:tcW w:w="860" w:type="dxa"/>
            <w:vAlign w:val="center"/>
          </w:tcPr>
          <w:p>
            <w:pPr>
              <w:spacing w:line="360" w:lineRule="auto"/>
              <w:jc w:val="center"/>
              <w:rPr>
                <w:rFonts w:ascii="仿宋" w:hAnsi="仿宋" w:eastAsia="仿宋" w:cs="Times New Roman"/>
                <w:sz w:val="24"/>
                <w:szCs w:val="24"/>
              </w:rPr>
            </w:pPr>
          </w:p>
        </w:tc>
        <w:tc>
          <w:tcPr>
            <w:tcW w:w="850" w:type="dxa"/>
            <w:vAlign w:val="center"/>
          </w:tcPr>
          <w:p>
            <w:pPr>
              <w:spacing w:line="360" w:lineRule="auto"/>
              <w:jc w:val="center"/>
              <w:rPr>
                <w:rFonts w:ascii="仿宋" w:hAnsi="仿宋" w:eastAsia="仿宋" w:cs="Times New Roman"/>
                <w:sz w:val="24"/>
                <w:szCs w:val="24"/>
              </w:rPr>
            </w:pPr>
          </w:p>
        </w:tc>
        <w:tc>
          <w:tcPr>
            <w:tcW w:w="865" w:type="dxa"/>
            <w:vAlign w:val="center"/>
          </w:tcPr>
          <w:p>
            <w:pPr>
              <w:spacing w:line="360" w:lineRule="auto"/>
              <w:jc w:val="center"/>
              <w:rPr>
                <w:rFonts w:ascii="仿宋" w:hAnsi="仿宋" w:eastAsia="仿宋" w:cs="Times New Roman"/>
                <w:sz w:val="24"/>
                <w:szCs w:val="24"/>
              </w:rPr>
            </w:pPr>
          </w:p>
        </w:tc>
        <w:tc>
          <w:tcPr>
            <w:tcW w:w="848" w:type="dxa"/>
            <w:vAlign w:val="center"/>
          </w:tcPr>
          <w:p>
            <w:pPr>
              <w:spacing w:line="360" w:lineRule="auto"/>
              <w:jc w:val="center"/>
              <w:rPr>
                <w:rFonts w:ascii="仿宋" w:hAnsi="仿宋" w:eastAsia="仿宋" w:cs="Times New Roman"/>
                <w:sz w:val="24"/>
                <w:szCs w:val="24"/>
              </w:rPr>
            </w:pPr>
          </w:p>
        </w:tc>
        <w:tc>
          <w:tcPr>
            <w:tcW w:w="892" w:type="dxa"/>
            <w:vAlign w:val="center"/>
          </w:tcPr>
          <w:p>
            <w:pPr>
              <w:spacing w:line="360" w:lineRule="auto"/>
              <w:jc w:val="center"/>
              <w:rPr>
                <w:rFonts w:ascii="仿宋" w:hAnsi="仿宋" w:eastAsia="仿宋" w:cs="Times New Roman"/>
                <w:sz w:val="24"/>
                <w:szCs w:val="24"/>
              </w:rPr>
            </w:pPr>
          </w:p>
        </w:tc>
        <w:tc>
          <w:tcPr>
            <w:tcW w:w="862" w:type="dxa"/>
            <w:vAlign w:val="center"/>
          </w:tcPr>
          <w:p>
            <w:pPr>
              <w:spacing w:line="360" w:lineRule="auto"/>
              <w:jc w:val="center"/>
              <w:rPr>
                <w:rFonts w:ascii="仿宋" w:hAnsi="仿宋" w:eastAsia="仿宋" w:cs="Times New Roman"/>
                <w:sz w:val="24"/>
                <w:szCs w:val="24"/>
              </w:rPr>
            </w:pPr>
          </w:p>
        </w:tc>
        <w:tc>
          <w:tcPr>
            <w:tcW w:w="860" w:type="dxa"/>
            <w:vAlign w:val="center"/>
          </w:tcPr>
          <w:p>
            <w:pPr>
              <w:spacing w:line="360" w:lineRule="auto"/>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vAlign w:val="center"/>
          </w:tcPr>
          <w:p>
            <w:pPr>
              <w:spacing w:line="360" w:lineRule="auto"/>
              <w:jc w:val="center"/>
              <w:rPr>
                <w:rFonts w:ascii="仿宋" w:hAnsi="仿宋" w:eastAsia="仿宋" w:cs="Times New Roman"/>
                <w:sz w:val="24"/>
                <w:szCs w:val="24"/>
              </w:rPr>
            </w:pPr>
          </w:p>
        </w:tc>
        <w:tc>
          <w:tcPr>
            <w:tcW w:w="923" w:type="dxa"/>
            <w:vAlign w:val="center"/>
          </w:tcPr>
          <w:p>
            <w:pPr>
              <w:spacing w:line="360" w:lineRule="auto"/>
              <w:jc w:val="center"/>
              <w:rPr>
                <w:rFonts w:ascii="仿宋" w:hAnsi="仿宋" w:eastAsia="仿宋" w:cs="Times New Roman"/>
                <w:sz w:val="24"/>
                <w:szCs w:val="24"/>
              </w:rPr>
            </w:pPr>
          </w:p>
        </w:tc>
        <w:tc>
          <w:tcPr>
            <w:tcW w:w="1639" w:type="dxa"/>
            <w:vAlign w:val="center"/>
          </w:tcPr>
          <w:p>
            <w:pPr>
              <w:spacing w:line="360" w:lineRule="auto"/>
              <w:jc w:val="center"/>
              <w:rPr>
                <w:rFonts w:ascii="仿宋" w:hAnsi="仿宋" w:eastAsia="仿宋" w:cs="Times New Roman"/>
                <w:sz w:val="24"/>
                <w:szCs w:val="24"/>
              </w:rPr>
            </w:pPr>
          </w:p>
        </w:tc>
        <w:tc>
          <w:tcPr>
            <w:tcW w:w="2550" w:type="dxa"/>
            <w:vAlign w:val="center"/>
          </w:tcPr>
          <w:p>
            <w:pPr>
              <w:spacing w:line="360" w:lineRule="auto"/>
              <w:jc w:val="center"/>
              <w:rPr>
                <w:rFonts w:ascii="仿宋" w:hAnsi="仿宋" w:eastAsia="仿宋" w:cs="Times New Roman"/>
                <w:sz w:val="24"/>
                <w:szCs w:val="24"/>
              </w:rPr>
            </w:pPr>
          </w:p>
        </w:tc>
        <w:tc>
          <w:tcPr>
            <w:tcW w:w="956" w:type="dxa"/>
            <w:vAlign w:val="center"/>
          </w:tcPr>
          <w:p>
            <w:pPr>
              <w:spacing w:line="360" w:lineRule="auto"/>
              <w:jc w:val="center"/>
              <w:rPr>
                <w:rFonts w:ascii="仿宋" w:hAnsi="仿宋" w:eastAsia="仿宋" w:cs="Times New Roman"/>
                <w:sz w:val="24"/>
                <w:szCs w:val="24"/>
              </w:rPr>
            </w:pPr>
          </w:p>
        </w:tc>
        <w:tc>
          <w:tcPr>
            <w:tcW w:w="859" w:type="dxa"/>
            <w:vAlign w:val="center"/>
          </w:tcPr>
          <w:p>
            <w:pPr>
              <w:spacing w:line="360" w:lineRule="auto"/>
              <w:jc w:val="center"/>
              <w:rPr>
                <w:rFonts w:ascii="仿宋" w:hAnsi="仿宋" w:eastAsia="仿宋" w:cs="Times New Roman"/>
                <w:sz w:val="24"/>
                <w:szCs w:val="24"/>
              </w:rPr>
            </w:pPr>
          </w:p>
        </w:tc>
        <w:tc>
          <w:tcPr>
            <w:tcW w:w="950" w:type="dxa"/>
            <w:vAlign w:val="center"/>
          </w:tcPr>
          <w:p>
            <w:pPr>
              <w:spacing w:line="360" w:lineRule="auto"/>
              <w:jc w:val="center"/>
              <w:rPr>
                <w:rFonts w:ascii="仿宋" w:hAnsi="仿宋" w:eastAsia="仿宋" w:cs="Times New Roman"/>
                <w:sz w:val="24"/>
                <w:szCs w:val="24"/>
              </w:rPr>
            </w:pPr>
          </w:p>
        </w:tc>
        <w:tc>
          <w:tcPr>
            <w:tcW w:w="860" w:type="dxa"/>
            <w:vAlign w:val="center"/>
          </w:tcPr>
          <w:p>
            <w:pPr>
              <w:spacing w:line="360" w:lineRule="auto"/>
              <w:jc w:val="center"/>
              <w:rPr>
                <w:rFonts w:ascii="仿宋" w:hAnsi="仿宋" w:eastAsia="仿宋" w:cs="Times New Roman"/>
                <w:sz w:val="24"/>
                <w:szCs w:val="24"/>
              </w:rPr>
            </w:pPr>
          </w:p>
        </w:tc>
        <w:tc>
          <w:tcPr>
            <w:tcW w:w="850" w:type="dxa"/>
            <w:vAlign w:val="center"/>
          </w:tcPr>
          <w:p>
            <w:pPr>
              <w:spacing w:line="360" w:lineRule="auto"/>
              <w:jc w:val="center"/>
              <w:rPr>
                <w:rFonts w:ascii="仿宋" w:hAnsi="仿宋" w:eastAsia="仿宋" w:cs="Times New Roman"/>
                <w:sz w:val="24"/>
                <w:szCs w:val="24"/>
              </w:rPr>
            </w:pPr>
          </w:p>
        </w:tc>
        <w:tc>
          <w:tcPr>
            <w:tcW w:w="865" w:type="dxa"/>
            <w:vAlign w:val="center"/>
          </w:tcPr>
          <w:p>
            <w:pPr>
              <w:spacing w:line="360" w:lineRule="auto"/>
              <w:jc w:val="center"/>
              <w:rPr>
                <w:rFonts w:ascii="仿宋" w:hAnsi="仿宋" w:eastAsia="仿宋" w:cs="Times New Roman"/>
                <w:sz w:val="24"/>
                <w:szCs w:val="24"/>
              </w:rPr>
            </w:pPr>
          </w:p>
        </w:tc>
        <w:tc>
          <w:tcPr>
            <w:tcW w:w="848" w:type="dxa"/>
            <w:vAlign w:val="center"/>
          </w:tcPr>
          <w:p>
            <w:pPr>
              <w:spacing w:line="360" w:lineRule="auto"/>
              <w:jc w:val="center"/>
              <w:rPr>
                <w:rFonts w:ascii="仿宋" w:hAnsi="仿宋" w:eastAsia="仿宋" w:cs="Times New Roman"/>
                <w:sz w:val="24"/>
                <w:szCs w:val="24"/>
              </w:rPr>
            </w:pPr>
          </w:p>
        </w:tc>
        <w:tc>
          <w:tcPr>
            <w:tcW w:w="892" w:type="dxa"/>
            <w:vAlign w:val="center"/>
          </w:tcPr>
          <w:p>
            <w:pPr>
              <w:spacing w:line="360" w:lineRule="auto"/>
              <w:jc w:val="center"/>
              <w:rPr>
                <w:rFonts w:ascii="仿宋" w:hAnsi="仿宋" w:eastAsia="仿宋" w:cs="Times New Roman"/>
                <w:sz w:val="24"/>
                <w:szCs w:val="24"/>
              </w:rPr>
            </w:pPr>
          </w:p>
        </w:tc>
        <w:tc>
          <w:tcPr>
            <w:tcW w:w="862" w:type="dxa"/>
            <w:vAlign w:val="center"/>
          </w:tcPr>
          <w:p>
            <w:pPr>
              <w:spacing w:line="360" w:lineRule="auto"/>
              <w:jc w:val="center"/>
              <w:rPr>
                <w:rFonts w:ascii="仿宋" w:hAnsi="仿宋" w:eastAsia="仿宋" w:cs="Times New Roman"/>
                <w:sz w:val="24"/>
                <w:szCs w:val="24"/>
              </w:rPr>
            </w:pPr>
          </w:p>
        </w:tc>
        <w:tc>
          <w:tcPr>
            <w:tcW w:w="860" w:type="dxa"/>
            <w:vAlign w:val="center"/>
          </w:tcPr>
          <w:p>
            <w:pPr>
              <w:spacing w:line="360" w:lineRule="auto"/>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vAlign w:val="center"/>
          </w:tcPr>
          <w:p>
            <w:pPr>
              <w:spacing w:line="360" w:lineRule="auto"/>
              <w:jc w:val="center"/>
              <w:rPr>
                <w:rFonts w:ascii="仿宋" w:hAnsi="仿宋" w:eastAsia="仿宋" w:cs="Times New Roman"/>
                <w:sz w:val="24"/>
                <w:szCs w:val="24"/>
              </w:rPr>
            </w:pPr>
          </w:p>
        </w:tc>
        <w:tc>
          <w:tcPr>
            <w:tcW w:w="923" w:type="dxa"/>
            <w:vAlign w:val="center"/>
          </w:tcPr>
          <w:p>
            <w:pPr>
              <w:spacing w:line="360" w:lineRule="auto"/>
              <w:jc w:val="center"/>
              <w:rPr>
                <w:rFonts w:ascii="仿宋" w:hAnsi="仿宋" w:eastAsia="仿宋" w:cs="Times New Roman"/>
                <w:sz w:val="24"/>
                <w:szCs w:val="24"/>
              </w:rPr>
            </w:pPr>
          </w:p>
        </w:tc>
        <w:tc>
          <w:tcPr>
            <w:tcW w:w="1639" w:type="dxa"/>
            <w:vAlign w:val="center"/>
          </w:tcPr>
          <w:p>
            <w:pPr>
              <w:spacing w:line="360" w:lineRule="auto"/>
              <w:jc w:val="center"/>
              <w:rPr>
                <w:rFonts w:ascii="仿宋" w:hAnsi="仿宋" w:eastAsia="仿宋" w:cs="Times New Roman"/>
                <w:sz w:val="24"/>
                <w:szCs w:val="24"/>
              </w:rPr>
            </w:pPr>
          </w:p>
        </w:tc>
        <w:tc>
          <w:tcPr>
            <w:tcW w:w="2550" w:type="dxa"/>
            <w:vAlign w:val="center"/>
          </w:tcPr>
          <w:p>
            <w:pPr>
              <w:spacing w:line="360" w:lineRule="auto"/>
              <w:jc w:val="center"/>
              <w:rPr>
                <w:rFonts w:ascii="仿宋" w:hAnsi="仿宋" w:eastAsia="仿宋" w:cs="Times New Roman"/>
                <w:sz w:val="24"/>
                <w:szCs w:val="24"/>
              </w:rPr>
            </w:pPr>
          </w:p>
        </w:tc>
        <w:tc>
          <w:tcPr>
            <w:tcW w:w="956" w:type="dxa"/>
            <w:vAlign w:val="center"/>
          </w:tcPr>
          <w:p>
            <w:pPr>
              <w:spacing w:line="360" w:lineRule="auto"/>
              <w:jc w:val="center"/>
              <w:rPr>
                <w:rFonts w:ascii="仿宋" w:hAnsi="仿宋" w:eastAsia="仿宋" w:cs="Times New Roman"/>
                <w:sz w:val="24"/>
                <w:szCs w:val="24"/>
              </w:rPr>
            </w:pPr>
          </w:p>
        </w:tc>
        <w:tc>
          <w:tcPr>
            <w:tcW w:w="859" w:type="dxa"/>
            <w:vAlign w:val="center"/>
          </w:tcPr>
          <w:p>
            <w:pPr>
              <w:spacing w:line="360" w:lineRule="auto"/>
              <w:jc w:val="center"/>
              <w:rPr>
                <w:rFonts w:ascii="仿宋" w:hAnsi="仿宋" w:eastAsia="仿宋" w:cs="Times New Roman"/>
                <w:sz w:val="24"/>
                <w:szCs w:val="24"/>
              </w:rPr>
            </w:pPr>
          </w:p>
        </w:tc>
        <w:tc>
          <w:tcPr>
            <w:tcW w:w="950" w:type="dxa"/>
            <w:vAlign w:val="center"/>
          </w:tcPr>
          <w:p>
            <w:pPr>
              <w:spacing w:line="360" w:lineRule="auto"/>
              <w:jc w:val="center"/>
              <w:rPr>
                <w:rFonts w:ascii="仿宋" w:hAnsi="仿宋" w:eastAsia="仿宋" w:cs="Times New Roman"/>
                <w:sz w:val="24"/>
                <w:szCs w:val="24"/>
              </w:rPr>
            </w:pPr>
          </w:p>
        </w:tc>
        <w:tc>
          <w:tcPr>
            <w:tcW w:w="860" w:type="dxa"/>
            <w:vAlign w:val="center"/>
          </w:tcPr>
          <w:p>
            <w:pPr>
              <w:spacing w:line="360" w:lineRule="auto"/>
              <w:jc w:val="center"/>
              <w:rPr>
                <w:rFonts w:ascii="仿宋" w:hAnsi="仿宋" w:eastAsia="仿宋" w:cs="Times New Roman"/>
                <w:sz w:val="24"/>
                <w:szCs w:val="24"/>
              </w:rPr>
            </w:pPr>
          </w:p>
        </w:tc>
        <w:tc>
          <w:tcPr>
            <w:tcW w:w="850" w:type="dxa"/>
            <w:vAlign w:val="center"/>
          </w:tcPr>
          <w:p>
            <w:pPr>
              <w:spacing w:line="360" w:lineRule="auto"/>
              <w:jc w:val="center"/>
              <w:rPr>
                <w:rFonts w:ascii="仿宋" w:hAnsi="仿宋" w:eastAsia="仿宋" w:cs="Times New Roman"/>
                <w:sz w:val="24"/>
                <w:szCs w:val="24"/>
              </w:rPr>
            </w:pPr>
          </w:p>
        </w:tc>
        <w:tc>
          <w:tcPr>
            <w:tcW w:w="865" w:type="dxa"/>
            <w:vAlign w:val="center"/>
          </w:tcPr>
          <w:p>
            <w:pPr>
              <w:spacing w:line="360" w:lineRule="auto"/>
              <w:jc w:val="center"/>
              <w:rPr>
                <w:rFonts w:ascii="仿宋" w:hAnsi="仿宋" w:eastAsia="仿宋" w:cs="Times New Roman"/>
                <w:sz w:val="24"/>
                <w:szCs w:val="24"/>
              </w:rPr>
            </w:pPr>
          </w:p>
        </w:tc>
        <w:tc>
          <w:tcPr>
            <w:tcW w:w="848" w:type="dxa"/>
            <w:vAlign w:val="center"/>
          </w:tcPr>
          <w:p>
            <w:pPr>
              <w:spacing w:line="360" w:lineRule="auto"/>
              <w:jc w:val="center"/>
              <w:rPr>
                <w:rFonts w:ascii="仿宋" w:hAnsi="仿宋" w:eastAsia="仿宋" w:cs="Times New Roman"/>
                <w:sz w:val="24"/>
                <w:szCs w:val="24"/>
              </w:rPr>
            </w:pPr>
          </w:p>
        </w:tc>
        <w:tc>
          <w:tcPr>
            <w:tcW w:w="892" w:type="dxa"/>
            <w:vAlign w:val="center"/>
          </w:tcPr>
          <w:p>
            <w:pPr>
              <w:spacing w:line="360" w:lineRule="auto"/>
              <w:jc w:val="center"/>
              <w:rPr>
                <w:rFonts w:ascii="仿宋" w:hAnsi="仿宋" w:eastAsia="仿宋" w:cs="Times New Roman"/>
                <w:sz w:val="24"/>
                <w:szCs w:val="24"/>
              </w:rPr>
            </w:pPr>
          </w:p>
        </w:tc>
        <w:tc>
          <w:tcPr>
            <w:tcW w:w="862" w:type="dxa"/>
            <w:vAlign w:val="center"/>
          </w:tcPr>
          <w:p>
            <w:pPr>
              <w:spacing w:line="360" w:lineRule="auto"/>
              <w:jc w:val="center"/>
              <w:rPr>
                <w:rFonts w:ascii="仿宋" w:hAnsi="仿宋" w:eastAsia="仿宋" w:cs="Times New Roman"/>
                <w:sz w:val="24"/>
                <w:szCs w:val="24"/>
              </w:rPr>
            </w:pPr>
          </w:p>
        </w:tc>
        <w:tc>
          <w:tcPr>
            <w:tcW w:w="860" w:type="dxa"/>
            <w:vAlign w:val="center"/>
          </w:tcPr>
          <w:p>
            <w:pPr>
              <w:spacing w:line="360" w:lineRule="auto"/>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vAlign w:val="center"/>
          </w:tcPr>
          <w:p>
            <w:pPr>
              <w:spacing w:line="360" w:lineRule="auto"/>
              <w:jc w:val="center"/>
              <w:rPr>
                <w:rFonts w:ascii="仿宋" w:hAnsi="仿宋" w:eastAsia="仿宋" w:cs="Times New Roman"/>
                <w:sz w:val="24"/>
                <w:szCs w:val="24"/>
              </w:rPr>
            </w:pPr>
          </w:p>
        </w:tc>
        <w:tc>
          <w:tcPr>
            <w:tcW w:w="923" w:type="dxa"/>
            <w:vAlign w:val="center"/>
          </w:tcPr>
          <w:p>
            <w:pPr>
              <w:spacing w:line="360" w:lineRule="auto"/>
              <w:jc w:val="center"/>
              <w:rPr>
                <w:rFonts w:ascii="仿宋" w:hAnsi="仿宋" w:eastAsia="仿宋" w:cs="Times New Roman"/>
                <w:sz w:val="24"/>
                <w:szCs w:val="24"/>
              </w:rPr>
            </w:pPr>
          </w:p>
        </w:tc>
        <w:tc>
          <w:tcPr>
            <w:tcW w:w="1639" w:type="dxa"/>
            <w:vAlign w:val="center"/>
          </w:tcPr>
          <w:p>
            <w:pPr>
              <w:spacing w:line="360" w:lineRule="auto"/>
              <w:jc w:val="center"/>
              <w:rPr>
                <w:rFonts w:ascii="仿宋" w:hAnsi="仿宋" w:eastAsia="仿宋" w:cs="Times New Roman"/>
                <w:sz w:val="24"/>
                <w:szCs w:val="24"/>
              </w:rPr>
            </w:pPr>
          </w:p>
        </w:tc>
        <w:tc>
          <w:tcPr>
            <w:tcW w:w="2550" w:type="dxa"/>
            <w:vAlign w:val="center"/>
          </w:tcPr>
          <w:p>
            <w:pPr>
              <w:spacing w:line="360" w:lineRule="auto"/>
              <w:jc w:val="center"/>
              <w:rPr>
                <w:rFonts w:ascii="仿宋" w:hAnsi="仿宋" w:eastAsia="仿宋" w:cs="Times New Roman"/>
                <w:sz w:val="24"/>
                <w:szCs w:val="24"/>
              </w:rPr>
            </w:pPr>
          </w:p>
        </w:tc>
        <w:tc>
          <w:tcPr>
            <w:tcW w:w="956" w:type="dxa"/>
            <w:vAlign w:val="center"/>
          </w:tcPr>
          <w:p>
            <w:pPr>
              <w:spacing w:line="360" w:lineRule="auto"/>
              <w:jc w:val="center"/>
              <w:rPr>
                <w:rFonts w:ascii="仿宋" w:hAnsi="仿宋" w:eastAsia="仿宋" w:cs="Times New Roman"/>
                <w:sz w:val="24"/>
                <w:szCs w:val="24"/>
              </w:rPr>
            </w:pPr>
          </w:p>
        </w:tc>
        <w:tc>
          <w:tcPr>
            <w:tcW w:w="859" w:type="dxa"/>
            <w:vAlign w:val="center"/>
          </w:tcPr>
          <w:p>
            <w:pPr>
              <w:spacing w:line="360" w:lineRule="auto"/>
              <w:jc w:val="center"/>
              <w:rPr>
                <w:rFonts w:ascii="仿宋" w:hAnsi="仿宋" w:eastAsia="仿宋" w:cs="Times New Roman"/>
                <w:sz w:val="24"/>
                <w:szCs w:val="24"/>
              </w:rPr>
            </w:pPr>
          </w:p>
        </w:tc>
        <w:tc>
          <w:tcPr>
            <w:tcW w:w="950" w:type="dxa"/>
            <w:vAlign w:val="center"/>
          </w:tcPr>
          <w:p>
            <w:pPr>
              <w:spacing w:line="360" w:lineRule="auto"/>
              <w:jc w:val="center"/>
              <w:rPr>
                <w:rFonts w:ascii="仿宋" w:hAnsi="仿宋" w:eastAsia="仿宋" w:cs="Times New Roman"/>
                <w:sz w:val="24"/>
                <w:szCs w:val="24"/>
              </w:rPr>
            </w:pPr>
          </w:p>
        </w:tc>
        <w:tc>
          <w:tcPr>
            <w:tcW w:w="860" w:type="dxa"/>
            <w:vAlign w:val="center"/>
          </w:tcPr>
          <w:p>
            <w:pPr>
              <w:spacing w:line="360" w:lineRule="auto"/>
              <w:jc w:val="center"/>
              <w:rPr>
                <w:rFonts w:ascii="仿宋" w:hAnsi="仿宋" w:eastAsia="仿宋" w:cs="Times New Roman"/>
                <w:sz w:val="24"/>
                <w:szCs w:val="24"/>
              </w:rPr>
            </w:pPr>
          </w:p>
        </w:tc>
        <w:tc>
          <w:tcPr>
            <w:tcW w:w="850" w:type="dxa"/>
            <w:vAlign w:val="center"/>
          </w:tcPr>
          <w:p>
            <w:pPr>
              <w:spacing w:line="360" w:lineRule="auto"/>
              <w:jc w:val="center"/>
              <w:rPr>
                <w:rFonts w:ascii="仿宋" w:hAnsi="仿宋" w:eastAsia="仿宋" w:cs="Times New Roman"/>
                <w:sz w:val="24"/>
                <w:szCs w:val="24"/>
              </w:rPr>
            </w:pPr>
          </w:p>
        </w:tc>
        <w:tc>
          <w:tcPr>
            <w:tcW w:w="865" w:type="dxa"/>
            <w:vAlign w:val="center"/>
          </w:tcPr>
          <w:p>
            <w:pPr>
              <w:spacing w:line="360" w:lineRule="auto"/>
              <w:jc w:val="center"/>
              <w:rPr>
                <w:rFonts w:ascii="仿宋" w:hAnsi="仿宋" w:eastAsia="仿宋" w:cs="Times New Roman"/>
                <w:sz w:val="24"/>
                <w:szCs w:val="24"/>
              </w:rPr>
            </w:pPr>
          </w:p>
        </w:tc>
        <w:tc>
          <w:tcPr>
            <w:tcW w:w="848" w:type="dxa"/>
            <w:vAlign w:val="center"/>
          </w:tcPr>
          <w:p>
            <w:pPr>
              <w:spacing w:line="360" w:lineRule="auto"/>
              <w:jc w:val="center"/>
              <w:rPr>
                <w:rFonts w:ascii="仿宋" w:hAnsi="仿宋" w:eastAsia="仿宋" w:cs="Times New Roman"/>
                <w:sz w:val="24"/>
                <w:szCs w:val="24"/>
              </w:rPr>
            </w:pPr>
          </w:p>
        </w:tc>
        <w:tc>
          <w:tcPr>
            <w:tcW w:w="892" w:type="dxa"/>
            <w:vAlign w:val="center"/>
          </w:tcPr>
          <w:p>
            <w:pPr>
              <w:spacing w:line="360" w:lineRule="auto"/>
              <w:jc w:val="center"/>
              <w:rPr>
                <w:rFonts w:ascii="仿宋" w:hAnsi="仿宋" w:eastAsia="仿宋" w:cs="Times New Roman"/>
                <w:sz w:val="24"/>
                <w:szCs w:val="24"/>
              </w:rPr>
            </w:pPr>
          </w:p>
        </w:tc>
        <w:tc>
          <w:tcPr>
            <w:tcW w:w="862" w:type="dxa"/>
            <w:vAlign w:val="center"/>
          </w:tcPr>
          <w:p>
            <w:pPr>
              <w:spacing w:line="360" w:lineRule="auto"/>
              <w:jc w:val="center"/>
              <w:rPr>
                <w:rFonts w:ascii="仿宋" w:hAnsi="仿宋" w:eastAsia="仿宋" w:cs="Times New Roman"/>
                <w:sz w:val="24"/>
                <w:szCs w:val="24"/>
              </w:rPr>
            </w:pPr>
          </w:p>
        </w:tc>
        <w:tc>
          <w:tcPr>
            <w:tcW w:w="860" w:type="dxa"/>
            <w:vAlign w:val="center"/>
          </w:tcPr>
          <w:p>
            <w:pPr>
              <w:spacing w:line="360" w:lineRule="auto"/>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vAlign w:val="center"/>
          </w:tcPr>
          <w:p>
            <w:pPr>
              <w:spacing w:line="360" w:lineRule="auto"/>
              <w:jc w:val="center"/>
              <w:rPr>
                <w:rFonts w:ascii="仿宋" w:hAnsi="仿宋" w:eastAsia="仿宋" w:cs="Times New Roman"/>
                <w:sz w:val="24"/>
                <w:szCs w:val="24"/>
              </w:rPr>
            </w:pPr>
          </w:p>
        </w:tc>
        <w:tc>
          <w:tcPr>
            <w:tcW w:w="923" w:type="dxa"/>
            <w:vAlign w:val="center"/>
          </w:tcPr>
          <w:p>
            <w:pPr>
              <w:spacing w:line="360" w:lineRule="auto"/>
              <w:jc w:val="center"/>
              <w:rPr>
                <w:rFonts w:ascii="仿宋" w:hAnsi="仿宋" w:eastAsia="仿宋" w:cs="Times New Roman"/>
                <w:sz w:val="24"/>
                <w:szCs w:val="24"/>
              </w:rPr>
            </w:pPr>
          </w:p>
        </w:tc>
        <w:tc>
          <w:tcPr>
            <w:tcW w:w="1639" w:type="dxa"/>
            <w:vAlign w:val="center"/>
          </w:tcPr>
          <w:p>
            <w:pPr>
              <w:spacing w:line="360" w:lineRule="auto"/>
              <w:jc w:val="center"/>
              <w:rPr>
                <w:rFonts w:ascii="仿宋" w:hAnsi="仿宋" w:eastAsia="仿宋" w:cs="Times New Roman"/>
                <w:sz w:val="24"/>
                <w:szCs w:val="24"/>
              </w:rPr>
            </w:pPr>
          </w:p>
        </w:tc>
        <w:tc>
          <w:tcPr>
            <w:tcW w:w="2550" w:type="dxa"/>
            <w:vAlign w:val="center"/>
          </w:tcPr>
          <w:p>
            <w:pPr>
              <w:spacing w:line="360" w:lineRule="auto"/>
              <w:jc w:val="center"/>
              <w:rPr>
                <w:rFonts w:ascii="仿宋" w:hAnsi="仿宋" w:eastAsia="仿宋" w:cs="Times New Roman"/>
                <w:sz w:val="24"/>
                <w:szCs w:val="24"/>
              </w:rPr>
            </w:pPr>
          </w:p>
        </w:tc>
        <w:tc>
          <w:tcPr>
            <w:tcW w:w="956" w:type="dxa"/>
            <w:vAlign w:val="center"/>
          </w:tcPr>
          <w:p>
            <w:pPr>
              <w:spacing w:line="360" w:lineRule="auto"/>
              <w:jc w:val="center"/>
              <w:rPr>
                <w:rFonts w:ascii="仿宋" w:hAnsi="仿宋" w:eastAsia="仿宋" w:cs="Times New Roman"/>
                <w:sz w:val="24"/>
                <w:szCs w:val="24"/>
              </w:rPr>
            </w:pPr>
          </w:p>
        </w:tc>
        <w:tc>
          <w:tcPr>
            <w:tcW w:w="859" w:type="dxa"/>
            <w:vAlign w:val="center"/>
          </w:tcPr>
          <w:p>
            <w:pPr>
              <w:spacing w:line="360" w:lineRule="auto"/>
              <w:jc w:val="center"/>
              <w:rPr>
                <w:rFonts w:ascii="仿宋" w:hAnsi="仿宋" w:eastAsia="仿宋" w:cs="Times New Roman"/>
                <w:sz w:val="24"/>
                <w:szCs w:val="24"/>
              </w:rPr>
            </w:pPr>
          </w:p>
        </w:tc>
        <w:tc>
          <w:tcPr>
            <w:tcW w:w="950" w:type="dxa"/>
            <w:vAlign w:val="center"/>
          </w:tcPr>
          <w:p>
            <w:pPr>
              <w:spacing w:line="360" w:lineRule="auto"/>
              <w:jc w:val="center"/>
              <w:rPr>
                <w:rFonts w:ascii="仿宋" w:hAnsi="仿宋" w:eastAsia="仿宋" w:cs="Times New Roman"/>
                <w:sz w:val="24"/>
                <w:szCs w:val="24"/>
              </w:rPr>
            </w:pPr>
          </w:p>
        </w:tc>
        <w:tc>
          <w:tcPr>
            <w:tcW w:w="860" w:type="dxa"/>
            <w:vAlign w:val="center"/>
          </w:tcPr>
          <w:p>
            <w:pPr>
              <w:spacing w:line="360" w:lineRule="auto"/>
              <w:jc w:val="center"/>
              <w:rPr>
                <w:rFonts w:ascii="仿宋" w:hAnsi="仿宋" w:eastAsia="仿宋" w:cs="Times New Roman"/>
                <w:sz w:val="24"/>
                <w:szCs w:val="24"/>
              </w:rPr>
            </w:pPr>
          </w:p>
        </w:tc>
        <w:tc>
          <w:tcPr>
            <w:tcW w:w="850" w:type="dxa"/>
            <w:vAlign w:val="center"/>
          </w:tcPr>
          <w:p>
            <w:pPr>
              <w:spacing w:line="360" w:lineRule="auto"/>
              <w:jc w:val="center"/>
              <w:rPr>
                <w:rFonts w:ascii="仿宋" w:hAnsi="仿宋" w:eastAsia="仿宋" w:cs="Times New Roman"/>
                <w:sz w:val="24"/>
                <w:szCs w:val="24"/>
              </w:rPr>
            </w:pPr>
          </w:p>
        </w:tc>
        <w:tc>
          <w:tcPr>
            <w:tcW w:w="865" w:type="dxa"/>
            <w:vAlign w:val="center"/>
          </w:tcPr>
          <w:p>
            <w:pPr>
              <w:spacing w:line="360" w:lineRule="auto"/>
              <w:jc w:val="center"/>
              <w:rPr>
                <w:rFonts w:ascii="仿宋" w:hAnsi="仿宋" w:eastAsia="仿宋" w:cs="Times New Roman"/>
                <w:sz w:val="24"/>
                <w:szCs w:val="24"/>
              </w:rPr>
            </w:pPr>
          </w:p>
        </w:tc>
        <w:tc>
          <w:tcPr>
            <w:tcW w:w="848" w:type="dxa"/>
            <w:vAlign w:val="center"/>
          </w:tcPr>
          <w:p>
            <w:pPr>
              <w:spacing w:line="360" w:lineRule="auto"/>
              <w:jc w:val="center"/>
              <w:rPr>
                <w:rFonts w:ascii="仿宋" w:hAnsi="仿宋" w:eastAsia="仿宋" w:cs="Times New Roman"/>
                <w:sz w:val="24"/>
                <w:szCs w:val="24"/>
              </w:rPr>
            </w:pPr>
          </w:p>
        </w:tc>
        <w:tc>
          <w:tcPr>
            <w:tcW w:w="892" w:type="dxa"/>
            <w:vAlign w:val="center"/>
          </w:tcPr>
          <w:p>
            <w:pPr>
              <w:spacing w:line="360" w:lineRule="auto"/>
              <w:jc w:val="center"/>
              <w:rPr>
                <w:rFonts w:ascii="仿宋" w:hAnsi="仿宋" w:eastAsia="仿宋" w:cs="Times New Roman"/>
                <w:sz w:val="24"/>
                <w:szCs w:val="24"/>
              </w:rPr>
            </w:pPr>
          </w:p>
        </w:tc>
        <w:tc>
          <w:tcPr>
            <w:tcW w:w="862" w:type="dxa"/>
            <w:vAlign w:val="center"/>
          </w:tcPr>
          <w:p>
            <w:pPr>
              <w:spacing w:line="360" w:lineRule="auto"/>
              <w:jc w:val="center"/>
              <w:rPr>
                <w:rFonts w:ascii="仿宋" w:hAnsi="仿宋" w:eastAsia="仿宋" w:cs="Times New Roman"/>
                <w:sz w:val="24"/>
                <w:szCs w:val="24"/>
              </w:rPr>
            </w:pPr>
          </w:p>
        </w:tc>
        <w:tc>
          <w:tcPr>
            <w:tcW w:w="860" w:type="dxa"/>
            <w:vAlign w:val="center"/>
          </w:tcPr>
          <w:p>
            <w:pPr>
              <w:spacing w:line="360" w:lineRule="auto"/>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vAlign w:val="center"/>
          </w:tcPr>
          <w:p>
            <w:pPr>
              <w:spacing w:line="360" w:lineRule="auto"/>
              <w:jc w:val="center"/>
              <w:rPr>
                <w:rFonts w:ascii="仿宋" w:hAnsi="仿宋" w:eastAsia="仿宋" w:cs="Times New Roman"/>
                <w:sz w:val="24"/>
                <w:szCs w:val="24"/>
              </w:rPr>
            </w:pPr>
          </w:p>
        </w:tc>
        <w:tc>
          <w:tcPr>
            <w:tcW w:w="923" w:type="dxa"/>
            <w:vAlign w:val="center"/>
          </w:tcPr>
          <w:p>
            <w:pPr>
              <w:spacing w:line="360" w:lineRule="auto"/>
              <w:jc w:val="center"/>
              <w:rPr>
                <w:rFonts w:ascii="仿宋" w:hAnsi="仿宋" w:eastAsia="仿宋" w:cs="Times New Roman"/>
                <w:sz w:val="24"/>
                <w:szCs w:val="24"/>
              </w:rPr>
            </w:pPr>
          </w:p>
        </w:tc>
        <w:tc>
          <w:tcPr>
            <w:tcW w:w="1639" w:type="dxa"/>
            <w:vAlign w:val="center"/>
          </w:tcPr>
          <w:p>
            <w:pPr>
              <w:spacing w:line="360" w:lineRule="auto"/>
              <w:jc w:val="center"/>
              <w:rPr>
                <w:rFonts w:ascii="仿宋" w:hAnsi="仿宋" w:eastAsia="仿宋" w:cs="Times New Roman"/>
                <w:sz w:val="24"/>
                <w:szCs w:val="24"/>
              </w:rPr>
            </w:pPr>
          </w:p>
        </w:tc>
        <w:tc>
          <w:tcPr>
            <w:tcW w:w="2550" w:type="dxa"/>
            <w:vAlign w:val="center"/>
          </w:tcPr>
          <w:p>
            <w:pPr>
              <w:spacing w:line="360" w:lineRule="auto"/>
              <w:jc w:val="center"/>
              <w:rPr>
                <w:rFonts w:ascii="仿宋" w:hAnsi="仿宋" w:eastAsia="仿宋" w:cs="Times New Roman"/>
                <w:sz w:val="24"/>
                <w:szCs w:val="24"/>
              </w:rPr>
            </w:pPr>
          </w:p>
        </w:tc>
        <w:tc>
          <w:tcPr>
            <w:tcW w:w="956" w:type="dxa"/>
            <w:vAlign w:val="center"/>
          </w:tcPr>
          <w:p>
            <w:pPr>
              <w:spacing w:line="360" w:lineRule="auto"/>
              <w:jc w:val="center"/>
              <w:rPr>
                <w:rFonts w:ascii="仿宋" w:hAnsi="仿宋" w:eastAsia="仿宋" w:cs="Times New Roman"/>
                <w:sz w:val="24"/>
                <w:szCs w:val="24"/>
              </w:rPr>
            </w:pPr>
          </w:p>
        </w:tc>
        <w:tc>
          <w:tcPr>
            <w:tcW w:w="859" w:type="dxa"/>
            <w:vAlign w:val="center"/>
          </w:tcPr>
          <w:p>
            <w:pPr>
              <w:spacing w:line="360" w:lineRule="auto"/>
              <w:jc w:val="center"/>
              <w:rPr>
                <w:rFonts w:ascii="仿宋" w:hAnsi="仿宋" w:eastAsia="仿宋" w:cs="Times New Roman"/>
                <w:sz w:val="24"/>
                <w:szCs w:val="24"/>
              </w:rPr>
            </w:pPr>
          </w:p>
        </w:tc>
        <w:tc>
          <w:tcPr>
            <w:tcW w:w="950" w:type="dxa"/>
            <w:vAlign w:val="center"/>
          </w:tcPr>
          <w:p>
            <w:pPr>
              <w:spacing w:line="360" w:lineRule="auto"/>
              <w:jc w:val="center"/>
              <w:rPr>
                <w:rFonts w:ascii="仿宋" w:hAnsi="仿宋" w:eastAsia="仿宋" w:cs="Times New Roman"/>
                <w:sz w:val="24"/>
                <w:szCs w:val="24"/>
              </w:rPr>
            </w:pPr>
          </w:p>
        </w:tc>
        <w:tc>
          <w:tcPr>
            <w:tcW w:w="860" w:type="dxa"/>
            <w:vAlign w:val="center"/>
          </w:tcPr>
          <w:p>
            <w:pPr>
              <w:spacing w:line="360" w:lineRule="auto"/>
              <w:jc w:val="center"/>
              <w:rPr>
                <w:rFonts w:ascii="仿宋" w:hAnsi="仿宋" w:eastAsia="仿宋" w:cs="Times New Roman"/>
                <w:sz w:val="24"/>
                <w:szCs w:val="24"/>
              </w:rPr>
            </w:pPr>
          </w:p>
        </w:tc>
        <w:tc>
          <w:tcPr>
            <w:tcW w:w="850" w:type="dxa"/>
            <w:vAlign w:val="center"/>
          </w:tcPr>
          <w:p>
            <w:pPr>
              <w:spacing w:line="360" w:lineRule="auto"/>
              <w:jc w:val="center"/>
              <w:rPr>
                <w:rFonts w:ascii="仿宋" w:hAnsi="仿宋" w:eastAsia="仿宋" w:cs="Times New Roman"/>
                <w:sz w:val="24"/>
                <w:szCs w:val="24"/>
              </w:rPr>
            </w:pPr>
          </w:p>
        </w:tc>
        <w:tc>
          <w:tcPr>
            <w:tcW w:w="865" w:type="dxa"/>
            <w:vAlign w:val="center"/>
          </w:tcPr>
          <w:p>
            <w:pPr>
              <w:spacing w:line="360" w:lineRule="auto"/>
              <w:jc w:val="center"/>
              <w:rPr>
                <w:rFonts w:ascii="仿宋" w:hAnsi="仿宋" w:eastAsia="仿宋" w:cs="Times New Roman"/>
                <w:sz w:val="24"/>
                <w:szCs w:val="24"/>
              </w:rPr>
            </w:pPr>
          </w:p>
        </w:tc>
        <w:tc>
          <w:tcPr>
            <w:tcW w:w="848" w:type="dxa"/>
            <w:vAlign w:val="center"/>
          </w:tcPr>
          <w:p>
            <w:pPr>
              <w:spacing w:line="360" w:lineRule="auto"/>
              <w:jc w:val="center"/>
              <w:rPr>
                <w:rFonts w:ascii="仿宋" w:hAnsi="仿宋" w:eastAsia="仿宋" w:cs="Times New Roman"/>
                <w:sz w:val="24"/>
                <w:szCs w:val="24"/>
              </w:rPr>
            </w:pPr>
          </w:p>
        </w:tc>
        <w:tc>
          <w:tcPr>
            <w:tcW w:w="892" w:type="dxa"/>
            <w:vAlign w:val="center"/>
          </w:tcPr>
          <w:p>
            <w:pPr>
              <w:spacing w:line="360" w:lineRule="auto"/>
              <w:jc w:val="center"/>
              <w:rPr>
                <w:rFonts w:ascii="仿宋" w:hAnsi="仿宋" w:eastAsia="仿宋" w:cs="Times New Roman"/>
                <w:sz w:val="24"/>
                <w:szCs w:val="24"/>
              </w:rPr>
            </w:pPr>
          </w:p>
        </w:tc>
        <w:tc>
          <w:tcPr>
            <w:tcW w:w="862" w:type="dxa"/>
            <w:vAlign w:val="center"/>
          </w:tcPr>
          <w:p>
            <w:pPr>
              <w:spacing w:line="360" w:lineRule="auto"/>
              <w:jc w:val="center"/>
              <w:rPr>
                <w:rFonts w:ascii="仿宋" w:hAnsi="仿宋" w:eastAsia="仿宋" w:cs="Times New Roman"/>
                <w:sz w:val="24"/>
                <w:szCs w:val="24"/>
              </w:rPr>
            </w:pPr>
          </w:p>
        </w:tc>
        <w:tc>
          <w:tcPr>
            <w:tcW w:w="860" w:type="dxa"/>
            <w:vAlign w:val="center"/>
          </w:tcPr>
          <w:p>
            <w:pPr>
              <w:spacing w:line="360" w:lineRule="auto"/>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vAlign w:val="center"/>
          </w:tcPr>
          <w:p>
            <w:pPr>
              <w:spacing w:line="360" w:lineRule="auto"/>
              <w:jc w:val="center"/>
              <w:rPr>
                <w:rFonts w:ascii="仿宋" w:hAnsi="仿宋" w:eastAsia="仿宋" w:cs="Times New Roman"/>
                <w:sz w:val="24"/>
                <w:szCs w:val="24"/>
              </w:rPr>
            </w:pPr>
          </w:p>
        </w:tc>
        <w:tc>
          <w:tcPr>
            <w:tcW w:w="923" w:type="dxa"/>
            <w:vAlign w:val="center"/>
          </w:tcPr>
          <w:p>
            <w:pPr>
              <w:spacing w:line="360" w:lineRule="auto"/>
              <w:jc w:val="center"/>
              <w:rPr>
                <w:rFonts w:ascii="仿宋" w:hAnsi="仿宋" w:eastAsia="仿宋" w:cs="Times New Roman"/>
                <w:sz w:val="24"/>
                <w:szCs w:val="24"/>
              </w:rPr>
            </w:pPr>
          </w:p>
        </w:tc>
        <w:tc>
          <w:tcPr>
            <w:tcW w:w="1639" w:type="dxa"/>
            <w:vAlign w:val="center"/>
          </w:tcPr>
          <w:p>
            <w:pPr>
              <w:spacing w:line="360" w:lineRule="auto"/>
              <w:jc w:val="center"/>
              <w:rPr>
                <w:rFonts w:ascii="仿宋" w:hAnsi="仿宋" w:eastAsia="仿宋" w:cs="Times New Roman"/>
                <w:sz w:val="24"/>
                <w:szCs w:val="24"/>
              </w:rPr>
            </w:pPr>
          </w:p>
        </w:tc>
        <w:tc>
          <w:tcPr>
            <w:tcW w:w="2550" w:type="dxa"/>
            <w:vAlign w:val="center"/>
          </w:tcPr>
          <w:p>
            <w:pPr>
              <w:spacing w:line="360" w:lineRule="auto"/>
              <w:jc w:val="center"/>
              <w:rPr>
                <w:rFonts w:ascii="仿宋" w:hAnsi="仿宋" w:eastAsia="仿宋" w:cs="Times New Roman"/>
                <w:sz w:val="24"/>
                <w:szCs w:val="24"/>
              </w:rPr>
            </w:pPr>
          </w:p>
        </w:tc>
        <w:tc>
          <w:tcPr>
            <w:tcW w:w="956" w:type="dxa"/>
            <w:vAlign w:val="center"/>
          </w:tcPr>
          <w:p>
            <w:pPr>
              <w:spacing w:line="360" w:lineRule="auto"/>
              <w:jc w:val="center"/>
              <w:rPr>
                <w:rFonts w:ascii="仿宋" w:hAnsi="仿宋" w:eastAsia="仿宋" w:cs="Times New Roman"/>
                <w:sz w:val="24"/>
                <w:szCs w:val="24"/>
              </w:rPr>
            </w:pPr>
          </w:p>
        </w:tc>
        <w:tc>
          <w:tcPr>
            <w:tcW w:w="859" w:type="dxa"/>
            <w:vAlign w:val="center"/>
          </w:tcPr>
          <w:p>
            <w:pPr>
              <w:spacing w:line="360" w:lineRule="auto"/>
              <w:jc w:val="center"/>
              <w:rPr>
                <w:rFonts w:ascii="仿宋" w:hAnsi="仿宋" w:eastAsia="仿宋" w:cs="Times New Roman"/>
                <w:sz w:val="24"/>
                <w:szCs w:val="24"/>
              </w:rPr>
            </w:pPr>
          </w:p>
        </w:tc>
        <w:tc>
          <w:tcPr>
            <w:tcW w:w="950" w:type="dxa"/>
            <w:vAlign w:val="center"/>
          </w:tcPr>
          <w:p>
            <w:pPr>
              <w:spacing w:line="360" w:lineRule="auto"/>
              <w:jc w:val="center"/>
              <w:rPr>
                <w:rFonts w:ascii="仿宋" w:hAnsi="仿宋" w:eastAsia="仿宋" w:cs="Times New Roman"/>
                <w:sz w:val="24"/>
                <w:szCs w:val="24"/>
              </w:rPr>
            </w:pPr>
          </w:p>
        </w:tc>
        <w:tc>
          <w:tcPr>
            <w:tcW w:w="860" w:type="dxa"/>
            <w:vAlign w:val="center"/>
          </w:tcPr>
          <w:p>
            <w:pPr>
              <w:spacing w:line="360" w:lineRule="auto"/>
              <w:jc w:val="center"/>
              <w:rPr>
                <w:rFonts w:ascii="仿宋" w:hAnsi="仿宋" w:eastAsia="仿宋" w:cs="Times New Roman"/>
                <w:sz w:val="24"/>
                <w:szCs w:val="24"/>
              </w:rPr>
            </w:pPr>
          </w:p>
        </w:tc>
        <w:tc>
          <w:tcPr>
            <w:tcW w:w="850" w:type="dxa"/>
            <w:vAlign w:val="center"/>
          </w:tcPr>
          <w:p>
            <w:pPr>
              <w:spacing w:line="360" w:lineRule="auto"/>
              <w:jc w:val="center"/>
              <w:rPr>
                <w:rFonts w:ascii="仿宋" w:hAnsi="仿宋" w:eastAsia="仿宋" w:cs="Times New Roman"/>
                <w:sz w:val="24"/>
                <w:szCs w:val="24"/>
              </w:rPr>
            </w:pPr>
          </w:p>
        </w:tc>
        <w:tc>
          <w:tcPr>
            <w:tcW w:w="865" w:type="dxa"/>
            <w:vAlign w:val="center"/>
          </w:tcPr>
          <w:p>
            <w:pPr>
              <w:spacing w:line="360" w:lineRule="auto"/>
              <w:jc w:val="center"/>
              <w:rPr>
                <w:rFonts w:ascii="仿宋" w:hAnsi="仿宋" w:eastAsia="仿宋" w:cs="Times New Roman"/>
                <w:sz w:val="24"/>
                <w:szCs w:val="24"/>
              </w:rPr>
            </w:pPr>
          </w:p>
        </w:tc>
        <w:tc>
          <w:tcPr>
            <w:tcW w:w="848" w:type="dxa"/>
            <w:vAlign w:val="center"/>
          </w:tcPr>
          <w:p>
            <w:pPr>
              <w:spacing w:line="360" w:lineRule="auto"/>
              <w:jc w:val="center"/>
              <w:rPr>
                <w:rFonts w:ascii="仿宋" w:hAnsi="仿宋" w:eastAsia="仿宋" w:cs="Times New Roman"/>
                <w:sz w:val="24"/>
                <w:szCs w:val="24"/>
              </w:rPr>
            </w:pPr>
          </w:p>
        </w:tc>
        <w:tc>
          <w:tcPr>
            <w:tcW w:w="892" w:type="dxa"/>
            <w:vAlign w:val="center"/>
          </w:tcPr>
          <w:p>
            <w:pPr>
              <w:spacing w:line="360" w:lineRule="auto"/>
              <w:jc w:val="center"/>
              <w:rPr>
                <w:rFonts w:ascii="仿宋" w:hAnsi="仿宋" w:eastAsia="仿宋" w:cs="Times New Roman"/>
                <w:sz w:val="24"/>
                <w:szCs w:val="24"/>
              </w:rPr>
            </w:pPr>
          </w:p>
        </w:tc>
        <w:tc>
          <w:tcPr>
            <w:tcW w:w="862" w:type="dxa"/>
            <w:vAlign w:val="center"/>
          </w:tcPr>
          <w:p>
            <w:pPr>
              <w:spacing w:line="360" w:lineRule="auto"/>
              <w:jc w:val="center"/>
              <w:rPr>
                <w:rFonts w:ascii="仿宋" w:hAnsi="仿宋" w:eastAsia="仿宋" w:cs="Times New Roman"/>
                <w:sz w:val="24"/>
                <w:szCs w:val="24"/>
              </w:rPr>
            </w:pPr>
          </w:p>
        </w:tc>
        <w:tc>
          <w:tcPr>
            <w:tcW w:w="860" w:type="dxa"/>
            <w:vAlign w:val="center"/>
          </w:tcPr>
          <w:p>
            <w:pPr>
              <w:spacing w:line="360" w:lineRule="auto"/>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vAlign w:val="center"/>
          </w:tcPr>
          <w:p>
            <w:pPr>
              <w:spacing w:line="360" w:lineRule="auto"/>
              <w:jc w:val="center"/>
              <w:rPr>
                <w:rFonts w:ascii="仿宋" w:hAnsi="仿宋" w:eastAsia="仿宋" w:cs="Times New Roman"/>
                <w:sz w:val="24"/>
                <w:szCs w:val="24"/>
              </w:rPr>
            </w:pPr>
          </w:p>
        </w:tc>
        <w:tc>
          <w:tcPr>
            <w:tcW w:w="923" w:type="dxa"/>
            <w:vAlign w:val="center"/>
          </w:tcPr>
          <w:p>
            <w:pPr>
              <w:spacing w:line="360" w:lineRule="auto"/>
              <w:jc w:val="center"/>
              <w:rPr>
                <w:rFonts w:ascii="仿宋" w:hAnsi="仿宋" w:eastAsia="仿宋" w:cs="Times New Roman"/>
                <w:sz w:val="24"/>
                <w:szCs w:val="24"/>
              </w:rPr>
            </w:pPr>
          </w:p>
        </w:tc>
        <w:tc>
          <w:tcPr>
            <w:tcW w:w="1639" w:type="dxa"/>
            <w:vAlign w:val="center"/>
          </w:tcPr>
          <w:p>
            <w:pPr>
              <w:spacing w:line="360" w:lineRule="auto"/>
              <w:jc w:val="center"/>
              <w:rPr>
                <w:rFonts w:ascii="仿宋" w:hAnsi="仿宋" w:eastAsia="仿宋" w:cs="Times New Roman"/>
                <w:sz w:val="24"/>
                <w:szCs w:val="24"/>
              </w:rPr>
            </w:pPr>
          </w:p>
        </w:tc>
        <w:tc>
          <w:tcPr>
            <w:tcW w:w="2550" w:type="dxa"/>
            <w:vAlign w:val="center"/>
          </w:tcPr>
          <w:p>
            <w:pPr>
              <w:spacing w:line="360" w:lineRule="auto"/>
              <w:jc w:val="center"/>
              <w:rPr>
                <w:rFonts w:ascii="仿宋" w:hAnsi="仿宋" w:eastAsia="仿宋" w:cs="Times New Roman"/>
                <w:sz w:val="24"/>
                <w:szCs w:val="24"/>
              </w:rPr>
            </w:pPr>
          </w:p>
        </w:tc>
        <w:tc>
          <w:tcPr>
            <w:tcW w:w="956" w:type="dxa"/>
            <w:vAlign w:val="center"/>
          </w:tcPr>
          <w:p>
            <w:pPr>
              <w:spacing w:line="360" w:lineRule="auto"/>
              <w:jc w:val="center"/>
              <w:rPr>
                <w:rFonts w:ascii="仿宋" w:hAnsi="仿宋" w:eastAsia="仿宋" w:cs="Times New Roman"/>
                <w:sz w:val="24"/>
                <w:szCs w:val="24"/>
              </w:rPr>
            </w:pPr>
          </w:p>
        </w:tc>
        <w:tc>
          <w:tcPr>
            <w:tcW w:w="859" w:type="dxa"/>
            <w:vAlign w:val="center"/>
          </w:tcPr>
          <w:p>
            <w:pPr>
              <w:spacing w:line="360" w:lineRule="auto"/>
              <w:jc w:val="center"/>
              <w:rPr>
                <w:rFonts w:ascii="仿宋" w:hAnsi="仿宋" w:eastAsia="仿宋" w:cs="Times New Roman"/>
                <w:sz w:val="24"/>
                <w:szCs w:val="24"/>
              </w:rPr>
            </w:pPr>
          </w:p>
        </w:tc>
        <w:tc>
          <w:tcPr>
            <w:tcW w:w="950" w:type="dxa"/>
            <w:vAlign w:val="center"/>
          </w:tcPr>
          <w:p>
            <w:pPr>
              <w:spacing w:line="360" w:lineRule="auto"/>
              <w:jc w:val="center"/>
              <w:rPr>
                <w:rFonts w:ascii="仿宋" w:hAnsi="仿宋" w:eastAsia="仿宋" w:cs="Times New Roman"/>
                <w:sz w:val="24"/>
                <w:szCs w:val="24"/>
              </w:rPr>
            </w:pPr>
          </w:p>
        </w:tc>
        <w:tc>
          <w:tcPr>
            <w:tcW w:w="860" w:type="dxa"/>
            <w:vAlign w:val="center"/>
          </w:tcPr>
          <w:p>
            <w:pPr>
              <w:spacing w:line="360" w:lineRule="auto"/>
              <w:jc w:val="center"/>
              <w:rPr>
                <w:rFonts w:ascii="仿宋" w:hAnsi="仿宋" w:eastAsia="仿宋" w:cs="Times New Roman"/>
                <w:sz w:val="24"/>
                <w:szCs w:val="24"/>
              </w:rPr>
            </w:pPr>
          </w:p>
        </w:tc>
        <w:tc>
          <w:tcPr>
            <w:tcW w:w="850" w:type="dxa"/>
            <w:vAlign w:val="center"/>
          </w:tcPr>
          <w:p>
            <w:pPr>
              <w:spacing w:line="360" w:lineRule="auto"/>
              <w:jc w:val="center"/>
              <w:rPr>
                <w:rFonts w:ascii="仿宋" w:hAnsi="仿宋" w:eastAsia="仿宋" w:cs="Times New Roman"/>
                <w:sz w:val="24"/>
                <w:szCs w:val="24"/>
              </w:rPr>
            </w:pPr>
          </w:p>
        </w:tc>
        <w:tc>
          <w:tcPr>
            <w:tcW w:w="865" w:type="dxa"/>
            <w:vAlign w:val="center"/>
          </w:tcPr>
          <w:p>
            <w:pPr>
              <w:spacing w:line="360" w:lineRule="auto"/>
              <w:jc w:val="center"/>
              <w:rPr>
                <w:rFonts w:ascii="仿宋" w:hAnsi="仿宋" w:eastAsia="仿宋" w:cs="Times New Roman"/>
                <w:sz w:val="24"/>
                <w:szCs w:val="24"/>
              </w:rPr>
            </w:pPr>
          </w:p>
        </w:tc>
        <w:tc>
          <w:tcPr>
            <w:tcW w:w="848" w:type="dxa"/>
            <w:vAlign w:val="center"/>
          </w:tcPr>
          <w:p>
            <w:pPr>
              <w:spacing w:line="360" w:lineRule="auto"/>
              <w:jc w:val="center"/>
              <w:rPr>
                <w:rFonts w:ascii="仿宋" w:hAnsi="仿宋" w:eastAsia="仿宋" w:cs="Times New Roman"/>
                <w:sz w:val="24"/>
                <w:szCs w:val="24"/>
              </w:rPr>
            </w:pPr>
          </w:p>
        </w:tc>
        <w:tc>
          <w:tcPr>
            <w:tcW w:w="892" w:type="dxa"/>
            <w:vAlign w:val="center"/>
          </w:tcPr>
          <w:p>
            <w:pPr>
              <w:spacing w:line="360" w:lineRule="auto"/>
              <w:jc w:val="center"/>
              <w:rPr>
                <w:rFonts w:ascii="仿宋" w:hAnsi="仿宋" w:eastAsia="仿宋" w:cs="Times New Roman"/>
                <w:sz w:val="24"/>
                <w:szCs w:val="24"/>
              </w:rPr>
            </w:pPr>
          </w:p>
        </w:tc>
        <w:tc>
          <w:tcPr>
            <w:tcW w:w="862" w:type="dxa"/>
            <w:vAlign w:val="center"/>
          </w:tcPr>
          <w:p>
            <w:pPr>
              <w:spacing w:line="360" w:lineRule="auto"/>
              <w:jc w:val="center"/>
              <w:rPr>
                <w:rFonts w:ascii="仿宋" w:hAnsi="仿宋" w:eastAsia="仿宋" w:cs="Times New Roman"/>
                <w:sz w:val="24"/>
                <w:szCs w:val="24"/>
              </w:rPr>
            </w:pPr>
          </w:p>
        </w:tc>
        <w:tc>
          <w:tcPr>
            <w:tcW w:w="860" w:type="dxa"/>
            <w:vAlign w:val="center"/>
          </w:tcPr>
          <w:p>
            <w:pPr>
              <w:spacing w:line="360" w:lineRule="auto"/>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vAlign w:val="center"/>
          </w:tcPr>
          <w:p>
            <w:pPr>
              <w:spacing w:line="360" w:lineRule="auto"/>
              <w:jc w:val="center"/>
              <w:rPr>
                <w:rFonts w:ascii="仿宋" w:hAnsi="仿宋" w:eastAsia="仿宋" w:cs="Times New Roman"/>
                <w:sz w:val="24"/>
                <w:szCs w:val="24"/>
              </w:rPr>
            </w:pPr>
          </w:p>
        </w:tc>
        <w:tc>
          <w:tcPr>
            <w:tcW w:w="923" w:type="dxa"/>
            <w:vAlign w:val="center"/>
          </w:tcPr>
          <w:p>
            <w:pPr>
              <w:spacing w:line="360" w:lineRule="auto"/>
              <w:jc w:val="center"/>
              <w:rPr>
                <w:rFonts w:ascii="仿宋" w:hAnsi="仿宋" w:eastAsia="仿宋" w:cs="Times New Roman"/>
                <w:sz w:val="24"/>
                <w:szCs w:val="24"/>
              </w:rPr>
            </w:pPr>
          </w:p>
        </w:tc>
        <w:tc>
          <w:tcPr>
            <w:tcW w:w="1639" w:type="dxa"/>
            <w:vAlign w:val="center"/>
          </w:tcPr>
          <w:p>
            <w:pPr>
              <w:spacing w:line="360" w:lineRule="auto"/>
              <w:jc w:val="center"/>
              <w:rPr>
                <w:rFonts w:ascii="仿宋" w:hAnsi="仿宋" w:eastAsia="仿宋" w:cs="Times New Roman"/>
                <w:sz w:val="24"/>
                <w:szCs w:val="24"/>
              </w:rPr>
            </w:pPr>
          </w:p>
        </w:tc>
        <w:tc>
          <w:tcPr>
            <w:tcW w:w="2550" w:type="dxa"/>
            <w:vAlign w:val="center"/>
          </w:tcPr>
          <w:p>
            <w:pPr>
              <w:spacing w:line="360" w:lineRule="auto"/>
              <w:jc w:val="center"/>
              <w:rPr>
                <w:rFonts w:ascii="仿宋" w:hAnsi="仿宋" w:eastAsia="仿宋" w:cs="Times New Roman"/>
                <w:sz w:val="24"/>
                <w:szCs w:val="24"/>
              </w:rPr>
            </w:pPr>
          </w:p>
        </w:tc>
        <w:tc>
          <w:tcPr>
            <w:tcW w:w="956" w:type="dxa"/>
            <w:vAlign w:val="center"/>
          </w:tcPr>
          <w:p>
            <w:pPr>
              <w:spacing w:line="360" w:lineRule="auto"/>
              <w:jc w:val="center"/>
              <w:rPr>
                <w:rFonts w:ascii="仿宋" w:hAnsi="仿宋" w:eastAsia="仿宋" w:cs="Times New Roman"/>
                <w:sz w:val="24"/>
                <w:szCs w:val="24"/>
              </w:rPr>
            </w:pPr>
          </w:p>
        </w:tc>
        <w:tc>
          <w:tcPr>
            <w:tcW w:w="859" w:type="dxa"/>
            <w:vAlign w:val="center"/>
          </w:tcPr>
          <w:p>
            <w:pPr>
              <w:spacing w:line="360" w:lineRule="auto"/>
              <w:jc w:val="center"/>
              <w:rPr>
                <w:rFonts w:ascii="仿宋" w:hAnsi="仿宋" w:eastAsia="仿宋" w:cs="Times New Roman"/>
                <w:sz w:val="24"/>
                <w:szCs w:val="24"/>
              </w:rPr>
            </w:pPr>
          </w:p>
        </w:tc>
        <w:tc>
          <w:tcPr>
            <w:tcW w:w="950" w:type="dxa"/>
            <w:vAlign w:val="center"/>
          </w:tcPr>
          <w:p>
            <w:pPr>
              <w:spacing w:line="360" w:lineRule="auto"/>
              <w:jc w:val="center"/>
              <w:rPr>
                <w:rFonts w:ascii="仿宋" w:hAnsi="仿宋" w:eastAsia="仿宋" w:cs="Times New Roman"/>
                <w:sz w:val="24"/>
                <w:szCs w:val="24"/>
              </w:rPr>
            </w:pPr>
          </w:p>
        </w:tc>
        <w:tc>
          <w:tcPr>
            <w:tcW w:w="860" w:type="dxa"/>
            <w:vAlign w:val="center"/>
          </w:tcPr>
          <w:p>
            <w:pPr>
              <w:spacing w:line="360" w:lineRule="auto"/>
              <w:jc w:val="center"/>
              <w:rPr>
                <w:rFonts w:ascii="仿宋" w:hAnsi="仿宋" w:eastAsia="仿宋" w:cs="Times New Roman"/>
                <w:sz w:val="24"/>
                <w:szCs w:val="24"/>
              </w:rPr>
            </w:pPr>
          </w:p>
        </w:tc>
        <w:tc>
          <w:tcPr>
            <w:tcW w:w="850" w:type="dxa"/>
            <w:vAlign w:val="center"/>
          </w:tcPr>
          <w:p>
            <w:pPr>
              <w:spacing w:line="360" w:lineRule="auto"/>
              <w:jc w:val="center"/>
              <w:rPr>
                <w:rFonts w:ascii="仿宋" w:hAnsi="仿宋" w:eastAsia="仿宋" w:cs="Times New Roman"/>
                <w:sz w:val="24"/>
                <w:szCs w:val="24"/>
              </w:rPr>
            </w:pPr>
          </w:p>
        </w:tc>
        <w:tc>
          <w:tcPr>
            <w:tcW w:w="865" w:type="dxa"/>
            <w:vAlign w:val="center"/>
          </w:tcPr>
          <w:p>
            <w:pPr>
              <w:spacing w:line="360" w:lineRule="auto"/>
              <w:jc w:val="center"/>
              <w:rPr>
                <w:rFonts w:ascii="仿宋" w:hAnsi="仿宋" w:eastAsia="仿宋" w:cs="Times New Roman"/>
                <w:sz w:val="24"/>
                <w:szCs w:val="24"/>
              </w:rPr>
            </w:pPr>
          </w:p>
        </w:tc>
        <w:tc>
          <w:tcPr>
            <w:tcW w:w="848" w:type="dxa"/>
            <w:vAlign w:val="center"/>
          </w:tcPr>
          <w:p>
            <w:pPr>
              <w:spacing w:line="360" w:lineRule="auto"/>
              <w:jc w:val="center"/>
              <w:rPr>
                <w:rFonts w:ascii="仿宋" w:hAnsi="仿宋" w:eastAsia="仿宋" w:cs="Times New Roman"/>
                <w:sz w:val="24"/>
                <w:szCs w:val="24"/>
              </w:rPr>
            </w:pPr>
          </w:p>
        </w:tc>
        <w:tc>
          <w:tcPr>
            <w:tcW w:w="892" w:type="dxa"/>
            <w:vAlign w:val="center"/>
          </w:tcPr>
          <w:p>
            <w:pPr>
              <w:spacing w:line="360" w:lineRule="auto"/>
              <w:jc w:val="center"/>
              <w:rPr>
                <w:rFonts w:ascii="仿宋" w:hAnsi="仿宋" w:eastAsia="仿宋" w:cs="Times New Roman"/>
                <w:sz w:val="24"/>
                <w:szCs w:val="24"/>
              </w:rPr>
            </w:pPr>
          </w:p>
        </w:tc>
        <w:tc>
          <w:tcPr>
            <w:tcW w:w="862" w:type="dxa"/>
            <w:vAlign w:val="center"/>
          </w:tcPr>
          <w:p>
            <w:pPr>
              <w:spacing w:line="360" w:lineRule="auto"/>
              <w:jc w:val="center"/>
              <w:rPr>
                <w:rFonts w:ascii="仿宋" w:hAnsi="仿宋" w:eastAsia="仿宋" w:cs="Times New Roman"/>
                <w:sz w:val="24"/>
                <w:szCs w:val="24"/>
              </w:rPr>
            </w:pPr>
          </w:p>
        </w:tc>
        <w:tc>
          <w:tcPr>
            <w:tcW w:w="860" w:type="dxa"/>
            <w:vAlign w:val="center"/>
          </w:tcPr>
          <w:p>
            <w:pPr>
              <w:spacing w:line="360" w:lineRule="auto"/>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vAlign w:val="center"/>
          </w:tcPr>
          <w:p>
            <w:pPr>
              <w:spacing w:line="360" w:lineRule="auto"/>
              <w:jc w:val="center"/>
              <w:rPr>
                <w:rFonts w:ascii="仿宋" w:hAnsi="仿宋" w:eastAsia="仿宋" w:cs="Times New Roman"/>
                <w:sz w:val="24"/>
                <w:szCs w:val="24"/>
              </w:rPr>
            </w:pPr>
          </w:p>
        </w:tc>
        <w:tc>
          <w:tcPr>
            <w:tcW w:w="923" w:type="dxa"/>
            <w:vAlign w:val="center"/>
          </w:tcPr>
          <w:p>
            <w:pPr>
              <w:spacing w:line="360" w:lineRule="auto"/>
              <w:jc w:val="center"/>
              <w:rPr>
                <w:rFonts w:ascii="仿宋" w:hAnsi="仿宋" w:eastAsia="仿宋" w:cs="Times New Roman"/>
                <w:sz w:val="24"/>
                <w:szCs w:val="24"/>
              </w:rPr>
            </w:pPr>
          </w:p>
        </w:tc>
        <w:tc>
          <w:tcPr>
            <w:tcW w:w="1639" w:type="dxa"/>
            <w:vAlign w:val="center"/>
          </w:tcPr>
          <w:p>
            <w:pPr>
              <w:spacing w:line="360" w:lineRule="auto"/>
              <w:jc w:val="center"/>
              <w:rPr>
                <w:rFonts w:ascii="仿宋" w:hAnsi="仿宋" w:eastAsia="仿宋" w:cs="Times New Roman"/>
                <w:sz w:val="24"/>
                <w:szCs w:val="24"/>
              </w:rPr>
            </w:pPr>
          </w:p>
        </w:tc>
        <w:tc>
          <w:tcPr>
            <w:tcW w:w="2550" w:type="dxa"/>
            <w:vAlign w:val="center"/>
          </w:tcPr>
          <w:p>
            <w:pPr>
              <w:spacing w:line="360" w:lineRule="auto"/>
              <w:jc w:val="center"/>
              <w:rPr>
                <w:rFonts w:ascii="仿宋" w:hAnsi="仿宋" w:eastAsia="仿宋" w:cs="Times New Roman"/>
                <w:sz w:val="24"/>
                <w:szCs w:val="24"/>
              </w:rPr>
            </w:pPr>
          </w:p>
        </w:tc>
        <w:tc>
          <w:tcPr>
            <w:tcW w:w="956" w:type="dxa"/>
            <w:vAlign w:val="center"/>
          </w:tcPr>
          <w:p>
            <w:pPr>
              <w:spacing w:line="360" w:lineRule="auto"/>
              <w:jc w:val="center"/>
              <w:rPr>
                <w:rFonts w:ascii="仿宋" w:hAnsi="仿宋" w:eastAsia="仿宋" w:cs="Times New Roman"/>
                <w:sz w:val="24"/>
                <w:szCs w:val="24"/>
              </w:rPr>
            </w:pPr>
          </w:p>
        </w:tc>
        <w:tc>
          <w:tcPr>
            <w:tcW w:w="859" w:type="dxa"/>
            <w:vAlign w:val="center"/>
          </w:tcPr>
          <w:p>
            <w:pPr>
              <w:spacing w:line="360" w:lineRule="auto"/>
              <w:jc w:val="center"/>
              <w:rPr>
                <w:rFonts w:ascii="仿宋" w:hAnsi="仿宋" w:eastAsia="仿宋" w:cs="Times New Roman"/>
                <w:sz w:val="24"/>
                <w:szCs w:val="24"/>
              </w:rPr>
            </w:pPr>
          </w:p>
        </w:tc>
        <w:tc>
          <w:tcPr>
            <w:tcW w:w="950" w:type="dxa"/>
            <w:vAlign w:val="center"/>
          </w:tcPr>
          <w:p>
            <w:pPr>
              <w:spacing w:line="360" w:lineRule="auto"/>
              <w:jc w:val="center"/>
              <w:rPr>
                <w:rFonts w:ascii="仿宋" w:hAnsi="仿宋" w:eastAsia="仿宋" w:cs="Times New Roman"/>
                <w:sz w:val="24"/>
                <w:szCs w:val="24"/>
              </w:rPr>
            </w:pPr>
          </w:p>
        </w:tc>
        <w:tc>
          <w:tcPr>
            <w:tcW w:w="860" w:type="dxa"/>
            <w:vAlign w:val="center"/>
          </w:tcPr>
          <w:p>
            <w:pPr>
              <w:spacing w:line="360" w:lineRule="auto"/>
              <w:jc w:val="center"/>
              <w:rPr>
                <w:rFonts w:ascii="仿宋" w:hAnsi="仿宋" w:eastAsia="仿宋" w:cs="Times New Roman"/>
                <w:sz w:val="24"/>
                <w:szCs w:val="24"/>
              </w:rPr>
            </w:pPr>
          </w:p>
        </w:tc>
        <w:tc>
          <w:tcPr>
            <w:tcW w:w="850" w:type="dxa"/>
            <w:vAlign w:val="center"/>
          </w:tcPr>
          <w:p>
            <w:pPr>
              <w:spacing w:line="360" w:lineRule="auto"/>
              <w:jc w:val="center"/>
              <w:rPr>
                <w:rFonts w:ascii="仿宋" w:hAnsi="仿宋" w:eastAsia="仿宋" w:cs="Times New Roman"/>
                <w:sz w:val="24"/>
                <w:szCs w:val="24"/>
              </w:rPr>
            </w:pPr>
          </w:p>
        </w:tc>
        <w:tc>
          <w:tcPr>
            <w:tcW w:w="865" w:type="dxa"/>
            <w:vAlign w:val="center"/>
          </w:tcPr>
          <w:p>
            <w:pPr>
              <w:spacing w:line="360" w:lineRule="auto"/>
              <w:jc w:val="center"/>
              <w:rPr>
                <w:rFonts w:ascii="仿宋" w:hAnsi="仿宋" w:eastAsia="仿宋" w:cs="Times New Roman"/>
                <w:sz w:val="24"/>
                <w:szCs w:val="24"/>
              </w:rPr>
            </w:pPr>
          </w:p>
        </w:tc>
        <w:tc>
          <w:tcPr>
            <w:tcW w:w="848" w:type="dxa"/>
            <w:vAlign w:val="center"/>
          </w:tcPr>
          <w:p>
            <w:pPr>
              <w:spacing w:line="360" w:lineRule="auto"/>
              <w:jc w:val="center"/>
              <w:rPr>
                <w:rFonts w:ascii="仿宋" w:hAnsi="仿宋" w:eastAsia="仿宋" w:cs="Times New Roman"/>
                <w:sz w:val="24"/>
                <w:szCs w:val="24"/>
              </w:rPr>
            </w:pPr>
          </w:p>
        </w:tc>
        <w:tc>
          <w:tcPr>
            <w:tcW w:w="892" w:type="dxa"/>
            <w:vAlign w:val="center"/>
          </w:tcPr>
          <w:p>
            <w:pPr>
              <w:spacing w:line="360" w:lineRule="auto"/>
              <w:jc w:val="center"/>
              <w:rPr>
                <w:rFonts w:ascii="仿宋" w:hAnsi="仿宋" w:eastAsia="仿宋" w:cs="Times New Roman"/>
                <w:sz w:val="24"/>
                <w:szCs w:val="24"/>
              </w:rPr>
            </w:pPr>
          </w:p>
        </w:tc>
        <w:tc>
          <w:tcPr>
            <w:tcW w:w="862" w:type="dxa"/>
            <w:vAlign w:val="center"/>
          </w:tcPr>
          <w:p>
            <w:pPr>
              <w:spacing w:line="360" w:lineRule="auto"/>
              <w:jc w:val="center"/>
              <w:rPr>
                <w:rFonts w:ascii="仿宋" w:hAnsi="仿宋" w:eastAsia="仿宋" w:cs="Times New Roman"/>
                <w:sz w:val="24"/>
                <w:szCs w:val="24"/>
              </w:rPr>
            </w:pPr>
          </w:p>
        </w:tc>
        <w:tc>
          <w:tcPr>
            <w:tcW w:w="860" w:type="dxa"/>
            <w:vAlign w:val="center"/>
          </w:tcPr>
          <w:p>
            <w:pPr>
              <w:spacing w:line="360" w:lineRule="auto"/>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vAlign w:val="center"/>
          </w:tcPr>
          <w:p>
            <w:pPr>
              <w:spacing w:line="360" w:lineRule="auto"/>
              <w:jc w:val="center"/>
              <w:rPr>
                <w:rFonts w:ascii="仿宋" w:hAnsi="仿宋" w:eastAsia="仿宋" w:cs="Times New Roman"/>
                <w:sz w:val="24"/>
                <w:szCs w:val="24"/>
              </w:rPr>
            </w:pPr>
          </w:p>
        </w:tc>
        <w:tc>
          <w:tcPr>
            <w:tcW w:w="923" w:type="dxa"/>
            <w:vAlign w:val="center"/>
          </w:tcPr>
          <w:p>
            <w:pPr>
              <w:spacing w:line="360" w:lineRule="auto"/>
              <w:jc w:val="center"/>
              <w:rPr>
                <w:rFonts w:ascii="仿宋" w:hAnsi="仿宋" w:eastAsia="仿宋" w:cs="Times New Roman"/>
                <w:sz w:val="24"/>
                <w:szCs w:val="24"/>
              </w:rPr>
            </w:pPr>
          </w:p>
        </w:tc>
        <w:tc>
          <w:tcPr>
            <w:tcW w:w="1639" w:type="dxa"/>
            <w:vAlign w:val="center"/>
          </w:tcPr>
          <w:p>
            <w:pPr>
              <w:spacing w:line="360" w:lineRule="auto"/>
              <w:jc w:val="center"/>
              <w:rPr>
                <w:rFonts w:ascii="仿宋" w:hAnsi="仿宋" w:eastAsia="仿宋" w:cs="Times New Roman"/>
                <w:sz w:val="24"/>
                <w:szCs w:val="24"/>
              </w:rPr>
            </w:pPr>
          </w:p>
        </w:tc>
        <w:tc>
          <w:tcPr>
            <w:tcW w:w="2550" w:type="dxa"/>
            <w:vAlign w:val="center"/>
          </w:tcPr>
          <w:p>
            <w:pPr>
              <w:spacing w:line="360" w:lineRule="auto"/>
              <w:jc w:val="center"/>
              <w:rPr>
                <w:rFonts w:ascii="仿宋" w:hAnsi="仿宋" w:eastAsia="仿宋" w:cs="Times New Roman"/>
                <w:sz w:val="24"/>
                <w:szCs w:val="24"/>
              </w:rPr>
            </w:pPr>
          </w:p>
        </w:tc>
        <w:tc>
          <w:tcPr>
            <w:tcW w:w="956" w:type="dxa"/>
            <w:vAlign w:val="center"/>
          </w:tcPr>
          <w:p>
            <w:pPr>
              <w:spacing w:line="360" w:lineRule="auto"/>
              <w:jc w:val="center"/>
              <w:rPr>
                <w:rFonts w:ascii="仿宋" w:hAnsi="仿宋" w:eastAsia="仿宋" w:cs="Times New Roman"/>
                <w:sz w:val="24"/>
                <w:szCs w:val="24"/>
              </w:rPr>
            </w:pPr>
          </w:p>
        </w:tc>
        <w:tc>
          <w:tcPr>
            <w:tcW w:w="859" w:type="dxa"/>
            <w:vAlign w:val="center"/>
          </w:tcPr>
          <w:p>
            <w:pPr>
              <w:spacing w:line="360" w:lineRule="auto"/>
              <w:jc w:val="center"/>
              <w:rPr>
                <w:rFonts w:ascii="仿宋" w:hAnsi="仿宋" w:eastAsia="仿宋" w:cs="Times New Roman"/>
                <w:sz w:val="24"/>
                <w:szCs w:val="24"/>
              </w:rPr>
            </w:pPr>
          </w:p>
        </w:tc>
        <w:tc>
          <w:tcPr>
            <w:tcW w:w="950" w:type="dxa"/>
            <w:vAlign w:val="center"/>
          </w:tcPr>
          <w:p>
            <w:pPr>
              <w:spacing w:line="360" w:lineRule="auto"/>
              <w:jc w:val="center"/>
              <w:rPr>
                <w:rFonts w:ascii="仿宋" w:hAnsi="仿宋" w:eastAsia="仿宋" w:cs="Times New Roman"/>
                <w:sz w:val="24"/>
                <w:szCs w:val="24"/>
              </w:rPr>
            </w:pPr>
          </w:p>
        </w:tc>
        <w:tc>
          <w:tcPr>
            <w:tcW w:w="860" w:type="dxa"/>
            <w:vAlign w:val="center"/>
          </w:tcPr>
          <w:p>
            <w:pPr>
              <w:spacing w:line="360" w:lineRule="auto"/>
              <w:jc w:val="center"/>
              <w:rPr>
                <w:rFonts w:ascii="仿宋" w:hAnsi="仿宋" w:eastAsia="仿宋" w:cs="Times New Roman"/>
                <w:sz w:val="24"/>
                <w:szCs w:val="24"/>
              </w:rPr>
            </w:pPr>
          </w:p>
        </w:tc>
        <w:tc>
          <w:tcPr>
            <w:tcW w:w="850" w:type="dxa"/>
            <w:vAlign w:val="center"/>
          </w:tcPr>
          <w:p>
            <w:pPr>
              <w:spacing w:line="360" w:lineRule="auto"/>
              <w:jc w:val="center"/>
              <w:rPr>
                <w:rFonts w:ascii="仿宋" w:hAnsi="仿宋" w:eastAsia="仿宋" w:cs="Times New Roman"/>
                <w:sz w:val="24"/>
                <w:szCs w:val="24"/>
              </w:rPr>
            </w:pPr>
          </w:p>
        </w:tc>
        <w:tc>
          <w:tcPr>
            <w:tcW w:w="865" w:type="dxa"/>
            <w:vAlign w:val="center"/>
          </w:tcPr>
          <w:p>
            <w:pPr>
              <w:spacing w:line="360" w:lineRule="auto"/>
              <w:jc w:val="center"/>
              <w:rPr>
                <w:rFonts w:ascii="仿宋" w:hAnsi="仿宋" w:eastAsia="仿宋" w:cs="Times New Roman"/>
                <w:sz w:val="24"/>
                <w:szCs w:val="24"/>
              </w:rPr>
            </w:pPr>
          </w:p>
        </w:tc>
        <w:tc>
          <w:tcPr>
            <w:tcW w:w="848" w:type="dxa"/>
            <w:vAlign w:val="center"/>
          </w:tcPr>
          <w:p>
            <w:pPr>
              <w:spacing w:line="360" w:lineRule="auto"/>
              <w:jc w:val="center"/>
              <w:rPr>
                <w:rFonts w:ascii="仿宋" w:hAnsi="仿宋" w:eastAsia="仿宋" w:cs="Times New Roman"/>
                <w:sz w:val="24"/>
                <w:szCs w:val="24"/>
              </w:rPr>
            </w:pPr>
          </w:p>
        </w:tc>
        <w:tc>
          <w:tcPr>
            <w:tcW w:w="892" w:type="dxa"/>
            <w:vAlign w:val="center"/>
          </w:tcPr>
          <w:p>
            <w:pPr>
              <w:spacing w:line="360" w:lineRule="auto"/>
              <w:jc w:val="center"/>
              <w:rPr>
                <w:rFonts w:ascii="仿宋" w:hAnsi="仿宋" w:eastAsia="仿宋" w:cs="Times New Roman"/>
                <w:sz w:val="24"/>
                <w:szCs w:val="24"/>
              </w:rPr>
            </w:pPr>
          </w:p>
        </w:tc>
        <w:tc>
          <w:tcPr>
            <w:tcW w:w="862" w:type="dxa"/>
            <w:vAlign w:val="center"/>
          </w:tcPr>
          <w:p>
            <w:pPr>
              <w:spacing w:line="360" w:lineRule="auto"/>
              <w:jc w:val="center"/>
              <w:rPr>
                <w:rFonts w:ascii="仿宋" w:hAnsi="仿宋" w:eastAsia="仿宋" w:cs="Times New Roman"/>
                <w:sz w:val="24"/>
                <w:szCs w:val="24"/>
              </w:rPr>
            </w:pPr>
          </w:p>
        </w:tc>
        <w:tc>
          <w:tcPr>
            <w:tcW w:w="860" w:type="dxa"/>
            <w:vAlign w:val="center"/>
          </w:tcPr>
          <w:p>
            <w:pPr>
              <w:spacing w:line="360" w:lineRule="auto"/>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vAlign w:val="center"/>
          </w:tcPr>
          <w:p>
            <w:pPr>
              <w:spacing w:line="360" w:lineRule="auto"/>
              <w:jc w:val="center"/>
              <w:rPr>
                <w:rFonts w:ascii="仿宋" w:hAnsi="仿宋" w:eastAsia="仿宋" w:cs="Times New Roman"/>
                <w:sz w:val="24"/>
                <w:szCs w:val="24"/>
              </w:rPr>
            </w:pPr>
          </w:p>
        </w:tc>
        <w:tc>
          <w:tcPr>
            <w:tcW w:w="923" w:type="dxa"/>
            <w:vAlign w:val="center"/>
          </w:tcPr>
          <w:p>
            <w:pPr>
              <w:spacing w:line="360" w:lineRule="auto"/>
              <w:jc w:val="center"/>
              <w:rPr>
                <w:rFonts w:ascii="仿宋" w:hAnsi="仿宋" w:eastAsia="仿宋" w:cs="Times New Roman"/>
                <w:sz w:val="24"/>
                <w:szCs w:val="24"/>
              </w:rPr>
            </w:pPr>
          </w:p>
        </w:tc>
        <w:tc>
          <w:tcPr>
            <w:tcW w:w="1639" w:type="dxa"/>
            <w:vAlign w:val="center"/>
          </w:tcPr>
          <w:p>
            <w:pPr>
              <w:spacing w:line="360" w:lineRule="auto"/>
              <w:jc w:val="center"/>
              <w:rPr>
                <w:rFonts w:ascii="仿宋" w:hAnsi="仿宋" w:eastAsia="仿宋" w:cs="Times New Roman"/>
                <w:sz w:val="24"/>
                <w:szCs w:val="24"/>
              </w:rPr>
            </w:pPr>
          </w:p>
        </w:tc>
        <w:tc>
          <w:tcPr>
            <w:tcW w:w="2550" w:type="dxa"/>
            <w:vAlign w:val="center"/>
          </w:tcPr>
          <w:p>
            <w:pPr>
              <w:spacing w:line="360" w:lineRule="auto"/>
              <w:jc w:val="center"/>
              <w:rPr>
                <w:rFonts w:ascii="仿宋" w:hAnsi="仿宋" w:eastAsia="仿宋" w:cs="Times New Roman"/>
                <w:sz w:val="24"/>
                <w:szCs w:val="24"/>
              </w:rPr>
            </w:pPr>
          </w:p>
        </w:tc>
        <w:tc>
          <w:tcPr>
            <w:tcW w:w="956" w:type="dxa"/>
            <w:vAlign w:val="center"/>
          </w:tcPr>
          <w:p>
            <w:pPr>
              <w:spacing w:line="360" w:lineRule="auto"/>
              <w:jc w:val="center"/>
              <w:rPr>
                <w:rFonts w:ascii="仿宋" w:hAnsi="仿宋" w:eastAsia="仿宋" w:cs="Times New Roman"/>
                <w:sz w:val="24"/>
                <w:szCs w:val="24"/>
              </w:rPr>
            </w:pPr>
          </w:p>
        </w:tc>
        <w:tc>
          <w:tcPr>
            <w:tcW w:w="859" w:type="dxa"/>
            <w:vAlign w:val="center"/>
          </w:tcPr>
          <w:p>
            <w:pPr>
              <w:spacing w:line="360" w:lineRule="auto"/>
              <w:jc w:val="center"/>
              <w:rPr>
                <w:rFonts w:ascii="仿宋" w:hAnsi="仿宋" w:eastAsia="仿宋" w:cs="Times New Roman"/>
                <w:sz w:val="24"/>
                <w:szCs w:val="24"/>
              </w:rPr>
            </w:pPr>
          </w:p>
        </w:tc>
        <w:tc>
          <w:tcPr>
            <w:tcW w:w="950" w:type="dxa"/>
            <w:vAlign w:val="center"/>
          </w:tcPr>
          <w:p>
            <w:pPr>
              <w:spacing w:line="360" w:lineRule="auto"/>
              <w:jc w:val="center"/>
              <w:rPr>
                <w:rFonts w:ascii="仿宋" w:hAnsi="仿宋" w:eastAsia="仿宋" w:cs="Times New Roman"/>
                <w:sz w:val="24"/>
                <w:szCs w:val="24"/>
              </w:rPr>
            </w:pPr>
          </w:p>
        </w:tc>
        <w:tc>
          <w:tcPr>
            <w:tcW w:w="860" w:type="dxa"/>
            <w:vAlign w:val="center"/>
          </w:tcPr>
          <w:p>
            <w:pPr>
              <w:spacing w:line="360" w:lineRule="auto"/>
              <w:jc w:val="center"/>
              <w:rPr>
                <w:rFonts w:ascii="仿宋" w:hAnsi="仿宋" w:eastAsia="仿宋" w:cs="Times New Roman"/>
                <w:sz w:val="24"/>
                <w:szCs w:val="24"/>
              </w:rPr>
            </w:pPr>
          </w:p>
        </w:tc>
        <w:tc>
          <w:tcPr>
            <w:tcW w:w="850" w:type="dxa"/>
            <w:vAlign w:val="center"/>
          </w:tcPr>
          <w:p>
            <w:pPr>
              <w:spacing w:line="360" w:lineRule="auto"/>
              <w:jc w:val="center"/>
              <w:rPr>
                <w:rFonts w:ascii="仿宋" w:hAnsi="仿宋" w:eastAsia="仿宋" w:cs="Times New Roman"/>
                <w:sz w:val="24"/>
                <w:szCs w:val="24"/>
              </w:rPr>
            </w:pPr>
          </w:p>
        </w:tc>
        <w:tc>
          <w:tcPr>
            <w:tcW w:w="865" w:type="dxa"/>
            <w:vAlign w:val="center"/>
          </w:tcPr>
          <w:p>
            <w:pPr>
              <w:spacing w:line="360" w:lineRule="auto"/>
              <w:jc w:val="center"/>
              <w:rPr>
                <w:rFonts w:ascii="仿宋" w:hAnsi="仿宋" w:eastAsia="仿宋" w:cs="Times New Roman"/>
                <w:sz w:val="24"/>
                <w:szCs w:val="24"/>
              </w:rPr>
            </w:pPr>
          </w:p>
        </w:tc>
        <w:tc>
          <w:tcPr>
            <w:tcW w:w="848" w:type="dxa"/>
            <w:vAlign w:val="center"/>
          </w:tcPr>
          <w:p>
            <w:pPr>
              <w:spacing w:line="360" w:lineRule="auto"/>
              <w:jc w:val="center"/>
              <w:rPr>
                <w:rFonts w:ascii="仿宋" w:hAnsi="仿宋" w:eastAsia="仿宋" w:cs="Times New Roman"/>
                <w:sz w:val="24"/>
                <w:szCs w:val="24"/>
              </w:rPr>
            </w:pPr>
          </w:p>
        </w:tc>
        <w:tc>
          <w:tcPr>
            <w:tcW w:w="892" w:type="dxa"/>
            <w:vAlign w:val="center"/>
          </w:tcPr>
          <w:p>
            <w:pPr>
              <w:spacing w:line="360" w:lineRule="auto"/>
              <w:jc w:val="center"/>
              <w:rPr>
                <w:rFonts w:ascii="仿宋" w:hAnsi="仿宋" w:eastAsia="仿宋" w:cs="Times New Roman"/>
                <w:sz w:val="24"/>
                <w:szCs w:val="24"/>
              </w:rPr>
            </w:pPr>
          </w:p>
        </w:tc>
        <w:tc>
          <w:tcPr>
            <w:tcW w:w="862" w:type="dxa"/>
            <w:vAlign w:val="center"/>
          </w:tcPr>
          <w:p>
            <w:pPr>
              <w:spacing w:line="360" w:lineRule="auto"/>
              <w:jc w:val="center"/>
              <w:rPr>
                <w:rFonts w:ascii="仿宋" w:hAnsi="仿宋" w:eastAsia="仿宋" w:cs="Times New Roman"/>
                <w:sz w:val="24"/>
                <w:szCs w:val="24"/>
              </w:rPr>
            </w:pPr>
          </w:p>
        </w:tc>
        <w:tc>
          <w:tcPr>
            <w:tcW w:w="860" w:type="dxa"/>
            <w:vAlign w:val="center"/>
          </w:tcPr>
          <w:p>
            <w:pPr>
              <w:spacing w:line="360" w:lineRule="auto"/>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vAlign w:val="center"/>
          </w:tcPr>
          <w:p>
            <w:pPr>
              <w:spacing w:line="360" w:lineRule="auto"/>
              <w:jc w:val="center"/>
              <w:rPr>
                <w:rFonts w:ascii="仿宋" w:hAnsi="仿宋" w:eastAsia="仿宋" w:cs="Times New Roman"/>
              </w:rPr>
            </w:pPr>
          </w:p>
        </w:tc>
        <w:tc>
          <w:tcPr>
            <w:tcW w:w="923" w:type="dxa"/>
            <w:vAlign w:val="center"/>
          </w:tcPr>
          <w:p>
            <w:pPr>
              <w:spacing w:line="360" w:lineRule="auto"/>
              <w:jc w:val="center"/>
              <w:rPr>
                <w:rFonts w:ascii="仿宋" w:hAnsi="仿宋" w:eastAsia="仿宋" w:cs="Times New Roman"/>
              </w:rPr>
            </w:pPr>
          </w:p>
        </w:tc>
        <w:tc>
          <w:tcPr>
            <w:tcW w:w="1639" w:type="dxa"/>
            <w:vAlign w:val="center"/>
          </w:tcPr>
          <w:p>
            <w:pPr>
              <w:spacing w:line="360" w:lineRule="auto"/>
              <w:jc w:val="center"/>
              <w:rPr>
                <w:rFonts w:ascii="仿宋" w:hAnsi="仿宋" w:eastAsia="仿宋" w:cs="Times New Roman"/>
              </w:rPr>
            </w:pPr>
            <w:r>
              <w:rPr>
                <w:rFonts w:hint="eastAsia" w:ascii="仿宋" w:hAnsi="仿宋" w:eastAsia="仿宋" w:cs="仿宋"/>
              </w:rPr>
              <w:t>本页小计</w:t>
            </w:r>
          </w:p>
        </w:tc>
        <w:tc>
          <w:tcPr>
            <w:tcW w:w="2550" w:type="dxa"/>
            <w:vAlign w:val="center"/>
          </w:tcPr>
          <w:p>
            <w:pPr>
              <w:spacing w:line="360" w:lineRule="auto"/>
              <w:jc w:val="center"/>
              <w:rPr>
                <w:rFonts w:ascii="仿宋" w:hAnsi="仿宋" w:eastAsia="仿宋" w:cs="Times New Roman"/>
              </w:rPr>
            </w:pPr>
            <w:r>
              <w:rPr>
                <w:rFonts w:hint="eastAsia" w:ascii="仿宋" w:hAnsi="仿宋" w:eastAsia="仿宋" w:cs="仿宋"/>
              </w:rPr>
              <w:t>元</w:t>
            </w:r>
          </w:p>
        </w:tc>
        <w:tc>
          <w:tcPr>
            <w:tcW w:w="956" w:type="dxa"/>
            <w:vAlign w:val="center"/>
          </w:tcPr>
          <w:p>
            <w:pPr>
              <w:spacing w:line="360" w:lineRule="auto"/>
              <w:jc w:val="center"/>
              <w:rPr>
                <w:rFonts w:ascii="仿宋" w:hAnsi="仿宋" w:eastAsia="仿宋" w:cs="Times New Roman"/>
              </w:rPr>
            </w:pPr>
          </w:p>
        </w:tc>
        <w:tc>
          <w:tcPr>
            <w:tcW w:w="859" w:type="dxa"/>
            <w:vAlign w:val="center"/>
          </w:tcPr>
          <w:p>
            <w:pPr>
              <w:spacing w:line="360" w:lineRule="auto"/>
              <w:jc w:val="center"/>
              <w:rPr>
                <w:rFonts w:ascii="仿宋" w:hAnsi="仿宋" w:eastAsia="仿宋" w:cs="Times New Roman"/>
              </w:rPr>
            </w:pPr>
          </w:p>
        </w:tc>
        <w:tc>
          <w:tcPr>
            <w:tcW w:w="950" w:type="dxa"/>
            <w:vAlign w:val="center"/>
          </w:tcPr>
          <w:p>
            <w:pPr>
              <w:spacing w:line="360" w:lineRule="auto"/>
              <w:jc w:val="center"/>
              <w:rPr>
                <w:rFonts w:ascii="仿宋" w:hAnsi="仿宋" w:eastAsia="仿宋" w:cs="Times New Roman"/>
              </w:rPr>
            </w:pPr>
          </w:p>
        </w:tc>
        <w:tc>
          <w:tcPr>
            <w:tcW w:w="860" w:type="dxa"/>
            <w:vAlign w:val="center"/>
          </w:tcPr>
          <w:p>
            <w:pPr>
              <w:spacing w:line="360" w:lineRule="auto"/>
              <w:jc w:val="center"/>
              <w:rPr>
                <w:rFonts w:ascii="仿宋" w:hAnsi="仿宋" w:eastAsia="仿宋" w:cs="Times New Roman"/>
              </w:rPr>
            </w:pPr>
          </w:p>
        </w:tc>
        <w:tc>
          <w:tcPr>
            <w:tcW w:w="850" w:type="dxa"/>
            <w:vAlign w:val="center"/>
          </w:tcPr>
          <w:p>
            <w:pPr>
              <w:spacing w:line="360" w:lineRule="auto"/>
              <w:jc w:val="center"/>
              <w:rPr>
                <w:rFonts w:ascii="仿宋" w:hAnsi="仿宋" w:eastAsia="仿宋" w:cs="Times New Roman"/>
              </w:rPr>
            </w:pPr>
          </w:p>
        </w:tc>
        <w:tc>
          <w:tcPr>
            <w:tcW w:w="865" w:type="dxa"/>
            <w:vAlign w:val="top"/>
          </w:tcPr>
          <w:p>
            <w:pPr>
              <w:spacing w:line="360" w:lineRule="auto"/>
              <w:jc w:val="center"/>
              <w:rPr>
                <w:rFonts w:ascii="仿宋" w:hAnsi="仿宋" w:eastAsia="仿宋" w:cs="Times New Roman"/>
              </w:rPr>
            </w:pPr>
          </w:p>
        </w:tc>
        <w:tc>
          <w:tcPr>
            <w:tcW w:w="848" w:type="dxa"/>
            <w:vAlign w:val="center"/>
          </w:tcPr>
          <w:p>
            <w:pPr>
              <w:spacing w:line="360" w:lineRule="auto"/>
              <w:jc w:val="center"/>
              <w:rPr>
                <w:rFonts w:ascii="仿宋" w:hAnsi="仿宋" w:eastAsia="仿宋" w:cs="Times New Roman"/>
              </w:rPr>
            </w:pPr>
          </w:p>
        </w:tc>
        <w:tc>
          <w:tcPr>
            <w:tcW w:w="892" w:type="dxa"/>
            <w:vAlign w:val="center"/>
          </w:tcPr>
          <w:p>
            <w:pPr>
              <w:spacing w:line="360" w:lineRule="auto"/>
              <w:jc w:val="center"/>
              <w:rPr>
                <w:rFonts w:ascii="仿宋" w:hAnsi="仿宋" w:eastAsia="仿宋" w:cs="Times New Roman"/>
              </w:rPr>
            </w:pPr>
          </w:p>
        </w:tc>
        <w:tc>
          <w:tcPr>
            <w:tcW w:w="862" w:type="dxa"/>
            <w:vAlign w:val="center"/>
          </w:tcPr>
          <w:p>
            <w:pPr>
              <w:spacing w:line="360" w:lineRule="auto"/>
              <w:jc w:val="center"/>
              <w:rPr>
                <w:rFonts w:ascii="仿宋" w:hAnsi="仿宋" w:eastAsia="仿宋" w:cs="Times New Roman"/>
              </w:rPr>
            </w:pPr>
          </w:p>
        </w:tc>
        <w:tc>
          <w:tcPr>
            <w:tcW w:w="860" w:type="dxa"/>
            <w:vAlign w:val="center"/>
          </w:tcPr>
          <w:p>
            <w:pPr>
              <w:spacing w:line="360" w:lineRule="auto"/>
              <w:jc w:val="center"/>
              <w:rPr>
                <w:rFonts w:ascii="仿宋" w:hAnsi="仿宋"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vAlign w:val="center"/>
          </w:tcPr>
          <w:p>
            <w:pPr>
              <w:spacing w:line="360" w:lineRule="auto"/>
              <w:jc w:val="center"/>
              <w:rPr>
                <w:rFonts w:ascii="仿宋" w:hAnsi="仿宋" w:eastAsia="仿宋" w:cs="Times New Roman"/>
              </w:rPr>
            </w:pPr>
          </w:p>
        </w:tc>
        <w:tc>
          <w:tcPr>
            <w:tcW w:w="923" w:type="dxa"/>
            <w:vAlign w:val="center"/>
          </w:tcPr>
          <w:p>
            <w:pPr>
              <w:spacing w:line="360" w:lineRule="auto"/>
              <w:jc w:val="center"/>
              <w:rPr>
                <w:rFonts w:ascii="仿宋" w:hAnsi="仿宋" w:eastAsia="仿宋" w:cs="Times New Roman"/>
              </w:rPr>
            </w:pPr>
          </w:p>
        </w:tc>
        <w:tc>
          <w:tcPr>
            <w:tcW w:w="1639" w:type="dxa"/>
            <w:vAlign w:val="center"/>
          </w:tcPr>
          <w:p>
            <w:pPr>
              <w:spacing w:line="360" w:lineRule="auto"/>
              <w:jc w:val="center"/>
              <w:rPr>
                <w:rFonts w:ascii="仿宋" w:hAnsi="仿宋" w:eastAsia="仿宋" w:cs="Times New Roman"/>
              </w:rPr>
            </w:pPr>
            <w:r>
              <w:rPr>
                <w:rFonts w:hint="eastAsia" w:ascii="仿宋" w:hAnsi="仿宋" w:eastAsia="仿宋" w:cs="仿宋"/>
              </w:rPr>
              <w:t>合计</w:t>
            </w:r>
          </w:p>
        </w:tc>
        <w:tc>
          <w:tcPr>
            <w:tcW w:w="2550" w:type="dxa"/>
            <w:vAlign w:val="center"/>
          </w:tcPr>
          <w:p>
            <w:pPr>
              <w:spacing w:line="360" w:lineRule="auto"/>
              <w:jc w:val="center"/>
              <w:rPr>
                <w:rFonts w:ascii="仿宋" w:hAnsi="仿宋" w:eastAsia="仿宋" w:cs="Times New Roman"/>
              </w:rPr>
            </w:pPr>
            <w:r>
              <w:rPr>
                <w:rFonts w:hint="eastAsia" w:ascii="仿宋" w:hAnsi="仿宋" w:eastAsia="仿宋" w:cs="仿宋"/>
              </w:rPr>
              <w:t>元</w:t>
            </w:r>
          </w:p>
        </w:tc>
        <w:tc>
          <w:tcPr>
            <w:tcW w:w="956" w:type="dxa"/>
            <w:vAlign w:val="center"/>
          </w:tcPr>
          <w:p>
            <w:pPr>
              <w:spacing w:line="360" w:lineRule="auto"/>
              <w:jc w:val="center"/>
              <w:rPr>
                <w:rFonts w:ascii="仿宋" w:hAnsi="仿宋" w:eastAsia="仿宋" w:cs="Times New Roman"/>
              </w:rPr>
            </w:pPr>
          </w:p>
        </w:tc>
        <w:tc>
          <w:tcPr>
            <w:tcW w:w="859" w:type="dxa"/>
            <w:vAlign w:val="center"/>
          </w:tcPr>
          <w:p>
            <w:pPr>
              <w:spacing w:line="360" w:lineRule="auto"/>
              <w:jc w:val="center"/>
              <w:rPr>
                <w:rFonts w:ascii="仿宋" w:hAnsi="仿宋" w:eastAsia="仿宋" w:cs="Times New Roman"/>
              </w:rPr>
            </w:pPr>
          </w:p>
        </w:tc>
        <w:tc>
          <w:tcPr>
            <w:tcW w:w="950" w:type="dxa"/>
            <w:vAlign w:val="center"/>
          </w:tcPr>
          <w:p>
            <w:pPr>
              <w:spacing w:line="360" w:lineRule="auto"/>
              <w:jc w:val="center"/>
              <w:rPr>
                <w:rFonts w:ascii="仿宋" w:hAnsi="仿宋" w:eastAsia="仿宋" w:cs="Times New Roman"/>
              </w:rPr>
            </w:pPr>
          </w:p>
        </w:tc>
        <w:tc>
          <w:tcPr>
            <w:tcW w:w="860" w:type="dxa"/>
            <w:vAlign w:val="center"/>
          </w:tcPr>
          <w:p>
            <w:pPr>
              <w:spacing w:line="360" w:lineRule="auto"/>
              <w:jc w:val="center"/>
              <w:rPr>
                <w:rFonts w:ascii="仿宋" w:hAnsi="仿宋" w:eastAsia="仿宋" w:cs="Times New Roman"/>
              </w:rPr>
            </w:pPr>
          </w:p>
        </w:tc>
        <w:tc>
          <w:tcPr>
            <w:tcW w:w="850" w:type="dxa"/>
            <w:vAlign w:val="center"/>
          </w:tcPr>
          <w:p>
            <w:pPr>
              <w:spacing w:line="360" w:lineRule="auto"/>
              <w:jc w:val="center"/>
              <w:rPr>
                <w:rFonts w:ascii="仿宋" w:hAnsi="仿宋" w:eastAsia="仿宋" w:cs="Times New Roman"/>
              </w:rPr>
            </w:pPr>
          </w:p>
        </w:tc>
        <w:tc>
          <w:tcPr>
            <w:tcW w:w="865" w:type="dxa"/>
            <w:vAlign w:val="top"/>
          </w:tcPr>
          <w:p>
            <w:pPr>
              <w:spacing w:line="360" w:lineRule="auto"/>
              <w:jc w:val="center"/>
              <w:rPr>
                <w:rFonts w:ascii="仿宋" w:hAnsi="仿宋" w:eastAsia="仿宋" w:cs="Times New Roman"/>
              </w:rPr>
            </w:pPr>
          </w:p>
        </w:tc>
        <w:tc>
          <w:tcPr>
            <w:tcW w:w="848" w:type="dxa"/>
            <w:vAlign w:val="center"/>
          </w:tcPr>
          <w:p>
            <w:pPr>
              <w:spacing w:line="360" w:lineRule="auto"/>
              <w:jc w:val="center"/>
              <w:rPr>
                <w:rFonts w:ascii="仿宋" w:hAnsi="仿宋" w:eastAsia="仿宋" w:cs="Times New Roman"/>
              </w:rPr>
            </w:pPr>
          </w:p>
        </w:tc>
        <w:tc>
          <w:tcPr>
            <w:tcW w:w="892" w:type="dxa"/>
            <w:vAlign w:val="center"/>
          </w:tcPr>
          <w:p>
            <w:pPr>
              <w:spacing w:line="360" w:lineRule="auto"/>
              <w:jc w:val="center"/>
              <w:rPr>
                <w:rFonts w:ascii="仿宋" w:hAnsi="仿宋" w:eastAsia="仿宋" w:cs="Times New Roman"/>
              </w:rPr>
            </w:pPr>
          </w:p>
        </w:tc>
        <w:tc>
          <w:tcPr>
            <w:tcW w:w="862" w:type="dxa"/>
            <w:vAlign w:val="center"/>
          </w:tcPr>
          <w:p>
            <w:pPr>
              <w:spacing w:line="360" w:lineRule="auto"/>
              <w:jc w:val="center"/>
              <w:rPr>
                <w:rFonts w:ascii="仿宋" w:hAnsi="仿宋" w:eastAsia="仿宋" w:cs="Times New Roman"/>
              </w:rPr>
            </w:pPr>
          </w:p>
        </w:tc>
        <w:tc>
          <w:tcPr>
            <w:tcW w:w="860" w:type="dxa"/>
            <w:vAlign w:val="center"/>
          </w:tcPr>
          <w:p>
            <w:pPr>
              <w:spacing w:line="360" w:lineRule="auto"/>
              <w:jc w:val="center"/>
              <w:rPr>
                <w:rFonts w:ascii="仿宋" w:hAnsi="仿宋" w:eastAsia="仿宋" w:cs="Times New Roman"/>
              </w:rPr>
            </w:pPr>
          </w:p>
        </w:tc>
      </w:tr>
    </w:tbl>
    <w:p>
      <w:pPr>
        <w:spacing w:line="360" w:lineRule="auto"/>
        <w:ind w:firstLine="240" w:firstLineChars="100"/>
        <w:rPr>
          <w:rFonts w:ascii="仿宋" w:hAnsi="仿宋" w:eastAsia="仿宋" w:cs="Times New Roman"/>
          <w:sz w:val="24"/>
          <w:szCs w:val="24"/>
        </w:rPr>
      </w:pPr>
      <w:r>
        <w:rPr>
          <w:rFonts w:hint="eastAsia" w:ascii="仿宋" w:hAnsi="仿宋" w:eastAsia="仿宋" w:cs="仿宋"/>
          <w:sz w:val="24"/>
          <w:szCs w:val="24"/>
        </w:rPr>
        <w:t>编制：</w:t>
      </w:r>
      <w:r>
        <w:rPr>
          <w:rFonts w:ascii="仿宋" w:hAnsi="仿宋" w:eastAsia="仿宋" w:cs="仿宋"/>
          <w:sz w:val="24"/>
          <w:szCs w:val="24"/>
        </w:rPr>
        <w:t xml:space="preserve">                     </w:t>
      </w:r>
      <w:r>
        <w:rPr>
          <w:rFonts w:hint="eastAsia" w:ascii="仿宋" w:hAnsi="仿宋" w:eastAsia="仿宋" w:cs="仿宋"/>
          <w:sz w:val="24"/>
          <w:szCs w:val="24"/>
        </w:rPr>
        <w:t>复核：</w:t>
      </w:r>
      <w:r>
        <w:rPr>
          <w:rFonts w:ascii="仿宋" w:hAnsi="仿宋" w:eastAsia="仿宋" w:cs="仿宋"/>
          <w:sz w:val="24"/>
          <w:szCs w:val="24"/>
        </w:rPr>
        <w:t xml:space="preserve">                     </w:t>
      </w:r>
      <w:r>
        <w:rPr>
          <w:rFonts w:hint="eastAsia" w:ascii="仿宋" w:hAnsi="仿宋" w:eastAsia="仿宋" w:cs="仿宋"/>
          <w:sz w:val="24"/>
          <w:szCs w:val="24"/>
        </w:rPr>
        <w:t>承包人代表：</w:t>
      </w:r>
      <w:r>
        <w:rPr>
          <w:rFonts w:ascii="仿宋" w:hAnsi="仿宋" w:eastAsia="仿宋" w:cs="仿宋"/>
          <w:sz w:val="24"/>
          <w:szCs w:val="24"/>
        </w:rPr>
        <w:t xml:space="preserve">                          </w:t>
      </w: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rPr>
        <w:t xml:space="preserve">     </w:t>
      </w:r>
      <w:r>
        <w:rPr>
          <w:rFonts w:hint="eastAsia" w:ascii="仿宋" w:hAnsi="仿宋" w:eastAsia="仿宋" w:cs="仿宋"/>
          <w:sz w:val="24"/>
          <w:szCs w:val="24"/>
        </w:rPr>
        <w:t>年</w:t>
      </w:r>
      <w:r>
        <w:rPr>
          <w:rFonts w:ascii="仿宋" w:hAnsi="仿宋" w:eastAsia="仿宋" w:cs="仿宋"/>
          <w:sz w:val="24"/>
          <w:szCs w:val="24"/>
        </w:rPr>
        <w:t xml:space="preserve">   </w:t>
      </w:r>
      <w:r>
        <w:rPr>
          <w:rFonts w:hint="eastAsia" w:ascii="仿宋" w:hAnsi="仿宋" w:eastAsia="仿宋" w:cs="仿宋"/>
          <w:sz w:val="24"/>
          <w:szCs w:val="24"/>
        </w:rPr>
        <w:t>　月</w:t>
      </w:r>
      <w:r>
        <w:rPr>
          <w:rFonts w:ascii="仿宋" w:hAnsi="仿宋" w:eastAsia="仿宋" w:cs="仿宋"/>
          <w:sz w:val="24"/>
          <w:szCs w:val="24"/>
        </w:rPr>
        <w:t xml:space="preserve">   </w:t>
      </w:r>
      <w:r>
        <w:rPr>
          <w:rFonts w:hint="eastAsia" w:ascii="仿宋" w:hAnsi="仿宋" w:eastAsia="仿宋" w:cs="仿宋"/>
          <w:sz w:val="24"/>
          <w:szCs w:val="24"/>
        </w:rPr>
        <w:t>日</w:t>
      </w:r>
    </w:p>
    <w:p>
      <w:pPr>
        <w:widowControl/>
        <w:spacing w:line="360" w:lineRule="auto"/>
        <w:jc w:val="left"/>
        <w:rPr>
          <w:rFonts w:ascii="仿宋" w:hAnsi="仿宋" w:eastAsia="仿宋" w:cs="Times New Roman"/>
          <w:kern w:val="0"/>
          <w:sz w:val="24"/>
          <w:szCs w:val="24"/>
        </w:rPr>
        <w:sectPr>
          <w:endnotePr>
            <w:numFmt w:val="decimal"/>
          </w:endnotePr>
          <w:pgSz w:w="16838" w:h="11906" w:orient="landscape"/>
          <w:pgMar w:top="737" w:right="1418" w:bottom="737" w:left="851" w:header="0" w:footer="0" w:gutter="0"/>
          <w:cols w:space="720" w:num="1"/>
        </w:sectPr>
      </w:pPr>
    </w:p>
    <w:p>
      <w:pPr>
        <w:spacing w:line="360" w:lineRule="auto"/>
        <w:outlineLvl w:val="1"/>
        <w:rPr>
          <w:rFonts w:ascii="仿宋" w:hAnsi="仿宋" w:eastAsia="仿宋" w:cs="仿宋"/>
          <w:b/>
          <w:bCs/>
          <w:color w:val="000000"/>
          <w:kern w:val="0"/>
          <w:sz w:val="24"/>
          <w:szCs w:val="24"/>
        </w:rPr>
      </w:pPr>
      <w:bookmarkStart w:id="810" w:name="_Toc10625011"/>
      <w:bookmarkStart w:id="811" w:name="_Toc266892953"/>
      <w:bookmarkStart w:id="812" w:name="_Toc469384167"/>
      <w:r>
        <w:rPr>
          <w:rFonts w:hint="eastAsia" w:ascii="仿宋" w:hAnsi="仿宋" w:eastAsia="仿宋" w:cs="仿宋"/>
          <w:b/>
          <w:bCs/>
          <w:color w:val="000000"/>
          <w:kern w:val="0"/>
          <w:sz w:val="24"/>
          <w:szCs w:val="24"/>
        </w:rPr>
        <w:t>格式</w:t>
      </w:r>
      <w:r>
        <w:rPr>
          <w:rFonts w:ascii="仿宋" w:hAnsi="仿宋" w:eastAsia="仿宋" w:cs="仿宋"/>
          <w:b/>
          <w:bCs/>
          <w:color w:val="000000"/>
          <w:kern w:val="0"/>
          <w:sz w:val="24"/>
          <w:szCs w:val="24"/>
        </w:rPr>
        <w:t>27</w:t>
      </w:r>
      <w:bookmarkEnd w:id="810"/>
      <w:bookmarkEnd w:id="811"/>
      <w:bookmarkEnd w:id="812"/>
    </w:p>
    <w:p>
      <w:pPr>
        <w:spacing w:line="360" w:lineRule="auto"/>
        <w:jc w:val="center"/>
        <w:rPr>
          <w:rFonts w:ascii="仿宋" w:hAnsi="仿宋" w:eastAsia="仿宋" w:cs="Times New Roman"/>
          <w:b/>
          <w:bCs/>
          <w:spacing w:val="30"/>
          <w:sz w:val="44"/>
          <w:szCs w:val="44"/>
        </w:rPr>
      </w:pPr>
      <w:r>
        <w:rPr>
          <w:rFonts w:hint="eastAsia" w:ascii="仿宋" w:hAnsi="仿宋" w:eastAsia="仿宋" w:cs="仿宋"/>
          <w:b/>
          <w:bCs/>
          <w:spacing w:val="30"/>
          <w:sz w:val="44"/>
          <w:szCs w:val="44"/>
        </w:rPr>
        <w:t>支付申请</w:t>
      </w:r>
    </w:p>
    <w:p>
      <w:pPr>
        <w:spacing w:line="360" w:lineRule="auto"/>
        <w:rPr>
          <w:rFonts w:ascii="仿宋" w:hAnsi="仿宋" w:eastAsia="仿宋" w:cs="Times New Roman"/>
          <w:sz w:val="24"/>
          <w:szCs w:val="24"/>
        </w:rPr>
      </w:pPr>
      <w:r>
        <w:rPr>
          <w:rFonts w:hint="eastAsia" w:ascii="仿宋" w:hAnsi="仿宋" w:eastAsia="仿宋" w:cs="仿宋"/>
          <w:sz w:val="24"/>
          <w:szCs w:val="24"/>
        </w:rPr>
        <w:t>工程名称</w:t>
      </w:r>
      <w:r>
        <w:rPr>
          <w:rFonts w:ascii="仿宋" w:hAnsi="仿宋" w:eastAsia="仿宋" w:cs="仿宋"/>
          <w:sz w:val="24"/>
          <w:szCs w:val="24"/>
        </w:rPr>
        <w:t>:</w:t>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编号</w:t>
      </w:r>
      <w:r>
        <w:rPr>
          <w:rFonts w:ascii="仿宋" w:hAnsi="仿宋" w:eastAsia="仿宋" w:cs="仿宋"/>
          <w:sz w:val="24"/>
          <w:szCs w:val="24"/>
        </w:rPr>
        <w:t>:</w:t>
      </w:r>
    </w:p>
    <w:tbl>
      <w:tblPr>
        <w:tblStyle w:val="40"/>
        <w:tblW w:w="10460"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46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892" w:hRule="atLeast"/>
        </w:trPr>
        <w:tc>
          <w:tcPr>
            <w:tcW w:w="10460" w:type="dxa"/>
            <w:tcBorders>
              <w:bottom w:val="single" w:color="auto" w:sz="4" w:space="0"/>
            </w:tcBorders>
            <w:vAlign w:val="top"/>
          </w:tcPr>
          <w:p>
            <w:pPr>
              <w:spacing w:before="120" w:line="360" w:lineRule="auto"/>
              <w:ind w:left="-28" w:firstLine="181"/>
              <w:rPr>
                <w:rFonts w:ascii="仿宋" w:hAnsi="仿宋" w:eastAsia="仿宋" w:cs="Times New Roman"/>
                <w:sz w:val="24"/>
                <w:szCs w:val="24"/>
              </w:rPr>
            </w:pPr>
            <w:r>
              <w:rPr>
                <w:rFonts w:hint="eastAsia" w:ascii="仿宋" w:hAnsi="仿宋" w:eastAsia="仿宋" w:cs="仿宋"/>
                <w:sz w:val="24"/>
                <w:szCs w:val="24"/>
              </w:rPr>
              <w:t>致</w:t>
            </w:r>
            <w:r>
              <w:rPr>
                <w:rFonts w:ascii="仿宋" w:hAnsi="仿宋" w:eastAsia="仿宋" w:cs="仿宋"/>
                <w:sz w:val="24"/>
                <w:szCs w:val="24"/>
              </w:rPr>
              <w:t>:</w:t>
            </w:r>
            <w:r>
              <w:rPr>
                <w:rFonts w:ascii="仿宋" w:hAnsi="仿宋" w:eastAsia="仿宋" w:cs="仿宋"/>
                <w:sz w:val="24"/>
                <w:szCs w:val="24"/>
                <w:u w:val="single"/>
              </w:rPr>
              <w:t xml:space="preserve">                                          </w:t>
            </w:r>
            <w:r>
              <w:rPr>
                <w:rFonts w:hint="eastAsia" w:ascii="仿宋" w:hAnsi="仿宋" w:eastAsia="仿宋" w:cs="仿宋"/>
                <w:sz w:val="24"/>
                <w:szCs w:val="24"/>
              </w:rPr>
              <w:t>（工程造价咨询人（如有）全称）</w:t>
            </w:r>
          </w:p>
          <w:p>
            <w:pPr>
              <w:spacing w:line="360" w:lineRule="auto"/>
              <w:ind w:left="-28" w:firstLine="482"/>
              <w:rPr>
                <w:rFonts w:ascii="仿宋" w:hAnsi="仿宋" w:eastAsia="仿宋" w:cs="Times New Roman"/>
                <w:sz w:val="24"/>
                <w:szCs w:val="24"/>
              </w:rPr>
            </w:pPr>
          </w:p>
          <w:p>
            <w:pPr>
              <w:spacing w:line="360" w:lineRule="auto"/>
              <w:ind w:left="-28" w:firstLine="482"/>
              <w:rPr>
                <w:rFonts w:ascii="仿宋" w:hAnsi="仿宋" w:eastAsia="仿宋" w:cs="Times New Roman"/>
                <w:sz w:val="24"/>
                <w:szCs w:val="24"/>
              </w:rPr>
            </w:pPr>
            <w:r>
              <w:rPr>
                <w:rFonts w:hint="eastAsia" w:ascii="仿宋" w:hAnsi="仿宋" w:eastAsia="仿宋" w:cs="仿宋"/>
                <w:sz w:val="24"/>
                <w:szCs w:val="24"/>
              </w:rPr>
              <w:t>我方于</w:t>
            </w:r>
            <w:r>
              <w:rPr>
                <w:rFonts w:ascii="仿宋" w:hAnsi="仿宋" w:eastAsia="仿宋" w:cs="仿宋"/>
                <w:sz w:val="24"/>
                <w:szCs w:val="24"/>
                <w:u w:val="single"/>
              </w:rPr>
              <w:t xml:space="preserve">        </w:t>
            </w:r>
            <w:r>
              <w:rPr>
                <w:rFonts w:hint="eastAsia" w:ascii="仿宋" w:hAnsi="仿宋" w:eastAsia="仿宋" w:cs="仿宋"/>
                <w:sz w:val="24"/>
                <w:szCs w:val="24"/>
              </w:rPr>
              <w:t>至</w:t>
            </w:r>
            <w:r>
              <w:rPr>
                <w:rFonts w:ascii="仿宋" w:hAnsi="仿宋" w:eastAsia="仿宋" w:cs="仿宋"/>
                <w:sz w:val="24"/>
                <w:szCs w:val="24"/>
                <w:u w:val="single"/>
              </w:rPr>
              <w:t xml:space="preserve">       </w:t>
            </w:r>
            <w:r>
              <w:rPr>
                <w:rFonts w:hint="eastAsia" w:ascii="仿宋" w:hAnsi="仿宋" w:eastAsia="仿宋" w:cs="仿宋"/>
                <w:sz w:val="24"/>
                <w:szCs w:val="24"/>
              </w:rPr>
              <w:t>期间已完成了</w:t>
            </w:r>
            <w:r>
              <w:rPr>
                <w:rFonts w:ascii="仿宋" w:hAnsi="仿宋" w:eastAsia="仿宋" w:cs="仿宋"/>
                <w:sz w:val="24"/>
                <w:szCs w:val="24"/>
                <w:u w:val="single"/>
              </w:rPr>
              <w:t xml:space="preserve">              </w:t>
            </w:r>
            <w:r>
              <w:rPr>
                <w:rFonts w:hint="eastAsia" w:ascii="仿宋" w:hAnsi="仿宋" w:eastAsia="仿宋" w:cs="仿宋"/>
                <w:sz w:val="24"/>
                <w:szCs w:val="24"/>
              </w:rPr>
              <w:t>工作，根据施工合同条款</w:t>
            </w:r>
            <w:r>
              <w:rPr>
                <w:rFonts w:ascii="仿宋" w:hAnsi="仿宋" w:eastAsia="仿宋" w:cs="仿宋"/>
                <w:sz w:val="24"/>
                <w:szCs w:val="24"/>
                <w:u w:val="single"/>
              </w:rPr>
              <w:t xml:space="preserve">      </w:t>
            </w:r>
            <w:r>
              <w:rPr>
                <w:rFonts w:hint="eastAsia" w:ascii="仿宋" w:hAnsi="仿宋" w:eastAsia="仿宋" w:cs="仿宋"/>
                <w:sz w:val="24"/>
                <w:szCs w:val="24"/>
              </w:rPr>
              <w:t>的规定，现申请支付本期的工程款额为（大写）</w:t>
            </w:r>
            <w:r>
              <w:rPr>
                <w:rFonts w:ascii="仿宋" w:hAnsi="仿宋" w:eastAsia="仿宋" w:cs="仿宋"/>
                <w:sz w:val="24"/>
                <w:szCs w:val="24"/>
                <w:u w:val="single"/>
              </w:rPr>
              <w:t xml:space="preserve">                         </w:t>
            </w:r>
            <w:r>
              <w:rPr>
                <w:rFonts w:hint="eastAsia" w:ascii="仿宋" w:hAnsi="仿宋" w:eastAsia="仿宋" w:cs="仿宋"/>
                <w:sz w:val="24"/>
                <w:szCs w:val="24"/>
              </w:rPr>
              <w:t>（小写</w:t>
            </w:r>
            <w:r>
              <w:rPr>
                <w:rFonts w:ascii="仿宋" w:hAnsi="仿宋" w:eastAsia="仿宋" w:cs="仿宋"/>
                <w:sz w:val="24"/>
                <w:szCs w:val="24"/>
                <w:u w:val="single"/>
              </w:rPr>
              <w:t xml:space="preserve">            </w:t>
            </w:r>
            <w:r>
              <w:rPr>
                <w:rFonts w:hint="eastAsia" w:ascii="仿宋" w:hAnsi="仿宋" w:eastAsia="仿宋" w:cs="仿宋"/>
                <w:sz w:val="24"/>
                <w:szCs w:val="24"/>
              </w:rPr>
              <w:t>），请予以复核和确认，并在支付证书签发后按合同规定时间内支付。</w:t>
            </w:r>
          </w:p>
          <w:p>
            <w:pPr>
              <w:spacing w:line="360" w:lineRule="auto"/>
              <w:ind w:left="-28" w:firstLine="482"/>
              <w:rPr>
                <w:rFonts w:ascii="仿宋" w:hAnsi="仿宋" w:eastAsia="仿宋" w:cs="Times New Roman"/>
                <w:sz w:val="24"/>
                <w:szCs w:val="24"/>
              </w:rPr>
            </w:pPr>
          </w:p>
          <w:p>
            <w:pPr>
              <w:spacing w:line="360" w:lineRule="auto"/>
              <w:ind w:left="-28" w:firstLine="482"/>
              <w:rPr>
                <w:rFonts w:ascii="仿宋" w:hAnsi="仿宋" w:eastAsia="仿宋" w:cs="Times New Roman"/>
                <w:sz w:val="24"/>
                <w:szCs w:val="24"/>
              </w:rPr>
            </w:pPr>
            <w:r>
              <w:rPr>
                <w:rFonts w:hint="eastAsia" w:ascii="仿宋" w:hAnsi="仿宋" w:eastAsia="仿宋" w:cs="仿宋"/>
                <w:sz w:val="24"/>
                <w:szCs w:val="24"/>
              </w:rPr>
              <w:t>具体细目如下：</w:t>
            </w:r>
          </w:p>
          <w:tbl>
            <w:tblPr>
              <w:tblStyle w:val="40"/>
              <w:tblW w:w="10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
              <w:gridCol w:w="4861"/>
              <w:gridCol w:w="1424"/>
              <w:gridCol w:w="3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exact"/>
              </w:trPr>
              <w:tc>
                <w:tcPr>
                  <w:tcW w:w="8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Times New Roman"/>
                    </w:rPr>
                  </w:pPr>
                  <w:r>
                    <w:rPr>
                      <w:rFonts w:hint="eastAsia" w:ascii="仿宋" w:hAnsi="仿宋" w:eastAsia="仿宋" w:cs="仿宋"/>
                    </w:rPr>
                    <w:t>序号</w:t>
                  </w:r>
                </w:p>
              </w:tc>
              <w:tc>
                <w:tcPr>
                  <w:tcW w:w="48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Times New Roman"/>
                    </w:rPr>
                  </w:pPr>
                  <w:r>
                    <w:rPr>
                      <w:rFonts w:hint="eastAsia" w:ascii="仿宋" w:hAnsi="仿宋" w:eastAsia="仿宋" w:cs="仿宋"/>
                    </w:rPr>
                    <w:t>名</w:t>
                  </w:r>
                  <w:r>
                    <w:rPr>
                      <w:rFonts w:ascii="仿宋" w:hAnsi="仿宋" w:eastAsia="仿宋" w:cs="仿宋"/>
                    </w:rPr>
                    <w:t xml:space="preserve">           </w:t>
                  </w:r>
                  <w:r>
                    <w:rPr>
                      <w:rFonts w:hint="eastAsia" w:ascii="仿宋" w:hAnsi="仿宋" w:eastAsia="仿宋" w:cs="仿宋"/>
                    </w:rPr>
                    <w:t>称</w:t>
                  </w:r>
                </w:p>
              </w:tc>
              <w:tc>
                <w:tcPr>
                  <w:tcW w:w="14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Times New Roman"/>
                    </w:rPr>
                  </w:pPr>
                  <w:r>
                    <w:rPr>
                      <w:rFonts w:hint="eastAsia" w:ascii="仿宋" w:hAnsi="仿宋" w:eastAsia="仿宋" w:cs="仿宋"/>
                    </w:rPr>
                    <w:t>金</w:t>
                  </w:r>
                  <w:r>
                    <w:rPr>
                      <w:rFonts w:ascii="仿宋" w:hAnsi="仿宋" w:eastAsia="仿宋" w:cs="仿宋"/>
                    </w:rPr>
                    <w:t xml:space="preserve"> </w:t>
                  </w:r>
                  <w:r>
                    <w:rPr>
                      <w:rFonts w:hint="eastAsia" w:ascii="仿宋" w:hAnsi="仿宋" w:eastAsia="仿宋" w:cs="仿宋"/>
                    </w:rPr>
                    <w:t>额（元）</w:t>
                  </w:r>
                </w:p>
              </w:tc>
              <w:tc>
                <w:tcPr>
                  <w:tcW w:w="30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Times New Roman"/>
                    </w:rPr>
                  </w:pPr>
                  <w:r>
                    <w:rPr>
                      <w:rFonts w:hint="eastAsia" w:ascii="仿宋" w:hAnsi="仿宋" w:eastAsia="仿宋" w:cs="仿宋"/>
                    </w:rPr>
                    <w:t>备</w:t>
                  </w:r>
                  <w:r>
                    <w:rPr>
                      <w:rFonts w:ascii="仿宋" w:hAnsi="仿宋" w:eastAsia="仿宋" w:cs="仿宋"/>
                    </w:rPr>
                    <w:t xml:space="preserve">       </w:t>
                  </w:r>
                  <w:r>
                    <w:rPr>
                      <w:rFonts w:hint="eastAsia" w:ascii="仿宋" w:hAnsi="仿宋" w:eastAsia="仿宋" w:cs="仿宋"/>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trPr>
              <w:tc>
                <w:tcPr>
                  <w:tcW w:w="8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Times New Roman"/>
                    </w:rPr>
                  </w:pPr>
                  <w:r>
                    <w:rPr>
                      <w:rFonts w:ascii="仿宋" w:hAnsi="仿宋" w:eastAsia="仿宋" w:cs="仿宋"/>
                    </w:rPr>
                    <w:t>1</w:t>
                  </w:r>
                </w:p>
              </w:tc>
              <w:tc>
                <w:tcPr>
                  <w:tcW w:w="486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Times New Roman"/>
                    </w:rPr>
                  </w:pPr>
                  <w:r>
                    <w:rPr>
                      <w:rFonts w:hint="eastAsia" w:ascii="仿宋" w:hAnsi="仿宋" w:eastAsia="仿宋" w:cs="仿宋"/>
                    </w:rPr>
                    <w:t>累计已完工程价款</w:t>
                  </w:r>
                </w:p>
              </w:tc>
              <w:tc>
                <w:tcPr>
                  <w:tcW w:w="14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Times New Roman"/>
                    </w:rPr>
                  </w:pPr>
                </w:p>
              </w:tc>
              <w:tc>
                <w:tcPr>
                  <w:tcW w:w="303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exact"/>
              </w:trPr>
              <w:tc>
                <w:tcPr>
                  <w:tcW w:w="8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Times New Roman"/>
                    </w:rPr>
                  </w:pPr>
                  <w:r>
                    <w:rPr>
                      <w:rFonts w:ascii="仿宋" w:hAnsi="仿宋" w:eastAsia="仿宋" w:cs="仿宋"/>
                    </w:rPr>
                    <w:t>2</w:t>
                  </w:r>
                </w:p>
              </w:tc>
              <w:tc>
                <w:tcPr>
                  <w:tcW w:w="486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Times New Roman"/>
                    </w:rPr>
                  </w:pPr>
                  <w:r>
                    <w:rPr>
                      <w:rFonts w:hint="eastAsia" w:ascii="仿宋" w:hAnsi="仿宋" w:eastAsia="仿宋" w:cs="仿宋"/>
                    </w:rPr>
                    <w:t>累计已实际支付的工程价款</w:t>
                  </w:r>
                </w:p>
              </w:tc>
              <w:tc>
                <w:tcPr>
                  <w:tcW w:w="14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Times New Roman"/>
                    </w:rPr>
                  </w:pPr>
                </w:p>
              </w:tc>
              <w:tc>
                <w:tcPr>
                  <w:tcW w:w="303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8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Times New Roman"/>
                    </w:rPr>
                  </w:pPr>
                  <w:r>
                    <w:rPr>
                      <w:rFonts w:ascii="仿宋" w:hAnsi="仿宋" w:eastAsia="仿宋" w:cs="仿宋"/>
                    </w:rPr>
                    <w:t>3</w:t>
                  </w:r>
                </w:p>
              </w:tc>
              <w:tc>
                <w:tcPr>
                  <w:tcW w:w="486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Times New Roman"/>
                    </w:rPr>
                  </w:pPr>
                  <w:r>
                    <w:rPr>
                      <w:rFonts w:hint="eastAsia" w:ascii="仿宋" w:hAnsi="仿宋" w:eastAsia="仿宋" w:cs="仿宋"/>
                    </w:rPr>
                    <w:t>本期间已完工程价款</w:t>
                  </w:r>
                </w:p>
              </w:tc>
              <w:tc>
                <w:tcPr>
                  <w:tcW w:w="14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Times New Roman"/>
                    </w:rPr>
                  </w:pPr>
                </w:p>
              </w:tc>
              <w:tc>
                <w:tcPr>
                  <w:tcW w:w="303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exact"/>
              </w:trPr>
              <w:tc>
                <w:tcPr>
                  <w:tcW w:w="8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Times New Roman"/>
                    </w:rPr>
                  </w:pPr>
                  <w:r>
                    <w:rPr>
                      <w:rFonts w:ascii="仿宋" w:hAnsi="仿宋" w:eastAsia="仿宋" w:cs="仿宋"/>
                    </w:rPr>
                    <w:t>4</w:t>
                  </w:r>
                </w:p>
              </w:tc>
              <w:tc>
                <w:tcPr>
                  <w:tcW w:w="486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Times New Roman"/>
                    </w:rPr>
                  </w:pPr>
                  <w:r>
                    <w:rPr>
                      <w:rFonts w:hint="eastAsia" w:ascii="仿宋" w:hAnsi="仿宋" w:eastAsia="仿宋" w:cs="仿宋"/>
                    </w:rPr>
                    <w:t>本期间完成的零星工作项目价款</w:t>
                  </w:r>
                </w:p>
              </w:tc>
              <w:tc>
                <w:tcPr>
                  <w:tcW w:w="14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Times New Roman"/>
                    </w:rPr>
                  </w:pPr>
                </w:p>
              </w:tc>
              <w:tc>
                <w:tcPr>
                  <w:tcW w:w="303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8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Times New Roman"/>
                    </w:rPr>
                  </w:pPr>
                  <w:r>
                    <w:rPr>
                      <w:rFonts w:ascii="仿宋" w:hAnsi="仿宋" w:eastAsia="仿宋" w:cs="仿宋"/>
                    </w:rPr>
                    <w:t>5</w:t>
                  </w:r>
                </w:p>
              </w:tc>
              <w:tc>
                <w:tcPr>
                  <w:tcW w:w="486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Times New Roman"/>
                    </w:rPr>
                  </w:pPr>
                  <w:r>
                    <w:rPr>
                      <w:rFonts w:hint="eastAsia" w:ascii="仿宋" w:hAnsi="仿宋" w:eastAsia="仿宋" w:cs="仿宋"/>
                    </w:rPr>
                    <w:t>本期间应支付的预留金价款</w:t>
                  </w:r>
                </w:p>
              </w:tc>
              <w:tc>
                <w:tcPr>
                  <w:tcW w:w="14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Times New Roman"/>
                    </w:rPr>
                  </w:pPr>
                </w:p>
              </w:tc>
              <w:tc>
                <w:tcPr>
                  <w:tcW w:w="303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exact"/>
              </w:trPr>
              <w:tc>
                <w:tcPr>
                  <w:tcW w:w="8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Times New Roman"/>
                    </w:rPr>
                  </w:pPr>
                  <w:r>
                    <w:rPr>
                      <w:rFonts w:ascii="仿宋" w:hAnsi="仿宋" w:eastAsia="仿宋" w:cs="仿宋"/>
                    </w:rPr>
                    <w:t>6</w:t>
                  </w:r>
                </w:p>
              </w:tc>
              <w:tc>
                <w:tcPr>
                  <w:tcW w:w="486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Times New Roman"/>
                    </w:rPr>
                  </w:pPr>
                  <w:r>
                    <w:rPr>
                      <w:rFonts w:hint="eastAsia" w:ascii="仿宋" w:hAnsi="仿宋" w:eastAsia="仿宋" w:cs="仿宋"/>
                    </w:rPr>
                    <w:t>本期间应支付的工程变更价款</w:t>
                  </w:r>
                </w:p>
              </w:tc>
              <w:tc>
                <w:tcPr>
                  <w:tcW w:w="14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Times New Roman"/>
                    </w:rPr>
                  </w:pPr>
                </w:p>
              </w:tc>
              <w:tc>
                <w:tcPr>
                  <w:tcW w:w="303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Times New Roman"/>
                    </w:rPr>
                  </w:pPr>
                  <w:r>
                    <w:rPr>
                      <w:rFonts w:hint="eastAsia" w:ascii="仿宋" w:hAnsi="仿宋" w:eastAsia="仿宋" w:cs="仿宋"/>
                    </w:rPr>
                    <w:t>根据第</w:t>
                  </w:r>
                  <w:r>
                    <w:rPr>
                      <w:rFonts w:ascii="仿宋" w:hAnsi="仿宋" w:eastAsia="仿宋" w:cs="仿宋"/>
                    </w:rPr>
                    <w:t>66</w:t>
                  </w:r>
                  <w:r>
                    <w:rPr>
                      <w:rFonts w:hint="eastAsia" w:ascii="仿宋" w:hAnsi="仿宋" w:eastAsia="仿宋" w:cs="仿宋"/>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exact"/>
              </w:trPr>
              <w:tc>
                <w:tcPr>
                  <w:tcW w:w="8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Times New Roman"/>
                    </w:rPr>
                  </w:pPr>
                  <w:r>
                    <w:rPr>
                      <w:rFonts w:ascii="仿宋" w:hAnsi="仿宋" w:eastAsia="仿宋" w:cs="仿宋"/>
                    </w:rPr>
                    <w:t>7</w:t>
                  </w:r>
                </w:p>
              </w:tc>
              <w:tc>
                <w:tcPr>
                  <w:tcW w:w="486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Times New Roman"/>
                    </w:rPr>
                  </w:pPr>
                  <w:r>
                    <w:rPr>
                      <w:rFonts w:hint="eastAsia" w:ascii="仿宋" w:hAnsi="仿宋" w:eastAsia="仿宋" w:cs="仿宋"/>
                    </w:rPr>
                    <w:t>本期间应支付的安全防护、文明施工措施费</w:t>
                  </w:r>
                </w:p>
              </w:tc>
              <w:tc>
                <w:tcPr>
                  <w:tcW w:w="14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Times New Roman"/>
                    </w:rPr>
                  </w:pPr>
                </w:p>
              </w:tc>
              <w:tc>
                <w:tcPr>
                  <w:tcW w:w="303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Times New Roman"/>
                    </w:rPr>
                  </w:pPr>
                  <w:r>
                    <w:rPr>
                      <w:rFonts w:hint="eastAsia" w:ascii="仿宋" w:hAnsi="仿宋" w:eastAsia="仿宋" w:cs="仿宋"/>
                    </w:rPr>
                    <w:t>根据第</w:t>
                  </w:r>
                  <w:r>
                    <w:rPr>
                      <w:rFonts w:ascii="仿宋" w:hAnsi="仿宋" w:eastAsia="仿宋" w:cs="仿宋"/>
                    </w:rPr>
                    <w:t>68</w:t>
                  </w:r>
                  <w:r>
                    <w:rPr>
                      <w:rFonts w:hint="eastAsia" w:ascii="仿宋" w:hAnsi="仿宋" w:eastAsia="仿宋" w:cs="仿宋"/>
                    </w:rPr>
                    <w:t>条至第</w:t>
                  </w:r>
                  <w:r>
                    <w:rPr>
                      <w:rFonts w:ascii="仿宋" w:hAnsi="仿宋" w:eastAsia="仿宋" w:cs="仿宋"/>
                    </w:rPr>
                    <w:t xml:space="preserve"> 76 </w:t>
                  </w:r>
                  <w:r>
                    <w:rPr>
                      <w:rFonts w:hint="eastAsia" w:ascii="仿宋" w:hAnsi="仿宋" w:eastAsia="仿宋" w:cs="仿宋"/>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trPr>
              <w:tc>
                <w:tcPr>
                  <w:tcW w:w="8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Times New Roman"/>
                    </w:rPr>
                  </w:pPr>
                  <w:r>
                    <w:rPr>
                      <w:rFonts w:ascii="仿宋" w:hAnsi="仿宋" w:eastAsia="仿宋" w:cs="仿宋"/>
                    </w:rPr>
                    <w:t>8</w:t>
                  </w:r>
                </w:p>
              </w:tc>
              <w:tc>
                <w:tcPr>
                  <w:tcW w:w="486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Times New Roman"/>
                    </w:rPr>
                  </w:pPr>
                  <w:r>
                    <w:rPr>
                      <w:rFonts w:hint="eastAsia" w:ascii="仿宋" w:hAnsi="仿宋" w:eastAsia="仿宋" w:cs="仿宋"/>
                    </w:rPr>
                    <w:t>物价和后继法律法规的调整价款</w:t>
                  </w:r>
                </w:p>
              </w:tc>
              <w:tc>
                <w:tcPr>
                  <w:tcW w:w="14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Times New Roman"/>
                    </w:rPr>
                  </w:pPr>
                </w:p>
              </w:tc>
              <w:tc>
                <w:tcPr>
                  <w:tcW w:w="303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Times New Roman"/>
                    </w:rPr>
                  </w:pPr>
                  <w:r>
                    <w:rPr>
                      <w:rFonts w:hint="eastAsia" w:ascii="仿宋" w:hAnsi="仿宋" w:eastAsia="仿宋" w:cs="仿宋"/>
                    </w:rPr>
                    <w:t>根据第</w:t>
                  </w:r>
                  <w:r>
                    <w:rPr>
                      <w:rFonts w:ascii="仿宋" w:hAnsi="仿宋" w:eastAsia="仿宋" w:cs="仿宋"/>
                    </w:rPr>
                    <w:t>79</w:t>
                  </w:r>
                  <w:r>
                    <w:rPr>
                      <w:rFonts w:hint="eastAsia" w:ascii="仿宋" w:hAnsi="仿宋" w:eastAsia="仿宋" w:cs="仿宋"/>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exact"/>
              </w:trPr>
              <w:tc>
                <w:tcPr>
                  <w:tcW w:w="8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Times New Roman"/>
                    </w:rPr>
                  </w:pPr>
                  <w:r>
                    <w:rPr>
                      <w:rFonts w:ascii="仿宋" w:hAnsi="仿宋" w:eastAsia="仿宋" w:cs="仿宋"/>
                    </w:rPr>
                    <w:t>9</w:t>
                  </w:r>
                </w:p>
              </w:tc>
              <w:tc>
                <w:tcPr>
                  <w:tcW w:w="486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Times New Roman"/>
                    </w:rPr>
                  </w:pPr>
                  <w:r>
                    <w:rPr>
                      <w:rFonts w:hint="eastAsia" w:ascii="仿宋" w:hAnsi="仿宋" w:eastAsia="仿宋" w:cs="仿宋"/>
                    </w:rPr>
                    <w:t>本期间应扣除的误期赔偿费</w:t>
                  </w:r>
                </w:p>
              </w:tc>
              <w:tc>
                <w:tcPr>
                  <w:tcW w:w="14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Times New Roman"/>
                    </w:rPr>
                  </w:pPr>
                </w:p>
              </w:tc>
              <w:tc>
                <w:tcPr>
                  <w:tcW w:w="303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Times New Roman"/>
                    </w:rPr>
                  </w:pPr>
                  <w:r>
                    <w:rPr>
                      <w:rFonts w:hint="eastAsia" w:ascii="仿宋" w:hAnsi="仿宋" w:eastAsia="仿宋" w:cs="仿宋"/>
                    </w:rPr>
                    <w:t>根据第</w:t>
                  </w:r>
                  <w:r>
                    <w:rPr>
                      <w:rFonts w:ascii="仿宋" w:hAnsi="仿宋" w:eastAsia="仿宋" w:cs="仿宋"/>
                    </w:rPr>
                    <w:t>80</w:t>
                  </w:r>
                  <w:r>
                    <w:rPr>
                      <w:rFonts w:hint="eastAsia" w:ascii="仿宋" w:hAnsi="仿宋" w:eastAsia="仿宋" w:cs="仿宋"/>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exact"/>
              </w:trPr>
              <w:tc>
                <w:tcPr>
                  <w:tcW w:w="8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Times New Roman"/>
                    </w:rPr>
                  </w:pPr>
                  <w:r>
                    <w:rPr>
                      <w:rFonts w:ascii="仿宋" w:hAnsi="仿宋" w:eastAsia="仿宋" w:cs="仿宋"/>
                    </w:rPr>
                    <w:t>10</w:t>
                  </w:r>
                </w:p>
              </w:tc>
              <w:tc>
                <w:tcPr>
                  <w:tcW w:w="486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Times New Roman"/>
                    </w:rPr>
                  </w:pPr>
                  <w:r>
                    <w:rPr>
                      <w:rFonts w:hint="eastAsia" w:ascii="仿宋" w:hAnsi="仿宋" w:eastAsia="仿宋" w:cs="仿宋"/>
                    </w:rPr>
                    <w:t>本期间应扣回的预付款</w:t>
                  </w:r>
                </w:p>
              </w:tc>
              <w:tc>
                <w:tcPr>
                  <w:tcW w:w="14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Times New Roman"/>
                    </w:rPr>
                  </w:pPr>
                </w:p>
              </w:tc>
              <w:tc>
                <w:tcPr>
                  <w:tcW w:w="303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Times New Roman"/>
                    </w:rPr>
                  </w:pPr>
                  <w:r>
                    <w:rPr>
                      <w:rFonts w:hint="eastAsia" w:ascii="仿宋" w:hAnsi="仿宋" w:eastAsia="仿宋" w:cs="仿宋"/>
                    </w:rPr>
                    <w:t>根据第</w:t>
                  </w:r>
                  <w:r>
                    <w:rPr>
                      <w:rFonts w:ascii="仿宋" w:hAnsi="仿宋" w:eastAsia="仿宋" w:cs="仿宋"/>
                    </w:rPr>
                    <w:t>84</w:t>
                  </w:r>
                  <w:r>
                    <w:rPr>
                      <w:rFonts w:hint="eastAsia" w:ascii="仿宋" w:hAnsi="仿宋" w:eastAsia="仿宋" w:cs="仿宋"/>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exact"/>
              </w:trPr>
              <w:tc>
                <w:tcPr>
                  <w:tcW w:w="8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Times New Roman"/>
                    </w:rPr>
                  </w:pPr>
                  <w:r>
                    <w:rPr>
                      <w:rFonts w:ascii="仿宋" w:hAnsi="仿宋" w:eastAsia="仿宋" w:cs="仿宋"/>
                    </w:rPr>
                    <w:t>11</w:t>
                  </w:r>
                </w:p>
              </w:tc>
              <w:tc>
                <w:tcPr>
                  <w:tcW w:w="486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Times New Roman"/>
                    </w:rPr>
                  </w:pPr>
                  <w:r>
                    <w:rPr>
                      <w:rFonts w:hint="eastAsia" w:ascii="仿宋" w:hAnsi="仿宋" w:eastAsia="仿宋" w:cs="仿宋"/>
                    </w:rPr>
                    <w:t>本期间应扣留的质量保证金</w:t>
                  </w:r>
                </w:p>
              </w:tc>
              <w:tc>
                <w:tcPr>
                  <w:tcW w:w="14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Times New Roman"/>
                    </w:rPr>
                  </w:pPr>
                </w:p>
              </w:tc>
              <w:tc>
                <w:tcPr>
                  <w:tcW w:w="303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exact"/>
              </w:trPr>
              <w:tc>
                <w:tcPr>
                  <w:tcW w:w="8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Times New Roman"/>
                    </w:rPr>
                  </w:pPr>
                  <w:r>
                    <w:rPr>
                      <w:rFonts w:ascii="仿宋" w:hAnsi="仿宋" w:eastAsia="仿宋" w:cs="仿宋"/>
                    </w:rPr>
                    <w:t>12</w:t>
                  </w:r>
                </w:p>
              </w:tc>
              <w:tc>
                <w:tcPr>
                  <w:tcW w:w="486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Times New Roman"/>
                    </w:rPr>
                  </w:pPr>
                  <w:r>
                    <w:rPr>
                      <w:rFonts w:hint="eastAsia" w:ascii="仿宋" w:hAnsi="仿宋" w:eastAsia="仿宋" w:cs="仿宋"/>
                    </w:rPr>
                    <w:t>本期间应支付或扣回（留）的其他款项</w:t>
                  </w:r>
                </w:p>
              </w:tc>
              <w:tc>
                <w:tcPr>
                  <w:tcW w:w="14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Times New Roman"/>
                    </w:rPr>
                  </w:pPr>
                </w:p>
              </w:tc>
              <w:tc>
                <w:tcPr>
                  <w:tcW w:w="303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8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Times New Roman"/>
                    </w:rPr>
                  </w:pPr>
                </w:p>
              </w:tc>
              <w:tc>
                <w:tcPr>
                  <w:tcW w:w="486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Times New Roman"/>
                    </w:rPr>
                  </w:pPr>
                </w:p>
              </w:tc>
              <w:tc>
                <w:tcPr>
                  <w:tcW w:w="14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Times New Roman"/>
                    </w:rPr>
                  </w:pPr>
                </w:p>
              </w:tc>
              <w:tc>
                <w:tcPr>
                  <w:tcW w:w="303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exact"/>
              </w:trPr>
              <w:tc>
                <w:tcPr>
                  <w:tcW w:w="8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Times New Roman"/>
                    </w:rPr>
                  </w:pPr>
                </w:p>
              </w:tc>
              <w:tc>
                <w:tcPr>
                  <w:tcW w:w="486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Times New Roman"/>
                    </w:rPr>
                  </w:pPr>
                  <w:r>
                    <w:rPr>
                      <w:rFonts w:hint="eastAsia" w:ascii="仿宋" w:hAnsi="仿宋" w:eastAsia="仿宋" w:cs="仿宋"/>
                    </w:rPr>
                    <w:t>本期间应支付的工程价款</w:t>
                  </w:r>
                </w:p>
              </w:tc>
              <w:tc>
                <w:tcPr>
                  <w:tcW w:w="14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Times New Roman"/>
                    </w:rPr>
                  </w:pPr>
                </w:p>
              </w:tc>
              <w:tc>
                <w:tcPr>
                  <w:tcW w:w="303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Times New Roman"/>
                    </w:rPr>
                  </w:pPr>
                </w:p>
              </w:tc>
            </w:tr>
          </w:tbl>
          <w:p>
            <w:pPr>
              <w:tabs>
                <w:tab w:val="left" w:pos="6912"/>
              </w:tabs>
              <w:spacing w:line="360" w:lineRule="auto"/>
              <w:rPr>
                <w:rFonts w:ascii="仿宋" w:hAnsi="仿宋" w:eastAsia="仿宋" w:cs="Times New Roman"/>
              </w:rPr>
            </w:pPr>
            <w:r>
              <w:rPr>
                <w:rFonts w:hint="eastAsia" w:ascii="仿宋" w:hAnsi="仿宋" w:eastAsia="仿宋" w:cs="仿宋"/>
                <w:sz w:val="24"/>
                <w:szCs w:val="24"/>
              </w:rPr>
              <w:t>附：</w:t>
            </w:r>
          </w:p>
          <w:p>
            <w:pPr>
              <w:tabs>
                <w:tab w:val="left" w:pos="6912"/>
              </w:tabs>
              <w:spacing w:line="360" w:lineRule="auto"/>
              <w:ind w:left="420"/>
              <w:rPr>
                <w:rFonts w:ascii="仿宋" w:hAnsi="仿宋" w:eastAsia="仿宋" w:cs="Times New Roman"/>
                <w:sz w:val="24"/>
                <w:szCs w:val="24"/>
              </w:rPr>
            </w:pPr>
            <w:r>
              <w:rPr>
                <w:rFonts w:ascii="仿宋" w:hAnsi="仿宋" w:eastAsia="仿宋" w:cs="仿宋"/>
                <w:sz w:val="24"/>
                <w:szCs w:val="24"/>
              </w:rPr>
              <w:t xml:space="preserve">1. </w:t>
            </w:r>
            <w:r>
              <w:rPr>
                <w:rFonts w:hint="eastAsia" w:ascii="仿宋" w:hAnsi="仿宋" w:eastAsia="仿宋" w:cs="仿宋"/>
                <w:sz w:val="24"/>
                <w:szCs w:val="24"/>
              </w:rPr>
              <w:t>有关证明资料；</w:t>
            </w:r>
          </w:p>
          <w:p>
            <w:pPr>
              <w:tabs>
                <w:tab w:val="left" w:pos="6912"/>
              </w:tabs>
              <w:spacing w:line="360" w:lineRule="auto"/>
              <w:ind w:left="420"/>
              <w:rPr>
                <w:rFonts w:ascii="仿宋" w:hAnsi="仿宋" w:eastAsia="仿宋" w:cs="Times New Roman"/>
                <w:sz w:val="24"/>
                <w:szCs w:val="24"/>
              </w:rPr>
            </w:pPr>
            <w:r>
              <w:rPr>
                <w:rFonts w:ascii="仿宋" w:hAnsi="仿宋" w:eastAsia="仿宋" w:cs="仿宋"/>
                <w:sz w:val="24"/>
                <w:szCs w:val="24"/>
              </w:rPr>
              <w:t xml:space="preserve">2. </w:t>
            </w:r>
            <w:r>
              <w:rPr>
                <w:rFonts w:hint="eastAsia" w:ascii="仿宋" w:hAnsi="仿宋" w:eastAsia="仿宋" w:cs="仿宋"/>
                <w:sz w:val="24"/>
                <w:szCs w:val="24"/>
              </w:rPr>
              <w:t>计算过程及说明。</w:t>
            </w:r>
          </w:p>
          <w:p>
            <w:pPr>
              <w:tabs>
                <w:tab w:val="left" w:pos="6912"/>
              </w:tabs>
              <w:spacing w:line="360" w:lineRule="auto"/>
              <w:ind w:firstLine="6720" w:firstLineChars="2800"/>
              <w:rPr>
                <w:rFonts w:ascii="仿宋" w:hAnsi="仿宋" w:eastAsia="仿宋" w:cs="Times New Roman"/>
                <w:sz w:val="24"/>
                <w:szCs w:val="24"/>
              </w:rPr>
            </w:pPr>
          </w:p>
          <w:p>
            <w:pPr>
              <w:tabs>
                <w:tab w:val="left" w:pos="6912"/>
              </w:tabs>
              <w:spacing w:line="360" w:lineRule="auto"/>
              <w:ind w:firstLine="6720" w:firstLineChars="2800"/>
              <w:rPr>
                <w:rFonts w:ascii="仿宋" w:hAnsi="仿宋" w:eastAsia="仿宋" w:cs="Times New Roman"/>
                <w:sz w:val="24"/>
                <w:szCs w:val="24"/>
              </w:rPr>
            </w:pPr>
          </w:p>
          <w:p>
            <w:pPr>
              <w:tabs>
                <w:tab w:val="left" w:pos="6912"/>
              </w:tabs>
              <w:spacing w:line="360" w:lineRule="auto"/>
              <w:ind w:firstLine="6720" w:firstLineChars="2800"/>
              <w:rPr>
                <w:rFonts w:ascii="仿宋" w:hAnsi="仿宋" w:eastAsia="仿宋" w:cs="Times New Roman"/>
                <w:sz w:val="24"/>
                <w:szCs w:val="24"/>
              </w:rPr>
            </w:pPr>
          </w:p>
          <w:p>
            <w:pPr>
              <w:tabs>
                <w:tab w:val="left" w:pos="6912"/>
              </w:tabs>
              <w:spacing w:line="360" w:lineRule="auto"/>
              <w:ind w:firstLine="6720" w:firstLineChars="2800"/>
              <w:rPr>
                <w:rFonts w:ascii="仿宋" w:hAnsi="仿宋" w:eastAsia="仿宋" w:cs="Times New Roman"/>
                <w:sz w:val="24"/>
                <w:szCs w:val="24"/>
                <w:u w:val="single"/>
              </w:rPr>
            </w:pPr>
            <w:r>
              <w:rPr>
                <w:rFonts w:hint="eastAsia" w:ascii="仿宋" w:hAnsi="仿宋" w:eastAsia="仿宋" w:cs="仿宋"/>
                <w:sz w:val="24"/>
                <w:szCs w:val="24"/>
              </w:rPr>
              <w:t>承　包　人（章）</w:t>
            </w:r>
          </w:p>
          <w:p>
            <w:pPr>
              <w:spacing w:line="360" w:lineRule="auto"/>
              <w:ind w:firstLine="6720" w:firstLineChars="2800"/>
              <w:rPr>
                <w:rFonts w:ascii="仿宋" w:hAnsi="仿宋" w:eastAsia="仿宋" w:cs="仿宋"/>
                <w:sz w:val="24"/>
                <w:szCs w:val="24"/>
                <w:u w:val="single"/>
              </w:rPr>
            </w:pPr>
            <w:r>
              <w:rPr>
                <w:rFonts w:hint="eastAsia" w:ascii="仿宋" w:hAnsi="仿宋" w:eastAsia="仿宋" w:cs="仿宋"/>
                <w:sz w:val="24"/>
                <w:szCs w:val="24"/>
              </w:rPr>
              <w:t>承包人代表</w:t>
            </w:r>
            <w:r>
              <w:rPr>
                <w:rFonts w:ascii="仿宋" w:hAnsi="仿宋" w:eastAsia="仿宋" w:cs="仿宋"/>
                <w:sz w:val="24"/>
                <w:szCs w:val="24"/>
                <w:u w:val="single"/>
              </w:rPr>
              <w:t xml:space="preserve">               </w:t>
            </w:r>
          </w:p>
          <w:p>
            <w:pPr>
              <w:tabs>
                <w:tab w:val="left" w:pos="7272"/>
              </w:tabs>
              <w:spacing w:line="360" w:lineRule="auto"/>
              <w:ind w:left="6730" w:leftChars="3205"/>
              <w:rPr>
                <w:rFonts w:ascii="仿宋" w:hAnsi="仿宋" w:eastAsia="仿宋" w:cs="Times New Roman"/>
                <w:sz w:val="24"/>
                <w:szCs w:val="24"/>
                <w:u w:val="single"/>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bl>
    <w:p>
      <w:pPr>
        <w:pStyle w:val="2"/>
        <w:adjustRightInd w:val="0"/>
        <w:snapToGrid w:val="0"/>
        <w:ind w:left="720" w:hanging="720" w:hangingChars="300"/>
        <w:rPr>
          <w:rFonts w:ascii="仿宋" w:hAnsi="仿宋" w:eastAsia="仿宋" w:cs="Times New Roman"/>
          <w:sz w:val="24"/>
          <w:szCs w:val="24"/>
        </w:rPr>
      </w:pPr>
      <w:r>
        <w:rPr>
          <w:rFonts w:hint="eastAsia" w:ascii="仿宋" w:hAnsi="仿宋" w:eastAsia="仿宋" w:cs="仿宋"/>
          <w:sz w:val="24"/>
          <w:szCs w:val="24"/>
        </w:rPr>
        <w:t>说明：本表一式五份，由承包人填制，承包人、监理单位和造价咨询单位各存一份，发包人存二份。</w:t>
      </w:r>
    </w:p>
    <w:p>
      <w:pPr>
        <w:spacing w:line="360" w:lineRule="auto"/>
        <w:outlineLvl w:val="1"/>
        <w:rPr>
          <w:rFonts w:ascii="仿宋" w:hAnsi="仿宋" w:eastAsia="仿宋" w:cs="仿宋"/>
          <w:b/>
          <w:bCs/>
          <w:color w:val="000000"/>
          <w:kern w:val="0"/>
          <w:sz w:val="24"/>
          <w:szCs w:val="24"/>
        </w:rPr>
      </w:pPr>
      <w:r>
        <w:rPr>
          <w:rFonts w:ascii="仿宋" w:hAnsi="仿宋" w:eastAsia="仿宋" w:cs="Times New Roman"/>
          <w:kern w:val="0"/>
          <w:sz w:val="24"/>
          <w:szCs w:val="24"/>
        </w:rPr>
        <w:br w:type="page"/>
      </w:r>
      <w:bookmarkStart w:id="813" w:name="_Toc469384168"/>
      <w:bookmarkStart w:id="814" w:name="_Toc266892954"/>
      <w:bookmarkStart w:id="815" w:name="_Toc10625012"/>
      <w:r>
        <w:rPr>
          <w:rFonts w:hint="eastAsia" w:ascii="仿宋" w:hAnsi="仿宋" w:eastAsia="仿宋" w:cs="仿宋"/>
          <w:b/>
          <w:bCs/>
          <w:color w:val="000000"/>
          <w:kern w:val="0"/>
          <w:sz w:val="24"/>
          <w:szCs w:val="24"/>
        </w:rPr>
        <w:t>格式</w:t>
      </w:r>
      <w:r>
        <w:rPr>
          <w:rFonts w:ascii="仿宋" w:hAnsi="仿宋" w:eastAsia="仿宋" w:cs="仿宋"/>
          <w:b/>
          <w:bCs/>
          <w:color w:val="000000"/>
          <w:kern w:val="0"/>
          <w:sz w:val="24"/>
          <w:szCs w:val="24"/>
        </w:rPr>
        <w:t>28</w:t>
      </w:r>
      <w:bookmarkEnd w:id="813"/>
      <w:bookmarkEnd w:id="814"/>
      <w:bookmarkEnd w:id="815"/>
    </w:p>
    <w:p>
      <w:pPr>
        <w:spacing w:line="360" w:lineRule="auto"/>
        <w:jc w:val="center"/>
        <w:rPr>
          <w:rFonts w:ascii="仿宋" w:hAnsi="仿宋" w:eastAsia="仿宋" w:cs="Times New Roman"/>
          <w:b/>
          <w:bCs/>
          <w:spacing w:val="30"/>
          <w:sz w:val="44"/>
          <w:szCs w:val="44"/>
        </w:rPr>
      </w:pPr>
      <w:r>
        <w:rPr>
          <w:rFonts w:hint="eastAsia" w:ascii="仿宋" w:hAnsi="仿宋" w:eastAsia="仿宋" w:cs="仿宋"/>
          <w:b/>
          <w:bCs/>
          <w:spacing w:val="30"/>
          <w:sz w:val="44"/>
          <w:szCs w:val="44"/>
        </w:rPr>
        <w:t>支付证书</w:t>
      </w:r>
    </w:p>
    <w:p>
      <w:pPr>
        <w:spacing w:line="360" w:lineRule="auto"/>
        <w:ind w:firstLine="240" w:firstLineChars="100"/>
        <w:rPr>
          <w:rFonts w:ascii="仿宋" w:hAnsi="仿宋" w:eastAsia="仿宋" w:cs="Times New Roman"/>
          <w:sz w:val="24"/>
          <w:szCs w:val="24"/>
        </w:rPr>
      </w:pPr>
      <w:r>
        <w:rPr>
          <w:rFonts w:hint="eastAsia" w:ascii="仿宋" w:hAnsi="仿宋" w:eastAsia="仿宋" w:cs="仿宋"/>
          <w:sz w:val="24"/>
          <w:szCs w:val="24"/>
        </w:rPr>
        <w:t>工程名称</w:t>
      </w:r>
      <w:r>
        <w:rPr>
          <w:rFonts w:ascii="仿宋" w:hAnsi="仿宋" w:eastAsia="仿宋" w:cs="仿宋"/>
          <w:sz w:val="24"/>
          <w:szCs w:val="24"/>
        </w:rPr>
        <w:t>:</w:t>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编号</w:t>
      </w:r>
      <w:r>
        <w:rPr>
          <w:rFonts w:ascii="仿宋" w:hAnsi="仿宋" w:eastAsia="仿宋" w:cs="仿宋"/>
          <w:sz w:val="24"/>
          <w:szCs w:val="24"/>
        </w:rPr>
        <w:t>:</w:t>
      </w:r>
    </w:p>
    <w:tbl>
      <w:tblPr>
        <w:tblStyle w:val="40"/>
        <w:tblW w:w="10260"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26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660" w:hRule="atLeast"/>
        </w:trPr>
        <w:tc>
          <w:tcPr>
            <w:tcW w:w="10260" w:type="dxa"/>
            <w:tcBorders>
              <w:bottom w:val="single" w:color="auto" w:sz="4" w:space="0"/>
            </w:tcBorders>
            <w:vAlign w:val="top"/>
          </w:tcPr>
          <w:p>
            <w:pPr>
              <w:spacing w:before="120" w:line="360" w:lineRule="auto"/>
              <w:ind w:left="-28" w:firstLine="181"/>
              <w:rPr>
                <w:rFonts w:ascii="仿宋" w:hAnsi="仿宋" w:eastAsia="仿宋" w:cs="Times New Roman"/>
                <w:sz w:val="24"/>
                <w:szCs w:val="24"/>
              </w:rPr>
            </w:pPr>
            <w:r>
              <w:rPr>
                <w:rFonts w:hint="eastAsia" w:ascii="仿宋" w:hAnsi="仿宋" w:eastAsia="仿宋" w:cs="仿宋"/>
                <w:sz w:val="24"/>
                <w:szCs w:val="24"/>
              </w:rPr>
              <w:t>致</w:t>
            </w:r>
            <w:r>
              <w:rPr>
                <w:rFonts w:ascii="仿宋" w:hAnsi="仿宋" w:eastAsia="仿宋" w:cs="仿宋"/>
                <w:sz w:val="24"/>
                <w:szCs w:val="24"/>
              </w:rPr>
              <w:t>:</w:t>
            </w:r>
            <w:r>
              <w:rPr>
                <w:rFonts w:ascii="仿宋" w:hAnsi="仿宋" w:eastAsia="仿宋" w:cs="仿宋"/>
                <w:sz w:val="24"/>
                <w:szCs w:val="24"/>
                <w:u w:val="single"/>
              </w:rPr>
              <w:t xml:space="preserve">                                             </w:t>
            </w:r>
            <w:r>
              <w:rPr>
                <w:rFonts w:hint="eastAsia" w:ascii="仿宋" w:hAnsi="仿宋" w:eastAsia="仿宋" w:cs="仿宋"/>
                <w:sz w:val="24"/>
                <w:szCs w:val="24"/>
              </w:rPr>
              <w:t>（发包人全称）</w:t>
            </w:r>
          </w:p>
          <w:p>
            <w:pPr>
              <w:spacing w:line="360" w:lineRule="auto"/>
              <w:ind w:left="-28" w:firstLine="482"/>
              <w:rPr>
                <w:rFonts w:ascii="仿宋" w:hAnsi="仿宋" w:eastAsia="仿宋" w:cs="Times New Roman"/>
                <w:sz w:val="24"/>
                <w:szCs w:val="24"/>
              </w:rPr>
            </w:pPr>
            <w:r>
              <w:rPr>
                <w:rFonts w:hint="eastAsia" w:ascii="仿宋" w:hAnsi="仿宋" w:eastAsia="仿宋" w:cs="仿宋"/>
                <w:sz w:val="24"/>
                <w:szCs w:val="24"/>
              </w:rPr>
              <w:t>根据施工合同条款</w:t>
            </w:r>
            <w:r>
              <w:rPr>
                <w:rFonts w:ascii="仿宋" w:hAnsi="仿宋" w:eastAsia="仿宋" w:cs="仿宋"/>
                <w:sz w:val="24"/>
                <w:szCs w:val="24"/>
                <w:u w:val="single"/>
              </w:rPr>
              <w:t xml:space="preserve">      </w:t>
            </w:r>
            <w:r>
              <w:rPr>
                <w:rFonts w:hint="eastAsia" w:ascii="仿宋" w:hAnsi="仿宋" w:eastAsia="仿宋" w:cs="仿宋"/>
                <w:sz w:val="24"/>
                <w:szCs w:val="24"/>
                <w:u w:val="single"/>
              </w:rPr>
              <w:t>　</w:t>
            </w:r>
            <w:r>
              <w:rPr>
                <w:rFonts w:hint="eastAsia" w:ascii="仿宋" w:hAnsi="仿宋" w:eastAsia="仿宋" w:cs="仿宋"/>
                <w:sz w:val="24"/>
                <w:szCs w:val="24"/>
              </w:rPr>
              <w:t>的规定，经核实承包人提出的已完工程款额报告（编号</w:t>
            </w:r>
            <w:r>
              <w:rPr>
                <w:rFonts w:ascii="仿宋" w:hAnsi="仿宋" w:eastAsia="仿宋" w:cs="仿宋"/>
                <w:sz w:val="24"/>
                <w:szCs w:val="24"/>
              </w:rPr>
              <w:t xml:space="preserve">   </w:t>
            </w:r>
            <w:r>
              <w:rPr>
                <w:rFonts w:hint="eastAsia" w:ascii="仿宋" w:hAnsi="仿宋" w:eastAsia="仿宋" w:cs="仿宋"/>
                <w:sz w:val="24"/>
                <w:szCs w:val="24"/>
              </w:rPr>
              <w:t>　</w:t>
            </w:r>
            <w:r>
              <w:rPr>
                <w:rFonts w:ascii="仿宋" w:hAnsi="仿宋" w:eastAsia="仿宋" w:cs="仿宋"/>
                <w:sz w:val="24"/>
                <w:szCs w:val="24"/>
              </w:rPr>
              <w:t xml:space="preserve"> </w:t>
            </w:r>
            <w:r>
              <w:rPr>
                <w:rFonts w:hint="eastAsia" w:ascii="仿宋" w:hAnsi="仿宋" w:eastAsia="仿宋" w:cs="仿宋"/>
                <w:sz w:val="24"/>
                <w:szCs w:val="24"/>
              </w:rPr>
              <w:t>）和支付申请报告（编号</w:t>
            </w:r>
            <w:r>
              <w:rPr>
                <w:rFonts w:ascii="仿宋" w:hAnsi="仿宋" w:eastAsia="仿宋" w:cs="仿宋"/>
                <w:sz w:val="24"/>
                <w:szCs w:val="24"/>
              </w:rPr>
              <w:t xml:space="preserve">      </w:t>
            </w:r>
            <w:r>
              <w:rPr>
                <w:rFonts w:hint="eastAsia" w:ascii="仿宋" w:hAnsi="仿宋" w:eastAsia="仿宋" w:cs="仿宋"/>
                <w:sz w:val="24"/>
                <w:szCs w:val="24"/>
              </w:rPr>
              <w:t>　），于</w:t>
            </w:r>
            <w:r>
              <w:rPr>
                <w:rFonts w:ascii="仿宋" w:hAnsi="仿宋" w:eastAsia="仿宋" w:cs="仿宋"/>
                <w:sz w:val="24"/>
                <w:szCs w:val="24"/>
                <w:u w:val="single"/>
              </w:rPr>
              <w:t xml:space="preserve">          </w:t>
            </w:r>
            <w:r>
              <w:rPr>
                <w:rFonts w:hint="eastAsia" w:ascii="仿宋" w:hAnsi="仿宋" w:eastAsia="仿宋" w:cs="仿宋"/>
                <w:sz w:val="24"/>
                <w:szCs w:val="24"/>
              </w:rPr>
              <w:t>至</w:t>
            </w:r>
            <w:r>
              <w:rPr>
                <w:rFonts w:ascii="仿宋" w:hAnsi="仿宋" w:eastAsia="仿宋" w:cs="仿宋"/>
                <w:sz w:val="24"/>
                <w:szCs w:val="24"/>
                <w:u w:val="single"/>
              </w:rPr>
              <w:t xml:space="preserve">          </w:t>
            </w:r>
            <w:r>
              <w:rPr>
                <w:rFonts w:hint="eastAsia" w:ascii="仿宋" w:hAnsi="仿宋" w:eastAsia="仿宋" w:cs="仿宋"/>
                <w:sz w:val="24"/>
                <w:szCs w:val="24"/>
              </w:rPr>
              <w:t>期间</w:t>
            </w:r>
            <w:r>
              <w:rPr>
                <w:rFonts w:ascii="仿宋" w:hAnsi="仿宋" w:eastAsia="仿宋" w:cs="仿宋"/>
                <w:sz w:val="24"/>
                <w:szCs w:val="24"/>
              </w:rPr>
              <w:t>,</w:t>
            </w:r>
            <w:r>
              <w:rPr>
                <w:rFonts w:hint="eastAsia" w:ascii="仿宋" w:hAnsi="仿宋" w:eastAsia="仿宋" w:cs="仿宋"/>
                <w:sz w:val="24"/>
                <w:szCs w:val="24"/>
              </w:rPr>
              <w:t>同意本期间支付工程款（大写）</w:t>
            </w:r>
            <w:r>
              <w:rPr>
                <w:rFonts w:ascii="仿宋" w:hAnsi="仿宋" w:eastAsia="仿宋" w:cs="仿宋"/>
                <w:sz w:val="24"/>
                <w:szCs w:val="24"/>
                <w:u w:val="single"/>
              </w:rPr>
              <w:t xml:space="preserve">                         </w:t>
            </w:r>
            <w:r>
              <w:rPr>
                <w:rFonts w:hint="eastAsia" w:ascii="仿宋" w:hAnsi="仿宋" w:eastAsia="仿宋" w:cs="仿宋"/>
                <w:sz w:val="24"/>
                <w:szCs w:val="24"/>
              </w:rPr>
              <w:t>（小写</w:t>
            </w:r>
            <w:r>
              <w:rPr>
                <w:rFonts w:ascii="仿宋" w:hAnsi="仿宋" w:eastAsia="仿宋" w:cs="仿宋"/>
                <w:sz w:val="24"/>
                <w:szCs w:val="24"/>
                <w:u w:val="single"/>
              </w:rPr>
              <w:t xml:space="preserve">            </w:t>
            </w:r>
            <w:r>
              <w:rPr>
                <w:rFonts w:hint="eastAsia" w:ascii="仿宋" w:hAnsi="仿宋" w:eastAsia="仿宋" w:cs="仿宋"/>
                <w:sz w:val="24"/>
                <w:szCs w:val="24"/>
              </w:rPr>
              <w:t>）。请按合同规定时间内向承包人支付工程价款。其中：</w:t>
            </w:r>
          </w:p>
          <w:p>
            <w:pPr>
              <w:spacing w:line="360" w:lineRule="auto"/>
              <w:rPr>
                <w:rFonts w:ascii="仿宋" w:hAnsi="仿宋" w:eastAsia="仿宋" w:cs="Times New Roman"/>
                <w:sz w:val="24"/>
                <w:szCs w:val="24"/>
              </w:rPr>
            </w:pPr>
            <w:r>
              <w:rPr>
                <w:rFonts w:hint="eastAsia" w:ascii="仿宋" w:hAnsi="仿宋" w:eastAsia="仿宋" w:cs="仿宋"/>
                <w:sz w:val="24"/>
                <w:szCs w:val="24"/>
              </w:rPr>
              <w:t>１．承包人申报款为：</w:t>
            </w:r>
          </w:p>
          <w:p>
            <w:pPr>
              <w:spacing w:line="360" w:lineRule="auto"/>
              <w:rPr>
                <w:rFonts w:ascii="仿宋" w:hAnsi="仿宋" w:eastAsia="仿宋" w:cs="Times New Roman"/>
                <w:sz w:val="24"/>
                <w:szCs w:val="24"/>
              </w:rPr>
            </w:pPr>
            <w:r>
              <w:rPr>
                <w:rFonts w:hint="eastAsia" w:ascii="仿宋" w:hAnsi="仿宋" w:eastAsia="仿宋" w:cs="仿宋"/>
                <w:sz w:val="24"/>
                <w:szCs w:val="24"/>
              </w:rPr>
              <w:t>２．经复核承包人应得款为：</w:t>
            </w:r>
          </w:p>
          <w:p>
            <w:pPr>
              <w:spacing w:line="360" w:lineRule="auto"/>
              <w:rPr>
                <w:rFonts w:ascii="仿宋" w:hAnsi="仿宋" w:eastAsia="仿宋" w:cs="Times New Roman"/>
                <w:sz w:val="24"/>
                <w:szCs w:val="24"/>
              </w:rPr>
            </w:pPr>
            <w:r>
              <w:rPr>
                <w:rFonts w:hint="eastAsia" w:ascii="仿宋" w:hAnsi="仿宋" w:eastAsia="仿宋" w:cs="仿宋"/>
                <w:sz w:val="24"/>
                <w:szCs w:val="24"/>
              </w:rPr>
              <w:t>３．本期应扣款为：</w:t>
            </w:r>
          </w:p>
          <w:p>
            <w:pPr>
              <w:spacing w:line="360" w:lineRule="auto"/>
              <w:rPr>
                <w:rFonts w:ascii="仿宋" w:hAnsi="仿宋" w:eastAsia="仿宋" w:cs="Times New Roman"/>
                <w:sz w:val="24"/>
                <w:szCs w:val="24"/>
              </w:rPr>
            </w:pPr>
            <w:r>
              <w:rPr>
                <w:rFonts w:hint="eastAsia" w:ascii="仿宋" w:hAnsi="仿宋" w:eastAsia="仿宋" w:cs="仿宋"/>
                <w:sz w:val="24"/>
                <w:szCs w:val="24"/>
              </w:rPr>
              <w:t>４．本期应付款为：</w:t>
            </w:r>
          </w:p>
          <w:p>
            <w:pPr>
              <w:spacing w:line="360" w:lineRule="auto"/>
              <w:ind w:left="-28" w:firstLine="482"/>
              <w:rPr>
                <w:rFonts w:ascii="仿宋" w:hAnsi="仿宋" w:eastAsia="仿宋" w:cs="Times New Roman"/>
                <w:sz w:val="24"/>
                <w:szCs w:val="24"/>
              </w:rPr>
            </w:pPr>
            <w:r>
              <w:rPr>
                <w:rFonts w:hint="eastAsia" w:ascii="仿宋" w:hAnsi="仿宋" w:eastAsia="仿宋" w:cs="仿宋"/>
                <w:sz w:val="24"/>
                <w:szCs w:val="24"/>
              </w:rPr>
              <w:t>具体细目如下：</w:t>
            </w:r>
          </w:p>
          <w:tbl>
            <w:tblPr>
              <w:tblStyle w:val="40"/>
              <w:tblW w:w="8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4206"/>
              <w:gridCol w:w="1371"/>
              <w:gridCol w:w="2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6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Times New Roman"/>
                    </w:rPr>
                  </w:pPr>
                  <w:r>
                    <w:rPr>
                      <w:rFonts w:hint="eastAsia" w:ascii="仿宋" w:hAnsi="仿宋" w:eastAsia="仿宋" w:cs="仿宋"/>
                    </w:rPr>
                    <w:t>序号</w:t>
                  </w:r>
                </w:p>
              </w:tc>
              <w:tc>
                <w:tcPr>
                  <w:tcW w:w="42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Times New Roman"/>
                    </w:rPr>
                  </w:pPr>
                  <w:r>
                    <w:rPr>
                      <w:rFonts w:hint="eastAsia" w:ascii="仿宋" w:hAnsi="仿宋" w:eastAsia="仿宋" w:cs="仿宋"/>
                    </w:rPr>
                    <w:t>名</w:t>
                  </w:r>
                  <w:r>
                    <w:rPr>
                      <w:rFonts w:ascii="仿宋" w:hAnsi="仿宋" w:eastAsia="仿宋" w:cs="仿宋"/>
                    </w:rPr>
                    <w:t xml:space="preserve">           </w:t>
                  </w:r>
                  <w:r>
                    <w:rPr>
                      <w:rFonts w:hint="eastAsia" w:ascii="仿宋" w:hAnsi="仿宋" w:eastAsia="仿宋" w:cs="仿宋"/>
                    </w:rPr>
                    <w:t>称</w:t>
                  </w:r>
                </w:p>
              </w:tc>
              <w:tc>
                <w:tcPr>
                  <w:tcW w:w="13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Times New Roman"/>
                    </w:rPr>
                  </w:pPr>
                  <w:r>
                    <w:rPr>
                      <w:rFonts w:hint="eastAsia" w:ascii="仿宋" w:hAnsi="仿宋" w:eastAsia="仿宋" w:cs="仿宋"/>
                    </w:rPr>
                    <w:t>金</w:t>
                  </w:r>
                  <w:r>
                    <w:rPr>
                      <w:rFonts w:ascii="仿宋" w:hAnsi="仿宋" w:eastAsia="仿宋" w:cs="仿宋"/>
                    </w:rPr>
                    <w:t xml:space="preserve"> </w:t>
                  </w:r>
                  <w:r>
                    <w:rPr>
                      <w:rFonts w:hint="eastAsia" w:ascii="仿宋" w:hAnsi="仿宋" w:eastAsia="仿宋" w:cs="仿宋"/>
                    </w:rPr>
                    <w:t>额（元）</w:t>
                  </w:r>
                </w:p>
              </w:tc>
              <w:tc>
                <w:tcPr>
                  <w:tcW w:w="24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Times New Roman"/>
                    </w:rPr>
                  </w:pPr>
                  <w:r>
                    <w:rPr>
                      <w:rFonts w:hint="eastAsia" w:ascii="仿宋" w:hAnsi="仿宋" w:eastAsia="仿宋" w:cs="仿宋"/>
                    </w:rPr>
                    <w:t>备</w:t>
                  </w:r>
                  <w:r>
                    <w:rPr>
                      <w:rFonts w:ascii="仿宋" w:hAnsi="仿宋" w:eastAsia="仿宋" w:cs="仿宋"/>
                    </w:rPr>
                    <w:t xml:space="preserve">       </w:t>
                  </w:r>
                  <w:r>
                    <w:rPr>
                      <w:rFonts w:hint="eastAsia" w:ascii="仿宋" w:hAnsi="仿宋" w:eastAsia="仿宋" w:cs="仿宋"/>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exact"/>
              </w:trPr>
              <w:tc>
                <w:tcPr>
                  <w:tcW w:w="6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Times New Roman"/>
                    </w:rPr>
                  </w:pPr>
                  <w:r>
                    <w:rPr>
                      <w:rFonts w:ascii="仿宋" w:hAnsi="仿宋" w:eastAsia="仿宋" w:cs="仿宋"/>
                    </w:rPr>
                    <w:t>1</w:t>
                  </w:r>
                </w:p>
              </w:tc>
              <w:tc>
                <w:tcPr>
                  <w:tcW w:w="420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Times New Roman"/>
                    </w:rPr>
                  </w:pPr>
                  <w:r>
                    <w:rPr>
                      <w:rFonts w:hint="eastAsia" w:ascii="仿宋" w:hAnsi="仿宋" w:eastAsia="仿宋" w:cs="仿宋"/>
                    </w:rPr>
                    <w:t>累计已完工程价款</w:t>
                  </w:r>
                </w:p>
              </w:tc>
              <w:tc>
                <w:tcPr>
                  <w:tcW w:w="13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Times New Roman"/>
                    </w:rPr>
                  </w:pPr>
                </w:p>
              </w:tc>
              <w:tc>
                <w:tcPr>
                  <w:tcW w:w="242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exact"/>
              </w:trPr>
              <w:tc>
                <w:tcPr>
                  <w:tcW w:w="6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Times New Roman"/>
                    </w:rPr>
                  </w:pPr>
                  <w:r>
                    <w:rPr>
                      <w:rFonts w:ascii="仿宋" w:hAnsi="仿宋" w:eastAsia="仿宋" w:cs="仿宋"/>
                    </w:rPr>
                    <w:t>2</w:t>
                  </w:r>
                </w:p>
              </w:tc>
              <w:tc>
                <w:tcPr>
                  <w:tcW w:w="420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Times New Roman"/>
                    </w:rPr>
                  </w:pPr>
                  <w:r>
                    <w:rPr>
                      <w:rFonts w:hint="eastAsia" w:ascii="仿宋" w:hAnsi="仿宋" w:eastAsia="仿宋" w:cs="仿宋"/>
                    </w:rPr>
                    <w:t>累计已实际支付的工程价款</w:t>
                  </w:r>
                </w:p>
              </w:tc>
              <w:tc>
                <w:tcPr>
                  <w:tcW w:w="13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Times New Roman"/>
                    </w:rPr>
                  </w:pPr>
                </w:p>
              </w:tc>
              <w:tc>
                <w:tcPr>
                  <w:tcW w:w="242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exact"/>
              </w:trPr>
              <w:tc>
                <w:tcPr>
                  <w:tcW w:w="6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Times New Roman"/>
                    </w:rPr>
                  </w:pPr>
                  <w:r>
                    <w:rPr>
                      <w:rFonts w:ascii="仿宋" w:hAnsi="仿宋" w:eastAsia="仿宋" w:cs="仿宋"/>
                    </w:rPr>
                    <w:t>3</w:t>
                  </w:r>
                </w:p>
              </w:tc>
              <w:tc>
                <w:tcPr>
                  <w:tcW w:w="420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Times New Roman"/>
                    </w:rPr>
                  </w:pPr>
                  <w:r>
                    <w:rPr>
                      <w:rFonts w:hint="eastAsia" w:ascii="仿宋" w:hAnsi="仿宋" w:eastAsia="仿宋" w:cs="仿宋"/>
                    </w:rPr>
                    <w:t>本期间已完工程价款</w:t>
                  </w:r>
                </w:p>
              </w:tc>
              <w:tc>
                <w:tcPr>
                  <w:tcW w:w="13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Times New Roman"/>
                    </w:rPr>
                  </w:pPr>
                </w:p>
              </w:tc>
              <w:tc>
                <w:tcPr>
                  <w:tcW w:w="242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trPr>
              <w:tc>
                <w:tcPr>
                  <w:tcW w:w="6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Times New Roman"/>
                    </w:rPr>
                  </w:pPr>
                  <w:r>
                    <w:rPr>
                      <w:rFonts w:ascii="仿宋" w:hAnsi="仿宋" w:eastAsia="仿宋" w:cs="仿宋"/>
                    </w:rPr>
                    <w:t>4</w:t>
                  </w:r>
                </w:p>
              </w:tc>
              <w:tc>
                <w:tcPr>
                  <w:tcW w:w="420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Times New Roman"/>
                    </w:rPr>
                  </w:pPr>
                  <w:r>
                    <w:rPr>
                      <w:rFonts w:hint="eastAsia" w:ascii="仿宋" w:hAnsi="仿宋" w:eastAsia="仿宋" w:cs="仿宋"/>
                    </w:rPr>
                    <w:t>本期间完成的零星工作项目价款</w:t>
                  </w:r>
                </w:p>
              </w:tc>
              <w:tc>
                <w:tcPr>
                  <w:tcW w:w="13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Times New Roman"/>
                    </w:rPr>
                  </w:pPr>
                </w:p>
              </w:tc>
              <w:tc>
                <w:tcPr>
                  <w:tcW w:w="242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exact"/>
              </w:trPr>
              <w:tc>
                <w:tcPr>
                  <w:tcW w:w="6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Times New Roman"/>
                    </w:rPr>
                  </w:pPr>
                  <w:r>
                    <w:rPr>
                      <w:rFonts w:ascii="仿宋" w:hAnsi="仿宋" w:eastAsia="仿宋" w:cs="仿宋"/>
                    </w:rPr>
                    <w:t>5</w:t>
                  </w:r>
                </w:p>
              </w:tc>
              <w:tc>
                <w:tcPr>
                  <w:tcW w:w="420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Times New Roman"/>
                    </w:rPr>
                  </w:pPr>
                  <w:r>
                    <w:rPr>
                      <w:rFonts w:hint="eastAsia" w:ascii="仿宋" w:hAnsi="仿宋" w:eastAsia="仿宋" w:cs="仿宋"/>
                    </w:rPr>
                    <w:t>本期间应支付的预留金价款</w:t>
                  </w:r>
                </w:p>
              </w:tc>
              <w:tc>
                <w:tcPr>
                  <w:tcW w:w="13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Times New Roman"/>
                    </w:rPr>
                  </w:pPr>
                </w:p>
              </w:tc>
              <w:tc>
                <w:tcPr>
                  <w:tcW w:w="242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exact"/>
              </w:trPr>
              <w:tc>
                <w:tcPr>
                  <w:tcW w:w="6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Times New Roman"/>
                    </w:rPr>
                  </w:pPr>
                  <w:r>
                    <w:rPr>
                      <w:rFonts w:ascii="仿宋" w:hAnsi="仿宋" w:eastAsia="仿宋" w:cs="仿宋"/>
                    </w:rPr>
                    <w:t>6</w:t>
                  </w:r>
                </w:p>
              </w:tc>
              <w:tc>
                <w:tcPr>
                  <w:tcW w:w="420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Times New Roman"/>
                    </w:rPr>
                  </w:pPr>
                  <w:r>
                    <w:rPr>
                      <w:rFonts w:hint="eastAsia" w:ascii="仿宋" w:hAnsi="仿宋" w:eastAsia="仿宋" w:cs="仿宋"/>
                    </w:rPr>
                    <w:t>本期间应支付的工程变更价款</w:t>
                  </w:r>
                </w:p>
              </w:tc>
              <w:tc>
                <w:tcPr>
                  <w:tcW w:w="13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Times New Roman"/>
                    </w:rPr>
                  </w:pPr>
                </w:p>
              </w:tc>
              <w:tc>
                <w:tcPr>
                  <w:tcW w:w="242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Times New Roman"/>
                    </w:rPr>
                  </w:pPr>
                  <w:r>
                    <w:rPr>
                      <w:rFonts w:hint="eastAsia" w:ascii="仿宋" w:hAnsi="仿宋" w:eastAsia="仿宋" w:cs="仿宋"/>
                    </w:rPr>
                    <w:t>根据第</w:t>
                  </w:r>
                  <w:r>
                    <w:rPr>
                      <w:rFonts w:ascii="仿宋" w:hAnsi="仿宋" w:eastAsia="仿宋" w:cs="仿宋"/>
                    </w:rPr>
                    <w:t>66</w:t>
                  </w:r>
                  <w:r>
                    <w:rPr>
                      <w:rFonts w:hint="eastAsia" w:ascii="仿宋" w:hAnsi="仿宋" w:eastAsia="仿宋" w:cs="仿宋"/>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exact"/>
              </w:trPr>
              <w:tc>
                <w:tcPr>
                  <w:tcW w:w="6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Times New Roman"/>
                    </w:rPr>
                  </w:pPr>
                  <w:r>
                    <w:rPr>
                      <w:rFonts w:ascii="仿宋" w:hAnsi="仿宋" w:eastAsia="仿宋" w:cs="仿宋"/>
                    </w:rPr>
                    <w:t>7</w:t>
                  </w:r>
                </w:p>
              </w:tc>
              <w:tc>
                <w:tcPr>
                  <w:tcW w:w="420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Times New Roman"/>
                    </w:rPr>
                  </w:pPr>
                  <w:r>
                    <w:rPr>
                      <w:rFonts w:hint="eastAsia" w:ascii="仿宋" w:hAnsi="仿宋" w:eastAsia="仿宋" w:cs="仿宋"/>
                    </w:rPr>
                    <w:t>本期间应支付的安全防护、文明施工措施费</w:t>
                  </w:r>
                </w:p>
              </w:tc>
              <w:tc>
                <w:tcPr>
                  <w:tcW w:w="13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Times New Roman"/>
                    </w:rPr>
                  </w:pPr>
                </w:p>
              </w:tc>
              <w:tc>
                <w:tcPr>
                  <w:tcW w:w="242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Times New Roman"/>
                    </w:rPr>
                  </w:pPr>
                  <w:r>
                    <w:rPr>
                      <w:rFonts w:hint="eastAsia" w:ascii="仿宋" w:hAnsi="仿宋" w:eastAsia="仿宋" w:cs="仿宋"/>
                    </w:rPr>
                    <w:t>根据第</w:t>
                  </w:r>
                  <w:r>
                    <w:rPr>
                      <w:rFonts w:ascii="仿宋" w:hAnsi="仿宋" w:eastAsia="仿宋" w:cs="仿宋"/>
                    </w:rPr>
                    <w:t>68</w:t>
                  </w:r>
                  <w:r>
                    <w:rPr>
                      <w:rFonts w:hint="eastAsia" w:ascii="仿宋" w:hAnsi="仿宋" w:eastAsia="仿宋" w:cs="仿宋"/>
                    </w:rPr>
                    <w:t>条至第</w:t>
                  </w:r>
                  <w:r>
                    <w:rPr>
                      <w:rFonts w:ascii="仿宋" w:hAnsi="仿宋" w:eastAsia="仿宋" w:cs="仿宋"/>
                    </w:rPr>
                    <w:t xml:space="preserve"> 76 </w:t>
                  </w:r>
                  <w:r>
                    <w:rPr>
                      <w:rFonts w:hint="eastAsia" w:ascii="仿宋" w:hAnsi="仿宋" w:eastAsia="仿宋" w:cs="仿宋"/>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exact"/>
              </w:trPr>
              <w:tc>
                <w:tcPr>
                  <w:tcW w:w="6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Times New Roman"/>
                    </w:rPr>
                  </w:pPr>
                  <w:r>
                    <w:rPr>
                      <w:rFonts w:ascii="仿宋" w:hAnsi="仿宋" w:eastAsia="仿宋" w:cs="仿宋"/>
                    </w:rPr>
                    <w:t>8</w:t>
                  </w:r>
                </w:p>
              </w:tc>
              <w:tc>
                <w:tcPr>
                  <w:tcW w:w="420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Times New Roman"/>
                    </w:rPr>
                  </w:pPr>
                  <w:r>
                    <w:rPr>
                      <w:rFonts w:hint="eastAsia" w:ascii="仿宋" w:hAnsi="仿宋" w:eastAsia="仿宋" w:cs="仿宋"/>
                    </w:rPr>
                    <w:t>物价和后继法律法规的调整价款</w:t>
                  </w:r>
                </w:p>
              </w:tc>
              <w:tc>
                <w:tcPr>
                  <w:tcW w:w="13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Times New Roman"/>
                    </w:rPr>
                  </w:pPr>
                </w:p>
              </w:tc>
              <w:tc>
                <w:tcPr>
                  <w:tcW w:w="242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Times New Roman"/>
                    </w:rPr>
                  </w:pPr>
                  <w:r>
                    <w:rPr>
                      <w:rFonts w:hint="eastAsia" w:ascii="仿宋" w:hAnsi="仿宋" w:eastAsia="仿宋" w:cs="仿宋"/>
                    </w:rPr>
                    <w:t>根据第</w:t>
                  </w:r>
                  <w:r>
                    <w:rPr>
                      <w:rFonts w:ascii="仿宋" w:hAnsi="仿宋" w:eastAsia="仿宋" w:cs="仿宋"/>
                    </w:rPr>
                    <w:t>79</w:t>
                  </w:r>
                  <w:r>
                    <w:rPr>
                      <w:rFonts w:hint="eastAsia" w:ascii="仿宋" w:hAnsi="仿宋" w:eastAsia="仿宋" w:cs="仿宋"/>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exact"/>
              </w:trPr>
              <w:tc>
                <w:tcPr>
                  <w:tcW w:w="6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Times New Roman"/>
                    </w:rPr>
                  </w:pPr>
                  <w:r>
                    <w:rPr>
                      <w:rFonts w:ascii="仿宋" w:hAnsi="仿宋" w:eastAsia="仿宋" w:cs="仿宋"/>
                    </w:rPr>
                    <w:t>9</w:t>
                  </w:r>
                </w:p>
              </w:tc>
              <w:tc>
                <w:tcPr>
                  <w:tcW w:w="420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Times New Roman"/>
                    </w:rPr>
                  </w:pPr>
                  <w:r>
                    <w:rPr>
                      <w:rFonts w:hint="eastAsia" w:ascii="仿宋" w:hAnsi="仿宋" w:eastAsia="仿宋" w:cs="仿宋"/>
                    </w:rPr>
                    <w:t>本期间应扣除的误期赔偿费</w:t>
                  </w:r>
                </w:p>
              </w:tc>
              <w:tc>
                <w:tcPr>
                  <w:tcW w:w="13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Times New Roman"/>
                    </w:rPr>
                  </w:pPr>
                </w:p>
              </w:tc>
              <w:tc>
                <w:tcPr>
                  <w:tcW w:w="242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Times New Roman"/>
                    </w:rPr>
                  </w:pPr>
                  <w:r>
                    <w:rPr>
                      <w:rFonts w:hint="eastAsia" w:ascii="仿宋" w:hAnsi="仿宋" w:eastAsia="仿宋" w:cs="仿宋"/>
                    </w:rPr>
                    <w:t>根据第</w:t>
                  </w:r>
                  <w:r>
                    <w:rPr>
                      <w:rFonts w:ascii="仿宋" w:hAnsi="仿宋" w:eastAsia="仿宋" w:cs="仿宋"/>
                    </w:rPr>
                    <w:t>80</w:t>
                  </w:r>
                  <w:r>
                    <w:rPr>
                      <w:rFonts w:hint="eastAsia" w:ascii="仿宋" w:hAnsi="仿宋" w:eastAsia="仿宋" w:cs="仿宋"/>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exact"/>
              </w:trPr>
              <w:tc>
                <w:tcPr>
                  <w:tcW w:w="6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Times New Roman"/>
                    </w:rPr>
                  </w:pPr>
                  <w:r>
                    <w:rPr>
                      <w:rFonts w:ascii="仿宋" w:hAnsi="仿宋" w:eastAsia="仿宋" w:cs="仿宋"/>
                    </w:rPr>
                    <w:t>10</w:t>
                  </w:r>
                </w:p>
              </w:tc>
              <w:tc>
                <w:tcPr>
                  <w:tcW w:w="420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Times New Roman"/>
                    </w:rPr>
                  </w:pPr>
                  <w:r>
                    <w:rPr>
                      <w:rFonts w:hint="eastAsia" w:ascii="仿宋" w:hAnsi="仿宋" w:eastAsia="仿宋" w:cs="仿宋"/>
                    </w:rPr>
                    <w:t>本期间应扣回的预付款</w:t>
                  </w:r>
                </w:p>
              </w:tc>
              <w:tc>
                <w:tcPr>
                  <w:tcW w:w="13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Times New Roman"/>
                    </w:rPr>
                  </w:pPr>
                </w:p>
              </w:tc>
              <w:tc>
                <w:tcPr>
                  <w:tcW w:w="242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Times New Roman"/>
                    </w:rPr>
                  </w:pPr>
                  <w:r>
                    <w:rPr>
                      <w:rFonts w:hint="eastAsia" w:ascii="仿宋" w:hAnsi="仿宋" w:eastAsia="仿宋" w:cs="仿宋"/>
                    </w:rPr>
                    <w:t>根据第</w:t>
                  </w:r>
                  <w:r>
                    <w:rPr>
                      <w:rFonts w:ascii="仿宋" w:hAnsi="仿宋" w:eastAsia="仿宋" w:cs="仿宋"/>
                    </w:rPr>
                    <w:t>84</w:t>
                  </w:r>
                  <w:r>
                    <w:rPr>
                      <w:rFonts w:hint="eastAsia" w:ascii="仿宋" w:hAnsi="仿宋" w:eastAsia="仿宋" w:cs="仿宋"/>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exact"/>
              </w:trPr>
              <w:tc>
                <w:tcPr>
                  <w:tcW w:w="6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Times New Roman"/>
                    </w:rPr>
                  </w:pPr>
                  <w:r>
                    <w:rPr>
                      <w:rFonts w:ascii="仿宋" w:hAnsi="仿宋" w:eastAsia="仿宋" w:cs="仿宋"/>
                    </w:rPr>
                    <w:t>11</w:t>
                  </w:r>
                </w:p>
              </w:tc>
              <w:tc>
                <w:tcPr>
                  <w:tcW w:w="420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Times New Roman"/>
                    </w:rPr>
                  </w:pPr>
                  <w:r>
                    <w:rPr>
                      <w:rFonts w:hint="eastAsia" w:ascii="仿宋" w:hAnsi="仿宋" w:eastAsia="仿宋" w:cs="仿宋"/>
                    </w:rPr>
                    <w:t>本期间应扣留的质量保证金</w:t>
                  </w:r>
                </w:p>
              </w:tc>
              <w:tc>
                <w:tcPr>
                  <w:tcW w:w="13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Times New Roman"/>
                    </w:rPr>
                  </w:pPr>
                </w:p>
              </w:tc>
              <w:tc>
                <w:tcPr>
                  <w:tcW w:w="242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exact"/>
              </w:trPr>
              <w:tc>
                <w:tcPr>
                  <w:tcW w:w="6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Times New Roman"/>
                    </w:rPr>
                  </w:pPr>
                  <w:r>
                    <w:rPr>
                      <w:rFonts w:ascii="仿宋" w:hAnsi="仿宋" w:eastAsia="仿宋" w:cs="仿宋"/>
                    </w:rPr>
                    <w:t>12</w:t>
                  </w:r>
                </w:p>
              </w:tc>
              <w:tc>
                <w:tcPr>
                  <w:tcW w:w="420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Times New Roman"/>
                    </w:rPr>
                  </w:pPr>
                  <w:r>
                    <w:rPr>
                      <w:rFonts w:hint="eastAsia" w:ascii="仿宋" w:hAnsi="仿宋" w:eastAsia="仿宋" w:cs="仿宋"/>
                    </w:rPr>
                    <w:t>本期间应支付或扣回（留）的其他款项</w:t>
                  </w:r>
                </w:p>
              </w:tc>
              <w:tc>
                <w:tcPr>
                  <w:tcW w:w="13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Times New Roman"/>
                    </w:rPr>
                  </w:pPr>
                </w:p>
              </w:tc>
              <w:tc>
                <w:tcPr>
                  <w:tcW w:w="242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6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Times New Roman"/>
                    </w:rPr>
                  </w:pPr>
                </w:p>
              </w:tc>
              <w:tc>
                <w:tcPr>
                  <w:tcW w:w="420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Times New Roman"/>
                    </w:rPr>
                  </w:pPr>
                </w:p>
              </w:tc>
              <w:tc>
                <w:tcPr>
                  <w:tcW w:w="13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Times New Roman"/>
                    </w:rPr>
                  </w:pPr>
                </w:p>
              </w:tc>
              <w:tc>
                <w:tcPr>
                  <w:tcW w:w="242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exact"/>
              </w:trPr>
              <w:tc>
                <w:tcPr>
                  <w:tcW w:w="6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Times New Roman"/>
                    </w:rPr>
                  </w:pPr>
                </w:p>
              </w:tc>
              <w:tc>
                <w:tcPr>
                  <w:tcW w:w="420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Times New Roman"/>
                    </w:rPr>
                  </w:pPr>
                  <w:r>
                    <w:rPr>
                      <w:rFonts w:hint="eastAsia" w:ascii="仿宋" w:hAnsi="仿宋" w:eastAsia="仿宋" w:cs="仿宋"/>
                    </w:rPr>
                    <w:t>本期间应支付的工程价款</w:t>
                  </w:r>
                </w:p>
              </w:tc>
              <w:tc>
                <w:tcPr>
                  <w:tcW w:w="13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Times New Roman"/>
                    </w:rPr>
                  </w:pPr>
                </w:p>
              </w:tc>
              <w:tc>
                <w:tcPr>
                  <w:tcW w:w="242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Times New Roman"/>
                    </w:rPr>
                  </w:pPr>
                </w:p>
              </w:tc>
            </w:tr>
          </w:tbl>
          <w:p>
            <w:pPr>
              <w:tabs>
                <w:tab w:val="left" w:pos="6912"/>
              </w:tabs>
              <w:spacing w:line="360" w:lineRule="auto"/>
              <w:rPr>
                <w:rFonts w:ascii="仿宋" w:hAnsi="仿宋" w:eastAsia="仿宋" w:cs="Times New Roman"/>
                <w:sz w:val="24"/>
                <w:szCs w:val="24"/>
              </w:rPr>
            </w:pPr>
            <w:r>
              <w:rPr>
                <w:rFonts w:hint="eastAsia" w:ascii="仿宋" w:hAnsi="仿宋" w:eastAsia="仿宋" w:cs="仿宋"/>
                <w:sz w:val="24"/>
                <w:szCs w:val="24"/>
              </w:rPr>
              <w:t>附：</w:t>
            </w:r>
          </w:p>
          <w:p>
            <w:pPr>
              <w:tabs>
                <w:tab w:val="left" w:pos="6912"/>
              </w:tabs>
              <w:spacing w:line="360" w:lineRule="auto"/>
              <w:ind w:left="480"/>
              <w:rPr>
                <w:rFonts w:ascii="仿宋" w:hAnsi="仿宋" w:eastAsia="仿宋" w:cs="Times New Roman"/>
                <w:sz w:val="24"/>
                <w:szCs w:val="24"/>
              </w:rPr>
            </w:pPr>
            <w:r>
              <w:rPr>
                <w:rFonts w:ascii="仿宋" w:hAnsi="仿宋" w:eastAsia="仿宋" w:cs="仿宋"/>
                <w:sz w:val="24"/>
                <w:szCs w:val="24"/>
              </w:rPr>
              <w:t xml:space="preserve">1. </w:t>
            </w:r>
            <w:r>
              <w:rPr>
                <w:rFonts w:hint="eastAsia" w:ascii="仿宋" w:hAnsi="仿宋" w:eastAsia="仿宋" w:cs="仿宋"/>
                <w:sz w:val="24"/>
                <w:szCs w:val="24"/>
              </w:rPr>
              <w:t>已完工程款额明细审核表</w:t>
            </w:r>
          </w:p>
          <w:p>
            <w:pPr>
              <w:tabs>
                <w:tab w:val="left" w:pos="6912"/>
              </w:tabs>
              <w:spacing w:line="360" w:lineRule="auto"/>
              <w:ind w:left="480"/>
              <w:rPr>
                <w:rFonts w:ascii="仿宋" w:hAnsi="仿宋" w:eastAsia="仿宋" w:cs="Times New Roman"/>
                <w:sz w:val="24"/>
                <w:szCs w:val="24"/>
              </w:rPr>
            </w:pPr>
            <w:r>
              <w:rPr>
                <w:rFonts w:ascii="仿宋" w:hAnsi="仿宋" w:eastAsia="仿宋" w:cs="仿宋"/>
                <w:sz w:val="24"/>
                <w:szCs w:val="24"/>
              </w:rPr>
              <w:t xml:space="preserve">2. </w:t>
            </w:r>
            <w:r>
              <w:rPr>
                <w:rFonts w:hint="eastAsia" w:ascii="仿宋" w:hAnsi="仿宋" w:eastAsia="仿宋" w:cs="仿宋"/>
                <w:sz w:val="24"/>
                <w:szCs w:val="24"/>
              </w:rPr>
              <w:t>相关记录</w:t>
            </w:r>
          </w:p>
          <w:p>
            <w:pPr>
              <w:tabs>
                <w:tab w:val="left" w:pos="6912"/>
              </w:tabs>
              <w:spacing w:line="360" w:lineRule="auto"/>
              <w:ind w:firstLine="6000" w:firstLineChars="2500"/>
              <w:rPr>
                <w:rFonts w:ascii="仿宋" w:hAnsi="仿宋" w:eastAsia="仿宋" w:cs="Times New Roman"/>
                <w:sz w:val="24"/>
                <w:szCs w:val="24"/>
                <w:u w:val="single"/>
              </w:rPr>
            </w:pPr>
            <w:r>
              <w:rPr>
                <w:rFonts w:hint="eastAsia" w:ascii="仿宋" w:hAnsi="仿宋" w:eastAsia="仿宋" w:cs="仿宋"/>
                <w:sz w:val="24"/>
                <w:szCs w:val="24"/>
              </w:rPr>
              <w:t>工程造价咨询人（如有）（章）</w:t>
            </w:r>
            <w:r>
              <w:rPr>
                <w:rFonts w:ascii="仿宋" w:hAnsi="仿宋" w:eastAsia="仿宋" w:cs="仿宋"/>
                <w:sz w:val="24"/>
                <w:szCs w:val="24"/>
              </w:rPr>
              <w:t xml:space="preserve">                </w:t>
            </w:r>
          </w:p>
          <w:p>
            <w:pPr>
              <w:spacing w:line="360" w:lineRule="auto"/>
              <w:ind w:firstLine="6000"/>
              <w:rPr>
                <w:rFonts w:ascii="仿宋" w:hAnsi="仿宋" w:eastAsia="仿宋" w:cs="仿宋"/>
                <w:sz w:val="24"/>
                <w:szCs w:val="24"/>
                <w:u w:val="single"/>
              </w:rPr>
            </w:pPr>
            <w:r>
              <w:rPr>
                <w:rFonts w:hint="eastAsia" w:ascii="仿宋" w:hAnsi="仿宋" w:eastAsia="仿宋" w:cs="仿宋"/>
                <w:sz w:val="24"/>
                <w:szCs w:val="24"/>
              </w:rPr>
              <w:t>造价工程师</w:t>
            </w:r>
            <w:r>
              <w:rPr>
                <w:rFonts w:ascii="仿宋" w:hAnsi="仿宋" w:eastAsia="仿宋" w:cs="仿宋"/>
                <w:sz w:val="24"/>
                <w:szCs w:val="24"/>
                <w:u w:val="single"/>
              </w:rPr>
              <w:t xml:space="preserve">               </w:t>
            </w:r>
          </w:p>
          <w:p>
            <w:pPr>
              <w:tabs>
                <w:tab w:val="left" w:pos="7272"/>
              </w:tabs>
              <w:spacing w:line="360" w:lineRule="auto"/>
              <w:ind w:firstLine="6000"/>
              <w:rPr>
                <w:rFonts w:ascii="仿宋" w:hAnsi="仿宋" w:eastAsia="仿宋" w:cs="Times New Roman"/>
                <w:sz w:val="24"/>
                <w:szCs w:val="24"/>
                <w:u w:val="single"/>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bl>
    <w:p>
      <w:pPr>
        <w:pStyle w:val="2"/>
        <w:adjustRightInd w:val="0"/>
        <w:snapToGrid w:val="0"/>
        <w:ind w:left="659" w:leftChars="114" w:hanging="420" w:hangingChars="200"/>
        <w:rPr>
          <w:rFonts w:ascii="仿宋" w:hAnsi="仿宋" w:eastAsia="仿宋" w:cs="Times New Roman"/>
          <w:sz w:val="24"/>
          <w:szCs w:val="24"/>
        </w:rPr>
      </w:pPr>
      <w:r>
        <w:rPr>
          <w:rFonts w:hint="eastAsia" w:ascii="仿宋" w:hAnsi="仿宋" w:eastAsia="仿宋" w:cs="仿宋"/>
        </w:rPr>
        <w:t>说明：本表一式四份，由造价咨询单位填制，抄送承包人。发包人、监理人、工程造价咨询人（如有）和承包人各存一份</w:t>
      </w:r>
      <w:r>
        <w:rPr>
          <w:rFonts w:hint="eastAsia" w:ascii="仿宋" w:hAnsi="仿宋" w:eastAsia="仿宋" w:cs="仿宋"/>
          <w:sz w:val="24"/>
          <w:szCs w:val="24"/>
        </w:rPr>
        <w:t>。</w:t>
      </w:r>
    </w:p>
    <w:p>
      <w:pPr>
        <w:spacing w:line="360" w:lineRule="auto"/>
        <w:outlineLvl w:val="1"/>
        <w:rPr>
          <w:rFonts w:ascii="仿宋" w:hAnsi="仿宋" w:eastAsia="仿宋" w:cs="仿宋"/>
          <w:b/>
          <w:bCs/>
          <w:color w:val="000000"/>
          <w:kern w:val="0"/>
          <w:sz w:val="24"/>
          <w:szCs w:val="24"/>
        </w:rPr>
      </w:pPr>
      <w:r>
        <w:rPr>
          <w:rFonts w:ascii="仿宋" w:hAnsi="仿宋" w:eastAsia="仿宋" w:cs="Times New Roman"/>
          <w:kern w:val="0"/>
        </w:rPr>
        <w:br w:type="page"/>
      </w:r>
      <w:bookmarkStart w:id="816" w:name="_Toc266892955"/>
      <w:bookmarkStart w:id="817" w:name="_Toc469384169"/>
      <w:bookmarkStart w:id="818" w:name="_Toc10625013"/>
      <w:r>
        <w:rPr>
          <w:rFonts w:hint="eastAsia" w:ascii="仿宋" w:hAnsi="仿宋" w:eastAsia="仿宋" w:cs="仿宋"/>
          <w:b/>
          <w:bCs/>
          <w:color w:val="000000"/>
          <w:kern w:val="0"/>
          <w:sz w:val="24"/>
          <w:szCs w:val="24"/>
        </w:rPr>
        <w:t>格式</w:t>
      </w:r>
      <w:r>
        <w:rPr>
          <w:rFonts w:ascii="仿宋" w:hAnsi="仿宋" w:eastAsia="仿宋" w:cs="仿宋"/>
          <w:b/>
          <w:bCs/>
          <w:color w:val="000000"/>
          <w:kern w:val="0"/>
          <w:sz w:val="24"/>
          <w:szCs w:val="24"/>
        </w:rPr>
        <w:t>29</w:t>
      </w:r>
      <w:bookmarkEnd w:id="816"/>
      <w:bookmarkEnd w:id="817"/>
      <w:bookmarkEnd w:id="818"/>
    </w:p>
    <w:p>
      <w:pPr>
        <w:spacing w:before="312" w:beforeLines="100" w:after="312" w:afterLines="100" w:line="360" w:lineRule="auto"/>
        <w:jc w:val="center"/>
        <w:rPr>
          <w:rFonts w:ascii="仿宋" w:hAnsi="仿宋" w:eastAsia="仿宋" w:cs="Times New Roman"/>
          <w:b/>
          <w:bCs/>
          <w:spacing w:val="30"/>
          <w:sz w:val="44"/>
          <w:szCs w:val="44"/>
        </w:rPr>
      </w:pPr>
      <w:r>
        <w:rPr>
          <w:rFonts w:hint="eastAsia" w:ascii="仿宋" w:hAnsi="仿宋" w:eastAsia="仿宋" w:cs="仿宋"/>
          <w:b/>
          <w:bCs/>
          <w:spacing w:val="30"/>
          <w:sz w:val="44"/>
          <w:szCs w:val="44"/>
        </w:rPr>
        <w:t>支付统计表</w:t>
      </w:r>
    </w:p>
    <w:p>
      <w:pPr>
        <w:spacing w:line="360" w:lineRule="auto"/>
        <w:rPr>
          <w:rFonts w:ascii="仿宋" w:hAnsi="仿宋" w:eastAsia="仿宋" w:cs="Times New Roman"/>
          <w:sz w:val="24"/>
          <w:szCs w:val="24"/>
        </w:rPr>
      </w:pPr>
      <w:r>
        <w:rPr>
          <w:rFonts w:hint="eastAsia" w:ascii="仿宋" w:hAnsi="仿宋" w:eastAsia="仿宋" w:cs="仿宋"/>
          <w:sz w:val="24"/>
          <w:szCs w:val="24"/>
        </w:rPr>
        <w:t>工程名称：</w:t>
      </w:r>
      <w:r>
        <w:rPr>
          <w:rFonts w:ascii="仿宋" w:hAnsi="仿宋" w:eastAsia="仿宋" w:cs="仿宋"/>
          <w:sz w:val="24"/>
          <w:szCs w:val="24"/>
        </w:rPr>
        <w:t xml:space="preserve">                         </w:t>
      </w:r>
      <w:r>
        <w:rPr>
          <w:rFonts w:hint="eastAsia" w:ascii="仿宋" w:hAnsi="仿宋" w:eastAsia="仿宋" w:cs="仿宋"/>
          <w:sz w:val="24"/>
          <w:szCs w:val="24"/>
        </w:rPr>
        <w:t>编号：</w:t>
      </w:r>
    </w:p>
    <w:tbl>
      <w:tblPr>
        <w:tblStyle w:val="40"/>
        <w:tblW w:w="962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962"/>
        <w:gridCol w:w="962"/>
        <w:gridCol w:w="963"/>
        <w:gridCol w:w="963"/>
        <w:gridCol w:w="963"/>
        <w:gridCol w:w="963"/>
        <w:gridCol w:w="963"/>
        <w:gridCol w:w="963"/>
        <w:gridCol w:w="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7" w:hRule="atLeast"/>
        </w:trPr>
        <w:tc>
          <w:tcPr>
            <w:tcW w:w="962" w:type="dxa"/>
            <w:vMerge w:val="restart"/>
            <w:vAlign w:val="center"/>
          </w:tcPr>
          <w:p>
            <w:pPr>
              <w:jc w:val="center"/>
              <w:rPr>
                <w:rFonts w:ascii="仿宋" w:hAnsi="仿宋" w:eastAsia="仿宋" w:cs="Times New Roman"/>
              </w:rPr>
            </w:pPr>
            <w:r>
              <w:rPr>
                <w:rFonts w:hint="eastAsia" w:ascii="仿宋" w:hAnsi="仿宋" w:eastAsia="仿宋" w:cs="仿宋"/>
                <w:sz w:val="24"/>
                <w:szCs w:val="24"/>
              </w:rPr>
              <w:t>序号</w:t>
            </w:r>
          </w:p>
        </w:tc>
        <w:tc>
          <w:tcPr>
            <w:tcW w:w="962" w:type="dxa"/>
            <w:vMerge w:val="restart"/>
            <w:vAlign w:val="center"/>
          </w:tcPr>
          <w:p>
            <w:pPr>
              <w:jc w:val="center"/>
              <w:rPr>
                <w:rFonts w:ascii="仿宋" w:hAnsi="仿宋" w:eastAsia="仿宋" w:cs="Times New Roman"/>
              </w:rPr>
            </w:pPr>
            <w:r>
              <w:rPr>
                <w:rFonts w:hint="eastAsia" w:ascii="仿宋" w:hAnsi="仿宋" w:eastAsia="仿宋" w:cs="仿宋"/>
                <w:sz w:val="24"/>
                <w:szCs w:val="24"/>
              </w:rPr>
              <w:t>支付证书编号</w:t>
            </w:r>
          </w:p>
        </w:tc>
        <w:tc>
          <w:tcPr>
            <w:tcW w:w="1925" w:type="dxa"/>
            <w:gridSpan w:val="2"/>
            <w:vAlign w:val="center"/>
          </w:tcPr>
          <w:p>
            <w:pPr>
              <w:jc w:val="center"/>
              <w:rPr>
                <w:rFonts w:ascii="仿宋" w:hAnsi="仿宋" w:eastAsia="仿宋" w:cs="Times New Roman"/>
              </w:rPr>
            </w:pPr>
            <w:r>
              <w:rPr>
                <w:rFonts w:hint="eastAsia" w:ascii="仿宋" w:hAnsi="仿宋" w:eastAsia="仿宋" w:cs="仿宋"/>
                <w:sz w:val="24"/>
                <w:szCs w:val="24"/>
              </w:rPr>
              <w:t>对应支付期间</w:t>
            </w:r>
          </w:p>
        </w:tc>
        <w:tc>
          <w:tcPr>
            <w:tcW w:w="1926" w:type="dxa"/>
            <w:gridSpan w:val="2"/>
            <w:vAlign w:val="center"/>
          </w:tcPr>
          <w:p>
            <w:pPr>
              <w:jc w:val="center"/>
              <w:rPr>
                <w:rFonts w:ascii="仿宋" w:hAnsi="仿宋" w:eastAsia="仿宋" w:cs="Times New Roman"/>
              </w:rPr>
            </w:pPr>
            <w:r>
              <w:rPr>
                <w:rFonts w:hint="eastAsia" w:ascii="仿宋" w:hAnsi="仿宋" w:eastAsia="仿宋" w:cs="仿宋"/>
                <w:sz w:val="24"/>
                <w:szCs w:val="24"/>
              </w:rPr>
              <w:t>期间已完工程</w:t>
            </w:r>
          </w:p>
        </w:tc>
        <w:tc>
          <w:tcPr>
            <w:tcW w:w="1926" w:type="dxa"/>
            <w:gridSpan w:val="2"/>
            <w:vAlign w:val="center"/>
          </w:tcPr>
          <w:p>
            <w:pPr>
              <w:jc w:val="center"/>
              <w:rPr>
                <w:rFonts w:ascii="仿宋" w:hAnsi="仿宋" w:eastAsia="仿宋" w:cs="Times New Roman"/>
              </w:rPr>
            </w:pPr>
            <w:r>
              <w:rPr>
                <w:rFonts w:hint="eastAsia" w:ascii="仿宋" w:hAnsi="仿宋" w:eastAsia="仿宋" w:cs="仿宋"/>
                <w:sz w:val="24"/>
                <w:szCs w:val="24"/>
              </w:rPr>
              <w:t>期间实际支付</w:t>
            </w:r>
          </w:p>
        </w:tc>
        <w:tc>
          <w:tcPr>
            <w:tcW w:w="963" w:type="dxa"/>
            <w:vMerge w:val="restart"/>
            <w:vAlign w:val="center"/>
          </w:tcPr>
          <w:p>
            <w:pPr>
              <w:jc w:val="center"/>
              <w:rPr>
                <w:rFonts w:ascii="仿宋" w:hAnsi="仿宋" w:eastAsia="仿宋" w:cs="Times New Roman"/>
                <w:sz w:val="24"/>
                <w:szCs w:val="24"/>
              </w:rPr>
            </w:pPr>
            <w:r>
              <w:rPr>
                <w:rFonts w:hint="eastAsia" w:ascii="仿宋" w:hAnsi="仿宋" w:eastAsia="仿宋" w:cs="仿宋"/>
                <w:sz w:val="24"/>
                <w:szCs w:val="24"/>
              </w:rPr>
              <w:t>已扣留的</w:t>
            </w:r>
          </w:p>
          <w:p>
            <w:pPr>
              <w:jc w:val="center"/>
              <w:rPr>
                <w:rFonts w:ascii="仿宋" w:hAnsi="仿宋" w:eastAsia="仿宋" w:cs="Times New Roman"/>
              </w:rPr>
            </w:pPr>
            <w:r>
              <w:rPr>
                <w:rFonts w:hint="eastAsia" w:ascii="仿宋" w:hAnsi="仿宋" w:eastAsia="仿宋" w:cs="仿宋"/>
                <w:sz w:val="24"/>
                <w:szCs w:val="24"/>
              </w:rPr>
              <w:t>质量保证金（元）</w:t>
            </w:r>
          </w:p>
        </w:tc>
        <w:tc>
          <w:tcPr>
            <w:tcW w:w="963" w:type="dxa"/>
            <w:vMerge w:val="restart"/>
            <w:vAlign w:val="center"/>
          </w:tcPr>
          <w:p>
            <w:pPr>
              <w:jc w:val="center"/>
              <w:rPr>
                <w:rFonts w:ascii="仿宋" w:hAnsi="仿宋" w:eastAsia="仿宋" w:cs="Times New Roman"/>
              </w:rPr>
            </w:pPr>
            <w:r>
              <w:rPr>
                <w:rFonts w:hint="eastAsia" w:ascii="仿宋" w:hAnsi="仿宋" w:eastAsia="仿宋" w:cs="仿宋"/>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2" w:hRule="atLeast"/>
        </w:trPr>
        <w:tc>
          <w:tcPr>
            <w:tcW w:w="962" w:type="dxa"/>
            <w:vMerge w:val="continue"/>
            <w:vAlign w:val="center"/>
          </w:tcPr>
          <w:p>
            <w:pPr>
              <w:widowControl/>
              <w:jc w:val="left"/>
              <w:rPr>
                <w:rFonts w:ascii="仿宋" w:hAnsi="仿宋" w:eastAsia="仿宋" w:cs="Times New Roman"/>
              </w:rPr>
            </w:pPr>
          </w:p>
        </w:tc>
        <w:tc>
          <w:tcPr>
            <w:tcW w:w="962" w:type="dxa"/>
            <w:vMerge w:val="continue"/>
            <w:vAlign w:val="center"/>
          </w:tcPr>
          <w:p>
            <w:pPr>
              <w:widowControl/>
              <w:jc w:val="left"/>
              <w:rPr>
                <w:rFonts w:ascii="仿宋" w:hAnsi="仿宋" w:eastAsia="仿宋" w:cs="Times New Roman"/>
              </w:rPr>
            </w:pPr>
          </w:p>
        </w:tc>
        <w:tc>
          <w:tcPr>
            <w:tcW w:w="962" w:type="dxa"/>
            <w:vAlign w:val="center"/>
          </w:tcPr>
          <w:p>
            <w:pPr>
              <w:jc w:val="center"/>
              <w:rPr>
                <w:rFonts w:ascii="仿宋" w:hAnsi="仿宋" w:eastAsia="仿宋" w:cs="Times New Roman"/>
              </w:rPr>
            </w:pPr>
            <w:r>
              <w:rPr>
                <w:rFonts w:hint="eastAsia" w:ascii="仿宋" w:hAnsi="仿宋" w:eastAsia="仿宋" w:cs="仿宋"/>
                <w:sz w:val="24"/>
                <w:szCs w:val="24"/>
              </w:rPr>
              <w:t>开始日</w:t>
            </w:r>
          </w:p>
        </w:tc>
        <w:tc>
          <w:tcPr>
            <w:tcW w:w="963" w:type="dxa"/>
            <w:vAlign w:val="center"/>
          </w:tcPr>
          <w:p>
            <w:pPr>
              <w:jc w:val="center"/>
              <w:rPr>
                <w:rFonts w:ascii="仿宋" w:hAnsi="仿宋" w:eastAsia="仿宋" w:cs="Times New Roman"/>
              </w:rPr>
            </w:pPr>
            <w:r>
              <w:rPr>
                <w:rFonts w:hint="eastAsia" w:ascii="仿宋" w:hAnsi="仿宋" w:eastAsia="仿宋" w:cs="仿宋"/>
                <w:sz w:val="24"/>
                <w:szCs w:val="24"/>
              </w:rPr>
              <w:t>截止日</w:t>
            </w:r>
          </w:p>
        </w:tc>
        <w:tc>
          <w:tcPr>
            <w:tcW w:w="963" w:type="dxa"/>
            <w:vAlign w:val="center"/>
          </w:tcPr>
          <w:p>
            <w:pPr>
              <w:jc w:val="center"/>
              <w:rPr>
                <w:rFonts w:ascii="仿宋" w:hAnsi="仿宋" w:eastAsia="仿宋" w:cs="Times New Roman"/>
              </w:rPr>
            </w:pPr>
            <w:r>
              <w:rPr>
                <w:rFonts w:hint="eastAsia" w:ascii="仿宋" w:hAnsi="仿宋" w:eastAsia="仿宋" w:cs="仿宋"/>
                <w:sz w:val="24"/>
                <w:szCs w:val="24"/>
              </w:rPr>
              <w:t>金额（元）</w:t>
            </w:r>
          </w:p>
        </w:tc>
        <w:tc>
          <w:tcPr>
            <w:tcW w:w="963" w:type="dxa"/>
            <w:vAlign w:val="center"/>
          </w:tcPr>
          <w:p>
            <w:pPr>
              <w:jc w:val="center"/>
              <w:rPr>
                <w:rFonts w:ascii="仿宋" w:hAnsi="仿宋" w:eastAsia="仿宋" w:cs="Times New Roman"/>
              </w:rPr>
            </w:pPr>
            <w:r>
              <w:rPr>
                <w:rFonts w:hint="eastAsia" w:ascii="仿宋" w:hAnsi="仿宋" w:eastAsia="仿宋" w:cs="仿宋"/>
                <w:sz w:val="24"/>
                <w:szCs w:val="24"/>
              </w:rPr>
              <w:t>最迟支付时间</w:t>
            </w:r>
          </w:p>
        </w:tc>
        <w:tc>
          <w:tcPr>
            <w:tcW w:w="963" w:type="dxa"/>
            <w:vAlign w:val="center"/>
          </w:tcPr>
          <w:p>
            <w:pPr>
              <w:jc w:val="center"/>
              <w:rPr>
                <w:rFonts w:ascii="仿宋" w:hAnsi="仿宋" w:eastAsia="仿宋" w:cs="Times New Roman"/>
              </w:rPr>
            </w:pPr>
            <w:r>
              <w:rPr>
                <w:rFonts w:hint="eastAsia" w:ascii="仿宋" w:hAnsi="仿宋" w:eastAsia="仿宋" w:cs="仿宋"/>
                <w:sz w:val="24"/>
                <w:szCs w:val="24"/>
              </w:rPr>
              <w:t>金额</w:t>
            </w:r>
            <w:r>
              <w:rPr>
                <w:rFonts w:ascii="仿宋" w:hAnsi="仿宋" w:eastAsia="仿宋" w:cs="仿宋"/>
                <w:sz w:val="24"/>
                <w:szCs w:val="24"/>
              </w:rPr>
              <w:t xml:space="preserve"> </w:t>
            </w:r>
            <w:r>
              <w:rPr>
                <w:rFonts w:hint="eastAsia" w:ascii="仿宋" w:hAnsi="仿宋" w:eastAsia="仿宋" w:cs="仿宋"/>
                <w:sz w:val="24"/>
                <w:szCs w:val="24"/>
              </w:rPr>
              <w:t>（元）</w:t>
            </w:r>
          </w:p>
        </w:tc>
        <w:tc>
          <w:tcPr>
            <w:tcW w:w="963" w:type="dxa"/>
            <w:vAlign w:val="center"/>
          </w:tcPr>
          <w:p>
            <w:pPr>
              <w:jc w:val="center"/>
              <w:rPr>
                <w:rFonts w:ascii="仿宋" w:hAnsi="仿宋" w:eastAsia="仿宋" w:cs="Times New Roman"/>
              </w:rPr>
            </w:pPr>
            <w:r>
              <w:rPr>
                <w:rFonts w:hint="eastAsia" w:ascii="仿宋" w:hAnsi="仿宋" w:eastAsia="仿宋" w:cs="仿宋"/>
                <w:sz w:val="24"/>
                <w:szCs w:val="24"/>
              </w:rPr>
              <w:t>时间</w:t>
            </w:r>
          </w:p>
        </w:tc>
        <w:tc>
          <w:tcPr>
            <w:tcW w:w="963" w:type="dxa"/>
            <w:vMerge w:val="continue"/>
            <w:vAlign w:val="center"/>
          </w:tcPr>
          <w:p>
            <w:pPr>
              <w:widowControl/>
              <w:jc w:val="left"/>
              <w:rPr>
                <w:rFonts w:ascii="仿宋" w:hAnsi="仿宋" w:eastAsia="仿宋" w:cs="Times New Roman"/>
              </w:rPr>
            </w:pPr>
          </w:p>
        </w:tc>
        <w:tc>
          <w:tcPr>
            <w:tcW w:w="963" w:type="dxa"/>
            <w:vMerge w:val="continue"/>
            <w:vAlign w:val="center"/>
          </w:tcPr>
          <w:p>
            <w:pPr>
              <w:widowControl/>
              <w:jc w:val="left"/>
              <w:rPr>
                <w:rFonts w:ascii="仿宋" w:hAnsi="仿宋"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2" w:type="dxa"/>
            <w:vAlign w:val="top"/>
          </w:tcPr>
          <w:p>
            <w:pPr>
              <w:spacing w:line="360" w:lineRule="auto"/>
              <w:rPr>
                <w:rFonts w:ascii="仿宋" w:hAnsi="仿宋" w:eastAsia="仿宋" w:cs="Times New Roman"/>
              </w:rPr>
            </w:pPr>
          </w:p>
        </w:tc>
        <w:tc>
          <w:tcPr>
            <w:tcW w:w="962" w:type="dxa"/>
            <w:vAlign w:val="top"/>
          </w:tcPr>
          <w:p>
            <w:pPr>
              <w:spacing w:line="360" w:lineRule="auto"/>
              <w:rPr>
                <w:rFonts w:ascii="仿宋" w:hAnsi="仿宋" w:eastAsia="仿宋" w:cs="Times New Roman"/>
              </w:rPr>
            </w:pPr>
          </w:p>
        </w:tc>
        <w:tc>
          <w:tcPr>
            <w:tcW w:w="962" w:type="dxa"/>
            <w:vAlign w:val="top"/>
          </w:tcPr>
          <w:p>
            <w:pPr>
              <w:spacing w:line="360" w:lineRule="auto"/>
              <w:rPr>
                <w:rFonts w:ascii="仿宋" w:hAnsi="仿宋" w:eastAsia="仿宋" w:cs="Times New Roman"/>
              </w:rPr>
            </w:pPr>
          </w:p>
        </w:tc>
        <w:tc>
          <w:tcPr>
            <w:tcW w:w="963" w:type="dxa"/>
            <w:vAlign w:val="top"/>
          </w:tcPr>
          <w:p>
            <w:pPr>
              <w:spacing w:line="360" w:lineRule="auto"/>
              <w:rPr>
                <w:rFonts w:ascii="仿宋" w:hAnsi="仿宋" w:eastAsia="仿宋" w:cs="Times New Roman"/>
              </w:rPr>
            </w:pPr>
          </w:p>
        </w:tc>
        <w:tc>
          <w:tcPr>
            <w:tcW w:w="963" w:type="dxa"/>
            <w:vAlign w:val="top"/>
          </w:tcPr>
          <w:p>
            <w:pPr>
              <w:spacing w:line="360" w:lineRule="auto"/>
              <w:rPr>
                <w:rFonts w:ascii="仿宋" w:hAnsi="仿宋" w:eastAsia="仿宋" w:cs="Times New Roman"/>
              </w:rPr>
            </w:pPr>
          </w:p>
        </w:tc>
        <w:tc>
          <w:tcPr>
            <w:tcW w:w="963" w:type="dxa"/>
            <w:vAlign w:val="top"/>
          </w:tcPr>
          <w:p>
            <w:pPr>
              <w:spacing w:line="360" w:lineRule="auto"/>
              <w:rPr>
                <w:rFonts w:ascii="仿宋" w:hAnsi="仿宋" w:eastAsia="仿宋" w:cs="Times New Roman"/>
              </w:rPr>
            </w:pPr>
          </w:p>
        </w:tc>
        <w:tc>
          <w:tcPr>
            <w:tcW w:w="963" w:type="dxa"/>
            <w:vAlign w:val="top"/>
          </w:tcPr>
          <w:p>
            <w:pPr>
              <w:spacing w:line="360" w:lineRule="auto"/>
              <w:rPr>
                <w:rFonts w:ascii="仿宋" w:hAnsi="仿宋" w:eastAsia="仿宋" w:cs="Times New Roman"/>
              </w:rPr>
            </w:pPr>
          </w:p>
        </w:tc>
        <w:tc>
          <w:tcPr>
            <w:tcW w:w="963" w:type="dxa"/>
            <w:vAlign w:val="top"/>
          </w:tcPr>
          <w:p>
            <w:pPr>
              <w:spacing w:line="360" w:lineRule="auto"/>
              <w:rPr>
                <w:rFonts w:ascii="仿宋" w:hAnsi="仿宋" w:eastAsia="仿宋" w:cs="Times New Roman"/>
              </w:rPr>
            </w:pPr>
          </w:p>
        </w:tc>
        <w:tc>
          <w:tcPr>
            <w:tcW w:w="963" w:type="dxa"/>
            <w:vAlign w:val="top"/>
          </w:tcPr>
          <w:p>
            <w:pPr>
              <w:spacing w:line="360" w:lineRule="auto"/>
              <w:rPr>
                <w:rFonts w:ascii="仿宋" w:hAnsi="仿宋" w:eastAsia="仿宋" w:cs="Times New Roman"/>
              </w:rPr>
            </w:pPr>
          </w:p>
        </w:tc>
        <w:tc>
          <w:tcPr>
            <w:tcW w:w="963" w:type="dxa"/>
            <w:vAlign w:val="top"/>
          </w:tcPr>
          <w:p>
            <w:pPr>
              <w:spacing w:line="360" w:lineRule="auto"/>
              <w:rPr>
                <w:rFonts w:ascii="仿宋" w:hAnsi="仿宋"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2" w:type="dxa"/>
            <w:vAlign w:val="top"/>
          </w:tcPr>
          <w:p>
            <w:pPr>
              <w:spacing w:line="360" w:lineRule="auto"/>
              <w:rPr>
                <w:rFonts w:ascii="仿宋" w:hAnsi="仿宋" w:eastAsia="仿宋" w:cs="Times New Roman"/>
              </w:rPr>
            </w:pPr>
          </w:p>
        </w:tc>
        <w:tc>
          <w:tcPr>
            <w:tcW w:w="962" w:type="dxa"/>
            <w:vAlign w:val="top"/>
          </w:tcPr>
          <w:p>
            <w:pPr>
              <w:spacing w:line="360" w:lineRule="auto"/>
              <w:rPr>
                <w:rFonts w:ascii="仿宋" w:hAnsi="仿宋" w:eastAsia="仿宋" w:cs="Times New Roman"/>
              </w:rPr>
            </w:pPr>
          </w:p>
        </w:tc>
        <w:tc>
          <w:tcPr>
            <w:tcW w:w="962" w:type="dxa"/>
            <w:vAlign w:val="top"/>
          </w:tcPr>
          <w:p>
            <w:pPr>
              <w:spacing w:line="360" w:lineRule="auto"/>
              <w:rPr>
                <w:rFonts w:ascii="仿宋" w:hAnsi="仿宋" w:eastAsia="仿宋" w:cs="Times New Roman"/>
              </w:rPr>
            </w:pPr>
          </w:p>
        </w:tc>
        <w:tc>
          <w:tcPr>
            <w:tcW w:w="963" w:type="dxa"/>
            <w:vAlign w:val="top"/>
          </w:tcPr>
          <w:p>
            <w:pPr>
              <w:spacing w:line="360" w:lineRule="auto"/>
              <w:rPr>
                <w:rFonts w:ascii="仿宋" w:hAnsi="仿宋" w:eastAsia="仿宋" w:cs="Times New Roman"/>
              </w:rPr>
            </w:pPr>
          </w:p>
        </w:tc>
        <w:tc>
          <w:tcPr>
            <w:tcW w:w="963" w:type="dxa"/>
            <w:vAlign w:val="top"/>
          </w:tcPr>
          <w:p>
            <w:pPr>
              <w:spacing w:line="360" w:lineRule="auto"/>
              <w:rPr>
                <w:rFonts w:ascii="仿宋" w:hAnsi="仿宋" w:eastAsia="仿宋" w:cs="Times New Roman"/>
              </w:rPr>
            </w:pPr>
          </w:p>
        </w:tc>
        <w:tc>
          <w:tcPr>
            <w:tcW w:w="963" w:type="dxa"/>
            <w:vAlign w:val="top"/>
          </w:tcPr>
          <w:p>
            <w:pPr>
              <w:spacing w:line="360" w:lineRule="auto"/>
              <w:rPr>
                <w:rFonts w:ascii="仿宋" w:hAnsi="仿宋" w:eastAsia="仿宋" w:cs="Times New Roman"/>
              </w:rPr>
            </w:pPr>
          </w:p>
        </w:tc>
        <w:tc>
          <w:tcPr>
            <w:tcW w:w="963" w:type="dxa"/>
            <w:vAlign w:val="top"/>
          </w:tcPr>
          <w:p>
            <w:pPr>
              <w:spacing w:line="360" w:lineRule="auto"/>
              <w:rPr>
                <w:rFonts w:ascii="仿宋" w:hAnsi="仿宋" w:eastAsia="仿宋" w:cs="Times New Roman"/>
              </w:rPr>
            </w:pPr>
          </w:p>
        </w:tc>
        <w:tc>
          <w:tcPr>
            <w:tcW w:w="963" w:type="dxa"/>
            <w:vAlign w:val="top"/>
          </w:tcPr>
          <w:p>
            <w:pPr>
              <w:spacing w:line="360" w:lineRule="auto"/>
              <w:rPr>
                <w:rFonts w:ascii="仿宋" w:hAnsi="仿宋" w:eastAsia="仿宋" w:cs="Times New Roman"/>
              </w:rPr>
            </w:pPr>
          </w:p>
        </w:tc>
        <w:tc>
          <w:tcPr>
            <w:tcW w:w="963" w:type="dxa"/>
            <w:vAlign w:val="top"/>
          </w:tcPr>
          <w:p>
            <w:pPr>
              <w:spacing w:line="360" w:lineRule="auto"/>
              <w:rPr>
                <w:rFonts w:ascii="仿宋" w:hAnsi="仿宋" w:eastAsia="仿宋" w:cs="Times New Roman"/>
              </w:rPr>
            </w:pPr>
          </w:p>
        </w:tc>
        <w:tc>
          <w:tcPr>
            <w:tcW w:w="963" w:type="dxa"/>
            <w:vAlign w:val="top"/>
          </w:tcPr>
          <w:p>
            <w:pPr>
              <w:spacing w:line="360" w:lineRule="auto"/>
              <w:rPr>
                <w:rFonts w:ascii="仿宋" w:hAnsi="仿宋"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2" w:type="dxa"/>
            <w:vAlign w:val="top"/>
          </w:tcPr>
          <w:p>
            <w:pPr>
              <w:spacing w:line="360" w:lineRule="auto"/>
              <w:rPr>
                <w:rFonts w:ascii="仿宋" w:hAnsi="仿宋" w:eastAsia="仿宋" w:cs="Times New Roman"/>
              </w:rPr>
            </w:pPr>
          </w:p>
        </w:tc>
        <w:tc>
          <w:tcPr>
            <w:tcW w:w="962" w:type="dxa"/>
            <w:vAlign w:val="top"/>
          </w:tcPr>
          <w:p>
            <w:pPr>
              <w:spacing w:line="360" w:lineRule="auto"/>
              <w:rPr>
                <w:rFonts w:ascii="仿宋" w:hAnsi="仿宋" w:eastAsia="仿宋" w:cs="Times New Roman"/>
              </w:rPr>
            </w:pPr>
          </w:p>
        </w:tc>
        <w:tc>
          <w:tcPr>
            <w:tcW w:w="962" w:type="dxa"/>
            <w:vAlign w:val="top"/>
          </w:tcPr>
          <w:p>
            <w:pPr>
              <w:spacing w:line="360" w:lineRule="auto"/>
              <w:rPr>
                <w:rFonts w:ascii="仿宋" w:hAnsi="仿宋" w:eastAsia="仿宋" w:cs="Times New Roman"/>
              </w:rPr>
            </w:pPr>
          </w:p>
        </w:tc>
        <w:tc>
          <w:tcPr>
            <w:tcW w:w="963" w:type="dxa"/>
            <w:vAlign w:val="top"/>
          </w:tcPr>
          <w:p>
            <w:pPr>
              <w:spacing w:line="360" w:lineRule="auto"/>
              <w:rPr>
                <w:rFonts w:ascii="仿宋" w:hAnsi="仿宋" w:eastAsia="仿宋" w:cs="Times New Roman"/>
              </w:rPr>
            </w:pPr>
          </w:p>
        </w:tc>
        <w:tc>
          <w:tcPr>
            <w:tcW w:w="963" w:type="dxa"/>
            <w:vAlign w:val="top"/>
          </w:tcPr>
          <w:p>
            <w:pPr>
              <w:spacing w:line="360" w:lineRule="auto"/>
              <w:rPr>
                <w:rFonts w:ascii="仿宋" w:hAnsi="仿宋" w:eastAsia="仿宋" w:cs="Times New Roman"/>
              </w:rPr>
            </w:pPr>
          </w:p>
        </w:tc>
        <w:tc>
          <w:tcPr>
            <w:tcW w:w="963" w:type="dxa"/>
            <w:vAlign w:val="top"/>
          </w:tcPr>
          <w:p>
            <w:pPr>
              <w:spacing w:line="360" w:lineRule="auto"/>
              <w:rPr>
                <w:rFonts w:ascii="仿宋" w:hAnsi="仿宋" w:eastAsia="仿宋" w:cs="Times New Roman"/>
              </w:rPr>
            </w:pPr>
          </w:p>
        </w:tc>
        <w:tc>
          <w:tcPr>
            <w:tcW w:w="963" w:type="dxa"/>
            <w:vAlign w:val="top"/>
          </w:tcPr>
          <w:p>
            <w:pPr>
              <w:spacing w:line="360" w:lineRule="auto"/>
              <w:rPr>
                <w:rFonts w:ascii="仿宋" w:hAnsi="仿宋" w:eastAsia="仿宋" w:cs="Times New Roman"/>
              </w:rPr>
            </w:pPr>
          </w:p>
        </w:tc>
        <w:tc>
          <w:tcPr>
            <w:tcW w:w="963" w:type="dxa"/>
            <w:vAlign w:val="top"/>
          </w:tcPr>
          <w:p>
            <w:pPr>
              <w:spacing w:line="360" w:lineRule="auto"/>
              <w:rPr>
                <w:rFonts w:ascii="仿宋" w:hAnsi="仿宋" w:eastAsia="仿宋" w:cs="Times New Roman"/>
              </w:rPr>
            </w:pPr>
          </w:p>
        </w:tc>
        <w:tc>
          <w:tcPr>
            <w:tcW w:w="963" w:type="dxa"/>
            <w:vAlign w:val="top"/>
          </w:tcPr>
          <w:p>
            <w:pPr>
              <w:spacing w:line="360" w:lineRule="auto"/>
              <w:rPr>
                <w:rFonts w:ascii="仿宋" w:hAnsi="仿宋" w:eastAsia="仿宋" w:cs="Times New Roman"/>
              </w:rPr>
            </w:pPr>
          </w:p>
        </w:tc>
        <w:tc>
          <w:tcPr>
            <w:tcW w:w="963" w:type="dxa"/>
            <w:vAlign w:val="top"/>
          </w:tcPr>
          <w:p>
            <w:pPr>
              <w:spacing w:line="360" w:lineRule="auto"/>
              <w:rPr>
                <w:rFonts w:ascii="仿宋" w:hAnsi="仿宋"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2" w:type="dxa"/>
            <w:vAlign w:val="top"/>
          </w:tcPr>
          <w:p>
            <w:pPr>
              <w:spacing w:line="360" w:lineRule="auto"/>
              <w:rPr>
                <w:rFonts w:ascii="仿宋" w:hAnsi="仿宋" w:eastAsia="仿宋" w:cs="Times New Roman"/>
              </w:rPr>
            </w:pPr>
          </w:p>
        </w:tc>
        <w:tc>
          <w:tcPr>
            <w:tcW w:w="962" w:type="dxa"/>
            <w:vAlign w:val="top"/>
          </w:tcPr>
          <w:p>
            <w:pPr>
              <w:spacing w:line="360" w:lineRule="auto"/>
              <w:rPr>
                <w:rFonts w:ascii="仿宋" w:hAnsi="仿宋" w:eastAsia="仿宋" w:cs="Times New Roman"/>
              </w:rPr>
            </w:pPr>
          </w:p>
        </w:tc>
        <w:tc>
          <w:tcPr>
            <w:tcW w:w="962" w:type="dxa"/>
            <w:vAlign w:val="top"/>
          </w:tcPr>
          <w:p>
            <w:pPr>
              <w:spacing w:line="360" w:lineRule="auto"/>
              <w:rPr>
                <w:rFonts w:ascii="仿宋" w:hAnsi="仿宋" w:eastAsia="仿宋" w:cs="Times New Roman"/>
              </w:rPr>
            </w:pPr>
          </w:p>
        </w:tc>
        <w:tc>
          <w:tcPr>
            <w:tcW w:w="963" w:type="dxa"/>
            <w:vAlign w:val="top"/>
          </w:tcPr>
          <w:p>
            <w:pPr>
              <w:spacing w:line="360" w:lineRule="auto"/>
              <w:rPr>
                <w:rFonts w:ascii="仿宋" w:hAnsi="仿宋" w:eastAsia="仿宋" w:cs="Times New Roman"/>
              </w:rPr>
            </w:pPr>
          </w:p>
        </w:tc>
        <w:tc>
          <w:tcPr>
            <w:tcW w:w="963" w:type="dxa"/>
            <w:vAlign w:val="top"/>
          </w:tcPr>
          <w:p>
            <w:pPr>
              <w:spacing w:line="360" w:lineRule="auto"/>
              <w:rPr>
                <w:rFonts w:ascii="仿宋" w:hAnsi="仿宋" w:eastAsia="仿宋" w:cs="Times New Roman"/>
              </w:rPr>
            </w:pPr>
          </w:p>
        </w:tc>
        <w:tc>
          <w:tcPr>
            <w:tcW w:w="963" w:type="dxa"/>
            <w:vAlign w:val="top"/>
          </w:tcPr>
          <w:p>
            <w:pPr>
              <w:spacing w:line="360" w:lineRule="auto"/>
              <w:rPr>
                <w:rFonts w:ascii="仿宋" w:hAnsi="仿宋" w:eastAsia="仿宋" w:cs="Times New Roman"/>
              </w:rPr>
            </w:pPr>
          </w:p>
        </w:tc>
        <w:tc>
          <w:tcPr>
            <w:tcW w:w="963" w:type="dxa"/>
            <w:vAlign w:val="top"/>
          </w:tcPr>
          <w:p>
            <w:pPr>
              <w:spacing w:line="360" w:lineRule="auto"/>
              <w:rPr>
                <w:rFonts w:ascii="仿宋" w:hAnsi="仿宋" w:eastAsia="仿宋" w:cs="Times New Roman"/>
              </w:rPr>
            </w:pPr>
          </w:p>
        </w:tc>
        <w:tc>
          <w:tcPr>
            <w:tcW w:w="963" w:type="dxa"/>
            <w:vAlign w:val="top"/>
          </w:tcPr>
          <w:p>
            <w:pPr>
              <w:spacing w:line="360" w:lineRule="auto"/>
              <w:rPr>
                <w:rFonts w:ascii="仿宋" w:hAnsi="仿宋" w:eastAsia="仿宋" w:cs="Times New Roman"/>
              </w:rPr>
            </w:pPr>
          </w:p>
        </w:tc>
        <w:tc>
          <w:tcPr>
            <w:tcW w:w="963" w:type="dxa"/>
            <w:vAlign w:val="top"/>
          </w:tcPr>
          <w:p>
            <w:pPr>
              <w:spacing w:line="360" w:lineRule="auto"/>
              <w:rPr>
                <w:rFonts w:ascii="仿宋" w:hAnsi="仿宋" w:eastAsia="仿宋" w:cs="Times New Roman"/>
              </w:rPr>
            </w:pPr>
          </w:p>
        </w:tc>
        <w:tc>
          <w:tcPr>
            <w:tcW w:w="963" w:type="dxa"/>
            <w:vAlign w:val="top"/>
          </w:tcPr>
          <w:p>
            <w:pPr>
              <w:spacing w:line="360" w:lineRule="auto"/>
              <w:rPr>
                <w:rFonts w:ascii="仿宋" w:hAnsi="仿宋"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2" w:type="dxa"/>
            <w:vAlign w:val="top"/>
          </w:tcPr>
          <w:p>
            <w:pPr>
              <w:spacing w:line="360" w:lineRule="auto"/>
              <w:rPr>
                <w:rFonts w:ascii="仿宋" w:hAnsi="仿宋" w:eastAsia="仿宋" w:cs="Times New Roman"/>
              </w:rPr>
            </w:pPr>
          </w:p>
        </w:tc>
        <w:tc>
          <w:tcPr>
            <w:tcW w:w="962" w:type="dxa"/>
            <w:vAlign w:val="top"/>
          </w:tcPr>
          <w:p>
            <w:pPr>
              <w:spacing w:line="360" w:lineRule="auto"/>
              <w:rPr>
                <w:rFonts w:ascii="仿宋" w:hAnsi="仿宋" w:eastAsia="仿宋" w:cs="Times New Roman"/>
              </w:rPr>
            </w:pPr>
          </w:p>
        </w:tc>
        <w:tc>
          <w:tcPr>
            <w:tcW w:w="962" w:type="dxa"/>
            <w:vAlign w:val="top"/>
          </w:tcPr>
          <w:p>
            <w:pPr>
              <w:spacing w:line="360" w:lineRule="auto"/>
              <w:rPr>
                <w:rFonts w:ascii="仿宋" w:hAnsi="仿宋" w:eastAsia="仿宋" w:cs="Times New Roman"/>
              </w:rPr>
            </w:pPr>
          </w:p>
        </w:tc>
        <w:tc>
          <w:tcPr>
            <w:tcW w:w="963" w:type="dxa"/>
            <w:vAlign w:val="top"/>
          </w:tcPr>
          <w:p>
            <w:pPr>
              <w:spacing w:line="360" w:lineRule="auto"/>
              <w:rPr>
                <w:rFonts w:ascii="仿宋" w:hAnsi="仿宋" w:eastAsia="仿宋" w:cs="Times New Roman"/>
              </w:rPr>
            </w:pPr>
          </w:p>
        </w:tc>
        <w:tc>
          <w:tcPr>
            <w:tcW w:w="963" w:type="dxa"/>
            <w:vAlign w:val="top"/>
          </w:tcPr>
          <w:p>
            <w:pPr>
              <w:spacing w:line="360" w:lineRule="auto"/>
              <w:rPr>
                <w:rFonts w:ascii="仿宋" w:hAnsi="仿宋" w:eastAsia="仿宋" w:cs="Times New Roman"/>
              </w:rPr>
            </w:pPr>
          </w:p>
        </w:tc>
        <w:tc>
          <w:tcPr>
            <w:tcW w:w="963" w:type="dxa"/>
            <w:vAlign w:val="top"/>
          </w:tcPr>
          <w:p>
            <w:pPr>
              <w:spacing w:line="360" w:lineRule="auto"/>
              <w:rPr>
                <w:rFonts w:ascii="仿宋" w:hAnsi="仿宋" w:eastAsia="仿宋" w:cs="Times New Roman"/>
              </w:rPr>
            </w:pPr>
          </w:p>
        </w:tc>
        <w:tc>
          <w:tcPr>
            <w:tcW w:w="963" w:type="dxa"/>
            <w:vAlign w:val="top"/>
          </w:tcPr>
          <w:p>
            <w:pPr>
              <w:spacing w:line="360" w:lineRule="auto"/>
              <w:rPr>
                <w:rFonts w:ascii="仿宋" w:hAnsi="仿宋" w:eastAsia="仿宋" w:cs="Times New Roman"/>
              </w:rPr>
            </w:pPr>
          </w:p>
        </w:tc>
        <w:tc>
          <w:tcPr>
            <w:tcW w:w="963" w:type="dxa"/>
            <w:vAlign w:val="top"/>
          </w:tcPr>
          <w:p>
            <w:pPr>
              <w:spacing w:line="360" w:lineRule="auto"/>
              <w:rPr>
                <w:rFonts w:ascii="仿宋" w:hAnsi="仿宋" w:eastAsia="仿宋" w:cs="Times New Roman"/>
              </w:rPr>
            </w:pPr>
          </w:p>
        </w:tc>
        <w:tc>
          <w:tcPr>
            <w:tcW w:w="963" w:type="dxa"/>
            <w:vAlign w:val="top"/>
          </w:tcPr>
          <w:p>
            <w:pPr>
              <w:spacing w:line="360" w:lineRule="auto"/>
              <w:rPr>
                <w:rFonts w:ascii="仿宋" w:hAnsi="仿宋" w:eastAsia="仿宋" w:cs="Times New Roman"/>
              </w:rPr>
            </w:pPr>
          </w:p>
        </w:tc>
        <w:tc>
          <w:tcPr>
            <w:tcW w:w="963" w:type="dxa"/>
            <w:vAlign w:val="top"/>
          </w:tcPr>
          <w:p>
            <w:pPr>
              <w:spacing w:line="360" w:lineRule="auto"/>
              <w:rPr>
                <w:rFonts w:ascii="仿宋" w:hAnsi="仿宋"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2" w:type="dxa"/>
            <w:vAlign w:val="top"/>
          </w:tcPr>
          <w:p>
            <w:pPr>
              <w:spacing w:line="360" w:lineRule="auto"/>
              <w:rPr>
                <w:rFonts w:ascii="仿宋" w:hAnsi="仿宋" w:eastAsia="仿宋" w:cs="Times New Roman"/>
              </w:rPr>
            </w:pPr>
          </w:p>
        </w:tc>
        <w:tc>
          <w:tcPr>
            <w:tcW w:w="962" w:type="dxa"/>
            <w:vAlign w:val="top"/>
          </w:tcPr>
          <w:p>
            <w:pPr>
              <w:spacing w:line="360" w:lineRule="auto"/>
              <w:rPr>
                <w:rFonts w:ascii="仿宋" w:hAnsi="仿宋" w:eastAsia="仿宋" w:cs="Times New Roman"/>
              </w:rPr>
            </w:pPr>
          </w:p>
        </w:tc>
        <w:tc>
          <w:tcPr>
            <w:tcW w:w="962" w:type="dxa"/>
            <w:vAlign w:val="top"/>
          </w:tcPr>
          <w:p>
            <w:pPr>
              <w:spacing w:line="360" w:lineRule="auto"/>
              <w:rPr>
                <w:rFonts w:ascii="仿宋" w:hAnsi="仿宋" w:eastAsia="仿宋" w:cs="Times New Roman"/>
              </w:rPr>
            </w:pPr>
          </w:p>
        </w:tc>
        <w:tc>
          <w:tcPr>
            <w:tcW w:w="963" w:type="dxa"/>
            <w:vAlign w:val="top"/>
          </w:tcPr>
          <w:p>
            <w:pPr>
              <w:spacing w:line="360" w:lineRule="auto"/>
              <w:rPr>
                <w:rFonts w:ascii="仿宋" w:hAnsi="仿宋" w:eastAsia="仿宋" w:cs="Times New Roman"/>
              </w:rPr>
            </w:pPr>
          </w:p>
        </w:tc>
        <w:tc>
          <w:tcPr>
            <w:tcW w:w="963" w:type="dxa"/>
            <w:vAlign w:val="top"/>
          </w:tcPr>
          <w:p>
            <w:pPr>
              <w:spacing w:line="360" w:lineRule="auto"/>
              <w:rPr>
                <w:rFonts w:ascii="仿宋" w:hAnsi="仿宋" w:eastAsia="仿宋" w:cs="Times New Roman"/>
              </w:rPr>
            </w:pPr>
          </w:p>
        </w:tc>
        <w:tc>
          <w:tcPr>
            <w:tcW w:w="963" w:type="dxa"/>
            <w:vAlign w:val="top"/>
          </w:tcPr>
          <w:p>
            <w:pPr>
              <w:spacing w:line="360" w:lineRule="auto"/>
              <w:rPr>
                <w:rFonts w:ascii="仿宋" w:hAnsi="仿宋" w:eastAsia="仿宋" w:cs="Times New Roman"/>
              </w:rPr>
            </w:pPr>
          </w:p>
        </w:tc>
        <w:tc>
          <w:tcPr>
            <w:tcW w:w="963" w:type="dxa"/>
            <w:vAlign w:val="top"/>
          </w:tcPr>
          <w:p>
            <w:pPr>
              <w:spacing w:line="360" w:lineRule="auto"/>
              <w:rPr>
                <w:rFonts w:ascii="仿宋" w:hAnsi="仿宋" w:eastAsia="仿宋" w:cs="Times New Roman"/>
              </w:rPr>
            </w:pPr>
          </w:p>
        </w:tc>
        <w:tc>
          <w:tcPr>
            <w:tcW w:w="963" w:type="dxa"/>
            <w:vAlign w:val="top"/>
          </w:tcPr>
          <w:p>
            <w:pPr>
              <w:spacing w:line="360" w:lineRule="auto"/>
              <w:rPr>
                <w:rFonts w:ascii="仿宋" w:hAnsi="仿宋" w:eastAsia="仿宋" w:cs="Times New Roman"/>
              </w:rPr>
            </w:pPr>
          </w:p>
        </w:tc>
        <w:tc>
          <w:tcPr>
            <w:tcW w:w="963" w:type="dxa"/>
            <w:vAlign w:val="top"/>
          </w:tcPr>
          <w:p>
            <w:pPr>
              <w:spacing w:line="360" w:lineRule="auto"/>
              <w:rPr>
                <w:rFonts w:ascii="仿宋" w:hAnsi="仿宋" w:eastAsia="仿宋" w:cs="Times New Roman"/>
              </w:rPr>
            </w:pPr>
          </w:p>
        </w:tc>
        <w:tc>
          <w:tcPr>
            <w:tcW w:w="963" w:type="dxa"/>
            <w:vAlign w:val="top"/>
          </w:tcPr>
          <w:p>
            <w:pPr>
              <w:spacing w:line="360" w:lineRule="auto"/>
              <w:rPr>
                <w:rFonts w:ascii="仿宋" w:hAnsi="仿宋"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2" w:type="dxa"/>
            <w:vAlign w:val="top"/>
          </w:tcPr>
          <w:p>
            <w:pPr>
              <w:spacing w:line="360" w:lineRule="auto"/>
              <w:rPr>
                <w:rFonts w:ascii="仿宋" w:hAnsi="仿宋" w:eastAsia="仿宋" w:cs="Times New Roman"/>
              </w:rPr>
            </w:pPr>
          </w:p>
        </w:tc>
        <w:tc>
          <w:tcPr>
            <w:tcW w:w="962" w:type="dxa"/>
            <w:vAlign w:val="top"/>
          </w:tcPr>
          <w:p>
            <w:pPr>
              <w:spacing w:line="360" w:lineRule="auto"/>
              <w:rPr>
                <w:rFonts w:ascii="仿宋" w:hAnsi="仿宋" w:eastAsia="仿宋" w:cs="Times New Roman"/>
              </w:rPr>
            </w:pPr>
          </w:p>
        </w:tc>
        <w:tc>
          <w:tcPr>
            <w:tcW w:w="962" w:type="dxa"/>
            <w:vAlign w:val="top"/>
          </w:tcPr>
          <w:p>
            <w:pPr>
              <w:spacing w:line="360" w:lineRule="auto"/>
              <w:rPr>
                <w:rFonts w:ascii="仿宋" w:hAnsi="仿宋" w:eastAsia="仿宋" w:cs="Times New Roman"/>
              </w:rPr>
            </w:pPr>
          </w:p>
        </w:tc>
        <w:tc>
          <w:tcPr>
            <w:tcW w:w="963" w:type="dxa"/>
            <w:vAlign w:val="top"/>
          </w:tcPr>
          <w:p>
            <w:pPr>
              <w:spacing w:line="360" w:lineRule="auto"/>
              <w:rPr>
                <w:rFonts w:ascii="仿宋" w:hAnsi="仿宋" w:eastAsia="仿宋" w:cs="Times New Roman"/>
              </w:rPr>
            </w:pPr>
          </w:p>
        </w:tc>
        <w:tc>
          <w:tcPr>
            <w:tcW w:w="963" w:type="dxa"/>
            <w:vAlign w:val="top"/>
          </w:tcPr>
          <w:p>
            <w:pPr>
              <w:spacing w:line="360" w:lineRule="auto"/>
              <w:rPr>
                <w:rFonts w:ascii="仿宋" w:hAnsi="仿宋" w:eastAsia="仿宋" w:cs="Times New Roman"/>
              </w:rPr>
            </w:pPr>
          </w:p>
        </w:tc>
        <w:tc>
          <w:tcPr>
            <w:tcW w:w="963" w:type="dxa"/>
            <w:vAlign w:val="top"/>
          </w:tcPr>
          <w:p>
            <w:pPr>
              <w:spacing w:line="360" w:lineRule="auto"/>
              <w:rPr>
                <w:rFonts w:ascii="仿宋" w:hAnsi="仿宋" w:eastAsia="仿宋" w:cs="Times New Roman"/>
              </w:rPr>
            </w:pPr>
          </w:p>
        </w:tc>
        <w:tc>
          <w:tcPr>
            <w:tcW w:w="963" w:type="dxa"/>
            <w:vAlign w:val="top"/>
          </w:tcPr>
          <w:p>
            <w:pPr>
              <w:spacing w:line="360" w:lineRule="auto"/>
              <w:rPr>
                <w:rFonts w:ascii="仿宋" w:hAnsi="仿宋" w:eastAsia="仿宋" w:cs="Times New Roman"/>
              </w:rPr>
            </w:pPr>
          </w:p>
        </w:tc>
        <w:tc>
          <w:tcPr>
            <w:tcW w:w="963" w:type="dxa"/>
            <w:vAlign w:val="top"/>
          </w:tcPr>
          <w:p>
            <w:pPr>
              <w:spacing w:line="360" w:lineRule="auto"/>
              <w:rPr>
                <w:rFonts w:ascii="仿宋" w:hAnsi="仿宋" w:eastAsia="仿宋" w:cs="Times New Roman"/>
              </w:rPr>
            </w:pPr>
          </w:p>
        </w:tc>
        <w:tc>
          <w:tcPr>
            <w:tcW w:w="963" w:type="dxa"/>
            <w:vAlign w:val="top"/>
          </w:tcPr>
          <w:p>
            <w:pPr>
              <w:spacing w:line="360" w:lineRule="auto"/>
              <w:rPr>
                <w:rFonts w:ascii="仿宋" w:hAnsi="仿宋" w:eastAsia="仿宋" w:cs="Times New Roman"/>
              </w:rPr>
            </w:pPr>
          </w:p>
        </w:tc>
        <w:tc>
          <w:tcPr>
            <w:tcW w:w="963" w:type="dxa"/>
            <w:vAlign w:val="top"/>
          </w:tcPr>
          <w:p>
            <w:pPr>
              <w:spacing w:line="360" w:lineRule="auto"/>
              <w:rPr>
                <w:rFonts w:ascii="仿宋" w:hAnsi="仿宋"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2" w:type="dxa"/>
            <w:vAlign w:val="top"/>
          </w:tcPr>
          <w:p>
            <w:pPr>
              <w:spacing w:line="360" w:lineRule="auto"/>
              <w:rPr>
                <w:rFonts w:ascii="仿宋" w:hAnsi="仿宋" w:eastAsia="仿宋" w:cs="Times New Roman"/>
              </w:rPr>
            </w:pPr>
          </w:p>
        </w:tc>
        <w:tc>
          <w:tcPr>
            <w:tcW w:w="962" w:type="dxa"/>
            <w:vAlign w:val="top"/>
          </w:tcPr>
          <w:p>
            <w:pPr>
              <w:spacing w:line="360" w:lineRule="auto"/>
              <w:rPr>
                <w:rFonts w:ascii="仿宋" w:hAnsi="仿宋" w:eastAsia="仿宋" w:cs="Times New Roman"/>
              </w:rPr>
            </w:pPr>
          </w:p>
        </w:tc>
        <w:tc>
          <w:tcPr>
            <w:tcW w:w="962" w:type="dxa"/>
            <w:vAlign w:val="top"/>
          </w:tcPr>
          <w:p>
            <w:pPr>
              <w:spacing w:line="360" w:lineRule="auto"/>
              <w:rPr>
                <w:rFonts w:ascii="仿宋" w:hAnsi="仿宋" w:eastAsia="仿宋" w:cs="Times New Roman"/>
              </w:rPr>
            </w:pPr>
          </w:p>
        </w:tc>
        <w:tc>
          <w:tcPr>
            <w:tcW w:w="963" w:type="dxa"/>
            <w:vAlign w:val="top"/>
          </w:tcPr>
          <w:p>
            <w:pPr>
              <w:spacing w:line="360" w:lineRule="auto"/>
              <w:rPr>
                <w:rFonts w:ascii="仿宋" w:hAnsi="仿宋" w:eastAsia="仿宋" w:cs="Times New Roman"/>
              </w:rPr>
            </w:pPr>
          </w:p>
        </w:tc>
        <w:tc>
          <w:tcPr>
            <w:tcW w:w="963" w:type="dxa"/>
            <w:vAlign w:val="top"/>
          </w:tcPr>
          <w:p>
            <w:pPr>
              <w:spacing w:line="360" w:lineRule="auto"/>
              <w:rPr>
                <w:rFonts w:ascii="仿宋" w:hAnsi="仿宋" w:eastAsia="仿宋" w:cs="Times New Roman"/>
              </w:rPr>
            </w:pPr>
          </w:p>
        </w:tc>
        <w:tc>
          <w:tcPr>
            <w:tcW w:w="963" w:type="dxa"/>
            <w:vAlign w:val="top"/>
          </w:tcPr>
          <w:p>
            <w:pPr>
              <w:spacing w:line="360" w:lineRule="auto"/>
              <w:rPr>
                <w:rFonts w:ascii="仿宋" w:hAnsi="仿宋" w:eastAsia="仿宋" w:cs="Times New Roman"/>
              </w:rPr>
            </w:pPr>
          </w:p>
        </w:tc>
        <w:tc>
          <w:tcPr>
            <w:tcW w:w="963" w:type="dxa"/>
            <w:vAlign w:val="top"/>
          </w:tcPr>
          <w:p>
            <w:pPr>
              <w:spacing w:line="360" w:lineRule="auto"/>
              <w:rPr>
                <w:rFonts w:ascii="仿宋" w:hAnsi="仿宋" w:eastAsia="仿宋" w:cs="Times New Roman"/>
              </w:rPr>
            </w:pPr>
          </w:p>
        </w:tc>
        <w:tc>
          <w:tcPr>
            <w:tcW w:w="963" w:type="dxa"/>
            <w:vAlign w:val="top"/>
          </w:tcPr>
          <w:p>
            <w:pPr>
              <w:spacing w:line="360" w:lineRule="auto"/>
              <w:rPr>
                <w:rFonts w:ascii="仿宋" w:hAnsi="仿宋" w:eastAsia="仿宋" w:cs="Times New Roman"/>
              </w:rPr>
            </w:pPr>
          </w:p>
        </w:tc>
        <w:tc>
          <w:tcPr>
            <w:tcW w:w="963" w:type="dxa"/>
            <w:vAlign w:val="top"/>
          </w:tcPr>
          <w:p>
            <w:pPr>
              <w:spacing w:line="360" w:lineRule="auto"/>
              <w:rPr>
                <w:rFonts w:ascii="仿宋" w:hAnsi="仿宋" w:eastAsia="仿宋" w:cs="Times New Roman"/>
              </w:rPr>
            </w:pPr>
          </w:p>
        </w:tc>
        <w:tc>
          <w:tcPr>
            <w:tcW w:w="963" w:type="dxa"/>
            <w:vAlign w:val="top"/>
          </w:tcPr>
          <w:p>
            <w:pPr>
              <w:spacing w:line="360" w:lineRule="auto"/>
              <w:rPr>
                <w:rFonts w:ascii="仿宋" w:hAnsi="仿宋"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2" w:type="dxa"/>
            <w:vAlign w:val="top"/>
          </w:tcPr>
          <w:p>
            <w:pPr>
              <w:spacing w:line="360" w:lineRule="auto"/>
              <w:rPr>
                <w:rFonts w:ascii="仿宋" w:hAnsi="仿宋" w:eastAsia="仿宋" w:cs="Times New Roman"/>
              </w:rPr>
            </w:pPr>
          </w:p>
        </w:tc>
        <w:tc>
          <w:tcPr>
            <w:tcW w:w="962" w:type="dxa"/>
            <w:vAlign w:val="center"/>
          </w:tcPr>
          <w:p>
            <w:pPr>
              <w:spacing w:line="360" w:lineRule="auto"/>
              <w:jc w:val="center"/>
              <w:rPr>
                <w:rFonts w:ascii="仿宋" w:hAnsi="仿宋" w:eastAsia="仿宋" w:cs="Times New Roman"/>
              </w:rPr>
            </w:pPr>
            <w:r>
              <w:rPr>
                <w:rFonts w:hint="eastAsia" w:ascii="仿宋" w:hAnsi="仿宋" w:eastAsia="仿宋" w:cs="仿宋"/>
              </w:rPr>
              <w:t>累计</w:t>
            </w:r>
          </w:p>
        </w:tc>
        <w:tc>
          <w:tcPr>
            <w:tcW w:w="962" w:type="dxa"/>
            <w:vAlign w:val="top"/>
          </w:tcPr>
          <w:p>
            <w:pPr>
              <w:spacing w:line="360" w:lineRule="auto"/>
              <w:rPr>
                <w:rFonts w:ascii="仿宋" w:hAnsi="仿宋" w:eastAsia="仿宋" w:cs="Times New Roman"/>
              </w:rPr>
            </w:pPr>
          </w:p>
        </w:tc>
        <w:tc>
          <w:tcPr>
            <w:tcW w:w="963" w:type="dxa"/>
            <w:vAlign w:val="top"/>
          </w:tcPr>
          <w:p>
            <w:pPr>
              <w:spacing w:line="360" w:lineRule="auto"/>
              <w:rPr>
                <w:rFonts w:ascii="仿宋" w:hAnsi="仿宋" w:eastAsia="仿宋" w:cs="Times New Roman"/>
              </w:rPr>
            </w:pPr>
          </w:p>
        </w:tc>
        <w:tc>
          <w:tcPr>
            <w:tcW w:w="963" w:type="dxa"/>
            <w:vAlign w:val="top"/>
          </w:tcPr>
          <w:p>
            <w:pPr>
              <w:spacing w:line="360" w:lineRule="auto"/>
              <w:rPr>
                <w:rFonts w:ascii="仿宋" w:hAnsi="仿宋" w:eastAsia="仿宋" w:cs="Times New Roman"/>
              </w:rPr>
            </w:pPr>
          </w:p>
        </w:tc>
        <w:tc>
          <w:tcPr>
            <w:tcW w:w="963" w:type="dxa"/>
            <w:vAlign w:val="top"/>
          </w:tcPr>
          <w:p>
            <w:pPr>
              <w:spacing w:line="360" w:lineRule="auto"/>
              <w:rPr>
                <w:rFonts w:ascii="仿宋" w:hAnsi="仿宋" w:eastAsia="仿宋" w:cs="Times New Roman"/>
              </w:rPr>
            </w:pPr>
          </w:p>
        </w:tc>
        <w:tc>
          <w:tcPr>
            <w:tcW w:w="963" w:type="dxa"/>
            <w:vAlign w:val="top"/>
          </w:tcPr>
          <w:p>
            <w:pPr>
              <w:spacing w:line="360" w:lineRule="auto"/>
              <w:rPr>
                <w:rFonts w:ascii="仿宋" w:hAnsi="仿宋" w:eastAsia="仿宋" w:cs="Times New Roman"/>
              </w:rPr>
            </w:pPr>
          </w:p>
        </w:tc>
        <w:tc>
          <w:tcPr>
            <w:tcW w:w="963" w:type="dxa"/>
            <w:vAlign w:val="top"/>
          </w:tcPr>
          <w:p>
            <w:pPr>
              <w:spacing w:line="360" w:lineRule="auto"/>
              <w:rPr>
                <w:rFonts w:ascii="仿宋" w:hAnsi="仿宋" w:eastAsia="仿宋" w:cs="Times New Roman"/>
              </w:rPr>
            </w:pPr>
          </w:p>
        </w:tc>
        <w:tc>
          <w:tcPr>
            <w:tcW w:w="963" w:type="dxa"/>
            <w:vAlign w:val="top"/>
          </w:tcPr>
          <w:p>
            <w:pPr>
              <w:spacing w:line="360" w:lineRule="auto"/>
              <w:rPr>
                <w:rFonts w:ascii="仿宋" w:hAnsi="仿宋" w:eastAsia="仿宋" w:cs="Times New Roman"/>
              </w:rPr>
            </w:pPr>
          </w:p>
        </w:tc>
        <w:tc>
          <w:tcPr>
            <w:tcW w:w="963" w:type="dxa"/>
            <w:vAlign w:val="top"/>
          </w:tcPr>
          <w:p>
            <w:pPr>
              <w:spacing w:line="360" w:lineRule="auto"/>
              <w:rPr>
                <w:rFonts w:ascii="仿宋" w:hAnsi="仿宋" w:eastAsia="仿宋" w:cs="Times New Roman"/>
              </w:rPr>
            </w:pPr>
          </w:p>
        </w:tc>
      </w:tr>
    </w:tbl>
    <w:p>
      <w:pPr>
        <w:spacing w:line="360" w:lineRule="auto"/>
        <w:rPr>
          <w:rFonts w:ascii="仿宋" w:hAnsi="仿宋" w:eastAsia="仿宋" w:cs="仿宋"/>
          <w:sz w:val="24"/>
          <w:szCs w:val="24"/>
        </w:rPr>
      </w:pPr>
      <w:r>
        <w:rPr>
          <w:rFonts w:hint="eastAsia" w:ascii="仿宋" w:hAnsi="仿宋" w:eastAsia="仿宋" w:cs="仿宋"/>
          <w:sz w:val="24"/>
          <w:szCs w:val="24"/>
        </w:rPr>
        <w:t>编制：</w:t>
      </w:r>
      <w:r>
        <w:rPr>
          <w:rFonts w:ascii="仿宋" w:hAnsi="仿宋" w:eastAsia="仿宋" w:cs="仿宋"/>
          <w:sz w:val="24"/>
          <w:szCs w:val="24"/>
        </w:rPr>
        <w:t xml:space="preserve">                       </w:t>
      </w:r>
      <w:r>
        <w:rPr>
          <w:rFonts w:hint="eastAsia" w:ascii="仿宋" w:hAnsi="仿宋" w:eastAsia="仿宋" w:cs="仿宋"/>
          <w:sz w:val="24"/>
          <w:szCs w:val="24"/>
        </w:rPr>
        <w:t>复核：</w:t>
      </w:r>
      <w:r>
        <w:rPr>
          <w:rFonts w:ascii="仿宋" w:hAnsi="仿宋" w:eastAsia="仿宋" w:cs="仿宋"/>
          <w:sz w:val="24"/>
          <w:szCs w:val="24"/>
        </w:rPr>
        <w:t xml:space="preserve">                          </w:t>
      </w:r>
      <w:r>
        <w:rPr>
          <w:rFonts w:hint="eastAsia" w:ascii="仿宋" w:hAnsi="仿宋" w:eastAsia="仿宋" w:cs="仿宋"/>
          <w:sz w:val="24"/>
          <w:szCs w:val="24"/>
        </w:rPr>
        <w:t>编制日期：</w:t>
      </w:r>
      <w:r>
        <w:rPr>
          <w:rFonts w:ascii="仿宋" w:hAnsi="仿宋" w:eastAsia="仿宋" w:cs="仿宋"/>
          <w:sz w:val="24"/>
          <w:szCs w:val="24"/>
        </w:rPr>
        <w:t xml:space="preserve">  </w:t>
      </w:r>
      <w:r>
        <w:rPr>
          <w:rFonts w:hint="eastAsia" w:ascii="仿宋" w:hAnsi="仿宋" w:eastAsia="仿宋" w:cs="仿宋"/>
          <w:sz w:val="24"/>
          <w:szCs w:val="24"/>
        </w:rPr>
        <w:t>　</w:t>
      </w:r>
      <w:r>
        <w:rPr>
          <w:rFonts w:ascii="仿宋" w:hAnsi="仿宋" w:eastAsia="仿宋" w:cs="仿宋"/>
          <w:sz w:val="24"/>
          <w:szCs w:val="24"/>
        </w:rPr>
        <w:t xml:space="preserve"> </w:t>
      </w:r>
      <w:r>
        <w:rPr>
          <w:rFonts w:hint="eastAsia" w:ascii="仿宋" w:hAnsi="仿宋" w:eastAsia="仿宋" w:cs="仿宋"/>
          <w:sz w:val="24"/>
          <w:szCs w:val="24"/>
        </w:rPr>
        <w:t>年</w:t>
      </w:r>
      <w:r>
        <w:rPr>
          <w:rFonts w:ascii="仿宋" w:hAnsi="仿宋" w:eastAsia="仿宋" w:cs="仿宋"/>
          <w:sz w:val="24"/>
          <w:szCs w:val="24"/>
        </w:rPr>
        <w:t xml:space="preserve">  </w:t>
      </w:r>
      <w:r>
        <w:rPr>
          <w:rFonts w:hint="eastAsia" w:ascii="仿宋" w:hAnsi="仿宋" w:eastAsia="仿宋" w:cs="仿宋"/>
          <w:sz w:val="24"/>
          <w:szCs w:val="24"/>
        </w:rPr>
        <w:t>　月　</w:t>
      </w:r>
      <w:r>
        <w:rPr>
          <w:rFonts w:ascii="仿宋" w:hAnsi="仿宋" w:eastAsia="仿宋" w:cs="仿宋"/>
          <w:sz w:val="24"/>
          <w:szCs w:val="24"/>
        </w:rPr>
        <w:t xml:space="preserve"> </w:t>
      </w:r>
      <w:r>
        <w:rPr>
          <w:rFonts w:hint="eastAsia" w:ascii="仿宋" w:hAnsi="仿宋" w:eastAsia="仿宋" w:cs="仿宋"/>
          <w:sz w:val="24"/>
          <w:szCs w:val="24"/>
        </w:rPr>
        <w:t>日</w:t>
      </w:r>
      <w:r>
        <w:rPr>
          <w:rFonts w:ascii="仿宋" w:hAnsi="仿宋" w:eastAsia="仿宋" w:cs="仿宋"/>
          <w:sz w:val="24"/>
          <w:szCs w:val="24"/>
        </w:rPr>
        <w:t xml:space="preserve">                                                             </w:t>
      </w:r>
    </w:p>
    <w:p>
      <w:pPr>
        <w:spacing w:line="360" w:lineRule="auto"/>
        <w:rPr>
          <w:rFonts w:ascii="仿宋" w:hAnsi="仿宋" w:eastAsia="仿宋" w:cs="Times New Roman"/>
        </w:rPr>
      </w:pPr>
      <w:r>
        <w:rPr>
          <w:rFonts w:hint="eastAsia" w:ascii="仿宋" w:hAnsi="仿宋" w:eastAsia="仿宋" w:cs="仿宋"/>
          <w:sz w:val="24"/>
          <w:szCs w:val="24"/>
        </w:rPr>
        <w:t>说明：本表用于承包人、发包人的工程款额支付凭证统计和内部管理。</w:t>
      </w:r>
    </w:p>
    <w:p>
      <w:pPr>
        <w:rPr>
          <w:rFonts w:ascii="仿宋" w:hAnsi="仿宋" w:eastAsia="仿宋" w:cs="Times New Roman"/>
        </w:rPr>
      </w:pPr>
    </w:p>
    <w:p>
      <w:pPr>
        <w:pStyle w:val="13"/>
        <w:rPr>
          <w:rFonts w:ascii="仿宋" w:hAnsi="仿宋" w:eastAsia="仿宋" w:cs="仿宋"/>
          <w:color w:val="auto"/>
          <w:highlight w:val="none"/>
        </w:rPr>
      </w:pPr>
    </w:p>
    <w:sectPr>
      <w:footerReference r:id="rId5" w:type="default"/>
      <w:pgSz w:w="11906" w:h="16838"/>
      <w:pgMar w:top="1440" w:right="1304" w:bottom="1440" w:left="119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algun Gothic">
    <w:panose1 w:val="020B0503020000020004"/>
    <w:charset w:val="81"/>
    <w:family w:val="auto"/>
    <w:pitch w:val="default"/>
    <w:sig w:usb0="9000002F" w:usb1="29D77CFB" w:usb2="00000012" w:usb3="00000000" w:csb0="00080001"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rPr>
        <w:rFonts w:cs="Times New Roman"/>
      </w:rPr>
    </w:pPr>
  </w:p>
  <w:p>
    <w:pPr>
      <w:pStyle w:val="27"/>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rPr>
        <w:rFonts w:cs="Times New Roman"/>
      </w:rPr>
    </w:pPr>
    <w:r>
      <w:fldChar w:fldCharType="begin"/>
    </w:r>
    <w:r>
      <w:instrText xml:space="preserve"> PAGE   \* MERGEFORMAT </w:instrText>
    </w:r>
    <w:r>
      <w:fldChar w:fldCharType="separate"/>
    </w:r>
    <w:r>
      <w:rPr>
        <w:lang w:val="zh-CN"/>
      </w:rPr>
      <w:t>6</w:t>
    </w:r>
    <w:r>
      <w:fldChar w:fldCharType="end"/>
    </w:r>
  </w:p>
  <w:p>
    <w:pPr>
      <w:pStyle w:val="27"/>
      <w:rPr>
        <w:rFonts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rPr>
        <w:rFonts w:cs="Times New Roman"/>
      </w:rPr>
    </w:pPr>
    <w:r>
      <w:fldChar w:fldCharType="begin"/>
    </w:r>
    <w:r>
      <w:instrText xml:space="preserve"> PAGE   \* MERGEFORMAT </w:instrText>
    </w:r>
    <w:r>
      <w:fldChar w:fldCharType="separate"/>
    </w:r>
    <w:r>
      <w:rPr>
        <w:lang w:val="zh-CN"/>
      </w:rPr>
      <w:t>172</w:t>
    </w:r>
    <w:r>
      <w:fldChar w:fldCharType="end"/>
    </w:r>
  </w:p>
  <w:p>
    <w:pPr>
      <w:pStyle w:val="27"/>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lvlText w:val=""/>
      <w:lvlJc w:val="left"/>
      <w:pPr>
        <w:tabs>
          <w:tab w:val="left" w:pos="360"/>
        </w:tabs>
        <w:ind w:left="360" w:hanging="360"/>
      </w:pPr>
      <w:rPr>
        <w:rFonts w:hint="default" w:ascii="Wingdings" w:hAnsi="Wingdings" w:cs="Wingdings"/>
      </w:rPr>
    </w:lvl>
  </w:abstractNum>
  <w:abstractNum w:abstractNumId="1">
    <w:nsid w:val="05A65CA1"/>
    <w:multiLevelType w:val="multilevel"/>
    <w:tmpl w:val="05A65CA1"/>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07C82ACA"/>
    <w:multiLevelType w:val="multilevel"/>
    <w:tmpl w:val="07C82ACA"/>
    <w:lvl w:ilvl="0" w:tentative="0">
      <w:start w:val="1"/>
      <w:numFmt w:val="decimal"/>
      <w:lvlText w:val="（%1）"/>
      <w:lvlJc w:val="left"/>
      <w:pPr>
        <w:tabs>
          <w:tab w:val="left" w:pos="2339"/>
        </w:tabs>
        <w:ind w:left="2339" w:hanging="720"/>
      </w:pPr>
    </w:lvl>
    <w:lvl w:ilvl="1" w:tentative="0">
      <w:start w:val="1"/>
      <w:numFmt w:val="lowerLetter"/>
      <w:lvlText w:val="%2)"/>
      <w:lvlJc w:val="left"/>
      <w:pPr>
        <w:tabs>
          <w:tab w:val="left" w:pos="2459"/>
        </w:tabs>
        <w:ind w:left="2459" w:hanging="42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0C1C34D2"/>
    <w:multiLevelType w:val="multilevel"/>
    <w:tmpl w:val="0C1C34D2"/>
    <w:lvl w:ilvl="0" w:tentative="0">
      <w:start w:val="1"/>
      <w:numFmt w:val="decimal"/>
      <w:lvlText w:val="(%1)"/>
      <w:lvlJc w:val="left"/>
      <w:pPr>
        <w:tabs>
          <w:tab w:val="left" w:pos="1560"/>
        </w:tabs>
        <w:ind w:left="1560" w:hanging="1080"/>
      </w:pPr>
    </w:lvl>
    <w:lvl w:ilvl="1" w:tentative="0">
      <w:start w:val="1"/>
      <w:numFmt w:val="decimal"/>
      <w:lvlText w:val="（%2）"/>
      <w:lvlJc w:val="left"/>
      <w:pPr>
        <w:tabs>
          <w:tab w:val="left" w:pos="1620"/>
        </w:tabs>
        <w:ind w:left="1620" w:hanging="72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0EF61F1C"/>
    <w:multiLevelType w:val="multilevel"/>
    <w:tmpl w:val="0EF61F1C"/>
    <w:lvl w:ilvl="0" w:tentative="0">
      <w:start w:val="1"/>
      <w:numFmt w:val="decimal"/>
      <w:lvlText w:val="（%1）"/>
      <w:lvlJc w:val="left"/>
      <w:pPr>
        <w:tabs>
          <w:tab w:val="left" w:pos="960"/>
        </w:tabs>
        <w:ind w:left="96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1E153F58"/>
    <w:multiLevelType w:val="multilevel"/>
    <w:tmpl w:val="1E153F58"/>
    <w:lvl w:ilvl="0" w:tentative="0">
      <w:start w:val="1"/>
      <w:numFmt w:val="decimal"/>
      <w:lvlText w:val="（%1）"/>
      <w:lvlJc w:val="left"/>
      <w:pPr>
        <w:tabs>
          <w:tab w:val="left" w:pos="2609"/>
        </w:tabs>
        <w:ind w:left="2609"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253A68C1"/>
    <w:multiLevelType w:val="multilevel"/>
    <w:tmpl w:val="253A68C1"/>
    <w:lvl w:ilvl="0" w:tentative="0">
      <w:start w:val="1"/>
      <w:numFmt w:val="decimal"/>
      <w:lvlText w:val="(%1)"/>
      <w:lvlJc w:val="left"/>
      <w:pPr>
        <w:tabs>
          <w:tab w:val="left" w:pos="1440"/>
        </w:tabs>
        <w:ind w:left="1440" w:hanging="9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266F2840"/>
    <w:multiLevelType w:val="multilevel"/>
    <w:tmpl w:val="266F2840"/>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32C43DC6"/>
    <w:multiLevelType w:val="multilevel"/>
    <w:tmpl w:val="32C43DC6"/>
    <w:lvl w:ilvl="0" w:tentative="0">
      <w:start w:val="1"/>
      <w:numFmt w:val="decimal"/>
      <w:lvlText w:val="(%1)"/>
      <w:lvlJc w:val="left"/>
      <w:pPr>
        <w:tabs>
          <w:tab w:val="left" w:pos="1560"/>
        </w:tabs>
        <w:ind w:left="156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36B74DA9"/>
    <w:multiLevelType w:val="multilevel"/>
    <w:tmpl w:val="36B74DA9"/>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3B2E0A0E"/>
    <w:multiLevelType w:val="multilevel"/>
    <w:tmpl w:val="3B2E0A0E"/>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620"/>
        </w:tabs>
        <w:ind w:left="1620" w:hanging="720"/>
      </w:pPr>
      <w:rPr>
        <w:rFonts w:ascii="宋体"/>
        <w:color w:val="auto"/>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3E0758DE"/>
    <w:multiLevelType w:val="multilevel"/>
    <w:tmpl w:val="3E0758DE"/>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
    <w:nsid w:val="42D478CF"/>
    <w:multiLevelType w:val="multilevel"/>
    <w:tmpl w:val="42D478CF"/>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
    <w:nsid w:val="46D47E00"/>
    <w:multiLevelType w:val="multilevel"/>
    <w:tmpl w:val="46D47E00"/>
    <w:lvl w:ilvl="0" w:tentative="0">
      <w:start w:val="1"/>
      <w:numFmt w:val="decimal"/>
      <w:lvlText w:val="(%1)"/>
      <w:lvlJc w:val="left"/>
      <w:pPr>
        <w:tabs>
          <w:tab w:val="left" w:pos="960"/>
        </w:tabs>
        <w:ind w:left="960" w:hanging="4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4BE837E6"/>
    <w:multiLevelType w:val="multilevel"/>
    <w:tmpl w:val="4BE837E6"/>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5">
    <w:nsid w:val="4D5A4498"/>
    <w:multiLevelType w:val="multilevel"/>
    <w:tmpl w:val="4D5A4498"/>
    <w:lvl w:ilvl="0" w:tentative="0">
      <w:start w:val="1"/>
      <w:numFmt w:val="decimal"/>
      <w:lvlText w:val="%1．"/>
      <w:lvlJc w:val="left"/>
      <w:pPr>
        <w:tabs>
          <w:tab w:val="left" w:pos="840"/>
        </w:tabs>
        <w:ind w:left="840" w:hanging="360"/>
      </w:pPr>
    </w:lvl>
    <w:lvl w:ilvl="1" w:tentative="0">
      <w:start w:val="1"/>
      <w:numFmt w:val="lowerLetter"/>
      <w:lvlText w:val="%2)"/>
      <w:lvlJc w:val="left"/>
      <w:pPr>
        <w:tabs>
          <w:tab w:val="left" w:pos="1320"/>
        </w:tabs>
        <w:ind w:left="1320" w:hanging="42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6">
    <w:nsid w:val="51880536"/>
    <w:multiLevelType w:val="multilevel"/>
    <w:tmpl w:val="51880536"/>
    <w:lvl w:ilvl="0" w:tentative="0">
      <w:start w:val="1"/>
      <w:numFmt w:val="decimal"/>
      <w:lvlText w:val="（%1）"/>
      <w:lvlJc w:val="left"/>
      <w:pPr>
        <w:tabs>
          <w:tab w:val="left" w:pos="840"/>
        </w:tabs>
        <w:ind w:left="84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7">
    <w:nsid w:val="55CC2CEE"/>
    <w:multiLevelType w:val="multilevel"/>
    <w:tmpl w:val="55CC2CEE"/>
    <w:lvl w:ilvl="0" w:tentative="0">
      <w:start w:val="1"/>
      <w:numFmt w:val="decimal"/>
      <w:lvlText w:val="(%1)"/>
      <w:lvlJc w:val="left"/>
      <w:pPr>
        <w:tabs>
          <w:tab w:val="left" w:pos="1440"/>
        </w:tabs>
        <w:ind w:left="1440" w:hanging="9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8">
    <w:nsid w:val="57D559DE"/>
    <w:multiLevelType w:val="multilevel"/>
    <w:tmpl w:val="57D559DE"/>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9">
    <w:nsid w:val="5B691D0A"/>
    <w:multiLevelType w:val="multilevel"/>
    <w:tmpl w:val="5B691D0A"/>
    <w:lvl w:ilvl="0" w:tentative="0">
      <w:start w:val="1"/>
      <w:numFmt w:val="decimal"/>
      <w:lvlText w:val="(%1)"/>
      <w:lvlJc w:val="left"/>
      <w:pPr>
        <w:tabs>
          <w:tab w:val="left" w:pos="1560"/>
        </w:tabs>
        <w:ind w:left="1560" w:hanging="1080"/>
      </w:pPr>
    </w:lvl>
    <w:lvl w:ilvl="1" w:tentative="0">
      <w:start w:val="4"/>
      <w:numFmt w:val="decimal"/>
      <w:lvlText w:val="(%2)"/>
      <w:lvlJc w:val="left"/>
      <w:pPr>
        <w:tabs>
          <w:tab w:val="left" w:pos="1410"/>
        </w:tabs>
        <w:ind w:left="1410" w:hanging="51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0">
    <w:nsid w:val="5EEA705D"/>
    <w:multiLevelType w:val="multilevel"/>
    <w:tmpl w:val="5EEA705D"/>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1">
    <w:nsid w:val="62256771"/>
    <w:multiLevelType w:val="multilevel"/>
    <w:tmpl w:val="62256771"/>
    <w:lvl w:ilvl="0" w:tentative="0">
      <w:start w:val="1"/>
      <w:numFmt w:val="decimal"/>
      <w:lvlText w:val="(%1)"/>
      <w:lvlJc w:val="left"/>
      <w:pPr>
        <w:tabs>
          <w:tab w:val="left" w:pos="960"/>
        </w:tabs>
        <w:ind w:left="960" w:hanging="480"/>
      </w:pPr>
    </w:lvl>
    <w:lvl w:ilvl="1" w:tentative="0">
      <w:start w:val="1"/>
      <w:numFmt w:val="decimal"/>
      <w:lvlText w:val="（%2）"/>
      <w:lvlJc w:val="left"/>
      <w:pPr>
        <w:tabs>
          <w:tab w:val="left" w:pos="1980"/>
        </w:tabs>
        <w:ind w:left="1980" w:hanging="108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2">
    <w:nsid w:val="69774DF0"/>
    <w:multiLevelType w:val="multilevel"/>
    <w:tmpl w:val="69774DF0"/>
    <w:lvl w:ilvl="0" w:tentative="0">
      <w:start w:val="1"/>
      <w:numFmt w:val="decimal"/>
      <w:lvlText w:val="(%1)"/>
      <w:lvlJc w:val="left"/>
      <w:pPr>
        <w:tabs>
          <w:tab w:val="left" w:pos="1350"/>
        </w:tabs>
        <w:ind w:left="1350" w:hanging="870"/>
      </w:pPr>
    </w:lvl>
    <w:lvl w:ilvl="1" w:tentative="0">
      <w:start w:val="1"/>
      <w:numFmt w:val="decimal"/>
      <w:lvlText w:val="%2."/>
      <w:lvlJc w:val="left"/>
      <w:pPr>
        <w:tabs>
          <w:tab w:val="left" w:pos="1260"/>
        </w:tabs>
        <w:ind w:left="126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3">
    <w:nsid w:val="6B1548AB"/>
    <w:multiLevelType w:val="multilevel"/>
    <w:tmpl w:val="6B1548AB"/>
    <w:lvl w:ilvl="0" w:tentative="0">
      <w:start w:val="1"/>
      <w:numFmt w:val="decimal"/>
      <w:lvlText w:val="(%1)"/>
      <w:lvlJc w:val="left"/>
      <w:pPr>
        <w:tabs>
          <w:tab w:val="left" w:pos="990"/>
        </w:tabs>
        <w:ind w:left="990" w:hanging="99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4">
    <w:nsid w:val="6C1074F8"/>
    <w:multiLevelType w:val="multilevel"/>
    <w:tmpl w:val="6C1074F8"/>
    <w:lvl w:ilvl="0" w:tentative="0">
      <w:start w:val="1"/>
      <w:numFmt w:val="decimal"/>
      <w:lvlText w:val="(%1)"/>
      <w:lvlJc w:val="left"/>
      <w:pPr>
        <w:tabs>
          <w:tab w:val="left" w:pos="1110"/>
        </w:tabs>
        <w:ind w:left="1110" w:hanging="510"/>
      </w:pPr>
      <w:rPr>
        <w:color w:val="auto"/>
      </w:rPr>
    </w:lvl>
    <w:lvl w:ilvl="1" w:tentative="0">
      <w:start w:val="1"/>
      <w:numFmt w:val="decimal"/>
      <w:lvlText w:val="(%2)"/>
      <w:lvlJc w:val="left"/>
      <w:pPr>
        <w:tabs>
          <w:tab w:val="left" w:pos="1410"/>
        </w:tabs>
        <w:ind w:left="1410" w:hanging="390"/>
      </w:pPr>
    </w:lvl>
    <w:lvl w:ilvl="2" w:tentative="0">
      <w:start w:val="1"/>
      <w:numFmt w:val="decimal"/>
      <w:lvlText w:val="%3."/>
      <w:lvlJc w:val="left"/>
      <w:pPr>
        <w:tabs>
          <w:tab w:val="left" w:pos="2280"/>
        </w:tabs>
        <w:ind w:left="2280" w:hanging="360"/>
      </w:pPr>
    </w:lvl>
    <w:lvl w:ilvl="3" w:tentative="0">
      <w:start w:val="1"/>
      <w:numFmt w:val="decimal"/>
      <w:lvlText w:val="%4."/>
      <w:lvlJc w:val="left"/>
      <w:pPr>
        <w:tabs>
          <w:tab w:val="left" w:pos="3000"/>
        </w:tabs>
        <w:ind w:left="3000" w:hanging="360"/>
      </w:pPr>
    </w:lvl>
    <w:lvl w:ilvl="4" w:tentative="0">
      <w:start w:val="1"/>
      <w:numFmt w:val="decimal"/>
      <w:lvlText w:val="%5."/>
      <w:lvlJc w:val="left"/>
      <w:pPr>
        <w:tabs>
          <w:tab w:val="left" w:pos="3720"/>
        </w:tabs>
        <w:ind w:left="3720" w:hanging="360"/>
      </w:pPr>
    </w:lvl>
    <w:lvl w:ilvl="5" w:tentative="0">
      <w:start w:val="1"/>
      <w:numFmt w:val="decimal"/>
      <w:lvlText w:val="%6."/>
      <w:lvlJc w:val="left"/>
      <w:pPr>
        <w:tabs>
          <w:tab w:val="left" w:pos="4440"/>
        </w:tabs>
        <w:ind w:left="4440" w:hanging="360"/>
      </w:pPr>
    </w:lvl>
    <w:lvl w:ilvl="6" w:tentative="0">
      <w:start w:val="1"/>
      <w:numFmt w:val="decimal"/>
      <w:lvlText w:val="%7."/>
      <w:lvlJc w:val="left"/>
      <w:pPr>
        <w:tabs>
          <w:tab w:val="left" w:pos="5160"/>
        </w:tabs>
        <w:ind w:left="5160" w:hanging="360"/>
      </w:pPr>
    </w:lvl>
    <w:lvl w:ilvl="7" w:tentative="0">
      <w:start w:val="1"/>
      <w:numFmt w:val="decimal"/>
      <w:lvlText w:val="%8."/>
      <w:lvlJc w:val="left"/>
      <w:pPr>
        <w:tabs>
          <w:tab w:val="left" w:pos="5880"/>
        </w:tabs>
        <w:ind w:left="5880" w:hanging="360"/>
      </w:pPr>
    </w:lvl>
    <w:lvl w:ilvl="8" w:tentative="0">
      <w:start w:val="1"/>
      <w:numFmt w:val="decimal"/>
      <w:lvlText w:val="%9."/>
      <w:lvlJc w:val="left"/>
      <w:pPr>
        <w:tabs>
          <w:tab w:val="left" w:pos="6600"/>
        </w:tabs>
        <w:ind w:left="6600" w:hanging="360"/>
      </w:pPr>
    </w:lvl>
  </w:abstractNum>
  <w:abstractNum w:abstractNumId="25">
    <w:nsid w:val="6CBA5776"/>
    <w:multiLevelType w:val="multilevel"/>
    <w:tmpl w:val="6CBA5776"/>
    <w:lvl w:ilvl="0" w:tentative="0">
      <w:start w:val="1"/>
      <w:numFmt w:val="decimal"/>
      <w:lvlText w:val="(%1)"/>
      <w:lvlJc w:val="left"/>
      <w:pPr>
        <w:tabs>
          <w:tab w:val="left" w:pos="1560"/>
        </w:tabs>
        <w:ind w:left="1560" w:hanging="10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6">
    <w:nsid w:val="6D180A00"/>
    <w:multiLevelType w:val="multilevel"/>
    <w:tmpl w:val="6D180A00"/>
    <w:lvl w:ilvl="0" w:tentative="0">
      <w:start w:val="5"/>
      <w:numFmt w:val="decimal"/>
      <w:lvlText w:val="%1"/>
      <w:lvlJc w:val="left"/>
      <w:pPr>
        <w:tabs>
          <w:tab w:val="left" w:pos="840"/>
        </w:tabs>
        <w:ind w:left="84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7">
    <w:nsid w:val="706D58B7"/>
    <w:multiLevelType w:val="multilevel"/>
    <w:tmpl w:val="706D58B7"/>
    <w:lvl w:ilvl="0" w:tentative="0">
      <w:start w:val="1"/>
      <w:numFmt w:val="decimal"/>
      <w:lvlText w:val="(%1)"/>
      <w:lvlJc w:val="left"/>
      <w:pPr>
        <w:tabs>
          <w:tab w:val="left" w:pos="1440"/>
        </w:tabs>
        <w:ind w:left="1440" w:hanging="9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8">
    <w:nsid w:val="774C6470"/>
    <w:multiLevelType w:val="multilevel"/>
    <w:tmpl w:val="774C6470"/>
    <w:lvl w:ilvl="0" w:tentative="0">
      <w:start w:val="1"/>
      <w:numFmt w:val="decimal"/>
      <w:lvlText w:val="(%1)"/>
      <w:lvlJc w:val="left"/>
      <w:pPr>
        <w:tabs>
          <w:tab w:val="left" w:pos="1560"/>
        </w:tabs>
        <w:ind w:left="1560" w:hanging="10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9">
    <w:nsid w:val="7BE858F9"/>
    <w:multiLevelType w:val="multilevel"/>
    <w:tmpl w:val="7BE858F9"/>
    <w:lvl w:ilvl="0" w:tentative="0">
      <w:start w:val="1"/>
      <w:numFmt w:val="decimal"/>
      <w:lvlText w:val="（%1）"/>
      <w:lvlJc w:val="left"/>
      <w:pPr>
        <w:ind w:left="2340" w:hanging="720"/>
      </w:pPr>
      <w:rPr>
        <w:rFonts w:hint="default" w:cs="仿宋"/>
      </w:rPr>
    </w:lvl>
    <w:lvl w:ilvl="1" w:tentative="0">
      <w:start w:val="1"/>
      <w:numFmt w:val="lowerLetter"/>
      <w:lvlText w:val="%2)"/>
      <w:lvlJc w:val="left"/>
      <w:pPr>
        <w:ind w:left="2460" w:hanging="420"/>
      </w:pPr>
    </w:lvl>
    <w:lvl w:ilvl="2" w:tentative="0">
      <w:start w:val="1"/>
      <w:numFmt w:val="lowerRoman"/>
      <w:lvlText w:val="%3."/>
      <w:lvlJc w:val="right"/>
      <w:pPr>
        <w:ind w:left="2880" w:hanging="420"/>
      </w:pPr>
    </w:lvl>
    <w:lvl w:ilvl="3" w:tentative="0">
      <w:start w:val="1"/>
      <w:numFmt w:val="decimal"/>
      <w:lvlText w:val="%4."/>
      <w:lvlJc w:val="left"/>
      <w:pPr>
        <w:ind w:left="3300" w:hanging="420"/>
      </w:pPr>
    </w:lvl>
    <w:lvl w:ilvl="4" w:tentative="0">
      <w:start w:val="1"/>
      <w:numFmt w:val="lowerLetter"/>
      <w:lvlText w:val="%5)"/>
      <w:lvlJc w:val="left"/>
      <w:pPr>
        <w:ind w:left="3720" w:hanging="420"/>
      </w:pPr>
    </w:lvl>
    <w:lvl w:ilvl="5" w:tentative="0">
      <w:start w:val="1"/>
      <w:numFmt w:val="lowerRoman"/>
      <w:lvlText w:val="%6."/>
      <w:lvlJc w:val="right"/>
      <w:pPr>
        <w:ind w:left="4140" w:hanging="420"/>
      </w:pPr>
    </w:lvl>
    <w:lvl w:ilvl="6" w:tentative="0">
      <w:start w:val="1"/>
      <w:numFmt w:val="decimal"/>
      <w:lvlText w:val="%7."/>
      <w:lvlJc w:val="left"/>
      <w:pPr>
        <w:ind w:left="4560" w:hanging="420"/>
      </w:pPr>
    </w:lvl>
    <w:lvl w:ilvl="7" w:tentative="0">
      <w:start w:val="1"/>
      <w:numFmt w:val="lowerLetter"/>
      <w:lvlText w:val="%8)"/>
      <w:lvlJc w:val="left"/>
      <w:pPr>
        <w:ind w:left="4980" w:hanging="420"/>
      </w:pPr>
    </w:lvl>
    <w:lvl w:ilvl="8" w:tentative="0">
      <w:start w:val="1"/>
      <w:numFmt w:val="lowerRoman"/>
      <w:lvlText w:val="%9."/>
      <w:lvlJc w:val="right"/>
      <w:pPr>
        <w:ind w:left="5400" w:hanging="420"/>
      </w:pPr>
    </w:lvl>
  </w:abstractNum>
  <w:abstractNum w:abstractNumId="30">
    <w:nsid w:val="7E9C6F08"/>
    <w:multiLevelType w:val="multilevel"/>
    <w:tmpl w:val="7E9C6F08"/>
    <w:lvl w:ilvl="0" w:tentative="0">
      <w:start w:val="1"/>
      <w:numFmt w:val="decimal"/>
      <w:lvlText w:val="(%1)"/>
      <w:lvlJc w:val="left"/>
      <w:pPr>
        <w:tabs>
          <w:tab w:val="left" w:pos="1200"/>
        </w:tabs>
        <w:ind w:left="120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1">
    <w:nsid w:val="7EAB2762"/>
    <w:multiLevelType w:val="multilevel"/>
    <w:tmpl w:val="7EAB2762"/>
    <w:lvl w:ilvl="0" w:tentative="0">
      <w:start w:val="3"/>
      <w:numFmt w:val="bullet"/>
      <w:lvlText w:val="□"/>
      <w:lvlJc w:val="left"/>
      <w:pPr>
        <w:ind w:left="541" w:hanging="360"/>
      </w:pPr>
      <w:rPr>
        <w:rFonts w:hint="eastAsia" w:ascii="仿宋" w:hAnsi="仿宋" w:eastAsia="仿宋" w:cs="仿宋"/>
        <w:u w:val="none"/>
      </w:rPr>
    </w:lvl>
    <w:lvl w:ilvl="1" w:tentative="0">
      <w:start w:val="1"/>
      <w:numFmt w:val="bullet"/>
      <w:lvlText w:val=""/>
      <w:lvlJc w:val="left"/>
      <w:pPr>
        <w:ind w:left="1021" w:hanging="420"/>
      </w:pPr>
      <w:rPr>
        <w:rFonts w:hint="default" w:ascii="Wingdings" w:hAnsi="Wingdings"/>
      </w:rPr>
    </w:lvl>
    <w:lvl w:ilvl="2" w:tentative="0">
      <w:start w:val="1"/>
      <w:numFmt w:val="bullet"/>
      <w:lvlText w:val=""/>
      <w:lvlJc w:val="left"/>
      <w:pPr>
        <w:ind w:left="1441" w:hanging="420"/>
      </w:pPr>
      <w:rPr>
        <w:rFonts w:hint="default" w:ascii="Wingdings" w:hAnsi="Wingdings"/>
      </w:rPr>
    </w:lvl>
    <w:lvl w:ilvl="3" w:tentative="0">
      <w:start w:val="1"/>
      <w:numFmt w:val="bullet"/>
      <w:lvlText w:val=""/>
      <w:lvlJc w:val="left"/>
      <w:pPr>
        <w:ind w:left="1861" w:hanging="420"/>
      </w:pPr>
      <w:rPr>
        <w:rFonts w:hint="default" w:ascii="Wingdings" w:hAnsi="Wingdings"/>
      </w:rPr>
    </w:lvl>
    <w:lvl w:ilvl="4" w:tentative="0">
      <w:start w:val="1"/>
      <w:numFmt w:val="bullet"/>
      <w:lvlText w:val=""/>
      <w:lvlJc w:val="left"/>
      <w:pPr>
        <w:ind w:left="2281" w:hanging="420"/>
      </w:pPr>
      <w:rPr>
        <w:rFonts w:hint="default" w:ascii="Wingdings" w:hAnsi="Wingdings"/>
      </w:rPr>
    </w:lvl>
    <w:lvl w:ilvl="5" w:tentative="0">
      <w:start w:val="1"/>
      <w:numFmt w:val="bullet"/>
      <w:lvlText w:val=""/>
      <w:lvlJc w:val="left"/>
      <w:pPr>
        <w:ind w:left="2701" w:hanging="420"/>
      </w:pPr>
      <w:rPr>
        <w:rFonts w:hint="default" w:ascii="Wingdings" w:hAnsi="Wingdings"/>
      </w:rPr>
    </w:lvl>
    <w:lvl w:ilvl="6" w:tentative="0">
      <w:start w:val="1"/>
      <w:numFmt w:val="bullet"/>
      <w:lvlText w:val=""/>
      <w:lvlJc w:val="left"/>
      <w:pPr>
        <w:ind w:left="3121" w:hanging="420"/>
      </w:pPr>
      <w:rPr>
        <w:rFonts w:hint="default" w:ascii="Wingdings" w:hAnsi="Wingdings"/>
      </w:rPr>
    </w:lvl>
    <w:lvl w:ilvl="7" w:tentative="0">
      <w:start w:val="1"/>
      <w:numFmt w:val="bullet"/>
      <w:lvlText w:val=""/>
      <w:lvlJc w:val="left"/>
      <w:pPr>
        <w:ind w:left="3541" w:hanging="420"/>
      </w:pPr>
      <w:rPr>
        <w:rFonts w:hint="default" w:ascii="Wingdings" w:hAnsi="Wingdings"/>
      </w:rPr>
    </w:lvl>
    <w:lvl w:ilvl="8" w:tentative="0">
      <w:start w:val="1"/>
      <w:numFmt w:val="bullet"/>
      <w:lvlText w:val=""/>
      <w:lvlJc w:val="left"/>
      <w:pPr>
        <w:ind w:left="3961" w:hanging="420"/>
      </w:pPr>
      <w:rPr>
        <w:rFonts w:hint="default" w:ascii="Wingdings" w:hAnsi="Wingdings"/>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hideGrammaticalErrors/>
  <w:doNotTrackMoves/>
  <w:documentProtection w:edit="trackedChanges" w:enforcement="0"/>
  <w:defaultTabStop w:val="420"/>
  <w:doNotHyphenateCaps/>
  <w:drawingGridHorizontalSpacing w:val="105"/>
  <w:drawingGridVerticalSpacing w:val="156"/>
  <w:noPunctuationKerning w:val="1"/>
  <w:characterSpacingControl w:val="compressPunctuation"/>
  <w:doNotValidateAgainstSchema/>
  <w:doNotDemarcateInvalidXml/>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FmMzgwMTQ3ZGUxYzJhNDcwZDJiZjVlMDA1ZDk2ZDIifQ=="/>
  </w:docVars>
  <w:rsids>
    <w:rsidRoot w:val="00172A27"/>
    <w:rsid w:val="000013B6"/>
    <w:rsid w:val="00004CBF"/>
    <w:rsid w:val="0000503E"/>
    <w:rsid w:val="000055DE"/>
    <w:rsid w:val="00005A7F"/>
    <w:rsid w:val="00005FD6"/>
    <w:rsid w:val="0000751E"/>
    <w:rsid w:val="00011A06"/>
    <w:rsid w:val="0001388A"/>
    <w:rsid w:val="000143EB"/>
    <w:rsid w:val="000238EE"/>
    <w:rsid w:val="00030106"/>
    <w:rsid w:val="00031FE3"/>
    <w:rsid w:val="000342C9"/>
    <w:rsid w:val="00034916"/>
    <w:rsid w:val="000369ED"/>
    <w:rsid w:val="00037269"/>
    <w:rsid w:val="00043242"/>
    <w:rsid w:val="00043292"/>
    <w:rsid w:val="000435BA"/>
    <w:rsid w:val="00044E36"/>
    <w:rsid w:val="00045847"/>
    <w:rsid w:val="00045CD0"/>
    <w:rsid w:val="00050049"/>
    <w:rsid w:val="0005122D"/>
    <w:rsid w:val="000513FB"/>
    <w:rsid w:val="000529E7"/>
    <w:rsid w:val="00053590"/>
    <w:rsid w:val="00056002"/>
    <w:rsid w:val="000567B5"/>
    <w:rsid w:val="00056EDA"/>
    <w:rsid w:val="00062043"/>
    <w:rsid w:val="000621B6"/>
    <w:rsid w:val="00066031"/>
    <w:rsid w:val="000672CD"/>
    <w:rsid w:val="000746C0"/>
    <w:rsid w:val="00077A21"/>
    <w:rsid w:val="000845C1"/>
    <w:rsid w:val="000901B6"/>
    <w:rsid w:val="000913DC"/>
    <w:rsid w:val="00094A88"/>
    <w:rsid w:val="00094C4B"/>
    <w:rsid w:val="00097425"/>
    <w:rsid w:val="000A6DA0"/>
    <w:rsid w:val="000A7319"/>
    <w:rsid w:val="000B3BBB"/>
    <w:rsid w:val="000B50DF"/>
    <w:rsid w:val="000B7190"/>
    <w:rsid w:val="000B74FE"/>
    <w:rsid w:val="000C6591"/>
    <w:rsid w:val="000D2E73"/>
    <w:rsid w:val="000E0C6E"/>
    <w:rsid w:val="000F02EE"/>
    <w:rsid w:val="000F0DFF"/>
    <w:rsid w:val="000F4A0F"/>
    <w:rsid w:val="000F70C7"/>
    <w:rsid w:val="000F7B35"/>
    <w:rsid w:val="00101D72"/>
    <w:rsid w:val="001028F5"/>
    <w:rsid w:val="00112571"/>
    <w:rsid w:val="00112690"/>
    <w:rsid w:val="00117A8E"/>
    <w:rsid w:val="00122D14"/>
    <w:rsid w:val="00130F08"/>
    <w:rsid w:val="00132F91"/>
    <w:rsid w:val="00133A6F"/>
    <w:rsid w:val="00134D46"/>
    <w:rsid w:val="00136A50"/>
    <w:rsid w:val="00136F45"/>
    <w:rsid w:val="00140C56"/>
    <w:rsid w:val="00142E59"/>
    <w:rsid w:val="00143295"/>
    <w:rsid w:val="00147AAC"/>
    <w:rsid w:val="00147E68"/>
    <w:rsid w:val="00150BFA"/>
    <w:rsid w:val="00151402"/>
    <w:rsid w:val="001525B3"/>
    <w:rsid w:val="001533D1"/>
    <w:rsid w:val="001536AB"/>
    <w:rsid w:val="001607D3"/>
    <w:rsid w:val="00160AD7"/>
    <w:rsid w:val="001631EE"/>
    <w:rsid w:val="00166025"/>
    <w:rsid w:val="0017050C"/>
    <w:rsid w:val="00172A27"/>
    <w:rsid w:val="001754CD"/>
    <w:rsid w:val="00175D78"/>
    <w:rsid w:val="00176DB5"/>
    <w:rsid w:val="0018020A"/>
    <w:rsid w:val="001816B3"/>
    <w:rsid w:val="00181B1F"/>
    <w:rsid w:val="00183317"/>
    <w:rsid w:val="00183C79"/>
    <w:rsid w:val="00187A89"/>
    <w:rsid w:val="00191FAE"/>
    <w:rsid w:val="001939BA"/>
    <w:rsid w:val="00194B95"/>
    <w:rsid w:val="001A17A9"/>
    <w:rsid w:val="001A7E6E"/>
    <w:rsid w:val="001B174B"/>
    <w:rsid w:val="001B1ECC"/>
    <w:rsid w:val="001B6C71"/>
    <w:rsid w:val="001C79F8"/>
    <w:rsid w:val="001D0C1D"/>
    <w:rsid w:val="001D1AAC"/>
    <w:rsid w:val="001D3460"/>
    <w:rsid w:val="001D39BE"/>
    <w:rsid w:val="001D3DED"/>
    <w:rsid w:val="001D6332"/>
    <w:rsid w:val="001E0F9C"/>
    <w:rsid w:val="001E62B5"/>
    <w:rsid w:val="001E72BC"/>
    <w:rsid w:val="001F2FE8"/>
    <w:rsid w:val="002008FA"/>
    <w:rsid w:val="00200C5A"/>
    <w:rsid w:val="0020139B"/>
    <w:rsid w:val="00202A2E"/>
    <w:rsid w:val="002033CB"/>
    <w:rsid w:val="00204E2F"/>
    <w:rsid w:val="0021310F"/>
    <w:rsid w:val="0021332D"/>
    <w:rsid w:val="0022197F"/>
    <w:rsid w:val="00221B87"/>
    <w:rsid w:val="00221DFE"/>
    <w:rsid w:val="00222716"/>
    <w:rsid w:val="002242D7"/>
    <w:rsid w:val="00227C2A"/>
    <w:rsid w:val="00230FA9"/>
    <w:rsid w:val="00234B1C"/>
    <w:rsid w:val="0023727F"/>
    <w:rsid w:val="00240136"/>
    <w:rsid w:val="002509E5"/>
    <w:rsid w:val="0025257E"/>
    <w:rsid w:val="0025354C"/>
    <w:rsid w:val="0025531A"/>
    <w:rsid w:val="00257DDC"/>
    <w:rsid w:val="00265205"/>
    <w:rsid w:val="002726CD"/>
    <w:rsid w:val="002740B0"/>
    <w:rsid w:val="002753BE"/>
    <w:rsid w:val="00275E23"/>
    <w:rsid w:val="00276B16"/>
    <w:rsid w:val="002776B8"/>
    <w:rsid w:val="00277BE2"/>
    <w:rsid w:val="002800AD"/>
    <w:rsid w:val="00283CFF"/>
    <w:rsid w:val="00284729"/>
    <w:rsid w:val="002870F0"/>
    <w:rsid w:val="00287EFD"/>
    <w:rsid w:val="0029161C"/>
    <w:rsid w:val="00295CDC"/>
    <w:rsid w:val="002A2DF1"/>
    <w:rsid w:val="002A3481"/>
    <w:rsid w:val="002A437B"/>
    <w:rsid w:val="002A5E08"/>
    <w:rsid w:val="002B26F1"/>
    <w:rsid w:val="002B37C8"/>
    <w:rsid w:val="002B4CE7"/>
    <w:rsid w:val="002B6694"/>
    <w:rsid w:val="002B6779"/>
    <w:rsid w:val="002B7C68"/>
    <w:rsid w:val="002C04D2"/>
    <w:rsid w:val="002C0C5C"/>
    <w:rsid w:val="002C33F1"/>
    <w:rsid w:val="002D37AE"/>
    <w:rsid w:val="002E1AE7"/>
    <w:rsid w:val="002E37CC"/>
    <w:rsid w:val="002E4DD5"/>
    <w:rsid w:val="002E5A9B"/>
    <w:rsid w:val="002E72D1"/>
    <w:rsid w:val="002F10C0"/>
    <w:rsid w:val="002F1CB3"/>
    <w:rsid w:val="002F4E78"/>
    <w:rsid w:val="002F7652"/>
    <w:rsid w:val="00300B41"/>
    <w:rsid w:val="00313A7D"/>
    <w:rsid w:val="00314252"/>
    <w:rsid w:val="00315F1D"/>
    <w:rsid w:val="00321BC7"/>
    <w:rsid w:val="00321DFA"/>
    <w:rsid w:val="00326339"/>
    <w:rsid w:val="00333EAE"/>
    <w:rsid w:val="00334E8C"/>
    <w:rsid w:val="003406AD"/>
    <w:rsid w:val="00340F8C"/>
    <w:rsid w:val="0034163D"/>
    <w:rsid w:val="00345545"/>
    <w:rsid w:val="00350949"/>
    <w:rsid w:val="0035415F"/>
    <w:rsid w:val="00354F8F"/>
    <w:rsid w:val="00364449"/>
    <w:rsid w:val="00370903"/>
    <w:rsid w:val="00374799"/>
    <w:rsid w:val="00374A23"/>
    <w:rsid w:val="003763B3"/>
    <w:rsid w:val="0038005A"/>
    <w:rsid w:val="00382E5E"/>
    <w:rsid w:val="00383116"/>
    <w:rsid w:val="003857C3"/>
    <w:rsid w:val="00392D94"/>
    <w:rsid w:val="00396115"/>
    <w:rsid w:val="003A3673"/>
    <w:rsid w:val="003A4F4E"/>
    <w:rsid w:val="003B2B85"/>
    <w:rsid w:val="003B70B5"/>
    <w:rsid w:val="003C0B16"/>
    <w:rsid w:val="003C1D0B"/>
    <w:rsid w:val="003C63D5"/>
    <w:rsid w:val="003D0337"/>
    <w:rsid w:val="003D3E6B"/>
    <w:rsid w:val="003D47AB"/>
    <w:rsid w:val="003D530F"/>
    <w:rsid w:val="003D5971"/>
    <w:rsid w:val="003E157B"/>
    <w:rsid w:val="003E275F"/>
    <w:rsid w:val="003E461E"/>
    <w:rsid w:val="003E6870"/>
    <w:rsid w:val="003F689B"/>
    <w:rsid w:val="004107CC"/>
    <w:rsid w:val="00410D96"/>
    <w:rsid w:val="00413507"/>
    <w:rsid w:val="00414741"/>
    <w:rsid w:val="00420AFE"/>
    <w:rsid w:val="0042274B"/>
    <w:rsid w:val="004228AA"/>
    <w:rsid w:val="00426CD4"/>
    <w:rsid w:val="00435077"/>
    <w:rsid w:val="00437973"/>
    <w:rsid w:val="00442586"/>
    <w:rsid w:val="00443D32"/>
    <w:rsid w:val="0044692E"/>
    <w:rsid w:val="00447AC4"/>
    <w:rsid w:val="0045109C"/>
    <w:rsid w:val="00456398"/>
    <w:rsid w:val="00456AB6"/>
    <w:rsid w:val="00460506"/>
    <w:rsid w:val="00462991"/>
    <w:rsid w:val="004642FB"/>
    <w:rsid w:val="00465FED"/>
    <w:rsid w:val="00470BD7"/>
    <w:rsid w:val="00471981"/>
    <w:rsid w:val="00485A53"/>
    <w:rsid w:val="004A547D"/>
    <w:rsid w:val="004A69A1"/>
    <w:rsid w:val="004A7CCF"/>
    <w:rsid w:val="004B11D3"/>
    <w:rsid w:val="004B362C"/>
    <w:rsid w:val="004B51BA"/>
    <w:rsid w:val="004C6121"/>
    <w:rsid w:val="004D0C4F"/>
    <w:rsid w:val="004D4C9B"/>
    <w:rsid w:val="004E0726"/>
    <w:rsid w:val="004E13E3"/>
    <w:rsid w:val="004E2BA3"/>
    <w:rsid w:val="004E63D6"/>
    <w:rsid w:val="004E647E"/>
    <w:rsid w:val="004F1720"/>
    <w:rsid w:val="004F2F74"/>
    <w:rsid w:val="004F583C"/>
    <w:rsid w:val="004F6D9A"/>
    <w:rsid w:val="004F7447"/>
    <w:rsid w:val="004F780F"/>
    <w:rsid w:val="004F7A7E"/>
    <w:rsid w:val="00500BB2"/>
    <w:rsid w:val="00501B38"/>
    <w:rsid w:val="00510AC6"/>
    <w:rsid w:val="00510B56"/>
    <w:rsid w:val="005113F5"/>
    <w:rsid w:val="00512080"/>
    <w:rsid w:val="0051391E"/>
    <w:rsid w:val="005162C5"/>
    <w:rsid w:val="0051704B"/>
    <w:rsid w:val="005175DD"/>
    <w:rsid w:val="00517B4A"/>
    <w:rsid w:val="00521018"/>
    <w:rsid w:val="005234BC"/>
    <w:rsid w:val="005234F6"/>
    <w:rsid w:val="00526FB0"/>
    <w:rsid w:val="00535C0D"/>
    <w:rsid w:val="005370B2"/>
    <w:rsid w:val="00537B59"/>
    <w:rsid w:val="00545345"/>
    <w:rsid w:val="0054780E"/>
    <w:rsid w:val="005500B2"/>
    <w:rsid w:val="005509AF"/>
    <w:rsid w:val="00550F98"/>
    <w:rsid w:val="00553593"/>
    <w:rsid w:val="00553935"/>
    <w:rsid w:val="005540D6"/>
    <w:rsid w:val="00554FFE"/>
    <w:rsid w:val="00560853"/>
    <w:rsid w:val="005617BB"/>
    <w:rsid w:val="00563E67"/>
    <w:rsid w:val="00570F2E"/>
    <w:rsid w:val="00571E91"/>
    <w:rsid w:val="0057383D"/>
    <w:rsid w:val="00575F60"/>
    <w:rsid w:val="0057759F"/>
    <w:rsid w:val="00577FA9"/>
    <w:rsid w:val="005825A2"/>
    <w:rsid w:val="00584922"/>
    <w:rsid w:val="00591D6E"/>
    <w:rsid w:val="005923A8"/>
    <w:rsid w:val="00592DE6"/>
    <w:rsid w:val="0059350C"/>
    <w:rsid w:val="00593F5A"/>
    <w:rsid w:val="00594210"/>
    <w:rsid w:val="005952E2"/>
    <w:rsid w:val="00595A54"/>
    <w:rsid w:val="005A0CFD"/>
    <w:rsid w:val="005A2705"/>
    <w:rsid w:val="005A65ED"/>
    <w:rsid w:val="005A7132"/>
    <w:rsid w:val="005A72D2"/>
    <w:rsid w:val="005B1F63"/>
    <w:rsid w:val="005B483E"/>
    <w:rsid w:val="005B590E"/>
    <w:rsid w:val="005C4DD9"/>
    <w:rsid w:val="005C5757"/>
    <w:rsid w:val="005C6B9B"/>
    <w:rsid w:val="005C6C8F"/>
    <w:rsid w:val="005C7F94"/>
    <w:rsid w:val="005D0512"/>
    <w:rsid w:val="005D2501"/>
    <w:rsid w:val="005D4A6D"/>
    <w:rsid w:val="005D5990"/>
    <w:rsid w:val="005E1DB0"/>
    <w:rsid w:val="005E2237"/>
    <w:rsid w:val="005E661F"/>
    <w:rsid w:val="005E6717"/>
    <w:rsid w:val="005E68DA"/>
    <w:rsid w:val="005F1379"/>
    <w:rsid w:val="005F3D7D"/>
    <w:rsid w:val="005F4919"/>
    <w:rsid w:val="005F50A5"/>
    <w:rsid w:val="006006B5"/>
    <w:rsid w:val="00600E04"/>
    <w:rsid w:val="006041B4"/>
    <w:rsid w:val="00605E35"/>
    <w:rsid w:val="00611B11"/>
    <w:rsid w:val="006139AC"/>
    <w:rsid w:val="006158AE"/>
    <w:rsid w:val="006178C2"/>
    <w:rsid w:val="00621BA1"/>
    <w:rsid w:val="0062605F"/>
    <w:rsid w:val="00634A5E"/>
    <w:rsid w:val="00634FB1"/>
    <w:rsid w:val="00640233"/>
    <w:rsid w:val="00641643"/>
    <w:rsid w:val="00642B79"/>
    <w:rsid w:val="00657B53"/>
    <w:rsid w:val="00657CF2"/>
    <w:rsid w:val="0066243D"/>
    <w:rsid w:val="00662828"/>
    <w:rsid w:val="00665F44"/>
    <w:rsid w:val="00667391"/>
    <w:rsid w:val="0067221C"/>
    <w:rsid w:val="0067359C"/>
    <w:rsid w:val="00676332"/>
    <w:rsid w:val="00681ECB"/>
    <w:rsid w:val="006828F0"/>
    <w:rsid w:val="00682962"/>
    <w:rsid w:val="006957D4"/>
    <w:rsid w:val="006A24F4"/>
    <w:rsid w:val="006A2604"/>
    <w:rsid w:val="006B04EB"/>
    <w:rsid w:val="006B1401"/>
    <w:rsid w:val="006B358C"/>
    <w:rsid w:val="006B5F75"/>
    <w:rsid w:val="006C072E"/>
    <w:rsid w:val="006C399C"/>
    <w:rsid w:val="006C435E"/>
    <w:rsid w:val="006C5EA9"/>
    <w:rsid w:val="006D4A47"/>
    <w:rsid w:val="006D5BCB"/>
    <w:rsid w:val="006D6AAF"/>
    <w:rsid w:val="006D7AFA"/>
    <w:rsid w:val="006E598E"/>
    <w:rsid w:val="006F2F10"/>
    <w:rsid w:val="006F6032"/>
    <w:rsid w:val="006F6F59"/>
    <w:rsid w:val="0071224C"/>
    <w:rsid w:val="00725104"/>
    <w:rsid w:val="0072582C"/>
    <w:rsid w:val="007350C4"/>
    <w:rsid w:val="0074124E"/>
    <w:rsid w:val="00742A04"/>
    <w:rsid w:val="007506BB"/>
    <w:rsid w:val="00753397"/>
    <w:rsid w:val="00756397"/>
    <w:rsid w:val="00756DAB"/>
    <w:rsid w:val="00761084"/>
    <w:rsid w:val="007613F0"/>
    <w:rsid w:val="00762B16"/>
    <w:rsid w:val="0076650E"/>
    <w:rsid w:val="00772920"/>
    <w:rsid w:val="00776109"/>
    <w:rsid w:val="007802BA"/>
    <w:rsid w:val="00780510"/>
    <w:rsid w:val="0078102F"/>
    <w:rsid w:val="00781AA6"/>
    <w:rsid w:val="007826F8"/>
    <w:rsid w:val="00790E92"/>
    <w:rsid w:val="007930B0"/>
    <w:rsid w:val="007947AC"/>
    <w:rsid w:val="00795A5B"/>
    <w:rsid w:val="007A041B"/>
    <w:rsid w:val="007A4882"/>
    <w:rsid w:val="007B20CF"/>
    <w:rsid w:val="007B37A6"/>
    <w:rsid w:val="007B7B54"/>
    <w:rsid w:val="007C2EE9"/>
    <w:rsid w:val="007C4725"/>
    <w:rsid w:val="007C4A64"/>
    <w:rsid w:val="007D0937"/>
    <w:rsid w:val="007D0B18"/>
    <w:rsid w:val="007D18CA"/>
    <w:rsid w:val="007D4978"/>
    <w:rsid w:val="007E010C"/>
    <w:rsid w:val="007E04C8"/>
    <w:rsid w:val="007E36AF"/>
    <w:rsid w:val="007E6509"/>
    <w:rsid w:val="007F154F"/>
    <w:rsid w:val="007F1971"/>
    <w:rsid w:val="007F210D"/>
    <w:rsid w:val="007F797A"/>
    <w:rsid w:val="008064E9"/>
    <w:rsid w:val="008065BF"/>
    <w:rsid w:val="00806E24"/>
    <w:rsid w:val="00807BEA"/>
    <w:rsid w:val="008114B0"/>
    <w:rsid w:val="008119F9"/>
    <w:rsid w:val="00812D6C"/>
    <w:rsid w:val="008167B3"/>
    <w:rsid w:val="0082189B"/>
    <w:rsid w:val="00823C23"/>
    <w:rsid w:val="00823E82"/>
    <w:rsid w:val="00824468"/>
    <w:rsid w:val="00824858"/>
    <w:rsid w:val="00825791"/>
    <w:rsid w:val="008311BA"/>
    <w:rsid w:val="008346A9"/>
    <w:rsid w:val="00834B05"/>
    <w:rsid w:val="0084188C"/>
    <w:rsid w:val="0084331D"/>
    <w:rsid w:val="008442AB"/>
    <w:rsid w:val="008453D9"/>
    <w:rsid w:val="00847E8D"/>
    <w:rsid w:val="008518A0"/>
    <w:rsid w:val="008619D8"/>
    <w:rsid w:val="00862774"/>
    <w:rsid w:val="00863856"/>
    <w:rsid w:val="00865F2D"/>
    <w:rsid w:val="00873818"/>
    <w:rsid w:val="00874D91"/>
    <w:rsid w:val="008816E6"/>
    <w:rsid w:val="00881A57"/>
    <w:rsid w:val="00882E81"/>
    <w:rsid w:val="00886522"/>
    <w:rsid w:val="0088754D"/>
    <w:rsid w:val="008A2FBA"/>
    <w:rsid w:val="008A4B1D"/>
    <w:rsid w:val="008A5866"/>
    <w:rsid w:val="008A5FC7"/>
    <w:rsid w:val="008A70FA"/>
    <w:rsid w:val="008B3662"/>
    <w:rsid w:val="008B6AA4"/>
    <w:rsid w:val="008C1788"/>
    <w:rsid w:val="008C180F"/>
    <w:rsid w:val="008C4325"/>
    <w:rsid w:val="008D242F"/>
    <w:rsid w:val="008D6DCB"/>
    <w:rsid w:val="008E1D06"/>
    <w:rsid w:val="008E7B1E"/>
    <w:rsid w:val="008F2A3F"/>
    <w:rsid w:val="008F7119"/>
    <w:rsid w:val="00900966"/>
    <w:rsid w:val="00903106"/>
    <w:rsid w:val="00903CB9"/>
    <w:rsid w:val="00903EB8"/>
    <w:rsid w:val="00912E77"/>
    <w:rsid w:val="00920750"/>
    <w:rsid w:val="00923960"/>
    <w:rsid w:val="00924167"/>
    <w:rsid w:val="009267FF"/>
    <w:rsid w:val="009320F1"/>
    <w:rsid w:val="00932FC4"/>
    <w:rsid w:val="00933A30"/>
    <w:rsid w:val="00943BDF"/>
    <w:rsid w:val="0094625D"/>
    <w:rsid w:val="00946C0E"/>
    <w:rsid w:val="0095179C"/>
    <w:rsid w:val="00951D25"/>
    <w:rsid w:val="00952569"/>
    <w:rsid w:val="00952E06"/>
    <w:rsid w:val="00954603"/>
    <w:rsid w:val="00955192"/>
    <w:rsid w:val="00955D95"/>
    <w:rsid w:val="00961348"/>
    <w:rsid w:val="009621FF"/>
    <w:rsid w:val="0096688D"/>
    <w:rsid w:val="0096701D"/>
    <w:rsid w:val="00971CB3"/>
    <w:rsid w:val="009778BD"/>
    <w:rsid w:val="0098180D"/>
    <w:rsid w:val="00992D8D"/>
    <w:rsid w:val="009964B3"/>
    <w:rsid w:val="009A62BB"/>
    <w:rsid w:val="009A741B"/>
    <w:rsid w:val="009B4931"/>
    <w:rsid w:val="009B4A8B"/>
    <w:rsid w:val="009C5DC3"/>
    <w:rsid w:val="009C6428"/>
    <w:rsid w:val="009C6A51"/>
    <w:rsid w:val="009D2B22"/>
    <w:rsid w:val="009D5399"/>
    <w:rsid w:val="009E07E5"/>
    <w:rsid w:val="009E0A85"/>
    <w:rsid w:val="009E44F5"/>
    <w:rsid w:val="009E7725"/>
    <w:rsid w:val="009F4BF0"/>
    <w:rsid w:val="009F7844"/>
    <w:rsid w:val="00A01090"/>
    <w:rsid w:val="00A01381"/>
    <w:rsid w:val="00A038F1"/>
    <w:rsid w:val="00A03BF6"/>
    <w:rsid w:val="00A04966"/>
    <w:rsid w:val="00A05B57"/>
    <w:rsid w:val="00A10705"/>
    <w:rsid w:val="00A10A12"/>
    <w:rsid w:val="00A12155"/>
    <w:rsid w:val="00A135C2"/>
    <w:rsid w:val="00A161BB"/>
    <w:rsid w:val="00A23289"/>
    <w:rsid w:val="00A2513D"/>
    <w:rsid w:val="00A2713C"/>
    <w:rsid w:val="00A37581"/>
    <w:rsid w:val="00A37886"/>
    <w:rsid w:val="00A410C9"/>
    <w:rsid w:val="00A42DE3"/>
    <w:rsid w:val="00A440B1"/>
    <w:rsid w:val="00A50847"/>
    <w:rsid w:val="00A50E06"/>
    <w:rsid w:val="00A513B3"/>
    <w:rsid w:val="00A54ADA"/>
    <w:rsid w:val="00A54E27"/>
    <w:rsid w:val="00A56761"/>
    <w:rsid w:val="00A57759"/>
    <w:rsid w:val="00A73576"/>
    <w:rsid w:val="00A73E7E"/>
    <w:rsid w:val="00A746C1"/>
    <w:rsid w:val="00A7476A"/>
    <w:rsid w:val="00A7734A"/>
    <w:rsid w:val="00A8201C"/>
    <w:rsid w:val="00A91DF9"/>
    <w:rsid w:val="00A937DE"/>
    <w:rsid w:val="00A93948"/>
    <w:rsid w:val="00A94731"/>
    <w:rsid w:val="00A961A8"/>
    <w:rsid w:val="00A97783"/>
    <w:rsid w:val="00A97C01"/>
    <w:rsid w:val="00AA16EB"/>
    <w:rsid w:val="00AA1ED5"/>
    <w:rsid w:val="00AA26C2"/>
    <w:rsid w:val="00AA363A"/>
    <w:rsid w:val="00AB097D"/>
    <w:rsid w:val="00AB36FA"/>
    <w:rsid w:val="00AC2330"/>
    <w:rsid w:val="00AC23DC"/>
    <w:rsid w:val="00AC381F"/>
    <w:rsid w:val="00AD0DBA"/>
    <w:rsid w:val="00AD52A8"/>
    <w:rsid w:val="00AD54CE"/>
    <w:rsid w:val="00AE33D9"/>
    <w:rsid w:val="00AE65B4"/>
    <w:rsid w:val="00AF17EB"/>
    <w:rsid w:val="00AF1B7C"/>
    <w:rsid w:val="00AF1FF5"/>
    <w:rsid w:val="00AF5A20"/>
    <w:rsid w:val="00AF66F0"/>
    <w:rsid w:val="00B000FF"/>
    <w:rsid w:val="00B021F0"/>
    <w:rsid w:val="00B06B18"/>
    <w:rsid w:val="00B152E0"/>
    <w:rsid w:val="00B1662E"/>
    <w:rsid w:val="00B172B4"/>
    <w:rsid w:val="00B228BB"/>
    <w:rsid w:val="00B30499"/>
    <w:rsid w:val="00B32917"/>
    <w:rsid w:val="00B35A62"/>
    <w:rsid w:val="00B407A6"/>
    <w:rsid w:val="00B40D3B"/>
    <w:rsid w:val="00B42F9F"/>
    <w:rsid w:val="00B46546"/>
    <w:rsid w:val="00B467FE"/>
    <w:rsid w:val="00B47D8E"/>
    <w:rsid w:val="00B50444"/>
    <w:rsid w:val="00B50E5E"/>
    <w:rsid w:val="00B52BE6"/>
    <w:rsid w:val="00B600F5"/>
    <w:rsid w:val="00B65533"/>
    <w:rsid w:val="00B73A0A"/>
    <w:rsid w:val="00B75D82"/>
    <w:rsid w:val="00B7683A"/>
    <w:rsid w:val="00B76C2C"/>
    <w:rsid w:val="00B8095A"/>
    <w:rsid w:val="00B851B6"/>
    <w:rsid w:val="00B86D44"/>
    <w:rsid w:val="00B87B50"/>
    <w:rsid w:val="00B95660"/>
    <w:rsid w:val="00B95BB5"/>
    <w:rsid w:val="00BA4E0C"/>
    <w:rsid w:val="00BA79C5"/>
    <w:rsid w:val="00BB3F53"/>
    <w:rsid w:val="00BC009B"/>
    <w:rsid w:val="00BC0AAE"/>
    <w:rsid w:val="00BC2248"/>
    <w:rsid w:val="00BC2BA7"/>
    <w:rsid w:val="00BC4349"/>
    <w:rsid w:val="00BC5503"/>
    <w:rsid w:val="00BD2E5C"/>
    <w:rsid w:val="00BD4720"/>
    <w:rsid w:val="00BD7F14"/>
    <w:rsid w:val="00BE1385"/>
    <w:rsid w:val="00BE1BF1"/>
    <w:rsid w:val="00BE48CA"/>
    <w:rsid w:val="00BE6757"/>
    <w:rsid w:val="00BE7F1C"/>
    <w:rsid w:val="00BF3DE4"/>
    <w:rsid w:val="00BF674A"/>
    <w:rsid w:val="00BF68F3"/>
    <w:rsid w:val="00C0146C"/>
    <w:rsid w:val="00C02220"/>
    <w:rsid w:val="00C0362D"/>
    <w:rsid w:val="00C061DC"/>
    <w:rsid w:val="00C069BF"/>
    <w:rsid w:val="00C06FE5"/>
    <w:rsid w:val="00C116C9"/>
    <w:rsid w:val="00C11D31"/>
    <w:rsid w:val="00C126C8"/>
    <w:rsid w:val="00C12929"/>
    <w:rsid w:val="00C13DB7"/>
    <w:rsid w:val="00C14DE6"/>
    <w:rsid w:val="00C237ED"/>
    <w:rsid w:val="00C23B9D"/>
    <w:rsid w:val="00C32990"/>
    <w:rsid w:val="00C32AD7"/>
    <w:rsid w:val="00C35867"/>
    <w:rsid w:val="00C36D93"/>
    <w:rsid w:val="00C41F89"/>
    <w:rsid w:val="00C43E8B"/>
    <w:rsid w:val="00C45467"/>
    <w:rsid w:val="00C472ED"/>
    <w:rsid w:val="00C517C4"/>
    <w:rsid w:val="00C53072"/>
    <w:rsid w:val="00C55FCE"/>
    <w:rsid w:val="00C57613"/>
    <w:rsid w:val="00C618A2"/>
    <w:rsid w:val="00C64FBA"/>
    <w:rsid w:val="00C65537"/>
    <w:rsid w:val="00C66A50"/>
    <w:rsid w:val="00C73BB7"/>
    <w:rsid w:val="00C74033"/>
    <w:rsid w:val="00C85B0C"/>
    <w:rsid w:val="00C86C30"/>
    <w:rsid w:val="00C87643"/>
    <w:rsid w:val="00C9559D"/>
    <w:rsid w:val="00CA0505"/>
    <w:rsid w:val="00CA13D3"/>
    <w:rsid w:val="00CA73F2"/>
    <w:rsid w:val="00CB023A"/>
    <w:rsid w:val="00CC1B99"/>
    <w:rsid w:val="00CC5876"/>
    <w:rsid w:val="00CC693E"/>
    <w:rsid w:val="00CD1B8E"/>
    <w:rsid w:val="00CD3850"/>
    <w:rsid w:val="00CD5E47"/>
    <w:rsid w:val="00CD6861"/>
    <w:rsid w:val="00CE07E2"/>
    <w:rsid w:val="00CE19AB"/>
    <w:rsid w:val="00CE2D61"/>
    <w:rsid w:val="00CE73A0"/>
    <w:rsid w:val="00CF1292"/>
    <w:rsid w:val="00CF3987"/>
    <w:rsid w:val="00CF5806"/>
    <w:rsid w:val="00D010A0"/>
    <w:rsid w:val="00D11500"/>
    <w:rsid w:val="00D15174"/>
    <w:rsid w:val="00D17418"/>
    <w:rsid w:val="00D20332"/>
    <w:rsid w:val="00D21AE1"/>
    <w:rsid w:val="00D27940"/>
    <w:rsid w:val="00D3039D"/>
    <w:rsid w:val="00D34225"/>
    <w:rsid w:val="00D36BC4"/>
    <w:rsid w:val="00D40FAA"/>
    <w:rsid w:val="00D43FD2"/>
    <w:rsid w:val="00D45769"/>
    <w:rsid w:val="00D46C5B"/>
    <w:rsid w:val="00D50820"/>
    <w:rsid w:val="00D51F40"/>
    <w:rsid w:val="00D547E2"/>
    <w:rsid w:val="00D55D77"/>
    <w:rsid w:val="00D6060F"/>
    <w:rsid w:val="00D60FB7"/>
    <w:rsid w:val="00D62235"/>
    <w:rsid w:val="00D701CB"/>
    <w:rsid w:val="00D715C5"/>
    <w:rsid w:val="00D72945"/>
    <w:rsid w:val="00D82027"/>
    <w:rsid w:val="00D84ABD"/>
    <w:rsid w:val="00D85041"/>
    <w:rsid w:val="00D878B5"/>
    <w:rsid w:val="00D92067"/>
    <w:rsid w:val="00D92D71"/>
    <w:rsid w:val="00D961FB"/>
    <w:rsid w:val="00D96A32"/>
    <w:rsid w:val="00DA626F"/>
    <w:rsid w:val="00DA69BC"/>
    <w:rsid w:val="00DA7139"/>
    <w:rsid w:val="00DA76E3"/>
    <w:rsid w:val="00DB21E9"/>
    <w:rsid w:val="00DB335C"/>
    <w:rsid w:val="00DB3722"/>
    <w:rsid w:val="00DB5016"/>
    <w:rsid w:val="00DB6BB8"/>
    <w:rsid w:val="00DB7D47"/>
    <w:rsid w:val="00DC5FB4"/>
    <w:rsid w:val="00DC69E9"/>
    <w:rsid w:val="00DC7B20"/>
    <w:rsid w:val="00DC7F75"/>
    <w:rsid w:val="00DD6919"/>
    <w:rsid w:val="00DD6EDB"/>
    <w:rsid w:val="00DD7B4E"/>
    <w:rsid w:val="00DE1013"/>
    <w:rsid w:val="00DE5B9D"/>
    <w:rsid w:val="00DE5F2A"/>
    <w:rsid w:val="00DE6321"/>
    <w:rsid w:val="00DF20D0"/>
    <w:rsid w:val="00DF75E7"/>
    <w:rsid w:val="00E02865"/>
    <w:rsid w:val="00E0335B"/>
    <w:rsid w:val="00E04E9D"/>
    <w:rsid w:val="00E10831"/>
    <w:rsid w:val="00E12431"/>
    <w:rsid w:val="00E14617"/>
    <w:rsid w:val="00E14EF2"/>
    <w:rsid w:val="00E15218"/>
    <w:rsid w:val="00E16C74"/>
    <w:rsid w:val="00E1782B"/>
    <w:rsid w:val="00E21D1B"/>
    <w:rsid w:val="00E27E0A"/>
    <w:rsid w:val="00E32B80"/>
    <w:rsid w:val="00E36663"/>
    <w:rsid w:val="00E41C1E"/>
    <w:rsid w:val="00E41EFA"/>
    <w:rsid w:val="00E42460"/>
    <w:rsid w:val="00E4777D"/>
    <w:rsid w:val="00E549E3"/>
    <w:rsid w:val="00E61430"/>
    <w:rsid w:val="00E62AD5"/>
    <w:rsid w:val="00E73DD4"/>
    <w:rsid w:val="00E84C4C"/>
    <w:rsid w:val="00E86001"/>
    <w:rsid w:val="00E86D3D"/>
    <w:rsid w:val="00E94F5C"/>
    <w:rsid w:val="00E96FC2"/>
    <w:rsid w:val="00E97A15"/>
    <w:rsid w:val="00EA233A"/>
    <w:rsid w:val="00EA271E"/>
    <w:rsid w:val="00EA3B5D"/>
    <w:rsid w:val="00EA7137"/>
    <w:rsid w:val="00EB000C"/>
    <w:rsid w:val="00EB080C"/>
    <w:rsid w:val="00EB1770"/>
    <w:rsid w:val="00EB45EB"/>
    <w:rsid w:val="00EB71F4"/>
    <w:rsid w:val="00EC78CA"/>
    <w:rsid w:val="00ED4C5C"/>
    <w:rsid w:val="00ED6542"/>
    <w:rsid w:val="00ED6A9C"/>
    <w:rsid w:val="00EE11AF"/>
    <w:rsid w:val="00EF7AB1"/>
    <w:rsid w:val="00F001CD"/>
    <w:rsid w:val="00F016A9"/>
    <w:rsid w:val="00F03BCA"/>
    <w:rsid w:val="00F05E49"/>
    <w:rsid w:val="00F07CFF"/>
    <w:rsid w:val="00F1003D"/>
    <w:rsid w:val="00F1030A"/>
    <w:rsid w:val="00F152EB"/>
    <w:rsid w:val="00F15977"/>
    <w:rsid w:val="00F250AE"/>
    <w:rsid w:val="00F26232"/>
    <w:rsid w:val="00F3662F"/>
    <w:rsid w:val="00F36E84"/>
    <w:rsid w:val="00F41F7A"/>
    <w:rsid w:val="00F44907"/>
    <w:rsid w:val="00F44B13"/>
    <w:rsid w:val="00F473E3"/>
    <w:rsid w:val="00F47DB7"/>
    <w:rsid w:val="00F504DB"/>
    <w:rsid w:val="00F524BA"/>
    <w:rsid w:val="00F528E6"/>
    <w:rsid w:val="00F529F3"/>
    <w:rsid w:val="00F56545"/>
    <w:rsid w:val="00F56F5E"/>
    <w:rsid w:val="00F574A6"/>
    <w:rsid w:val="00F60EC1"/>
    <w:rsid w:val="00F614ED"/>
    <w:rsid w:val="00F61885"/>
    <w:rsid w:val="00F63FF4"/>
    <w:rsid w:val="00F652CF"/>
    <w:rsid w:val="00F766C1"/>
    <w:rsid w:val="00F84100"/>
    <w:rsid w:val="00F94282"/>
    <w:rsid w:val="00F96377"/>
    <w:rsid w:val="00FA1E64"/>
    <w:rsid w:val="00FA1EA1"/>
    <w:rsid w:val="00FA400D"/>
    <w:rsid w:val="00FA6920"/>
    <w:rsid w:val="00FB030F"/>
    <w:rsid w:val="00FB4337"/>
    <w:rsid w:val="00FB663D"/>
    <w:rsid w:val="00FB70E7"/>
    <w:rsid w:val="00FC394E"/>
    <w:rsid w:val="00FC4E7C"/>
    <w:rsid w:val="00FC53CD"/>
    <w:rsid w:val="00FC5D3B"/>
    <w:rsid w:val="00FE0EC2"/>
    <w:rsid w:val="00FE5B22"/>
    <w:rsid w:val="00FE60AE"/>
    <w:rsid w:val="00FE61CC"/>
    <w:rsid w:val="00FE70DB"/>
    <w:rsid w:val="00FE7BC3"/>
    <w:rsid w:val="00FF2032"/>
    <w:rsid w:val="00FF2913"/>
    <w:rsid w:val="00FF4780"/>
    <w:rsid w:val="00FF56A7"/>
    <w:rsid w:val="00FF738E"/>
    <w:rsid w:val="01311400"/>
    <w:rsid w:val="01A30265"/>
    <w:rsid w:val="01B21D93"/>
    <w:rsid w:val="01EB19B4"/>
    <w:rsid w:val="01FB3740"/>
    <w:rsid w:val="0225254D"/>
    <w:rsid w:val="0360639E"/>
    <w:rsid w:val="036B7036"/>
    <w:rsid w:val="03C724E7"/>
    <w:rsid w:val="03C8192F"/>
    <w:rsid w:val="051A2849"/>
    <w:rsid w:val="056C264C"/>
    <w:rsid w:val="05DC5E02"/>
    <w:rsid w:val="060C7E51"/>
    <w:rsid w:val="06166334"/>
    <w:rsid w:val="08731D98"/>
    <w:rsid w:val="08F2411D"/>
    <w:rsid w:val="0A4A36F7"/>
    <w:rsid w:val="0A842A29"/>
    <w:rsid w:val="0B2E545F"/>
    <w:rsid w:val="0B714B45"/>
    <w:rsid w:val="0B883382"/>
    <w:rsid w:val="0B90614A"/>
    <w:rsid w:val="0BB9041D"/>
    <w:rsid w:val="0BBD36A5"/>
    <w:rsid w:val="0C182DAA"/>
    <w:rsid w:val="0C2F7233"/>
    <w:rsid w:val="0CDB4858"/>
    <w:rsid w:val="0CEE12A5"/>
    <w:rsid w:val="0D2A2270"/>
    <w:rsid w:val="0D4D6185"/>
    <w:rsid w:val="0D5B0AE6"/>
    <w:rsid w:val="0E3571A4"/>
    <w:rsid w:val="0EF37454"/>
    <w:rsid w:val="0F104927"/>
    <w:rsid w:val="0F495B75"/>
    <w:rsid w:val="103417CE"/>
    <w:rsid w:val="107740CA"/>
    <w:rsid w:val="11254259"/>
    <w:rsid w:val="113D64B6"/>
    <w:rsid w:val="116E6670"/>
    <w:rsid w:val="11FE2376"/>
    <w:rsid w:val="12BF16D5"/>
    <w:rsid w:val="12E65BE8"/>
    <w:rsid w:val="13733813"/>
    <w:rsid w:val="139454AD"/>
    <w:rsid w:val="14891053"/>
    <w:rsid w:val="14BB5EB3"/>
    <w:rsid w:val="15527763"/>
    <w:rsid w:val="15D86BFC"/>
    <w:rsid w:val="166A350D"/>
    <w:rsid w:val="16893778"/>
    <w:rsid w:val="16A45CD0"/>
    <w:rsid w:val="170B670F"/>
    <w:rsid w:val="17382344"/>
    <w:rsid w:val="17723A03"/>
    <w:rsid w:val="17B54FFE"/>
    <w:rsid w:val="18061F2F"/>
    <w:rsid w:val="184B5557"/>
    <w:rsid w:val="18D36CF8"/>
    <w:rsid w:val="18D63158"/>
    <w:rsid w:val="18DB546D"/>
    <w:rsid w:val="19104066"/>
    <w:rsid w:val="1B207562"/>
    <w:rsid w:val="1BF73232"/>
    <w:rsid w:val="1C7C7887"/>
    <w:rsid w:val="1C830ED6"/>
    <w:rsid w:val="1CF61317"/>
    <w:rsid w:val="1D192D69"/>
    <w:rsid w:val="1DD4476D"/>
    <w:rsid w:val="1E08385C"/>
    <w:rsid w:val="1E1823CB"/>
    <w:rsid w:val="1E4651F7"/>
    <w:rsid w:val="1F300BF5"/>
    <w:rsid w:val="1FFC73DA"/>
    <w:rsid w:val="208416FB"/>
    <w:rsid w:val="20A7426A"/>
    <w:rsid w:val="20DB5138"/>
    <w:rsid w:val="21723F5A"/>
    <w:rsid w:val="22580BFE"/>
    <w:rsid w:val="2331459A"/>
    <w:rsid w:val="23B47FCE"/>
    <w:rsid w:val="23E02E8A"/>
    <w:rsid w:val="23F534DC"/>
    <w:rsid w:val="2440020A"/>
    <w:rsid w:val="244E29ED"/>
    <w:rsid w:val="24C34ACD"/>
    <w:rsid w:val="25296F57"/>
    <w:rsid w:val="257077CF"/>
    <w:rsid w:val="258E5DC5"/>
    <w:rsid w:val="26AF37AB"/>
    <w:rsid w:val="27280225"/>
    <w:rsid w:val="28872521"/>
    <w:rsid w:val="29BF0DC6"/>
    <w:rsid w:val="29C16373"/>
    <w:rsid w:val="2A227FF4"/>
    <w:rsid w:val="2A802EA9"/>
    <w:rsid w:val="2AA44085"/>
    <w:rsid w:val="2AC7102A"/>
    <w:rsid w:val="2B1D3B97"/>
    <w:rsid w:val="2B245B62"/>
    <w:rsid w:val="2BC625A2"/>
    <w:rsid w:val="2C57393F"/>
    <w:rsid w:val="2C83505C"/>
    <w:rsid w:val="2D003229"/>
    <w:rsid w:val="2DE955A4"/>
    <w:rsid w:val="2E8B5DE2"/>
    <w:rsid w:val="2F1538AD"/>
    <w:rsid w:val="2F216E9F"/>
    <w:rsid w:val="2F8731E9"/>
    <w:rsid w:val="2F8E4BCC"/>
    <w:rsid w:val="2F9B467C"/>
    <w:rsid w:val="2FE9288F"/>
    <w:rsid w:val="3044415F"/>
    <w:rsid w:val="3111125D"/>
    <w:rsid w:val="31D84B34"/>
    <w:rsid w:val="32C66878"/>
    <w:rsid w:val="3386732F"/>
    <w:rsid w:val="33DE187F"/>
    <w:rsid w:val="34250207"/>
    <w:rsid w:val="34302AE6"/>
    <w:rsid w:val="34426EA5"/>
    <w:rsid w:val="34742D5B"/>
    <w:rsid w:val="35187C67"/>
    <w:rsid w:val="35794C83"/>
    <w:rsid w:val="35E15BCC"/>
    <w:rsid w:val="362A1A27"/>
    <w:rsid w:val="367F7948"/>
    <w:rsid w:val="36813FFA"/>
    <w:rsid w:val="36CC6E63"/>
    <w:rsid w:val="384422C2"/>
    <w:rsid w:val="3AC11ECB"/>
    <w:rsid w:val="3ACE7FFB"/>
    <w:rsid w:val="3B584C03"/>
    <w:rsid w:val="3B874300"/>
    <w:rsid w:val="3BBD5CD1"/>
    <w:rsid w:val="3CB038E7"/>
    <w:rsid w:val="3D2F1537"/>
    <w:rsid w:val="3D6A13E5"/>
    <w:rsid w:val="3DCF1FE9"/>
    <w:rsid w:val="3DF03EEC"/>
    <w:rsid w:val="3F5D6B3A"/>
    <w:rsid w:val="3F811D1C"/>
    <w:rsid w:val="405A40DF"/>
    <w:rsid w:val="408431D3"/>
    <w:rsid w:val="410F3CEC"/>
    <w:rsid w:val="41476521"/>
    <w:rsid w:val="414B6446"/>
    <w:rsid w:val="426F1F4B"/>
    <w:rsid w:val="435D033F"/>
    <w:rsid w:val="436110A5"/>
    <w:rsid w:val="438D1BEA"/>
    <w:rsid w:val="43953117"/>
    <w:rsid w:val="43FA2CF6"/>
    <w:rsid w:val="441501B4"/>
    <w:rsid w:val="44BE3E1E"/>
    <w:rsid w:val="44D07D9C"/>
    <w:rsid w:val="45AE0A2D"/>
    <w:rsid w:val="45D3187D"/>
    <w:rsid w:val="45ED647B"/>
    <w:rsid w:val="468E4D60"/>
    <w:rsid w:val="46EC2020"/>
    <w:rsid w:val="471C6E91"/>
    <w:rsid w:val="478634F5"/>
    <w:rsid w:val="47A63A2D"/>
    <w:rsid w:val="48787F10"/>
    <w:rsid w:val="48B46CEE"/>
    <w:rsid w:val="49B72B37"/>
    <w:rsid w:val="4A9F3D8B"/>
    <w:rsid w:val="4AA47270"/>
    <w:rsid w:val="4ADA2B6F"/>
    <w:rsid w:val="4BBA08B1"/>
    <w:rsid w:val="4CF3615A"/>
    <w:rsid w:val="4DD860A8"/>
    <w:rsid w:val="4E96072B"/>
    <w:rsid w:val="4ED57C57"/>
    <w:rsid w:val="4F315CFC"/>
    <w:rsid w:val="509F13B7"/>
    <w:rsid w:val="50CB73CE"/>
    <w:rsid w:val="51366478"/>
    <w:rsid w:val="513B761B"/>
    <w:rsid w:val="519863B5"/>
    <w:rsid w:val="519B3C80"/>
    <w:rsid w:val="520A0B6E"/>
    <w:rsid w:val="52E033D9"/>
    <w:rsid w:val="52E75C77"/>
    <w:rsid w:val="52F67C97"/>
    <w:rsid w:val="533169E5"/>
    <w:rsid w:val="53D65339"/>
    <w:rsid w:val="5440790C"/>
    <w:rsid w:val="54882B71"/>
    <w:rsid w:val="54A84D7B"/>
    <w:rsid w:val="554458FD"/>
    <w:rsid w:val="55AF3CAA"/>
    <w:rsid w:val="55D03174"/>
    <w:rsid w:val="56293394"/>
    <w:rsid w:val="562B7C58"/>
    <w:rsid w:val="56B64597"/>
    <w:rsid w:val="56C2490C"/>
    <w:rsid w:val="576176AA"/>
    <w:rsid w:val="58167888"/>
    <w:rsid w:val="58B76D45"/>
    <w:rsid w:val="592C2690"/>
    <w:rsid w:val="594B016E"/>
    <w:rsid w:val="59B80998"/>
    <w:rsid w:val="59EA0F5C"/>
    <w:rsid w:val="5ABA688F"/>
    <w:rsid w:val="5AC84FC6"/>
    <w:rsid w:val="5AF566EA"/>
    <w:rsid w:val="5C920257"/>
    <w:rsid w:val="5D210C96"/>
    <w:rsid w:val="5D211424"/>
    <w:rsid w:val="5D6765AA"/>
    <w:rsid w:val="5ECF08BB"/>
    <w:rsid w:val="5F1D4AAF"/>
    <w:rsid w:val="5F563BD4"/>
    <w:rsid w:val="5FEF65C9"/>
    <w:rsid w:val="60121317"/>
    <w:rsid w:val="60D029CA"/>
    <w:rsid w:val="6154426B"/>
    <w:rsid w:val="621A1584"/>
    <w:rsid w:val="62B135EA"/>
    <w:rsid w:val="62F027E9"/>
    <w:rsid w:val="63624ED5"/>
    <w:rsid w:val="63794ED9"/>
    <w:rsid w:val="63FF6E04"/>
    <w:rsid w:val="64B46A8F"/>
    <w:rsid w:val="64E060B2"/>
    <w:rsid w:val="64F45C45"/>
    <w:rsid w:val="662E7DA2"/>
    <w:rsid w:val="673A6D06"/>
    <w:rsid w:val="67DB37BB"/>
    <w:rsid w:val="681E64C6"/>
    <w:rsid w:val="68487778"/>
    <w:rsid w:val="69EB5AF3"/>
    <w:rsid w:val="6A197F80"/>
    <w:rsid w:val="6B4740B3"/>
    <w:rsid w:val="6B505D85"/>
    <w:rsid w:val="6BEC5C84"/>
    <w:rsid w:val="6CB449CD"/>
    <w:rsid w:val="6CD66BAF"/>
    <w:rsid w:val="6CEB7CE9"/>
    <w:rsid w:val="6E5C6858"/>
    <w:rsid w:val="6EAE0FCF"/>
    <w:rsid w:val="6F405237"/>
    <w:rsid w:val="6FC91685"/>
    <w:rsid w:val="70194DCD"/>
    <w:rsid w:val="701B025A"/>
    <w:rsid w:val="703E5175"/>
    <w:rsid w:val="707A2CDA"/>
    <w:rsid w:val="709371D9"/>
    <w:rsid w:val="70A023C7"/>
    <w:rsid w:val="70CD20B5"/>
    <w:rsid w:val="71135941"/>
    <w:rsid w:val="715D3729"/>
    <w:rsid w:val="71CA1293"/>
    <w:rsid w:val="71F47A9F"/>
    <w:rsid w:val="72020FE6"/>
    <w:rsid w:val="72464FF5"/>
    <w:rsid w:val="72976F13"/>
    <w:rsid w:val="72AB651B"/>
    <w:rsid w:val="73A829D2"/>
    <w:rsid w:val="73BA4D7F"/>
    <w:rsid w:val="73C87B98"/>
    <w:rsid w:val="742C0DAA"/>
    <w:rsid w:val="74D03328"/>
    <w:rsid w:val="75022074"/>
    <w:rsid w:val="750A2F2D"/>
    <w:rsid w:val="759739E8"/>
    <w:rsid w:val="760A1474"/>
    <w:rsid w:val="761B7EB1"/>
    <w:rsid w:val="76341698"/>
    <w:rsid w:val="775438B2"/>
    <w:rsid w:val="787A4051"/>
    <w:rsid w:val="787D10EA"/>
    <w:rsid w:val="78A054C2"/>
    <w:rsid w:val="792405D6"/>
    <w:rsid w:val="79623C62"/>
    <w:rsid w:val="7A432F5A"/>
    <w:rsid w:val="7A55195D"/>
    <w:rsid w:val="7A5E36FA"/>
    <w:rsid w:val="7A931DC6"/>
    <w:rsid w:val="7A9C1BDC"/>
    <w:rsid w:val="7A9C58C9"/>
    <w:rsid w:val="7AC04E78"/>
    <w:rsid w:val="7AE03820"/>
    <w:rsid w:val="7B7772E6"/>
    <w:rsid w:val="7BAA4275"/>
    <w:rsid w:val="7BAB2837"/>
    <w:rsid w:val="7C2D759E"/>
    <w:rsid w:val="7C34017C"/>
    <w:rsid w:val="7C5B616A"/>
    <w:rsid w:val="7C5E5DE2"/>
    <w:rsid w:val="7C893C19"/>
    <w:rsid w:val="7D6E4D56"/>
    <w:rsid w:val="7D6E5F16"/>
    <w:rsid w:val="7D7D43B7"/>
    <w:rsid w:val="7DF00B66"/>
    <w:rsid w:val="7DFC72ED"/>
    <w:rsid w:val="7E4B683A"/>
    <w:rsid w:val="7E794EE9"/>
    <w:rsid w:val="7EEA7E01"/>
    <w:rsid w:val="7F022778"/>
    <w:rsid w:val="7FD60D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99" w:name="List Bullet"/>
    <w:lsdException w:uiPriority="99" w:name="List Number"/>
    <w:lsdException w:uiPriority="99" w:name="List 2"/>
    <w:lsdException w:uiPriority="99" w:name="List 3"/>
    <w:lsdException w:uiPriority="99" w:name="List 4"/>
    <w:lsdException w:uiPriority="99" w:name="List 5"/>
    <w:lsdException w:qFormat="1" w:unhideWhenUsed="0"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qFormat="1" w:unhideWhenUsed="0" w:uiPriority="99" w:name="Date"/>
    <w:lsdException w:qFormat="1" w:unhideWhenUsed="0" w:uiPriority="0" w:semiHidden="0" w:name="Body Text First Indent"/>
    <w:lsdException w:uiPriority="99" w:name="Body Text First Indent 2"/>
    <w:lsdException w:uiPriority="99" w:name="Note Heading"/>
    <w:lsdException w:qFormat="1" w:unhideWhenUsed="0" w:uiPriority="99" w:name="Body Text 2"/>
    <w:lsdException w:qFormat="1" w:unhideWhenUsed="0" w:uiPriority="99" w:semiHidden="0" w:name="Body Text 3"/>
    <w:lsdException w:qFormat="1" w:unhideWhenUsed="0" w:uiPriority="99" w:name="Body Text Indent 2"/>
    <w:lsdException w:qFormat="1" w:unhideWhenUsed="0" w:uiPriority="99" w:name="Body Text Indent 3"/>
    <w:lsdException w:uiPriority="99" w:name="Block Text"/>
    <w:lsdException w:qFormat="1" w:unhideWhenUsed="0" w:uiPriority="99" w:semiHidden="0" w:name="Hyperlink"/>
    <w:lsdException w:qFormat="1" w:unhideWhenUsed="0" w:uiPriority="99" w:name="FollowedHyperlink"/>
    <w:lsdException w:qFormat="1" w:unhideWhenUsed="0" w:uiPriority="0" w:semiHidden="0" w:name="Strong" w:locked="1"/>
    <w:lsdException w:qFormat="1" w:unhideWhenUsed="0" w:uiPriority="0" w:semiHidden="0" w:name="Emphasis" w:locked="1"/>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link w:val="53"/>
    <w:qFormat/>
    <w:uiPriority w:val="99"/>
    <w:pPr>
      <w:keepNext/>
      <w:keepLines/>
      <w:widowControl/>
      <w:tabs>
        <w:tab w:val="left" w:pos="432"/>
      </w:tabs>
      <w:spacing w:before="340" w:after="330"/>
      <w:ind w:left="432" w:hanging="432"/>
      <w:jc w:val="left"/>
      <w:outlineLvl w:val="0"/>
    </w:pPr>
    <w:rPr>
      <w:rFonts w:ascii="宋体" w:hAnsi="Times New Roman" w:cs="宋体"/>
      <w:kern w:val="0"/>
      <w:sz w:val="28"/>
      <w:szCs w:val="28"/>
    </w:rPr>
  </w:style>
  <w:style w:type="paragraph" w:styleId="4">
    <w:name w:val="heading 2"/>
    <w:basedOn w:val="1"/>
    <w:next w:val="1"/>
    <w:link w:val="48"/>
    <w:qFormat/>
    <w:uiPriority w:val="99"/>
    <w:pPr>
      <w:numPr>
        <w:ilvl w:val="1"/>
        <w:numId w:val="1"/>
      </w:numPr>
      <w:tabs>
        <w:tab w:val="left" w:pos="360"/>
        <w:tab w:val="left" w:pos="576"/>
      </w:tabs>
      <w:spacing w:before="260"/>
      <w:ind w:left="576" w:hanging="576"/>
      <w:jc w:val="left"/>
      <w:outlineLvl w:val="1"/>
    </w:pPr>
    <w:rPr>
      <w:rFonts w:ascii="宋体" w:hAnsi="Arial" w:cs="宋体"/>
      <w:kern w:val="0"/>
      <w:sz w:val="28"/>
      <w:szCs w:val="28"/>
    </w:rPr>
  </w:style>
  <w:style w:type="paragraph" w:styleId="5">
    <w:name w:val="heading 3"/>
    <w:basedOn w:val="1"/>
    <w:next w:val="1"/>
    <w:link w:val="51"/>
    <w:qFormat/>
    <w:uiPriority w:val="99"/>
    <w:pPr>
      <w:keepNext/>
      <w:keepLines/>
      <w:widowControl/>
      <w:numPr>
        <w:ilvl w:val="2"/>
        <w:numId w:val="1"/>
      </w:numPr>
      <w:tabs>
        <w:tab w:val="left" w:pos="360"/>
        <w:tab w:val="left" w:pos="1287"/>
      </w:tabs>
      <w:spacing w:before="260" w:after="260" w:line="415" w:lineRule="auto"/>
      <w:ind w:left="1287" w:hanging="720"/>
      <w:jc w:val="left"/>
      <w:outlineLvl w:val="2"/>
    </w:pPr>
    <w:rPr>
      <w:rFonts w:ascii="Times New Roman" w:hAnsi="Times New Roman" w:cs="Times New Roman"/>
      <w:b/>
      <w:bCs/>
      <w:kern w:val="0"/>
      <w:sz w:val="32"/>
      <w:szCs w:val="32"/>
    </w:rPr>
  </w:style>
  <w:style w:type="paragraph" w:styleId="6">
    <w:name w:val="heading 4"/>
    <w:basedOn w:val="1"/>
    <w:next w:val="1"/>
    <w:link w:val="69"/>
    <w:qFormat/>
    <w:uiPriority w:val="99"/>
    <w:pPr>
      <w:keepNext/>
      <w:keepLines/>
      <w:widowControl/>
      <w:numPr>
        <w:ilvl w:val="3"/>
        <w:numId w:val="1"/>
      </w:numPr>
      <w:tabs>
        <w:tab w:val="left" w:pos="360"/>
        <w:tab w:val="left" w:pos="864"/>
      </w:tabs>
      <w:spacing w:before="280" w:after="290" w:line="374" w:lineRule="auto"/>
      <w:ind w:left="864" w:hanging="864"/>
      <w:jc w:val="left"/>
      <w:outlineLvl w:val="3"/>
    </w:pPr>
    <w:rPr>
      <w:rFonts w:ascii="Arial" w:hAnsi="Arial" w:eastAsia="黑体" w:cs="Arial"/>
      <w:b/>
      <w:bCs/>
      <w:kern w:val="0"/>
      <w:sz w:val="28"/>
      <w:szCs w:val="28"/>
    </w:rPr>
  </w:style>
  <w:style w:type="paragraph" w:styleId="7">
    <w:name w:val="heading 5"/>
    <w:basedOn w:val="1"/>
    <w:next w:val="1"/>
    <w:link w:val="74"/>
    <w:qFormat/>
    <w:uiPriority w:val="99"/>
    <w:pPr>
      <w:keepNext/>
      <w:keepLines/>
      <w:widowControl/>
      <w:numPr>
        <w:ilvl w:val="4"/>
        <w:numId w:val="1"/>
      </w:numPr>
      <w:tabs>
        <w:tab w:val="left" w:pos="360"/>
        <w:tab w:val="left" w:pos="1008"/>
      </w:tabs>
      <w:spacing w:before="280" w:after="290" w:line="374" w:lineRule="auto"/>
      <w:ind w:left="1008" w:hanging="1008"/>
      <w:jc w:val="left"/>
      <w:outlineLvl w:val="4"/>
    </w:pPr>
    <w:rPr>
      <w:rFonts w:ascii="Times New Roman" w:hAnsi="Times New Roman" w:cs="Times New Roman"/>
      <w:b/>
      <w:bCs/>
      <w:kern w:val="0"/>
      <w:sz w:val="28"/>
      <w:szCs w:val="28"/>
    </w:rPr>
  </w:style>
  <w:style w:type="paragraph" w:styleId="8">
    <w:name w:val="heading 6"/>
    <w:basedOn w:val="1"/>
    <w:next w:val="1"/>
    <w:link w:val="63"/>
    <w:qFormat/>
    <w:uiPriority w:val="99"/>
    <w:pPr>
      <w:keepNext/>
      <w:keepLines/>
      <w:widowControl/>
      <w:numPr>
        <w:ilvl w:val="5"/>
        <w:numId w:val="1"/>
      </w:numPr>
      <w:tabs>
        <w:tab w:val="left" w:pos="360"/>
        <w:tab w:val="left" w:pos="1152"/>
      </w:tabs>
      <w:spacing w:before="240" w:after="64" w:line="319" w:lineRule="auto"/>
      <w:ind w:left="1152" w:hanging="1152"/>
      <w:jc w:val="left"/>
      <w:outlineLvl w:val="5"/>
    </w:pPr>
    <w:rPr>
      <w:rFonts w:ascii="Arial" w:hAnsi="Arial" w:eastAsia="黑体" w:cs="Arial"/>
      <w:b/>
      <w:bCs/>
      <w:kern w:val="0"/>
      <w:sz w:val="24"/>
      <w:szCs w:val="24"/>
    </w:rPr>
  </w:style>
  <w:style w:type="paragraph" w:styleId="9">
    <w:name w:val="heading 7"/>
    <w:basedOn w:val="1"/>
    <w:next w:val="1"/>
    <w:link w:val="71"/>
    <w:qFormat/>
    <w:uiPriority w:val="99"/>
    <w:pPr>
      <w:keepNext/>
      <w:keepLines/>
      <w:widowControl/>
      <w:numPr>
        <w:ilvl w:val="6"/>
        <w:numId w:val="1"/>
      </w:numPr>
      <w:tabs>
        <w:tab w:val="left" w:pos="360"/>
        <w:tab w:val="left" w:pos="1296"/>
      </w:tabs>
      <w:spacing w:before="240" w:after="64" w:line="319" w:lineRule="auto"/>
      <w:ind w:left="1296" w:hanging="1296"/>
      <w:jc w:val="left"/>
      <w:outlineLvl w:val="6"/>
    </w:pPr>
    <w:rPr>
      <w:rFonts w:ascii="Times New Roman" w:hAnsi="Times New Roman" w:cs="Times New Roman"/>
      <w:b/>
      <w:bCs/>
      <w:kern w:val="0"/>
      <w:sz w:val="24"/>
      <w:szCs w:val="24"/>
    </w:rPr>
  </w:style>
  <w:style w:type="paragraph" w:styleId="10">
    <w:name w:val="heading 8"/>
    <w:basedOn w:val="1"/>
    <w:next w:val="1"/>
    <w:link w:val="52"/>
    <w:qFormat/>
    <w:uiPriority w:val="99"/>
    <w:pPr>
      <w:keepNext/>
      <w:keepLines/>
      <w:widowControl/>
      <w:numPr>
        <w:ilvl w:val="7"/>
        <w:numId w:val="1"/>
      </w:numPr>
      <w:tabs>
        <w:tab w:val="left" w:pos="360"/>
        <w:tab w:val="left" w:pos="1440"/>
      </w:tabs>
      <w:spacing w:before="240" w:after="64" w:line="319" w:lineRule="auto"/>
      <w:ind w:left="1440" w:hanging="1440"/>
      <w:jc w:val="left"/>
      <w:outlineLvl w:val="7"/>
    </w:pPr>
    <w:rPr>
      <w:rFonts w:ascii="Arial" w:hAnsi="Arial" w:eastAsia="黑体" w:cs="Arial"/>
      <w:kern w:val="0"/>
      <w:sz w:val="24"/>
      <w:szCs w:val="24"/>
    </w:rPr>
  </w:style>
  <w:style w:type="paragraph" w:styleId="11">
    <w:name w:val="heading 9"/>
    <w:basedOn w:val="1"/>
    <w:next w:val="1"/>
    <w:link w:val="59"/>
    <w:qFormat/>
    <w:uiPriority w:val="99"/>
    <w:pPr>
      <w:keepNext/>
      <w:keepLines/>
      <w:widowControl/>
      <w:numPr>
        <w:ilvl w:val="8"/>
        <w:numId w:val="1"/>
      </w:numPr>
      <w:tabs>
        <w:tab w:val="left" w:pos="360"/>
        <w:tab w:val="left" w:pos="1584"/>
      </w:tabs>
      <w:spacing w:before="240" w:after="64" w:line="319" w:lineRule="auto"/>
      <w:ind w:left="1584" w:hanging="1584"/>
      <w:jc w:val="left"/>
      <w:outlineLvl w:val="8"/>
    </w:pPr>
    <w:rPr>
      <w:rFonts w:ascii="Arial" w:hAnsi="Arial" w:eastAsia="黑体" w:cs="Arial"/>
      <w:kern w:val="0"/>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link w:val="68"/>
    <w:qFormat/>
    <w:uiPriority w:val="99"/>
    <w:rPr>
      <w:rFonts w:ascii="宋体" w:hAnsi="Courier New" w:cs="宋体"/>
    </w:rPr>
  </w:style>
  <w:style w:type="paragraph" w:styleId="12">
    <w:name w:val="toc 7"/>
    <w:basedOn w:val="1"/>
    <w:next w:val="1"/>
    <w:qFormat/>
    <w:uiPriority w:val="39"/>
    <w:pPr>
      <w:ind w:left="1260"/>
      <w:jc w:val="left"/>
    </w:pPr>
    <w:rPr>
      <w:sz w:val="18"/>
      <w:szCs w:val="18"/>
    </w:rPr>
  </w:style>
  <w:style w:type="paragraph" w:styleId="13">
    <w:name w:val="Normal Indent"/>
    <w:basedOn w:val="1"/>
    <w:next w:val="1"/>
    <w:semiHidden/>
    <w:qFormat/>
    <w:uiPriority w:val="99"/>
    <w:pPr>
      <w:ind w:firstLine="420"/>
    </w:pPr>
    <w:rPr>
      <w:rFonts w:ascii="Times New Roman" w:hAnsi="Times New Roman" w:cs="Times New Roman"/>
    </w:rPr>
  </w:style>
  <w:style w:type="paragraph" w:styleId="14">
    <w:name w:val="List Bullet"/>
    <w:basedOn w:val="1"/>
    <w:next w:val="1"/>
    <w:semiHidden/>
    <w:qFormat/>
    <w:uiPriority w:val="99"/>
    <w:pPr>
      <w:tabs>
        <w:tab w:val="left" w:pos="360"/>
      </w:tabs>
      <w:ind w:left="360" w:hanging="360" w:hangingChars="200"/>
    </w:pPr>
    <w:rPr>
      <w:rFonts w:ascii="Times New Roman" w:hAnsi="Times New Roman" w:cs="Times New Roman"/>
    </w:rPr>
  </w:style>
  <w:style w:type="paragraph" w:styleId="15">
    <w:name w:val="Document Map"/>
    <w:basedOn w:val="1"/>
    <w:next w:val="1"/>
    <w:link w:val="79"/>
    <w:semiHidden/>
    <w:qFormat/>
    <w:uiPriority w:val="99"/>
    <w:pPr>
      <w:shd w:val="clear" w:color="auto" w:fill="000080"/>
    </w:pPr>
    <w:rPr>
      <w:rFonts w:ascii="Times New Roman" w:hAnsi="Times New Roman" w:cs="Times New Roman"/>
    </w:rPr>
  </w:style>
  <w:style w:type="paragraph" w:styleId="16">
    <w:name w:val="annotation text"/>
    <w:basedOn w:val="1"/>
    <w:next w:val="1"/>
    <w:link w:val="62"/>
    <w:semiHidden/>
    <w:qFormat/>
    <w:uiPriority w:val="99"/>
    <w:pPr>
      <w:jc w:val="left"/>
    </w:pPr>
    <w:rPr>
      <w:rFonts w:ascii="Times New Roman" w:hAnsi="Times New Roman" w:cs="Times New Roman"/>
    </w:rPr>
  </w:style>
  <w:style w:type="paragraph" w:styleId="17">
    <w:name w:val="Body Text 3"/>
    <w:basedOn w:val="1"/>
    <w:next w:val="1"/>
    <w:link w:val="82"/>
    <w:qFormat/>
    <w:uiPriority w:val="99"/>
    <w:pPr>
      <w:spacing w:after="120"/>
    </w:pPr>
    <w:rPr>
      <w:rFonts w:ascii="Times New Roman" w:hAnsi="Times New Roman" w:cs="Times New Roman"/>
      <w:sz w:val="16"/>
      <w:szCs w:val="16"/>
    </w:rPr>
  </w:style>
  <w:style w:type="paragraph" w:styleId="18">
    <w:name w:val="Body Text"/>
    <w:basedOn w:val="1"/>
    <w:next w:val="1"/>
    <w:link w:val="80"/>
    <w:semiHidden/>
    <w:qFormat/>
    <w:uiPriority w:val="99"/>
    <w:pPr>
      <w:spacing w:after="120"/>
    </w:pPr>
    <w:rPr>
      <w:rFonts w:ascii="Times New Roman" w:hAnsi="Times New Roman" w:cs="Times New Roman"/>
    </w:rPr>
  </w:style>
  <w:style w:type="paragraph" w:styleId="19">
    <w:name w:val="Body Text Indent"/>
    <w:basedOn w:val="1"/>
    <w:next w:val="1"/>
    <w:link w:val="78"/>
    <w:qFormat/>
    <w:uiPriority w:val="99"/>
    <w:pPr>
      <w:ind w:firstLine="630"/>
    </w:pPr>
    <w:rPr>
      <w:rFonts w:ascii="宋体" w:hAnsi="Times New Roman" w:cs="宋体"/>
      <w:sz w:val="32"/>
      <w:szCs w:val="32"/>
    </w:rPr>
  </w:style>
  <w:style w:type="paragraph" w:styleId="20">
    <w:name w:val="List Bullet 2"/>
    <w:basedOn w:val="14"/>
    <w:next w:val="1"/>
    <w:semiHidden/>
    <w:qFormat/>
    <w:uiPriority w:val="99"/>
    <w:pPr>
      <w:widowControl/>
      <w:tabs>
        <w:tab w:val="left" w:pos="432"/>
        <w:tab w:val="clear" w:pos="360"/>
      </w:tabs>
      <w:spacing w:after="220" w:line="220" w:lineRule="atLeast"/>
      <w:ind w:left="2160" w:right="720" w:hanging="432" w:firstLineChars="0"/>
      <w:jc w:val="left"/>
    </w:pPr>
    <w:rPr>
      <w:kern w:val="0"/>
    </w:rPr>
  </w:style>
  <w:style w:type="paragraph" w:styleId="21">
    <w:name w:val="toc 5"/>
    <w:basedOn w:val="1"/>
    <w:next w:val="1"/>
    <w:qFormat/>
    <w:uiPriority w:val="39"/>
    <w:pPr>
      <w:ind w:left="840"/>
      <w:jc w:val="left"/>
    </w:pPr>
    <w:rPr>
      <w:sz w:val="18"/>
      <w:szCs w:val="18"/>
    </w:rPr>
  </w:style>
  <w:style w:type="paragraph" w:styleId="22">
    <w:name w:val="toc 3"/>
    <w:basedOn w:val="1"/>
    <w:next w:val="1"/>
    <w:qFormat/>
    <w:uiPriority w:val="39"/>
    <w:pPr>
      <w:ind w:left="420"/>
      <w:jc w:val="left"/>
    </w:pPr>
    <w:rPr>
      <w:i/>
      <w:iCs/>
      <w:sz w:val="20"/>
      <w:szCs w:val="20"/>
    </w:rPr>
  </w:style>
  <w:style w:type="paragraph" w:styleId="23">
    <w:name w:val="toc 8"/>
    <w:basedOn w:val="1"/>
    <w:next w:val="1"/>
    <w:qFormat/>
    <w:uiPriority w:val="39"/>
    <w:pPr>
      <w:ind w:left="1470"/>
      <w:jc w:val="left"/>
    </w:pPr>
    <w:rPr>
      <w:sz w:val="18"/>
      <w:szCs w:val="18"/>
    </w:rPr>
  </w:style>
  <w:style w:type="paragraph" w:styleId="24">
    <w:name w:val="Date"/>
    <w:basedOn w:val="1"/>
    <w:next w:val="1"/>
    <w:link w:val="50"/>
    <w:semiHidden/>
    <w:qFormat/>
    <w:uiPriority w:val="99"/>
    <w:pPr>
      <w:ind w:left="100" w:leftChars="2500"/>
    </w:pPr>
    <w:rPr>
      <w:rFonts w:ascii="仿宋_GB2312" w:hAnsi="Times New Roman" w:eastAsia="仿宋_GB2312" w:cs="仿宋_GB2312"/>
      <w:b/>
      <w:bCs/>
      <w:sz w:val="28"/>
      <w:szCs w:val="28"/>
    </w:rPr>
  </w:style>
  <w:style w:type="paragraph" w:styleId="25">
    <w:name w:val="Body Text Indent 2"/>
    <w:basedOn w:val="1"/>
    <w:next w:val="1"/>
    <w:link w:val="70"/>
    <w:semiHidden/>
    <w:qFormat/>
    <w:uiPriority w:val="99"/>
    <w:pPr>
      <w:tabs>
        <w:tab w:val="left" w:pos="4970"/>
      </w:tabs>
      <w:spacing w:line="360" w:lineRule="auto"/>
      <w:ind w:firstLine="480" w:firstLineChars="200"/>
    </w:pPr>
    <w:rPr>
      <w:rFonts w:ascii="Times New Roman" w:hAnsi="Times New Roman" w:cs="Times New Roman"/>
      <w:sz w:val="24"/>
      <w:szCs w:val="24"/>
    </w:rPr>
  </w:style>
  <w:style w:type="paragraph" w:styleId="26">
    <w:name w:val="Balloon Text"/>
    <w:basedOn w:val="1"/>
    <w:next w:val="1"/>
    <w:link w:val="57"/>
    <w:semiHidden/>
    <w:qFormat/>
    <w:uiPriority w:val="99"/>
    <w:rPr>
      <w:rFonts w:ascii="Times New Roman" w:hAnsi="Times New Roman" w:cs="Times New Roman"/>
      <w:sz w:val="18"/>
      <w:szCs w:val="18"/>
    </w:rPr>
  </w:style>
  <w:style w:type="paragraph" w:styleId="27">
    <w:name w:val="footer"/>
    <w:basedOn w:val="1"/>
    <w:link w:val="55"/>
    <w:qFormat/>
    <w:uiPriority w:val="99"/>
    <w:pPr>
      <w:tabs>
        <w:tab w:val="center" w:pos="4153"/>
        <w:tab w:val="right" w:pos="8306"/>
      </w:tabs>
      <w:snapToGrid w:val="0"/>
      <w:jc w:val="left"/>
    </w:pPr>
    <w:rPr>
      <w:sz w:val="18"/>
      <w:szCs w:val="18"/>
    </w:rPr>
  </w:style>
  <w:style w:type="paragraph" w:styleId="28">
    <w:name w:val="header"/>
    <w:basedOn w:val="1"/>
    <w:link w:val="81"/>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spacing w:before="120" w:after="120"/>
      <w:jc w:val="left"/>
    </w:pPr>
    <w:rPr>
      <w:b/>
      <w:bCs/>
      <w:caps/>
      <w:sz w:val="20"/>
      <w:szCs w:val="20"/>
    </w:rPr>
  </w:style>
  <w:style w:type="paragraph" w:styleId="30">
    <w:name w:val="toc 4"/>
    <w:basedOn w:val="1"/>
    <w:next w:val="1"/>
    <w:qFormat/>
    <w:uiPriority w:val="39"/>
    <w:pPr>
      <w:ind w:left="630"/>
      <w:jc w:val="left"/>
    </w:pPr>
    <w:rPr>
      <w:sz w:val="18"/>
      <w:szCs w:val="18"/>
    </w:rPr>
  </w:style>
  <w:style w:type="paragraph" w:styleId="31">
    <w:name w:val="Subtitle"/>
    <w:basedOn w:val="1"/>
    <w:next w:val="1"/>
    <w:link w:val="56"/>
    <w:qFormat/>
    <w:uiPriority w:val="99"/>
    <w:pPr>
      <w:widowControl/>
      <w:spacing w:before="240" w:after="60" w:line="312" w:lineRule="auto"/>
      <w:jc w:val="center"/>
      <w:outlineLvl w:val="1"/>
    </w:pPr>
    <w:rPr>
      <w:rFonts w:ascii="Calibri Light" w:hAnsi="Calibri Light" w:cs="Calibri Light"/>
      <w:b/>
      <w:bCs/>
      <w:kern w:val="28"/>
      <w:sz w:val="32"/>
      <w:szCs w:val="32"/>
    </w:rPr>
  </w:style>
  <w:style w:type="paragraph" w:styleId="32">
    <w:name w:val="toc 6"/>
    <w:basedOn w:val="1"/>
    <w:next w:val="1"/>
    <w:qFormat/>
    <w:uiPriority w:val="39"/>
    <w:pPr>
      <w:ind w:left="1050"/>
      <w:jc w:val="left"/>
    </w:pPr>
    <w:rPr>
      <w:sz w:val="18"/>
      <w:szCs w:val="18"/>
    </w:rPr>
  </w:style>
  <w:style w:type="paragraph" w:styleId="33">
    <w:name w:val="Body Text Indent 3"/>
    <w:basedOn w:val="1"/>
    <w:next w:val="1"/>
    <w:link w:val="67"/>
    <w:semiHidden/>
    <w:qFormat/>
    <w:uiPriority w:val="99"/>
    <w:pPr>
      <w:spacing w:line="360" w:lineRule="auto"/>
      <w:ind w:left="1978" w:leftChars="942"/>
    </w:pPr>
    <w:rPr>
      <w:rFonts w:ascii="Times New Roman" w:hAnsi="宋体" w:cs="Times New Roman"/>
      <w:sz w:val="24"/>
      <w:szCs w:val="24"/>
    </w:rPr>
  </w:style>
  <w:style w:type="paragraph" w:styleId="34">
    <w:name w:val="toc 2"/>
    <w:basedOn w:val="1"/>
    <w:next w:val="1"/>
    <w:qFormat/>
    <w:uiPriority w:val="39"/>
    <w:pPr>
      <w:ind w:left="210"/>
      <w:jc w:val="left"/>
    </w:pPr>
    <w:rPr>
      <w:smallCaps/>
      <w:sz w:val="20"/>
      <w:szCs w:val="20"/>
    </w:rPr>
  </w:style>
  <w:style w:type="paragraph" w:styleId="35">
    <w:name w:val="toc 9"/>
    <w:basedOn w:val="1"/>
    <w:next w:val="1"/>
    <w:qFormat/>
    <w:uiPriority w:val="39"/>
    <w:pPr>
      <w:ind w:left="1680"/>
      <w:jc w:val="left"/>
    </w:pPr>
    <w:rPr>
      <w:sz w:val="18"/>
      <w:szCs w:val="18"/>
    </w:rPr>
  </w:style>
  <w:style w:type="paragraph" w:styleId="36">
    <w:name w:val="Body Text 2"/>
    <w:basedOn w:val="1"/>
    <w:next w:val="1"/>
    <w:link w:val="60"/>
    <w:semiHidden/>
    <w:qFormat/>
    <w:uiPriority w:val="99"/>
    <w:rPr>
      <w:rFonts w:ascii="Times New Roman" w:hAnsi="Times New Roman" w:eastAsia="楷体_GB2312" w:cs="Times New Roman"/>
      <w:b/>
      <w:bCs/>
    </w:rPr>
  </w:style>
  <w:style w:type="paragraph" w:styleId="37">
    <w:name w:val="Normal (Web)"/>
    <w:basedOn w:val="1"/>
    <w:next w:val="1"/>
    <w:qFormat/>
    <w:uiPriority w:val="99"/>
    <w:pPr>
      <w:widowControl/>
      <w:spacing w:before="100" w:beforeAutospacing="1" w:after="100" w:afterAutospacing="1"/>
      <w:jc w:val="left"/>
    </w:pPr>
    <w:rPr>
      <w:rFonts w:ascii="宋体" w:hAnsi="宋体" w:cs="宋体"/>
      <w:kern w:val="0"/>
      <w:sz w:val="24"/>
      <w:szCs w:val="24"/>
    </w:rPr>
  </w:style>
  <w:style w:type="paragraph" w:styleId="38">
    <w:name w:val="Title"/>
    <w:basedOn w:val="1"/>
    <w:next w:val="1"/>
    <w:link w:val="77"/>
    <w:qFormat/>
    <w:uiPriority w:val="99"/>
    <w:pPr>
      <w:widowControl/>
      <w:spacing w:before="60" w:after="60"/>
      <w:jc w:val="center"/>
      <w:outlineLvl w:val="0"/>
    </w:pPr>
    <w:rPr>
      <w:rFonts w:ascii="Cambria" w:hAnsi="Cambria" w:cs="Cambria"/>
      <w:b/>
      <w:bCs/>
      <w:kern w:val="0"/>
      <w:sz w:val="32"/>
      <w:szCs w:val="32"/>
    </w:rPr>
  </w:style>
  <w:style w:type="paragraph" w:styleId="39">
    <w:name w:val="annotation subject"/>
    <w:basedOn w:val="16"/>
    <w:next w:val="16"/>
    <w:link w:val="66"/>
    <w:semiHidden/>
    <w:qFormat/>
    <w:uiPriority w:val="99"/>
    <w:rPr>
      <w:b/>
      <w:bCs/>
    </w:rPr>
  </w:style>
  <w:style w:type="table" w:styleId="41">
    <w:name w:val="Table Grid"/>
    <w:basedOn w:val="4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basedOn w:val="42"/>
    <w:qFormat/>
    <w:locked/>
    <w:uiPriority w:val="0"/>
    <w:rPr>
      <w:b/>
    </w:rPr>
  </w:style>
  <w:style w:type="character" w:styleId="44">
    <w:name w:val="page number"/>
    <w:semiHidden/>
    <w:qFormat/>
    <w:uiPriority w:val="99"/>
    <w:rPr>
      <w:rFonts w:ascii="Times New Roman" w:hAnsi="Times New Roman" w:cs="Times New Roman"/>
    </w:rPr>
  </w:style>
  <w:style w:type="character" w:styleId="45">
    <w:name w:val="FollowedHyperlink"/>
    <w:semiHidden/>
    <w:qFormat/>
    <w:uiPriority w:val="99"/>
    <w:rPr>
      <w:color w:val="800080"/>
      <w:u w:val="single"/>
    </w:rPr>
  </w:style>
  <w:style w:type="character" w:styleId="46">
    <w:name w:val="Hyperlink"/>
    <w:qFormat/>
    <w:uiPriority w:val="99"/>
    <w:rPr>
      <w:color w:val="0000FF"/>
      <w:u w:val="single"/>
    </w:rPr>
  </w:style>
  <w:style w:type="character" w:styleId="47">
    <w:name w:val="annotation reference"/>
    <w:semiHidden/>
    <w:qFormat/>
    <w:uiPriority w:val="99"/>
    <w:rPr>
      <w:rFonts w:ascii="Times New Roman" w:hAnsi="Times New Roman" w:cs="Times New Roman"/>
      <w:sz w:val="21"/>
      <w:szCs w:val="21"/>
    </w:rPr>
  </w:style>
  <w:style w:type="character" w:customStyle="1" w:styleId="48">
    <w:name w:val="标题 2 Char"/>
    <w:link w:val="4"/>
    <w:qFormat/>
    <w:locked/>
    <w:uiPriority w:val="99"/>
    <w:rPr>
      <w:rFonts w:ascii="宋体" w:hAnsi="Arial" w:eastAsia="宋体" w:cs="宋体"/>
      <w:sz w:val="32"/>
      <w:szCs w:val="32"/>
      <w:lang w:val="en-US" w:eastAsia="zh-CN"/>
    </w:rPr>
  </w:style>
  <w:style w:type="character" w:customStyle="1" w:styleId="49">
    <w:name w:val="textcontents1"/>
    <w:qFormat/>
    <w:uiPriority w:val="99"/>
    <w:rPr>
      <w:color w:val="000000"/>
      <w:sz w:val="22"/>
      <w:szCs w:val="22"/>
    </w:rPr>
  </w:style>
  <w:style w:type="character" w:customStyle="1" w:styleId="50">
    <w:name w:val="日期 Char"/>
    <w:link w:val="24"/>
    <w:semiHidden/>
    <w:qFormat/>
    <w:locked/>
    <w:uiPriority w:val="99"/>
    <w:rPr>
      <w:rFonts w:ascii="仿宋_GB2312" w:hAnsi="Times New Roman" w:eastAsia="仿宋_GB2312" w:cs="仿宋_GB2312"/>
      <w:b/>
      <w:bCs/>
      <w:sz w:val="24"/>
      <w:szCs w:val="24"/>
    </w:rPr>
  </w:style>
  <w:style w:type="character" w:customStyle="1" w:styleId="51">
    <w:name w:val="标题 3 Char"/>
    <w:link w:val="5"/>
    <w:semiHidden/>
    <w:qFormat/>
    <w:locked/>
    <w:uiPriority w:val="99"/>
    <w:rPr>
      <w:rFonts w:eastAsia="宋体"/>
      <w:b/>
      <w:bCs/>
      <w:sz w:val="32"/>
      <w:szCs w:val="32"/>
      <w:lang w:val="en-US" w:eastAsia="zh-CN"/>
    </w:rPr>
  </w:style>
  <w:style w:type="character" w:customStyle="1" w:styleId="52">
    <w:name w:val="标题 8 Char"/>
    <w:link w:val="10"/>
    <w:semiHidden/>
    <w:qFormat/>
    <w:locked/>
    <w:uiPriority w:val="99"/>
    <w:rPr>
      <w:rFonts w:ascii="Arial" w:hAnsi="Arial" w:eastAsia="黑体" w:cs="Arial"/>
      <w:sz w:val="24"/>
      <w:szCs w:val="24"/>
      <w:lang w:val="en-US" w:eastAsia="zh-CN"/>
    </w:rPr>
  </w:style>
  <w:style w:type="character" w:customStyle="1" w:styleId="53">
    <w:name w:val="标题 1 Char"/>
    <w:link w:val="3"/>
    <w:qFormat/>
    <w:locked/>
    <w:uiPriority w:val="99"/>
    <w:rPr>
      <w:rFonts w:ascii="宋体" w:hAnsi="Times New Roman" w:cs="宋体"/>
      <w:sz w:val="28"/>
      <w:szCs w:val="28"/>
    </w:rPr>
  </w:style>
  <w:style w:type="character" w:customStyle="1" w:styleId="54">
    <w:name w:val="apple-style-span"/>
    <w:basedOn w:val="42"/>
    <w:qFormat/>
    <w:uiPriority w:val="99"/>
  </w:style>
  <w:style w:type="character" w:customStyle="1" w:styleId="55">
    <w:name w:val="页脚 Char"/>
    <w:link w:val="27"/>
    <w:qFormat/>
    <w:locked/>
    <w:uiPriority w:val="99"/>
    <w:rPr>
      <w:sz w:val="18"/>
      <w:szCs w:val="18"/>
    </w:rPr>
  </w:style>
  <w:style w:type="character" w:customStyle="1" w:styleId="56">
    <w:name w:val="副标题 Char"/>
    <w:link w:val="31"/>
    <w:qFormat/>
    <w:locked/>
    <w:uiPriority w:val="99"/>
    <w:rPr>
      <w:rFonts w:ascii="Calibri Light" w:hAnsi="Calibri Light" w:eastAsia="宋体" w:cs="Calibri Light"/>
      <w:b/>
      <w:bCs/>
      <w:kern w:val="28"/>
      <w:sz w:val="20"/>
      <w:szCs w:val="20"/>
    </w:rPr>
  </w:style>
  <w:style w:type="character" w:customStyle="1" w:styleId="57">
    <w:name w:val="批注框文本 Char"/>
    <w:link w:val="26"/>
    <w:semiHidden/>
    <w:qFormat/>
    <w:locked/>
    <w:uiPriority w:val="99"/>
    <w:rPr>
      <w:rFonts w:ascii="Times New Roman" w:hAnsi="Times New Roman" w:eastAsia="宋体" w:cs="Times New Roman"/>
      <w:sz w:val="18"/>
      <w:szCs w:val="18"/>
    </w:rPr>
  </w:style>
  <w:style w:type="character" w:customStyle="1" w:styleId="58">
    <w:name w:val="Char Char10"/>
    <w:qFormat/>
    <w:uiPriority w:val="99"/>
    <w:rPr>
      <w:rFonts w:ascii="宋体" w:hAnsi="Courier New" w:eastAsia="宋体" w:cs="宋体"/>
      <w:kern w:val="2"/>
      <w:sz w:val="24"/>
      <w:szCs w:val="24"/>
      <w:lang w:val="en-US" w:eastAsia="zh-CN"/>
    </w:rPr>
  </w:style>
  <w:style w:type="character" w:customStyle="1" w:styleId="59">
    <w:name w:val="标题 9 Char"/>
    <w:link w:val="11"/>
    <w:semiHidden/>
    <w:qFormat/>
    <w:locked/>
    <w:uiPriority w:val="99"/>
    <w:rPr>
      <w:rFonts w:ascii="Arial" w:hAnsi="Arial" w:eastAsia="黑体" w:cs="Arial"/>
      <w:sz w:val="21"/>
      <w:szCs w:val="21"/>
      <w:lang w:val="en-US" w:eastAsia="zh-CN"/>
    </w:rPr>
  </w:style>
  <w:style w:type="character" w:customStyle="1" w:styleId="60">
    <w:name w:val="正文文本 2 Char"/>
    <w:link w:val="36"/>
    <w:semiHidden/>
    <w:qFormat/>
    <w:locked/>
    <w:uiPriority w:val="99"/>
    <w:rPr>
      <w:rFonts w:ascii="Times New Roman" w:hAnsi="Times New Roman" w:eastAsia="楷体_GB2312" w:cs="Times New Roman"/>
      <w:b/>
      <w:bCs/>
      <w:sz w:val="24"/>
      <w:szCs w:val="24"/>
    </w:rPr>
  </w:style>
  <w:style w:type="character" w:customStyle="1" w:styleId="61">
    <w:name w:val="填空正文"/>
    <w:qFormat/>
    <w:uiPriority w:val="0"/>
    <w:rPr>
      <w:rFonts w:ascii="宋体" w:eastAsia="宋体"/>
      <w:sz w:val="24"/>
      <w:u w:val="single"/>
    </w:rPr>
  </w:style>
  <w:style w:type="character" w:customStyle="1" w:styleId="62">
    <w:name w:val="批注文字 Char"/>
    <w:link w:val="16"/>
    <w:semiHidden/>
    <w:qFormat/>
    <w:locked/>
    <w:uiPriority w:val="99"/>
    <w:rPr>
      <w:rFonts w:ascii="Times New Roman" w:hAnsi="Times New Roman" w:eastAsia="宋体" w:cs="Times New Roman"/>
      <w:sz w:val="24"/>
      <w:szCs w:val="24"/>
    </w:rPr>
  </w:style>
  <w:style w:type="character" w:customStyle="1" w:styleId="63">
    <w:name w:val="标题 6 Char"/>
    <w:link w:val="8"/>
    <w:semiHidden/>
    <w:qFormat/>
    <w:locked/>
    <w:uiPriority w:val="99"/>
    <w:rPr>
      <w:rFonts w:ascii="Arial" w:hAnsi="Arial" w:eastAsia="黑体" w:cs="Arial"/>
      <w:b/>
      <w:bCs/>
      <w:sz w:val="24"/>
      <w:szCs w:val="24"/>
      <w:lang w:val="en-US" w:eastAsia="zh-CN"/>
    </w:rPr>
  </w:style>
  <w:style w:type="character" w:customStyle="1" w:styleId="64">
    <w:name w:val="p0 Char Char"/>
    <w:link w:val="65"/>
    <w:qFormat/>
    <w:locked/>
    <w:uiPriority w:val="99"/>
    <w:rPr>
      <w:rFonts w:ascii="Times New Roman" w:hAnsi="Times New Roman" w:eastAsia="宋体" w:cs="Times New Roman"/>
      <w:kern w:val="0"/>
      <w:sz w:val="21"/>
      <w:szCs w:val="21"/>
    </w:rPr>
  </w:style>
  <w:style w:type="paragraph" w:customStyle="1" w:styleId="65">
    <w:name w:val="p0"/>
    <w:basedOn w:val="1"/>
    <w:next w:val="1"/>
    <w:link w:val="64"/>
    <w:qFormat/>
    <w:uiPriority w:val="99"/>
    <w:pPr>
      <w:widowControl/>
    </w:pPr>
    <w:rPr>
      <w:rFonts w:ascii="Times New Roman" w:hAnsi="Times New Roman" w:cs="Times New Roman"/>
      <w:kern w:val="0"/>
    </w:rPr>
  </w:style>
  <w:style w:type="character" w:customStyle="1" w:styleId="66">
    <w:name w:val="批注主题 Char"/>
    <w:link w:val="39"/>
    <w:semiHidden/>
    <w:qFormat/>
    <w:locked/>
    <w:uiPriority w:val="99"/>
    <w:rPr>
      <w:rFonts w:ascii="Times New Roman" w:hAnsi="Times New Roman" w:eastAsia="宋体" w:cs="Times New Roman"/>
      <w:b/>
      <w:bCs/>
      <w:sz w:val="24"/>
      <w:szCs w:val="24"/>
    </w:rPr>
  </w:style>
  <w:style w:type="character" w:customStyle="1" w:styleId="67">
    <w:name w:val="正文文本缩进 3 Char"/>
    <w:link w:val="33"/>
    <w:semiHidden/>
    <w:qFormat/>
    <w:locked/>
    <w:uiPriority w:val="99"/>
    <w:rPr>
      <w:rFonts w:ascii="Times New Roman" w:hAnsi="宋体" w:eastAsia="宋体" w:cs="Times New Roman"/>
      <w:sz w:val="24"/>
      <w:szCs w:val="24"/>
    </w:rPr>
  </w:style>
  <w:style w:type="character" w:customStyle="1" w:styleId="68">
    <w:name w:val="纯文本 Char"/>
    <w:link w:val="2"/>
    <w:qFormat/>
    <w:locked/>
    <w:uiPriority w:val="99"/>
    <w:rPr>
      <w:rFonts w:ascii="宋体" w:hAnsi="Courier New" w:eastAsia="宋体" w:cs="宋体"/>
      <w:sz w:val="20"/>
      <w:szCs w:val="20"/>
    </w:rPr>
  </w:style>
  <w:style w:type="character" w:customStyle="1" w:styleId="69">
    <w:name w:val="标题 4 Char"/>
    <w:link w:val="6"/>
    <w:semiHidden/>
    <w:qFormat/>
    <w:locked/>
    <w:uiPriority w:val="99"/>
    <w:rPr>
      <w:rFonts w:ascii="Arial" w:hAnsi="Arial" w:eastAsia="黑体" w:cs="Arial"/>
      <w:b/>
      <w:bCs/>
      <w:sz w:val="28"/>
      <w:szCs w:val="28"/>
      <w:lang w:val="en-US" w:eastAsia="zh-CN"/>
    </w:rPr>
  </w:style>
  <w:style w:type="character" w:customStyle="1" w:styleId="70">
    <w:name w:val="正文文本缩进 2 Char"/>
    <w:link w:val="25"/>
    <w:semiHidden/>
    <w:qFormat/>
    <w:locked/>
    <w:uiPriority w:val="99"/>
    <w:rPr>
      <w:rFonts w:ascii="Times New Roman" w:hAnsi="Times New Roman" w:eastAsia="宋体" w:cs="Times New Roman"/>
      <w:sz w:val="24"/>
      <w:szCs w:val="24"/>
    </w:rPr>
  </w:style>
  <w:style w:type="character" w:customStyle="1" w:styleId="71">
    <w:name w:val="标题 7 Char"/>
    <w:link w:val="9"/>
    <w:semiHidden/>
    <w:qFormat/>
    <w:locked/>
    <w:uiPriority w:val="99"/>
    <w:rPr>
      <w:rFonts w:eastAsia="宋体"/>
      <w:b/>
      <w:bCs/>
      <w:sz w:val="24"/>
      <w:szCs w:val="24"/>
      <w:lang w:val="en-US" w:eastAsia="zh-CN"/>
    </w:rPr>
  </w:style>
  <w:style w:type="character" w:customStyle="1" w:styleId="72">
    <w:name w:val="textcontents"/>
    <w:basedOn w:val="42"/>
    <w:qFormat/>
    <w:uiPriority w:val="99"/>
  </w:style>
  <w:style w:type="character" w:customStyle="1" w:styleId="73">
    <w:name w:val="Char Char3"/>
    <w:qFormat/>
    <w:uiPriority w:val="99"/>
    <w:rPr>
      <w:rFonts w:ascii="宋体" w:hAnsi="宋体" w:eastAsia="宋体" w:cs="宋体"/>
      <w:sz w:val="18"/>
      <w:szCs w:val="18"/>
      <w:lang w:val="en-US" w:eastAsia="zh-CN"/>
    </w:rPr>
  </w:style>
  <w:style w:type="character" w:customStyle="1" w:styleId="74">
    <w:name w:val="标题 5 Char"/>
    <w:link w:val="7"/>
    <w:semiHidden/>
    <w:qFormat/>
    <w:locked/>
    <w:uiPriority w:val="99"/>
    <w:rPr>
      <w:rFonts w:eastAsia="宋体"/>
      <w:b/>
      <w:bCs/>
      <w:sz w:val="28"/>
      <w:szCs w:val="28"/>
      <w:lang w:val="en-US" w:eastAsia="zh-CN"/>
    </w:rPr>
  </w:style>
  <w:style w:type="character" w:customStyle="1" w:styleId="75">
    <w:name w:val="Intense Quote Char"/>
    <w:link w:val="76"/>
    <w:qFormat/>
    <w:locked/>
    <w:uiPriority w:val="99"/>
    <w:rPr>
      <w:b/>
      <w:bCs/>
      <w:i/>
      <w:iCs/>
      <w:color w:val="4F81BD"/>
      <w:sz w:val="22"/>
      <w:szCs w:val="22"/>
    </w:rPr>
  </w:style>
  <w:style w:type="paragraph" w:customStyle="1" w:styleId="76">
    <w:name w:val="明显引用1"/>
    <w:basedOn w:val="1"/>
    <w:next w:val="1"/>
    <w:link w:val="75"/>
    <w:qFormat/>
    <w:uiPriority w:val="99"/>
    <w:pPr>
      <w:pBdr>
        <w:bottom w:val="single" w:color="4F81BD" w:sz="4" w:space="4"/>
      </w:pBdr>
      <w:spacing w:before="200" w:after="280"/>
      <w:ind w:left="936" w:right="936"/>
    </w:pPr>
    <w:rPr>
      <w:rFonts w:cs="Times New Roman"/>
      <w:b/>
      <w:bCs/>
      <w:i/>
      <w:iCs/>
      <w:color w:val="4F81BD"/>
      <w:kern w:val="0"/>
      <w:sz w:val="22"/>
      <w:szCs w:val="22"/>
    </w:rPr>
  </w:style>
  <w:style w:type="character" w:customStyle="1" w:styleId="77">
    <w:name w:val="标题 Char"/>
    <w:link w:val="38"/>
    <w:qFormat/>
    <w:locked/>
    <w:uiPriority w:val="99"/>
    <w:rPr>
      <w:rFonts w:ascii="Cambria" w:hAnsi="Cambria" w:eastAsia="宋体" w:cs="Cambria"/>
      <w:b/>
      <w:bCs/>
      <w:kern w:val="0"/>
      <w:sz w:val="20"/>
      <w:szCs w:val="20"/>
    </w:rPr>
  </w:style>
  <w:style w:type="character" w:customStyle="1" w:styleId="78">
    <w:name w:val="正文文本缩进 Char"/>
    <w:link w:val="19"/>
    <w:qFormat/>
    <w:locked/>
    <w:uiPriority w:val="99"/>
    <w:rPr>
      <w:rFonts w:ascii="宋体" w:hAnsi="Times New Roman" w:eastAsia="宋体" w:cs="宋体"/>
      <w:sz w:val="20"/>
      <w:szCs w:val="20"/>
    </w:rPr>
  </w:style>
  <w:style w:type="character" w:customStyle="1" w:styleId="79">
    <w:name w:val="文档结构图 Char"/>
    <w:link w:val="15"/>
    <w:semiHidden/>
    <w:qFormat/>
    <w:locked/>
    <w:uiPriority w:val="99"/>
    <w:rPr>
      <w:rFonts w:ascii="Times New Roman" w:hAnsi="Times New Roman" w:eastAsia="宋体" w:cs="Times New Roman"/>
      <w:sz w:val="24"/>
      <w:szCs w:val="24"/>
      <w:shd w:val="clear" w:color="auto" w:fill="000080"/>
    </w:rPr>
  </w:style>
  <w:style w:type="character" w:customStyle="1" w:styleId="80">
    <w:name w:val="正文文本 Char"/>
    <w:link w:val="18"/>
    <w:semiHidden/>
    <w:qFormat/>
    <w:locked/>
    <w:uiPriority w:val="99"/>
    <w:rPr>
      <w:rFonts w:ascii="Times New Roman" w:hAnsi="Times New Roman" w:eastAsia="宋体" w:cs="Times New Roman"/>
      <w:sz w:val="24"/>
      <w:szCs w:val="24"/>
    </w:rPr>
  </w:style>
  <w:style w:type="character" w:customStyle="1" w:styleId="81">
    <w:name w:val="页眉 Char"/>
    <w:link w:val="28"/>
    <w:qFormat/>
    <w:locked/>
    <w:uiPriority w:val="99"/>
    <w:rPr>
      <w:sz w:val="18"/>
      <w:szCs w:val="18"/>
    </w:rPr>
  </w:style>
  <w:style w:type="character" w:customStyle="1" w:styleId="82">
    <w:name w:val="正文文本 3 Char"/>
    <w:link w:val="17"/>
    <w:qFormat/>
    <w:locked/>
    <w:uiPriority w:val="99"/>
    <w:rPr>
      <w:rFonts w:ascii="Times New Roman" w:hAnsi="Times New Roman" w:eastAsia="宋体" w:cs="Times New Roman"/>
      <w:sz w:val="16"/>
      <w:szCs w:val="16"/>
    </w:rPr>
  </w:style>
  <w:style w:type="character" w:customStyle="1" w:styleId="83">
    <w:name w:val="15"/>
    <w:qFormat/>
    <w:uiPriority w:val="99"/>
    <w:rPr>
      <w:rFonts w:ascii="Times New Roman" w:hAnsi="Times New Roman" w:cs="Times New Roman"/>
      <w:color w:val="auto"/>
      <w:u w:val="none"/>
    </w:rPr>
  </w:style>
  <w:style w:type="paragraph" w:customStyle="1" w:styleId="84">
    <w:name w:val="Default"/>
    <w:next w:val="1"/>
    <w:qFormat/>
    <w:uiPriority w:val="99"/>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85">
    <w:name w:val="Normal_0"/>
    <w:next w:val="1"/>
    <w:qFormat/>
    <w:uiPriority w:val="99"/>
    <w:pPr>
      <w:spacing w:before="120" w:after="240"/>
      <w:jc w:val="both"/>
    </w:pPr>
    <w:rPr>
      <w:rFonts w:ascii="Calibri" w:hAnsi="Calibri" w:eastAsia="宋体" w:cs="Calibri"/>
      <w:sz w:val="22"/>
      <w:szCs w:val="22"/>
      <w:lang w:val="ru-RU" w:eastAsia="en-US" w:bidi="ar-SA"/>
    </w:rPr>
  </w:style>
  <w:style w:type="paragraph" w:customStyle="1" w:styleId="86">
    <w:name w:val="CM5"/>
    <w:basedOn w:val="84"/>
    <w:next w:val="84"/>
    <w:qFormat/>
    <w:uiPriority w:val="99"/>
    <w:pPr>
      <w:spacing w:line="428" w:lineRule="atLeast"/>
    </w:pPr>
    <w:rPr>
      <w:color w:val="auto"/>
    </w:rPr>
  </w:style>
  <w:style w:type="paragraph" w:customStyle="1" w:styleId="87">
    <w:name w:val="列出段落1"/>
    <w:basedOn w:val="1"/>
    <w:qFormat/>
    <w:uiPriority w:val="99"/>
    <w:pPr>
      <w:ind w:firstLine="420" w:firstLineChars="200"/>
    </w:pPr>
  </w:style>
  <w:style w:type="paragraph" w:customStyle="1" w:styleId="88">
    <w:name w:val="CM6"/>
    <w:basedOn w:val="84"/>
    <w:next w:val="84"/>
    <w:qFormat/>
    <w:uiPriority w:val="99"/>
    <w:pPr>
      <w:spacing w:line="428" w:lineRule="atLeast"/>
    </w:pPr>
    <w:rPr>
      <w:color w:val="auto"/>
    </w:rPr>
  </w:style>
  <w:style w:type="paragraph" w:customStyle="1" w:styleId="89">
    <w:name w:val="文一"/>
    <w:basedOn w:val="1"/>
    <w:next w:val="1"/>
    <w:qFormat/>
    <w:uiPriority w:val="99"/>
    <w:pPr>
      <w:topLinePunct/>
      <w:adjustRightInd w:val="0"/>
      <w:snapToGrid w:val="0"/>
      <w:spacing w:line="360" w:lineRule="auto"/>
      <w:ind w:firstLine="200" w:firstLineChars="200"/>
    </w:pPr>
    <w:rPr>
      <w:rFonts w:ascii="Times New Roman" w:hAnsi="Times New Roman" w:cs="Times New Roman"/>
      <w:spacing w:val="4"/>
      <w:kern w:val="0"/>
      <w:sz w:val="24"/>
      <w:szCs w:val="24"/>
    </w:rPr>
  </w:style>
  <w:style w:type="paragraph" w:customStyle="1" w:styleId="90">
    <w:name w:val="TOC 标题1"/>
    <w:basedOn w:val="3"/>
    <w:next w:val="1"/>
    <w:qFormat/>
    <w:uiPriority w:val="99"/>
    <w:pPr>
      <w:spacing w:before="480" w:after="0" w:line="276" w:lineRule="auto"/>
      <w:ind w:left="0" w:firstLine="0"/>
      <w:outlineLvl w:val="9"/>
    </w:pPr>
    <w:rPr>
      <w:rFonts w:ascii="Cambria" w:hAnsi="Cambria" w:cs="Cambria"/>
      <w:b/>
      <w:bCs/>
      <w:color w:val="365F91"/>
    </w:rPr>
  </w:style>
  <w:style w:type="paragraph" w:customStyle="1" w:styleId="91">
    <w:name w:val="CM35"/>
    <w:basedOn w:val="84"/>
    <w:next w:val="84"/>
    <w:qFormat/>
    <w:uiPriority w:val="99"/>
    <w:rPr>
      <w:color w:val="auto"/>
    </w:rPr>
  </w:style>
  <w:style w:type="paragraph" w:customStyle="1" w:styleId="92">
    <w:name w:val="Char Char Char Char Char Char Char"/>
    <w:basedOn w:val="1"/>
    <w:next w:val="1"/>
    <w:qFormat/>
    <w:uiPriority w:val="99"/>
    <w:pPr>
      <w:widowControl/>
      <w:spacing w:after="160" w:line="240" w:lineRule="exact"/>
      <w:jc w:val="left"/>
    </w:pPr>
    <w:rPr>
      <w:rFonts w:ascii="Arial" w:hAnsi="Arial" w:cs="Arial"/>
      <w:b/>
      <w:bCs/>
      <w:kern w:val="0"/>
      <w:sz w:val="24"/>
      <w:szCs w:val="24"/>
      <w:lang w:eastAsia="en-US"/>
    </w:rPr>
  </w:style>
  <w:style w:type="paragraph" w:customStyle="1" w:styleId="93">
    <w:name w:val="CM39"/>
    <w:basedOn w:val="84"/>
    <w:next w:val="84"/>
    <w:qFormat/>
    <w:uiPriority w:val="99"/>
    <w:rPr>
      <w:color w:val="auto"/>
    </w:rPr>
  </w:style>
  <w:style w:type="paragraph" w:customStyle="1" w:styleId="94">
    <w:name w:val="Char"/>
    <w:basedOn w:val="1"/>
    <w:next w:val="1"/>
    <w:qFormat/>
    <w:uiPriority w:val="99"/>
    <w:rPr>
      <w:rFonts w:ascii="Times New Roman" w:hAnsi="Times New Roman" w:cs="Times New Roman"/>
    </w:rPr>
  </w:style>
  <w:style w:type="paragraph" w:customStyle="1" w:styleId="95">
    <w:name w:val="CM25"/>
    <w:basedOn w:val="84"/>
    <w:next w:val="84"/>
    <w:qFormat/>
    <w:uiPriority w:val="99"/>
    <w:pPr>
      <w:spacing w:line="426" w:lineRule="atLeast"/>
    </w:pPr>
    <w:rPr>
      <w:color w:val="auto"/>
    </w:rPr>
  </w:style>
  <w:style w:type="paragraph" w:customStyle="1" w:styleId="96">
    <w:name w:val="x_msonormal"/>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97">
    <w:name w:val="zhang"/>
    <w:basedOn w:val="1"/>
    <w:next w:val="1"/>
    <w:qFormat/>
    <w:uiPriority w:val="99"/>
    <w:pPr>
      <w:widowControl/>
      <w:spacing w:before="100" w:beforeAutospacing="1" w:after="100" w:afterAutospacing="1"/>
      <w:jc w:val="left"/>
    </w:pPr>
    <w:rPr>
      <w:rFonts w:ascii="宋体" w:hAnsi="宋体" w:cs="宋体"/>
      <w:b/>
      <w:bCs/>
      <w:smallCaps/>
      <w:color w:val="000000"/>
      <w:kern w:val="0"/>
      <w:sz w:val="20"/>
      <w:szCs w:val="20"/>
    </w:rPr>
  </w:style>
  <w:style w:type="paragraph" w:customStyle="1" w:styleId="98">
    <w:name w:val="xl26"/>
    <w:basedOn w:val="1"/>
    <w:next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99">
    <w:name w:val="_Style 4"/>
    <w:basedOn w:val="3"/>
    <w:next w:val="1"/>
    <w:qFormat/>
    <w:uiPriority w:val="99"/>
    <w:pPr>
      <w:widowControl w:val="0"/>
      <w:spacing w:line="576" w:lineRule="auto"/>
      <w:ind w:left="0" w:firstLine="0"/>
      <w:jc w:val="both"/>
      <w:outlineLvl w:val="9"/>
    </w:pPr>
    <w:rPr>
      <w:rFonts w:ascii="Calibri" w:hAnsi="Calibri" w:cs="Calibri"/>
      <w:b/>
      <w:bCs/>
      <w:kern w:val="44"/>
      <w:sz w:val="44"/>
      <w:szCs w:val="44"/>
    </w:rPr>
  </w:style>
  <w:style w:type="paragraph" w:customStyle="1" w:styleId="100">
    <w:name w:val="CM31"/>
    <w:basedOn w:val="84"/>
    <w:next w:val="84"/>
    <w:qFormat/>
    <w:uiPriority w:val="99"/>
    <w:pPr>
      <w:spacing w:line="426" w:lineRule="atLeast"/>
    </w:pPr>
    <w:rPr>
      <w:color w:val="auto"/>
    </w:rPr>
  </w:style>
  <w:style w:type="paragraph" w:customStyle="1" w:styleId="101">
    <w:name w:val="font0"/>
    <w:basedOn w:val="1"/>
    <w:next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02">
    <w:name w:val="WPSOffice手动目录 1"/>
    <w:qFormat/>
    <w:uiPriority w:val="0"/>
    <w:rPr>
      <w:rFonts w:ascii="Times New Roman" w:hAnsi="Times New Roman" w:eastAsia="宋体" w:cs="Times New Roman"/>
      <w:lang w:val="en-US" w:eastAsia="zh-CN" w:bidi="ar-SA"/>
    </w:rPr>
  </w:style>
  <w:style w:type="paragraph" w:customStyle="1" w:styleId="103">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04">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105">
    <w:name w:val="纯文本1"/>
    <w:basedOn w:val="1"/>
    <w:qFormat/>
    <w:uiPriority w:val="0"/>
    <w:rPr>
      <w:rFonts w:ascii="宋体" w:hAnsi="Courier New" w:cs="Courier New"/>
    </w:rPr>
  </w:style>
  <w:style w:type="character" w:customStyle="1" w:styleId="106">
    <w:name w:val="font11"/>
    <w:basedOn w:val="42"/>
    <w:qFormat/>
    <w:uiPriority w:val="0"/>
    <w:rPr>
      <w:rFonts w:hint="eastAsia" w:ascii="宋体" w:hAnsi="宋体" w:eastAsia="宋体" w:cs="宋体"/>
      <w:color w:val="000000"/>
      <w:sz w:val="18"/>
      <w:szCs w:val="18"/>
      <w:u w:val="none"/>
    </w:rPr>
  </w:style>
  <w:style w:type="character" w:customStyle="1" w:styleId="107">
    <w:name w:val="font101"/>
    <w:basedOn w:val="42"/>
    <w:qFormat/>
    <w:uiPriority w:val="0"/>
    <w:rPr>
      <w:rFonts w:ascii="Malgun Gothic" w:hAnsi="Malgun Gothic" w:eastAsia="Malgun Gothic" w:cs="Malgun Gothic"/>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215</Pages>
  <Words>28976</Words>
  <Characters>165165</Characters>
  <Lines>1376</Lines>
  <Paragraphs>387</Paragraphs>
  <TotalTime>12</TotalTime>
  <ScaleCrop>false</ScaleCrop>
  <LinksUpToDate>false</LinksUpToDate>
  <CharactersWithSpaces>193754</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2021-11-09T03:33:00Z</dcterms:created>
  <dc:creator>aa</dc:creator>
  <cp:lastModifiedBy>杨文哲</cp:lastModifiedBy>
  <cp:lastPrinted>2019-06-26T07:22:00Z</cp:lastPrinted>
  <dcterms:modified xsi:type="dcterms:W3CDTF">2023-09-21T11:00:04Z</dcterms:modified>
  <dc:title>SF-2019-0204</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466560A449A04F3FA845914A64E2635E</vt:lpwstr>
  </property>
</Properties>
</file>