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60" w:lineRule="auto"/>
      </w:pPr>
    </w:p>
    <w:p>
      <w:pPr>
        <w:pStyle w:val="45"/>
        <w:rPr>
          <w:rFonts w:ascii="Arial"/>
          <w:sz w:val="21"/>
        </w:rPr>
      </w:pPr>
    </w:p>
    <w:p>
      <w:pPr>
        <w:pStyle w:val="45"/>
        <w:rPr>
          <w:rFonts w:ascii="Arial"/>
          <w:sz w:val="21"/>
        </w:rPr>
      </w:pPr>
    </w:p>
    <w:p>
      <w:pPr>
        <w:pStyle w:val="45"/>
        <w:rPr>
          <w:rFonts w:ascii="Arial"/>
          <w:sz w:val="21"/>
        </w:rPr>
      </w:pPr>
    </w:p>
    <w:p>
      <w:pPr>
        <w:pStyle w:val="45"/>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72" w:lineRule="auto"/>
        <w:jc w:val="center"/>
        <w:rPr>
          <w:rFonts w:ascii="Arial"/>
          <w:sz w:val="21"/>
        </w:rPr>
      </w:pPr>
      <w:r>
        <w:rPr>
          <w:rFonts w:hint="eastAsia" w:ascii="宋体" w:hAnsi="宋体" w:eastAsia="宋体" w:cs="宋体"/>
          <w:b/>
          <w:bCs/>
          <w:spacing w:val="-8"/>
          <w:sz w:val="36"/>
          <w:szCs w:val="36"/>
          <w:u w:val="none" w:color="auto"/>
        </w:rPr>
        <w:t>中新镇侨建御苑南规划路建设工程施工总承包</w:t>
      </w:r>
    </w:p>
    <w:p>
      <w:pPr>
        <w:spacing w:before="354" w:line="221" w:lineRule="auto"/>
        <w:ind w:left="2304"/>
        <w:rPr>
          <w:rFonts w:ascii="楷体" w:hAnsi="楷体" w:eastAsia="楷体" w:cs="楷体"/>
          <w:sz w:val="109"/>
          <w:szCs w:val="109"/>
        </w:rPr>
      </w:pPr>
      <w:r>
        <w:rPr>
          <w:rFonts w:ascii="楷体" w:hAnsi="楷体" w:eastAsia="楷体" w:cs="楷体"/>
          <w:spacing w:val="39"/>
          <w:sz w:val="109"/>
          <w:szCs w:val="109"/>
          <w14:textOutline w14:w="19942" w14:cap="flat" w14:cmpd="sng">
            <w14:solidFill>
              <w14:srgbClr w14:val="000000"/>
            </w14:solidFill>
            <w14:prstDash w14:val="solid"/>
            <w14:miter w14:val="0"/>
          </w14:textOutline>
        </w:rPr>
        <w:t>招</w:t>
      </w:r>
      <w:r>
        <w:rPr>
          <w:rFonts w:ascii="楷体" w:hAnsi="楷体" w:eastAsia="楷体" w:cs="楷体"/>
          <w:spacing w:val="38"/>
          <w:sz w:val="109"/>
          <w:szCs w:val="109"/>
          <w14:textOutline w14:w="19942" w14:cap="flat" w14:cmpd="sng">
            <w14:solidFill>
              <w14:srgbClr w14:val="000000"/>
            </w14:solidFill>
            <w14:prstDash w14:val="solid"/>
            <w14:miter w14:val="0"/>
          </w14:textOutline>
        </w:rPr>
        <w:t>标文件</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45"/>
        <w:rPr>
          <w:rFonts w:ascii="Arial"/>
          <w:sz w:val="21"/>
        </w:rPr>
      </w:pPr>
    </w:p>
    <w:p>
      <w:pPr>
        <w:pStyle w:val="45"/>
        <w:rPr>
          <w:rFonts w:ascii="Arial"/>
          <w:sz w:val="21"/>
        </w:rPr>
      </w:pPr>
    </w:p>
    <w:p>
      <w:pPr>
        <w:pStyle w:val="45"/>
        <w:rPr>
          <w:rFonts w:ascii="Arial"/>
          <w:sz w:val="21"/>
        </w:rPr>
      </w:pPr>
    </w:p>
    <w:p>
      <w:pPr>
        <w:pStyle w:val="45"/>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widowControl/>
        <w:kinsoku w:val="0"/>
        <w:autoSpaceDE w:val="0"/>
        <w:autoSpaceDN w:val="0"/>
        <w:adjustRightInd w:val="0"/>
        <w:snapToGrid w:val="0"/>
        <w:spacing w:before="98" w:line="382" w:lineRule="auto"/>
        <w:ind w:left="944" w:right="501" w:hanging="3"/>
        <w:jc w:val="left"/>
        <w:textAlignment w:val="baseline"/>
        <w:rPr>
          <w:rFonts w:ascii="宋体" w:hAnsi="宋体" w:eastAsia="宋体" w:cs="宋体"/>
          <w:snapToGrid w:val="0"/>
          <w:color w:val="000000"/>
          <w:spacing w:val="-6"/>
          <w:kern w:val="0"/>
          <w:sz w:val="30"/>
          <w:szCs w:val="30"/>
        </w:rPr>
      </w:pPr>
      <w:r>
        <w:rPr>
          <w:rFonts w:ascii="宋体" w:hAnsi="宋体" w:eastAsia="宋体" w:cs="宋体"/>
          <w:snapToGrid w:val="0"/>
          <w:color w:val="000000"/>
          <w:spacing w:val="-6"/>
          <w:kern w:val="0"/>
          <w:sz w:val="30"/>
          <w:szCs w:val="30"/>
        </w:rPr>
        <w:t>招  标 单 位：</w:t>
      </w:r>
      <w:r>
        <w:rPr>
          <w:rFonts w:hint="eastAsia" w:ascii="宋体" w:hAnsi="宋体" w:eastAsia="宋体" w:cs="宋体"/>
          <w:snapToGrid w:val="0"/>
          <w:color w:val="000000"/>
          <w:spacing w:val="-6"/>
          <w:kern w:val="0"/>
          <w:sz w:val="30"/>
          <w:szCs w:val="30"/>
          <w:u w:val="single"/>
          <w:lang w:val="en-US" w:eastAsia="zh-CN"/>
        </w:rPr>
        <w:t xml:space="preserve"> 广州市增城区中新镇人民政府   </w:t>
      </w:r>
      <w:r>
        <w:rPr>
          <w:rFonts w:ascii="宋体" w:hAnsi="宋体" w:eastAsia="宋体" w:cs="宋体"/>
          <w:snapToGrid w:val="0"/>
          <w:color w:val="000000"/>
          <w:spacing w:val="-6"/>
          <w:kern w:val="0"/>
          <w:sz w:val="30"/>
          <w:szCs w:val="30"/>
          <w:u w:val="none" w:color="auto"/>
        </w:rPr>
        <w:t xml:space="preserve">                                      </w:t>
      </w:r>
      <w:r>
        <w:rPr>
          <w:rFonts w:ascii="宋体" w:hAnsi="宋体" w:eastAsia="宋体" w:cs="宋体"/>
          <w:snapToGrid w:val="0"/>
          <w:color w:val="000000"/>
          <w:spacing w:val="-6"/>
          <w:kern w:val="0"/>
          <w:sz w:val="30"/>
          <w:szCs w:val="30"/>
        </w:rPr>
        <w:t xml:space="preserve"> </w:t>
      </w:r>
    </w:p>
    <w:p>
      <w:pPr>
        <w:widowControl/>
        <w:kinsoku w:val="0"/>
        <w:autoSpaceDE w:val="0"/>
        <w:autoSpaceDN w:val="0"/>
        <w:adjustRightInd w:val="0"/>
        <w:snapToGrid w:val="0"/>
        <w:spacing w:before="98" w:line="382" w:lineRule="auto"/>
        <w:ind w:left="944" w:right="501" w:hanging="3"/>
        <w:jc w:val="left"/>
        <w:textAlignment w:val="baseline"/>
        <w:rPr>
          <w:rFonts w:ascii="宋体" w:hAnsi="宋体" w:eastAsia="宋体" w:cs="宋体"/>
          <w:snapToGrid w:val="0"/>
          <w:color w:val="000000"/>
          <w:spacing w:val="-6"/>
          <w:kern w:val="0"/>
          <w:sz w:val="30"/>
          <w:szCs w:val="30"/>
        </w:rPr>
      </w:pPr>
      <w:r>
        <w:rPr>
          <w:rFonts w:ascii="宋体" w:hAnsi="宋体" w:eastAsia="宋体" w:cs="宋体"/>
          <w:snapToGrid w:val="0"/>
          <w:color w:val="000000"/>
          <w:spacing w:val="-6"/>
          <w:kern w:val="0"/>
          <w:sz w:val="30"/>
          <w:szCs w:val="30"/>
        </w:rPr>
        <w:t>招标代理单位：</w:t>
      </w:r>
      <w:r>
        <w:rPr>
          <w:rFonts w:hint="eastAsia" w:ascii="宋体" w:hAnsi="宋体" w:eastAsia="宋体" w:cs="宋体"/>
          <w:snapToGrid w:val="0"/>
          <w:color w:val="000000"/>
          <w:spacing w:val="-6"/>
          <w:kern w:val="0"/>
          <w:sz w:val="30"/>
          <w:szCs w:val="30"/>
          <w:u w:val="single"/>
          <w:lang w:val="en-US" w:eastAsia="zh-CN"/>
        </w:rPr>
        <w:t xml:space="preserve"> 广州瑞源建设工程管理有限公司 </w:t>
      </w:r>
      <w:r>
        <w:rPr>
          <w:rFonts w:hint="eastAsia" w:ascii="宋体" w:hAnsi="宋体" w:eastAsia="宋体" w:cs="宋体"/>
          <w:snapToGrid w:val="0"/>
          <w:color w:val="000000"/>
          <w:spacing w:val="-6"/>
          <w:kern w:val="0"/>
          <w:sz w:val="30"/>
          <w:szCs w:val="30"/>
          <w:u w:val="none"/>
          <w:lang w:val="en-US" w:eastAsia="zh-CN"/>
        </w:rPr>
        <w:t xml:space="preserve">            </w:t>
      </w:r>
      <w:r>
        <w:rPr>
          <w:rFonts w:hint="eastAsia" w:ascii="宋体" w:hAnsi="宋体" w:eastAsia="宋体" w:cs="宋体"/>
          <w:snapToGrid w:val="0"/>
          <w:color w:val="000000"/>
          <w:spacing w:val="-6"/>
          <w:kern w:val="0"/>
          <w:sz w:val="30"/>
          <w:szCs w:val="30"/>
          <w:lang w:val="en-US" w:eastAsia="zh-CN"/>
        </w:rPr>
        <w:t xml:space="preserve">    </w:t>
      </w:r>
      <w:r>
        <w:rPr>
          <w:rFonts w:ascii="宋体" w:hAnsi="宋体" w:eastAsia="宋体" w:cs="宋体"/>
          <w:snapToGrid w:val="0"/>
          <w:color w:val="000000"/>
          <w:spacing w:val="-6"/>
          <w:kern w:val="0"/>
          <w:sz w:val="30"/>
          <w:szCs w:val="30"/>
          <w:u w:val="none" w:color="auto"/>
        </w:rPr>
        <w:t xml:space="preserve">                                      </w:t>
      </w:r>
    </w:p>
    <w:p>
      <w:pPr>
        <w:widowControl/>
        <w:kinsoku w:val="0"/>
        <w:autoSpaceDE w:val="0"/>
        <w:autoSpaceDN w:val="0"/>
        <w:adjustRightInd w:val="0"/>
        <w:snapToGrid w:val="0"/>
        <w:spacing w:before="98" w:line="382" w:lineRule="auto"/>
        <w:ind w:left="944" w:right="501" w:hanging="3"/>
        <w:jc w:val="left"/>
        <w:textAlignment w:val="baseline"/>
        <w:rPr>
          <w:color w:val="auto"/>
        </w:rPr>
        <w:sectPr>
          <w:footerReference r:id="rId3" w:type="default"/>
          <w:pgSz w:w="11907" w:h="16839"/>
          <w:pgMar w:top="1106" w:right="1387" w:bottom="1070" w:left="1390" w:header="1092" w:footer="907" w:gutter="0"/>
          <w:cols w:space="720" w:num="1"/>
        </w:sectPr>
      </w:pPr>
      <w:r>
        <w:rPr>
          <w:rFonts w:ascii="宋体" w:hAnsi="宋体" w:eastAsia="宋体" w:cs="宋体"/>
          <w:snapToGrid w:val="0"/>
          <w:color w:val="000000"/>
          <w:spacing w:val="-6"/>
          <w:kern w:val="0"/>
          <w:sz w:val="30"/>
          <w:szCs w:val="30"/>
        </w:rPr>
        <w:t>日        期：</w:t>
      </w:r>
      <w:r>
        <w:rPr>
          <w:rFonts w:ascii="宋体" w:hAnsi="宋体" w:eastAsia="宋体" w:cs="宋体"/>
          <w:snapToGrid w:val="0"/>
          <w:color w:val="000000"/>
          <w:spacing w:val="-6"/>
          <w:kern w:val="0"/>
          <w:sz w:val="30"/>
          <w:szCs w:val="30"/>
          <w:u w:val="none" w:color="auto"/>
        </w:rPr>
        <w:t xml:space="preserve"> </w:t>
      </w:r>
      <w:r>
        <w:rPr>
          <w:rFonts w:ascii="宋体" w:hAnsi="宋体" w:eastAsia="宋体" w:cs="宋体"/>
          <w:snapToGrid w:val="0"/>
          <w:color w:val="000000"/>
          <w:spacing w:val="-6"/>
          <w:kern w:val="0"/>
          <w:sz w:val="30"/>
          <w:szCs w:val="30"/>
          <w:u w:val="single" w:color="auto"/>
        </w:rPr>
        <w:t xml:space="preserve">  </w:t>
      </w:r>
      <w:r>
        <w:rPr>
          <w:rFonts w:hint="eastAsia" w:ascii="宋体" w:hAnsi="宋体" w:eastAsia="宋体" w:cs="宋体"/>
          <w:snapToGrid w:val="0"/>
          <w:color w:val="000000"/>
          <w:spacing w:val="-6"/>
          <w:kern w:val="0"/>
          <w:sz w:val="30"/>
          <w:szCs w:val="30"/>
          <w:u w:val="single"/>
          <w:lang w:val="en-US" w:eastAsia="zh-CN"/>
        </w:rPr>
        <w:t>2023</w:t>
      </w:r>
      <w:r>
        <w:rPr>
          <w:rFonts w:ascii="宋体" w:hAnsi="宋体" w:eastAsia="宋体" w:cs="宋体"/>
          <w:snapToGrid w:val="0"/>
          <w:color w:val="000000"/>
          <w:spacing w:val="-6"/>
          <w:kern w:val="0"/>
          <w:sz w:val="30"/>
          <w:szCs w:val="30"/>
          <w:u w:val="single" w:color="auto"/>
        </w:rPr>
        <w:t xml:space="preserve">  </w:t>
      </w:r>
      <w:r>
        <w:rPr>
          <w:rFonts w:ascii="宋体" w:hAnsi="宋体" w:eastAsia="宋体" w:cs="宋体"/>
          <w:snapToGrid w:val="0"/>
          <w:color w:val="000000"/>
          <w:spacing w:val="-6"/>
          <w:kern w:val="0"/>
          <w:sz w:val="30"/>
          <w:szCs w:val="30"/>
        </w:rPr>
        <w:t>年</w:t>
      </w:r>
      <w:r>
        <w:rPr>
          <w:rFonts w:hint="eastAsia" w:ascii="宋体" w:hAnsi="宋体" w:eastAsia="宋体" w:cs="宋体"/>
          <w:snapToGrid w:val="0"/>
          <w:color w:val="000000"/>
          <w:spacing w:val="-6"/>
          <w:kern w:val="0"/>
          <w:sz w:val="30"/>
          <w:szCs w:val="30"/>
          <w:lang w:val="en-US" w:eastAsia="zh-CN"/>
        </w:rPr>
        <w:t xml:space="preserve"> </w:t>
      </w:r>
      <w:r>
        <w:rPr>
          <w:rFonts w:hint="eastAsia" w:ascii="宋体" w:hAnsi="宋体" w:eastAsia="宋体" w:cs="宋体"/>
          <w:snapToGrid w:val="0"/>
          <w:color w:val="000000"/>
          <w:spacing w:val="-6"/>
          <w:kern w:val="0"/>
          <w:sz w:val="30"/>
          <w:szCs w:val="30"/>
          <w:u w:val="single"/>
          <w:lang w:val="en-US" w:eastAsia="zh-CN"/>
        </w:rPr>
        <w:t xml:space="preserve"> 0</w:t>
      </w:r>
      <w:r>
        <w:rPr>
          <w:rFonts w:hint="eastAsia" w:ascii="宋体" w:hAnsi="宋体" w:cs="宋体"/>
          <w:snapToGrid w:val="0"/>
          <w:color w:val="000000"/>
          <w:spacing w:val="-6"/>
          <w:kern w:val="0"/>
          <w:sz w:val="30"/>
          <w:szCs w:val="30"/>
          <w:u w:val="single"/>
          <w:lang w:val="en-US" w:eastAsia="zh-CN"/>
        </w:rPr>
        <w:t>9</w:t>
      </w:r>
      <w:r>
        <w:rPr>
          <w:rFonts w:ascii="宋体" w:hAnsi="宋体" w:eastAsia="宋体" w:cs="宋体"/>
          <w:snapToGrid w:val="0"/>
          <w:color w:val="000000"/>
          <w:spacing w:val="-6"/>
          <w:kern w:val="0"/>
          <w:sz w:val="30"/>
          <w:szCs w:val="30"/>
          <w:u w:val="single" w:color="auto"/>
        </w:rPr>
        <w:t xml:space="preserve"> </w:t>
      </w:r>
      <w:r>
        <w:rPr>
          <w:rFonts w:hint="eastAsia" w:ascii="宋体" w:hAnsi="宋体" w:eastAsia="宋体" w:cs="宋体"/>
          <w:snapToGrid w:val="0"/>
          <w:color w:val="000000"/>
          <w:spacing w:val="-6"/>
          <w:kern w:val="0"/>
          <w:sz w:val="30"/>
          <w:szCs w:val="30"/>
          <w:u w:val="none"/>
          <w:lang w:val="en-US" w:eastAsia="zh-CN"/>
        </w:rPr>
        <w:t xml:space="preserve"> </w:t>
      </w:r>
      <w:r>
        <w:rPr>
          <w:rFonts w:ascii="宋体" w:hAnsi="宋体" w:eastAsia="宋体" w:cs="宋体"/>
          <w:snapToGrid w:val="0"/>
          <w:color w:val="000000"/>
          <w:spacing w:val="-6"/>
          <w:kern w:val="0"/>
          <w:sz w:val="30"/>
          <w:szCs w:val="30"/>
        </w:rPr>
        <w:t>月</w:t>
      </w:r>
    </w:p>
    <w:p>
      <w:pPr>
        <w:jc w:val="center"/>
        <w:rPr>
          <w:rStyle w:val="37"/>
          <w:b/>
          <w:bCs/>
          <w:sz w:val="28"/>
          <w:szCs w:val="28"/>
        </w:rPr>
      </w:pPr>
      <w:bookmarkStart w:id="0" w:name="_Toc2272545"/>
      <w:bookmarkStart w:id="1" w:name="_Toc21525489"/>
      <w:r>
        <w:rPr>
          <w:rStyle w:val="37"/>
          <w:rFonts w:hint="eastAsia"/>
          <w:b/>
          <w:bCs/>
          <w:sz w:val="28"/>
          <w:szCs w:val="28"/>
        </w:rPr>
        <w:t>目录</w:t>
      </w:r>
    </w:p>
    <w:p>
      <w:pPr>
        <w:pStyle w:val="24"/>
        <w:tabs>
          <w:tab w:val="right" w:leader="dot" w:pos="9070"/>
          <w:tab w:val="clear" w:pos="9060"/>
        </w:tabs>
        <w:rPr>
          <w:rStyle w:val="37"/>
        </w:rPr>
      </w:pPr>
      <w:r>
        <w:rPr>
          <w:rStyle w:val="37"/>
        </w:rPr>
        <w:fldChar w:fldCharType="begin"/>
      </w:r>
      <w:r>
        <w:rPr>
          <w:rStyle w:val="37"/>
        </w:rPr>
        <w:instrText xml:space="preserve"> TOC \o "1-3" \h \z \u </w:instrText>
      </w:r>
      <w:r>
        <w:rPr>
          <w:rStyle w:val="37"/>
        </w:rPr>
        <w:fldChar w:fldCharType="separate"/>
      </w:r>
      <w:r>
        <w:rPr>
          <w:rStyle w:val="37"/>
        </w:rPr>
        <w:fldChar w:fldCharType="begin"/>
      </w:r>
      <w:r>
        <w:rPr>
          <w:rStyle w:val="37"/>
        </w:rPr>
        <w:instrText xml:space="preserve"> HYPERLINK \l _Toc19679 </w:instrText>
      </w:r>
      <w:r>
        <w:rPr>
          <w:rStyle w:val="37"/>
        </w:rPr>
        <w:fldChar w:fldCharType="separate"/>
      </w:r>
      <w:r>
        <w:rPr>
          <w:rStyle w:val="37"/>
          <w:rFonts w:hint="eastAsia"/>
        </w:rPr>
        <w:t>第一章</w:t>
      </w:r>
      <w:r>
        <w:rPr>
          <w:rStyle w:val="37"/>
        </w:rPr>
        <w:t xml:space="preserve">  </w:t>
      </w:r>
      <w:r>
        <w:rPr>
          <w:rStyle w:val="37"/>
          <w:rFonts w:hint="eastAsia"/>
        </w:rPr>
        <w:t>投标须知</w:t>
      </w:r>
      <w:r>
        <w:rPr>
          <w:rStyle w:val="37"/>
        </w:rPr>
        <w:tab/>
      </w:r>
      <w:r>
        <w:rPr>
          <w:rStyle w:val="37"/>
        </w:rPr>
        <w:fldChar w:fldCharType="begin"/>
      </w:r>
      <w:r>
        <w:rPr>
          <w:rStyle w:val="37"/>
        </w:rPr>
        <w:instrText xml:space="preserve"> PAGEREF _Toc19679 \h </w:instrText>
      </w:r>
      <w:r>
        <w:rPr>
          <w:rStyle w:val="37"/>
        </w:rPr>
        <w:fldChar w:fldCharType="separate"/>
      </w:r>
      <w:r>
        <w:rPr>
          <w:rStyle w:val="37"/>
        </w:rPr>
        <w:t>1</w:t>
      </w:r>
      <w:r>
        <w:rPr>
          <w:rStyle w:val="37"/>
        </w:rPr>
        <w:fldChar w:fldCharType="end"/>
      </w:r>
      <w:r>
        <w:rPr>
          <w:rStyle w:val="37"/>
        </w:rPr>
        <w:fldChar w:fldCharType="end"/>
      </w:r>
    </w:p>
    <w:p>
      <w:pPr>
        <w:pStyle w:val="27"/>
        <w:tabs>
          <w:tab w:val="right" w:leader="dot" w:pos="9070"/>
          <w:tab w:val="clear" w:pos="9060"/>
        </w:tabs>
        <w:rPr>
          <w:rStyle w:val="37"/>
        </w:rPr>
      </w:pPr>
      <w:r>
        <w:rPr>
          <w:rStyle w:val="37"/>
        </w:rPr>
        <w:fldChar w:fldCharType="begin"/>
      </w:r>
      <w:r>
        <w:rPr>
          <w:rStyle w:val="37"/>
        </w:rPr>
        <w:instrText xml:space="preserve"> HYPERLINK \l _Toc13040 </w:instrText>
      </w:r>
      <w:r>
        <w:rPr>
          <w:rStyle w:val="37"/>
        </w:rPr>
        <w:fldChar w:fldCharType="separate"/>
      </w:r>
      <w:r>
        <w:rPr>
          <w:rStyle w:val="37"/>
          <w:rFonts w:hint="eastAsia"/>
        </w:rPr>
        <w:t>一、投标须知前附表</w:t>
      </w:r>
      <w:r>
        <w:rPr>
          <w:rStyle w:val="37"/>
        </w:rPr>
        <w:tab/>
      </w:r>
      <w:r>
        <w:rPr>
          <w:rStyle w:val="37"/>
        </w:rPr>
        <w:fldChar w:fldCharType="begin"/>
      </w:r>
      <w:r>
        <w:rPr>
          <w:rStyle w:val="37"/>
        </w:rPr>
        <w:instrText xml:space="preserve"> PAGEREF _Toc13040 \h </w:instrText>
      </w:r>
      <w:r>
        <w:rPr>
          <w:rStyle w:val="37"/>
        </w:rPr>
        <w:fldChar w:fldCharType="separate"/>
      </w:r>
      <w:r>
        <w:rPr>
          <w:rStyle w:val="37"/>
        </w:rPr>
        <w:t>1</w:t>
      </w:r>
      <w:r>
        <w:rPr>
          <w:rStyle w:val="37"/>
        </w:rPr>
        <w:fldChar w:fldCharType="end"/>
      </w:r>
      <w:r>
        <w:rPr>
          <w:rStyle w:val="37"/>
        </w:rPr>
        <w:fldChar w:fldCharType="end"/>
      </w:r>
    </w:p>
    <w:p>
      <w:pPr>
        <w:pStyle w:val="27"/>
        <w:tabs>
          <w:tab w:val="right" w:leader="dot" w:pos="9070"/>
          <w:tab w:val="clear" w:pos="9060"/>
        </w:tabs>
        <w:rPr>
          <w:rStyle w:val="37"/>
        </w:rPr>
      </w:pPr>
      <w:r>
        <w:rPr>
          <w:rStyle w:val="37"/>
        </w:rPr>
        <w:fldChar w:fldCharType="begin"/>
      </w:r>
      <w:r>
        <w:rPr>
          <w:rStyle w:val="37"/>
        </w:rPr>
        <w:instrText xml:space="preserve"> HYPERLINK \l _Toc18230 </w:instrText>
      </w:r>
      <w:r>
        <w:rPr>
          <w:rStyle w:val="37"/>
        </w:rPr>
        <w:fldChar w:fldCharType="separate"/>
      </w:r>
      <w:r>
        <w:rPr>
          <w:rStyle w:val="37"/>
          <w:rFonts w:hint="eastAsia"/>
        </w:rPr>
        <w:t>二、投标须知修改表</w:t>
      </w:r>
      <w:r>
        <w:rPr>
          <w:rStyle w:val="37"/>
        </w:rPr>
        <w:tab/>
      </w:r>
      <w:r>
        <w:rPr>
          <w:rStyle w:val="37"/>
        </w:rPr>
        <w:fldChar w:fldCharType="begin"/>
      </w:r>
      <w:r>
        <w:rPr>
          <w:rStyle w:val="37"/>
        </w:rPr>
        <w:instrText xml:space="preserve"> PAGEREF _Toc18230 \h </w:instrText>
      </w:r>
      <w:r>
        <w:rPr>
          <w:rStyle w:val="37"/>
        </w:rPr>
        <w:fldChar w:fldCharType="separate"/>
      </w:r>
      <w:r>
        <w:rPr>
          <w:rStyle w:val="37"/>
        </w:rPr>
        <w:t>6</w:t>
      </w:r>
      <w:r>
        <w:rPr>
          <w:rStyle w:val="37"/>
        </w:rPr>
        <w:fldChar w:fldCharType="end"/>
      </w:r>
      <w:r>
        <w:rPr>
          <w:rStyle w:val="37"/>
        </w:rPr>
        <w:fldChar w:fldCharType="end"/>
      </w:r>
    </w:p>
    <w:p>
      <w:pPr>
        <w:pStyle w:val="27"/>
        <w:tabs>
          <w:tab w:val="right" w:leader="dot" w:pos="9070"/>
          <w:tab w:val="clear" w:pos="9060"/>
        </w:tabs>
        <w:rPr>
          <w:rStyle w:val="37"/>
        </w:rPr>
      </w:pPr>
      <w:r>
        <w:rPr>
          <w:rStyle w:val="37"/>
        </w:rPr>
        <w:fldChar w:fldCharType="begin"/>
      </w:r>
      <w:r>
        <w:rPr>
          <w:rStyle w:val="37"/>
        </w:rPr>
        <w:instrText xml:space="preserve"> HYPERLINK \l _Toc27304 </w:instrText>
      </w:r>
      <w:r>
        <w:rPr>
          <w:rStyle w:val="37"/>
        </w:rPr>
        <w:fldChar w:fldCharType="separate"/>
      </w:r>
      <w:r>
        <w:rPr>
          <w:rStyle w:val="37"/>
          <w:rFonts w:hint="eastAsia"/>
        </w:rPr>
        <w:t>三、投标须知通用条款</w:t>
      </w:r>
      <w:r>
        <w:rPr>
          <w:rStyle w:val="37"/>
        </w:rPr>
        <w:tab/>
      </w:r>
      <w:r>
        <w:rPr>
          <w:rStyle w:val="37"/>
        </w:rPr>
        <w:fldChar w:fldCharType="begin"/>
      </w:r>
      <w:r>
        <w:rPr>
          <w:rStyle w:val="37"/>
        </w:rPr>
        <w:instrText xml:space="preserve"> PAGEREF _Toc27304 \h </w:instrText>
      </w:r>
      <w:r>
        <w:rPr>
          <w:rStyle w:val="37"/>
        </w:rPr>
        <w:fldChar w:fldCharType="separate"/>
      </w:r>
      <w:r>
        <w:rPr>
          <w:rStyle w:val="37"/>
        </w:rPr>
        <w:t>18</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_Toc1139 </w:instrText>
      </w:r>
      <w:r>
        <w:rPr>
          <w:rStyle w:val="37"/>
        </w:rPr>
        <w:fldChar w:fldCharType="separate"/>
      </w:r>
      <w:r>
        <w:rPr>
          <w:rStyle w:val="37"/>
          <w:rFonts w:hint="eastAsia"/>
        </w:rPr>
        <w:t>（一）总则</w:t>
      </w:r>
      <w:r>
        <w:rPr>
          <w:rStyle w:val="37"/>
        </w:rPr>
        <w:tab/>
      </w:r>
      <w:r>
        <w:rPr>
          <w:rStyle w:val="37"/>
        </w:rPr>
        <w:fldChar w:fldCharType="begin"/>
      </w:r>
      <w:r>
        <w:rPr>
          <w:rStyle w:val="37"/>
        </w:rPr>
        <w:instrText xml:space="preserve"> PAGEREF _Toc1139 \h </w:instrText>
      </w:r>
      <w:r>
        <w:rPr>
          <w:rStyle w:val="37"/>
        </w:rPr>
        <w:fldChar w:fldCharType="separate"/>
      </w:r>
      <w:r>
        <w:rPr>
          <w:rStyle w:val="37"/>
        </w:rPr>
        <w:t>18</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_Toc31708 </w:instrText>
      </w:r>
      <w:r>
        <w:rPr>
          <w:rStyle w:val="37"/>
        </w:rPr>
        <w:fldChar w:fldCharType="separate"/>
      </w:r>
      <w:r>
        <w:rPr>
          <w:rStyle w:val="37"/>
          <w:rFonts w:hint="eastAsia"/>
        </w:rPr>
        <w:t>（二）招标文件</w:t>
      </w:r>
      <w:r>
        <w:rPr>
          <w:rStyle w:val="37"/>
        </w:rPr>
        <w:tab/>
      </w:r>
      <w:r>
        <w:rPr>
          <w:rStyle w:val="37"/>
        </w:rPr>
        <w:fldChar w:fldCharType="begin"/>
      </w:r>
      <w:r>
        <w:rPr>
          <w:rStyle w:val="37"/>
        </w:rPr>
        <w:instrText xml:space="preserve"> PAGEREF _Toc31708 \h </w:instrText>
      </w:r>
      <w:r>
        <w:rPr>
          <w:rStyle w:val="37"/>
        </w:rPr>
        <w:fldChar w:fldCharType="separate"/>
      </w:r>
      <w:r>
        <w:rPr>
          <w:rStyle w:val="37"/>
        </w:rPr>
        <w:t>19</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_Toc5048 </w:instrText>
      </w:r>
      <w:r>
        <w:rPr>
          <w:rStyle w:val="37"/>
        </w:rPr>
        <w:fldChar w:fldCharType="separate"/>
      </w:r>
      <w:r>
        <w:rPr>
          <w:rStyle w:val="37"/>
          <w:rFonts w:hint="eastAsia"/>
        </w:rPr>
        <w:t>（三）投标文件的编制</w:t>
      </w:r>
      <w:r>
        <w:rPr>
          <w:rStyle w:val="37"/>
        </w:rPr>
        <w:tab/>
      </w:r>
      <w:r>
        <w:rPr>
          <w:rStyle w:val="37"/>
        </w:rPr>
        <w:fldChar w:fldCharType="begin"/>
      </w:r>
      <w:r>
        <w:rPr>
          <w:rStyle w:val="37"/>
        </w:rPr>
        <w:instrText xml:space="preserve"> PAGEREF _Toc5048 \h </w:instrText>
      </w:r>
      <w:r>
        <w:rPr>
          <w:rStyle w:val="37"/>
        </w:rPr>
        <w:fldChar w:fldCharType="separate"/>
      </w:r>
      <w:r>
        <w:rPr>
          <w:rStyle w:val="37"/>
        </w:rPr>
        <w:t>21</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_Toc11406 </w:instrText>
      </w:r>
      <w:r>
        <w:rPr>
          <w:rStyle w:val="37"/>
        </w:rPr>
        <w:fldChar w:fldCharType="separate"/>
      </w:r>
      <w:r>
        <w:rPr>
          <w:rStyle w:val="37"/>
          <w:rFonts w:hint="eastAsia"/>
        </w:rPr>
        <w:t>（四）投标文件的提交</w:t>
      </w:r>
      <w:r>
        <w:rPr>
          <w:rStyle w:val="37"/>
        </w:rPr>
        <w:tab/>
      </w:r>
      <w:r>
        <w:rPr>
          <w:rStyle w:val="37"/>
        </w:rPr>
        <w:fldChar w:fldCharType="begin"/>
      </w:r>
      <w:r>
        <w:rPr>
          <w:rStyle w:val="37"/>
        </w:rPr>
        <w:instrText xml:space="preserve"> PAGEREF _Toc11406 \h </w:instrText>
      </w:r>
      <w:r>
        <w:rPr>
          <w:rStyle w:val="37"/>
        </w:rPr>
        <w:fldChar w:fldCharType="separate"/>
      </w:r>
      <w:r>
        <w:rPr>
          <w:rStyle w:val="37"/>
        </w:rPr>
        <w:t>27</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_Toc28858 </w:instrText>
      </w:r>
      <w:r>
        <w:rPr>
          <w:rStyle w:val="37"/>
        </w:rPr>
        <w:fldChar w:fldCharType="separate"/>
      </w:r>
      <w:r>
        <w:rPr>
          <w:rStyle w:val="37"/>
          <w:rFonts w:hint="eastAsia"/>
        </w:rPr>
        <w:t>（五）开标、评标、定标及合同签定</w:t>
      </w:r>
      <w:r>
        <w:rPr>
          <w:rStyle w:val="37"/>
        </w:rPr>
        <w:tab/>
      </w:r>
      <w:r>
        <w:rPr>
          <w:rStyle w:val="37"/>
        </w:rPr>
        <w:fldChar w:fldCharType="begin"/>
      </w:r>
      <w:r>
        <w:rPr>
          <w:rStyle w:val="37"/>
        </w:rPr>
        <w:instrText xml:space="preserve"> PAGEREF _Toc28858 \h </w:instrText>
      </w:r>
      <w:r>
        <w:rPr>
          <w:rStyle w:val="37"/>
        </w:rPr>
        <w:fldChar w:fldCharType="separate"/>
      </w:r>
      <w:r>
        <w:rPr>
          <w:rStyle w:val="37"/>
        </w:rPr>
        <w:t>28</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_Toc10333 </w:instrText>
      </w:r>
      <w:r>
        <w:rPr>
          <w:rStyle w:val="37"/>
        </w:rPr>
        <w:fldChar w:fldCharType="separate"/>
      </w:r>
      <w:r>
        <w:rPr>
          <w:rStyle w:val="37"/>
          <w:rFonts w:hint="eastAsia"/>
        </w:rPr>
        <w:t>第二章  开标、评标及定标办法</w:t>
      </w:r>
      <w:r>
        <w:rPr>
          <w:rStyle w:val="37"/>
        </w:rPr>
        <w:tab/>
      </w:r>
      <w:r>
        <w:rPr>
          <w:rStyle w:val="37"/>
        </w:rPr>
        <w:fldChar w:fldCharType="begin"/>
      </w:r>
      <w:r>
        <w:rPr>
          <w:rStyle w:val="37"/>
        </w:rPr>
        <w:instrText xml:space="preserve"> PAGEREF _Toc10333 \h </w:instrText>
      </w:r>
      <w:r>
        <w:rPr>
          <w:rStyle w:val="37"/>
        </w:rPr>
        <w:fldChar w:fldCharType="separate"/>
      </w:r>
      <w:r>
        <w:rPr>
          <w:rStyle w:val="37"/>
        </w:rPr>
        <w:t>31</w:t>
      </w:r>
      <w:r>
        <w:rPr>
          <w:rStyle w:val="37"/>
        </w:rPr>
        <w:fldChar w:fldCharType="end"/>
      </w:r>
      <w:r>
        <w:rPr>
          <w:rStyle w:val="37"/>
        </w:rPr>
        <w:fldChar w:fldCharType="end"/>
      </w:r>
    </w:p>
    <w:p>
      <w:pPr>
        <w:pStyle w:val="27"/>
        <w:tabs>
          <w:tab w:val="right" w:leader="dot" w:pos="9070"/>
          <w:tab w:val="clear" w:pos="9060"/>
        </w:tabs>
        <w:rPr>
          <w:rStyle w:val="37"/>
        </w:rPr>
      </w:pPr>
      <w:r>
        <w:rPr>
          <w:rStyle w:val="37"/>
        </w:rPr>
        <w:fldChar w:fldCharType="begin"/>
      </w:r>
      <w:r>
        <w:rPr>
          <w:rStyle w:val="37"/>
        </w:rPr>
        <w:instrText xml:space="preserve"> HYPERLINK \l _Toc9331 </w:instrText>
      </w:r>
      <w:r>
        <w:rPr>
          <w:rStyle w:val="37"/>
        </w:rPr>
        <w:fldChar w:fldCharType="separate"/>
      </w:r>
      <w:r>
        <w:rPr>
          <w:rStyle w:val="37"/>
          <w:rFonts w:hint="eastAsia"/>
        </w:rPr>
        <w:t>一、开标、评标及定标办法修改表</w:t>
      </w:r>
      <w:r>
        <w:rPr>
          <w:rStyle w:val="37"/>
        </w:rPr>
        <w:tab/>
      </w:r>
      <w:r>
        <w:rPr>
          <w:rStyle w:val="37"/>
        </w:rPr>
        <w:fldChar w:fldCharType="begin"/>
      </w:r>
      <w:r>
        <w:rPr>
          <w:rStyle w:val="37"/>
        </w:rPr>
        <w:instrText xml:space="preserve"> PAGEREF _Toc9331 \h </w:instrText>
      </w:r>
      <w:r>
        <w:rPr>
          <w:rStyle w:val="37"/>
        </w:rPr>
        <w:fldChar w:fldCharType="separate"/>
      </w:r>
      <w:r>
        <w:rPr>
          <w:rStyle w:val="37"/>
        </w:rPr>
        <w:t>31</w:t>
      </w:r>
      <w:r>
        <w:rPr>
          <w:rStyle w:val="37"/>
        </w:rPr>
        <w:fldChar w:fldCharType="end"/>
      </w:r>
      <w:r>
        <w:rPr>
          <w:rStyle w:val="37"/>
        </w:rPr>
        <w:fldChar w:fldCharType="end"/>
      </w:r>
    </w:p>
    <w:p>
      <w:pPr>
        <w:pStyle w:val="27"/>
        <w:tabs>
          <w:tab w:val="right" w:leader="dot" w:pos="9070"/>
          <w:tab w:val="clear" w:pos="9060"/>
        </w:tabs>
        <w:rPr>
          <w:rStyle w:val="37"/>
        </w:rPr>
      </w:pPr>
      <w:r>
        <w:rPr>
          <w:rStyle w:val="37"/>
        </w:rPr>
        <w:fldChar w:fldCharType="begin"/>
      </w:r>
      <w:r>
        <w:rPr>
          <w:rStyle w:val="37"/>
        </w:rPr>
        <w:instrText xml:space="preserve"> HYPERLINK \l _Toc30943 </w:instrText>
      </w:r>
      <w:r>
        <w:rPr>
          <w:rStyle w:val="37"/>
        </w:rPr>
        <w:fldChar w:fldCharType="separate"/>
      </w:r>
      <w:r>
        <w:rPr>
          <w:rStyle w:val="37"/>
          <w:rFonts w:hint="eastAsia"/>
        </w:rPr>
        <w:t>二、开标、评标及定标办法通用条款</w:t>
      </w:r>
      <w:r>
        <w:rPr>
          <w:rStyle w:val="37"/>
        </w:rPr>
        <w:tab/>
      </w:r>
      <w:r>
        <w:rPr>
          <w:rStyle w:val="37"/>
        </w:rPr>
        <w:fldChar w:fldCharType="begin"/>
      </w:r>
      <w:r>
        <w:rPr>
          <w:rStyle w:val="37"/>
        </w:rPr>
        <w:instrText xml:space="preserve"> PAGEREF _Toc30943 \h </w:instrText>
      </w:r>
      <w:r>
        <w:rPr>
          <w:rStyle w:val="37"/>
        </w:rPr>
        <w:fldChar w:fldCharType="separate"/>
      </w:r>
      <w:r>
        <w:rPr>
          <w:rStyle w:val="37"/>
        </w:rPr>
        <w:t>36</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_Toc19585 </w:instrText>
      </w:r>
      <w:r>
        <w:rPr>
          <w:rStyle w:val="37"/>
        </w:rPr>
        <w:fldChar w:fldCharType="separate"/>
      </w:r>
      <w:r>
        <w:rPr>
          <w:rStyle w:val="37"/>
          <w:rFonts w:hint="eastAsia"/>
        </w:rPr>
        <w:t>（一）总则</w:t>
      </w:r>
      <w:r>
        <w:rPr>
          <w:rStyle w:val="37"/>
        </w:rPr>
        <w:tab/>
      </w:r>
      <w:r>
        <w:rPr>
          <w:rStyle w:val="37"/>
        </w:rPr>
        <w:fldChar w:fldCharType="begin"/>
      </w:r>
      <w:r>
        <w:rPr>
          <w:rStyle w:val="37"/>
        </w:rPr>
        <w:instrText xml:space="preserve"> PAGEREF _Toc19585 \h </w:instrText>
      </w:r>
      <w:r>
        <w:rPr>
          <w:rStyle w:val="37"/>
        </w:rPr>
        <w:fldChar w:fldCharType="separate"/>
      </w:r>
      <w:r>
        <w:rPr>
          <w:rStyle w:val="37"/>
        </w:rPr>
        <w:t>36</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_Toc7705 </w:instrText>
      </w:r>
      <w:r>
        <w:rPr>
          <w:rStyle w:val="37"/>
        </w:rPr>
        <w:fldChar w:fldCharType="separate"/>
      </w:r>
      <w:r>
        <w:rPr>
          <w:rStyle w:val="37"/>
          <w:rFonts w:hint="eastAsia"/>
        </w:rPr>
        <w:t>（二）开标评标办法程序和细则</w:t>
      </w:r>
      <w:r>
        <w:rPr>
          <w:rStyle w:val="37"/>
        </w:rPr>
        <w:tab/>
      </w:r>
      <w:r>
        <w:rPr>
          <w:rStyle w:val="37"/>
        </w:rPr>
        <w:fldChar w:fldCharType="begin"/>
      </w:r>
      <w:r>
        <w:rPr>
          <w:rStyle w:val="37"/>
        </w:rPr>
        <w:instrText xml:space="preserve"> PAGEREF _Toc7705 \h </w:instrText>
      </w:r>
      <w:r>
        <w:rPr>
          <w:rStyle w:val="37"/>
        </w:rPr>
        <w:fldChar w:fldCharType="separate"/>
      </w:r>
      <w:r>
        <w:rPr>
          <w:rStyle w:val="37"/>
        </w:rPr>
        <w:t>38</w:t>
      </w:r>
      <w:r>
        <w:rPr>
          <w:rStyle w:val="37"/>
        </w:rPr>
        <w:fldChar w:fldCharType="end"/>
      </w:r>
      <w:r>
        <w:rPr>
          <w:rStyle w:val="37"/>
        </w:rPr>
        <w:fldChar w:fldCharType="end"/>
      </w:r>
    </w:p>
    <w:p>
      <w:pPr>
        <w:pStyle w:val="17"/>
        <w:tabs>
          <w:tab w:val="right" w:leader="dot" w:pos="9070"/>
        </w:tabs>
        <w:rPr>
          <w:rStyle w:val="37"/>
        </w:rPr>
      </w:pPr>
      <w:r>
        <w:rPr>
          <w:rStyle w:val="37"/>
        </w:rPr>
        <w:fldChar w:fldCharType="begin"/>
      </w:r>
      <w:r>
        <w:rPr>
          <w:rStyle w:val="37"/>
        </w:rPr>
        <w:instrText xml:space="preserve"> HYPERLINK \l _Toc17991 </w:instrText>
      </w:r>
      <w:r>
        <w:rPr>
          <w:rStyle w:val="37"/>
        </w:rPr>
        <w:fldChar w:fldCharType="separate"/>
      </w:r>
      <w:r>
        <w:rPr>
          <w:rStyle w:val="37"/>
          <w:rFonts w:hint="eastAsia"/>
        </w:rPr>
        <w:t>可选办法七（适合综合评分法四，技术标与经济标同时开启）</w:t>
      </w:r>
      <w:r>
        <w:rPr>
          <w:rStyle w:val="37"/>
        </w:rPr>
        <w:tab/>
      </w:r>
      <w:r>
        <w:rPr>
          <w:rStyle w:val="37"/>
        </w:rPr>
        <w:fldChar w:fldCharType="begin"/>
      </w:r>
      <w:r>
        <w:rPr>
          <w:rStyle w:val="37"/>
        </w:rPr>
        <w:instrText xml:space="preserve"> PAGEREF _Toc17991 \h </w:instrText>
      </w:r>
      <w:r>
        <w:rPr>
          <w:rStyle w:val="37"/>
        </w:rPr>
        <w:fldChar w:fldCharType="separate"/>
      </w:r>
      <w:r>
        <w:rPr>
          <w:rStyle w:val="37"/>
        </w:rPr>
        <w:t>39</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_Toc12169 </w:instrText>
      </w:r>
      <w:r>
        <w:rPr>
          <w:rStyle w:val="37"/>
        </w:rPr>
        <w:fldChar w:fldCharType="separate"/>
      </w:r>
      <w:r>
        <w:rPr>
          <w:rStyle w:val="37"/>
          <w:rFonts w:hint="eastAsia"/>
        </w:rPr>
        <w:t>第三章</w:t>
      </w:r>
      <w:r>
        <w:rPr>
          <w:rStyle w:val="37"/>
        </w:rPr>
        <w:t xml:space="preserve">  </w:t>
      </w:r>
      <w:r>
        <w:rPr>
          <w:rStyle w:val="37"/>
          <w:rFonts w:hint="eastAsia"/>
        </w:rPr>
        <w:t>合同条款</w:t>
      </w:r>
      <w:r>
        <w:rPr>
          <w:rStyle w:val="37"/>
        </w:rPr>
        <w:tab/>
      </w:r>
      <w:r>
        <w:rPr>
          <w:rStyle w:val="37"/>
        </w:rPr>
        <w:fldChar w:fldCharType="begin"/>
      </w:r>
      <w:r>
        <w:rPr>
          <w:rStyle w:val="37"/>
        </w:rPr>
        <w:instrText xml:space="preserve"> PAGEREF _Toc12169 \h </w:instrText>
      </w:r>
      <w:r>
        <w:rPr>
          <w:rStyle w:val="37"/>
        </w:rPr>
        <w:fldChar w:fldCharType="separate"/>
      </w:r>
      <w:r>
        <w:rPr>
          <w:rStyle w:val="37"/>
        </w:rPr>
        <w:t>54</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_Toc25677 </w:instrText>
      </w:r>
      <w:r>
        <w:rPr>
          <w:rStyle w:val="37"/>
        </w:rPr>
        <w:fldChar w:fldCharType="separate"/>
      </w:r>
      <w:r>
        <w:rPr>
          <w:rStyle w:val="37"/>
          <w:rFonts w:hint="eastAsia"/>
        </w:rPr>
        <w:t>第四章</w:t>
      </w:r>
      <w:r>
        <w:rPr>
          <w:rStyle w:val="37"/>
        </w:rPr>
        <w:t xml:space="preserve">  </w:t>
      </w:r>
      <w:r>
        <w:rPr>
          <w:rStyle w:val="37"/>
          <w:rFonts w:hint="eastAsia"/>
        </w:rPr>
        <w:t>投标文件格式</w:t>
      </w:r>
      <w:r>
        <w:rPr>
          <w:rStyle w:val="37"/>
        </w:rPr>
        <w:tab/>
      </w:r>
      <w:r>
        <w:rPr>
          <w:rStyle w:val="37"/>
        </w:rPr>
        <w:fldChar w:fldCharType="begin"/>
      </w:r>
      <w:r>
        <w:rPr>
          <w:rStyle w:val="37"/>
        </w:rPr>
        <w:instrText xml:space="preserve"> PAGEREF _Toc25677 \h </w:instrText>
      </w:r>
      <w:r>
        <w:rPr>
          <w:rStyle w:val="37"/>
        </w:rPr>
        <w:fldChar w:fldCharType="separate"/>
      </w:r>
      <w:r>
        <w:rPr>
          <w:rStyle w:val="37"/>
        </w:rPr>
        <w:t>55</w:t>
      </w:r>
      <w:r>
        <w:rPr>
          <w:rStyle w:val="37"/>
        </w:rPr>
        <w:fldChar w:fldCharType="end"/>
      </w:r>
      <w:r>
        <w:rPr>
          <w:rStyle w:val="37"/>
        </w:rPr>
        <w:fldChar w:fldCharType="end"/>
      </w:r>
    </w:p>
    <w:p>
      <w:pPr>
        <w:pStyle w:val="27"/>
        <w:tabs>
          <w:tab w:val="right" w:leader="dot" w:pos="9070"/>
          <w:tab w:val="clear" w:pos="9060"/>
        </w:tabs>
        <w:rPr>
          <w:rStyle w:val="37"/>
        </w:rPr>
      </w:pPr>
      <w:r>
        <w:rPr>
          <w:rStyle w:val="37"/>
        </w:rPr>
        <w:fldChar w:fldCharType="begin"/>
      </w:r>
      <w:r>
        <w:rPr>
          <w:rStyle w:val="37"/>
        </w:rPr>
        <w:instrText xml:space="preserve"> HYPERLINK \l _Toc29333 </w:instrText>
      </w:r>
      <w:r>
        <w:rPr>
          <w:rStyle w:val="37"/>
        </w:rPr>
        <w:fldChar w:fldCharType="separate"/>
      </w:r>
      <w:r>
        <w:rPr>
          <w:rStyle w:val="37"/>
          <w:rFonts w:hint="eastAsia"/>
          <w:lang w:val="zh-CN"/>
        </w:rPr>
        <w:t>响应招标文件所附施工组织设计要点的承诺书</w:t>
      </w:r>
      <w:r>
        <w:rPr>
          <w:rStyle w:val="37"/>
        </w:rPr>
        <w:tab/>
      </w:r>
      <w:r>
        <w:rPr>
          <w:rStyle w:val="37"/>
        </w:rPr>
        <w:fldChar w:fldCharType="begin"/>
      </w:r>
      <w:r>
        <w:rPr>
          <w:rStyle w:val="37"/>
        </w:rPr>
        <w:instrText xml:space="preserve"> PAGEREF _Toc29333 \h </w:instrText>
      </w:r>
      <w:r>
        <w:rPr>
          <w:rStyle w:val="37"/>
        </w:rPr>
        <w:fldChar w:fldCharType="separate"/>
      </w:r>
      <w:r>
        <w:rPr>
          <w:rStyle w:val="37"/>
        </w:rPr>
        <w:t>59</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_Toc1908 </w:instrText>
      </w:r>
      <w:r>
        <w:rPr>
          <w:rStyle w:val="37"/>
        </w:rPr>
        <w:fldChar w:fldCharType="separate"/>
      </w:r>
      <w:r>
        <w:rPr>
          <w:rStyle w:val="37"/>
          <w:rFonts w:hint="eastAsia"/>
        </w:rPr>
        <w:t>第五章</w:t>
      </w:r>
      <w:r>
        <w:rPr>
          <w:rStyle w:val="37"/>
        </w:rPr>
        <w:t xml:space="preserve">  </w:t>
      </w:r>
      <w:r>
        <w:rPr>
          <w:rStyle w:val="37"/>
          <w:rFonts w:hint="eastAsia"/>
        </w:rPr>
        <w:t>技术条件（工程建设标准）</w:t>
      </w:r>
      <w:r>
        <w:rPr>
          <w:rStyle w:val="37"/>
        </w:rPr>
        <w:tab/>
      </w:r>
      <w:r>
        <w:rPr>
          <w:rStyle w:val="37"/>
        </w:rPr>
        <w:fldChar w:fldCharType="begin"/>
      </w:r>
      <w:r>
        <w:rPr>
          <w:rStyle w:val="37"/>
        </w:rPr>
        <w:instrText xml:space="preserve"> PAGEREF _Toc1908 \h </w:instrText>
      </w:r>
      <w:r>
        <w:rPr>
          <w:rStyle w:val="37"/>
        </w:rPr>
        <w:fldChar w:fldCharType="separate"/>
      </w:r>
      <w:r>
        <w:rPr>
          <w:rStyle w:val="37"/>
        </w:rPr>
        <w:t>67</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_Toc31070 </w:instrText>
      </w:r>
      <w:r>
        <w:rPr>
          <w:rStyle w:val="37"/>
        </w:rPr>
        <w:fldChar w:fldCharType="separate"/>
      </w:r>
      <w:r>
        <w:rPr>
          <w:rStyle w:val="37"/>
          <w:rFonts w:hint="eastAsia"/>
        </w:rPr>
        <w:t>第六章</w:t>
      </w:r>
      <w:r>
        <w:rPr>
          <w:rStyle w:val="37"/>
        </w:rPr>
        <w:t xml:space="preserve">  </w:t>
      </w:r>
      <w:r>
        <w:rPr>
          <w:rStyle w:val="37"/>
          <w:rFonts w:hint="eastAsia"/>
        </w:rPr>
        <w:t>图纸及勘察资料</w:t>
      </w:r>
      <w:r>
        <w:rPr>
          <w:rStyle w:val="37"/>
        </w:rPr>
        <w:tab/>
      </w:r>
      <w:r>
        <w:rPr>
          <w:rStyle w:val="37"/>
        </w:rPr>
        <w:fldChar w:fldCharType="begin"/>
      </w:r>
      <w:r>
        <w:rPr>
          <w:rStyle w:val="37"/>
        </w:rPr>
        <w:instrText xml:space="preserve"> PAGEREF _Toc31070 \h </w:instrText>
      </w:r>
      <w:r>
        <w:rPr>
          <w:rStyle w:val="37"/>
        </w:rPr>
        <w:fldChar w:fldCharType="separate"/>
      </w:r>
      <w:r>
        <w:rPr>
          <w:rStyle w:val="37"/>
        </w:rPr>
        <w:t>69</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_Toc762 </w:instrText>
      </w:r>
      <w:r>
        <w:rPr>
          <w:rStyle w:val="37"/>
        </w:rPr>
        <w:fldChar w:fldCharType="separate"/>
      </w:r>
      <w:r>
        <w:rPr>
          <w:rStyle w:val="37"/>
          <w:rFonts w:hint="eastAsia"/>
        </w:rPr>
        <w:t>第七章</w:t>
      </w:r>
      <w:r>
        <w:rPr>
          <w:rStyle w:val="37"/>
        </w:rPr>
        <w:t xml:space="preserve">  </w:t>
      </w:r>
      <w:r>
        <w:rPr>
          <w:rStyle w:val="37"/>
          <w:rFonts w:hint="eastAsia"/>
        </w:rPr>
        <w:t>工程量清单</w:t>
      </w:r>
      <w:r>
        <w:rPr>
          <w:rStyle w:val="37"/>
        </w:rPr>
        <w:tab/>
      </w:r>
      <w:r>
        <w:rPr>
          <w:rStyle w:val="37"/>
        </w:rPr>
        <w:fldChar w:fldCharType="begin"/>
      </w:r>
      <w:r>
        <w:rPr>
          <w:rStyle w:val="37"/>
        </w:rPr>
        <w:instrText xml:space="preserve"> PAGEREF _Toc762 \h </w:instrText>
      </w:r>
      <w:r>
        <w:rPr>
          <w:rStyle w:val="37"/>
        </w:rPr>
        <w:fldChar w:fldCharType="separate"/>
      </w:r>
      <w:r>
        <w:rPr>
          <w:rStyle w:val="37"/>
        </w:rPr>
        <w:t>70</w:t>
      </w:r>
      <w:r>
        <w:rPr>
          <w:rStyle w:val="37"/>
        </w:rPr>
        <w:fldChar w:fldCharType="end"/>
      </w:r>
      <w:r>
        <w:rPr>
          <w:rStyle w:val="37"/>
        </w:rPr>
        <w:fldChar w:fldCharType="end"/>
      </w:r>
    </w:p>
    <w:p>
      <w:pPr>
        <w:pStyle w:val="24"/>
        <w:tabs>
          <w:tab w:val="right" w:leader="dot" w:pos="9070"/>
          <w:tab w:val="clear" w:pos="9060"/>
        </w:tabs>
        <w:rPr>
          <w:rStyle w:val="37"/>
        </w:rPr>
      </w:pPr>
      <w:r>
        <w:rPr>
          <w:rStyle w:val="37"/>
        </w:rPr>
        <w:fldChar w:fldCharType="begin"/>
      </w:r>
      <w:r>
        <w:rPr>
          <w:rStyle w:val="37"/>
        </w:rPr>
        <w:instrText xml:space="preserve"> HYPERLINK \l _Toc13643 </w:instrText>
      </w:r>
      <w:r>
        <w:rPr>
          <w:rStyle w:val="37"/>
        </w:rPr>
        <w:fldChar w:fldCharType="separate"/>
      </w:r>
      <w:r>
        <w:rPr>
          <w:rStyle w:val="37"/>
          <w:rFonts w:hint="eastAsia"/>
        </w:rPr>
        <w:t>第八章</w:t>
      </w:r>
      <w:r>
        <w:rPr>
          <w:rStyle w:val="37"/>
        </w:rPr>
        <w:t xml:space="preserve">  </w:t>
      </w:r>
      <w:r>
        <w:rPr>
          <w:rStyle w:val="37"/>
          <w:rFonts w:hint="eastAsia"/>
        </w:rPr>
        <w:t>最高投标限价</w:t>
      </w:r>
      <w:r>
        <w:rPr>
          <w:rStyle w:val="37"/>
        </w:rPr>
        <w:tab/>
      </w:r>
      <w:r>
        <w:rPr>
          <w:rStyle w:val="37"/>
        </w:rPr>
        <w:fldChar w:fldCharType="begin"/>
      </w:r>
      <w:r>
        <w:rPr>
          <w:rStyle w:val="37"/>
        </w:rPr>
        <w:instrText xml:space="preserve"> PAGEREF _Toc13643 \h </w:instrText>
      </w:r>
      <w:r>
        <w:rPr>
          <w:rStyle w:val="37"/>
        </w:rPr>
        <w:fldChar w:fldCharType="separate"/>
      </w:r>
      <w:r>
        <w:rPr>
          <w:rStyle w:val="37"/>
        </w:rPr>
        <w:t>71</w:t>
      </w:r>
      <w:r>
        <w:rPr>
          <w:rStyle w:val="37"/>
        </w:rPr>
        <w:fldChar w:fldCharType="end"/>
      </w:r>
      <w:r>
        <w:rPr>
          <w:rStyle w:val="37"/>
        </w:rPr>
        <w:fldChar w:fldCharType="end"/>
      </w:r>
    </w:p>
    <w:p>
      <w:r>
        <w:rPr>
          <w:rStyle w:val="37"/>
        </w:rPr>
        <w:fldChar w:fldCharType="end"/>
      </w:r>
    </w:p>
    <w:p>
      <w:pPr>
        <w:pStyle w:val="33"/>
        <w:rPr>
          <w:color w:val="000000" w:themeColor="text1"/>
          <w:highlight w:val="none"/>
          <w14:textFill>
            <w14:solidFill>
              <w14:schemeClr w14:val="tx1"/>
            </w14:solidFill>
          </w14:textFill>
        </w:rPr>
      </w:pPr>
    </w:p>
    <w:p>
      <w:pPr>
        <w:pStyle w:val="33"/>
        <w:rPr>
          <w:color w:val="000000" w:themeColor="text1"/>
          <w:highlight w:val="none"/>
          <w14:textFill>
            <w14:solidFill>
              <w14:schemeClr w14:val="tx1"/>
            </w14:solidFill>
          </w14:textFill>
        </w:rPr>
      </w:pPr>
    </w:p>
    <w:p>
      <w:pPr>
        <w:pStyle w:val="3"/>
        <w:rPr>
          <w:rFonts w:hint="eastAsia"/>
        </w:rPr>
        <w:sectPr>
          <w:headerReference r:id="rId6" w:type="first"/>
          <w:footerReference r:id="rId9" w:type="first"/>
          <w:headerReference r:id="rId4" w:type="default"/>
          <w:footerReference r:id="rId7" w:type="default"/>
          <w:headerReference r:id="rId5" w:type="even"/>
          <w:footerReference r:id="rId8" w:type="even"/>
          <w:endnotePr>
            <w:numFmt w:val="decimal"/>
          </w:endnotePr>
          <w:pgSz w:w="11906" w:h="16838"/>
          <w:pgMar w:top="1134" w:right="1418" w:bottom="1134" w:left="1418" w:header="851" w:footer="907" w:gutter="0"/>
          <w:pgNumType w:fmt="decimal"/>
          <w:cols w:space="425" w:num="1"/>
          <w:titlePg/>
          <w:docGrid w:type="lines" w:linePitch="312" w:charSpace="0"/>
        </w:sectPr>
      </w:pPr>
    </w:p>
    <w:p>
      <w:pPr>
        <w:pStyle w:val="3"/>
      </w:pPr>
      <w:bookmarkStart w:id="2" w:name="_Toc9002"/>
      <w:bookmarkStart w:id="3" w:name="_Toc19679"/>
      <w:r>
        <w:rPr>
          <w:rFonts w:hint="eastAsia"/>
        </w:rPr>
        <w:t>第一章</w:t>
      </w:r>
      <w:r>
        <w:t xml:space="preserve">  </w:t>
      </w:r>
      <w:r>
        <w:rPr>
          <w:rFonts w:hint="eastAsia"/>
        </w:rPr>
        <w:t>投标须知</w:t>
      </w:r>
      <w:bookmarkEnd w:id="0"/>
      <w:bookmarkEnd w:id="1"/>
      <w:bookmarkEnd w:id="2"/>
      <w:bookmarkEnd w:id="3"/>
    </w:p>
    <w:p>
      <w:pPr>
        <w:pStyle w:val="4"/>
        <w:rPr>
          <w:color w:val="000000" w:themeColor="text1"/>
          <w:highlight w:val="none"/>
          <w14:textFill>
            <w14:solidFill>
              <w14:schemeClr w14:val="tx1"/>
            </w14:solidFill>
          </w14:textFill>
        </w:rPr>
      </w:pPr>
      <w:bookmarkStart w:id="4" w:name="_Toc2272546"/>
      <w:bookmarkStart w:id="5" w:name="_Toc21525490"/>
      <w:bookmarkStart w:id="6" w:name="_Toc13040"/>
      <w:bookmarkStart w:id="7" w:name="_Toc25515"/>
      <w:r>
        <w:rPr>
          <w:rFonts w:hint="eastAsia"/>
          <w:color w:val="000000" w:themeColor="text1"/>
          <w:highlight w:val="none"/>
          <w14:textFill>
            <w14:solidFill>
              <w14:schemeClr w14:val="tx1"/>
            </w14:solidFill>
          </w14:textFill>
        </w:rPr>
        <w:t>一、投标须知前附表</w:t>
      </w:r>
      <w:bookmarkEnd w:id="4"/>
      <w:bookmarkEnd w:id="5"/>
      <w:bookmarkEnd w:id="6"/>
      <w:bookmarkEnd w:id="7"/>
    </w:p>
    <w:p>
      <w:pPr>
        <w:pStyle w:val="5"/>
        <w:spacing w:line="360" w:lineRule="auto"/>
        <w:ind w:firstLine="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9"/>
              <w:ind w:firstLine="458"/>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招标人（即发包人）：</w:t>
            </w:r>
            <w:r>
              <w:rPr>
                <w:rFonts w:hint="eastAsia" w:ascii="宋体" w:hAnsi="宋体" w:cs="宋体"/>
                <w:color w:val="000000" w:themeColor="text1"/>
                <w:szCs w:val="21"/>
                <w:highlight w:val="none"/>
                <w:u w:val="single"/>
                <w:lang w:eastAsia="zh-CN"/>
                <w14:textFill>
                  <w14:solidFill>
                    <w14:schemeClr w14:val="tx1"/>
                  </w14:solidFill>
                </w14:textFill>
              </w:rPr>
              <w:t>广州市增城区中新镇人民政府</w:t>
            </w:r>
          </w:p>
          <w:p>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w:t>
            </w:r>
            <w:r>
              <w:rPr>
                <w:rFonts w:hint="eastAsia" w:ascii="宋体" w:hAnsi="宋体" w:cs="宋体"/>
                <w:color w:val="000000" w:themeColor="text1"/>
                <w:szCs w:val="21"/>
                <w:highlight w:val="none"/>
                <w:u w:val="single"/>
                <w:lang w:eastAsia="zh-CN"/>
                <w14:textFill>
                  <w14:solidFill>
                    <w14:schemeClr w14:val="tx1"/>
                  </w14:solidFill>
                </w14:textFill>
              </w:rPr>
              <w:t>广州瑞源建设工程管理有限公司</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pPr>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设计单位：</w:t>
            </w:r>
            <w:r>
              <w:rPr>
                <w:rFonts w:hint="eastAsia" w:ascii="宋体" w:hAnsi="宋体"/>
                <w:color w:val="000000" w:themeColor="text1"/>
                <w:szCs w:val="21"/>
                <w:highlight w:val="none"/>
                <w:u w:val="single"/>
                <w:lang w:val="en-US" w:eastAsia="zh-CN"/>
                <w14:textFill>
                  <w14:solidFill>
                    <w14:schemeClr w14:val="tx1"/>
                  </w14:solidFill>
                </w14:textFill>
              </w:rPr>
              <w:t xml:space="preserve">  首辅工程设计有限公司             </w:t>
            </w:r>
          </w:p>
          <w:p>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检测机构：</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中新镇侨建御苑南规划路建设工程施工总承包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项目位于</w:t>
            </w:r>
            <w:r>
              <w:rPr>
                <w:rFonts w:hint="eastAsia" w:ascii="宋体" w:hAnsi="宋体" w:cs="宋体"/>
                <w:color w:val="000000" w:themeColor="text1"/>
                <w:szCs w:val="21"/>
                <w:highlight w:val="none"/>
                <w:u w:val="single"/>
                <w:lang w:val="en-US" w:eastAsia="zh-CN"/>
                <w14:textFill>
                  <w14:solidFill>
                    <w14:schemeClr w14:val="tx1"/>
                  </w14:solidFill>
                </w14:textFill>
              </w:rPr>
              <w:t>增城区中新镇侨建御溪谷三期小区的东侧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eastAsia="宋体" w:cs="宋体"/>
                <w:sz w:val="21"/>
                <w:szCs w:val="21"/>
                <w:u w:val="single" w:color="auto"/>
              </w:rPr>
              <w:tab/>
            </w:r>
            <w:r>
              <w:rPr>
                <w:rFonts w:ascii="宋体" w:hAnsi="宋体" w:eastAsia="宋体" w:cs="宋体"/>
                <w:spacing w:val="-14"/>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月</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计划开工，施工总期：</w:t>
            </w:r>
            <w:r>
              <w:rPr>
                <w:rFonts w:hint="eastAsia" w:ascii="宋体" w:hAnsi="宋体"/>
                <w:color w:val="000000" w:themeColor="text1"/>
                <w:szCs w:val="21"/>
                <w:highlight w:val="none"/>
                <w:u w:val="single"/>
                <w:lang w:val="en-US" w:eastAsia="zh-CN"/>
                <w14:textFill>
                  <w14:solidFill>
                    <w14:schemeClr w14:val="tx1"/>
                  </w14:solidFill>
                </w14:textFill>
              </w:rPr>
              <w:t xml:space="preserve"> 120</w:t>
            </w:r>
            <w:bookmarkStart w:id="94" w:name="_GoBack"/>
            <w:bookmarkEnd w:id="94"/>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日历天。</w:t>
            </w:r>
            <w:r>
              <w:rPr>
                <w:rFonts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由区财政资金（拟纳入土地收储成本）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bookmarkStart w:id="8" w:name="EBdfd7e3fe86a241738f1c1d356c309534"/>
            <w:r>
              <w:rPr>
                <w:rFonts w:hint="eastAsia" w:ascii="宋体" w:hAnsi="宋体" w:eastAsia="宋体" w:cs="宋体"/>
                <w:color w:val="000000" w:themeColor="text1"/>
                <w:szCs w:val="21"/>
                <w:highlight w:val="none"/>
                <w:u w:val="single"/>
                <w14:textFill>
                  <w14:solidFill>
                    <w14:schemeClr w14:val="tx1"/>
                  </w14:solidFill>
                </w14:textFill>
              </w:rPr>
              <w:t>工程量清单计价，按国家、省有关计价规范执行。</w:t>
            </w:r>
            <w:bookmarkEnd w:id="8"/>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bookmarkStart w:id="9" w:name="EB638049d390fa45cfa3556d92c0ccd421"/>
            <w:r>
              <w:rPr>
                <w:rFonts w:hint="eastAsia" w:ascii="宋体" w:hAnsi="宋体" w:eastAsia="宋体" w:cs="宋体"/>
                <w:color w:val="000000" w:themeColor="text1"/>
                <w:szCs w:val="21"/>
                <w:highlight w:val="none"/>
                <w:u w:val="single"/>
                <w14:textFill>
                  <w14:solidFill>
                    <w14:schemeClr w14:val="tx1"/>
                  </w14:solidFill>
                </w14:textFill>
              </w:rPr>
              <w:t>90日历天（从递交投标文件截止之日计起）。如投标有效期内发生异议或投诉的，则投标有效期自动延长至异议或投诉处理结束后90日历天。</w:t>
            </w:r>
            <w:bookmarkEnd w:id="9"/>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spacing w:before="63" w:line="274" w:lineRule="auto"/>
              <w:ind w:left="0" w:right="23" w:firstLine="420" w:firstLineChars="200"/>
              <w:jc w:val="left"/>
              <w:rPr>
                <w:rFonts w:ascii="宋体" w:hAnsi="宋体" w:cs="宋体"/>
                <w:kern w:val="0"/>
                <w:szCs w:val="21"/>
              </w:rPr>
            </w:pPr>
            <w:r>
              <w:rPr>
                <w:rFonts w:hint="eastAsia" w:ascii="宋体" w:hAnsi="宋体" w:cs="宋体"/>
                <w:kern w:val="0"/>
                <w:szCs w:val="21"/>
                <w:u w:val="single"/>
                <w:lang w:val="en-US" w:eastAsia="zh-CN"/>
              </w:rPr>
              <w:t>5</w:t>
            </w:r>
            <w:r>
              <w:rPr>
                <w:rFonts w:hint="eastAsia" w:ascii="宋体" w:hAnsi="宋体" w:cs="宋体"/>
                <w:kern w:val="0"/>
                <w:szCs w:val="21"/>
              </w:rPr>
              <w:t>万元人民币，缴纳时间在</w:t>
            </w:r>
            <w:r>
              <w:rPr>
                <w:rFonts w:hint="eastAsia" w:ascii="宋体" w:hAnsi="宋体" w:cs="宋体"/>
                <w:kern w:val="0"/>
                <w:szCs w:val="21"/>
                <w:u w:val="single"/>
              </w:rPr>
              <w:t>投标截止时间</w:t>
            </w:r>
            <w:r>
              <w:rPr>
                <w:rFonts w:hint="eastAsia" w:ascii="宋体" w:hAnsi="宋体" w:cs="宋体"/>
                <w:kern w:val="0"/>
                <w:szCs w:val="21"/>
              </w:rPr>
              <w:t>之前。</w:t>
            </w:r>
          </w:p>
          <w:p>
            <w:pPr>
              <w:spacing w:before="63" w:line="274" w:lineRule="auto"/>
              <w:ind w:left="111" w:right="23" w:firstLine="420" w:firstLineChars="0"/>
              <w:jc w:val="lef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投标保证金有效期：</w:t>
            </w:r>
            <w:r>
              <w:rPr>
                <w:rFonts w:hint="eastAsia" w:ascii="宋体" w:hAnsi="宋体" w:eastAsia="宋体" w:cs="宋体"/>
                <w:color w:val="000000" w:themeColor="text1"/>
                <w:szCs w:val="21"/>
                <w:highlight w:val="none"/>
                <w:u w:val="single"/>
                <w14:textFill>
                  <w14:solidFill>
                    <w14:schemeClr w14:val="tx1"/>
                  </w14:solidFill>
                </w14:textFill>
              </w:rPr>
              <w:t>长于或等于投标有效期。</w:t>
            </w:r>
          </w:p>
          <w:p>
            <w:pPr>
              <w:spacing w:before="63" w:line="274" w:lineRule="auto"/>
              <w:ind w:left="111" w:right="23" w:firstLine="420"/>
              <w:jc w:val="left"/>
              <w:rPr>
                <w:rFonts w:ascii="宋体" w:hAnsi="宋体" w:eastAsia="宋体" w:cs="宋体"/>
                <w:spacing w:val="-6"/>
                <w:sz w:val="21"/>
                <w:szCs w:val="21"/>
                <w:u w:val="single"/>
              </w:rPr>
            </w:pPr>
            <w:r>
              <w:rPr>
                <w:rFonts w:ascii="宋体" w:hAnsi="宋体" w:eastAsia="宋体" w:cs="宋体"/>
                <w:spacing w:val="-12"/>
                <w:sz w:val="21"/>
                <w:szCs w:val="21"/>
                <w:u w:val="single"/>
              </w:rPr>
              <w:t xml:space="preserve">注： </w:t>
            </w:r>
            <w:r>
              <w:rPr>
                <w:rFonts w:hint="eastAsia" w:ascii="宋体" w:hAnsi="宋体" w:cs="宋体"/>
                <w:spacing w:val="-12"/>
                <w:sz w:val="21"/>
                <w:szCs w:val="21"/>
                <w:u w:val="single"/>
                <w:lang w:val="en-US" w:eastAsia="zh-CN"/>
              </w:rPr>
              <w:t>1、</w:t>
            </w:r>
            <w:r>
              <w:rPr>
                <w:rFonts w:ascii="宋体" w:hAnsi="宋体" w:eastAsia="宋体" w:cs="宋体"/>
                <w:spacing w:val="-6"/>
                <w:sz w:val="21"/>
                <w:szCs w:val="21"/>
                <w:u w:val="single"/>
              </w:rPr>
              <w:t xml:space="preserve">投标保证金不得超过招标项目估算价的 </w:t>
            </w:r>
            <w:r>
              <w:rPr>
                <w:rFonts w:ascii="Calibri" w:hAnsi="Calibri" w:eastAsia="Calibri" w:cs="Calibri"/>
                <w:spacing w:val="-6"/>
                <w:sz w:val="21"/>
                <w:szCs w:val="21"/>
                <w:u w:val="single"/>
              </w:rPr>
              <w:t>2%</w:t>
            </w:r>
            <w:r>
              <w:rPr>
                <w:rFonts w:ascii="宋体" w:hAnsi="宋体" w:eastAsia="宋体" w:cs="宋体"/>
                <w:spacing w:val="-6"/>
                <w:sz w:val="21"/>
                <w:szCs w:val="21"/>
                <w:u w:val="single"/>
              </w:rPr>
              <w:t>，投标</w:t>
            </w:r>
            <w:r>
              <w:rPr>
                <w:rFonts w:ascii="宋体" w:hAnsi="宋体" w:eastAsia="宋体" w:cs="宋体"/>
                <w:spacing w:val="-2"/>
                <w:sz w:val="21"/>
                <w:szCs w:val="21"/>
                <w:u w:val="single"/>
              </w:rPr>
              <w:t>保证金有效期</w:t>
            </w:r>
            <w:r>
              <w:rPr>
                <w:rFonts w:ascii="宋体" w:hAnsi="宋体" w:eastAsia="宋体" w:cs="宋体"/>
                <w:spacing w:val="-1"/>
                <w:sz w:val="21"/>
                <w:szCs w:val="21"/>
                <w:u w:val="single"/>
              </w:rPr>
              <w:t>应当与投标文件有效期一致。根据《房屋建筑和</w:t>
            </w:r>
            <w:r>
              <w:rPr>
                <w:rFonts w:ascii="宋体" w:hAnsi="宋体" w:eastAsia="宋体" w:cs="宋体"/>
                <w:sz w:val="21"/>
                <w:szCs w:val="21"/>
                <w:u w:val="single"/>
              </w:rPr>
              <w:t xml:space="preserve"> </w:t>
            </w:r>
            <w:r>
              <w:rPr>
                <w:rFonts w:ascii="宋体" w:hAnsi="宋体" w:eastAsia="宋体" w:cs="宋体"/>
                <w:spacing w:val="-12"/>
                <w:sz w:val="21"/>
                <w:szCs w:val="21"/>
                <w:u w:val="single"/>
              </w:rPr>
              <w:t>市政</w:t>
            </w:r>
            <w:r>
              <w:rPr>
                <w:rFonts w:ascii="宋体" w:hAnsi="宋体" w:eastAsia="宋体" w:cs="宋体"/>
                <w:spacing w:val="-10"/>
                <w:sz w:val="21"/>
                <w:szCs w:val="21"/>
                <w:u w:val="single"/>
              </w:rPr>
              <w:t>基</w:t>
            </w:r>
            <w:r>
              <w:rPr>
                <w:rFonts w:ascii="宋体" w:hAnsi="宋体" w:eastAsia="宋体" w:cs="宋体"/>
                <w:spacing w:val="-6"/>
                <w:sz w:val="21"/>
                <w:szCs w:val="21"/>
                <w:u w:val="single"/>
              </w:rPr>
              <w:t xml:space="preserve">础设施工程施工招标投标管理办法》(建设部令第 </w:t>
            </w:r>
            <w:r>
              <w:rPr>
                <w:rFonts w:ascii="Calibri" w:hAnsi="Calibri" w:eastAsia="Calibri" w:cs="Calibri"/>
                <w:spacing w:val="-6"/>
                <w:sz w:val="21"/>
                <w:szCs w:val="21"/>
                <w:u w:val="single"/>
              </w:rPr>
              <w:t xml:space="preserve">89 </w:t>
            </w:r>
            <w:r>
              <w:rPr>
                <w:rFonts w:ascii="宋体" w:hAnsi="宋体" w:eastAsia="宋体" w:cs="宋体"/>
                <w:spacing w:val="-6"/>
                <w:sz w:val="21"/>
                <w:szCs w:val="21"/>
                <w:u w:val="single"/>
              </w:rPr>
              <w:t>号)</w:t>
            </w:r>
            <w:r>
              <w:rPr>
                <w:rFonts w:ascii="宋体" w:hAnsi="宋体" w:eastAsia="宋体" w:cs="宋体"/>
                <w:sz w:val="21"/>
                <w:szCs w:val="21"/>
                <w:u w:val="single"/>
              </w:rPr>
              <w:t xml:space="preserve"> </w:t>
            </w:r>
            <w:r>
              <w:rPr>
                <w:rFonts w:ascii="宋体" w:hAnsi="宋体" w:eastAsia="宋体" w:cs="宋体"/>
                <w:spacing w:val="-9"/>
                <w:sz w:val="21"/>
                <w:szCs w:val="21"/>
                <w:u w:val="single"/>
              </w:rPr>
              <w:t>第</w:t>
            </w:r>
            <w:r>
              <w:rPr>
                <w:rFonts w:ascii="宋体" w:hAnsi="宋体" w:eastAsia="宋体" w:cs="宋体"/>
                <w:spacing w:val="-6"/>
                <w:sz w:val="21"/>
                <w:szCs w:val="21"/>
                <w:u w:val="single"/>
              </w:rPr>
              <w:t xml:space="preserve">二十六条的规定， 投标保证金最高不得超过 </w:t>
            </w:r>
            <w:r>
              <w:rPr>
                <w:rFonts w:ascii="Calibri" w:hAnsi="Calibri" w:eastAsia="Calibri" w:cs="Calibri"/>
                <w:spacing w:val="-6"/>
                <w:sz w:val="21"/>
                <w:szCs w:val="21"/>
                <w:u w:val="single"/>
              </w:rPr>
              <w:t xml:space="preserve">50 </w:t>
            </w:r>
            <w:r>
              <w:rPr>
                <w:rFonts w:ascii="宋体" w:hAnsi="宋体" w:eastAsia="宋体" w:cs="宋体"/>
                <w:spacing w:val="-6"/>
                <w:sz w:val="21"/>
                <w:szCs w:val="21"/>
                <w:u w:val="single"/>
              </w:rPr>
              <w:t>万元。</w:t>
            </w:r>
          </w:p>
          <w:p>
            <w:pPr>
              <w:spacing w:before="63" w:line="274" w:lineRule="auto"/>
              <w:ind w:left="111" w:right="23" w:firstLine="420"/>
              <w:jc w:val="left"/>
              <w:rPr>
                <w:rFonts w:hint="eastAsia" w:ascii="宋体" w:hAnsi="宋体" w:eastAsia="宋体" w:cs="宋体"/>
                <w:spacing w:val="-6"/>
                <w:szCs w:val="21"/>
                <w:u w:val="single"/>
              </w:rPr>
            </w:pPr>
            <w:r>
              <w:rPr>
                <w:rFonts w:hint="eastAsia" w:ascii="宋体" w:hAnsi="宋体" w:cs="宋体"/>
                <w:spacing w:val="-6"/>
                <w:szCs w:val="21"/>
                <w:u w:val="single"/>
                <w:lang w:val="en-US" w:eastAsia="zh-CN"/>
              </w:rPr>
              <w:t>2、</w:t>
            </w:r>
            <w:r>
              <w:rPr>
                <w:rFonts w:hint="eastAsia" w:ascii="宋体" w:hAnsi="宋体" w:cs="宋体"/>
                <w:spacing w:val="-6"/>
                <w:szCs w:val="21"/>
                <w:u w:val="single"/>
              </w:rPr>
              <w:t>投标保证金的形式：投标保证金可采用现金、支票、银行保函、保证保险、专业工程担保公司担保等形式，须在递交投标文件截止时间前完成缴纳。</w:t>
            </w:r>
            <w:r>
              <w:rPr>
                <w:rFonts w:hint="eastAsia" w:ascii="宋体" w:hAnsi="宋体" w:cs="Times New Roman"/>
                <w:color w:val="000000" w:themeColor="text1"/>
                <w:sz w:val="21"/>
                <w:highlight w:val="none"/>
                <w:u w:val="single"/>
                <w14:textFill>
                  <w14:solidFill>
                    <w14:schemeClr w14:val="tx1"/>
                  </w14:solidFill>
                </w14:textFill>
              </w:rPr>
              <w:t>联合体投标的，其投标保证金由主办方递交</w:t>
            </w:r>
            <w:r>
              <w:rPr>
                <w:rFonts w:hint="eastAsia" w:ascii="宋体" w:hAnsi="宋体" w:cs="Times New Roman"/>
                <w:color w:val="000000" w:themeColor="text1"/>
                <w:sz w:val="21"/>
                <w:highlight w:val="none"/>
                <w:u w:val="single"/>
                <w:lang w:eastAsia="zh-CN"/>
                <w14:textFill>
                  <w14:solidFill>
                    <w14:schemeClr w14:val="tx1"/>
                  </w14:solidFill>
                </w14:textFill>
              </w:rPr>
              <w:t>。</w:t>
            </w:r>
          </w:p>
          <w:p>
            <w:pPr>
              <w:spacing w:before="63" w:line="274" w:lineRule="auto"/>
              <w:ind w:left="111" w:right="23" w:firstLine="420"/>
              <w:jc w:val="left"/>
              <w:rPr>
                <w:rFonts w:hint="eastAsia" w:ascii="宋体" w:hAnsi="宋体" w:cs="宋体"/>
                <w:spacing w:val="-6"/>
                <w:szCs w:val="21"/>
                <w:u w:val="single"/>
              </w:rPr>
            </w:pPr>
            <w:r>
              <w:rPr>
                <w:rFonts w:hint="eastAsia" w:ascii="宋体" w:hAnsi="宋体" w:cs="宋体"/>
                <w:spacing w:val="-6"/>
                <w:szCs w:val="21"/>
                <w:u w:val="single"/>
                <w:lang w:val="en-US" w:eastAsia="zh-CN"/>
              </w:rPr>
              <w:t>3、</w:t>
            </w:r>
            <w:r>
              <w:rPr>
                <w:rFonts w:hint="eastAsia" w:ascii="宋体" w:hAnsi="宋体" w:cs="宋体"/>
                <w:spacing w:val="-6"/>
                <w:szCs w:val="21"/>
                <w:u w:val="single"/>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before="63" w:line="274" w:lineRule="auto"/>
              <w:ind w:left="111" w:right="23" w:firstLine="420"/>
              <w:jc w:val="left"/>
              <w:rPr>
                <w:rFonts w:hint="eastAsia" w:ascii="宋体" w:hAnsi="宋体" w:cs="宋体"/>
                <w:spacing w:val="-6"/>
                <w:szCs w:val="21"/>
                <w:u w:val="single"/>
              </w:rPr>
            </w:pPr>
            <w:r>
              <w:rPr>
                <w:rFonts w:hint="eastAsia" w:ascii="宋体" w:hAnsi="宋体" w:cs="宋体"/>
                <w:spacing w:val="-6"/>
                <w:szCs w:val="21"/>
                <w:u w:val="single"/>
              </w:rPr>
              <w:t>投标人需在交易系统中将汇入投标保证金与投标项目进行绑定，绑定成功后才能被认定为完成缴交投标保证金义务。</w:t>
            </w:r>
          </w:p>
          <w:p>
            <w:pPr>
              <w:spacing w:before="63" w:line="274" w:lineRule="auto"/>
              <w:ind w:left="111" w:right="23" w:firstLine="420"/>
              <w:jc w:val="left"/>
              <w:rPr>
                <w:rFonts w:hint="eastAsia" w:ascii="宋体" w:hAnsi="宋体" w:cs="宋体"/>
                <w:spacing w:val="-6"/>
                <w:szCs w:val="21"/>
                <w:u w:val="single"/>
              </w:rPr>
            </w:pPr>
            <w:r>
              <w:rPr>
                <w:rFonts w:hint="eastAsia" w:ascii="宋体" w:hAnsi="宋体" w:eastAsia="宋体" w:cs="宋体"/>
                <w:spacing w:val="-6"/>
                <w:szCs w:val="21"/>
                <w:u w:val="single"/>
                <w:lang w:val="en-US" w:eastAsia="zh-CN"/>
              </w:rPr>
              <w:t>4</w:t>
            </w:r>
            <w:r>
              <w:rPr>
                <w:rFonts w:hint="eastAsia" w:ascii="宋体" w:hAnsi="宋体" w:cs="宋体"/>
                <w:spacing w:val="-6"/>
                <w:szCs w:val="21"/>
                <w:u w:val="single"/>
              </w:rPr>
              <w:t>、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pPr>
              <w:snapToGrid w:val="0"/>
              <w:ind w:firstLine="396" w:firstLineChars="200"/>
              <w:rPr>
                <w:rFonts w:hint="eastAsia" w:ascii="宋体" w:hAnsi="宋体" w:cs="宋体"/>
                <w:spacing w:val="-6"/>
                <w:szCs w:val="21"/>
                <w:u w:val="none"/>
              </w:rPr>
            </w:pPr>
            <w:r>
              <w:rPr>
                <w:rFonts w:hint="eastAsia" w:ascii="宋体" w:hAnsi="宋体" w:eastAsia="宋体" w:cs="宋体"/>
                <w:spacing w:val="-6"/>
                <w:szCs w:val="21"/>
                <w:u w:val="single"/>
                <w:lang w:val="en-US" w:eastAsia="zh-CN"/>
              </w:rPr>
              <w:t>5</w:t>
            </w:r>
            <w:r>
              <w:rPr>
                <w:rFonts w:hint="eastAsia" w:ascii="宋体" w:hAnsi="宋体" w:cs="宋体"/>
                <w:spacing w:val="-6"/>
                <w:szCs w:val="21"/>
                <w:u w:val="single"/>
              </w:rPr>
              <w:t>、如采用电子形式的保函、担保或保证保险提交投标保证金的，详见广州公共资源交易中心相关操作指引。（本条适用于交易中心系统支持采用电子保函方式递交的情形）</w:t>
            </w:r>
          </w:p>
          <w:p>
            <w:pPr>
              <w:snapToGrid w:val="0"/>
              <w:ind w:firstLine="422" w:firstLineChars="200"/>
              <w:rPr>
                <w:rFonts w:ascii="宋体" w:hAnsi="宋体"/>
                <w:b/>
                <w:u w:val="single"/>
              </w:rPr>
            </w:pPr>
            <w:r>
              <w:rPr>
                <w:rFonts w:hint="eastAsia" w:ascii="宋体" w:hAnsi="宋体"/>
                <w:b/>
                <w:u w:val="single"/>
                <w:lang w:val="en-US" w:eastAsia="zh-CN"/>
              </w:rPr>
              <w:t>6</w:t>
            </w:r>
            <w:r>
              <w:rPr>
                <w:rFonts w:hint="eastAsia" w:ascii="宋体" w:hAnsi="宋体"/>
                <w:b/>
                <w:u w:val="single"/>
              </w:rPr>
              <w:t>、为降低投标人的交易成本，扩大信用承诺制的应用范围，中小企业（联合体投标时，指联合体各成员）在提供相关资料后可无需缴纳投标保证金：</w:t>
            </w:r>
          </w:p>
          <w:p>
            <w:pPr>
              <w:snapToGrid w:val="0"/>
              <w:ind w:firstLine="0" w:firstLineChars="0"/>
              <w:rPr>
                <w:rFonts w:ascii="宋体" w:hAnsi="宋体"/>
                <w:u w:val="single"/>
              </w:rPr>
            </w:pPr>
            <w:r>
              <w:rPr>
                <w:rFonts w:hint="eastAsia" w:ascii="宋体" w:hAnsi="宋体"/>
                <w:b/>
                <w:u w:val="single"/>
              </w:rPr>
              <w:t>（1）属于中小企业（包括中型、小型和微型企业）的投标人需提供属于中小企业的资料：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spacing w:before="63" w:line="274" w:lineRule="auto"/>
              <w:ind w:left="0" w:right="23" w:firstLine="0"/>
              <w:jc w:val="left"/>
              <w:rPr>
                <w:color w:val="000000" w:themeColor="text1"/>
                <w:highlight w:val="none"/>
                <w14:textFill>
                  <w14:solidFill>
                    <w14:schemeClr w14:val="tx1"/>
                  </w14:solidFill>
                </w14:textFill>
              </w:rPr>
            </w:pPr>
            <w:r>
              <w:rPr>
                <w:rFonts w:hint="eastAsia" w:ascii="宋体" w:hAnsi="宋体"/>
                <w:b/>
                <w:u w:val="single"/>
              </w:rPr>
              <w:t>（2）免交投标保证金的投标人还需同时提供《关于投标保证金的承诺》（详见“第四章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时间：自发布招标公告之日起具备现场踏勘条件；</w:t>
            </w:r>
          </w:p>
          <w:p>
            <w:pP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方式：招标人不集中组织，由投标人自行踏勘；</w:t>
            </w:r>
            <w:r>
              <w:rPr>
                <w:rFonts w:ascii="宋体" w:hAnsi="宋体"/>
                <w:color w:val="000000" w:themeColor="text1"/>
                <w:szCs w:val="21"/>
                <w:highlight w:val="none"/>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现场详细地</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点：</w:t>
            </w:r>
            <w:r>
              <w:rPr>
                <w:rFonts w:hint="eastAsia" w:ascii="宋体" w:hAnsi="宋体" w:cs="宋体"/>
                <w:color w:val="000000" w:themeColor="text1"/>
                <w:kern w:val="2"/>
                <w:sz w:val="21"/>
                <w:szCs w:val="21"/>
                <w:highlight w:val="none"/>
                <w:u w:val="single"/>
                <w:lang w:val="en-US" w:eastAsia="zh-CN" w:bidi="ar-SA"/>
                <w14:textFill>
                  <w14:solidFill>
                    <w14:schemeClr w14:val="tx1"/>
                  </w14:solidFill>
                </w14:textFill>
              </w:rPr>
              <w:t>详见招标公告</w:t>
            </w:r>
            <w:r>
              <w:rPr>
                <w:rFonts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疑问提交时间：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时前；</w:t>
            </w:r>
          </w:p>
          <w:p>
            <w:pPr>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形式：投标人的疑问通过</w:t>
            </w:r>
            <w:r>
              <w:rPr>
                <w:rFonts w:hint="eastAsia" w:ascii="宋体" w:hAnsi="宋体" w:eastAsia="宋体" w:cs="宋体"/>
                <w:color w:val="000000" w:themeColor="text1"/>
                <w:szCs w:val="21"/>
                <w:highlight w:val="none"/>
                <w:u w:val="single"/>
                <w14:textFill>
                  <w14:solidFill>
                    <w14:schemeClr w14:val="tx1"/>
                  </w14:solidFill>
                </w14:textFill>
              </w:rPr>
              <w:t>广州公共资源交易中心</w:t>
            </w:r>
            <w:r>
              <w:rPr>
                <w:rFonts w:hint="eastAsia" w:ascii="宋体" w:hAnsi="宋体" w:eastAsia="宋体" w:cs="宋体"/>
                <w:color w:val="000000" w:themeColor="text1"/>
                <w:szCs w:val="21"/>
                <w:highlight w:val="none"/>
                <w:u w:val="none"/>
                <w14:textFill>
                  <w14:solidFill>
                    <w14:schemeClr w14:val="tx1"/>
                  </w14:solidFill>
                </w14:textFill>
              </w:rPr>
              <w:t>交易平台提交。</w:t>
            </w:r>
          </w:p>
          <w:p>
            <w:pP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具体要求：按照交易平台关于全流程电子化项目的相关</w:t>
            </w:r>
            <w:r>
              <w:rPr>
                <w:rFonts w:hint="eastAsia" w:ascii="宋体" w:hAnsi="宋体"/>
                <w:color w:val="000000" w:themeColor="text1"/>
                <w:szCs w:val="21"/>
                <w:highlight w:val="none"/>
                <w14:textFill>
                  <w14:solidFill>
                    <w14:schemeClr w14:val="tx1"/>
                  </w14:solidFill>
                </w14:textFill>
              </w:rPr>
              <w:t>指南进行操作，详见：</w:t>
            </w:r>
            <w:r>
              <w:rPr>
                <w:rFonts w:hint="eastAsia" w:ascii="宋体" w:hAnsi="宋体" w:eastAsia="宋体" w:cs="宋体"/>
                <w:color w:val="000000" w:themeColor="text1"/>
                <w:szCs w:val="21"/>
                <w:highlight w:val="none"/>
                <w:u w:val="single"/>
                <w14:textFill>
                  <w14:solidFill>
                    <w14:schemeClr w14:val="tx1"/>
                  </w14:solidFill>
                </w14:textFill>
              </w:rPr>
              <w:t>广州公共资源交易中心网站</w:t>
            </w:r>
            <w:r>
              <w:rPr>
                <w:rFonts w:hint="eastAsia" w:ascii="宋体" w:hAnsi="宋体"/>
                <w:color w:val="000000" w:themeColor="text1"/>
                <w:szCs w:val="21"/>
                <w:highlight w:val="none"/>
                <w14:textFill>
                  <w14:solidFill>
                    <w14:schemeClr w14:val="tx1"/>
                  </w14:solidFill>
                </w14:textFill>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时（北京时间）。</w:t>
            </w:r>
            <w:r>
              <w:rPr>
                <w:rFonts w:hint="eastAsia" w:ascii="宋体" w:hAnsi="宋体" w:eastAsia="宋体" w:cs="宋体"/>
                <w:b/>
                <w:bCs/>
                <w:color w:val="000000" w:themeColor="text1"/>
                <w:szCs w:val="21"/>
                <w:highlight w:val="none"/>
                <w:u w:val="single"/>
                <w14:textFill>
                  <w14:solidFill>
                    <w14:schemeClr w14:val="tx1"/>
                  </w14:solidFill>
                </w14:textFill>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（技术标和经济标同时开标）</w:t>
            </w:r>
          </w:p>
          <w:p>
            <w:pPr>
              <w:rPr>
                <w:rFonts w:hint="eastAsia" w:ascii="宋体" w:hAnsi="宋体"/>
                <w:szCs w:val="21"/>
                <w:u w:val="single"/>
              </w:rPr>
            </w:pPr>
            <w:r>
              <w:rPr>
                <w:rFonts w:hint="eastAsia" w:ascii="宋体" w:hAnsi="宋体"/>
                <w:color w:val="000000" w:themeColor="text1"/>
                <w:szCs w:val="21"/>
                <w:highlight w:val="none"/>
                <w14:textFill>
                  <w14:solidFill>
                    <w14:schemeClr w14:val="tx1"/>
                  </w14:solidFill>
                </w14:textFill>
              </w:rPr>
              <w:t>1、开标开始时间：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分（与</w:t>
            </w:r>
            <w:r>
              <w:rPr>
                <w:rFonts w:ascii="宋体" w:hAnsi="宋体"/>
                <w:color w:val="000000" w:themeColor="text1"/>
                <w:szCs w:val="21"/>
                <w:highlight w:val="none"/>
                <w14:textFill>
                  <w14:solidFill>
                    <w14:schemeClr w14:val="tx1"/>
                  </w14:solidFill>
                </w14:textFill>
              </w:rPr>
              <w:t>投标截止时间</w:t>
            </w:r>
            <w:r>
              <w:rPr>
                <w:rFonts w:hint="eastAsia" w:ascii="宋体" w:hAnsi="宋体"/>
                <w:color w:val="000000" w:themeColor="text1"/>
                <w:szCs w:val="21"/>
                <w:highlight w:val="none"/>
                <w14:textFill>
                  <w14:solidFill>
                    <w14:schemeClr w14:val="tx1"/>
                  </w14:solidFill>
                </w14:textFill>
              </w:rPr>
              <w:t>为</w:t>
            </w:r>
            <w:r>
              <w:rPr>
                <w:rFonts w:ascii="宋体" w:hAnsi="宋体"/>
                <w:color w:val="000000" w:themeColor="text1"/>
                <w:szCs w:val="21"/>
                <w:highlight w:val="none"/>
                <w14:textFill>
                  <w14:solidFill>
                    <w14:schemeClr w14:val="tx1"/>
                  </w14:solidFill>
                </w14:textFill>
              </w:rPr>
              <w:t>同一时间</w:t>
            </w:r>
            <w:r>
              <w:rPr>
                <w:rFonts w:hint="eastAsia" w:ascii="宋体" w:hAnsi="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u w:val="single"/>
                <w14:textFill>
                  <w14:solidFill>
                    <w14:schemeClr w14:val="tx1"/>
                  </w14:solidFill>
                </w14:textFill>
              </w:rPr>
              <w:t>增城交易部开标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室</w:t>
            </w:r>
            <w:r>
              <w:rPr>
                <w:rFonts w:hint="eastAsia" w:ascii="宋体" w:hAnsi="宋体" w:eastAsia="宋体" w:cs="宋体"/>
                <w:color w:val="000000" w:themeColor="text1"/>
                <w:szCs w:val="21"/>
                <w:highlight w:val="none"/>
                <w:u w:val="none"/>
                <w14:textFill>
                  <w14:solidFill>
                    <w14:schemeClr w14:val="tx1"/>
                  </w14:solidFill>
                </w14:textFill>
              </w:rPr>
              <w:t xml:space="preserve"> 。</w:t>
            </w:r>
            <w:r>
              <w:rPr>
                <w:rFonts w:hint="eastAsia" w:ascii="宋体" w:hAnsi="宋体"/>
                <w:szCs w:val="21"/>
              </w:rPr>
              <w:t>投标人也可选择参加在线开标，具体按照交易平台相关指南进行操作。详见：</w:t>
            </w:r>
            <w:r>
              <w:rPr>
                <w:rFonts w:hint="eastAsia" w:ascii="宋体" w:hAnsi="宋体"/>
                <w:szCs w:val="21"/>
                <w:u w:val="single"/>
              </w:rPr>
              <w:t>广州公共资源交易中心网站(http:/ www.gzggzy.cn)服务指南栏目发布的最新版操作指引。</w:t>
            </w:r>
          </w:p>
          <w:p>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pP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2、递交投标文件备用光盘时间：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分至</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分；递交地点：</w:t>
            </w:r>
            <w:r>
              <w:rPr>
                <w:rFonts w:hint="eastAsia" w:ascii="宋体" w:hAnsi="宋体" w:eastAsia="宋体" w:cs="宋体"/>
                <w:color w:val="000000" w:themeColor="text1"/>
                <w:szCs w:val="21"/>
                <w:highlight w:val="none"/>
                <w:u w:val="single"/>
                <w14:textFill>
                  <w14:solidFill>
                    <w14:schemeClr w14:val="tx1"/>
                  </w14:solidFill>
                </w14:textFill>
              </w:rPr>
              <w:t>增城交易部开标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室</w:t>
            </w:r>
            <w:r>
              <w:rPr>
                <w:rFonts w:hint="eastAsia" w:ascii="宋体" w:hAnsi="宋体"/>
                <w:color w:val="000000" w:themeColor="text1"/>
                <w:highlight w:val="none"/>
                <w14:textFill>
                  <w14:solidFill>
                    <w14:schemeClr w14:val="tx1"/>
                  </w14:solidFill>
                </w14:textFill>
              </w:rPr>
              <w:t>。(建议安排在投标文件截止时间前15分钟至投标文件截止时间）</w:t>
            </w:r>
            <w:r>
              <w:rPr>
                <w:rFonts w:hint="eastAsia" w:ascii="宋体" w:hAnsi="宋体"/>
                <w:color w:val="000000" w:themeColor="text1"/>
                <w:highlight w:val="none"/>
                <w:lang w:eastAsia="zh-CN"/>
                <w14:textFill>
                  <w14:solidFill>
                    <w14:schemeClr w14:val="tx1"/>
                  </w14:solidFill>
                </w14:textFill>
              </w:rPr>
              <w:t>。</w:t>
            </w:r>
          </w:p>
          <w:p>
            <w:pP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上述时间及地点是否有改变，</w:t>
            </w:r>
            <w:r>
              <w:rPr>
                <w:rFonts w:hint="eastAsia" w:ascii="宋体" w:hAnsi="宋体" w:cs="仿宋_GB2312"/>
              </w:rPr>
              <w:t>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ind w:firstLine="0"/>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方式一：选取方法</w:t>
            </w:r>
            <w:r>
              <w:rPr>
                <w:rFonts w:hint="eastAsia" w:ascii="宋体" w:hAnsi="宋体" w:eastAsia="宋体" w:cs="宋体"/>
                <w:color w:val="000000" w:themeColor="text1"/>
                <w:kern w:val="2"/>
                <w:sz w:val="21"/>
                <w:szCs w:val="21"/>
                <w:highlight w:val="none"/>
                <w:u w:val="single"/>
                <w14:textFill>
                  <w14:solidFill>
                    <w14:schemeClr w14:val="tx1"/>
                  </w14:solidFill>
                </w14:textFill>
              </w:rPr>
              <w:t>办法七（适合综合评分法四，技术标与经济标同时开启）</w:t>
            </w:r>
          </w:p>
          <w:p>
            <w:pPr>
              <w:pStyle w:val="33"/>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投标人总得分=</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技术得分（满分</w:t>
            </w:r>
            <w:r>
              <w:rPr>
                <w:rFonts w:hint="eastAsia" w:ascii="宋体" w:hAnsi="宋体" w:cs="宋体"/>
                <w:b/>
                <w:bCs/>
                <w:color w:val="000000" w:themeColor="text1"/>
                <w:kern w:val="2"/>
                <w:sz w:val="21"/>
                <w:szCs w:val="21"/>
                <w:highlight w:val="none"/>
                <w:u w:val="single"/>
                <w:lang w:val="en-US" w:eastAsia="zh-CN"/>
                <w14:textFill>
                  <w14:solidFill>
                    <w14:schemeClr w14:val="tx1"/>
                  </w14:solidFill>
                </w14:textFill>
              </w:rPr>
              <w:t>2</w:t>
            </w:r>
            <w:r>
              <w:rPr>
                <w:rFonts w:hint="eastAsia" w:ascii="宋体" w:hAnsi="宋体" w:eastAsia="宋体" w:cs="宋体"/>
                <w:b/>
                <w:bCs/>
                <w:kern w:val="2"/>
                <w:sz w:val="21"/>
                <w:szCs w:val="21"/>
                <w:highlight w:val="none"/>
                <w:u w:val="single"/>
              </w:rPr>
              <w:t>0分）</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＋经济得分（满分100分）×经济得分权重（</w:t>
            </w:r>
            <w:r>
              <w:rPr>
                <w:rFonts w:hint="eastAsia" w:ascii="宋体" w:hAnsi="宋体" w:cs="宋体"/>
                <w:b/>
                <w:bCs/>
                <w:color w:val="000000" w:themeColor="text1"/>
                <w:kern w:val="2"/>
                <w:sz w:val="21"/>
                <w:szCs w:val="21"/>
                <w:highlight w:val="none"/>
                <w:u w:val="single"/>
                <w:lang w:val="en-US" w:eastAsia="zh-CN"/>
                <w14:textFill>
                  <w14:solidFill>
                    <w14:schemeClr w14:val="tx1"/>
                  </w14:solidFill>
                </w14:textFill>
              </w:rPr>
              <w:t>8</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p>
          <w:p>
            <w:pPr>
              <w:pStyle w:val="33"/>
              <w:ind w:firstLine="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w:t>
            </w:r>
            <w:r>
              <w:rPr>
                <w:rFonts w:hint="eastAsia" w:ascii="宋体" w:hAnsi="宋体" w:cs="宋体"/>
                <w:bCs/>
                <w:color w:val="000000" w:themeColor="text1"/>
                <w:szCs w:val="21"/>
                <w:highlight w:val="none"/>
                <w14:textFill>
                  <w14:solidFill>
                    <w14:schemeClr w14:val="tx1"/>
                  </w14:solidFill>
                </w14:textFill>
              </w:rPr>
              <w:t>得分四舍五入保留两位小数。</w:t>
            </w:r>
            <w:r>
              <w:rPr>
                <w:rFonts w:hint="eastAsia" w:ascii="宋体" w:hAnsi="宋体" w:cs="宋体"/>
                <w:color w:val="000000" w:themeColor="text1"/>
                <w:highlight w:val="none"/>
                <w:u w:val="single"/>
                <w14:textFill>
                  <w14:solidFill>
                    <w14:schemeClr w14:val="tx1"/>
                  </w14:solidFill>
                </w14:textFill>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r>
              <w:rPr>
                <w:rFonts w:hint="eastAsia" w:ascii="宋体" w:hAnsi="宋体" w:cs="宋体"/>
                <w:color w:val="000000" w:themeColor="text1"/>
                <w:highlight w:val="none"/>
                <w:u w:val="singl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方式一：中标人提供的履约保证金为中标价款的10%。</w:t>
            </w:r>
          </w:p>
          <w:p>
            <w:pPr>
              <w:pStyle w:val="33"/>
              <w:spacing w:after="0"/>
              <w:ind w:firstLine="0"/>
              <w:rPr>
                <w:rFonts w:ascii="宋体" w:hAnsi="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本项目最高投标限价为人民币</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8,974,649.81  </w:t>
            </w:r>
            <w:r>
              <w:rPr>
                <w:rFonts w:hint="eastAsia" w:ascii="宋体" w:hAnsi="宋体"/>
                <w:color w:val="000000" w:themeColor="text1"/>
                <w:szCs w:val="21"/>
                <w:highlight w:val="none"/>
                <w14:textFill>
                  <w14:solidFill>
                    <w14:schemeClr w14:val="tx1"/>
                  </w14:solidFill>
                </w14:textFill>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本项目绿色施工安全防护措施费为</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413,855.65 </w:t>
            </w:r>
            <w:r>
              <w:rPr>
                <w:rFonts w:hint="eastAsia" w:ascii="宋体" w:hAnsi="宋体"/>
                <w:color w:val="000000" w:themeColor="text1"/>
                <w:szCs w:val="21"/>
                <w:highlight w:val="none"/>
                <w14:textFill>
                  <w14:solidFill>
                    <w14:schemeClr w14:val="tx1"/>
                  </w14:solidFill>
                </w14:textFill>
              </w:rPr>
              <w:t>元，暂列金额为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元，暂估价为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3"/>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工程成本警戒价为</w:t>
            </w:r>
            <w:r>
              <w:rPr>
                <w:rFonts w:hint="eastAsia" w:ascii="宋体" w:hAnsi="宋体"/>
                <w:color w:val="000000" w:themeColor="text1"/>
                <w:szCs w:val="21"/>
                <w:highlight w:val="none"/>
                <w:u w:val="single"/>
                <w:lang w:val="en-US" w:eastAsia="zh-CN"/>
                <w14:textFill>
                  <w14:solidFill>
                    <w14:schemeClr w14:val="tx1"/>
                  </w14:solidFill>
                </w14:textFill>
              </w:rPr>
              <w:t xml:space="preserve"> 8,525,917.32 </w:t>
            </w:r>
            <w:r>
              <w:rPr>
                <w:rFonts w:hint="eastAsia" w:ascii="宋体" w:hAnsi="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u w:val="single"/>
                <w14:textFill>
                  <w14:solidFill>
                    <w14:schemeClr w14:val="tx1"/>
                  </w14:solidFill>
                </w14:textFill>
              </w:rPr>
              <w:t>(最高投标限价的95%设置为工程成本警戒价)</w:t>
            </w:r>
            <w:r>
              <w:rPr>
                <w:rFonts w:hint="eastAsia" w:ascii="宋体" w:hAnsi="宋体"/>
                <w:color w:val="000000" w:themeColor="text1"/>
                <w:szCs w:val="21"/>
                <w:highlight w:val="none"/>
                <w14:textFill>
                  <w14:solidFill>
                    <w14:schemeClr w14:val="tx1"/>
                  </w14:solidFill>
                </w14:textFill>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r>
              <w:rPr>
                <w:rFonts w:hint="eastAsia"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r>
              <w:rPr>
                <w:rFonts w:hint="eastAsia" w:ascii="宋体" w:hAnsi="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kern w:val="0"/>
                <w:szCs w:val="21"/>
                <w:highlight w:val="none"/>
                <w:lang w:val="zh-CN"/>
                <w14:textFill>
                  <w14:solidFill>
                    <w14:schemeClr w14:val="tx1"/>
                  </w14:solidFill>
                </w14:textFill>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b w:val="0"/>
                <w:bCs w:val="0"/>
                <w:color w:val="000000" w:themeColor="text1"/>
                <w:kern w:val="0"/>
                <w:szCs w:val="21"/>
                <w:highlight w:val="none"/>
                <w:lang w:val="zh-CN"/>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sym w:font="Wingdings 2" w:char="00A3"/>
            </w:r>
            <w:r>
              <w:rPr>
                <w:rFonts w:hint="eastAsia" w:ascii="宋体" w:hAnsi="宋体"/>
                <w:color w:val="000000" w:themeColor="text1"/>
                <w:kern w:val="0"/>
                <w:szCs w:val="21"/>
                <w:highlight w:val="none"/>
                <w:lang w:val="zh-CN"/>
                <w14:textFill>
                  <w14:solidFill>
                    <w14:schemeClr w14:val="tx1"/>
                  </w14:solidFill>
                </w14:textFill>
              </w:rPr>
              <w:t>不允许；</w:t>
            </w:r>
          </w:p>
          <w:p>
            <w:pPr>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color w:val="000000" w:themeColor="text1"/>
                <w:kern w:val="0"/>
                <w:szCs w:val="21"/>
                <w:highlight w:val="none"/>
                <w:lang w:val="zh-CN"/>
                <w14:textFill>
                  <w14:solidFill>
                    <w14:schemeClr w14:val="tx1"/>
                  </w14:solidFill>
                </w14:textFill>
              </w:rPr>
              <w:t>允许：分包内容要要求：</w:t>
            </w:r>
            <w:r>
              <w:rPr>
                <w:rFonts w:hint="eastAsia" w:ascii="宋体" w:hAnsi="宋体" w:eastAsia="宋体" w:cs="宋体"/>
                <w:color w:val="000000" w:themeColor="text1"/>
                <w:kern w:val="0"/>
                <w:szCs w:val="21"/>
                <w:highlight w:val="none"/>
                <w:u w:val="single"/>
                <w:lang w:val="zh-CN"/>
                <w14:textFill>
                  <w14:solidFill>
                    <w14:schemeClr w14:val="tx1"/>
                  </w14:solidFill>
                </w14:textFill>
              </w:rPr>
              <w:t>中标人按照合同约定或者经招标人同意，可以将中标项目的部分非主体、非关键性工作分包给他人完成。</w:t>
            </w:r>
          </w:p>
          <w:p>
            <w:pPr>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zh-CN"/>
                <w14:textFill>
                  <w14:solidFill>
                    <w14:schemeClr w14:val="tx1"/>
                  </w14:solidFill>
                </w14:textFill>
              </w:rPr>
              <w:t>分包金额要求：</w:t>
            </w:r>
            <w:r>
              <w:rPr>
                <w:rFonts w:hint="eastAsia" w:ascii="宋体" w:hAnsi="宋体" w:eastAsia="宋体" w:cs="宋体"/>
                <w:color w:val="000000" w:themeColor="text1"/>
                <w:kern w:val="0"/>
                <w:szCs w:val="21"/>
                <w:highlight w:val="none"/>
                <w:u w:val="single"/>
                <w:lang w:val="zh-CN"/>
                <w14:textFill>
                  <w14:solidFill>
                    <w14:schemeClr w14:val="tx1"/>
                  </w14:solidFill>
                </w14:textFill>
              </w:rPr>
              <w:t>根据实际情况确定。</w:t>
            </w:r>
          </w:p>
          <w:p>
            <w:pPr>
              <w:rPr>
                <w:rFonts w:hint="eastAsia" w:ascii="宋体" w:hAnsi="宋体" w:eastAsia="宋体" w:cs="宋体"/>
                <w:color w:val="000000" w:themeColor="text1"/>
                <w:kern w:val="0"/>
                <w:szCs w:val="21"/>
                <w:highlight w:val="none"/>
                <w:u w:val="singl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 xml:space="preserve">      对分包人的资质要求：</w:t>
            </w:r>
            <w:r>
              <w:rPr>
                <w:rFonts w:hint="eastAsia" w:ascii="宋体" w:hAnsi="宋体" w:eastAsia="宋体" w:cs="宋体"/>
                <w:color w:val="000000" w:themeColor="text1"/>
                <w:kern w:val="0"/>
                <w:szCs w:val="21"/>
                <w:highlight w:val="none"/>
                <w:u w:val="single"/>
                <w:lang w:val="zh-CN"/>
                <w14:textFill>
                  <w14:solidFill>
                    <w14:schemeClr w14:val="tx1"/>
                  </w14:solidFill>
                </w14:textFill>
              </w:rPr>
              <w:t>按国家资质管理规定执行。</w:t>
            </w:r>
          </w:p>
          <w:p>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对分包人的其他要求：</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zh-CN"/>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none"/>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1、按照交易平台关于全流程电子化项目的相关指南进行操作。详见：</w:t>
            </w:r>
            <w:r>
              <w:rPr>
                <w:rFonts w:hint="eastAsia" w:ascii="宋体" w:hAnsi="宋体" w:eastAsia="宋体" w:cs="宋体"/>
                <w:color w:val="000000" w:themeColor="text1"/>
                <w:kern w:val="0"/>
                <w:szCs w:val="21"/>
                <w:highlight w:val="none"/>
                <w:u w:val="single"/>
                <w:lang w:val="zh-CN"/>
                <w14:textFill>
                  <w14:solidFill>
                    <w14:schemeClr w14:val="tx1"/>
                  </w14:solidFill>
                </w14:textFill>
              </w:rPr>
              <w:t>广州公共资源交易中心网站</w:t>
            </w:r>
            <w:r>
              <w:rPr>
                <w:rFonts w:hint="eastAsia" w:ascii="宋体" w:hAnsi="宋体" w:cs="Courier New"/>
                <w:color w:val="000000" w:themeColor="text1"/>
                <w:szCs w:val="21"/>
                <w:highlight w:val="none"/>
                <w14:textFill>
                  <w14:solidFill>
                    <w14:schemeClr w14:val="tx1"/>
                  </w14:solidFill>
                </w14:textFill>
              </w:rPr>
              <w:t xml:space="preserve">。  </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2、提交投标文件光盘备用</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 3、补救方案</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（1）投标文件解密失败的补救方案：</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（2）评标时突发情况的补救方案</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Courier New"/>
                <w:color w:val="000000" w:themeColor="text1"/>
                <w:szCs w:val="21"/>
                <w:highlight w:val="none"/>
                <w14:textFill>
                  <w14:solidFill>
                    <w14:schemeClr w14:val="tx1"/>
                  </w14:solidFill>
                </w14:textFill>
              </w:rPr>
            </w:pPr>
            <w:r>
              <w:rPr>
                <w:rFonts w:ascii="宋体" w:hAnsi="宋体" w:eastAsia="宋体" w:cs="宋体"/>
                <w:b/>
                <w:color w:val="000000" w:themeColor="text1"/>
                <w:highlight w:val="none"/>
                <w:u w:val="single"/>
                <w14:textFill>
                  <w14:solidFill>
                    <w14:schemeClr w14:val="tx1"/>
                  </w14:solidFill>
                </w14:textFill>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themeColor="text1"/>
                <w:highlight w:val="none"/>
                <w14:textFill>
                  <w14:solidFill>
                    <w14:schemeClr w14:val="tx1"/>
                  </w14:solidFill>
                </w14:textFill>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其他费用</w:t>
            </w:r>
          </w:p>
        </w:tc>
        <w:tc>
          <w:tcPr>
            <w:tcW w:w="5857"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cs="Courier New"/>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交易服务费：根据广州市政府相关文件的规定，向广州公共资源交易中心交纳交易服务费。</w:t>
            </w:r>
          </w:p>
        </w:tc>
      </w:tr>
    </w:tbl>
    <w:p>
      <w:pPr>
        <w:spacing w:line="480" w:lineRule="auto"/>
        <w:rPr>
          <w:rFonts w:ascii="宋体"/>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注：企业</w:t>
      </w:r>
      <w:r>
        <w:rPr>
          <w:rFonts w:hint="eastAsia" w:ascii="宋体" w:hAnsi="宋体" w:cs="宋体"/>
          <w:strike/>
          <w:dstrike w:val="0"/>
          <w:color w:val="000000" w:themeColor="text1"/>
          <w:kern w:val="0"/>
          <w:sz w:val="24"/>
          <w:highlight w:val="none"/>
          <w14:textFill>
            <w14:solidFill>
              <w14:schemeClr w14:val="tx1"/>
            </w14:solidFill>
          </w14:textFill>
        </w:rPr>
        <w:t>综合诚信评价得分即</w:t>
      </w:r>
      <w:r>
        <w:rPr>
          <w:rFonts w:hint="eastAsia" w:ascii="宋体" w:hAnsi="宋体"/>
          <w:strike/>
          <w:dstrike w:val="0"/>
          <w:color w:val="000000" w:themeColor="text1"/>
          <w:sz w:val="24"/>
          <w:highlight w:val="none"/>
          <w14:textFill>
            <w14:solidFill>
              <w14:schemeClr w14:val="tx1"/>
            </w14:solidFill>
          </w14:textFill>
        </w:rPr>
        <w:t>企业</w:t>
      </w:r>
      <w:r>
        <w:rPr>
          <w:rFonts w:hint="eastAsia" w:ascii="宋体" w:hAnsi="宋体" w:cs="宋体"/>
          <w:strike/>
          <w:dstrike w:val="0"/>
          <w:color w:val="000000" w:themeColor="text1"/>
          <w:kern w:val="0"/>
          <w:sz w:val="24"/>
          <w:highlight w:val="none"/>
          <w14:textFill>
            <w14:solidFill>
              <w14:schemeClr w14:val="tx1"/>
            </w14:solidFill>
          </w14:textFill>
        </w:rPr>
        <w:t>综合诚信评价</w:t>
      </w:r>
      <w:r>
        <w:rPr>
          <w:rFonts w:ascii="宋体" w:hAnsi="宋体" w:cs="宋体"/>
          <w:strike/>
          <w:dstrike w:val="0"/>
          <w:color w:val="000000" w:themeColor="text1"/>
          <w:kern w:val="0"/>
          <w:sz w:val="24"/>
          <w:highlight w:val="none"/>
          <w14:textFill>
            <w14:solidFill>
              <w14:schemeClr w14:val="tx1"/>
            </w14:solidFill>
          </w14:textFill>
        </w:rPr>
        <w:t>60</w:t>
      </w:r>
      <w:r>
        <w:rPr>
          <w:rFonts w:hint="eastAsia" w:ascii="宋体" w:hAnsi="宋体" w:cs="宋体"/>
          <w:strike/>
          <w:dstrike w:val="0"/>
          <w:color w:val="000000" w:themeColor="text1"/>
          <w:kern w:val="0"/>
          <w:sz w:val="24"/>
          <w:highlight w:val="none"/>
          <w14:textFill>
            <w14:solidFill>
              <w14:schemeClr w14:val="tx1"/>
            </w14:solidFill>
          </w14:textFill>
        </w:rPr>
        <w:t>日诚信分，以下同。</w:t>
      </w:r>
    </w:p>
    <w:p>
      <w:pPr>
        <w:pStyle w:val="4"/>
        <w:rPr>
          <w:rFonts w:hint="eastAsia"/>
          <w:color w:val="000000" w:themeColor="text1"/>
          <w:highlight w:val="none"/>
          <w14:textFill>
            <w14:solidFill>
              <w14:schemeClr w14:val="tx1"/>
            </w14:solidFill>
          </w14:textFill>
        </w:rPr>
      </w:pPr>
      <w:bookmarkStart w:id="10" w:name="_Toc2272547"/>
      <w:bookmarkStart w:id="11" w:name="_Toc21525491"/>
    </w:p>
    <w:p>
      <w:pPr>
        <w:pStyle w:val="5"/>
        <w:rPr>
          <w:rFonts w:hint="eastAsia"/>
          <w:color w:val="000000" w:themeColor="text1"/>
          <w:highlight w:val="none"/>
          <w14:textFill>
            <w14:solidFill>
              <w14:schemeClr w14:val="tx1"/>
            </w14:solidFill>
          </w14:textFill>
        </w:rPr>
      </w:pPr>
    </w:p>
    <w:p>
      <w:pPr>
        <w:pStyle w:val="5"/>
        <w:rPr>
          <w:rFonts w:hint="eastAsia"/>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bookmarkStart w:id="12" w:name="_Toc18230"/>
      <w:bookmarkStart w:id="13" w:name="_Toc9336"/>
      <w:r>
        <w:rPr>
          <w:rFonts w:hint="eastAsia"/>
          <w:color w:val="000000" w:themeColor="text1"/>
          <w:highlight w:val="none"/>
          <w14:textFill>
            <w14:solidFill>
              <w14:schemeClr w14:val="tx1"/>
            </w14:solidFill>
          </w14:textFill>
        </w:rPr>
        <w:t>二、投标须知修改表</w:t>
      </w:r>
      <w:bookmarkEnd w:id="10"/>
      <w:bookmarkEnd w:id="11"/>
      <w:bookmarkEnd w:id="12"/>
      <w:bookmarkEnd w:id="13"/>
    </w:p>
    <w:p>
      <w:pPr>
        <w:pStyle w:val="33"/>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http://zfcj.gz.gov.cn/）下载查阅。</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2.5</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修改类型：增加</w:t>
      </w:r>
    </w:p>
    <w:p>
      <w:pPr>
        <w:pBdr>
          <w:bottom w:val="single" w:color="auto" w:sz="6" w:space="1"/>
        </w:pBd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
          <w:color w:val="000000" w:themeColor="text1"/>
          <w:szCs w:val="21"/>
          <w:highlight w:val="none"/>
          <w:u w:val="single"/>
          <w14:textFill>
            <w14:solidFill>
              <w14:schemeClr w14:val="tx1"/>
            </w14:solidFill>
          </w14:textFill>
        </w:rPr>
        <w:t>2.5</w:t>
      </w:r>
      <w:r>
        <w:rPr>
          <w:rFonts w:hint="eastAsia" w:ascii="宋体" w:hAnsi="宋体" w:cs="宋体"/>
          <w:color w:val="000000" w:themeColor="text1"/>
          <w:szCs w:val="21"/>
          <w:highlight w:val="none"/>
          <w:u w:val="single"/>
          <w14:textFill>
            <w14:solidFill>
              <w14:schemeClr w14:val="tx1"/>
            </w14:solidFill>
          </w14:textFill>
        </w:rPr>
        <w:t>根据《建设工程质量检测管理办法》（建设部令第141号）第十二条规定，建设工程质量、安全检测业务应由建设单位依法委托，不列入本次招标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5.1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ascii="宋体"/>
          <w:bCs/>
          <w:color w:val="000000" w:themeColor="text1"/>
          <w:sz w:val="24"/>
          <w:highlight w:val="none"/>
          <w:u w:val="singl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Cs w:val="21"/>
          <w:highlight w:val="none"/>
          <w:u w:val="single"/>
          <w14:textFill>
            <w14:solidFill>
              <w14:schemeClr w14:val="tx1"/>
            </w14:solidFill>
          </w14:textFill>
        </w:rPr>
        <w:t>投标人不进行踏勘的，视为已熟知现场条件，自行承担相关风险</w:t>
      </w:r>
      <w:r>
        <w:rPr>
          <w:rFonts w:hint="eastAsia" w:ascii="宋体" w:hAnsi="宋体" w:cs="宋体"/>
          <w:color w:val="000000" w:themeColor="text1"/>
          <w:szCs w:val="21"/>
          <w:highlight w:val="none"/>
          <w14:textFill>
            <w14:solidFill>
              <w14:schemeClr w14:val="tx1"/>
            </w14:solidFill>
          </w14:textFill>
        </w:rPr>
        <w:t>。一旦中标，这种考察即被认为其结果已在中标文件中得到充分反映。</w:t>
      </w:r>
      <w:r>
        <w:rPr>
          <w:rFonts w:hint="eastAsia" w:ascii="宋体" w:hAnsi="宋体" w:cs="宋体"/>
          <w:color w:val="000000" w:themeColor="text1"/>
          <w:szCs w:val="21"/>
          <w:highlight w:val="none"/>
          <w:u w:val="single"/>
          <w14:textFill>
            <w14:solidFill>
              <w14:schemeClr w14:val="tx1"/>
            </w14:solidFill>
          </w14:textFill>
        </w:rPr>
        <w:t>招标人不受理因投标人缺乏对现场条件的了解或掌握而提出的任何索赔。</w:t>
      </w:r>
      <w:r>
        <w:rPr>
          <w:rFonts w:hint="eastAsia" w:ascii="宋体" w:hAnsi="宋体" w:cs="宋体"/>
          <w:color w:val="000000" w:themeColor="text1"/>
          <w:szCs w:val="21"/>
          <w:highlight w:val="none"/>
          <w14:textFill>
            <w14:solidFill>
              <w14:schemeClr w14:val="tx1"/>
            </w14:solidFill>
          </w14:textFill>
        </w:rPr>
        <w:t>考察现场的费用由投标人自己承担。</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7.1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7.1本招标文件包括下列文件，以及所有按本须知第8条发出的招标答疑会会议纪要和按本须知第9条发出的澄清或修改：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投标须知</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开标、评标及定标办法</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合同条款</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投标文件格式</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技术条件（工程建设标准）（另册）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图纸及勘察资料（另册）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第七章  招标工程量清单（另册）</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第八章  最高投标限价</w:t>
      </w:r>
    </w:p>
    <w:p>
      <w:pPr>
        <w:pStyle w:val="33"/>
        <w:spacing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kern w:val="0"/>
          <w:sz w:val="21"/>
          <w:szCs w:val="21"/>
        </w:rPr>
        <w:t>注：招标人应在技术条件（工程建设标准）中明确施工现场建筑垃圾源头减量的具体要求和建筑垃圾综合利用产品的使用要求。</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t>本招标文件包括下列文件，以及所有按本须知第8条发出的招标答疑会会议纪要和按本须知第9条发出的澄清或修改：</w:t>
      </w:r>
    </w:p>
    <w:p>
      <w:pPr>
        <w:pStyle w:val="33"/>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第一章  </w:t>
      </w:r>
      <w:r>
        <w:rPr>
          <w:rFonts w:hint="eastAsia" w:ascii="宋体" w:hAnsi="宋体" w:cs="宋体"/>
          <w:color w:val="000000" w:themeColor="text1"/>
          <w:sz w:val="21"/>
          <w:szCs w:val="21"/>
          <w:highlight w:val="none"/>
          <w14:textFill>
            <w14:solidFill>
              <w14:schemeClr w14:val="tx1"/>
            </w14:solidFill>
          </w14:textFill>
        </w:rPr>
        <w:t>投标须知</w:t>
      </w:r>
    </w:p>
    <w:p>
      <w:pPr>
        <w:pStyle w:val="33"/>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第二章  </w:t>
      </w:r>
      <w:r>
        <w:rPr>
          <w:rFonts w:hint="eastAsia" w:ascii="宋体" w:hAnsi="宋体" w:cs="宋体"/>
          <w:color w:val="000000" w:themeColor="text1"/>
          <w:sz w:val="21"/>
          <w:szCs w:val="21"/>
          <w:highlight w:val="none"/>
          <w14:textFill>
            <w14:solidFill>
              <w14:schemeClr w14:val="tx1"/>
            </w14:solidFill>
          </w14:textFill>
        </w:rPr>
        <w:t>开标、评标及定标办法</w:t>
      </w:r>
    </w:p>
    <w:p>
      <w:pPr>
        <w:pStyle w:val="33"/>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第三章  合同条款</w:t>
      </w:r>
    </w:p>
    <w:p>
      <w:pPr>
        <w:pStyle w:val="33"/>
        <w:spacing w:after="0" w:line="360" w:lineRule="auto"/>
        <w:ind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第四章  </w:t>
      </w:r>
      <w:r>
        <w:rPr>
          <w:rFonts w:hint="eastAsia" w:ascii="宋体" w:hAnsi="宋体" w:cs="宋体"/>
          <w:color w:val="000000" w:themeColor="text1"/>
          <w:sz w:val="21"/>
          <w:szCs w:val="21"/>
          <w:highlight w:val="none"/>
          <w14:textFill>
            <w14:solidFill>
              <w14:schemeClr w14:val="tx1"/>
            </w14:solidFill>
          </w14:textFill>
        </w:rPr>
        <w:t>投标文件格式</w:t>
      </w:r>
    </w:p>
    <w:p>
      <w:pPr>
        <w:pStyle w:val="33"/>
        <w:spacing w:after="0" w:line="360" w:lineRule="auto"/>
        <w:ind w:left="-2" w:firstLineChars="20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bCs/>
          <w:color w:val="000000" w:themeColor="text1"/>
          <w:sz w:val="21"/>
          <w:szCs w:val="21"/>
          <w:highlight w:val="none"/>
          <w:u w:val="single"/>
          <w14:textFill>
            <w14:solidFill>
              <w14:schemeClr w14:val="tx1"/>
            </w14:solidFill>
          </w14:textFill>
        </w:rPr>
        <w:t xml:space="preserve">第五章  </w:t>
      </w:r>
      <w:r>
        <w:rPr>
          <w:rFonts w:hint="eastAsia" w:ascii="宋体" w:hAnsi="宋体" w:cs="宋体"/>
          <w:color w:val="000000" w:themeColor="text1"/>
          <w:sz w:val="21"/>
          <w:szCs w:val="21"/>
          <w:highlight w:val="none"/>
          <w:u w:val="single"/>
          <w14:textFill>
            <w14:solidFill>
              <w14:schemeClr w14:val="tx1"/>
            </w14:solidFill>
          </w14:textFill>
        </w:rPr>
        <w:t>技术条件（工程建设标准）</w:t>
      </w:r>
    </w:p>
    <w:p>
      <w:pPr>
        <w:pStyle w:val="33"/>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第六章  </w:t>
      </w:r>
      <w:r>
        <w:rPr>
          <w:rFonts w:hint="eastAsia" w:ascii="宋体" w:hAnsi="宋体" w:cs="宋体"/>
          <w:color w:val="000000" w:themeColor="text1"/>
          <w:sz w:val="21"/>
          <w:szCs w:val="21"/>
          <w:highlight w:val="none"/>
          <w14:textFill>
            <w14:solidFill>
              <w14:schemeClr w14:val="tx1"/>
            </w14:solidFill>
          </w14:textFill>
        </w:rPr>
        <w:t>图纸及勘察资料（另册）</w:t>
      </w:r>
    </w:p>
    <w:p>
      <w:pPr>
        <w:pStyle w:val="33"/>
        <w:spacing w:after="0" w:line="360" w:lineRule="auto"/>
        <w:ind w:left="-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第七章  招标</w:t>
      </w:r>
      <w:r>
        <w:rPr>
          <w:rFonts w:hint="eastAsia" w:ascii="宋体" w:hAnsi="宋体" w:cs="宋体"/>
          <w:color w:val="000000" w:themeColor="text1"/>
          <w:sz w:val="21"/>
          <w:szCs w:val="21"/>
          <w:highlight w:val="none"/>
          <w14:textFill>
            <w14:solidFill>
              <w14:schemeClr w14:val="tx1"/>
            </w14:solidFill>
          </w14:textFill>
        </w:rPr>
        <w:t xml:space="preserve">工程量清单（另册） </w:t>
      </w:r>
    </w:p>
    <w:p>
      <w:pPr>
        <w:pStyle w:val="33"/>
        <w:spacing w:after="0"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第八章  最高投标限价</w:t>
      </w:r>
    </w:p>
    <w:p>
      <w:pPr>
        <w:pStyle w:val="33"/>
        <w:spacing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kern w:val="0"/>
          <w:sz w:val="21"/>
          <w:szCs w:val="21"/>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pStyle w:val="45"/>
      </w:pP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8.1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u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u w:val="none"/>
          <w14:textFill>
            <w14:solidFill>
              <w14:schemeClr w14:val="tx1"/>
            </w14:solidFill>
          </w14:textFill>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8.1</w:t>
      </w:r>
      <w:r>
        <w:rPr>
          <w:rFonts w:hint="eastAsia" w:ascii="宋体" w:hAnsi="宋体" w:cs="宋体"/>
          <w:color w:val="000000" w:themeColor="text1"/>
          <w:szCs w:val="21"/>
          <w:highlight w:val="none"/>
          <w:u w:val="single"/>
          <w14:textFill>
            <w14:solidFill>
              <w14:schemeClr w14:val="tx1"/>
            </w14:solidFill>
          </w14:textFill>
        </w:rPr>
        <w:t>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8.2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33"/>
        <w:spacing w:after="0" w:line="360" w:lineRule="auto"/>
        <w:ind w:firstLine="422"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8.2招标答疑会会议纪要将在提交投标文件截止时间15日前在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 “项目答疑纪要”专区公开发布。答疑纪要一经在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交易平台发布，视作已发放给所有投标人。</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8.2招标答疑会会议纪要将在提交投标文件截止时间15日前</w:t>
      </w:r>
      <w:r>
        <w:rPr>
          <w:rFonts w:hint="eastAsia" w:ascii="宋体" w:hAnsi="宋体" w:cs="宋体"/>
          <w:color w:val="000000" w:themeColor="text1"/>
          <w:szCs w:val="21"/>
          <w:highlight w:val="none"/>
          <w:u w:val="single"/>
          <w14:textFill>
            <w14:solidFill>
              <w14:schemeClr w14:val="tx1"/>
            </w14:solidFill>
          </w14:textFill>
        </w:rPr>
        <w:t>在广州公共资源交易中心网站“项目答疑纪要”专区公开发布。答疑纪要一经在广州公共资源交易中心网站发布，视作已发放给所有投标人。</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8.4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8.4若</w:t>
      </w:r>
      <w:r>
        <w:rPr>
          <w:rFonts w:hint="eastAsia" w:ascii="宋体" w:hAnsi="宋体" w:cs="宋体"/>
          <w:color w:val="000000" w:themeColor="text1"/>
          <w:szCs w:val="21"/>
          <w:highlight w:val="none"/>
          <w:u w:val="single"/>
          <w14:textFill>
            <w14:solidFill>
              <w14:schemeClr w14:val="tx1"/>
            </w14:solidFill>
          </w14:textFill>
        </w:rPr>
        <w:t>招标答疑纪要</w:t>
      </w:r>
      <w:r>
        <w:rPr>
          <w:rFonts w:hint="eastAsia" w:ascii="宋体" w:hAnsi="宋体" w:cs="宋体"/>
          <w:color w:val="000000" w:themeColor="text1"/>
          <w:szCs w:val="21"/>
          <w:highlight w:val="none"/>
          <w14:textFill>
            <w14:solidFill>
              <w14:schemeClr w14:val="tx1"/>
            </w14:solidFill>
          </w14:textFill>
        </w:rPr>
        <w:t>与招标文件有矛盾时，以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最后发布的答疑纪要为准。</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9.2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Bdr>
          <w:bottom w:val="single" w:color="auto" w:sz="6" w:space="1"/>
        </w:pBdr>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9.2招标文件的澄清或修改将在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交易平台“项目答疑纪要”专区公开发布。答疑</w:t>
      </w:r>
      <w:r>
        <w:rPr>
          <w:rFonts w:hint="eastAsia" w:ascii="宋体" w:hAnsi="宋体" w:cs="宋体"/>
          <w:color w:val="000000" w:themeColor="text1"/>
          <w:szCs w:val="21"/>
          <w:highlight w:val="none"/>
          <w:lang w:val="en-US" w:eastAsia="zh-CN"/>
          <w14:textFill>
            <w14:solidFill>
              <w14:schemeClr w14:val="tx1"/>
            </w14:solidFill>
          </w14:textFill>
        </w:rPr>
        <w:t>纪要</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一经在</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交易平台发布，视作已发放给所有投标人，以</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交易平台上网发布时间作为送达时间。</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9.2招标文件的澄清或修改将在</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“项目答疑纪要”专区公开发布。答疑纪要一经在</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发布，视作已发放给所有投标人，以</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发布时间作为送达时间。</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9.4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Bdr>
          <w:bottom w:val="single" w:color="auto" w:sz="6" w:space="1"/>
        </w:pBd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9.4招标文件的澄清或修改</w:t>
      </w:r>
      <w:r>
        <w:rPr>
          <w:rFonts w:hint="eastAsia" w:ascii="宋体" w:hAnsi="宋体" w:cs="宋体"/>
          <w:color w:val="000000" w:themeColor="text1"/>
          <w:szCs w:val="21"/>
          <w:highlight w:val="none"/>
          <w:u w:val="single"/>
          <w14:textFill>
            <w14:solidFill>
              <w14:schemeClr w14:val="tx1"/>
            </w14:solidFill>
          </w14:textFill>
        </w:rPr>
        <w:t>在广州公共资源交易中心网站“项目答疑纪要”专区公开发布</w:t>
      </w:r>
      <w:r>
        <w:rPr>
          <w:rFonts w:hint="eastAsia" w:ascii="宋体" w:hAnsi="宋体" w:cs="宋体"/>
          <w:color w:val="000000" w:themeColor="text1"/>
          <w:szCs w:val="21"/>
          <w:highlight w:val="none"/>
          <w14:textFill>
            <w14:solidFill>
              <w14:schemeClr w14:val="tx1"/>
            </w14:solidFill>
          </w14:textFill>
        </w:rPr>
        <w:t>。当招标文件的澄清、修改、补充等在同一内容的表述不一致时，以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最后发布的内容为准。</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Cs/>
          <w:color w:val="000000" w:themeColor="text1"/>
          <w:szCs w:val="21"/>
          <w:highlight w:val="none"/>
          <w14:textFill>
            <w14:solidFill>
              <w14:schemeClr w14:val="tx1"/>
            </w14:solidFill>
          </w14:textFill>
        </w:rPr>
        <w:t>11.2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11.2投标文件技术标部分主要包括下列内容: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 技术投标文件(按招标文件的要求填写)；</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 资格审查文件：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（1）投标人声明；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（2）法定代表人证明书、法定代表人签字或盖章的本投标文件授权委托证明书；</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（3）企业营业执照（取自平台内上传件）；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（4）企业资质证书（取自平台内上传件）；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（5）建筑施工企业安全生产许可证（取自平台内上传件）；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（6）项目负责人（按网上投标登记时选择拟投标的项目负责人）</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（7）专职安全员（按网上投标登记时选择拟投标的专职安全员）</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（8）拟委托技术负责人的相关证书、资料（具体要求由招标人明确）</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（9）拟委派项目负责人的建造师注册证书（取自平台内上传件）；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（13）资格审查前，投标人须在广州市住房和城乡建设局建立企业</w:t>
      </w:r>
      <w:r>
        <w:rPr>
          <w:rFonts w:hint="eastAsia" w:ascii="宋体" w:hAnsi="宋体" w:cs="宋体"/>
          <w:color w:val="000000" w:themeColor="text1"/>
          <w:szCs w:val="21"/>
          <w:highlight w:val="none"/>
          <w:lang w:eastAsia="zh-CN"/>
          <w14:textFill>
            <w14:solidFill>
              <w14:schemeClr w14:val="tx1"/>
            </w14:solidFill>
          </w14:textFill>
        </w:rPr>
        <w:t>信用</w:t>
      </w:r>
      <w:r>
        <w:rPr>
          <w:rFonts w:hint="eastAsia" w:ascii="宋体" w:hAnsi="宋体" w:cs="宋体"/>
          <w:color w:val="000000" w:themeColor="text1"/>
          <w:szCs w:val="21"/>
          <w:highlight w:val="none"/>
          <w14:textFill>
            <w14:solidFill>
              <w14:schemeClr w14:val="tx1"/>
            </w14:solidFill>
          </w14:textFill>
        </w:rPr>
        <w:t>档案，拟担任本工程项目负责人、专职安全员须是本企业信用档案中的在册人员。</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（14）列明主办单位的联合体工作协议（采用联合体投标时需递交，投标人拟任本工程项目负责人应为联合体主办方</w:t>
      </w:r>
      <w:r>
        <w:rPr>
          <w:rFonts w:hint="eastAsia" w:ascii="宋体" w:hAnsi="宋体" w:cs="宋体"/>
          <w:color w:val="000000" w:themeColor="text1"/>
          <w:szCs w:val="21"/>
          <w:highlight w:val="none"/>
          <w:lang w:eastAsia="zh-CN"/>
          <w14:textFill>
            <w14:solidFill>
              <w14:schemeClr w14:val="tx1"/>
            </w14:solidFill>
          </w14:textFill>
        </w:rPr>
        <w:t>信用</w:t>
      </w:r>
      <w:r>
        <w:rPr>
          <w:rFonts w:hint="eastAsia" w:ascii="宋体" w:hAnsi="宋体" w:cs="宋体"/>
          <w:color w:val="000000" w:themeColor="text1"/>
          <w:szCs w:val="21"/>
          <w:highlight w:val="none"/>
          <w14:textFill>
            <w14:solidFill>
              <w14:schemeClr w14:val="tx1"/>
            </w14:solidFill>
          </w14:textFill>
        </w:rPr>
        <w:t xml:space="preserve">档案中的在册人员，联合体工作协议应明确约定各方拟承担的工作和责任）；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11.2.3项目管理机构配备。</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（1）投标人应列出该项目工程的施工组织机构构成和画出机构框架图及其负责人；</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（3）其他辅助说明资料。</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11.2.5施工组织设计或施工方案。</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11.2.6按照招标文件要求填写的《参与编制技术标投标文件人员名单》。</w:t>
      </w:r>
    </w:p>
    <w:p>
      <w:pPr>
        <w:spacing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11.2投标文件技术标部分主要包括下列内容:</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11.2.1 </w:t>
      </w:r>
      <w:r>
        <w:rPr>
          <w:rFonts w:hint="eastAsia" w:ascii="宋体" w:hAnsi="宋体" w:cs="宋体"/>
          <w:bCs/>
          <w:color w:val="000000" w:themeColor="text1"/>
          <w:szCs w:val="21"/>
          <w:highlight w:val="none"/>
          <w:u w:val="single"/>
          <w14:textFill>
            <w14:solidFill>
              <w14:schemeClr w14:val="tx1"/>
            </w14:solidFill>
          </w14:textFill>
        </w:rPr>
        <w:t>技术标投标书</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szCs w:val="21"/>
          <w:highlight w:val="none"/>
          <w:u w:val="none"/>
        </w:rPr>
        <w:t>按本招标文件</w:t>
      </w:r>
      <w:r>
        <w:rPr>
          <w:rFonts w:hint="eastAsia" w:ascii="宋体" w:hAnsi="宋体"/>
          <w:szCs w:val="21"/>
          <w:highlight w:val="none"/>
          <w:u w:val="single"/>
        </w:rPr>
        <w:t>“第四章投标文件格式”的技术标投标文件（含资格审查文件）格式一</w:t>
      </w:r>
      <w:r>
        <w:rPr>
          <w:rFonts w:hint="eastAsia" w:ascii="宋体" w:hAnsi="宋体" w:cs="宋体"/>
          <w:bCs/>
          <w:color w:val="000000" w:themeColor="text1"/>
          <w:szCs w:val="21"/>
          <w:highlight w:val="none"/>
          <w14:textFill>
            <w14:solidFill>
              <w14:schemeClr w14:val="tx1"/>
            </w14:solidFill>
          </w14:textFill>
        </w:rPr>
        <w:t>的要求填写)；</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11.2.2 资格审查文件：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（1）投标人声明</w:t>
      </w:r>
      <w:r>
        <w:rPr>
          <w:rFonts w:hint="eastAsia" w:ascii="宋体" w:hAnsi="宋体" w:cs="宋体"/>
          <w:bCs/>
          <w:color w:val="000000" w:themeColor="text1"/>
          <w:szCs w:val="21"/>
          <w:highlight w:val="none"/>
          <w:u w:val="single"/>
          <w14:textFill>
            <w14:solidFill>
              <w14:schemeClr w14:val="tx1"/>
            </w14:solidFill>
          </w14:textFill>
        </w:rPr>
        <w:t>（须按本工程招标公告附件</w:t>
      </w:r>
      <w:r>
        <w:rPr>
          <w:rFonts w:hint="eastAsia" w:ascii="宋体" w:hAnsi="宋体" w:cs="宋体"/>
          <w:bCs/>
          <w:color w:val="000000" w:themeColor="text1"/>
          <w:szCs w:val="21"/>
          <w:highlight w:val="none"/>
          <w:u w:val="single"/>
          <w:lang w:eastAsia="zh-CN"/>
          <w14:textFill>
            <w14:solidFill>
              <w14:schemeClr w14:val="tx1"/>
            </w14:solidFill>
          </w14:textFill>
        </w:rPr>
        <w:t>一</w:t>
      </w:r>
      <w:r>
        <w:rPr>
          <w:rFonts w:hint="eastAsia" w:ascii="宋体" w:hAnsi="宋体" w:cs="宋体"/>
          <w:bCs/>
          <w:color w:val="000000" w:themeColor="text1"/>
          <w:szCs w:val="21"/>
          <w:highlight w:val="none"/>
          <w:u w:val="single"/>
          <w14:textFill>
            <w14:solidFill>
              <w14:schemeClr w14:val="tx1"/>
            </w14:solidFill>
          </w14:textFill>
        </w:rPr>
        <w:t>格式）</w:t>
      </w:r>
      <w:r>
        <w:rPr>
          <w:rFonts w:hint="eastAsia" w:ascii="宋体" w:hAnsi="宋体" w:cs="宋体"/>
          <w:bCs/>
          <w:color w:val="000000" w:themeColor="text1"/>
          <w:szCs w:val="21"/>
          <w:highlight w:val="none"/>
          <w14:textFill>
            <w14:solidFill>
              <w14:schemeClr w14:val="tx1"/>
            </w14:solidFill>
          </w14:textFill>
        </w:rPr>
        <w:t xml:space="preserve">；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（2）法定代表人证明书、法定代表人签字或盖章的本投标文件授权委托证明书；</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（3）企业营业执照（取自平台内上传件）；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（4）企业资质证书（取自平台内上传件）；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（5）建筑施工企业安全生产许可证（取自平台内上传件）；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（6）项目负责人（按网上投标登记时选择拟投标的项目负责人）；</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（7）专职安全员（按网上投标登记时选择拟投标的专职安全员）；</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（8）拟委托技术负责人的</w:t>
      </w:r>
      <w:r>
        <w:rPr>
          <w:rFonts w:hint="eastAsia" w:ascii="宋体" w:hAnsi="宋体" w:cs="宋体"/>
          <w:bCs/>
          <w:color w:val="000000" w:themeColor="text1"/>
          <w:szCs w:val="21"/>
          <w:highlight w:val="none"/>
          <w:u w:val="single"/>
          <w14:textFill>
            <w14:solidFill>
              <w14:schemeClr w14:val="tx1"/>
            </w14:solidFill>
          </w14:textFill>
        </w:rPr>
        <w:t>职称证书；</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（9）拟委派项目负责人</w:t>
      </w:r>
      <w:r>
        <w:rPr>
          <w:rFonts w:hint="eastAsia" w:ascii="宋体" w:hAnsi="宋体" w:cs="宋体"/>
          <w:bCs/>
          <w:color w:val="000000" w:themeColor="text1"/>
          <w:szCs w:val="21"/>
          <w:highlight w:val="none"/>
          <w:lang w:eastAsia="zh-CN"/>
          <w14:textFill>
            <w14:solidFill>
              <w14:schemeClr w14:val="tx1"/>
            </w14:solidFill>
          </w14:textFill>
        </w:rPr>
        <w:t>的</w:t>
      </w:r>
      <w:r>
        <w:rPr>
          <w:rFonts w:hint="eastAsia" w:ascii="宋体" w:hAnsi="宋体" w:cs="宋体"/>
          <w:bCs/>
          <w:color w:val="000000" w:themeColor="text1"/>
          <w:szCs w:val="21"/>
          <w:highlight w:val="none"/>
          <w:u w:val="none"/>
          <w14:textFill>
            <w14:solidFill>
              <w14:schemeClr w14:val="tx1"/>
            </w14:solidFill>
          </w14:textFill>
        </w:rPr>
        <w:t>建造师注册证书</w:t>
      </w:r>
      <w:r>
        <w:rPr>
          <w:rFonts w:hint="eastAsia" w:ascii="宋体" w:hAnsi="宋体" w:cs="宋体"/>
          <w:bCs/>
          <w:color w:val="000000" w:themeColor="text1"/>
          <w:szCs w:val="21"/>
          <w:highlight w:val="none"/>
          <w14:textFill>
            <w14:solidFill>
              <w14:schemeClr w14:val="tx1"/>
            </w14:solidFill>
          </w14:textFill>
        </w:rPr>
        <w:t xml:space="preserve">（取自平台内上传件）；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（11）专职安全员须具有在</w:t>
      </w:r>
      <w:r>
        <w:rPr>
          <w:rFonts w:hint="eastAsia" w:ascii="宋体" w:hAnsi="宋体" w:cs="宋体"/>
          <w:bCs/>
          <w:color w:val="000000" w:themeColor="text1"/>
          <w:szCs w:val="21"/>
          <w:highlight w:val="none"/>
          <w:u w:val="single"/>
          <w14:textFill>
            <w14:solidFill>
              <w14:schemeClr w14:val="tx1"/>
            </w14:solidFill>
          </w14:textFill>
        </w:rPr>
        <w:t>有效期内的安全考核合格证书（C类）或建筑施工企业专职安全生产管理人员安全生产考核合格证书（C3）（取自平台内上传件）；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11.2.3《施工</w:t>
      </w:r>
      <w:r>
        <w:rPr>
          <w:rFonts w:hint="eastAsia" w:ascii="宋体" w:hAnsi="宋体" w:cs="宋体"/>
          <w:bCs/>
          <w:color w:val="000000" w:themeColor="text1"/>
          <w:szCs w:val="21"/>
          <w:highlight w:val="none"/>
          <w:u w:val="single"/>
          <w:lang w:val="zh-CN"/>
          <w14:textFill>
            <w14:solidFill>
              <w14:schemeClr w14:val="tx1"/>
            </w14:solidFill>
          </w14:textFill>
        </w:rPr>
        <w:t>项目管理团队人员信息表</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szCs w:val="21"/>
          <w:highlight w:val="none"/>
          <w:u w:val="single"/>
        </w:rPr>
        <w:t>按本招标文件“第四章投标文件格式”的技术标投标文件（含资格审查文件）格式</w:t>
      </w:r>
      <w:r>
        <w:rPr>
          <w:rFonts w:hint="eastAsia" w:ascii="宋体" w:hAnsi="宋体" w:cs="宋体"/>
          <w:bCs/>
          <w:color w:val="000000" w:themeColor="text1"/>
          <w:szCs w:val="21"/>
          <w:highlight w:val="none"/>
          <w:u w:val="single"/>
          <w:lang w:val="en-US" w:eastAsia="zh-CN"/>
          <w14:textFill>
            <w14:solidFill>
              <w14:schemeClr w14:val="tx1"/>
            </w14:solidFill>
          </w14:textFill>
        </w:rPr>
        <w:t>二</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lang w:val="zh-CN"/>
          <w14:textFill>
            <w14:solidFill>
              <w14:schemeClr w14:val="tx1"/>
            </w14:solidFill>
          </w14:textFill>
        </w:rPr>
        <w:t>。</w:t>
      </w:r>
    </w:p>
    <w:p>
      <w:pPr>
        <w:pBdr>
          <w:bottom w:val="single" w:color="auto" w:sz="6" w:space="1"/>
        </w:pBdr>
        <w:spacing w:line="360" w:lineRule="auto"/>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lang w:val="zh-CN"/>
          <w14:textFill>
            <w14:solidFill>
              <w14:schemeClr w14:val="tx1"/>
            </w14:solidFill>
          </w14:textFill>
        </w:rPr>
        <w:t>11.2.4企业技术标得分证明材料</w:t>
      </w:r>
      <w:r>
        <w:rPr>
          <w:rFonts w:hint="eastAsia" w:ascii="宋体" w:hAnsi="宋体" w:cs="宋体"/>
          <w:bCs/>
          <w:color w:val="000000" w:themeColor="text1"/>
          <w:sz w:val="21"/>
          <w:szCs w:val="21"/>
          <w:highlight w:val="none"/>
          <w:u w:val="single"/>
          <w:lang w:val="zh-CN"/>
          <w14:textFill>
            <w14:solidFill>
              <w14:schemeClr w14:val="tx1"/>
            </w14:solidFill>
          </w14:textFill>
        </w:rPr>
        <w:t>（按《技术标详细审查评分表》要求提交，格式见第四章，无规定格式要求的，格式自拟）</w:t>
      </w:r>
      <w:r>
        <w:rPr>
          <w:rFonts w:hint="eastAsia"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u w:val="single"/>
          <w:lang w:val="en-US" w:eastAsia="zh-CN"/>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u w:val="single"/>
          <w14:textFill>
            <w14:solidFill>
              <w14:schemeClr w14:val="tx1"/>
            </w14:solidFill>
          </w14:textFill>
        </w:rPr>
        <w:t>《响应招标文件所附施工组织设计要点的承诺书》（</w:t>
      </w:r>
      <w:r>
        <w:rPr>
          <w:rFonts w:hint="eastAsia" w:ascii="宋体" w:hAnsi="宋体"/>
          <w:szCs w:val="21"/>
          <w:highlight w:val="none"/>
          <w:u w:val="single"/>
        </w:rPr>
        <w:t>按本招标文件“第四章投标文件格式”的技术标投标文件（含资格审查文件）格式</w:t>
      </w:r>
      <w:r>
        <w:rPr>
          <w:rFonts w:hint="eastAsia" w:ascii="宋体" w:hAnsi="宋体" w:cs="宋体"/>
          <w:bCs/>
          <w:color w:val="000000" w:themeColor="text1"/>
          <w:szCs w:val="21"/>
          <w:highlight w:val="none"/>
          <w:u w:val="single"/>
          <w:lang w:val="en-US" w:eastAsia="zh-CN"/>
          <w14:textFill>
            <w14:solidFill>
              <w14:schemeClr w14:val="tx1"/>
            </w14:solidFill>
          </w14:textFill>
        </w:rPr>
        <w:t>三</w:t>
      </w:r>
      <w:r>
        <w:rPr>
          <w:rFonts w:hint="eastAsia"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按照招标文件要求填写</w:t>
      </w:r>
      <w:r>
        <w:rPr>
          <w:rFonts w:hint="eastAsia" w:ascii="宋体" w:hAnsi="宋体" w:cs="宋体"/>
          <w:bCs/>
          <w:color w:val="000000" w:themeColor="text1"/>
          <w:szCs w:val="21"/>
          <w:highlight w:val="none"/>
          <w:u w:val="single"/>
          <w:lang w:val="en-US" w:eastAsia="zh-CN"/>
          <w14:textFill>
            <w14:solidFill>
              <w14:schemeClr w14:val="tx1"/>
            </w14:solidFill>
          </w14:textFill>
        </w:rPr>
        <w:t>的</w:t>
      </w:r>
      <w:r>
        <w:rPr>
          <w:rFonts w:hint="eastAsia" w:ascii="宋体" w:hAnsi="宋体" w:cs="宋体"/>
          <w:bCs/>
          <w:color w:val="000000" w:themeColor="text1"/>
          <w:szCs w:val="21"/>
          <w:highlight w:val="none"/>
          <w:u w:val="single"/>
          <w14:textFill>
            <w14:solidFill>
              <w14:schemeClr w14:val="tx1"/>
            </w14:solidFill>
          </w14:textFill>
        </w:rPr>
        <w:t>《参与编制技术标投标文件人员名单》（</w:t>
      </w:r>
      <w:r>
        <w:rPr>
          <w:rFonts w:hint="eastAsia" w:ascii="宋体" w:hAnsi="宋体"/>
          <w:szCs w:val="21"/>
          <w:highlight w:val="none"/>
          <w:u w:val="single"/>
          <w:lang w:val="en-US" w:eastAsia="zh-CN"/>
        </w:rPr>
        <w:t>格式见</w:t>
      </w:r>
      <w:r>
        <w:rPr>
          <w:rFonts w:hint="eastAsia" w:ascii="宋体" w:hAnsi="宋体"/>
          <w:szCs w:val="21"/>
          <w:highlight w:val="none"/>
          <w:u w:val="single"/>
        </w:rPr>
        <w:t>“第四章投标文件格式”的技术标投标文件（含资格审查文件）格式</w:t>
      </w:r>
      <w:r>
        <w:rPr>
          <w:rFonts w:hint="eastAsia" w:ascii="宋体" w:hAnsi="宋体" w:cs="宋体"/>
          <w:bCs/>
          <w:color w:val="000000" w:themeColor="text1"/>
          <w:szCs w:val="21"/>
          <w:highlight w:val="none"/>
          <w:u w:val="single"/>
          <w:lang w:val="en-US" w:eastAsia="zh-CN"/>
          <w14:textFill>
            <w14:solidFill>
              <w14:schemeClr w14:val="tx1"/>
            </w14:solidFill>
          </w14:textFill>
        </w:rPr>
        <w:t>四</w:t>
      </w:r>
      <w:r>
        <w:rPr>
          <w:rFonts w:hint="eastAsia"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7</w:t>
      </w:r>
      <w:r>
        <w:rPr>
          <w:rFonts w:ascii="宋体" w:hAnsi="宋体" w:cs="宋体"/>
          <w:bCs/>
          <w:color w:val="000000" w:themeColor="text1"/>
          <w:szCs w:val="21"/>
          <w:highlight w:val="none"/>
          <w:u w:val="single"/>
          <w14:textFill>
            <w14:solidFill>
              <w14:schemeClr w14:val="tx1"/>
            </w14:solidFill>
          </w14:textFill>
        </w:rPr>
        <w:t>投标保证金缴纳证明资料</w:t>
      </w:r>
      <w:r>
        <w:rPr>
          <w:rFonts w:hint="eastAsia" w:ascii="宋体" w:hAnsi="宋体" w:cs="宋体"/>
          <w:bCs/>
          <w:color w:val="000000" w:themeColor="text1"/>
          <w:szCs w:val="21"/>
          <w:highlight w:val="none"/>
          <w:u w:val="single"/>
          <w14:textFill>
            <w14:solidFill>
              <w14:schemeClr w14:val="tx1"/>
            </w14:solidFill>
          </w14:textFill>
        </w:rPr>
        <w:t>（递交至广州公共资源交易中心的，到账情况以开标时广州公共资源交易中心数据库查询的信息为准，可不需提供相关</w:t>
      </w:r>
      <w:r>
        <w:rPr>
          <w:rFonts w:ascii="宋体" w:hAnsi="宋体" w:cs="宋体"/>
          <w:bCs/>
          <w:color w:val="000000" w:themeColor="text1"/>
          <w:szCs w:val="21"/>
          <w:highlight w:val="none"/>
          <w:u w:val="single"/>
          <w14:textFill>
            <w14:solidFill>
              <w14:schemeClr w14:val="tx1"/>
            </w14:solidFill>
          </w14:textFill>
        </w:rPr>
        <w:t>缴纳证明资料</w:t>
      </w:r>
      <w:r>
        <w:rPr>
          <w:rFonts w:hint="eastAsia" w:ascii="宋体" w:hAnsi="宋体" w:cs="宋体"/>
          <w:bCs/>
          <w:color w:val="000000" w:themeColor="text1"/>
          <w:szCs w:val="21"/>
          <w:highlight w:val="none"/>
          <w:u w:val="single"/>
          <w14:textFill>
            <w14:solidFill>
              <w14:schemeClr w14:val="tx1"/>
            </w14:solidFill>
          </w14:textFill>
        </w:rPr>
        <w:t>）；或按招标文件要求提交符合免予提供投标保证金的相关证明材料</w:t>
      </w:r>
      <w:r>
        <w:rPr>
          <w:rFonts w:ascii="宋体" w:hAnsi="宋体" w:cs="宋体"/>
          <w:bCs/>
          <w:color w:val="000000" w:themeColor="text1"/>
          <w:szCs w:val="21"/>
          <w:highlight w:val="none"/>
          <w:u w:val="single"/>
          <w14:textFill>
            <w14:solidFill>
              <w14:schemeClr w14:val="tx1"/>
            </w14:solidFill>
          </w14:textFill>
        </w:rPr>
        <w:t>。</w:t>
      </w:r>
    </w:p>
    <w:p>
      <w:pPr>
        <w:pBdr>
          <w:bottom w:val="single" w:color="auto" w:sz="6" w:space="1"/>
        </w:pBdr>
        <w:spacing w:line="52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u w:val="single"/>
          <w14:textFill>
            <w14:solidFill>
              <w14:schemeClr w14:val="tx1"/>
            </w14:solidFill>
          </w14:textFill>
        </w:rPr>
        <w:t>11.2.</w:t>
      </w:r>
      <w:r>
        <w:rPr>
          <w:rFonts w:hint="eastAsia" w:ascii="宋体" w:hAnsi="宋体" w:cs="宋体"/>
          <w:bCs/>
          <w:color w:val="000000" w:themeColor="text1"/>
          <w:szCs w:val="21"/>
          <w:highlight w:val="none"/>
          <w:u w:val="single"/>
          <w:lang w:val="en-US" w:eastAsia="zh-CN"/>
          <w14:textFill>
            <w14:solidFill>
              <w14:schemeClr w14:val="tx1"/>
            </w14:solidFill>
          </w14:textFill>
        </w:rPr>
        <w:t>8</w:t>
      </w:r>
      <w:r>
        <w:rPr>
          <w:rFonts w:ascii="宋体" w:hAnsi="宋体" w:cs="宋体"/>
          <w:bCs/>
          <w:color w:val="000000" w:themeColor="text1"/>
          <w:szCs w:val="21"/>
          <w:highlight w:val="none"/>
          <w:u w:val="single"/>
          <w14:textFill>
            <w14:solidFill>
              <w14:schemeClr w14:val="tx1"/>
            </w14:solidFill>
          </w14:textFill>
        </w:rPr>
        <w:t>投标人认为应提供的其他资料。</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11.3.1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cs="宋体"/>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11.3.1 经济投标文件(按招标文件的要求填写)。</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 xml:space="preserve">11.3.1 </w:t>
      </w:r>
      <w:r>
        <w:rPr>
          <w:rFonts w:hint="eastAsia" w:ascii="宋体" w:hAnsi="宋体" w:cs="宋体"/>
          <w:color w:val="000000" w:themeColor="text1"/>
          <w:szCs w:val="21"/>
          <w:highlight w:val="none"/>
          <w:u w:val="single"/>
          <w14:textFill>
            <w14:solidFill>
              <w14:schemeClr w14:val="tx1"/>
            </w14:solidFill>
          </w14:textFill>
        </w:rPr>
        <w:t>经济标投标书</w:t>
      </w:r>
      <w:r>
        <w:rPr>
          <w:rFonts w:hint="eastAsia" w:ascii="宋体" w:hAnsi="宋体" w:cs="宋体"/>
          <w:color w:val="000000" w:themeColor="text1"/>
          <w:szCs w:val="21"/>
          <w:highlight w:val="none"/>
          <w14:textFill>
            <w14:solidFill>
              <w14:schemeClr w14:val="tx1"/>
            </w14:solidFill>
          </w14:textFill>
        </w:rPr>
        <w:t>(按招标文件</w:t>
      </w:r>
      <w:r>
        <w:rPr>
          <w:rFonts w:hint="eastAsia" w:ascii="宋体" w:hAnsi="宋体" w:cs="宋体"/>
          <w:bCs/>
          <w:color w:val="000000" w:themeColor="text1"/>
          <w:szCs w:val="21"/>
          <w:highlight w:val="none"/>
          <w:u w:val="single"/>
          <w14:textFill>
            <w14:solidFill>
              <w14:schemeClr w14:val="tx1"/>
            </w14:solidFill>
          </w14:textFill>
        </w:rPr>
        <w:t>“第四章投标文件格式”</w:t>
      </w:r>
      <w:r>
        <w:rPr>
          <w:rFonts w:hint="eastAsia" w:ascii="宋体" w:hAnsi="宋体" w:cs="宋体"/>
          <w:color w:val="000000" w:themeColor="text1"/>
          <w:szCs w:val="21"/>
          <w:highlight w:val="none"/>
          <w14:textFill>
            <w14:solidFill>
              <w14:schemeClr w14:val="tx1"/>
            </w14:solidFill>
          </w14:textFill>
        </w:rPr>
        <w:t>的要求填写)。</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highlight w:val="none"/>
          <w14:textFill>
            <w14:solidFill>
              <w14:schemeClr w14:val="tx1"/>
            </w14:solidFill>
          </w14:textFill>
        </w:rPr>
        <w:t>11.3.2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（1）投标总价封面、扉页；</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（2）总说明</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（3）工程项目投标报价汇总表；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（4）单项工程投标报价汇总表；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（5）单位工程投标报价汇总表；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（6）分部分项工程清单与计价表；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（7）单价措施项目清单与计价表；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（8）总价措施项目清单与计价表；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（9）综合单价分析表；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（10）其他项目清单与计价汇总表；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（11）暂列金额明细表；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（12）材料（工程设备）暂估价明细表；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（13）专业工程暂估价明细表；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（14）计日工表；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（15）总承包服务计价表；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（16）规费和税金项目计价表；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（17）人工、主要材料和设备一览表</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11.3.2</w:t>
      </w:r>
      <w:r>
        <w:rPr>
          <w:rFonts w:hint="eastAsia" w:ascii="宋体" w:hAnsi="宋体" w:cs="宋体"/>
          <w:color w:val="000000" w:themeColor="text1"/>
          <w:szCs w:val="21"/>
          <w:highlight w:val="none"/>
          <w14:textFill>
            <w14:solidFill>
              <w14:schemeClr w14:val="tx1"/>
            </w14:solidFill>
          </w14:textFill>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（1）投标总价封面、扉页；</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（2）总说明</w:t>
      </w:r>
    </w:p>
    <w:p>
      <w:pPr>
        <w:pBdr>
          <w:bottom w:val="single" w:color="auto" w:sz="6" w:space="1"/>
        </w:pBdr>
        <w:spacing w:line="360" w:lineRule="auto"/>
        <w:ind w:firstLine="470" w:firstLineChars="224"/>
        <w:rPr>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w:t>
      </w:r>
      <w:r>
        <w:rPr>
          <w:rFonts w:hint="default" w:ascii="Calibri" w:hAnsi="Calibri"/>
          <w:color w:val="000000" w:themeColor="text1"/>
          <w:szCs w:val="22"/>
          <w:highlight w:val="none"/>
          <w:u w:val="single"/>
          <w14:textFill>
            <w14:solidFill>
              <w14:schemeClr w14:val="tx1"/>
            </w14:solidFill>
          </w14:textFill>
        </w:rPr>
        <w:t>工程量</w:t>
      </w:r>
      <w:r>
        <w:rPr>
          <w:rFonts w:hint="eastAsia" w:ascii="宋体" w:hAnsi="宋体"/>
          <w:color w:val="000000" w:themeColor="text1"/>
          <w:szCs w:val="21"/>
          <w:highlight w:val="none"/>
          <w:u w:val="single"/>
          <w14:textFill>
            <w14:solidFill>
              <w14:schemeClr w14:val="tx1"/>
            </w14:solidFill>
          </w14:textFill>
        </w:rPr>
        <w:t>清单报价表及综合单价分析表（相关表格的内容及格式要求以招标人发出的最新版电子招标文件中的相应内容及格式为准）</w:t>
      </w:r>
      <w:r>
        <w:rPr>
          <w:rFonts w:hint="eastAsia" w:ascii="宋体" w:hAnsi="宋体" w:cs="宋体"/>
          <w:color w:val="000000" w:themeColor="text1"/>
          <w:szCs w:val="21"/>
          <w:highlight w:val="none"/>
          <w:u w:val="single"/>
          <w14:textFill>
            <w14:solidFill>
              <w14:schemeClr w14:val="tx1"/>
            </w14:solidFill>
          </w14:textFill>
        </w:rPr>
        <w:t>。</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ascii="宋体" w:hAnsi="宋体" w:cs="宋体"/>
          <w:b/>
          <w:color w:val="000000" w:themeColor="text1"/>
          <w:szCs w:val="21"/>
          <w:highlight w:val="none"/>
          <w14:textFill>
            <w14:solidFill>
              <w14:schemeClr w14:val="tx1"/>
            </w14:solidFill>
          </w14:textFill>
        </w:rPr>
        <w:t>11.3.5</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修改类型：增加</w:t>
      </w:r>
    </w:p>
    <w:p>
      <w:pPr>
        <w:pBdr>
          <w:bottom w:val="single" w:color="auto" w:sz="6" w:space="1"/>
        </w:pBd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ascii="宋体" w:hAnsi="宋体" w:cs="宋体"/>
          <w:color w:val="000000" w:themeColor="text1"/>
          <w:szCs w:val="21"/>
          <w:highlight w:val="none"/>
          <w14:textFill>
            <w14:solidFill>
              <w14:schemeClr w14:val="tx1"/>
            </w14:solidFill>
          </w14:textFill>
        </w:rPr>
        <w:t>11.3.5</w:t>
      </w:r>
      <w:r>
        <w:rPr>
          <w:rFonts w:hint="eastAsia" w:ascii="宋体" w:hAnsi="宋体" w:cs="宋体"/>
          <w:color w:val="000000" w:themeColor="text1"/>
          <w:sz w:val="21"/>
          <w:szCs w:val="21"/>
          <w:highlight w:val="none"/>
          <w:u w:val="single"/>
          <w14:textFill>
            <w14:solidFill>
              <w14:schemeClr w14:val="tx1"/>
            </w14:solidFill>
          </w14:textFill>
        </w:rPr>
        <w:t>《对投标文件编制的承诺》及《投标文件编制情况》（格式见本招标文件“第四章投标文件格式”的经济标投标文件格式二）</w:t>
      </w:r>
      <w:r>
        <w:rPr>
          <w:rFonts w:hint="eastAsia" w:ascii="宋体" w:hAnsi="宋体" w:cs="宋体"/>
          <w:color w:val="000000" w:themeColor="text1"/>
          <w:szCs w:val="21"/>
          <w:highlight w:val="none"/>
          <w:u w:val="singl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kern w:val="0"/>
          <w:szCs w:val="21"/>
          <w:highlight w:val="none"/>
          <w14:textFill>
            <w14:solidFill>
              <w14:schemeClr w14:val="tx1"/>
            </w14:solidFill>
          </w14:textFill>
        </w:rPr>
        <w:t>12.2、12.3</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 投标文件应按照交易平台关于全流程电子化项目的相关指南进行编制，详见：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 xml:space="preserve">。    </w:t>
      </w:r>
    </w:p>
    <w:p>
      <w:pPr>
        <w:pStyle w:val="33"/>
        <w:spacing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 w:val="21"/>
          <w:szCs w:val="21"/>
          <w:highlight w:val="none"/>
          <w:u w:val="single"/>
          <w14:textFill>
            <w14:solidFill>
              <w14:schemeClr w14:val="tx1"/>
            </w14:solidFill>
          </w14:textFill>
        </w:rPr>
        <w:t>详见：广州公共资源交易中心网站。</w:t>
      </w:r>
    </w:p>
    <w:p>
      <w:pPr>
        <w:pBdr>
          <w:bottom w:val="single" w:color="auto" w:sz="6" w:space="1"/>
        </w:pBdr>
        <w:spacing w:line="360" w:lineRule="auto"/>
        <w:ind w:firstLine="525" w:firstLineChars="25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12.3 </w:t>
      </w:r>
      <w:r>
        <w:rPr>
          <w:rFonts w:hint="eastAsia" w:ascii="宋体" w:hAnsi="宋体" w:cs="宋体"/>
          <w:bCs/>
          <w:color w:val="000000" w:themeColor="text1"/>
          <w:szCs w:val="21"/>
          <w:highlight w:val="none"/>
          <w14:textFill>
            <w14:solidFill>
              <w14:schemeClr w14:val="tx1"/>
            </w14:solidFill>
          </w14:textFill>
        </w:rPr>
        <w:t>投标文件应按</w:t>
      </w:r>
      <w:r>
        <w:rPr>
          <w:rFonts w:hint="eastAsia" w:ascii="宋体" w:hAnsi="宋体" w:cs="宋体"/>
          <w:color w:val="000000" w:themeColor="text1"/>
          <w:szCs w:val="21"/>
          <w:highlight w:val="none"/>
          <w14:textFill>
            <w14:solidFill>
              <w14:schemeClr w14:val="tx1"/>
            </w14:solidFill>
          </w14:textFill>
        </w:rPr>
        <w:t>照交易平台关于全流程电子化项目的相关指南进行编制，详见：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13.1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33"/>
        <w:spacing w:after="0"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13.1本工程的投标报价采用投标须知前附表第12项所规定的方式。投标报价（含单价及总价）精确到“分”。</w:t>
      </w:r>
      <w:r>
        <w:rPr>
          <w:rFonts w:hint="eastAsia" w:ascii="宋体" w:hAnsi="宋体" w:cs="宋体"/>
          <w:color w:val="000000" w:themeColor="text1"/>
          <w:szCs w:val="21"/>
          <w:highlight w:val="none"/>
          <w:u w:val="single"/>
          <w14:textFill>
            <w14:solidFill>
              <w14:schemeClr w14:val="tx1"/>
            </w14:solidFill>
          </w14:textFill>
        </w:rPr>
        <w:t>投标文件中的大写金额和小写金额不一致的，以大写金额为准。</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 xml:space="preserve">13.4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13.4</w:t>
      </w:r>
      <w:r>
        <w:rPr>
          <w:rFonts w:hint="eastAsia" w:ascii="宋体" w:hAnsi="宋体" w:cs="宋体"/>
          <w:color w:val="000000" w:themeColor="text1"/>
          <w:szCs w:val="21"/>
          <w:highlight w:val="none"/>
          <w:u w:val="single"/>
          <w14:textFill>
            <w14:solidFill>
              <w14:schemeClr w14:val="tx1"/>
            </w14:solidFill>
          </w14:textFill>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000000" w:themeColor="text1"/>
          <w:szCs w:val="21"/>
          <w:highlight w:val="none"/>
          <w:u w:val="single"/>
          <w14:textFill>
            <w14:solidFill>
              <w14:schemeClr w14:val="tx1"/>
            </w14:solidFill>
          </w14:textFill>
        </w:rPr>
        <w:t>城乡</w:t>
      </w:r>
      <w:r>
        <w:rPr>
          <w:rFonts w:hint="eastAsia" w:ascii="宋体" w:hAnsi="宋体" w:cs="宋体"/>
          <w:color w:val="000000" w:themeColor="text1"/>
          <w:szCs w:val="21"/>
          <w:highlight w:val="none"/>
          <w:u w:val="single"/>
          <w14:textFill>
            <w14:solidFill>
              <w14:schemeClr w14:val="tx1"/>
            </w14:solidFill>
          </w14:textFill>
        </w:rPr>
        <w:t>建设局施工同期《建设工程地方材料综合价格》、广州市造价管理站施工同期《广州地区建设工程材料综合价格》调整。</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13.5.1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13.5.1中标的投标文件工程量清单中已有相同项目的适用综合单价，则沿用</w:t>
      </w:r>
      <w:r>
        <w:rPr>
          <w:rFonts w:hint="eastAsia" w:ascii="宋体" w:hAnsi="宋体"/>
          <w:color w:val="000000" w:themeColor="text1"/>
          <w:sz w:val="24"/>
          <w:highlight w:val="none"/>
          <w14:textFill>
            <w14:solidFill>
              <w14:schemeClr w14:val="tx1"/>
            </w14:solidFill>
          </w14:textFill>
        </w:rPr>
        <w:t>；</w:t>
      </w:r>
    </w:p>
    <w:p>
      <w:pPr>
        <w:pBdr>
          <w:bottom w:val="single" w:color="auto" w:sz="6" w:space="1"/>
        </w:pBdr>
        <w:spacing w:line="360" w:lineRule="auto"/>
        <w:ind w:firstLine="417" w:firstLineChars="198"/>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13.5.2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33"/>
        <w:spacing w:after="0" w:line="36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13.5.2</w:t>
      </w:r>
      <w:r>
        <w:rPr>
          <w:rFonts w:hint="eastAsia" w:ascii="宋体" w:hAnsi="宋体" w:cs="宋体"/>
          <w:bCs/>
          <w:color w:val="000000" w:themeColor="text1"/>
          <w:szCs w:val="21"/>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000000" w:themeColor="text1"/>
          <w:szCs w:val="21"/>
          <w:highlight w:val="none"/>
          <w:u w:val="single"/>
          <w14:textFill>
            <w14:solidFill>
              <w14:schemeClr w14:val="tx1"/>
            </w14:solidFill>
          </w14:textFill>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条款号：16.4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16.4如有下列情况之一的，招标人可以不予退还投标保证金</w:t>
      </w:r>
      <w:r>
        <w:rPr>
          <w:rFonts w:hint="eastAsia" w:ascii="宋体" w:hAnsi="宋体" w:cs="宋体"/>
          <w:strike/>
          <w:color w:val="000000" w:themeColor="text1"/>
          <w:szCs w:val="21"/>
          <w:highlight w:val="none"/>
          <w14:textFill>
            <w14:solidFill>
              <w14:schemeClr w14:val="tx1"/>
            </w14:solidFill>
          </w14:textFill>
        </w:rPr>
        <w:t>（是否退还投标保证金由招标人在招标文件中规定）</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条款号：16.5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16.5投标人如存在下列情况之一的，将被拒绝在</w:t>
      </w:r>
      <w:r>
        <w:rPr>
          <w:rFonts w:hint="eastAsia" w:ascii="宋体" w:hAnsi="宋体" w:cs="宋体"/>
          <w:color w:val="000000" w:themeColor="text1"/>
          <w:szCs w:val="21"/>
          <w:highlight w:val="none"/>
          <w:lang w:val="en-US" w:eastAsia="zh-CN"/>
          <w14:textFill>
            <w14:solidFill>
              <w14:schemeClr w14:val="tx1"/>
            </w14:solidFill>
          </w14:textFill>
        </w:rPr>
        <w:t>半年</w:t>
      </w:r>
      <w:r>
        <w:rPr>
          <w:rFonts w:hint="eastAsia" w:ascii="宋体" w:hAnsi="宋体" w:cs="宋体"/>
          <w:color w:val="000000" w:themeColor="text1"/>
          <w:szCs w:val="21"/>
          <w:highlight w:val="none"/>
          <w14:textFill>
            <w14:solidFill>
              <w14:schemeClr w14:val="tx1"/>
            </w14:solidFill>
          </w14:textFill>
        </w:rPr>
        <w:t>内参与招标人后续工程投标：</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条款号：16.5.3             修改类型：删除</w:t>
      </w:r>
    </w:p>
    <w:p>
      <w:pPr>
        <w:pBdr>
          <w:bottom w:val="single" w:color="auto" w:sz="6" w:space="1"/>
        </w:pBdr>
        <w:spacing w:line="360" w:lineRule="auto"/>
        <w:ind w:firstLine="527"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16.5.3按招标文件要求免于提供投标保证金的投标人存在16.4条款所列情形的。</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17.1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lang w:val="en-US" w:eastAsia="zh-CN"/>
          <w14:textFill>
            <w14:solidFill>
              <w14:schemeClr w14:val="tx1"/>
            </w14:solidFill>
          </w14:textFill>
        </w:rPr>
        <w:t>17.1</w:t>
      </w:r>
      <w:r>
        <w:rPr>
          <w:rFonts w:hint="eastAsia" w:ascii="宋体" w:hAnsi="宋体" w:cs="宋体"/>
          <w:bCs/>
          <w:color w:val="000000" w:themeColor="text1"/>
          <w:szCs w:val="21"/>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pBdr>
          <w:bottom w:val="single" w:color="auto" w:sz="6" w:space="1"/>
        </w:pBdr>
        <w:spacing w:line="360" w:lineRule="auto"/>
        <w:ind w:firstLine="417" w:firstLineChars="198"/>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lang w:val="en-US" w:eastAsia="zh-CN"/>
          <w14:textFill>
            <w14:solidFill>
              <w14:schemeClr w14:val="tx1"/>
            </w14:solidFill>
          </w14:textFill>
        </w:rPr>
        <w:t>17.1</w:t>
      </w:r>
      <w:r>
        <w:rPr>
          <w:rFonts w:hint="eastAsia" w:ascii="宋体" w:hAnsi="宋体" w:cs="宋体"/>
          <w:bCs/>
          <w:color w:val="000000" w:themeColor="text1"/>
          <w:szCs w:val="21"/>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18、19</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33"/>
        <w:spacing w:after="0" w:line="360" w:lineRule="auto"/>
        <w:ind w:firstLine="422" w:firstLineChars="200"/>
        <w:rPr>
          <w:rFonts w:ascii="宋体"/>
          <w:b/>
          <w:bCs/>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b/>
          <w:color w:val="000000" w:themeColor="text1"/>
          <w:sz w:val="21"/>
          <w:szCs w:val="21"/>
          <w:highlight w:val="none"/>
          <w14:textFill>
            <w14:solidFill>
              <w14:schemeClr w14:val="tx1"/>
            </w14:solidFill>
          </w14:textFill>
        </w:rPr>
        <w:t>18．投标文件的密封和标记</w:t>
      </w:r>
    </w:p>
    <w:p>
      <w:pPr>
        <w:spacing w:line="360" w:lineRule="auto"/>
        <w:ind w:firstLine="420" w:firstLineChars="200"/>
        <w:rPr>
          <w:rFonts w:ascii="宋体"/>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18.1递交的电子投标文件（不含备用光盘）必须进行加密。按照交易平台关于全流程电子化项目的相关指南进行操作。详见：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spacing w:line="360" w:lineRule="auto"/>
        <w:ind w:firstLine="420" w:firstLineChars="200"/>
        <w:rPr>
          <w:rFonts w:ascii="宋体"/>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18.2 未按要求加密的投标文件，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交易平台将予以拒收。</w:t>
      </w:r>
    </w:p>
    <w:p>
      <w:pPr>
        <w:pStyle w:val="33"/>
        <w:spacing w:after="0" w:line="360" w:lineRule="auto"/>
        <w:ind w:firstLine="422" w:firstLineChars="20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19．投标文件的递交和接收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19.1投标人通过</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交易平台递交电子投标文件。</w:t>
      </w:r>
    </w:p>
    <w:p>
      <w:pPr>
        <w:spacing w:line="360" w:lineRule="auto"/>
        <w:ind w:firstLine="420" w:firstLineChars="200"/>
        <w:rPr>
          <w:rFonts w:ascii="宋体"/>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19.2投标人完成电子投标文件上传后，</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交易平台即时向投标人发出递交回执通知。递交时间以递交回执通知载明的传输完成时间为准</w:t>
      </w:r>
      <w:r>
        <w:rPr>
          <w:rFonts w:hint="eastAsia" w:ascii="宋体" w:hAnsi="宋体"/>
          <w:color w:val="000000" w:themeColor="text1"/>
          <w:sz w:val="24"/>
          <w:highlight w:val="none"/>
          <w14:textFill>
            <w14:solidFill>
              <w14:schemeClr w14:val="tx1"/>
            </w14:solidFill>
          </w14:textFill>
        </w:rPr>
        <w:t>。</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19.3逾期送达的电子投标文件</w:t>
      </w:r>
      <w:r>
        <w:rPr>
          <w:rFonts w:hint="eastAsia" w:ascii="宋体" w:hAnsi="宋体"/>
          <w:bCs/>
          <w:color w:val="000000" w:themeColor="text1"/>
          <w:sz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交易平台将予以拒收。</w:t>
      </w:r>
    </w:p>
    <w:p>
      <w:pPr>
        <w:spacing w:line="360" w:lineRule="auto"/>
        <w:ind w:firstLine="420" w:firstLineChars="200"/>
        <w:rPr>
          <w:rFonts w:ascii="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19.4 投标截止前，招标人拒绝接收符合条件的投标文件，投标人可向招标投标监督机构投诉</w:t>
      </w:r>
      <w:r>
        <w:rPr>
          <w:rFonts w:hint="eastAsia"/>
          <w:color w:val="000000" w:themeColor="text1"/>
          <w:sz w:val="24"/>
          <w:szCs w:val="24"/>
          <w:highlight w:val="none"/>
          <w14:textFill>
            <w14:solidFill>
              <w14:schemeClr w14:val="tx1"/>
            </w14:solidFill>
          </w14:textFill>
        </w:rPr>
        <w:t>。</w:t>
      </w:r>
    </w:p>
    <w:p>
      <w:pPr>
        <w:spacing w:line="360" w:lineRule="auto"/>
        <w:ind w:firstLine="420" w:firstLineChars="200"/>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19.5如技术标和经济标先后分别开启，</w:t>
      </w:r>
      <w:r>
        <w:rPr>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交易平台将按招标文件规定的时间分别开启技术标和经济标。</w:t>
      </w:r>
    </w:p>
    <w:p>
      <w:pPr>
        <w:pStyle w:val="33"/>
        <w:spacing w:after="0" w:line="360" w:lineRule="auto"/>
        <w:ind w:firstLine="422"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b/>
          <w:bCs/>
          <w:color w:val="000000" w:themeColor="text1"/>
          <w:sz w:val="21"/>
          <w:szCs w:val="21"/>
          <w:highlight w:val="none"/>
          <w14:textFill>
            <w14:solidFill>
              <w14:schemeClr w14:val="tx1"/>
            </w14:solidFill>
          </w14:textFill>
        </w:rPr>
        <w:t>18．</w:t>
      </w:r>
      <w:r>
        <w:rPr>
          <w:rFonts w:hint="eastAsia" w:ascii="宋体" w:hAnsi="宋体" w:cs="宋体"/>
          <w:b/>
          <w:color w:val="000000" w:themeColor="text1"/>
          <w:sz w:val="21"/>
          <w:szCs w:val="21"/>
          <w:highlight w:val="none"/>
          <w14:textFill>
            <w14:solidFill>
              <w14:schemeClr w14:val="tx1"/>
            </w14:solidFill>
          </w14:textFill>
        </w:rPr>
        <w:t>投标文件的密封和标记</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18.1递交的电子投标文件（不含备用光盘）必须进行加密。按照交易平台关于</w:t>
      </w:r>
      <w:r>
        <w:rPr>
          <w:rFonts w:hint="eastAsia" w:ascii="宋体" w:hAnsi="宋体" w:cs="宋体"/>
          <w:color w:val="000000" w:themeColor="text1"/>
          <w:szCs w:val="21"/>
          <w:highlight w:val="none"/>
          <w14:textFill>
            <w14:solidFill>
              <w14:schemeClr w14:val="tx1"/>
            </w14:solidFill>
          </w14:textFill>
        </w:rPr>
        <w:t>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 xml:space="preserve">  。</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18.2 未按要求加密的投标文件，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bCs/>
          <w:color w:val="000000" w:themeColor="text1"/>
          <w:szCs w:val="21"/>
          <w:highlight w:val="none"/>
          <w14:textFill>
            <w14:solidFill>
              <w14:schemeClr w14:val="tx1"/>
            </w14:solidFill>
          </w14:textFill>
        </w:rPr>
        <w:t>将予以拒收。</w:t>
      </w:r>
    </w:p>
    <w:p>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19．投标文件的递交和接收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19.1投标人通过</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交易平台递交电子投标文件。</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19.2投标人完成电子</w:t>
      </w: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上传后，</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19.3逾期送达的电子投标文件，</w:t>
      </w:r>
      <w:r>
        <w:rPr>
          <w:rFonts w:hint="eastAsia" w:ascii="宋体" w:hAnsi="宋体" w:cs="宋体"/>
          <w:color w:val="000000" w:themeColor="text1"/>
          <w:szCs w:val="21"/>
          <w:highlight w:val="none"/>
          <w:u w:val="single"/>
          <w14:textFill>
            <w14:solidFill>
              <w14:schemeClr w14:val="tx1"/>
            </w14:solidFill>
          </w14:textFill>
        </w:rPr>
        <w:t xml:space="preserve">广州公共资源交易中心 </w:t>
      </w:r>
      <w:r>
        <w:rPr>
          <w:rFonts w:hint="eastAsia" w:ascii="宋体" w:hAnsi="宋体" w:cs="宋体"/>
          <w:color w:val="000000" w:themeColor="text1"/>
          <w:szCs w:val="21"/>
          <w:highlight w:val="none"/>
          <w14:textFill>
            <w14:solidFill>
              <w14:schemeClr w14:val="tx1"/>
            </w14:solidFill>
          </w14:textFill>
        </w:rPr>
        <w:t>交易平台将予以拒收。</w:t>
      </w:r>
    </w:p>
    <w:p>
      <w:pPr>
        <w:pBdr>
          <w:bottom w:val="single" w:color="auto" w:sz="6" w:space="1"/>
        </w:pBdr>
        <w:spacing w:line="360" w:lineRule="auto"/>
        <w:ind w:firstLine="415" w:firstLineChars="198"/>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 投标截止前，招标人拒绝接收符合条件的投标文件，投标人可向招标投标监督机构投诉。</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21.1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21.1 本须知前附表第17项规定的投标截止时间后送达的电子投标文件，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交易平台将予以拒收。</w:t>
      </w:r>
    </w:p>
    <w:p>
      <w:pPr>
        <w:pBdr>
          <w:bottom w:val="single" w:color="auto" w:sz="6" w:space="1"/>
        </w:pBdr>
        <w:spacing w:line="360" w:lineRule="auto"/>
        <w:ind w:firstLine="417" w:firstLineChars="198"/>
        <w:rPr>
          <w:rFonts w:hint="eastAsia" w:eastAsia="宋体"/>
          <w:color w:val="000000" w:themeColor="text1"/>
          <w:highlight w:val="none"/>
          <w:lang w:eastAsia="zh-CN"/>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21.1 本须知前附表第17项规定的投标截止时间</w:t>
      </w:r>
      <w:r>
        <w:rPr>
          <w:rFonts w:hint="eastAsia" w:ascii="宋体" w:hAnsi="宋体" w:cs="宋体"/>
          <w:bCs/>
          <w:color w:val="000000" w:themeColor="text1"/>
          <w:szCs w:val="21"/>
          <w:highlight w:val="none"/>
          <w14:textFill>
            <w14:solidFill>
              <w14:schemeClr w14:val="tx1"/>
            </w14:solidFill>
          </w14:textFill>
        </w:rPr>
        <w:t>后送达的电子投标文件，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交易平台将予以拒收</w:t>
      </w:r>
      <w:r>
        <w:rPr>
          <w:rFonts w:hint="eastAsia" w:ascii="宋体" w:hAnsi="宋体" w:cs="宋体"/>
          <w:color w:val="000000" w:themeColor="text1"/>
          <w:szCs w:val="21"/>
          <w:highlight w:val="none"/>
          <w:lang w:eastAsia="zh-CN"/>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27.1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27.1招标人将在</w:t>
      </w:r>
      <w:r>
        <w:rPr>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27.1招标人将在</w:t>
      </w:r>
      <w:r>
        <w:rPr>
          <w:rFonts w:hint="eastAsia" w:ascii="宋体" w:hAnsi="宋体" w:cs="宋体"/>
          <w:color w:val="000000" w:themeColor="text1"/>
          <w:kern w:val="0"/>
          <w:szCs w:val="21"/>
          <w:highlight w:val="none"/>
          <w:u w:val="single"/>
          <w14:textFill>
            <w14:solidFill>
              <w14:schemeClr w14:val="tx1"/>
            </w14:solidFill>
          </w14:textFill>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000000" w:themeColor="text1"/>
          <w:szCs w:val="21"/>
          <w:highlight w:val="none"/>
          <w14:textFill>
            <w14:solidFill>
              <w14:schemeClr w14:val="tx1"/>
            </w14:solidFill>
          </w14:textFill>
        </w:rPr>
        <w:t>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27.4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27.4在产生中标候选人后，招标人将中标候选人的投标文件商务部分文件的所有内容（包括人员、业绩、奖项等资料）在</w:t>
      </w:r>
      <w:r>
        <w:rPr>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交易平台和广东省招标投标监管网公开。</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s="宋体"/>
          <w:color w:val="000000" w:themeColor="text1"/>
          <w:kern w:val="0"/>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交易平台和广东省招标投标监管网公开。</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29.1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napToGrid w:val="0"/>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eastAsia="宋体" w:cs="宋体"/>
          <w:color w:val="000000" w:themeColor="text1"/>
          <w:szCs w:val="21"/>
          <w:highlight w:val="none"/>
          <w:u w:val="single"/>
          <w14:textFill>
            <w14:solidFill>
              <w14:schemeClr w14:val="tx1"/>
            </w14:solidFill>
          </w14:textFill>
        </w:rPr>
        <w:t>29.1 在</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申请</w:t>
      </w:r>
      <w:r>
        <w:rPr>
          <w:rFonts w:hint="eastAsia" w:ascii="宋体" w:hAnsi="宋体" w:eastAsia="宋体" w:cs="宋体"/>
          <w:color w:val="000000" w:themeColor="text1"/>
          <w:szCs w:val="21"/>
          <w:highlight w:val="none"/>
          <w:u w:val="single"/>
          <w:lang w:eastAsia="zh-CN"/>
          <w14:textFill>
            <w14:solidFill>
              <w14:schemeClr w14:val="tx1"/>
            </w14:solidFill>
          </w14:textFill>
        </w:rPr>
        <w:t>支付预付款前</w:t>
      </w:r>
      <w:r>
        <w:rPr>
          <w:rFonts w:hint="eastAsia" w:ascii="宋体" w:hAnsi="宋体" w:eastAsia="宋体" w:cs="宋体"/>
          <w:color w:val="000000" w:themeColor="text1"/>
          <w:szCs w:val="21"/>
          <w:highlight w:val="none"/>
          <w:u w:val="single"/>
          <w14:textFill>
            <w14:solidFill>
              <w14:schemeClr w14:val="tx1"/>
            </w14:solidFill>
          </w14:textFill>
        </w:rPr>
        <w:t>，中标人应</w:t>
      </w:r>
      <w:r>
        <w:rPr>
          <w:rFonts w:hint="eastAsia" w:ascii="宋体" w:hAnsi="宋体" w:cs="宋体"/>
          <w:color w:val="000000" w:themeColor="text1"/>
          <w:szCs w:val="21"/>
          <w:highlight w:val="none"/>
          <w:u w:val="single"/>
          <w14:textFill>
            <w14:solidFill>
              <w14:schemeClr w14:val="tx1"/>
            </w14:solidFill>
          </w14:textFill>
        </w:rPr>
        <w:t>按本须知前附表第20项的规定向招标人提交履约担保。</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29.2</w:t>
      </w:r>
      <w:r>
        <w:rPr>
          <w:rFonts w:hint="eastAsia" w:ascii="宋体" w:hAnsi="宋体" w:cs="宋体"/>
          <w:b/>
          <w:color w:val="000000" w:themeColor="text1"/>
          <w:szCs w:val="21"/>
          <w:highlight w:val="none"/>
          <w14:textFill>
            <w14:solidFill>
              <w14:schemeClr w14:val="tx1"/>
            </w14:solidFill>
          </w14:textFill>
        </w:rPr>
        <w:t xml:space="preserve">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29.2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在申请支付预付款前，中标人未按上款的规定提交履约担保，招标人将不予支付预付款</w:t>
      </w:r>
      <w:r>
        <w:rPr>
          <w:rFonts w:hint="eastAsia" w:ascii="宋体" w:hAnsi="宋体" w:cs="宋体"/>
          <w:color w:val="000000" w:themeColor="text1"/>
          <w:szCs w:val="21"/>
          <w:highlight w:val="none"/>
          <w14:textFill>
            <w14:solidFill>
              <w14:schemeClr w14:val="tx1"/>
            </w14:solidFill>
          </w14:textFill>
        </w:rPr>
        <w:t>。</w:t>
      </w:r>
    </w:p>
    <w:p>
      <w:pPr>
        <w:spacing w:line="480" w:lineRule="auto"/>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30.1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ascii="宋体"/>
          <w:color w:val="000000" w:themeColor="text1"/>
          <w:sz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30.1</w:t>
      </w:r>
      <w:r>
        <w:rPr>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合同自发包人、承包人双方法定代表人或委托代理人签字并加盖公章之日起生效。</w:t>
      </w:r>
    </w:p>
    <w:p>
      <w:pPr>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条款号：31.1           修改类型：增加</w:t>
      </w:r>
    </w:p>
    <w:p>
      <w:pPr>
        <w:pBdr>
          <w:bottom w:val="single" w:color="auto" w:sz="6" w:space="1"/>
        </w:pBdr>
        <w:spacing w:line="360" w:lineRule="auto"/>
        <w:ind w:firstLine="422"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31.1根据广州市政府相关文件的规定，向广州公共资源交易中心交纳交易服务费。</w:t>
      </w: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注：以上修改，仅限于本范本中有可供选择条款的情形。</w:t>
      </w:r>
    </w:p>
    <w:p>
      <w:pPr>
        <w:spacing w:line="360" w:lineRule="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4" w:name="_Toc9619"/>
      <w:bookmarkStart w:id="15" w:name="_Toc21525492"/>
      <w:bookmarkStart w:id="16" w:name="_Toc27304"/>
      <w:bookmarkStart w:id="17" w:name="_Toc2272548"/>
      <w:r>
        <w:rPr>
          <w:rFonts w:hint="eastAsia"/>
          <w:color w:val="000000" w:themeColor="text1"/>
          <w:highlight w:val="none"/>
          <w14:textFill>
            <w14:solidFill>
              <w14:schemeClr w14:val="tx1"/>
            </w14:solidFill>
          </w14:textFill>
        </w:rPr>
        <w:t>三、投标须知通用条款</w:t>
      </w:r>
      <w:bookmarkEnd w:id="14"/>
      <w:bookmarkEnd w:id="15"/>
      <w:bookmarkEnd w:id="16"/>
      <w:bookmarkEnd w:id="17"/>
    </w:p>
    <w:p>
      <w:pPr>
        <w:pStyle w:val="6"/>
        <w:spacing w:before="156" w:after="156"/>
        <w:rPr>
          <w:color w:val="000000" w:themeColor="text1"/>
          <w:highlight w:val="none"/>
          <w14:textFill>
            <w14:solidFill>
              <w14:schemeClr w14:val="tx1"/>
            </w14:solidFill>
          </w14:textFill>
        </w:rPr>
      </w:pPr>
      <w:bookmarkStart w:id="18" w:name="_Toc14447"/>
      <w:bookmarkStart w:id="19" w:name="_Toc2272549"/>
      <w:bookmarkStart w:id="20" w:name="_Toc1139"/>
      <w:bookmarkStart w:id="21" w:name="_Toc21525493"/>
      <w:r>
        <w:rPr>
          <w:rFonts w:hint="eastAsia"/>
          <w:color w:val="000000" w:themeColor="text1"/>
          <w:highlight w:val="none"/>
          <w14:textFill>
            <w14:solidFill>
              <w14:schemeClr w14:val="tx1"/>
            </w14:solidFill>
          </w14:textFill>
        </w:rPr>
        <w:t>（一）总则</w:t>
      </w:r>
      <w:bookmarkEnd w:id="18"/>
      <w:bookmarkEnd w:id="19"/>
      <w:bookmarkEnd w:id="20"/>
      <w:bookmarkEnd w:id="21"/>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、定义</w:t>
      </w:r>
    </w:p>
    <w:p>
      <w:pPr>
        <w:pStyle w:val="33"/>
        <w:spacing w:after="0" w:line="360" w:lineRule="auto"/>
        <w:ind w:firstLine="480" w:firstLineChars="200"/>
        <w:rPr>
          <w:rFonts w:asci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本招标文件使用的下列词语具有如下规定的意义：</w:t>
      </w:r>
    </w:p>
    <w:p>
      <w:pPr>
        <w:pStyle w:val="33"/>
        <w:spacing w:after="0" w:line="360" w:lineRule="auto"/>
        <w:ind w:firstLine="480" w:firstLineChars="200"/>
        <w:rPr>
          <w:rFonts w:asci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）“招标人”（即发包人）、“项目建设管理单位</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（或称“项目代建单位”）、“招标代理”、“设计单位”、“监理单位”均已在投标须知前附表中列明。</w:t>
      </w: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）“投标人”指向招标人提交投标文件的当事人。</w:t>
      </w:r>
      <w:r>
        <w:rPr>
          <w:rFonts w:ascii="宋体" w:hAnsi="宋体"/>
          <w:color w:val="000000" w:themeColor="text1"/>
          <w:sz w:val="24"/>
          <w:highlight w:val="none"/>
          <w14:textFill>
            <w14:solidFill>
              <w14:schemeClr w14:val="tx1"/>
            </w14:solidFill>
          </w14:textFill>
        </w:rPr>
        <w:t xml:space="preserve">   </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）“承包人”指其投标被招标人接受并与其签订承包合同的当事人。</w:t>
      </w: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highlight w:val="none"/>
          <w14:textFill>
            <w14:solidFill>
              <w14:schemeClr w14:val="tx1"/>
            </w14:solidFill>
          </w14:textFill>
        </w:rPr>
        <w:t>招标文件的澄清与修改</w:t>
      </w:r>
      <w:r>
        <w:rPr>
          <w:rFonts w:hint="eastAsia" w:ascii="宋体" w:hAnsi="宋体"/>
          <w:color w:val="000000" w:themeColor="text1"/>
          <w:sz w:val="24"/>
          <w:highlight w:val="none"/>
          <w14:textFill>
            <w14:solidFill>
              <w14:schemeClr w14:val="tx1"/>
            </w14:solidFill>
          </w14:textFill>
        </w:rPr>
        <w:t>文件。</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）“投标文件”指投标人根据本项目招标文件向招标人提交的全部文件。</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、招标说明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2.3</w:t>
      </w:r>
      <w:r>
        <w:rPr>
          <w:rFonts w:hint="eastAsia" w:ascii="宋体" w:hAnsi="宋体"/>
          <w:bCs/>
          <w:color w:val="000000" w:themeColor="text1"/>
          <w:sz w:val="24"/>
          <w:highlight w:val="none"/>
          <w14:textFill>
            <w14:solidFill>
              <w14:schemeClr w14:val="tx1"/>
            </w14:solidFill>
          </w14:textFill>
        </w:rPr>
        <w:t>设计说明：详见招标图纸。</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2.4</w:t>
      </w:r>
      <w:r>
        <w:rPr>
          <w:rFonts w:hint="eastAsia" w:ascii="宋体" w:hAnsi="宋体"/>
          <w:bCs/>
          <w:color w:val="000000" w:themeColor="text1"/>
          <w:sz w:val="24"/>
          <w:highlight w:val="none"/>
          <w14:textFill>
            <w14:solidFill>
              <w14:schemeClr w14:val="tx1"/>
            </w14:solidFill>
          </w14:textFill>
        </w:rPr>
        <w:t>工程施工特点：详见招标图纸。</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u w:val="single"/>
          <w14:textFill>
            <w14:solidFill>
              <w14:schemeClr w14:val="tx1"/>
            </w14:solidFill>
          </w14:textFill>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．资金来源</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本招标工程项目资金来源见投标须知前附表第</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项</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．合格投标人的条件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4.1</w:t>
      </w:r>
      <w:r>
        <w:rPr>
          <w:rFonts w:hint="eastAsia" w:ascii="宋体" w:hAnsi="宋体"/>
          <w:bCs/>
          <w:color w:val="000000" w:themeColor="text1"/>
          <w:sz w:val="24"/>
          <w:highlight w:val="none"/>
          <w14:textFill>
            <w14:solidFill>
              <w14:schemeClr w14:val="tx1"/>
            </w14:solidFill>
          </w14:textFill>
        </w:rPr>
        <w:t>详见本项目招标公告</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．踏勘现场</w:t>
      </w:r>
    </w:p>
    <w:p>
      <w:pPr>
        <w:spacing w:line="360" w:lineRule="auto"/>
        <w:ind w:firstLine="480" w:firstLineChars="200"/>
        <w:rPr>
          <w:rFonts w:ascii="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 w:val="24"/>
          <w:szCs w:val="24"/>
          <w:highlight w:val="none"/>
          <w:u w:val="single"/>
          <w14:textFill>
            <w14:solidFill>
              <w14:schemeClr w14:val="tx1"/>
            </w14:solidFill>
          </w14:textFill>
        </w:rPr>
        <w:t>投标人不进行踏勘的，视为已熟知现场条件，自行承担相关风险</w:t>
      </w:r>
      <w:r>
        <w:rPr>
          <w:rFonts w:hint="eastAsia" w:ascii="宋体" w:hAnsi="宋体" w:cs="宋体"/>
          <w:color w:val="000000" w:themeColor="text1"/>
          <w:sz w:val="24"/>
          <w:szCs w:val="24"/>
          <w:highlight w:val="none"/>
          <w14:textFill>
            <w14:solidFill>
              <w14:schemeClr w14:val="tx1"/>
            </w14:solidFill>
          </w14:textFill>
        </w:rPr>
        <w:t>。一旦中标，这种考察即被认为其结果已在中标文件中得到充分反映。</w:t>
      </w:r>
      <w:r>
        <w:rPr>
          <w:rFonts w:hint="eastAsia" w:ascii="宋体" w:hAnsi="宋体" w:cs="宋体"/>
          <w:color w:val="000000" w:themeColor="text1"/>
          <w:sz w:val="24"/>
          <w:szCs w:val="24"/>
          <w:highlight w:val="none"/>
          <w:u w:val="single"/>
          <w14:textFill>
            <w14:solidFill>
              <w14:schemeClr w14:val="tx1"/>
            </w14:solidFill>
          </w14:textFill>
        </w:rPr>
        <w:t>招标人不受理因投标人缺乏对现场条件的了解或掌握而提出的任何索赔。</w:t>
      </w:r>
      <w:r>
        <w:rPr>
          <w:rFonts w:hint="eastAsia" w:ascii="宋体" w:hAnsi="宋体" w:cs="宋体"/>
          <w:color w:val="000000" w:themeColor="text1"/>
          <w:sz w:val="24"/>
          <w:szCs w:val="24"/>
          <w:highlight w:val="none"/>
          <w14:textFill>
            <w14:solidFill>
              <w14:schemeClr w14:val="tx1"/>
            </w14:solidFill>
          </w14:textFill>
        </w:rPr>
        <w:t>考察现场的费用由投标人自己承担。</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5.2 </w:t>
      </w:r>
      <w:r>
        <w:rPr>
          <w:rFonts w:hint="eastAsia" w:ascii="宋体" w:hAnsi="宋体"/>
          <w:bCs/>
          <w:color w:val="000000" w:themeColor="text1"/>
          <w:sz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5.3 </w:t>
      </w:r>
      <w:r>
        <w:rPr>
          <w:rFonts w:hint="eastAsia" w:ascii="宋体" w:hAnsi="宋体"/>
          <w:bCs/>
          <w:color w:val="000000" w:themeColor="text1"/>
          <w:sz w:val="24"/>
          <w:highlight w:val="none"/>
          <w14:textFill>
            <w14:solidFill>
              <w14:schemeClr w14:val="tx1"/>
            </w14:solidFill>
          </w14:textFill>
        </w:rPr>
        <w:t>经招标人允许，投标人可为踏勘目的进入招标人的项目现场。</w:t>
      </w:r>
      <w:r>
        <w:rPr>
          <w:rFonts w:hint="eastAsia" w:ascii="宋体" w:hAnsi="宋体"/>
          <w:color w:val="000000" w:themeColor="text1"/>
          <w:sz w:val="24"/>
          <w:highlight w:val="none"/>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highlight w:val="none"/>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不论投标结果如何，投标人应承担</w:t>
      </w:r>
      <w:r>
        <w:rPr>
          <w:rFonts w:hint="eastAsia" w:ascii="宋体" w:hAnsi="宋体"/>
          <w:bCs/>
          <w:color w:val="000000" w:themeColor="text1"/>
          <w:sz w:val="24"/>
          <w:highlight w:val="none"/>
          <w14:textFill>
            <w14:solidFill>
              <w14:schemeClr w14:val="tx1"/>
            </w14:solidFill>
          </w14:textFill>
        </w:rPr>
        <w:t>自身</w:t>
      </w:r>
      <w:r>
        <w:rPr>
          <w:rFonts w:hint="eastAsia" w:ascii="宋体" w:hAnsi="宋体"/>
          <w:color w:val="000000" w:themeColor="text1"/>
          <w:sz w:val="24"/>
          <w:highlight w:val="none"/>
          <w14:textFill>
            <w14:solidFill>
              <w14:schemeClr w14:val="tx1"/>
            </w14:solidFill>
          </w14:textFill>
        </w:rPr>
        <w:t>因投标文件编制、递交及其他</w:t>
      </w:r>
      <w:r>
        <w:rPr>
          <w:rFonts w:hint="eastAsia" w:ascii="宋体" w:hAnsi="宋体"/>
          <w:bCs/>
          <w:color w:val="000000" w:themeColor="text1"/>
          <w:sz w:val="24"/>
          <w:highlight w:val="none"/>
          <w14:textFill>
            <w14:solidFill>
              <w14:schemeClr w14:val="tx1"/>
            </w14:solidFill>
          </w14:textFill>
        </w:rPr>
        <w:t>参加本招标活动</w:t>
      </w:r>
      <w:r>
        <w:rPr>
          <w:rFonts w:hint="eastAsia" w:ascii="宋体" w:hAnsi="宋体"/>
          <w:color w:val="000000" w:themeColor="text1"/>
          <w:sz w:val="24"/>
          <w:highlight w:val="none"/>
          <w14:textFill>
            <w14:solidFill>
              <w14:schemeClr w14:val="tx1"/>
            </w14:solidFill>
          </w14:textFill>
        </w:rPr>
        <w:t>所涉及的一切费用，招标人对上述费用不负任何责任。</w:t>
      </w:r>
    </w:p>
    <w:p>
      <w:pPr>
        <w:pStyle w:val="6"/>
        <w:spacing w:before="156" w:after="156"/>
        <w:rPr>
          <w:color w:val="000000" w:themeColor="text1"/>
          <w:highlight w:val="none"/>
          <w14:textFill>
            <w14:solidFill>
              <w14:schemeClr w14:val="tx1"/>
            </w14:solidFill>
          </w14:textFill>
        </w:rPr>
      </w:pPr>
      <w:bookmarkStart w:id="22" w:name="_Toc2272550"/>
      <w:bookmarkStart w:id="23" w:name="_Toc21525494"/>
      <w:bookmarkStart w:id="24" w:name="_Toc31708"/>
      <w:bookmarkStart w:id="25" w:name="_Toc23361"/>
      <w:r>
        <w:rPr>
          <w:rFonts w:hint="eastAsia"/>
          <w:color w:val="000000" w:themeColor="text1"/>
          <w:highlight w:val="none"/>
          <w14:textFill>
            <w14:solidFill>
              <w14:schemeClr w14:val="tx1"/>
            </w14:solidFill>
          </w14:textFill>
        </w:rPr>
        <w:t>（二）招标文件</w:t>
      </w:r>
      <w:bookmarkEnd w:id="22"/>
      <w:bookmarkEnd w:id="23"/>
      <w:bookmarkEnd w:id="24"/>
      <w:bookmarkEnd w:id="25"/>
    </w:p>
    <w:p>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招标文件的组成</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w:t>
      </w:r>
      <w:r>
        <w:rPr>
          <w:rFonts w:hint="eastAsia" w:ascii="宋体" w:hAnsi="宋体" w:eastAsia="宋体" w:cs="宋体"/>
          <w:color w:val="000000" w:themeColor="text1"/>
          <w:sz w:val="24"/>
          <w:szCs w:val="24"/>
          <w:highlight w:val="none"/>
          <w14:textFill>
            <w14:solidFill>
              <w14:schemeClr w14:val="tx1"/>
            </w14:solidFill>
          </w14:textFill>
        </w:rPr>
        <w:t>本招标文件包括下列文件，以及所有按本须知第8条发出的招标答疑会会议纪要和按本须知第9条发出的澄清或修改：</w:t>
      </w:r>
    </w:p>
    <w:p>
      <w:pPr>
        <w:pStyle w:val="33"/>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第一章  </w:t>
      </w:r>
      <w:r>
        <w:rPr>
          <w:rFonts w:hint="eastAsia" w:ascii="宋体" w:hAnsi="宋体" w:eastAsia="宋体" w:cs="宋体"/>
          <w:color w:val="000000" w:themeColor="text1"/>
          <w:sz w:val="24"/>
          <w:szCs w:val="24"/>
          <w:highlight w:val="none"/>
          <w14:textFill>
            <w14:solidFill>
              <w14:schemeClr w14:val="tx1"/>
            </w14:solidFill>
          </w14:textFill>
        </w:rPr>
        <w:t>投标须知</w:t>
      </w:r>
    </w:p>
    <w:p>
      <w:pPr>
        <w:pStyle w:val="33"/>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第二章  </w:t>
      </w:r>
      <w:r>
        <w:rPr>
          <w:rFonts w:hint="eastAsia" w:ascii="宋体" w:hAnsi="宋体" w:eastAsia="宋体" w:cs="宋体"/>
          <w:color w:val="000000" w:themeColor="text1"/>
          <w:sz w:val="24"/>
          <w:szCs w:val="24"/>
          <w:highlight w:val="none"/>
          <w14:textFill>
            <w14:solidFill>
              <w14:schemeClr w14:val="tx1"/>
            </w14:solidFill>
          </w14:textFill>
        </w:rPr>
        <w:t>开标、评标及定标办法</w:t>
      </w:r>
    </w:p>
    <w:p>
      <w:pPr>
        <w:pStyle w:val="33"/>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第三章  合同条款</w:t>
      </w:r>
    </w:p>
    <w:p>
      <w:pPr>
        <w:pStyle w:val="33"/>
        <w:spacing w:after="0" w:line="360" w:lineRule="auto"/>
        <w:ind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第四章  </w:t>
      </w:r>
      <w:r>
        <w:rPr>
          <w:rFonts w:hint="eastAsia" w:ascii="宋体" w:hAnsi="宋体" w:eastAsia="宋体" w:cs="宋体"/>
          <w:color w:val="000000" w:themeColor="text1"/>
          <w:sz w:val="24"/>
          <w:szCs w:val="24"/>
          <w:highlight w:val="none"/>
          <w14:textFill>
            <w14:solidFill>
              <w14:schemeClr w14:val="tx1"/>
            </w14:solidFill>
          </w14:textFill>
        </w:rPr>
        <w:t>投标文件格式</w:t>
      </w:r>
    </w:p>
    <w:p>
      <w:pPr>
        <w:pStyle w:val="33"/>
        <w:spacing w:after="0" w:line="360" w:lineRule="auto"/>
        <w:ind w:left="-2"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第五章  </w:t>
      </w:r>
      <w:r>
        <w:rPr>
          <w:rFonts w:hint="eastAsia" w:ascii="宋体" w:hAnsi="宋体" w:eastAsia="宋体" w:cs="宋体"/>
          <w:color w:val="000000" w:themeColor="text1"/>
          <w:sz w:val="24"/>
          <w:szCs w:val="24"/>
          <w:highlight w:val="none"/>
          <w:u w:val="single"/>
          <w14:textFill>
            <w14:solidFill>
              <w14:schemeClr w14:val="tx1"/>
            </w14:solidFill>
          </w14:textFill>
        </w:rPr>
        <w:t>技术条件（工程建设标准）</w:t>
      </w:r>
    </w:p>
    <w:p>
      <w:pPr>
        <w:pStyle w:val="33"/>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第六章  </w:t>
      </w:r>
      <w:r>
        <w:rPr>
          <w:rFonts w:hint="eastAsia" w:ascii="宋体" w:hAnsi="宋体" w:eastAsia="宋体" w:cs="宋体"/>
          <w:color w:val="000000" w:themeColor="text1"/>
          <w:sz w:val="24"/>
          <w:szCs w:val="24"/>
          <w:highlight w:val="none"/>
          <w14:textFill>
            <w14:solidFill>
              <w14:schemeClr w14:val="tx1"/>
            </w14:solidFill>
          </w14:textFill>
        </w:rPr>
        <w:t>图纸及勘察资料（另册）</w:t>
      </w:r>
    </w:p>
    <w:p>
      <w:pPr>
        <w:pStyle w:val="33"/>
        <w:spacing w:after="0" w:line="360" w:lineRule="auto"/>
        <w:ind w:left="-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第七章  招标</w:t>
      </w:r>
      <w:r>
        <w:rPr>
          <w:rFonts w:hint="eastAsia" w:ascii="宋体" w:hAnsi="宋体" w:eastAsia="宋体" w:cs="宋体"/>
          <w:color w:val="000000" w:themeColor="text1"/>
          <w:sz w:val="24"/>
          <w:szCs w:val="24"/>
          <w:highlight w:val="none"/>
          <w14:textFill>
            <w14:solidFill>
              <w14:schemeClr w14:val="tx1"/>
            </w14:solidFill>
          </w14:textFill>
        </w:rPr>
        <w:t xml:space="preserve">工程量清单（另册） </w:t>
      </w:r>
    </w:p>
    <w:p>
      <w:pPr>
        <w:pStyle w:val="33"/>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第八章  最高投标限价</w:t>
      </w:r>
    </w:p>
    <w:p>
      <w:pPr>
        <w:pStyle w:val="33"/>
        <w:spacing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kern w:val="0"/>
          <w:sz w:val="24"/>
          <w:szCs w:val="24"/>
        </w:rPr>
        <w:t>注：招标人应在技术条件（工程建设标准）中明确施工现场建筑垃圾源头减量的具体要求和建筑垃圾综合利用产品的使用要求。</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投标人一旦中标，招标文件的内容对招标人和中标人双方均有约束力。</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．招标答疑</w:t>
      </w:r>
    </w:p>
    <w:p>
      <w:pPr>
        <w:pStyle w:val="33"/>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8.1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pStyle w:val="33"/>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答疑会会议纪要为招标文件的一部分。</w:t>
      </w:r>
    </w:p>
    <w:p>
      <w:pPr>
        <w:pStyle w:val="33"/>
        <w:spacing w:after="0" w:line="360" w:lineRule="auto"/>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8.4若招标答疑纪要与招标文件有矛盾时，以广州公共资源交易中心交易平台最后发布的答疑纪要为准。</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招标文件的澄清与修改</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招标文件发出后</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在提交投标文件截止时间15日前，招标人可对招标文件进行必要的澄清或修改。</w:t>
      </w:r>
    </w:p>
    <w:p>
      <w:pPr>
        <w:pStyle w:val="33"/>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招标文件的修改内容为招标文件的组成部分。</w:t>
      </w:r>
    </w:p>
    <w:p>
      <w:pPr>
        <w:pStyle w:val="33"/>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9.5</w:t>
      </w:r>
      <w:r>
        <w:rPr>
          <w:rFonts w:hint="eastAsia" w:ascii="宋体" w:hAnsi="宋体"/>
          <w:color w:val="000000" w:themeColor="text1"/>
          <w:sz w:val="24"/>
          <w:highlight w:val="none"/>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color w:val="000000" w:themeColor="text1"/>
          <w:highlight w:val="none"/>
          <w14:textFill>
            <w14:solidFill>
              <w14:schemeClr w14:val="tx1"/>
            </w14:solidFill>
          </w14:textFill>
        </w:rPr>
      </w:pPr>
      <w:bookmarkStart w:id="26" w:name="_Toc18126"/>
      <w:bookmarkStart w:id="27" w:name="_Toc2272551"/>
      <w:bookmarkStart w:id="28" w:name="_Toc21525495"/>
      <w:bookmarkStart w:id="29" w:name="_Toc5048"/>
      <w:r>
        <w:rPr>
          <w:rFonts w:hint="eastAsia"/>
          <w:color w:val="000000" w:themeColor="text1"/>
          <w:highlight w:val="none"/>
          <w14:textFill>
            <w14:solidFill>
              <w14:schemeClr w14:val="tx1"/>
            </w14:solidFill>
          </w14:textFill>
        </w:rPr>
        <w:t>（三）投标文件的编制</w:t>
      </w:r>
      <w:bookmarkEnd w:id="26"/>
      <w:bookmarkEnd w:id="27"/>
      <w:bookmarkEnd w:id="28"/>
      <w:bookmarkEnd w:id="29"/>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．投标文件的语言及度量衡单位</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投标文件和与投标有关的所有文件均应使用中文。</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除工程规范另有规定外，投标文件使用的度量衡单位，均采用中华人民共和国法定计量单位。</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11</w:t>
      </w:r>
      <w:r>
        <w:rPr>
          <w:rFonts w:hint="eastAsia" w:ascii="宋体" w:hAnsi="宋体"/>
          <w:b/>
          <w:bCs/>
          <w:color w:val="000000" w:themeColor="text1"/>
          <w:sz w:val="24"/>
          <w:highlight w:val="none"/>
          <w14:textFill>
            <w14:solidFill>
              <w14:schemeClr w14:val="tx1"/>
            </w14:solidFill>
          </w14:textFill>
        </w:rPr>
        <w:t>．投标文件的组成</w:t>
      </w:r>
    </w:p>
    <w:p>
      <w:pPr>
        <w:pStyle w:val="33"/>
        <w:spacing w:after="0" w:line="360" w:lineRule="auto"/>
        <w:ind w:firstLine="480" w:firstLineChars="200"/>
        <w:rPr>
          <w:rFonts w:asci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投标文件由技术部分（含资格审查文件）和经济部分两部分投标文件组成</w:t>
      </w:r>
      <w:r>
        <w:rPr>
          <w:rFonts w:hint="eastAsia" w:ascii="宋体" w:hAnsi="宋体"/>
          <w:b/>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11.2投标文件技术标部分主要包括下列内容:</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11.2.1 技术标投标书(</w:t>
      </w:r>
      <w:r>
        <w:rPr>
          <w:rFonts w:hint="eastAsia" w:ascii="宋体" w:hAnsi="宋体"/>
          <w:bCs/>
          <w:color w:val="000000" w:themeColor="text1"/>
          <w:sz w:val="24"/>
          <w:highlight w:val="none"/>
          <w:u w:val="single"/>
          <w14:textFill>
            <w14:solidFill>
              <w14:schemeClr w14:val="tx1"/>
            </w14:solidFill>
          </w14:textFill>
        </w:rPr>
        <w:t>按本招标文件“第四章投标文件格式”的技术标投标文件（含资格审查文件）格式一</w:t>
      </w:r>
      <w:r>
        <w:rPr>
          <w:rFonts w:hint="eastAsia" w:ascii="宋体" w:hAnsi="宋体"/>
          <w:bCs/>
          <w:color w:val="000000" w:themeColor="text1"/>
          <w:sz w:val="24"/>
          <w:highlight w:val="none"/>
          <w14:textFill>
            <w14:solidFill>
              <w14:schemeClr w14:val="tx1"/>
            </w14:solidFill>
          </w14:textFill>
        </w:rPr>
        <w:t>的要求填写)；</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11.2.2 资格审查文件：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（1）投标人声明（</w:t>
      </w:r>
      <w:r>
        <w:rPr>
          <w:rFonts w:hint="eastAsia" w:ascii="宋体" w:hAnsi="宋体"/>
          <w:bCs/>
          <w:color w:val="000000" w:themeColor="text1"/>
          <w:sz w:val="24"/>
          <w:highlight w:val="none"/>
          <w:u w:val="single"/>
          <w14:textFill>
            <w14:solidFill>
              <w14:schemeClr w14:val="tx1"/>
            </w14:solidFill>
          </w14:textFill>
        </w:rPr>
        <w:t>须按本工程招标公告附件</w:t>
      </w:r>
      <w:r>
        <w:rPr>
          <w:rFonts w:hint="eastAsia" w:ascii="宋体" w:hAnsi="宋体"/>
          <w:bCs/>
          <w:color w:val="000000" w:themeColor="text1"/>
          <w:sz w:val="24"/>
          <w:highlight w:val="none"/>
          <w:u w:val="single"/>
          <w:lang w:eastAsia="zh-CN"/>
          <w14:textFill>
            <w14:solidFill>
              <w14:schemeClr w14:val="tx1"/>
            </w14:solidFill>
          </w14:textFill>
        </w:rPr>
        <w:t>一</w:t>
      </w:r>
      <w:r>
        <w:rPr>
          <w:rFonts w:hint="eastAsia" w:ascii="宋体" w:hAnsi="宋体"/>
          <w:bCs/>
          <w:color w:val="000000" w:themeColor="text1"/>
          <w:sz w:val="24"/>
          <w:highlight w:val="none"/>
          <w:u w:val="single"/>
          <w14:textFill>
            <w14:solidFill>
              <w14:schemeClr w14:val="tx1"/>
            </w14:solidFill>
          </w14:textFill>
        </w:rPr>
        <w:t>格式</w:t>
      </w:r>
      <w:r>
        <w:rPr>
          <w:rFonts w:hint="eastAsia" w:ascii="宋体" w:hAnsi="宋体"/>
          <w:bCs/>
          <w:color w:val="000000" w:themeColor="text1"/>
          <w:sz w:val="24"/>
          <w:highlight w:val="none"/>
          <w14:textFill>
            <w14:solidFill>
              <w14:schemeClr w14:val="tx1"/>
            </w14:solidFill>
          </w14:textFill>
        </w:rPr>
        <w:t xml:space="preserve">）； </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（2）法定代表人证明书、法定代表人签字或盖章的本投标文件授权委托证明书；</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（3）企业营业执照（取自平台内上传件）；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（4）企业资质证书（取自平台内上传件）；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（5）建筑施工企业安全生产许可证（取自平台内上传件）；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（6）项目负责人（按网上投标登记时选择拟投标的项目负责人）；</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（7）专职安全员（按网上投标登记时选择拟投标的专职安全员）；</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（8）拟委托技术负责人的职称证书；</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（9）拟委派项目负责人的</w:t>
      </w:r>
      <w:r>
        <w:rPr>
          <w:rFonts w:hint="eastAsia" w:ascii="宋体" w:hAnsi="宋体"/>
          <w:bCs/>
          <w:color w:val="000000" w:themeColor="text1"/>
          <w:sz w:val="24"/>
          <w:highlight w:val="none"/>
          <w:u w:val="none"/>
          <w14:textFill>
            <w14:solidFill>
              <w14:schemeClr w14:val="tx1"/>
            </w14:solidFill>
          </w14:textFill>
        </w:rPr>
        <w:t>建造师注册证书</w:t>
      </w:r>
      <w:r>
        <w:rPr>
          <w:rFonts w:hint="eastAsia" w:ascii="宋体" w:hAnsi="宋体"/>
          <w:bCs/>
          <w:color w:val="000000" w:themeColor="text1"/>
          <w:sz w:val="24"/>
          <w:highlight w:val="none"/>
          <w14:textFill>
            <w14:solidFill>
              <w14:schemeClr w14:val="tx1"/>
            </w14:solidFill>
          </w14:textFill>
        </w:rPr>
        <w:t xml:space="preserve">（取自平台内上传件）； </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（11）专职安全员须具</w:t>
      </w:r>
      <w:r>
        <w:rPr>
          <w:rFonts w:hint="eastAsia" w:ascii="宋体" w:hAnsi="宋体"/>
          <w:bCs/>
          <w:color w:val="000000" w:themeColor="text1"/>
          <w:sz w:val="24"/>
          <w:highlight w:val="none"/>
          <w:u w:val="single"/>
          <w14:textFill>
            <w14:solidFill>
              <w14:schemeClr w14:val="tx1"/>
            </w14:solidFill>
          </w14:textFill>
        </w:rPr>
        <w:t>有在有效期内的安全考核合格证书（C类）或建筑施工企业专职安全生产管理人员安全生产考核合格证书（C3）（取自平台内上传件）；</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cs="Times New Roman"/>
          <w:bCs/>
          <w:color w:val="000000" w:themeColor="text1"/>
          <w:sz w:val="24"/>
          <w:szCs w:val="22"/>
          <w:highlight w:val="none"/>
          <w14:textFill>
            <w14:solidFill>
              <w14:schemeClr w14:val="tx1"/>
            </w14:solidFill>
          </w14:textFill>
        </w:rPr>
        <w:t>（1</w:t>
      </w:r>
      <w:r>
        <w:rPr>
          <w:rFonts w:hint="eastAsia" w:ascii="宋体" w:hAnsi="宋体" w:cs="Times New Roman"/>
          <w:bCs/>
          <w:color w:val="000000" w:themeColor="text1"/>
          <w:sz w:val="24"/>
          <w:szCs w:val="22"/>
          <w:highlight w:val="none"/>
          <w:lang w:val="en-US" w:eastAsia="zh-CN"/>
          <w14:textFill>
            <w14:solidFill>
              <w14:schemeClr w14:val="tx1"/>
            </w14:solidFill>
          </w14:textFill>
        </w:rPr>
        <w:t>3</w:t>
      </w:r>
      <w:r>
        <w:rPr>
          <w:rFonts w:hint="eastAsia" w:ascii="宋体" w:hAnsi="宋体" w:cs="Times New Roman"/>
          <w:bCs/>
          <w:color w:val="000000" w:themeColor="text1"/>
          <w:sz w:val="24"/>
          <w:szCs w:val="22"/>
          <w:highlight w:val="none"/>
          <w14:textFill>
            <w14:solidFill>
              <w14:schemeClr w14:val="tx1"/>
            </w14:solidFill>
          </w14:textFill>
        </w:rPr>
        <w:t>）列明主办单位的联合体工作协议（采用联合体投标时需递交，投标人拟任本工程项目负责人应为联合体主办方</w:t>
      </w:r>
      <w:r>
        <w:rPr>
          <w:rFonts w:hint="eastAsia" w:ascii="宋体" w:hAnsi="宋体" w:cs="Times New Roman"/>
          <w:bCs/>
          <w:color w:val="000000" w:themeColor="text1"/>
          <w:sz w:val="24"/>
          <w:szCs w:val="22"/>
          <w:highlight w:val="none"/>
          <w:lang w:eastAsia="zh-CN"/>
          <w14:textFill>
            <w14:solidFill>
              <w14:schemeClr w14:val="tx1"/>
            </w14:solidFill>
          </w14:textFill>
        </w:rPr>
        <w:t>信用</w:t>
      </w:r>
      <w:r>
        <w:rPr>
          <w:rFonts w:hint="eastAsia" w:ascii="宋体" w:hAnsi="宋体" w:cs="Times New Roman"/>
          <w:bCs/>
          <w:color w:val="000000" w:themeColor="text1"/>
          <w:sz w:val="24"/>
          <w:szCs w:val="22"/>
          <w:highlight w:val="none"/>
          <w14:textFill>
            <w14:solidFill>
              <w14:schemeClr w14:val="tx1"/>
            </w14:solidFill>
          </w14:textFill>
        </w:rPr>
        <w:t>档案中的在册人员，联合体工作协议应明确约定各方拟承担的工作和责任）；</w:t>
      </w:r>
      <w:r>
        <w:rPr>
          <w:rFonts w:hint="eastAsia" w:ascii="宋体" w:hAnsi="宋体" w:cs="宋体"/>
          <w:bCs w:val="0"/>
          <w:color w:val="000000" w:themeColor="text1"/>
          <w:sz w:val="24"/>
          <w:szCs w:val="24"/>
          <w:highlight w:val="none"/>
          <w:u w:val="single"/>
          <w:lang w:val="zh-CN"/>
          <w14:textFill>
            <w14:solidFill>
              <w14:schemeClr w14:val="tx1"/>
            </w14:solidFill>
          </w14:textFill>
        </w:rPr>
        <w:t>（格式详见本工程招标公告附件二）</w:t>
      </w:r>
      <w:r>
        <w:rPr>
          <w:rFonts w:hint="eastAsia" w:ascii="宋体" w:hAnsi="宋体" w:cs="Times New Roman"/>
          <w:bCs/>
          <w:color w:val="000000" w:themeColor="text1"/>
          <w:sz w:val="24"/>
          <w:szCs w:val="22"/>
          <w:highlight w:val="none"/>
          <w14:textFill>
            <w14:solidFill>
              <w14:schemeClr w14:val="tx1"/>
            </w14:solidFill>
          </w14:textFill>
        </w:rPr>
        <w:t xml:space="preserve"> </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11.2.3《施工</w:t>
      </w:r>
      <w:r>
        <w:rPr>
          <w:rFonts w:hint="eastAsia" w:ascii="宋体" w:hAnsi="宋体" w:cs="宋体"/>
          <w:bCs w:val="0"/>
          <w:color w:val="000000" w:themeColor="text1"/>
          <w:sz w:val="24"/>
          <w:szCs w:val="24"/>
          <w:highlight w:val="none"/>
          <w:u w:val="single"/>
          <w:lang w:val="zh-CN"/>
          <w14:textFill>
            <w14:solidFill>
              <w14:schemeClr w14:val="tx1"/>
            </w14:solidFill>
          </w14:textFill>
        </w:rPr>
        <w:t>项目管理团队人员信息表</w:t>
      </w:r>
      <w:r>
        <w:rPr>
          <w:rFonts w:hint="eastAsia" w:ascii="宋体" w:hAnsi="宋体" w:cs="宋体"/>
          <w:bCs w:val="0"/>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highlight w:val="none"/>
          <w:u w:val="single"/>
          <w14:textFill>
            <w14:solidFill>
              <w14:schemeClr w14:val="tx1"/>
            </w14:solidFill>
          </w14:textFill>
        </w:rPr>
        <w:t>按本招标文件“第四章投标文件格式”的技术标投标文件（含资格审查文件）格式</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二</w:t>
      </w:r>
      <w:r>
        <w:rPr>
          <w:rFonts w:hint="eastAsia" w:ascii="宋体" w:hAnsi="宋体" w:cs="宋体"/>
          <w:bCs w:val="0"/>
          <w:color w:val="000000" w:themeColor="text1"/>
          <w:sz w:val="24"/>
          <w:szCs w:val="24"/>
          <w:highlight w:val="none"/>
          <w:u w:val="single"/>
          <w14:textFill>
            <w14:solidFill>
              <w14:schemeClr w14:val="tx1"/>
            </w14:solidFill>
          </w14:textFill>
        </w:rPr>
        <w:t>）</w:t>
      </w:r>
      <w:r>
        <w:rPr>
          <w:rFonts w:hint="eastAsia" w:ascii="宋体" w:hAnsi="宋体" w:cs="宋体"/>
          <w:bCs w:val="0"/>
          <w:color w:val="000000" w:themeColor="text1"/>
          <w:sz w:val="24"/>
          <w:szCs w:val="24"/>
          <w:highlight w:val="none"/>
          <w:u w:val="single"/>
          <w:lang w:val="zh-CN"/>
          <w14:textFill>
            <w14:solidFill>
              <w14:schemeClr w14:val="tx1"/>
            </w14:solidFill>
          </w14:textFill>
        </w:rPr>
        <w:t>。</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lang w:val="zh-CN"/>
          <w14:textFill>
            <w14:solidFill>
              <w14:schemeClr w14:val="tx1"/>
            </w14:solidFill>
          </w14:textFill>
        </w:rPr>
        <w:t>11.2.4企业技术标得分证明材料（按《技术标详细审查评分表》要求提交，格式见第四章，无规定格式要求的，格式自拟）</w:t>
      </w:r>
      <w:r>
        <w:rPr>
          <w:rFonts w:hint="eastAsia" w:ascii="宋体" w:hAnsi="宋体" w:cs="宋体"/>
          <w:bCs w:val="0"/>
          <w:color w:val="000000" w:themeColor="text1"/>
          <w:sz w:val="24"/>
          <w:szCs w:val="24"/>
          <w:highlight w:val="none"/>
          <w:u w:val="single"/>
          <w14:textFill>
            <w14:solidFill>
              <w14:schemeClr w14:val="tx1"/>
            </w14:solidFill>
          </w14:textFill>
        </w:rPr>
        <w:t>。</w:t>
      </w:r>
    </w:p>
    <w:p>
      <w:pPr>
        <w:pBdr>
          <w:bottom w:val="none" w:color="auto" w:sz="0" w:space="0"/>
        </w:pBdr>
        <w:spacing w:line="360" w:lineRule="auto"/>
        <w:ind w:firstLine="48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5</w:t>
      </w:r>
      <w:r>
        <w:rPr>
          <w:rFonts w:hint="eastAsia" w:ascii="宋体" w:hAnsi="宋体" w:cs="宋体"/>
          <w:bCs w:val="0"/>
          <w:color w:val="000000" w:themeColor="text1"/>
          <w:sz w:val="24"/>
          <w:szCs w:val="24"/>
          <w:highlight w:val="none"/>
          <w:u w:val="single"/>
          <w14:textFill>
            <w14:solidFill>
              <w14:schemeClr w14:val="tx1"/>
            </w14:solidFill>
          </w14:textFill>
        </w:rPr>
        <w:t>《响应招标文件所附施工组织设计要点的承诺书》（</w:t>
      </w:r>
      <w:r>
        <w:rPr>
          <w:rFonts w:hint="eastAsia" w:ascii="宋体" w:hAnsi="宋体"/>
          <w:bCs/>
          <w:color w:val="000000" w:themeColor="text1"/>
          <w:sz w:val="24"/>
          <w:highlight w:val="none"/>
          <w:u w:val="single"/>
          <w14:textFill>
            <w14:solidFill>
              <w14:schemeClr w14:val="tx1"/>
            </w14:solidFill>
          </w14:textFill>
        </w:rPr>
        <w:t>按本招标文件“第四章投标文件格式”的技术标投标文件（含资格审查文件）格式</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三</w:t>
      </w:r>
      <w:r>
        <w:rPr>
          <w:rFonts w:hint="eastAsia" w:ascii="宋体" w:hAnsi="宋体" w:cs="宋体"/>
          <w:bCs w:val="0"/>
          <w:color w:val="000000" w:themeColor="text1"/>
          <w:sz w:val="24"/>
          <w:szCs w:val="24"/>
          <w:highlight w:val="none"/>
          <w:u w:val="single"/>
          <w14:textFill>
            <w14:solidFill>
              <w14:schemeClr w14:val="tx1"/>
            </w14:solidFill>
          </w14:textFill>
        </w:rPr>
        <w:t>）。</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6</w:t>
      </w:r>
      <w:r>
        <w:rPr>
          <w:rFonts w:hint="eastAsia" w:ascii="宋体" w:hAnsi="宋体" w:cs="宋体"/>
          <w:bCs w:val="0"/>
          <w:color w:val="000000" w:themeColor="text1"/>
          <w:sz w:val="24"/>
          <w:szCs w:val="24"/>
          <w:highlight w:val="none"/>
          <w:u w:val="single"/>
          <w14:textFill>
            <w14:solidFill>
              <w14:schemeClr w14:val="tx1"/>
            </w14:solidFill>
          </w14:textFill>
        </w:rPr>
        <w:t>按照招标文件要求填写的《参与编制技术标投标文件人员名单》（格式见“第四章投标文件格式”的技术标投标文件（含资格审查文件）格式四）。</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val="0"/>
          <w:color w:val="000000" w:themeColor="text1"/>
          <w:sz w:val="24"/>
          <w:szCs w:val="24"/>
          <w:highlight w:val="none"/>
          <w:u w:val="single"/>
          <w14:textFill>
            <w14:solidFill>
              <w14:schemeClr w14:val="tx1"/>
            </w14:solidFill>
          </w14:textFill>
        </w:rPr>
        <w:t>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pBdr>
          <w:bottom w:val="none" w:color="auto" w:sz="0" w:space="0"/>
        </w:pBdr>
        <w:spacing w:line="360" w:lineRule="auto"/>
        <w:ind w:firstLine="480" w:firstLineChars="200"/>
        <w:rPr>
          <w:rFonts w:hint="eastAsia" w:ascii="宋体" w:hAnsi="宋体" w:cs="宋体"/>
          <w:bCs w:val="0"/>
          <w:color w:val="000000" w:themeColor="text1"/>
          <w:sz w:val="24"/>
          <w:szCs w:val="24"/>
          <w:highlight w:val="none"/>
          <w:u w:val="single"/>
          <w14:textFill>
            <w14:solidFill>
              <w14:schemeClr w14:val="tx1"/>
            </w14:solidFill>
          </w14:textFill>
        </w:rPr>
      </w:pPr>
      <w:r>
        <w:rPr>
          <w:rFonts w:hint="eastAsia" w:ascii="宋体" w:hAnsi="宋体" w:cs="宋体"/>
          <w:bCs w:val="0"/>
          <w:color w:val="000000" w:themeColor="text1"/>
          <w:sz w:val="24"/>
          <w:szCs w:val="24"/>
          <w:highlight w:val="none"/>
          <w:u w:val="single"/>
          <w14:textFill>
            <w14:solidFill>
              <w14:schemeClr w14:val="tx1"/>
            </w14:solidFill>
          </w14:textFill>
        </w:rPr>
        <w:t>11.2.</w:t>
      </w:r>
      <w:r>
        <w:rPr>
          <w:rFonts w:hint="eastAsia" w:ascii="宋体" w:hAnsi="宋体" w:cs="宋体"/>
          <w:bCs w:val="0"/>
          <w:color w:val="000000" w:themeColor="text1"/>
          <w:sz w:val="24"/>
          <w:szCs w:val="24"/>
          <w:highlight w:val="none"/>
          <w:u w:val="single"/>
          <w:lang w:val="en-US" w:eastAsia="zh-CN"/>
          <w14:textFill>
            <w14:solidFill>
              <w14:schemeClr w14:val="tx1"/>
            </w14:solidFill>
          </w14:textFill>
        </w:rPr>
        <w:t>8</w:t>
      </w:r>
      <w:r>
        <w:rPr>
          <w:rFonts w:hint="eastAsia" w:ascii="宋体" w:hAnsi="宋体" w:cs="宋体"/>
          <w:bCs w:val="0"/>
          <w:color w:val="000000" w:themeColor="text1"/>
          <w:sz w:val="24"/>
          <w:szCs w:val="24"/>
          <w:highlight w:val="none"/>
          <w:u w:val="single"/>
          <w14:textFill>
            <w14:solidFill>
              <w14:schemeClr w14:val="tx1"/>
            </w14:solidFill>
          </w14:textFill>
        </w:rPr>
        <w:t>投标人认为应提供的其他资料。</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11.3 </w:t>
      </w:r>
      <w:r>
        <w:rPr>
          <w:rFonts w:hint="eastAsia" w:ascii="宋体" w:hAnsi="宋体"/>
          <w:bCs/>
          <w:color w:val="000000" w:themeColor="text1"/>
          <w:sz w:val="24"/>
          <w:highlight w:val="none"/>
          <w14:textFill>
            <w14:solidFill>
              <w14:schemeClr w14:val="tx1"/>
            </w14:solidFill>
          </w14:textFill>
        </w:rPr>
        <w:t>经济部分投标文件主要包括下列内容：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11.3.1 </w:t>
      </w:r>
      <w:r>
        <w:rPr>
          <w:rFonts w:hint="eastAsia" w:ascii="宋体" w:hAnsi="宋体" w:eastAsia="宋体" w:cs="宋体"/>
          <w:color w:val="000000" w:themeColor="text1"/>
          <w:sz w:val="24"/>
          <w:szCs w:val="24"/>
          <w:highlight w:val="none"/>
          <w:u w:val="single"/>
          <w14:textFill>
            <w14:solidFill>
              <w14:schemeClr w14:val="tx1"/>
            </w14:solidFill>
          </w14:textFill>
        </w:rPr>
        <w:t>经济标投标书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按本招标文件</w:t>
      </w:r>
      <w:r>
        <w:rPr>
          <w:rFonts w:hint="eastAsia" w:ascii="宋体" w:hAnsi="宋体" w:eastAsia="宋体" w:cs="宋体"/>
          <w:bCs/>
          <w:color w:val="000000" w:themeColor="text1"/>
          <w:sz w:val="24"/>
          <w:szCs w:val="24"/>
          <w:highlight w:val="none"/>
          <w:u w:val="single"/>
          <w14:textFill>
            <w14:solidFill>
              <w14:schemeClr w14:val="tx1"/>
            </w14:solidFill>
          </w14:textFill>
        </w:rPr>
        <w:t>“第四章投标文件格式”</w:t>
      </w:r>
      <w:r>
        <w:rPr>
          <w:rFonts w:hint="eastAsia" w:ascii="宋体" w:hAnsi="宋体" w:eastAsia="宋体" w:cs="宋体"/>
          <w:color w:val="000000" w:themeColor="text1"/>
          <w:sz w:val="24"/>
          <w:szCs w:val="24"/>
          <w:highlight w:val="none"/>
          <w14:textFill>
            <w14:solidFill>
              <w14:schemeClr w14:val="tx1"/>
            </w14:solidFill>
          </w14:textFill>
        </w:rPr>
        <w:t>的要求填写)。</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11.3.2</w:t>
      </w:r>
      <w:r>
        <w:rPr>
          <w:rFonts w:hint="eastAsia" w:ascii="宋体" w:hAnsi="宋体"/>
          <w:color w:val="000000" w:themeColor="text1"/>
          <w:sz w:val="24"/>
          <w:highlight w:val="none"/>
          <w14:textFill>
            <w14:solidFill>
              <w14:schemeClr w14:val="tx1"/>
            </w14:solidFill>
          </w14:textFill>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（1）投标总价封面、扉页；</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（2）总说明</w:t>
      </w:r>
    </w:p>
    <w:p>
      <w:pPr>
        <w:tabs>
          <w:tab w:val="left" w:pos="1125"/>
        </w:tabs>
        <w:spacing w:line="360" w:lineRule="auto"/>
        <w:ind w:firstLine="480" w:firstLineChars="200"/>
        <w:rPr>
          <w:rFonts w:hint="eastAsia" w:ascii="宋体" w:hAnsi="宋体" w:eastAsia="宋体" w:cs="Times New Roman"/>
          <w:color w:val="000000" w:themeColor="text1"/>
          <w:sz w:val="24"/>
          <w:szCs w:val="22"/>
          <w:highlight w:val="none"/>
          <w:u w:val="single"/>
          <w14:textFill>
            <w14:solidFill>
              <w14:schemeClr w14:val="tx1"/>
            </w14:solidFill>
          </w14:textFill>
        </w:rPr>
      </w:pPr>
      <w:r>
        <w:rPr>
          <w:rFonts w:hint="eastAsia" w:ascii="宋体" w:hAnsi="宋体"/>
          <w:color w:val="000000" w:themeColor="text1"/>
          <w:sz w:val="24"/>
          <w:szCs w:val="22"/>
          <w:highlight w:val="none"/>
          <w:u w:val="none"/>
          <w:lang w:eastAsia="zh-CN"/>
          <w14:textFill>
            <w14:solidFill>
              <w14:schemeClr w14:val="tx1"/>
            </w14:solidFill>
          </w14:textFill>
        </w:rPr>
        <w:t>（</w:t>
      </w:r>
      <w:r>
        <w:rPr>
          <w:rFonts w:hint="eastAsia" w:ascii="宋体" w:hAnsi="宋体"/>
          <w:color w:val="000000" w:themeColor="text1"/>
          <w:sz w:val="24"/>
          <w:szCs w:val="22"/>
          <w:highlight w:val="none"/>
          <w:u w:val="none"/>
          <w:lang w:val="en-US" w:eastAsia="zh-CN"/>
          <w14:textFill>
            <w14:solidFill>
              <w14:schemeClr w14:val="tx1"/>
            </w14:solidFill>
          </w14:textFill>
        </w:rPr>
        <w:t>3</w:t>
      </w:r>
      <w:r>
        <w:rPr>
          <w:rFonts w:hint="eastAsia" w:ascii="宋体" w:hAnsi="宋体"/>
          <w:color w:val="000000" w:themeColor="text1"/>
          <w:sz w:val="24"/>
          <w:szCs w:val="22"/>
          <w:highlight w:val="none"/>
          <w:u w:val="none"/>
          <w:lang w:eastAsia="zh-CN"/>
          <w14:textFill>
            <w14:solidFill>
              <w14:schemeClr w14:val="tx1"/>
            </w14:solidFill>
          </w14:textFill>
        </w:rPr>
        <w:t>）</w:t>
      </w:r>
      <w:r>
        <w:rPr>
          <w:rFonts w:hint="eastAsia" w:ascii="宋体" w:hAnsi="宋体"/>
          <w:color w:val="000000" w:themeColor="text1"/>
          <w:sz w:val="24"/>
          <w:szCs w:val="22"/>
          <w:highlight w:val="none"/>
          <w:u w:val="single"/>
          <w14:textFill>
            <w14:solidFill>
              <w14:schemeClr w14:val="tx1"/>
            </w14:solidFill>
          </w14:textFill>
        </w:rPr>
        <w:t>工程量清单报价表及综合单价分析表（相关表格的内容及格式要求以招标人发出的最新版电子招标文件中的相应内容及格式为准）</w:t>
      </w:r>
      <w:r>
        <w:rPr>
          <w:rFonts w:hint="eastAsia" w:ascii="宋体" w:hAnsi="宋体"/>
          <w:color w:val="000000" w:themeColor="text1"/>
          <w:sz w:val="24"/>
          <w:szCs w:val="22"/>
          <w:highlight w:val="none"/>
          <w:u w:val="single"/>
          <w:lang w:eastAsia="zh-CN"/>
          <w14:textFill>
            <w14:solidFill>
              <w14:schemeClr w14:val="tx1"/>
            </w14:solidFill>
          </w14:textFill>
        </w:rPr>
        <w:t>。</w:t>
      </w:r>
    </w:p>
    <w:p>
      <w:pPr>
        <w:tabs>
          <w:tab w:val="left" w:pos="1125"/>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3按照</w:t>
      </w:r>
      <w:r>
        <w:rPr>
          <w:rFonts w:hint="eastAsia" w:ascii="宋体" w:hAnsi="宋体"/>
          <w:bCs/>
          <w:color w:val="000000" w:themeColor="text1"/>
          <w:sz w:val="24"/>
          <w:highlight w:val="none"/>
          <w14:textFill>
            <w14:solidFill>
              <w14:schemeClr w14:val="tx1"/>
            </w14:solidFill>
          </w14:textFill>
        </w:rPr>
        <w:t>招标文件要求</w:t>
      </w:r>
      <w:r>
        <w:rPr>
          <w:rFonts w:hint="eastAsia" w:ascii="宋体" w:hAnsi="宋体"/>
          <w:color w:val="000000" w:themeColor="text1"/>
          <w:sz w:val="24"/>
          <w:highlight w:val="none"/>
          <w14:textFill>
            <w14:solidFill>
              <w14:schemeClr w14:val="tx1"/>
            </w14:solidFill>
          </w14:textFill>
        </w:rPr>
        <w:t>填写的《参与编制经济标投标文件人员名单》。</w:t>
      </w:r>
    </w:p>
    <w:p>
      <w:pPr>
        <w:tabs>
          <w:tab w:val="left" w:pos="112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80" w:firstLineChars="200"/>
        <w:rPr>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kern w:val="2"/>
          <w:sz w:val="24"/>
          <w:szCs w:val="22"/>
          <w:highlight w:val="none"/>
          <w:u w:val="single"/>
          <w:lang w:val="en-US" w:eastAsia="zh-CN" w:bidi="ar-SA"/>
          <w14:textFill>
            <w14:solidFill>
              <w14:schemeClr w14:val="tx1"/>
            </w14:solidFill>
          </w14:textFill>
        </w:rPr>
        <w:t>11.3.5</w:t>
      </w:r>
      <w:r>
        <w:rPr>
          <w:rFonts w:hint="eastAsia" w:ascii="宋体" w:hAnsi="宋体" w:cs="宋体"/>
          <w:color w:val="000000" w:themeColor="text1"/>
          <w:sz w:val="24"/>
          <w:highlight w:val="none"/>
          <w:u w:val="single"/>
          <w14:textFill>
            <w14:solidFill>
              <w14:schemeClr w14:val="tx1"/>
            </w14:solidFill>
          </w14:textFill>
        </w:rPr>
        <w:t>《对投标文件编制的承诺》及《投标文件编制情况》（格式见</w:t>
      </w:r>
      <w:r>
        <w:rPr>
          <w:rFonts w:hint="eastAsia" w:ascii="宋体" w:hAnsi="宋体" w:eastAsia="宋体" w:cs="宋体"/>
          <w:bCs/>
          <w:color w:val="000000" w:themeColor="text1"/>
          <w:sz w:val="24"/>
          <w:szCs w:val="24"/>
          <w:highlight w:val="none"/>
          <w:u w:val="single"/>
          <w14:textFill>
            <w14:solidFill>
              <w14:schemeClr w14:val="tx1"/>
            </w14:solidFill>
          </w14:textFill>
        </w:rPr>
        <w:t>本招标文件“第四章投标文件格式”的经济标投标文件格式</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12</w:t>
      </w:r>
      <w:r>
        <w:rPr>
          <w:rFonts w:hint="eastAsia" w:ascii="宋体" w:hAnsi="宋体"/>
          <w:b/>
          <w:bCs/>
          <w:color w:val="000000" w:themeColor="text1"/>
          <w:sz w:val="24"/>
          <w:highlight w:val="none"/>
          <w14:textFill>
            <w14:solidFill>
              <w14:schemeClr w14:val="tx1"/>
            </w14:solidFill>
          </w14:textFill>
        </w:rPr>
        <w:t>．投标文件格式</w:t>
      </w:r>
    </w:p>
    <w:p>
      <w:pPr>
        <w:pStyle w:val="33"/>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投标文件包括本须知第</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条中规定的内容，投标人提交的投标文件应当使用招标文件所提供的投标文件全部格式（表格可以按同样格式扩展）。</w:t>
      </w:r>
    </w:p>
    <w:p>
      <w:pPr>
        <w:pStyle w:val="33"/>
        <w:spacing w:after="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33"/>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12.3 </w:t>
      </w:r>
      <w:r>
        <w:rPr>
          <w:rFonts w:hint="eastAsia" w:ascii="宋体" w:hAnsi="宋体" w:eastAsia="宋体" w:cs="宋体"/>
          <w:bCs/>
          <w:color w:val="000000" w:themeColor="text1"/>
          <w:sz w:val="24"/>
          <w:szCs w:val="24"/>
          <w:highlight w:val="none"/>
          <w14:textFill>
            <w14:solidFill>
              <w14:schemeClr w14:val="tx1"/>
            </w14:solidFill>
          </w14:textFill>
        </w:rPr>
        <w:t>投标文件应按</w:t>
      </w:r>
      <w:r>
        <w:rPr>
          <w:rFonts w:hint="eastAsia" w:ascii="宋体" w:hAnsi="宋体" w:eastAsia="宋体" w:cs="宋体"/>
          <w:color w:val="000000" w:themeColor="text1"/>
          <w:sz w:val="24"/>
          <w:szCs w:val="24"/>
          <w:highlight w:val="none"/>
          <w14:textFill>
            <w14:solidFill>
              <w14:schemeClr w14:val="tx1"/>
            </w14:solidFill>
          </w14:textFill>
        </w:rPr>
        <w:t>照交易平台关于全流程电子化项目的相关指南进行编制，详见：</w:t>
      </w:r>
      <w:r>
        <w:rPr>
          <w:rFonts w:hint="eastAsia" w:ascii="宋体" w:hAnsi="宋体" w:eastAsia="宋体" w:cs="宋体"/>
          <w:color w:val="000000" w:themeColor="text1"/>
          <w:sz w:val="24"/>
          <w:szCs w:val="24"/>
          <w:highlight w:val="none"/>
          <w:u w:val="single"/>
          <w14:textFill>
            <w14:solidFill>
              <w14:schemeClr w14:val="tx1"/>
            </w14:solidFill>
          </w14:textFill>
        </w:rPr>
        <w:t>广州公共资源交易中心网站</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pStyle w:val="33"/>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13</w:t>
      </w:r>
      <w:r>
        <w:rPr>
          <w:rFonts w:hint="eastAsia" w:ascii="宋体" w:hAnsi="宋体"/>
          <w:b/>
          <w:bCs/>
          <w:color w:val="000000" w:themeColor="text1"/>
          <w:sz w:val="24"/>
          <w:highlight w:val="none"/>
          <w14:textFill>
            <w14:solidFill>
              <w14:schemeClr w14:val="tx1"/>
            </w14:solidFill>
          </w14:textFill>
        </w:rPr>
        <w:t>．投标报价及造价承包和变更结算方式</w:t>
      </w:r>
    </w:p>
    <w:p>
      <w:pPr>
        <w:pStyle w:val="33"/>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13.1本工程的投标报价采用投标须知前附表第12项所规定的方式。投标报价（含单价及总价）精确到“分”。</w:t>
      </w:r>
      <w:r>
        <w:rPr>
          <w:rFonts w:hint="eastAsia" w:ascii="宋体" w:hAnsi="宋体"/>
          <w:color w:val="000000" w:themeColor="text1"/>
          <w:sz w:val="24"/>
          <w:highlight w:val="none"/>
          <w:u w:val="single"/>
          <w14:textFill>
            <w14:solidFill>
              <w14:schemeClr w14:val="tx1"/>
            </w14:solidFill>
          </w14:textFill>
        </w:rPr>
        <w:t>投标文件中的大写金额和小写金额不一致的，以大写金额为准。</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r>
        <w:rPr>
          <w:rFonts w:hint="eastAsia" w:ascii="宋体" w:hAnsi="宋体"/>
          <w:color w:val="000000" w:themeColor="text1"/>
          <w:sz w:val="24"/>
          <w:highlight w:val="none"/>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3"/>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3"/>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13.5.1中标的投标文件工程量清单中已有相同项目的,该项目的综合单价若低于招标控制价相应项目综合单价,则沿用;若高于招标控制价相应项目综合单价,则按招标控制价相应项目的综合单价。</w:t>
      </w: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13.5.4 </w:t>
      </w:r>
      <w:r>
        <w:rPr>
          <w:rFonts w:hint="eastAsia" w:ascii="宋体" w:hAnsi="宋体"/>
          <w:color w:val="000000" w:themeColor="text1"/>
          <w:sz w:val="24"/>
          <w:highlight w:val="none"/>
          <w14:textFill>
            <w14:solidFill>
              <w14:schemeClr w14:val="tx1"/>
            </w14:solidFill>
          </w14:textFill>
        </w:rPr>
        <w:t>如相关定额没有相应子目的，其计价方式由招标人在本招标文件第三章中另行规定。未规定的，中标后双方协商约定。</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w:t>
      </w:r>
      <w:r>
        <w:rPr>
          <w:rFonts w:hint="eastAsia" w:ascii="宋体" w:hAnsi="宋体"/>
          <w:color w:val="000000" w:themeColor="text1"/>
          <w:sz w:val="24"/>
          <w:highlight w:val="none"/>
          <w14:textFill>
            <w14:solidFill>
              <w14:schemeClr w14:val="tx1"/>
            </w14:solidFill>
          </w14:textFill>
        </w:rPr>
        <w:t>暂列金额、暂估价</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13.6.1</w:t>
      </w:r>
      <w:r>
        <w:rPr>
          <w:rFonts w:hint="eastAsia" w:ascii="宋体" w:hAnsi="宋体"/>
          <w:color w:val="000000" w:themeColor="text1"/>
          <w:sz w:val="24"/>
          <w:highlight w:val="none"/>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暂估价是指招标人在工程量清单中提供的用于支付必然发生但暂时不能确定价格的材料的单价以及专业工程的金额。</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13.6.2</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13.6.3</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13.6.4</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款规定确定。</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13.6.5</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13.6.6 </w:t>
      </w:r>
      <w:r>
        <w:rPr>
          <w:rFonts w:hint="eastAsia" w:ascii="宋体" w:hAnsi="宋体"/>
          <w:color w:val="000000" w:themeColor="text1"/>
          <w:sz w:val="24"/>
          <w:highlight w:val="none"/>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r>
        <w:rPr>
          <w:rFonts w:hint="eastAsia" w:ascii="宋体" w:hAnsi="宋体"/>
          <w:color w:val="000000" w:themeColor="text1"/>
          <w:sz w:val="24"/>
          <w:highlight w:val="none"/>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pPr>
        <w:pStyle w:val="33"/>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．投标货币</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14.1 </w:t>
      </w:r>
      <w:r>
        <w:rPr>
          <w:rFonts w:hint="eastAsia" w:ascii="宋体" w:hAnsi="宋体"/>
          <w:color w:val="000000" w:themeColor="text1"/>
          <w:sz w:val="24"/>
          <w:highlight w:val="none"/>
          <w14:textFill>
            <w14:solidFill>
              <w14:schemeClr w14:val="tx1"/>
            </w14:solidFill>
          </w14:textFill>
        </w:rPr>
        <w:t>本工程投标报价采用的币种为人民币。</w:t>
      </w:r>
    </w:p>
    <w:p>
      <w:pPr>
        <w:pStyle w:val="33"/>
        <w:spacing w:after="0" w:line="360" w:lineRule="auto"/>
        <w:ind w:firstLine="482" w:firstLineChars="200"/>
        <w:rPr>
          <w:rFonts w:asci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15</w:t>
      </w:r>
      <w:r>
        <w:rPr>
          <w:rFonts w:hint="eastAsia" w:ascii="宋体" w:hAnsi="宋体"/>
          <w:b/>
          <w:bCs/>
          <w:color w:val="000000" w:themeColor="text1"/>
          <w:sz w:val="24"/>
          <w:highlight w:val="none"/>
          <w14:textFill>
            <w14:solidFill>
              <w14:schemeClr w14:val="tx1"/>
            </w14:solidFill>
          </w14:textFill>
        </w:rPr>
        <w:t>．投标有效期</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15.1 </w:t>
      </w:r>
      <w:r>
        <w:rPr>
          <w:rFonts w:hint="eastAsia" w:ascii="宋体" w:hAnsi="宋体"/>
          <w:color w:val="000000" w:themeColor="text1"/>
          <w:sz w:val="24"/>
          <w:highlight w:val="none"/>
          <w14:textFill>
            <w14:solidFill>
              <w14:schemeClr w14:val="tx1"/>
            </w14:solidFill>
          </w14:textFill>
        </w:rPr>
        <w:t>投标有效期见投标须知前附表第</w:t>
      </w:r>
      <w:r>
        <w:rPr>
          <w:rFonts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项所规定的期限，在此期限内，凡符合本招标文件要求的投标文件均保持有效。</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16</w:t>
      </w:r>
      <w:r>
        <w:rPr>
          <w:rFonts w:hint="eastAsia" w:ascii="宋体" w:hAnsi="宋体"/>
          <w:b/>
          <w:bCs/>
          <w:color w:val="000000" w:themeColor="text1"/>
          <w:sz w:val="24"/>
          <w:highlight w:val="none"/>
          <w14:textFill>
            <w14:solidFill>
              <w14:schemeClr w14:val="tx1"/>
            </w14:solidFill>
          </w14:textFill>
        </w:rPr>
        <w:t>．投标保证金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投标人应按投标须知前附表第</w:t>
      </w:r>
      <w:r>
        <w:rPr>
          <w:rFonts w:ascii="宋体" w:hAnsi="宋体"/>
          <w:color w:val="000000" w:themeColor="text1"/>
          <w:sz w:val="24"/>
          <w:highlight w:val="none"/>
          <w14:textFill>
            <w14:solidFill>
              <w14:schemeClr w14:val="tx1"/>
            </w14:solidFill>
          </w14:textFill>
        </w:rPr>
        <w:t>14</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w:t>
      </w:r>
      <w:r>
        <w:rPr>
          <w:rFonts w:hint="eastAsia" w:ascii="宋体" w:hAnsi="宋体"/>
          <w:strike/>
          <w:color w:val="000000" w:themeColor="text1"/>
          <w:sz w:val="24"/>
          <w:highlight w:val="none"/>
          <w14:textFill>
            <w14:solidFill>
              <w14:schemeClr w14:val="tx1"/>
            </w14:solidFill>
          </w14:textFill>
        </w:rPr>
        <w:t>（是否退还投标保证金由招标人在招标文件中规定）</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16.4.1因投标人原因造成投标文件未解密的；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16.4.2投标人在投标有效期内撤销投标文件；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16.4.3中标人未能在规定期限内按要求提交履约担保；</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16.4.4中标人未能在规定期限内签署合同协议。</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w:t>
      </w:r>
      <w:r>
        <w:rPr>
          <w:rFonts w:hint="eastAsia" w:ascii="宋体" w:hAnsi="宋体"/>
          <w:color w:val="000000" w:themeColor="text1"/>
          <w:sz w:val="24"/>
          <w:highlight w:val="none"/>
          <w:lang w:val="en-US" w:eastAsia="zh-CN"/>
          <w14:textFill>
            <w14:solidFill>
              <w14:schemeClr w14:val="tx1"/>
            </w14:solidFill>
          </w14:textFill>
        </w:rPr>
        <w:t>半年</w:t>
      </w:r>
      <w:r>
        <w:rPr>
          <w:rFonts w:hint="eastAsia" w:ascii="宋体" w:hAnsi="宋体"/>
          <w:color w:val="000000" w:themeColor="text1"/>
          <w:sz w:val="24"/>
          <w:highlight w:val="none"/>
          <w14:textFill>
            <w14:solidFill>
              <w14:schemeClr w14:val="tx1"/>
            </w14:solidFill>
          </w14:textFill>
        </w:rPr>
        <w:t>内参与招标人后续工程投标：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color w:val="000000" w:themeColor="text1"/>
          <w:sz w:val="24"/>
          <w:highlight w:val="none"/>
          <w14:textFill>
            <w14:solidFill>
              <w14:schemeClr w14:val="tx1"/>
            </w14:solidFill>
          </w14:textFill>
        </w:rPr>
      </w:pPr>
      <w:r>
        <w:rPr>
          <w:rFonts w:hint="eastAsia" w:ascii="宋体" w:hAnsi="宋体"/>
          <w:strike/>
          <w:color w:val="000000" w:themeColor="text1"/>
          <w:sz w:val="24"/>
          <w:highlight w:val="none"/>
          <w14:textFill>
            <w14:solidFill>
              <w14:schemeClr w14:val="tx1"/>
            </w14:solidFill>
          </w14:textFill>
        </w:rPr>
        <w:t>16.5.3按招标文件要求免于提供投标保证金的投标人存在16.4条款所列情形的。</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注：16.5.3款由招标人二选一，需在招标文件中明确。</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17</w:t>
      </w:r>
      <w:r>
        <w:rPr>
          <w:rFonts w:hint="eastAsia" w:ascii="宋体" w:hAnsi="宋体"/>
          <w:b/>
          <w:bCs/>
          <w:color w:val="000000" w:themeColor="text1"/>
          <w:sz w:val="24"/>
          <w:highlight w:val="none"/>
          <w14:textFill>
            <w14:solidFill>
              <w14:schemeClr w14:val="tx1"/>
            </w14:solidFill>
          </w14:textFill>
        </w:rPr>
        <w:t>．投标文件的签署</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17.1</w:t>
      </w:r>
      <w:r>
        <w:rPr>
          <w:rFonts w:hint="eastAsia" w:ascii="宋体" w:hAnsi="宋体"/>
          <w:color w:val="000000" w:themeColor="text1"/>
          <w:sz w:val="24"/>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广州公共资源交易中心网站</w:t>
      </w:r>
      <w:r>
        <w:rPr>
          <w:rFonts w:hint="eastAsia" w:ascii="宋体" w:hAnsi="宋体"/>
          <w:color w:val="000000" w:themeColor="text1"/>
          <w:sz w:val="24"/>
          <w:highlight w:val="none"/>
          <w14:textFill>
            <w14:solidFill>
              <w14:schemeClr w14:val="tx1"/>
            </w14:solidFill>
          </w14:textFill>
        </w:rPr>
        <w:t>。</w:t>
      </w:r>
    </w:p>
    <w:p>
      <w:pPr>
        <w:pStyle w:val="6"/>
        <w:spacing w:before="156" w:after="156"/>
        <w:rPr>
          <w:color w:val="000000" w:themeColor="text1"/>
          <w:highlight w:val="none"/>
          <w14:textFill>
            <w14:solidFill>
              <w14:schemeClr w14:val="tx1"/>
            </w14:solidFill>
          </w14:textFill>
        </w:rPr>
      </w:pPr>
      <w:bookmarkStart w:id="30" w:name="_Toc5514"/>
      <w:bookmarkStart w:id="31" w:name="_Toc21525496"/>
      <w:bookmarkStart w:id="32" w:name="_Toc2272552"/>
      <w:bookmarkStart w:id="33" w:name="_Toc11406"/>
      <w:r>
        <w:rPr>
          <w:rFonts w:hint="eastAsia"/>
          <w:color w:val="000000" w:themeColor="text1"/>
          <w:highlight w:val="none"/>
          <w14:textFill>
            <w14:solidFill>
              <w14:schemeClr w14:val="tx1"/>
            </w14:solidFill>
          </w14:textFill>
        </w:rPr>
        <w:t>（四）投标文件的提交</w:t>
      </w:r>
      <w:bookmarkEnd w:id="30"/>
      <w:bookmarkEnd w:id="31"/>
      <w:bookmarkEnd w:id="32"/>
      <w:bookmarkEnd w:id="33"/>
    </w:p>
    <w:p>
      <w:pPr>
        <w:pStyle w:val="33"/>
        <w:spacing w:after="0"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color w:val="000000" w:themeColor="text1"/>
          <w:sz w:val="24"/>
          <w:szCs w:val="24"/>
          <w:highlight w:val="none"/>
          <w14:textFill>
            <w14:solidFill>
              <w14:schemeClr w14:val="tx1"/>
            </w14:solidFill>
          </w14:textFill>
        </w:rPr>
        <w:t>投标文件的密封和标记</w:t>
      </w:r>
    </w:p>
    <w:p>
      <w:pPr>
        <w:spacing w:line="360" w:lineRule="auto"/>
        <w:ind w:firstLine="48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18.1递交的电子投标文件（不含备用光盘）必须进行加密。按照交易平台关于全流程电子化项目的相关指南进行操作。详见：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广州公共资源交易中心网站</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8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未按要求加密的投标文件，</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14:textFill>
            <w14:solidFill>
              <w14:schemeClr w14:val="tx1"/>
            </w14:solidFill>
          </w14:textFill>
        </w:rPr>
        <w:t>交易平台将予以拒收。</w:t>
      </w:r>
    </w:p>
    <w:p>
      <w:pPr>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19．投标文件的递交和接收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19.1投标人通过</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14:textFill>
            <w14:solidFill>
              <w14:schemeClr w14:val="tx1"/>
            </w14:solidFill>
          </w14:textFill>
        </w:rPr>
        <w:t>交易平台递交电子投标文件。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19.2投标人完成电子投标文件上传后</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14:textFill>
            <w14:solidFill>
              <w14:schemeClr w14:val="tx1"/>
            </w14:solidFill>
          </w14:textFill>
        </w:rPr>
        <w:t>交易平台即时向投标人发出递交回执通知。递交时间以递交回执通知载明的传输完成时间为准。</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19.3逾期送达的电子投标文件</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广州公共资源交易中心 </w:t>
      </w:r>
      <w:r>
        <w:rPr>
          <w:rFonts w:hint="eastAsia" w:ascii="宋体" w:hAnsi="宋体"/>
          <w:color w:val="000000" w:themeColor="text1"/>
          <w:sz w:val="24"/>
          <w:highlight w:val="none"/>
          <w14:textFill>
            <w14:solidFill>
              <w14:schemeClr w14:val="tx1"/>
            </w14:solidFill>
          </w14:textFill>
        </w:rPr>
        <w:t>交易平台将予以拒收。</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19.4 投标截止前，招标人拒绝接收符合条件的投标文件，投标人可向招标投标监督机构投诉。</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20</w:t>
      </w:r>
      <w:r>
        <w:rPr>
          <w:rFonts w:hint="eastAsia" w:ascii="宋体" w:hAnsi="宋体"/>
          <w:b/>
          <w:bCs/>
          <w:color w:val="000000" w:themeColor="text1"/>
          <w:sz w:val="24"/>
          <w:highlight w:val="none"/>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20.1</w:t>
      </w:r>
      <w:r>
        <w:rPr>
          <w:rFonts w:hint="eastAsia" w:ascii="宋体" w:hAnsi="宋体"/>
          <w:color w:val="000000" w:themeColor="text1"/>
          <w:sz w:val="24"/>
          <w:highlight w:val="none"/>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招标人可按本须知第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20.3 </w:t>
      </w:r>
      <w:r>
        <w:rPr>
          <w:rFonts w:hint="eastAsia" w:ascii="宋体" w:hAnsi="宋体"/>
          <w:color w:val="000000" w:themeColor="text1"/>
          <w:sz w:val="24"/>
          <w:highlight w:val="none"/>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highlight w:val="none"/>
          <w14:textFill>
            <w14:solidFill>
              <w14:schemeClr w14:val="tx1"/>
            </w14:solidFill>
          </w14:textFill>
        </w:rPr>
        <w:t>。</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21</w:t>
      </w:r>
      <w:r>
        <w:rPr>
          <w:rFonts w:hint="eastAsia" w:ascii="宋体" w:hAnsi="宋体"/>
          <w:b/>
          <w:bCs/>
          <w:color w:val="000000" w:themeColor="text1"/>
          <w:sz w:val="24"/>
          <w:highlight w:val="none"/>
          <w14:textFill>
            <w14:solidFill>
              <w14:schemeClr w14:val="tx1"/>
            </w14:solidFill>
          </w14:textFill>
        </w:rPr>
        <w:t>．迟交的投标文件</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21.1 本须知前附表第17项规定的投标截止时间后送达的电子投标文件，</w:t>
      </w:r>
      <w:r>
        <w:rPr>
          <w:rFonts w:hint="eastAsia" w:ascii="宋体" w:hAnsi="宋体"/>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交易平台将予以拒收。</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．投标文件的修改与撤回</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r>
        <w:rPr>
          <w:rFonts w:hint="eastAsia" w:ascii="宋体" w:hAnsi="宋体"/>
          <w:color w:val="000000" w:themeColor="text1"/>
          <w:sz w:val="24"/>
          <w:highlight w:val="none"/>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22.2</w:t>
      </w:r>
      <w:r>
        <w:rPr>
          <w:color w:val="000000" w:themeColor="text1"/>
          <w:sz w:val="24"/>
          <w:szCs w:val="24"/>
          <w:highlight w:val="none"/>
          <w14:textFill>
            <w14:solidFill>
              <w14:schemeClr w14:val="tx1"/>
            </w14:solidFill>
          </w14:textFill>
        </w:rPr>
        <w:t>投标人修改或撤回已递交</w:t>
      </w:r>
      <w:r>
        <w:rPr>
          <w:rFonts w:hint="eastAsia"/>
          <w:color w:val="000000" w:themeColor="text1"/>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，需在</w:t>
      </w:r>
      <w:r>
        <w:rPr>
          <w:rFonts w:hint="eastAsia" w:ascii="宋体" w:hAnsi="宋体"/>
          <w:color w:val="000000" w:themeColor="text1"/>
          <w:sz w:val="24"/>
          <w:highlight w:val="none"/>
          <w14:textFill>
            <w14:solidFill>
              <w14:schemeClr w14:val="tx1"/>
            </w14:solidFill>
          </w14:textFill>
        </w:rPr>
        <w:t>交易平台发出修改或撤回</w:t>
      </w:r>
      <w:r>
        <w:rPr>
          <w:color w:val="000000" w:themeColor="text1"/>
          <w:sz w:val="24"/>
          <w:szCs w:val="24"/>
          <w:highlight w:val="none"/>
          <w14:textFill>
            <w14:solidFill>
              <w14:schemeClr w14:val="tx1"/>
            </w14:solidFill>
          </w14:textFill>
        </w:rPr>
        <w:t>通知，</w:t>
      </w:r>
      <w:r>
        <w:rPr>
          <w:rFonts w:hint="eastAsia"/>
          <w:color w:val="000000" w:themeColor="text1"/>
          <w:sz w:val="24"/>
          <w:szCs w:val="24"/>
          <w:highlight w:val="none"/>
          <w14:textFill>
            <w14:solidFill>
              <w14:schemeClr w14:val="tx1"/>
            </w14:solidFill>
          </w14:textFill>
        </w:rPr>
        <w:t>并按</w:t>
      </w:r>
      <w:r>
        <w:rPr>
          <w:color w:val="000000" w:themeColor="text1"/>
          <w:sz w:val="24"/>
          <w:szCs w:val="24"/>
          <w:highlight w:val="none"/>
          <w14:textFill>
            <w14:solidFill>
              <w14:schemeClr w14:val="tx1"/>
            </w14:solidFill>
          </w14:textFill>
        </w:rPr>
        <w:t>要求加盖电子印章。</w:t>
      </w:r>
      <w:r>
        <w:rPr>
          <w:bCs/>
          <w:iCs/>
          <w:color w:val="000000" w:themeColor="text1"/>
          <w:sz w:val="24"/>
          <w:szCs w:val="24"/>
          <w:highlight w:val="none"/>
          <w14:textFill>
            <w14:solidFill>
              <w14:schemeClr w14:val="tx1"/>
            </w14:solidFill>
          </w14:textFill>
        </w:rPr>
        <w:t>电子招标投标交易平台收到通知后，</w:t>
      </w:r>
      <w:r>
        <w:rPr>
          <w:color w:val="000000" w:themeColor="text1"/>
          <w:sz w:val="24"/>
          <w:szCs w:val="24"/>
          <w:highlight w:val="none"/>
          <w14:textFill>
            <w14:solidFill>
              <w14:schemeClr w14:val="tx1"/>
            </w14:solidFill>
          </w14:textFill>
        </w:rPr>
        <w:t>即时向投标人发出确认回执通知。</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22.3</w:t>
      </w:r>
      <w:r>
        <w:rPr>
          <w:rFonts w:hint="eastAsia"/>
          <w:color w:val="000000" w:themeColor="text1"/>
          <w:sz w:val="24"/>
          <w:szCs w:val="24"/>
          <w:highlight w:val="none"/>
          <w14:textFill>
            <w14:solidFill>
              <w14:schemeClr w14:val="tx1"/>
            </w14:solidFill>
          </w14:textFill>
        </w:rPr>
        <w:t>修改后再次递交的，按19点的规定执行。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在投标截止时间之后，投标人不得补充、修改和更换投标文件。</w:t>
      </w:r>
    </w:p>
    <w:p>
      <w:pPr>
        <w:pStyle w:val="6"/>
        <w:spacing w:before="156" w:after="156"/>
        <w:rPr>
          <w:rFonts w:hint="eastAsia"/>
          <w:color w:val="000000" w:themeColor="text1"/>
          <w:sz w:val="27"/>
          <w:szCs w:val="27"/>
          <w:highlight w:val="none"/>
          <w14:textFill>
            <w14:solidFill>
              <w14:schemeClr w14:val="tx1"/>
            </w14:solidFill>
          </w14:textFill>
        </w:rPr>
      </w:pPr>
      <w:bookmarkStart w:id="34" w:name="_Toc2272553"/>
      <w:bookmarkStart w:id="35" w:name="_Toc28858"/>
      <w:bookmarkStart w:id="36" w:name="_Toc21525497"/>
      <w:bookmarkStart w:id="37" w:name="_Toc3295"/>
      <w:r>
        <w:rPr>
          <w:rFonts w:hint="eastAsia"/>
          <w:color w:val="000000" w:themeColor="text1"/>
          <w:sz w:val="27"/>
          <w:szCs w:val="27"/>
          <w:highlight w:val="none"/>
          <w14:textFill>
            <w14:solidFill>
              <w14:schemeClr w14:val="tx1"/>
            </w14:solidFill>
          </w14:textFill>
        </w:rPr>
        <w:t>（五）开标、评标、定标及合同签定</w:t>
      </w:r>
      <w:bookmarkEnd w:id="34"/>
      <w:bookmarkEnd w:id="35"/>
      <w:bookmarkEnd w:id="36"/>
      <w:bookmarkEnd w:id="37"/>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23</w:t>
      </w:r>
      <w:r>
        <w:rPr>
          <w:rFonts w:hint="eastAsia" w:ascii="宋体" w:hAnsi="宋体"/>
          <w:b/>
          <w:bCs/>
          <w:color w:val="000000" w:themeColor="text1"/>
          <w:sz w:val="24"/>
          <w:highlight w:val="none"/>
          <w14:textFill>
            <w14:solidFill>
              <w14:schemeClr w14:val="tx1"/>
            </w14:solidFill>
          </w14:textFill>
        </w:rPr>
        <w:t>、开标。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24</w:t>
      </w:r>
      <w:r>
        <w:rPr>
          <w:rFonts w:hint="eastAsia" w:ascii="宋体" w:hAnsi="宋体"/>
          <w:b/>
          <w:bCs/>
          <w:color w:val="000000" w:themeColor="text1"/>
          <w:sz w:val="24"/>
          <w:highlight w:val="none"/>
          <w14:textFill>
            <w14:solidFill>
              <w14:schemeClr w14:val="tx1"/>
            </w14:solidFill>
          </w14:textFill>
        </w:rPr>
        <w:t>．评标过程的保密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24.1 </w:t>
      </w:r>
      <w:r>
        <w:rPr>
          <w:rFonts w:hint="eastAsia" w:ascii="宋体" w:hAnsi="宋体"/>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25</w:t>
      </w:r>
      <w:r>
        <w:rPr>
          <w:rFonts w:hint="eastAsia" w:ascii="宋体" w:hAnsi="宋体"/>
          <w:b/>
          <w:bCs/>
          <w:color w:val="000000" w:themeColor="text1"/>
          <w:sz w:val="24"/>
          <w:highlight w:val="none"/>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26</w:t>
      </w:r>
      <w:r>
        <w:rPr>
          <w:rFonts w:hint="eastAsia" w:ascii="宋体" w:hAnsi="宋体"/>
          <w:b/>
          <w:bCs/>
          <w:color w:val="000000" w:themeColor="text1"/>
          <w:sz w:val="24"/>
          <w:highlight w:val="none"/>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27</w:t>
      </w:r>
      <w:r>
        <w:rPr>
          <w:rFonts w:hint="eastAsia" w:ascii="宋体" w:hAnsi="宋体"/>
          <w:b/>
          <w:bCs/>
          <w:color w:val="000000" w:themeColor="text1"/>
          <w:sz w:val="24"/>
          <w:highlight w:val="none"/>
          <w14:textFill>
            <w14:solidFill>
              <w14:schemeClr w14:val="tx1"/>
            </w14:solidFill>
          </w14:textFill>
        </w:rPr>
        <w:t>．中标通知书</w:t>
      </w:r>
    </w:p>
    <w:p>
      <w:pPr>
        <w:spacing w:line="360" w:lineRule="auto"/>
        <w:ind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27.1招标人将在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color w:val="000000" w:themeColor="text1"/>
          <w:sz w:val="24"/>
          <w:highlight w:val="none"/>
          <w:u w:val="none"/>
          <w14:textFill>
            <w14:solidFill>
              <w14:schemeClr w14:val="tx1"/>
            </w14:solidFill>
          </w14:textFill>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27.2</w:t>
      </w:r>
      <w:r>
        <w:rPr>
          <w:rFonts w:hint="eastAsia" w:ascii="宋体" w:hAnsi="宋体"/>
          <w:color w:val="000000" w:themeColor="text1"/>
          <w:sz w:val="24"/>
          <w:highlight w:val="none"/>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27.3</w:t>
      </w:r>
      <w:r>
        <w:rPr>
          <w:rFonts w:hint="eastAsia" w:ascii="宋体" w:hAnsi="宋体"/>
          <w:color w:val="000000" w:themeColor="text1"/>
          <w:sz w:val="24"/>
          <w:highlight w:val="none"/>
          <w14:textFill>
            <w14:solidFill>
              <w14:schemeClr w14:val="tx1"/>
            </w14:solidFill>
          </w14:textFill>
        </w:rPr>
        <w:t>中标人必须在收到中标通知书后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小时之内以书面形式回复招标人，确认收到。</w:t>
      </w:r>
    </w:p>
    <w:p>
      <w:pPr>
        <w:spacing w:line="360" w:lineRule="auto"/>
        <w:ind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olor w:val="000000" w:themeColor="text1"/>
          <w:sz w:val="24"/>
          <w:highlight w:val="none"/>
          <w:u w:val="single"/>
          <w14:textFill>
            <w14:solidFill>
              <w14:schemeClr w14:val="tx1"/>
            </w14:solidFill>
          </w14:textFill>
        </w:rPr>
        <w:t>广州公共资源交易中心</w:t>
      </w:r>
      <w:r>
        <w:rPr>
          <w:rFonts w:hint="eastAsia" w:ascii="宋体" w:hAnsi="宋体"/>
          <w:color w:val="000000" w:themeColor="text1"/>
          <w:sz w:val="24"/>
          <w:highlight w:val="none"/>
          <w:u w:val="none"/>
          <w14:textFill>
            <w14:solidFill>
              <w14:schemeClr w14:val="tx1"/>
            </w14:solidFill>
          </w14:textFill>
        </w:rPr>
        <w:t>交易平台和广东省招标投标监管网公开。</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28</w:t>
      </w:r>
      <w:r>
        <w:rPr>
          <w:rFonts w:hint="eastAsia" w:ascii="宋体" w:hAnsi="宋体"/>
          <w:b/>
          <w:bCs/>
          <w:color w:val="000000" w:themeColor="text1"/>
          <w:sz w:val="24"/>
          <w:highlight w:val="none"/>
          <w14:textFill>
            <w14:solidFill>
              <w14:schemeClr w14:val="tx1"/>
            </w14:solidFill>
          </w14:textFill>
        </w:rPr>
        <w:t>．合同协议书的签订</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28.1 </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28.3</w:t>
      </w:r>
      <w:r>
        <w:rPr>
          <w:rFonts w:hint="eastAsia" w:ascii="宋体" w:hAnsi="宋体"/>
          <w:color w:val="000000" w:themeColor="text1"/>
          <w:sz w:val="24"/>
          <w:highlight w:val="none"/>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28.4</w:t>
      </w:r>
      <w:r>
        <w:rPr>
          <w:rFonts w:hint="eastAsia" w:ascii="宋体" w:hAnsi="宋体"/>
          <w:color w:val="000000" w:themeColor="text1"/>
          <w:sz w:val="24"/>
          <w:highlight w:val="none"/>
          <w14:textFill>
            <w14:solidFill>
              <w14:schemeClr w14:val="tx1"/>
            </w14:solidFill>
          </w14:textFill>
        </w:rPr>
        <w:t>招标人支付工程款时，中标人应按规定开具发票。</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29</w:t>
      </w:r>
      <w:r>
        <w:rPr>
          <w:rFonts w:hint="eastAsia" w:ascii="宋体" w:hAnsi="宋体"/>
          <w:b/>
          <w:bCs/>
          <w:color w:val="000000" w:themeColor="text1"/>
          <w:sz w:val="24"/>
          <w:highlight w:val="none"/>
          <w14:textFill>
            <w14:solidFill>
              <w14:schemeClr w14:val="tx1"/>
            </w14:solidFill>
          </w14:textFill>
        </w:rPr>
        <w:t>．履约担保</w:t>
      </w:r>
    </w:p>
    <w:p>
      <w:pPr>
        <w:snapToGrid w:val="0"/>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29.1 在申请支付预付款前，中标人应按本须知前附表第20项的规定向招标人提交履约担保。</w:t>
      </w:r>
    </w:p>
    <w:p>
      <w:pPr>
        <w:snapToGrid w:val="0"/>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29.2在申请支付预付款前，中标人未按上款的规定提交履约担保，招标人将不予支付预付款。</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．合同生效</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30.1</w:t>
      </w:r>
      <w:r>
        <w:rPr>
          <w:rFonts w:hint="eastAsia" w:ascii="宋体" w:hAnsi="宋体"/>
          <w:color w:val="000000" w:themeColor="text1"/>
          <w:sz w:val="24"/>
          <w:highlight w:val="none"/>
          <w:u w:val="single"/>
          <w14:textFill>
            <w14:solidFill>
              <w14:schemeClr w14:val="tx1"/>
            </w14:solidFill>
          </w14:textFill>
        </w:rPr>
        <w:t>合同自发包人、承包人双方法定代表人或委托代理人签字并加盖公章之日起生效。</w:t>
      </w:r>
    </w:p>
    <w:p>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31</w:t>
      </w:r>
      <w:r>
        <w:rPr>
          <w:rFonts w:hint="eastAsia" w:ascii="宋体" w:hAnsi="宋体"/>
          <w:b/>
          <w:bCs/>
          <w:color w:val="000000" w:themeColor="text1"/>
          <w:sz w:val="24"/>
          <w:highlight w:val="none"/>
          <w14:textFill>
            <w14:solidFill>
              <w14:schemeClr w14:val="tx1"/>
            </w14:solidFill>
          </w14:textFill>
        </w:rPr>
        <w:t>．其它费用</w:t>
      </w:r>
    </w:p>
    <w:p>
      <w:pPr>
        <w:pStyle w:val="33"/>
        <w:spacing w:after="0" w:line="360" w:lineRule="auto"/>
        <w:ind w:firstLine="480" w:firstLineChars="200"/>
        <w:rPr>
          <w:rFonts w:hint="eastAsia"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31.1根据广州市政府相关文件的规定，向广州公共资源交易中心交纳交易服务费。</w:t>
      </w:r>
    </w:p>
    <w:p>
      <w:pPr>
        <w:pStyle w:val="33"/>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32</w:t>
      </w:r>
      <w:r>
        <w:rPr>
          <w:rFonts w:hint="eastAsia" w:ascii="宋体" w:hAnsi="宋体"/>
          <w:b/>
          <w:bCs/>
          <w:color w:val="000000" w:themeColor="text1"/>
          <w:sz w:val="24"/>
          <w:highlight w:val="none"/>
          <w14:textFill>
            <w14:solidFill>
              <w14:schemeClr w14:val="tx1"/>
            </w14:solidFill>
          </w14:textFill>
        </w:rPr>
        <w:t>．腐败与欺诈行为</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在招标和合同实施期间，招标人要求投标人和承包人遵守最高的道德标准。</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对本条款的规定，特定义如下词汇：</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）、“腐败行为”是指在招标或合同执行期间，通过提供、给予、接受或索要任何有价值的东西，从而影响招标人有关人员工作的行为；</w:t>
      </w:r>
    </w:p>
    <w:p>
      <w:pPr>
        <w:pStyle w:val="33"/>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3"/>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如果投标人被认定在本招标的竞争中有腐败或欺诈行为，则会被取消投标资格。</w:t>
      </w:r>
    </w:p>
    <w:p>
      <w:pPr>
        <w:pStyle w:val="33"/>
        <w:spacing w:after="0" w:line="360" w:lineRule="auto"/>
        <w:ind w:firstLine="480" w:firstLineChars="200"/>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bookmarkStart w:id="38" w:name="_Toc2272554"/>
      <w:bookmarkStart w:id="39" w:name="_Toc21525498"/>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3"/>
        <w:spacing w:after="0" w:line="360" w:lineRule="auto"/>
        <w:ind w:firstLine="480" w:firstLineChars="200"/>
        <w:rPr>
          <w:rFonts w:ascii="宋体"/>
          <w:color w:val="000000" w:themeColor="text1"/>
          <w:sz w:val="24"/>
          <w:highlight w:val="none"/>
          <w:u w:val="single"/>
          <w14:textFill>
            <w14:solidFill>
              <w14:schemeClr w14:val="tx1"/>
            </w14:solidFill>
          </w14:textFill>
        </w:rPr>
      </w:pPr>
    </w:p>
    <w:p>
      <w:pPr>
        <w:pStyle w:val="3"/>
        <w:spacing w:after="0" w:line="360" w:lineRule="auto"/>
        <w:ind w:firstLine="560" w:firstLineChars="200"/>
        <w:rPr>
          <w:color w:val="000000" w:themeColor="text1"/>
          <w:highlight w:val="none"/>
          <w14:textFill>
            <w14:solidFill>
              <w14:schemeClr w14:val="tx1"/>
            </w14:solidFill>
          </w14:textFill>
        </w:rPr>
      </w:pPr>
      <w:bookmarkStart w:id="40" w:name="_Toc10333"/>
      <w:bookmarkStart w:id="41" w:name="_Toc30002"/>
      <w:r>
        <w:rPr>
          <w:rFonts w:hint="eastAsia"/>
          <w:color w:val="000000" w:themeColor="text1"/>
          <w:highlight w:val="none"/>
          <w14:textFill>
            <w14:solidFill>
              <w14:schemeClr w14:val="tx1"/>
            </w14:solidFill>
          </w14:textFill>
        </w:rPr>
        <w:t>第二章  开标、评标及定标办法</w:t>
      </w:r>
      <w:bookmarkEnd w:id="38"/>
      <w:bookmarkEnd w:id="39"/>
      <w:bookmarkEnd w:id="40"/>
      <w:bookmarkEnd w:id="41"/>
    </w:p>
    <w:p>
      <w:pPr>
        <w:pStyle w:val="4"/>
        <w:rPr>
          <w:color w:val="000000" w:themeColor="text1"/>
          <w:highlight w:val="none"/>
          <w14:textFill>
            <w14:solidFill>
              <w14:schemeClr w14:val="tx1"/>
            </w14:solidFill>
          </w14:textFill>
        </w:rPr>
      </w:pPr>
      <w:bookmarkStart w:id="42" w:name="_Toc9331"/>
      <w:bookmarkStart w:id="43" w:name="_Toc2272555"/>
      <w:bookmarkStart w:id="44" w:name="_Toc21525499"/>
      <w:bookmarkStart w:id="45" w:name="_Toc9839"/>
      <w:r>
        <w:rPr>
          <w:rFonts w:hint="eastAsia"/>
          <w:color w:val="000000" w:themeColor="text1"/>
          <w:sz w:val="28"/>
          <w:szCs w:val="28"/>
          <w:highlight w:val="none"/>
          <w14:textFill>
            <w14:solidFill>
              <w14:schemeClr w14:val="tx1"/>
            </w14:solidFill>
          </w14:textFill>
        </w:rPr>
        <w:t>一、</w:t>
      </w:r>
      <w:r>
        <w:rPr>
          <w:rFonts w:hint="eastAsia"/>
          <w:color w:val="000000" w:themeColor="text1"/>
          <w:highlight w:val="none"/>
          <w14:textFill>
            <w14:solidFill>
              <w14:schemeClr w14:val="tx1"/>
            </w14:solidFill>
          </w14:textFill>
        </w:rPr>
        <w:t>开标、评标及定标办法修改表</w:t>
      </w:r>
      <w:bookmarkEnd w:id="42"/>
      <w:bookmarkEnd w:id="43"/>
      <w:bookmarkEnd w:id="44"/>
      <w:bookmarkEnd w:id="45"/>
    </w:p>
    <w:p>
      <w:pPr>
        <w:pStyle w:val="33"/>
        <w:spacing w:after="0"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w:t>
      </w:r>
      <w:r>
        <w:rPr>
          <w:rFonts w:hint="eastAsia"/>
          <w:b/>
          <w:color w:val="000000" w:themeColor="text1"/>
          <w:highlight w:val="none"/>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b/>
          <w:color w:val="000000" w:themeColor="text1"/>
          <w:szCs w:val="21"/>
          <w:highlight w:val="none"/>
          <w14:textFill>
            <w14:solidFill>
              <w14:schemeClr w14:val="tx1"/>
            </w14:solidFill>
          </w14:textFill>
        </w:rPr>
        <w:t>文不再有效。本招标文件中不再转录</w:t>
      </w:r>
      <w:r>
        <w:rPr>
          <w:rFonts w:hint="eastAsia"/>
          <w:b/>
          <w:color w:val="000000" w:themeColor="text1"/>
          <w:highlight w:val="none"/>
          <w14:textFill>
            <w14:solidFill>
              <w14:schemeClr w14:val="tx1"/>
            </w14:solidFill>
          </w14:textFill>
        </w:rPr>
        <w:t>开标、评标及定标办法</w:t>
      </w:r>
      <w:r>
        <w:rPr>
          <w:rFonts w:hint="eastAsia"/>
          <w:b/>
          <w:color w:val="000000" w:themeColor="text1"/>
          <w:szCs w:val="21"/>
          <w:highlight w:val="none"/>
          <w14:textFill>
            <w14:solidFill>
              <w14:schemeClr w14:val="tx1"/>
            </w14:solidFill>
          </w14:textFill>
        </w:rPr>
        <w:t>通用条款，请投标人自行到广州市住房和城乡建设局网站（网址：</w:t>
      </w:r>
      <w:r>
        <w:rPr>
          <w:color w:val="000000" w:themeColor="text1"/>
          <w:highlight w:val="none"/>
          <w:u w:val="none"/>
          <w14:textFill>
            <w14:solidFill>
              <w14:schemeClr w14:val="tx1"/>
            </w14:solidFill>
          </w14:textFill>
        </w:rPr>
        <w:fldChar w:fldCharType="begin"/>
      </w:r>
      <w:r>
        <w:rPr>
          <w:color w:val="000000" w:themeColor="text1"/>
          <w:highlight w:val="none"/>
          <w:u w:val="none"/>
          <w14:textFill>
            <w14:solidFill>
              <w14:schemeClr w14:val="tx1"/>
            </w14:solidFill>
          </w14:textFill>
        </w:rPr>
        <w:instrText xml:space="preserve"> HYPERLINK "http://www.gzcc.gov.cn/）下载GZZB2018-3" </w:instrText>
      </w:r>
      <w:r>
        <w:rPr>
          <w:color w:val="000000" w:themeColor="text1"/>
          <w:highlight w:val="none"/>
          <w:u w:val="none"/>
          <w14:textFill>
            <w14:solidFill>
              <w14:schemeClr w14:val="tx1"/>
            </w14:solidFill>
          </w14:textFill>
        </w:rPr>
        <w:fldChar w:fldCharType="separate"/>
      </w:r>
      <w:r>
        <w:rPr>
          <w:rStyle w:val="42"/>
          <w:rFonts w:hint="eastAsia"/>
          <w:b/>
          <w:color w:val="000000" w:themeColor="text1"/>
          <w:szCs w:val="21"/>
          <w:highlight w:val="none"/>
          <w:u w:val="none"/>
          <w14:textFill>
            <w14:solidFill>
              <w14:schemeClr w14:val="tx1"/>
            </w14:solidFill>
          </w14:textFill>
        </w:rPr>
        <w:t>http://zfcj.gz.gov.cn/）下载GZZB2018-3</w:t>
      </w:r>
      <w:r>
        <w:rPr>
          <w:rStyle w:val="42"/>
          <w:rFonts w:hint="eastAsia"/>
          <w:b/>
          <w:color w:val="000000" w:themeColor="text1"/>
          <w:szCs w:val="21"/>
          <w:highlight w:val="none"/>
          <w:u w:val="none"/>
          <w14:textFill>
            <w14:solidFill>
              <w14:schemeClr w14:val="tx1"/>
            </w14:solidFill>
          </w14:textFill>
        </w:rPr>
        <w:fldChar w:fldCharType="end"/>
      </w:r>
      <w:r>
        <w:rPr>
          <w:rFonts w:hint="eastAsia"/>
          <w:b/>
          <w:color w:val="000000" w:themeColor="text1"/>
          <w:szCs w:val="21"/>
          <w:highlight w:val="none"/>
          <w14:textFill>
            <w14:solidFill>
              <w14:schemeClr w14:val="tx1"/>
            </w14:solidFill>
          </w14:textFill>
        </w:rPr>
        <w:t>范本查阅。</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36.1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000000" w:themeColor="text1"/>
          <w:szCs w:val="21"/>
          <w:highlight w:val="none"/>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36.3</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修改类型：删除</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rFonts w:hint="eastAsia"/>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应的评标办法供评标时使用。</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36.5.1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22" w:firstLineChars="200"/>
        <w:rPr>
          <w:rFonts w:hint="eastAsia" w:ascii="宋体" w:hAnsi="宋体" w:cs="宋体"/>
          <w:color w:val="000000" w:themeColor="text1"/>
          <w:sz w:val="24"/>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36.5.1在投标截止时间后半小时内，投标人通过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2" w:firstLineChars="20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36.5.1在投标截止时间后半小时内，投标人通过</w:t>
      </w:r>
      <w:r>
        <w:rPr>
          <w:rFonts w:hint="eastAsia" w:ascii="宋体" w:hAnsi="宋体" w:cs="宋体"/>
          <w:color w:val="000000" w:themeColor="text1"/>
          <w:szCs w:val="21"/>
          <w:highlight w:val="none"/>
          <w:u w:val="single"/>
          <w14:textFill>
            <w14:solidFill>
              <w14:schemeClr w14:val="tx1"/>
            </w14:solidFill>
          </w14:textFill>
        </w:rPr>
        <w:t xml:space="preserve">广州公共资源交易中心 </w:t>
      </w:r>
      <w:r>
        <w:rPr>
          <w:rFonts w:hint="eastAsia" w:ascii="宋体" w:hAnsi="宋体" w:cs="宋体"/>
          <w:color w:val="000000" w:themeColor="text1"/>
          <w:szCs w:val="21"/>
          <w:highlight w:val="none"/>
          <w14:textFill>
            <w14:solidFill>
              <w14:schemeClr w14:val="tx1"/>
            </w14:solidFill>
          </w14:textFill>
        </w:rPr>
        <w:t>交易平台对已递交的电子投标文件进行解密。投标人完成解密后，再由</w:t>
      </w:r>
      <w:r>
        <w:rPr>
          <w:rFonts w:hint="eastAsia" w:ascii="宋体" w:hAnsi="宋体" w:cs="宋体"/>
          <w:color w:val="000000" w:themeColor="text1"/>
          <w:szCs w:val="21"/>
          <w:highlight w:val="none"/>
          <w:u w:val="single"/>
          <w14:textFill>
            <w14:solidFill>
              <w14:schemeClr w14:val="tx1"/>
            </w14:solidFill>
          </w14:textFill>
        </w:rPr>
        <w:t>招标人或招标代理机构</w:t>
      </w:r>
      <w:r>
        <w:rPr>
          <w:rFonts w:hint="eastAsia" w:ascii="宋体" w:hAnsi="宋体" w:cs="宋体"/>
          <w:color w:val="000000" w:themeColor="text1"/>
          <w:szCs w:val="21"/>
          <w:highlight w:val="none"/>
          <w14:textFill>
            <w14:solidFill>
              <w14:schemeClr w14:val="tx1"/>
            </w14:solidFill>
          </w14:textFill>
        </w:rPr>
        <w:t>进行解密。解密完成后，公布招标项目名称、投标人名称、投标保证金的递交情况、投标报价、工期及其他内容。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38.1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38.1为有助于投标文件的审查、评价和比较，评标期间，经</w:t>
      </w:r>
      <w:r>
        <w:rPr>
          <w:rFonts w:hint="eastAsia" w:ascii="宋体" w:hAnsi="宋体" w:cs="宋体"/>
          <w:color w:val="000000" w:themeColor="text1"/>
          <w:szCs w:val="21"/>
          <w:highlight w:val="none"/>
          <w:u w:val="single"/>
          <w14:textFill>
            <w14:solidFill>
              <w14:schemeClr w14:val="tx1"/>
            </w14:solidFill>
          </w14:textFill>
        </w:rPr>
        <w:t>综合评标委员会</w:t>
      </w:r>
      <w:r>
        <w:rPr>
          <w:rFonts w:hint="eastAsia" w:ascii="宋体" w:hAnsi="宋体" w:cs="宋体"/>
          <w:color w:val="000000" w:themeColor="text1"/>
          <w:szCs w:val="21"/>
          <w:highlight w:val="none"/>
          <w14:textFill>
            <w14:solidFill>
              <w14:schemeClr w14:val="tx1"/>
            </w14:solidFill>
          </w14:textFill>
        </w:rPr>
        <w:t>中两人以上（含两人）的成员以书面形式提出动议，</w:t>
      </w:r>
      <w:r>
        <w:rPr>
          <w:rFonts w:hint="eastAsia" w:ascii="宋体" w:hAnsi="宋体" w:cs="宋体"/>
          <w:color w:val="000000" w:themeColor="text1"/>
          <w:szCs w:val="21"/>
          <w:highlight w:val="none"/>
          <w:u w:val="single"/>
          <w14:textFill>
            <w14:solidFill>
              <w14:schemeClr w14:val="tx1"/>
            </w14:solidFill>
          </w14:textFill>
        </w:rPr>
        <w:t>综合评标委员会</w:t>
      </w:r>
      <w:r>
        <w:rPr>
          <w:rFonts w:hint="eastAsia" w:ascii="宋体" w:hAnsi="宋体" w:cs="宋体"/>
          <w:color w:val="000000" w:themeColor="text1"/>
          <w:szCs w:val="21"/>
          <w:highlight w:val="none"/>
          <w14:textFill>
            <w14:solidFill>
              <w14:schemeClr w14:val="tx1"/>
            </w14:solidFill>
          </w14:textFill>
        </w:rPr>
        <w:t>应当书面发出澄清通知，要求投标人</w:t>
      </w:r>
      <w:r>
        <w:rPr>
          <w:rFonts w:hint="eastAsia" w:ascii="宋体" w:hAnsi="宋体" w:cs="宋体"/>
          <w:color w:val="000000" w:themeColor="text1"/>
          <w:szCs w:val="21"/>
          <w:highlight w:val="none"/>
          <w:u w:val="single"/>
          <w14:textFill>
            <w14:solidFill>
              <w14:schemeClr w14:val="tx1"/>
            </w14:solidFill>
          </w14:textFill>
        </w:rPr>
        <w:t>对投标文件含义不明确、对同类问题表述不一致、有明显文字和计算错误的内容以及细微偏差的内容</w:t>
      </w:r>
      <w:r>
        <w:rPr>
          <w:rFonts w:hint="eastAsia" w:ascii="宋体" w:hAnsi="宋体" w:cs="宋体"/>
          <w:color w:val="000000" w:themeColor="text1"/>
          <w:szCs w:val="21"/>
          <w:highlight w:val="none"/>
          <w14:textFill>
            <w14:solidFill>
              <w14:schemeClr w14:val="tx1"/>
            </w14:solidFill>
          </w14:textFill>
        </w:rPr>
        <w:t>作出澄清。</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39.3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Bdr>
          <w:bottom w:val="single" w:color="auto" w:sz="6" w:space="1"/>
        </w:pBdr>
        <w:spacing w:line="360" w:lineRule="auto"/>
        <w:ind w:firstLine="527" w:firstLineChars="250"/>
        <w:rPr>
          <w:rFonts w:ascii="宋体" w:hAnsi="宋体"/>
          <w:color w:val="000000" w:themeColor="text1"/>
          <w:sz w:val="24"/>
          <w:szCs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color w:val="000000" w:themeColor="text1"/>
          <w:szCs w:val="21"/>
          <w:highlight w:val="none"/>
          <w:u w:val="single"/>
          <w14:textFill>
            <w14:solidFill>
              <w14:schemeClr w14:val="tx1"/>
            </w14:solidFill>
          </w14:textFill>
        </w:rPr>
        <w:t>39.3</w:t>
      </w:r>
      <w:r>
        <w:rPr>
          <w:rFonts w:hint="eastAsia"/>
          <w:bCs/>
          <w:color w:val="000000" w:themeColor="text1"/>
          <w:szCs w:val="21"/>
          <w:highlight w:val="none"/>
          <w:u w:val="single"/>
          <w14:textFill>
            <w14:solidFill>
              <w14:schemeClr w14:val="tx1"/>
            </w14:solidFill>
          </w14:textFill>
        </w:rPr>
        <w:t>排名第一的中标候选人放弃中标、或因不可抗力提出不能履行合同，或者招标文件规定应当提交履约担保而在规定的期限内未能提交的，</w:t>
      </w:r>
      <w:r>
        <w:rPr>
          <w:rFonts w:hint="eastAsia"/>
          <w:b/>
          <w:bCs/>
          <w:color w:val="000000" w:themeColor="text1"/>
          <w:szCs w:val="21"/>
          <w:highlight w:val="none"/>
          <w:u w:val="single"/>
          <w14:textFill>
            <w14:solidFill>
              <w14:schemeClr w14:val="tx1"/>
            </w14:solidFill>
          </w14:textFill>
        </w:rPr>
        <w:t>或经核查发现委派的项目负责人已在其他在建项目中任职的，</w:t>
      </w:r>
      <w:r>
        <w:rPr>
          <w:rFonts w:hint="eastAsia"/>
          <w:bCs/>
          <w:color w:val="000000" w:themeColor="text1"/>
          <w:szCs w:val="21"/>
          <w:highlight w:val="none"/>
          <w:u w:val="single"/>
          <w14:textFill>
            <w14:solidFill>
              <w14:schemeClr w14:val="tx1"/>
            </w14:solidFill>
          </w14:textFill>
        </w:rPr>
        <w:t>招标人可以确定排名第二的中标候选人为中标人。</w:t>
      </w:r>
    </w:p>
    <w:p>
      <w:pPr>
        <w:pStyle w:val="33"/>
        <w:spacing w:after="0" w:line="46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条款号：（二）开标评标办法程序和细则   注       修改类型：删除</w:t>
      </w:r>
    </w:p>
    <w:p>
      <w:pPr>
        <w:pBdr>
          <w:bottom w:val="single" w:color="auto" w:sz="6" w:space="1"/>
        </w:pBdr>
        <w:spacing w:line="460" w:lineRule="exact"/>
        <w:ind w:firstLine="413" w:firstLineChars="196"/>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 （二）开标评标办法程序和细则        修改类型：删除</w:t>
      </w:r>
    </w:p>
    <w:p>
      <w:pPr>
        <w:pBdr>
          <w:bottom w:val="single" w:color="auto" w:sz="6" w:space="1"/>
        </w:pBdr>
        <w:spacing w:line="360" w:lineRule="auto"/>
        <w:ind w:firstLine="527" w:firstLineChars="250"/>
        <w:rPr>
          <w:rStyle w:val="42"/>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Style w:val="42"/>
          <w:rFonts w:hint="eastAsia" w:ascii="宋体" w:hAnsi="宋体" w:cs="宋体"/>
          <w:color w:val="000000" w:themeColor="text1"/>
          <w:highlight w:val="none"/>
          <w14:textFill>
            <w14:solidFill>
              <w14:schemeClr w14:val="tx1"/>
            </w14:solidFill>
          </w14:textFill>
        </w:rPr>
        <w:t>可选</w:t>
      </w:r>
      <w:r>
        <w:rPr>
          <w:rFonts w:hint="eastAsia" w:ascii="宋体" w:hAnsi="宋体" w:cs="宋体"/>
          <w:color w:val="000000" w:themeColor="text1"/>
          <w:szCs w:val="21"/>
          <w:highlight w:val="none"/>
          <w14:textFill>
            <w14:solidFill>
              <w14:schemeClr w14:val="tx1"/>
            </w14:solidFill>
          </w14:textFill>
        </w:rPr>
        <w:t>办法</w:t>
      </w:r>
      <w:r>
        <w:rPr>
          <w:rStyle w:val="42"/>
          <w:rFonts w:hint="eastAsia" w:ascii="宋体" w:hAnsi="宋体" w:cs="宋体"/>
          <w:color w:val="000000" w:themeColor="text1"/>
          <w:highlight w:val="none"/>
          <w14:textFill>
            <w14:solidFill>
              <w14:schemeClr w14:val="tx1"/>
            </w14:solidFill>
          </w14:textFill>
        </w:rPr>
        <w:t>一（适合</w:t>
      </w:r>
      <w:r>
        <w:rPr>
          <w:rStyle w:val="42"/>
          <w:rFonts w:hint="eastAsia" w:ascii="宋体" w:hAnsi="宋体" w:cs="宋体"/>
          <w:color w:val="000000" w:themeColor="text1"/>
          <w:kern w:val="0"/>
          <w:highlight w:val="none"/>
          <w14:textFill>
            <w14:solidFill>
              <w14:schemeClr w14:val="tx1"/>
            </w14:solidFill>
          </w14:textFill>
        </w:rPr>
        <w:t>综合评分法一</w:t>
      </w:r>
      <w:r>
        <w:rPr>
          <w:rStyle w:val="42"/>
          <w:rFonts w:hint="eastAsia" w:ascii="宋体" w:hAnsi="宋体" w:cs="宋体"/>
          <w:color w:val="000000" w:themeColor="text1"/>
          <w:highlight w:val="none"/>
          <w14:textFill>
            <w14:solidFill>
              <w14:schemeClr w14:val="tx1"/>
            </w14:solidFill>
          </w14:textFill>
        </w:rPr>
        <w:t>，技术标与经济标先后分别开启）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w:t>
      </w:r>
      <w:r>
        <w:rPr>
          <w:rFonts w:hint="eastAsia" w:ascii="宋体" w:hAnsi="宋体" w:cs="宋体"/>
          <w:color w:val="000000" w:themeColor="text1"/>
          <w:szCs w:val="21"/>
          <w:highlight w:val="none"/>
          <w14:textFill>
            <w14:solidFill>
              <w14:schemeClr w14:val="tx1"/>
            </w14:solidFill>
          </w14:textFill>
        </w:rPr>
        <w:t>办法</w:t>
      </w:r>
      <w:r>
        <w:rPr>
          <w:rStyle w:val="42"/>
          <w:rFonts w:hint="eastAsia" w:ascii="宋体" w:hAnsi="宋体" w:cs="宋体"/>
          <w:color w:val="000000" w:themeColor="text1"/>
          <w:highlight w:val="none"/>
          <w14:textFill>
            <w14:solidFill>
              <w14:schemeClr w14:val="tx1"/>
            </w14:solidFill>
          </w14:textFill>
        </w:rPr>
        <w:t>二（适合综合评分法一，技术标与经济标同时开启）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可选办法三（适合综合评分法二，技术标与经济标先后分别开启）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可选办法四（适合综合评分法二，技术标与经济标同时开启）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可选办法五（适合综合评分法三，技术标与经济标先后分别开启）</w:t>
      </w:r>
    </w:p>
    <w:p>
      <w:pPr>
        <w:pBdr>
          <w:bottom w:val="single" w:color="auto" w:sz="6" w:space="1"/>
        </w:pBdr>
        <w:spacing w:line="360" w:lineRule="auto"/>
        <w:ind w:firstLine="1155" w:firstLineChars="550"/>
        <w:rPr>
          <w:rStyle w:val="42"/>
          <w:rFonts w:hint="eastAsia" w:ascii="宋体" w:hAnsi="宋体" w:cs="宋体"/>
          <w:color w:val="000000" w:themeColor="text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可选办法六（适合综合评分法三，技术标与经济标同时开启）</w:t>
      </w:r>
    </w:p>
    <w:p>
      <w:pPr>
        <w:pBdr>
          <w:bottom w:val="single" w:color="auto" w:sz="6" w:space="1"/>
        </w:pBdr>
        <w:spacing w:line="360" w:lineRule="auto"/>
        <w:ind w:firstLine="1155" w:firstLineChars="550"/>
        <w:rPr>
          <w:rFonts w:hint="eastAsia" w:ascii="宋体" w:hAnsi="宋体" w:cs="宋体"/>
          <w:b/>
          <w:color w:val="000000" w:themeColor="text1"/>
          <w:szCs w:val="21"/>
          <w:highlight w:val="none"/>
          <w14:textFill>
            <w14:solidFill>
              <w14:schemeClr w14:val="tx1"/>
            </w14:solidFill>
          </w14:textFill>
        </w:rPr>
      </w:pPr>
      <w:r>
        <w:rPr>
          <w:rStyle w:val="42"/>
          <w:rFonts w:hint="eastAsia" w:ascii="宋体" w:hAnsi="宋体" w:cs="宋体"/>
          <w:color w:val="000000" w:themeColor="text1"/>
          <w:highlight w:val="none"/>
          <w14:textFill>
            <w14:solidFill>
              <w14:schemeClr w14:val="tx1"/>
            </w14:solidFill>
          </w14:textFill>
        </w:rPr>
        <w:t>可选办法八（适合经评审的最低投标价法，技术标与经济标同时开启）</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41.1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41.1开标由招标人主持；</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41.1开标由招标人</w:t>
      </w:r>
      <w:r>
        <w:rPr>
          <w:rFonts w:hint="eastAsia" w:ascii="宋体" w:hAnsi="宋体" w:cs="宋体"/>
          <w:color w:val="000000" w:themeColor="text1"/>
          <w:szCs w:val="21"/>
          <w:highlight w:val="none"/>
          <w:u w:val="single"/>
          <w14:textFill>
            <w14:solidFill>
              <w14:schemeClr w14:val="tx1"/>
            </w14:solidFill>
          </w14:textFill>
        </w:rPr>
        <w:t>或招标代理</w:t>
      </w:r>
      <w:r>
        <w:rPr>
          <w:rFonts w:hint="eastAsia" w:ascii="宋体" w:hAnsi="宋体" w:cs="宋体"/>
          <w:color w:val="000000" w:themeColor="text1"/>
          <w:szCs w:val="21"/>
          <w:highlight w:val="none"/>
          <w14:textFill>
            <w14:solidFill>
              <w14:schemeClr w14:val="tx1"/>
            </w14:solidFill>
          </w14:textFill>
        </w:rPr>
        <w:t>主持</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41.2.1</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41.2.1投标截止期前，各投标人递交投标文件（包括技术标投标文件、经济标投标文件）至</w:t>
      </w:r>
      <w:r>
        <w:rPr>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41.2.1投标截止期前，各投标人递交投标文件（包括技术标投标文件、经济标投标文件）至</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b/>
          <w:bCs/>
          <w:color w:val="000000" w:themeColor="text1"/>
          <w:szCs w:val="21"/>
          <w:highlight w:val="none"/>
          <w14:textFill>
            <w14:solidFill>
              <w14:schemeClr w14:val="tx1"/>
            </w14:solidFill>
          </w14:textFill>
        </w:rPr>
        <w:t>41.2.2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修改类型：删除</w:t>
      </w:r>
    </w:p>
    <w:p>
      <w:pPr>
        <w:pBdr>
          <w:bottom w:val="single" w:color="auto" w:sz="6" w:space="1"/>
        </w:pBdr>
        <w:spacing w:line="480" w:lineRule="auto"/>
        <w:ind w:firstLine="422" w:firstLineChars="200"/>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1.2.2开标前，首先由招标人随机抽取确定该工程计算评标参考价的等分点值X</w:t>
      </w:r>
      <w:r>
        <w:rPr>
          <w:rFonts w:hint="eastAsia" w:ascii="宋体" w:hAnsi="宋体" w:cs="宋体"/>
          <w:color w:val="000000" w:themeColor="text1"/>
          <w:szCs w:val="21"/>
          <w:highlight w:val="none"/>
          <w:lang w:eastAsia="zh-CN"/>
          <w14:textFill>
            <w14:solidFill>
              <w14:schemeClr w14:val="tx1"/>
            </w14:solidFill>
          </w14:textFill>
        </w:rPr>
        <w:t>。</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条款号：41.3              修改类型：修改</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41.3招标人对开标过程进行记录，并存档备查，投标人在技术标开标记录上签字。</w:t>
      </w:r>
    </w:p>
    <w:p>
      <w:pPr>
        <w:pBdr>
          <w:bottom w:val="single" w:color="auto" w:sz="6" w:space="1"/>
        </w:pBd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41.3招标人</w:t>
      </w:r>
      <w:r>
        <w:rPr>
          <w:rFonts w:hint="eastAsia" w:ascii="宋体" w:hAnsi="宋体" w:cs="宋体"/>
          <w:color w:val="000000" w:themeColor="text1"/>
          <w:szCs w:val="21"/>
          <w:highlight w:val="none"/>
          <w:u w:val="single"/>
          <w14:textFill>
            <w14:solidFill>
              <w14:schemeClr w14:val="tx1"/>
            </w14:solidFill>
          </w14:textFill>
        </w:rPr>
        <w:t>或招标代理机构</w:t>
      </w:r>
      <w:r>
        <w:rPr>
          <w:rFonts w:hint="eastAsia" w:ascii="宋体" w:hAnsi="宋体" w:cs="宋体"/>
          <w:color w:val="000000" w:themeColor="text1"/>
          <w:szCs w:val="21"/>
          <w:highlight w:val="none"/>
          <w14:textFill>
            <w14:solidFill>
              <w14:schemeClr w14:val="tx1"/>
            </w14:solidFill>
          </w14:textFill>
        </w:rPr>
        <w:t>对开标过程进行记录，并存档备查，投标人在</w:t>
      </w:r>
      <w:r>
        <w:rPr>
          <w:rFonts w:hint="eastAsia" w:ascii="宋体" w:hAnsi="宋体" w:cs="宋体"/>
          <w:color w:val="000000" w:themeColor="text1"/>
          <w:szCs w:val="21"/>
          <w:highlight w:val="none"/>
          <w:u w:val="single"/>
          <w14:textFill>
            <w14:solidFill>
              <w14:schemeClr w14:val="tx1"/>
            </w14:solidFill>
          </w14:textFill>
        </w:rPr>
        <w:t>开标记录上</w:t>
      </w:r>
      <w:r>
        <w:rPr>
          <w:rFonts w:hint="eastAsia" w:ascii="宋体" w:hAnsi="宋体" w:cs="宋体"/>
          <w:color w:val="000000" w:themeColor="text1"/>
          <w:szCs w:val="21"/>
          <w:highlight w:val="none"/>
          <w14:textFill>
            <w14:solidFill>
              <w14:schemeClr w14:val="tx1"/>
            </w14:solidFill>
          </w14:textFill>
        </w:rPr>
        <w:t>签字。</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42.2</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42.1评标委员会的组成：方式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8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方式一：评标委员会为综合评标委员会，负责评标工作。</w:t>
      </w:r>
    </w:p>
    <w:p>
      <w:pPr>
        <w:spacing w:line="480" w:lineRule="auto"/>
        <w:ind w:firstLine="470" w:firstLineChars="2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方式二：评标委员会由技术评审组和经济评审组组成。其中：资格审查、技术评审由技术评标组负责，经济评审由经济评审组负责。</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color w:val="000000" w:themeColor="text1"/>
          <w:szCs w:val="21"/>
          <w:highlight w:val="none"/>
          <w:u w:val="single"/>
          <w14:textFill>
            <w14:solidFill>
              <w14:schemeClr w14:val="tx1"/>
            </w14:solidFill>
          </w14:textFill>
        </w:rPr>
        <w:t xml:space="preserve"> 一 </w:t>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480" w:lineRule="auto"/>
        <w:ind w:firstLine="470" w:firstLineChars="224"/>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方式一：评标委员会为综合评标委员会，负责评标工作。</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45.1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45.1若通过技术标有效性审查的投标人中所有投标报价均大于等于最高投标限价*D%（D的取值范围为[94,100],由招标人自主确定）的（具体金额为：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元），则本项目招标失败，由招标人依法重新招标。</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45.1</w:t>
      </w:r>
      <w:r>
        <w:rPr>
          <w:rFonts w:hint="eastAsia" w:ascii="宋体" w:hAnsi="宋体" w:cs="宋体"/>
          <w:color w:val="000000" w:themeColor="text1"/>
          <w:szCs w:val="21"/>
          <w:highlight w:val="none"/>
          <w:u w:val="single"/>
          <w14:textFill>
            <w14:solidFill>
              <w14:schemeClr w14:val="tx1"/>
            </w14:solidFill>
          </w14:textFill>
        </w:rPr>
        <w:t>若所有通过技术标有效性审查的投标人的投标价均大于等于最高投标限价*D%（D的取值为100）的（具体金额为：8,974,649.81元</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，则本项目招标失败，由招标人依法重新招标。</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45.2  </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pStyle w:val="33"/>
        <w:tabs>
          <w:tab w:val="left" w:pos="7380"/>
        </w:tabs>
        <w:snapToGrid w:val="0"/>
        <w:spacing w:after="0" w:line="360" w:lineRule="auto"/>
        <w:ind w:firstLine="422" w:firstLineChars="200"/>
        <w:rPr>
          <w:rFonts w:hint="eastAsia" w:ascii="宋体" w:hAnsi="宋体"/>
          <w:color w:val="000000" w:themeColor="text1"/>
          <w:sz w:val="24"/>
          <w:szCs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45.2按方法    计算评标参考价：</w:t>
      </w:r>
    </w:p>
    <w:p>
      <w:pPr>
        <w:widowControl/>
        <w:spacing w:line="360"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方法一：加权平均法</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评标参考价=Σ（投标人的投标报价*报价权重）。</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其中：报价权重的计算方法为：将N名投标人按技术分由高至低进行排序，第一名投标人的权重为（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QUOTE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），第二名投标人的权重为（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QUOTE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），以此类推，最后一名投标人的权重为（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QUOTE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widowControl/>
        <w:spacing w:line="360"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方法二：区间抽取法</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评标参考价=（Q高-Q低）/100*Ｘ+Q低</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Q低：为达到或超过技术标及格分数线的投标人最低报价与工程成本警示价两者中的较高值；</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Q高：为（最高投标限价*D%）（D的取值范围为[94,100],由招标人自定）</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X:为等分点值，在开标前从[0,100]整数中随机抽取</w:t>
      </w:r>
    </w:p>
    <w:p>
      <w:pPr>
        <w:widowControl/>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45.2按方法</w:t>
      </w:r>
      <w:r>
        <w:rPr>
          <w:rFonts w:hint="eastAsia" w:ascii="宋体" w:hAnsi="宋体" w:cs="宋体"/>
          <w:color w:val="000000" w:themeColor="text1"/>
          <w:szCs w:val="21"/>
          <w:highlight w:val="none"/>
          <w:u w:val="single"/>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计算评标参考价：</w:t>
      </w:r>
    </w:p>
    <w:p>
      <w:pPr>
        <w:widowControl/>
        <w:spacing w:line="360"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方法一：加权平均法</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single"/>
          <w14:textFill>
            <w14:solidFill>
              <w14:schemeClr w14:val="tx1"/>
            </w14:solidFill>
          </w14:textFill>
        </w:rPr>
        <w:t>技术标得分</w:t>
      </w:r>
      <w:r>
        <w:rPr>
          <w:rFonts w:hint="eastAsia" w:ascii="宋体" w:hAnsi="宋体" w:cs="仿宋"/>
          <w:color w:val="000000" w:themeColor="text1"/>
          <w:szCs w:val="21"/>
          <w:highlight w:val="none"/>
          <w14:textFill>
            <w14:solidFill>
              <w14:schemeClr w14:val="tx1"/>
            </w14:solidFill>
          </w14:textFill>
        </w:rPr>
        <w:t>前</w:t>
      </w:r>
      <w:r>
        <w:rPr>
          <w:rFonts w:ascii="宋体" w:hAnsi="宋体" w:cs="仿宋"/>
          <w:color w:val="000000" w:themeColor="text1"/>
          <w:szCs w:val="21"/>
          <w:highlight w:val="none"/>
          <w14:textFill>
            <w14:solidFill>
              <w14:schemeClr w14:val="tx1"/>
            </w14:solidFill>
          </w14:textFill>
        </w:rPr>
        <w:t>N</w:t>
      </w:r>
      <w:r>
        <w:rPr>
          <w:rFonts w:hint="eastAsia" w:ascii="宋体" w:hAnsi="宋体" w:cs="仿宋"/>
          <w:color w:val="000000" w:themeColor="text1"/>
          <w:szCs w:val="21"/>
          <w:highlight w:val="none"/>
          <w14:textFill>
            <w14:solidFill>
              <w14:schemeClr w14:val="tx1"/>
            </w14:solidFill>
          </w14:textFill>
        </w:rPr>
        <w:t>名（N＝5；当N不足5名时，取全部通过经济标有效性审查的投标人）</w:t>
      </w:r>
      <w:r>
        <w:rPr>
          <w:rFonts w:hint="eastAsia" w:ascii="宋体" w:hAnsi="宋体" w:cs="宋体"/>
          <w:color w:val="000000" w:themeColor="text1"/>
          <w:szCs w:val="21"/>
          <w:highlight w:val="none"/>
          <w14:textFill>
            <w14:solidFill>
              <w14:schemeClr w14:val="tx1"/>
            </w14:solidFill>
          </w14:textFill>
        </w:rPr>
        <w:t>的经济报价加权平均，计算评标参考价。公式如下：</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评标参考价=Σ（投标人的投标报价*报价权重）。</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其中：报价权重的计算方法为：将N名投标人按技术分由高至低进行排序，第一名投标人的权重为（</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QUOTE </w:instrText>
      </w:r>
      <w:r>
        <w:rPr>
          <w:rFonts w:hint="eastAsia" w:ascii="宋体" w:hAnsi="宋体" w:cs="宋体"/>
          <w:color w:val="000000" w:themeColor="text1"/>
          <w:szCs w:val="21"/>
          <w:highlight w:val="none"/>
          <w14:textFill>
            <w14:solidFill>
              <w14:schemeClr w14:val="tx1"/>
            </w14:solidFill>
          </w14:textFill>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000000" w:themeColor="text1"/>
          <w:szCs w:val="21"/>
          <w:highlight w:val="none"/>
          <w14:textFill>
            <w14:solidFill>
              <w14:schemeClr w14:val="tx1"/>
            </w14:solidFill>
          </w14:textFill>
        </w:rPr>
        <w:instrText xml:space="preserve">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），第二名投标人的权重为（</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QUOTE </w:instrText>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position w:val="-23"/>
          <w:szCs w:val="21"/>
          <w:highlight w:val="none"/>
          <w14:textFill>
            <w14:solidFill>
              <w14:schemeClr w14:val="tx1"/>
            </w14:solidFill>
          </w14:textFill>
        </w:rPr>
        <w:instrText xml:space="preserve">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），以此类推，最后一名投标人的权重为（</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QUOTE </w:instrText>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position w:val="-23"/>
          <w:szCs w:val="21"/>
          <w:highlight w:val="none"/>
          <w14:textFill>
            <w14:solidFill>
              <w14:schemeClr w14:val="tx1"/>
            </w14:solidFill>
          </w14:textFill>
        </w:rPr>
        <w:instrText xml:space="preserve">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360" w:lineRule="auto"/>
        <w:ind w:firstLine="525" w:firstLineChars="25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技术标得分相同的的投标人，由评标委员会采用记名投票方式，确定投标人的排序。</w:t>
      </w:r>
    </w:p>
    <w:p>
      <w:pPr>
        <w:pBdr>
          <w:bottom w:val="single" w:color="auto" w:sz="6" w:space="1"/>
        </w:pBdr>
        <w:spacing w:line="360" w:lineRule="auto"/>
        <w:ind w:firstLine="525" w:firstLineChars="25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注：投票方式确定排序的具体操作步骤为：由评标会对出现该情况的投标人进行编号，然后通过投票方式依次确定投标人的排序。</w:t>
      </w:r>
    </w:p>
    <w:p>
      <w:pPr>
        <w:pBdr>
          <w:bottom w:val="single" w:color="auto" w:sz="6" w:space="1"/>
        </w:pBdr>
        <w:spacing w:line="360" w:lineRule="auto"/>
        <w:ind w:firstLine="525" w:firstLineChars="250"/>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45.3</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kern w:val="0"/>
          <w:szCs w:val="21"/>
          <w:highlight w:val="none"/>
          <w14:textFill>
            <w14:solidFill>
              <w14:schemeClr w14:val="tx1"/>
            </w14:solidFill>
          </w14:textFill>
        </w:rPr>
        <w:t>45.3</w:t>
      </w:r>
      <w:r>
        <w:rPr>
          <w:rFonts w:hint="eastAsia" w:ascii="宋体" w:hAnsi="宋体" w:cs="宋体"/>
          <w:color w:val="000000" w:themeColor="text1"/>
          <w:szCs w:val="21"/>
          <w:highlight w:val="none"/>
          <w14:textFill>
            <w14:solidFill>
              <w14:schemeClr w14:val="tx1"/>
            </w14:solidFill>
          </w14:textFill>
        </w:rPr>
        <w:t>当标价等于评标参考价时得100分，标价每高于评标参考价1%，扣</w:t>
      </w:r>
      <w:r>
        <w:rPr>
          <w:rFonts w:hint="eastAsia" w:ascii="宋体" w:hAnsi="宋体" w:cs="宋体"/>
          <w:color w:val="000000" w:themeColor="text1"/>
          <w:szCs w:val="21"/>
          <w:highlight w:val="none"/>
          <w:u w:val="single"/>
          <w:lang w:val="en-US" w:eastAsia="zh-CN"/>
          <w14:textFill>
            <w14:solidFill>
              <w14:schemeClr w14:val="tx1"/>
            </w14:solidFill>
          </w14:textFill>
        </w:rPr>
        <w:t>0.2</w:t>
      </w:r>
      <w:r>
        <w:rPr>
          <w:rFonts w:hint="eastAsia" w:ascii="宋体" w:hAnsi="宋体" w:cs="宋体"/>
          <w:color w:val="000000" w:themeColor="text1"/>
          <w:szCs w:val="21"/>
          <w:highlight w:val="none"/>
          <w14:textFill>
            <w14:solidFill>
              <w14:schemeClr w14:val="tx1"/>
            </w14:solidFill>
          </w14:textFill>
        </w:rPr>
        <w:t>分，每低于评标参考价1%，扣</w:t>
      </w:r>
      <w:r>
        <w:rPr>
          <w:rFonts w:hint="eastAsia" w:ascii="宋体" w:hAnsi="宋体" w:cs="宋体"/>
          <w:color w:val="000000" w:themeColor="text1"/>
          <w:szCs w:val="21"/>
          <w:highlight w:val="none"/>
          <w:u w:val="single"/>
          <w:lang w:val="en-US" w:eastAsia="zh-CN"/>
          <w14:textFill>
            <w14:solidFill>
              <w14:schemeClr w14:val="tx1"/>
            </w14:solidFill>
          </w14:textFill>
        </w:rPr>
        <w:t>0.1</w:t>
      </w:r>
      <w:r>
        <w:rPr>
          <w:rFonts w:hint="eastAsia" w:ascii="宋体" w:hAnsi="宋体" w:cs="宋体"/>
          <w:color w:val="000000" w:themeColor="text1"/>
          <w:szCs w:val="21"/>
          <w:highlight w:val="none"/>
          <w14:textFill>
            <w14:solidFill>
              <w14:schemeClr w14:val="tx1"/>
            </w14:solidFill>
          </w14:textFill>
        </w:rPr>
        <w:t>分，扣至0分为止，得出经济分，精确到小数点后两位。</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45.4</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48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45.4计算通过技术标有效性审查的投标人总得分。投标人总得分=</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技术得分（满分</w:t>
      </w:r>
      <w:r>
        <w:rPr>
          <w:rFonts w:hint="eastAsia" w:ascii="宋体" w:hAnsi="宋体" w:cs="宋体"/>
          <w:b/>
          <w:bCs/>
          <w:color w:val="000000" w:themeColor="text1"/>
          <w:kern w:val="2"/>
          <w:sz w:val="21"/>
          <w:szCs w:val="21"/>
          <w:highlight w:val="none"/>
          <w:u w:val="single"/>
          <w:lang w:val="en-US" w:eastAsia="zh-CN"/>
          <w14:textFill>
            <w14:solidFill>
              <w14:schemeClr w14:val="tx1"/>
            </w14:solidFill>
          </w14:textFill>
        </w:rPr>
        <w:t>2</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0分）＋经济得分（满分100分）×经济得分权重（</w:t>
      </w:r>
      <w:r>
        <w:rPr>
          <w:rFonts w:hint="eastAsia" w:ascii="宋体" w:hAnsi="宋体" w:cs="宋体"/>
          <w:b/>
          <w:bCs/>
          <w:color w:val="000000" w:themeColor="text1"/>
          <w:kern w:val="2"/>
          <w:sz w:val="21"/>
          <w:szCs w:val="21"/>
          <w:highlight w:val="none"/>
          <w:u w:val="single"/>
          <w:lang w:val="en-US" w:eastAsia="zh-CN"/>
          <w14:textFill>
            <w14:solidFill>
              <w14:schemeClr w14:val="tx1"/>
            </w14:solidFill>
          </w14:textFill>
        </w:rPr>
        <w:t>8</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。技术、经济得分权重按投标须知前附表的规定执行。总</w:t>
      </w:r>
      <w:r>
        <w:rPr>
          <w:rFonts w:hint="eastAsia" w:ascii="宋体" w:hAnsi="宋体" w:cs="宋体"/>
          <w:bCs/>
          <w:color w:val="000000" w:themeColor="text1"/>
          <w:szCs w:val="21"/>
          <w:highlight w:val="none"/>
          <w14:textFill>
            <w14:solidFill>
              <w14:schemeClr w14:val="tx1"/>
            </w14:solidFill>
          </w14:textFill>
        </w:rPr>
        <w:t>得分四舍五入保留两位小数。</w:t>
      </w:r>
      <w:r>
        <w:rPr>
          <w:rFonts w:hint="eastAsia" w:ascii="宋体" w:hAnsi="宋体" w:cs="宋体"/>
          <w:color w:val="000000" w:themeColor="text1"/>
          <w:highlight w:val="none"/>
          <w:u w:val="single"/>
          <w14:textFill>
            <w14:solidFill>
              <w14:schemeClr w14:val="tx1"/>
            </w14:solidFill>
          </w14:textFill>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条款号：48</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 xml:space="preserve">            修改类型：修改</w:t>
      </w:r>
    </w:p>
    <w:p>
      <w:pPr>
        <w:pBdr>
          <w:bottom w:val="single" w:color="auto" w:sz="6" w:space="1"/>
        </w:pBdr>
        <w:spacing w:line="360" w:lineRule="auto"/>
        <w:ind w:firstLine="527" w:firstLineChars="25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8.评标委员会应在通过投标文件经济标有效性审查的投标人中，</w:t>
      </w:r>
      <w:r>
        <w:rPr>
          <w:rFonts w:hint="eastAsia" w:ascii="宋体" w:hAnsi="宋体" w:cs="宋体"/>
          <w:color w:val="000000" w:themeColor="text1"/>
          <w:szCs w:val="21"/>
          <w:highlight w:val="none"/>
          <w:u w:val="single"/>
          <w14:textFill>
            <w14:solidFill>
              <w14:schemeClr w14:val="tx1"/>
            </w14:solidFill>
          </w14:textFill>
        </w:rPr>
        <w:t>按步骤45.4确定的投标人排序</w:t>
      </w:r>
      <w:r>
        <w:rPr>
          <w:rFonts w:hint="eastAsia" w:ascii="宋体" w:hAnsi="宋体" w:cs="宋体"/>
          <w:color w:val="000000" w:themeColor="text1"/>
          <w:szCs w:val="21"/>
          <w:highlight w:val="none"/>
          <w14:textFill>
            <w14:solidFill>
              <w14:schemeClr w14:val="tx1"/>
            </w14:solidFill>
          </w14:textFill>
        </w:rPr>
        <w:t>，推荐前3名依次为第一中标候选人至第三中标候选人,并编制评标报告。</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r>
        <w:rPr>
          <w:rFonts w:hint="eastAsia" w:ascii="宋体" w:hAnsi="宋体" w:cs="宋体"/>
          <w:b/>
          <w:color w:val="000000" w:themeColor="text1"/>
          <w:szCs w:val="21"/>
          <w:highlight w:val="none"/>
          <w14:textFill>
            <w14:solidFill>
              <w14:schemeClr w14:val="tx1"/>
            </w14:solidFill>
          </w14:textFill>
        </w:rPr>
        <w:t>附表一：《资格审查表》   附表二：《技术标有效性审查表》  附表三：《经济标有效性审查表》  附表四：《技术标详细审查评分表》  附表五《经济标评分表》</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修改类型：修改</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详见本招标文件</w:t>
      </w:r>
      <w:r>
        <w:rPr>
          <w:rFonts w:hint="eastAsia" w:ascii="宋体" w:hAnsi="宋体" w:cs="宋体"/>
          <w:color w:val="000000" w:themeColor="text1"/>
          <w:szCs w:val="21"/>
          <w:highlight w:val="none"/>
          <w:u w:val="single"/>
          <w14:textFill>
            <w14:solidFill>
              <w14:schemeClr w14:val="tx1"/>
            </w14:solidFill>
          </w14:textFill>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注：以上修改，仅限于本范本中有可供选择条款的情形。</w:t>
      </w:r>
    </w:p>
    <w:p>
      <w:pPr>
        <w:spacing w:line="360" w:lineRule="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pPr>
        <w:pStyle w:val="5"/>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525"/>
        <w:rPr>
          <w:color w:val="000000" w:themeColor="text1"/>
          <w:highlight w:val="none"/>
          <w14:textFill>
            <w14:solidFill>
              <w14:schemeClr w14:val="tx1"/>
            </w14:solidFill>
          </w14:textFill>
        </w:rPr>
      </w:pPr>
      <w:bookmarkStart w:id="46" w:name="_Toc30943"/>
      <w:bookmarkStart w:id="47" w:name="_Toc2272556"/>
      <w:bookmarkStart w:id="48" w:name="_Toc5257"/>
      <w:bookmarkStart w:id="49" w:name="_Toc21525500"/>
      <w:r>
        <w:rPr>
          <w:rFonts w:hint="eastAsia"/>
          <w:color w:val="000000" w:themeColor="text1"/>
          <w:highlight w:val="none"/>
          <w14:textFill>
            <w14:solidFill>
              <w14:schemeClr w14:val="tx1"/>
            </w14:solidFill>
          </w14:textFill>
        </w:rPr>
        <w:t>二、开标、评标及定标办法</w:t>
      </w:r>
      <w:r>
        <w:rPr>
          <w:rFonts w:hint="eastAsia"/>
          <w:color w:val="000000" w:themeColor="text1"/>
          <w:szCs w:val="30"/>
          <w:highlight w:val="none"/>
          <w14:textFill>
            <w14:solidFill>
              <w14:schemeClr w14:val="tx1"/>
            </w14:solidFill>
          </w14:textFill>
        </w:rPr>
        <w:t>通用条款</w:t>
      </w:r>
      <w:bookmarkEnd w:id="46"/>
      <w:bookmarkEnd w:id="47"/>
      <w:bookmarkEnd w:id="48"/>
      <w:bookmarkEnd w:id="49"/>
    </w:p>
    <w:p>
      <w:pPr>
        <w:pStyle w:val="6"/>
        <w:spacing w:before="156" w:after="156"/>
        <w:ind w:firstLine="540" w:firstLineChars="200"/>
        <w:rPr>
          <w:color w:val="000000" w:themeColor="text1"/>
          <w:highlight w:val="none"/>
          <w14:textFill>
            <w14:solidFill>
              <w14:schemeClr w14:val="tx1"/>
            </w14:solidFill>
          </w14:textFill>
        </w:rPr>
      </w:pPr>
      <w:bookmarkStart w:id="50" w:name="_Toc17274"/>
      <w:bookmarkStart w:id="51" w:name="_Toc21525501"/>
      <w:bookmarkStart w:id="52" w:name="_Toc2272557"/>
      <w:bookmarkStart w:id="53" w:name="_Toc19585"/>
      <w:r>
        <w:rPr>
          <w:rFonts w:hint="eastAsia"/>
          <w:color w:val="000000" w:themeColor="text1"/>
          <w:highlight w:val="none"/>
          <w14:textFill>
            <w14:solidFill>
              <w14:schemeClr w14:val="tx1"/>
            </w14:solidFill>
          </w14:textFill>
        </w:rPr>
        <w:t>（一）总则</w:t>
      </w:r>
      <w:bookmarkEnd w:id="50"/>
      <w:bookmarkEnd w:id="51"/>
      <w:bookmarkEnd w:id="52"/>
      <w:bookmarkEnd w:id="53"/>
    </w:p>
    <w:p>
      <w:pPr>
        <w:spacing w:line="360" w:lineRule="auto"/>
        <w:ind w:firstLine="480" w:firstLineChars="200"/>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35 </w:t>
      </w:r>
      <w:r>
        <w:rPr>
          <w:rFonts w:hint="eastAsia" w:ascii="宋体" w:hAnsi="宋体"/>
          <w:color w:val="000000" w:themeColor="text1"/>
          <w:sz w:val="24"/>
          <w:szCs w:val="24"/>
          <w:highlight w:val="none"/>
          <w14:textFill>
            <w14:solidFill>
              <w14:schemeClr w14:val="tx1"/>
            </w14:solidFill>
          </w14:textFill>
        </w:rPr>
        <w:t>开标、评标及定标所依据的规则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35.1</w:t>
      </w:r>
      <w:r>
        <w:rPr>
          <w:rFonts w:hint="eastAsia" w:ascii="宋体" w:hAnsi="宋体"/>
          <w:color w:val="000000" w:themeColor="text1"/>
          <w:sz w:val="24"/>
          <w:szCs w:val="24"/>
          <w:highlight w:val="none"/>
          <w14:textFill>
            <w14:solidFill>
              <w14:schemeClr w14:val="tx1"/>
            </w14:solidFill>
          </w14:textFill>
        </w:rPr>
        <w:t>《中华人民共和国招标投标法》；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35.2</w:t>
      </w:r>
      <w:r>
        <w:rPr>
          <w:rFonts w:hint="eastAsia" w:ascii="宋体" w:hAnsi="宋体"/>
          <w:color w:val="000000" w:themeColor="text1"/>
          <w:sz w:val="24"/>
          <w:szCs w:val="24"/>
          <w:highlight w:val="none"/>
          <w14:textFill>
            <w14:solidFill>
              <w14:schemeClr w14:val="tx1"/>
            </w14:solidFill>
          </w14:textFill>
        </w:rPr>
        <w:t>《中华人民共和国招标投标法实施条例》；</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35.3</w:t>
      </w:r>
      <w:r>
        <w:rPr>
          <w:rFonts w:hint="eastAsia" w:ascii="宋体" w:hAnsi="宋体"/>
          <w:color w:val="000000" w:themeColor="text1"/>
          <w:sz w:val="24"/>
          <w:szCs w:val="24"/>
          <w:highlight w:val="none"/>
          <w14:textFill>
            <w14:solidFill>
              <w14:schemeClr w14:val="tx1"/>
            </w14:solidFill>
          </w14:textFill>
        </w:rPr>
        <w:t>《评标委员会和评标方法暂行规定》（七部委第</w:t>
      </w: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35.4</w:t>
      </w:r>
      <w:r>
        <w:rPr>
          <w:rFonts w:hint="eastAsia" w:ascii="宋体" w:hAnsi="宋体"/>
          <w:color w:val="000000" w:themeColor="text1"/>
          <w:sz w:val="24"/>
          <w:szCs w:val="24"/>
          <w:highlight w:val="none"/>
          <w14:textFill>
            <w14:solidFill>
              <w14:schemeClr w14:val="tx1"/>
            </w14:solidFill>
          </w14:textFill>
        </w:rPr>
        <w:t>《工程建设项目施工招标投标办法》（七部委</w:t>
      </w:r>
      <w:r>
        <w:rPr>
          <w:rFonts w:ascii="宋体" w:hAnsi="宋体"/>
          <w:color w:val="000000" w:themeColor="text1"/>
          <w:sz w:val="24"/>
          <w:szCs w:val="24"/>
          <w:highlight w:val="none"/>
          <w14:textFill>
            <w14:solidFill>
              <w14:schemeClr w14:val="tx1"/>
            </w14:solidFill>
          </w14:textFill>
        </w:rPr>
        <w:t>2003</w:t>
      </w:r>
      <w:r>
        <w:rPr>
          <w:rFonts w:hint="eastAsia" w:ascii="宋体" w:hAnsi="宋体"/>
          <w:color w:val="000000" w:themeColor="text1"/>
          <w:sz w:val="24"/>
          <w:szCs w:val="24"/>
          <w:highlight w:val="none"/>
          <w14:textFill>
            <w14:solidFill>
              <w14:schemeClr w14:val="tx1"/>
            </w14:solidFill>
          </w14:textFill>
        </w:rPr>
        <w:t>年第</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35.5</w:t>
      </w:r>
      <w:r>
        <w:rPr>
          <w:rFonts w:hint="eastAsia" w:ascii="宋体" w:hAnsi="宋体"/>
          <w:color w:val="000000" w:themeColor="text1"/>
          <w:sz w:val="24"/>
          <w:szCs w:val="24"/>
          <w:highlight w:val="none"/>
          <w14:textFill>
            <w14:solidFill>
              <w14:schemeClr w14:val="tx1"/>
            </w14:solidFill>
          </w14:textFill>
        </w:rPr>
        <w:t>《广东省实施〈中华人民共和国招标投标法〉办法》；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35.6</w:t>
      </w:r>
      <w:r>
        <w:rPr>
          <w:rFonts w:hint="eastAsia" w:ascii="宋体" w:hAnsi="宋体"/>
          <w:color w:val="000000" w:themeColor="text1"/>
          <w:sz w:val="24"/>
          <w:szCs w:val="24"/>
          <w:highlight w:val="none"/>
          <w14:textFill>
            <w14:solidFill>
              <w14:schemeClr w14:val="tx1"/>
            </w14:solidFill>
          </w14:textFill>
        </w:rPr>
        <w:t>《房屋建筑和市政基础设施工程施工招标投标管理办法》（建设部令第</w:t>
      </w:r>
      <w:r>
        <w:rPr>
          <w:rFonts w:ascii="宋体" w:hAnsi="宋体"/>
          <w:color w:val="000000" w:themeColor="text1"/>
          <w:sz w:val="24"/>
          <w:szCs w:val="24"/>
          <w:highlight w:val="none"/>
          <w14:textFill>
            <w14:solidFill>
              <w14:schemeClr w14:val="tx1"/>
            </w14:solidFill>
          </w14:textFill>
        </w:rPr>
        <w:t>89</w:t>
      </w:r>
      <w:r>
        <w:rPr>
          <w:rFonts w:hint="eastAsia" w:ascii="宋体" w:hAnsi="宋体"/>
          <w:color w:val="000000" w:themeColor="text1"/>
          <w:sz w:val="24"/>
          <w:szCs w:val="24"/>
          <w:highlight w:val="none"/>
          <w14:textFill>
            <w14:solidFill>
              <w14:schemeClr w14:val="tx1"/>
            </w14:solidFill>
          </w14:textFill>
        </w:rPr>
        <w:t>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35.7</w:t>
      </w:r>
      <w:r>
        <w:rPr>
          <w:rFonts w:hint="eastAsia" w:ascii="宋体" w:hAnsi="宋体"/>
          <w:color w:val="000000" w:themeColor="text1"/>
          <w:sz w:val="24"/>
          <w:szCs w:val="24"/>
          <w:highlight w:val="none"/>
          <w14:textFill>
            <w14:solidFill>
              <w14:schemeClr w14:val="tx1"/>
            </w14:solidFill>
          </w14:textFill>
        </w:rPr>
        <w:t>《广东省加强建设工程招标投标监督管理的若干规定》（粤发[2004]4号）；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8《广州市工程建设项目招标投标管理办法》（穗府办规〔2017〕5号）。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35.9本项目招标文件。</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w:t>
      </w:r>
      <w:r>
        <w:rPr>
          <w:rFonts w:hint="eastAsia" w:ascii="宋体" w:hAnsi="宋体"/>
          <w:color w:val="000000" w:themeColor="text1"/>
          <w:sz w:val="24"/>
          <w:szCs w:val="24"/>
          <w:highlight w:val="none"/>
          <w14:textFill>
            <w14:solidFill>
              <w14:schemeClr w14:val="tx1"/>
            </w14:solidFill>
          </w14:textFill>
        </w:rPr>
        <w:t>．开标</w:t>
      </w:r>
    </w:p>
    <w:p>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36.</w:t>
      </w:r>
      <w:r>
        <w:rPr>
          <w:rFonts w:hint="eastAsia" w:ascii="宋体" w:hAnsi="宋体"/>
          <w:color w:val="000000" w:themeColor="text1"/>
          <w:sz w:val="24"/>
          <w:szCs w:val="24"/>
          <w:highlight w:val="none"/>
          <w:u w:val="single"/>
          <w:lang w:val="en-US" w:eastAsia="zh-CN"/>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36.2</w:t>
      </w:r>
      <w:r>
        <w:rPr>
          <w:rFonts w:hint="eastAsia" w:ascii="宋体" w:hAnsi="宋体"/>
          <w:color w:val="000000" w:themeColor="text1"/>
          <w:sz w:val="24"/>
          <w:szCs w:val="24"/>
          <w:highlight w:val="none"/>
          <w14:textFill>
            <w14:solidFill>
              <w14:schemeClr w14:val="tx1"/>
            </w14:solidFill>
          </w14:textFill>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dstrike w:val="0"/>
          <w:color w:val="000000" w:themeColor="text1"/>
          <w:sz w:val="24"/>
          <w:szCs w:val="24"/>
          <w:highlight w:val="none"/>
          <w14:textFill>
            <w14:solidFill>
              <w14:schemeClr w14:val="tx1"/>
            </w14:solidFill>
          </w14:textFill>
        </w:rPr>
      </w:pPr>
      <w:r>
        <w:rPr>
          <w:rFonts w:hint="eastAsia" w:ascii="宋体" w:hAnsi="宋体"/>
          <w:strike/>
          <w:dstrike w:val="0"/>
          <w:color w:val="000000" w:themeColor="text1"/>
          <w:sz w:val="24"/>
          <w:szCs w:val="24"/>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36.4若递交投标文件的投标人不足3家，则重新组织招标。（当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36.5按下列程序进行开标：</w:t>
      </w:r>
    </w:p>
    <w:p>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36.5.1在投标截止时间后半小时内，投标人通过广州公共资源交易中心 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36.5.2备用光盘的读取按投标须知前附表第36项的规定执行；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36.5.4开标结束。</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．评标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37.1</w:t>
      </w:r>
      <w:r>
        <w:rPr>
          <w:rFonts w:hint="eastAsia" w:ascii="宋体" w:hAnsi="宋体"/>
          <w:color w:val="000000" w:themeColor="text1"/>
          <w:sz w:val="24"/>
          <w:szCs w:val="24"/>
          <w:highlight w:val="none"/>
          <w14:textFill>
            <w14:solidFill>
              <w14:schemeClr w14:val="tx1"/>
            </w14:solidFill>
          </w14:textFill>
        </w:rPr>
        <w:t>评标委员会由招标人依法组建。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w:t>
      </w:r>
      <w:r>
        <w:rPr>
          <w:rFonts w:hint="eastAsia" w:ascii="宋体" w:hAnsi="宋体"/>
          <w:color w:val="000000" w:themeColor="text1"/>
          <w:sz w:val="24"/>
          <w:szCs w:val="24"/>
          <w:highlight w:val="none"/>
          <w14:textFill>
            <w14:solidFill>
              <w14:schemeClr w14:val="tx1"/>
            </w14:solidFill>
          </w14:textFill>
        </w:rPr>
        <w:t>评标委员会的职责及守则：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37.2.1</w:t>
      </w:r>
      <w:r>
        <w:rPr>
          <w:rFonts w:hint="eastAsia" w:ascii="宋体" w:hAnsi="宋体"/>
          <w:color w:val="000000" w:themeColor="text1"/>
          <w:sz w:val="24"/>
          <w:szCs w:val="24"/>
          <w:highlight w:val="none"/>
          <w14:textFill>
            <w14:solidFill>
              <w14:schemeClr w14:val="tx1"/>
            </w14:solidFill>
          </w14:textFill>
        </w:rPr>
        <w:t>根据评标细则，对</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szCs w:val="24"/>
          <w:highlight w:val="none"/>
          <w14:textFill>
            <w14:solidFill>
              <w14:schemeClr w14:val="tx1"/>
            </w14:solidFill>
          </w14:textFill>
        </w:rPr>
        <w:t>进行认真评审，完成评审报告；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37.2.2</w:t>
      </w:r>
      <w:r>
        <w:rPr>
          <w:rFonts w:hint="eastAsia" w:ascii="宋体" w:hAnsi="宋体"/>
          <w:color w:val="000000" w:themeColor="text1"/>
          <w:sz w:val="24"/>
          <w:szCs w:val="24"/>
          <w:highlight w:val="none"/>
          <w14:textFill>
            <w14:solidFill>
              <w14:schemeClr w14:val="tx1"/>
            </w14:solidFill>
          </w14:textFill>
        </w:rPr>
        <w:t>向招标人报告评审意见，推荐合格的中标候选人。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37.2.3</w:t>
      </w:r>
      <w:r>
        <w:rPr>
          <w:rFonts w:ascii="宋体" w:hAnsi="宋体"/>
          <w:b/>
          <w:bCs/>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37.2.4</w:t>
      </w:r>
      <w:r>
        <w:rPr>
          <w:rFonts w:hint="eastAsia" w:ascii="宋体" w:hAnsi="宋体"/>
          <w:color w:val="000000" w:themeColor="text1"/>
          <w:sz w:val="24"/>
          <w:szCs w:val="24"/>
          <w:highlight w:val="none"/>
          <w14:textFill>
            <w14:solidFill>
              <w14:schemeClr w14:val="tx1"/>
            </w14:solidFill>
          </w14:textFill>
        </w:rPr>
        <w:t>全体参与评标人员：</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37.2.4.1 </w:t>
      </w:r>
      <w:r>
        <w:rPr>
          <w:rFonts w:hint="eastAsia" w:ascii="宋体" w:hAnsi="宋体"/>
          <w:color w:val="000000" w:themeColor="text1"/>
          <w:sz w:val="24"/>
          <w:szCs w:val="24"/>
          <w:highlight w:val="none"/>
          <w14:textFill>
            <w14:solidFill>
              <w14:schemeClr w14:val="tx1"/>
            </w14:solidFill>
          </w14:textFill>
        </w:rPr>
        <w:t>必须遵守评标纪律、不得泄密；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37.2.4.2 </w:t>
      </w:r>
      <w:r>
        <w:rPr>
          <w:rFonts w:hint="eastAsia" w:ascii="宋体" w:hAnsi="宋体"/>
          <w:color w:val="000000" w:themeColor="text1"/>
          <w:sz w:val="24"/>
          <w:szCs w:val="24"/>
          <w:highlight w:val="none"/>
          <w14:textFill>
            <w14:solidFill>
              <w14:schemeClr w14:val="tx1"/>
            </w14:solidFill>
          </w14:textFill>
        </w:rPr>
        <w:t>必须公正、不得循私；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37.2.4.3 </w:t>
      </w:r>
      <w:r>
        <w:rPr>
          <w:rFonts w:hint="eastAsia" w:ascii="宋体" w:hAnsi="宋体"/>
          <w:color w:val="000000" w:themeColor="text1"/>
          <w:sz w:val="24"/>
          <w:szCs w:val="24"/>
          <w:highlight w:val="none"/>
          <w14:textFill>
            <w14:solidFill>
              <w14:schemeClr w14:val="tx1"/>
            </w14:solidFill>
          </w14:textFill>
        </w:rPr>
        <w:t>必须科学、不得草率；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37.2.4.4 </w:t>
      </w:r>
      <w:r>
        <w:rPr>
          <w:rFonts w:hint="eastAsia" w:ascii="宋体" w:hAnsi="宋体"/>
          <w:color w:val="000000" w:themeColor="text1"/>
          <w:sz w:val="24"/>
          <w:szCs w:val="24"/>
          <w:highlight w:val="none"/>
          <w14:textFill>
            <w14:solidFill>
              <w14:schemeClr w14:val="tx1"/>
            </w14:solidFill>
          </w14:textFill>
        </w:rPr>
        <w:t>必须客观、不得带有成见；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37.2.4.5 </w:t>
      </w:r>
      <w:r>
        <w:rPr>
          <w:rFonts w:hint="eastAsia" w:ascii="宋体" w:hAnsi="宋体"/>
          <w:color w:val="000000" w:themeColor="text1"/>
          <w:sz w:val="24"/>
          <w:szCs w:val="24"/>
          <w:highlight w:val="none"/>
          <w14:textFill>
            <w14:solidFill>
              <w14:schemeClr w14:val="tx1"/>
            </w14:solidFill>
          </w14:textFill>
        </w:rPr>
        <w:t>必须平等、不得强加于人；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37.2.4.6 </w:t>
      </w:r>
      <w:r>
        <w:rPr>
          <w:rFonts w:hint="eastAsia" w:ascii="宋体" w:hAnsi="宋体"/>
          <w:color w:val="000000" w:themeColor="text1"/>
          <w:sz w:val="24"/>
          <w:szCs w:val="24"/>
          <w:highlight w:val="none"/>
          <w14:textFill>
            <w14:solidFill>
              <w14:schemeClr w14:val="tx1"/>
            </w14:solidFill>
          </w14:textFill>
        </w:rPr>
        <w:t>必须严谨、不得随意马虎。</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37.3 </w:t>
      </w:r>
      <w:r>
        <w:rPr>
          <w:rFonts w:hint="eastAsia" w:ascii="宋体" w:hAnsi="宋体"/>
          <w:color w:val="000000" w:themeColor="text1"/>
          <w:sz w:val="24"/>
          <w:szCs w:val="24"/>
          <w:highlight w:val="none"/>
          <w14:textFill>
            <w14:solidFill>
              <w14:schemeClr w14:val="tx1"/>
            </w14:solidFill>
          </w14:textFill>
        </w:rPr>
        <w:t>评标结束后，评标委员会递交评标报告并依法推荐中标候选人。</w:t>
      </w:r>
      <w:r>
        <w:rPr>
          <w:rFonts w:ascii="宋体" w:hAnsi="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w:t>
      </w:r>
      <w:r>
        <w:rPr>
          <w:rFonts w:hint="eastAsia" w:ascii="宋体" w:hAnsi="宋体"/>
          <w:color w:val="000000" w:themeColor="text1"/>
          <w:sz w:val="24"/>
          <w:szCs w:val="24"/>
          <w:highlight w:val="none"/>
          <w14:textFill>
            <w14:solidFill>
              <w14:schemeClr w14:val="tx1"/>
            </w14:solidFill>
          </w14:textFill>
        </w:rPr>
        <w:t>．投标文件的澄清</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38.1为有助于投标文件的审查、评价和比较，评标期间，经</w:t>
      </w:r>
      <w:r>
        <w:rPr>
          <w:rFonts w:hint="eastAsia" w:ascii="宋体" w:hAnsi="宋体" w:cs="宋体"/>
          <w:color w:val="000000" w:themeColor="text1"/>
          <w:sz w:val="24"/>
          <w:szCs w:val="24"/>
          <w:highlight w:val="none"/>
          <w:u w:val="single"/>
          <w14:textFill>
            <w14:solidFill>
              <w14:schemeClr w14:val="tx1"/>
            </w14:solidFill>
          </w14:textFill>
        </w:rPr>
        <w:t>综合评标委员会</w:t>
      </w:r>
      <w:r>
        <w:rPr>
          <w:rFonts w:hint="eastAsia" w:ascii="宋体" w:hAnsi="宋体" w:cs="宋体"/>
          <w:color w:val="000000" w:themeColor="text1"/>
          <w:sz w:val="24"/>
          <w:szCs w:val="24"/>
          <w:highlight w:val="none"/>
          <w14:textFill>
            <w14:solidFill>
              <w14:schemeClr w14:val="tx1"/>
            </w14:solidFill>
          </w14:textFill>
        </w:rPr>
        <w:t>中两人以上（含两人）的成员以书面形式提出动议，</w:t>
      </w:r>
      <w:r>
        <w:rPr>
          <w:rFonts w:hint="eastAsia" w:ascii="宋体" w:hAnsi="宋体" w:cs="宋体"/>
          <w:color w:val="000000" w:themeColor="text1"/>
          <w:sz w:val="24"/>
          <w:szCs w:val="24"/>
          <w:highlight w:val="none"/>
          <w:u w:val="single"/>
          <w14:textFill>
            <w14:solidFill>
              <w14:schemeClr w14:val="tx1"/>
            </w14:solidFill>
          </w14:textFill>
        </w:rPr>
        <w:t>综合评标委员会</w:t>
      </w:r>
      <w:r>
        <w:rPr>
          <w:rFonts w:hint="eastAsia" w:ascii="宋体" w:hAnsi="宋体" w:cs="宋体"/>
          <w:color w:val="000000" w:themeColor="text1"/>
          <w:sz w:val="24"/>
          <w:szCs w:val="24"/>
          <w:highlight w:val="none"/>
          <w14:textFill>
            <w14:solidFill>
              <w14:schemeClr w14:val="tx1"/>
            </w14:solidFill>
          </w14:textFill>
        </w:rPr>
        <w:t>应当书面发出澄清通知，要求投标人</w:t>
      </w:r>
      <w:r>
        <w:rPr>
          <w:rFonts w:hint="eastAsia" w:ascii="宋体" w:hAnsi="宋体" w:cs="宋体"/>
          <w:color w:val="000000" w:themeColor="text1"/>
          <w:sz w:val="24"/>
          <w:szCs w:val="24"/>
          <w:highlight w:val="none"/>
          <w:u w:val="single"/>
          <w14:textFill>
            <w14:solidFill>
              <w14:schemeClr w14:val="tx1"/>
            </w14:solidFill>
          </w14:textFill>
        </w:rPr>
        <w:t>对投标文件含义不明确、对同类问题表述不一致、有明显文字和计算错误的内容以及细微偏差的内容</w:t>
      </w:r>
      <w:r>
        <w:rPr>
          <w:rFonts w:hint="eastAsia" w:ascii="宋体" w:hAnsi="宋体" w:cs="宋体"/>
          <w:color w:val="000000" w:themeColor="text1"/>
          <w:sz w:val="24"/>
          <w:szCs w:val="24"/>
          <w:highlight w:val="none"/>
          <w14:textFill>
            <w14:solidFill>
              <w14:schemeClr w14:val="tx1"/>
            </w14:solidFill>
          </w14:textFill>
        </w:rPr>
        <w:t>作出澄清。</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38.2 </w:t>
      </w:r>
      <w:r>
        <w:rPr>
          <w:rFonts w:hint="eastAsia" w:ascii="宋体" w:hAnsi="宋体"/>
          <w:color w:val="000000" w:themeColor="text1"/>
          <w:sz w:val="24"/>
          <w:szCs w:val="24"/>
          <w:highlight w:val="none"/>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38.3 </w:t>
      </w:r>
      <w:r>
        <w:rPr>
          <w:rFonts w:hint="eastAsia" w:ascii="宋体" w:hAnsi="宋体"/>
          <w:color w:val="000000" w:themeColor="text1"/>
          <w:sz w:val="24"/>
          <w:szCs w:val="24"/>
          <w:highlight w:val="none"/>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38.4</w:t>
      </w:r>
      <w:r>
        <w:rPr>
          <w:rFonts w:hint="eastAsia" w:ascii="宋体" w:hAnsi="宋体"/>
          <w:color w:val="000000" w:themeColor="text1"/>
          <w:sz w:val="24"/>
          <w:szCs w:val="24"/>
          <w:highlight w:val="none"/>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w:t>
      </w:r>
      <w:r>
        <w:rPr>
          <w:rFonts w:hint="eastAsia" w:ascii="宋体" w:hAnsi="宋体"/>
          <w:color w:val="000000" w:themeColor="text1"/>
          <w:sz w:val="24"/>
          <w:szCs w:val="24"/>
          <w:highlight w:val="none"/>
          <w14:textFill>
            <w14:solidFill>
              <w14:schemeClr w14:val="tx1"/>
            </w14:solidFill>
          </w14:textFill>
        </w:rPr>
        <w:t>．定标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39.1 </w:t>
      </w:r>
      <w:r>
        <w:rPr>
          <w:rFonts w:hint="eastAsia" w:ascii="宋体" w:hAnsi="宋体"/>
          <w:color w:val="000000" w:themeColor="text1"/>
          <w:sz w:val="24"/>
          <w:szCs w:val="24"/>
          <w:highlight w:val="none"/>
          <w14:textFill>
            <w14:solidFill>
              <w14:schemeClr w14:val="tx1"/>
            </w14:solidFill>
          </w14:textFill>
        </w:rPr>
        <w:t>招标人根据评标委员会递交的评标报告，最终审定中标人。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39.2 </w:t>
      </w:r>
      <w:r>
        <w:rPr>
          <w:rFonts w:hint="eastAsia" w:ascii="宋体" w:hAnsi="宋体"/>
          <w:color w:val="000000" w:themeColor="text1"/>
          <w:sz w:val="24"/>
          <w:szCs w:val="24"/>
          <w:highlight w:val="none"/>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39.4</w:t>
      </w:r>
      <w:r>
        <w:rPr>
          <w:rFonts w:hint="eastAsia" w:ascii="宋体" w:hAnsi="宋体"/>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rPr>
          <w:color w:val="000000" w:themeColor="text1"/>
          <w:highlight w:val="none"/>
          <w14:textFill>
            <w14:solidFill>
              <w14:schemeClr w14:val="tx1"/>
            </w14:solidFill>
          </w14:textFill>
        </w:rPr>
      </w:pPr>
      <w:bookmarkStart w:id="54" w:name="_Toc3799"/>
      <w:bookmarkStart w:id="55" w:name="_Toc2272558"/>
      <w:bookmarkStart w:id="56" w:name="_Toc21525502"/>
      <w:bookmarkStart w:id="57" w:name="_Toc7705"/>
      <w:r>
        <w:rPr>
          <w:rFonts w:hint="eastAsia"/>
          <w:color w:val="000000" w:themeColor="text1"/>
          <w:highlight w:val="none"/>
          <w14:textFill>
            <w14:solidFill>
              <w14:schemeClr w14:val="tx1"/>
            </w14:solidFill>
          </w14:textFill>
        </w:rPr>
        <w:t>（二）开标评标办法程序和细则</w:t>
      </w:r>
      <w:bookmarkEnd w:id="54"/>
      <w:bookmarkEnd w:id="55"/>
      <w:bookmarkEnd w:id="56"/>
      <w:bookmarkEnd w:id="57"/>
    </w:p>
    <w:p>
      <w:pPr>
        <w:spacing w:line="360" w:lineRule="auto"/>
        <w:ind w:firstLine="480" w:firstLineChars="200"/>
        <w:rPr>
          <w:rFonts w:ascii="宋体" w:hAnsi="宋体"/>
          <w:strike/>
          <w:color w:val="000000" w:themeColor="text1"/>
          <w:sz w:val="24"/>
          <w:szCs w:val="24"/>
          <w:highlight w:val="none"/>
          <w14:textFill>
            <w14:solidFill>
              <w14:schemeClr w14:val="tx1"/>
            </w14:solidFill>
          </w14:textFill>
        </w:rPr>
      </w:pPr>
      <w:r>
        <w:rPr>
          <w:rFonts w:hint="eastAsia" w:ascii="宋体" w:hAnsi="宋体"/>
          <w:strike/>
          <w:color w:val="000000" w:themeColor="text1"/>
          <w:sz w:val="24"/>
          <w:szCs w:val="24"/>
          <w:highlight w:val="none"/>
          <w14:textFill>
            <w14:solidFill>
              <w14:schemeClr w14:val="tx1"/>
            </w14:solidFill>
          </w14:textFill>
        </w:rPr>
        <w:t>注：以下</w:t>
      </w:r>
      <w:r>
        <w:rPr>
          <w:rFonts w:hint="eastAsia" w:ascii="宋体" w:hAnsi="宋体"/>
          <w:strike/>
          <w:color w:val="000000" w:themeColor="text1"/>
          <w:sz w:val="24"/>
          <w:szCs w:val="24"/>
          <w:highlight w:val="none"/>
          <w:lang w:eastAsia="zh-CN"/>
          <w14:textFill>
            <w14:solidFill>
              <w14:schemeClr w14:val="tx1"/>
            </w14:solidFill>
          </w14:textFill>
        </w:rPr>
        <w:t>八</w:t>
      </w:r>
      <w:r>
        <w:rPr>
          <w:rFonts w:hint="eastAsia" w:ascii="宋体" w:hAnsi="宋体"/>
          <w:strike/>
          <w:color w:val="000000" w:themeColor="text1"/>
          <w:sz w:val="24"/>
          <w:szCs w:val="24"/>
          <w:highlight w:val="none"/>
          <w14:textFill>
            <w14:solidFill>
              <w14:schemeClr w14:val="tx1"/>
            </w14:solidFill>
          </w14:textFill>
        </w:rPr>
        <w:t>种评标办法所述企业综合诚信评价分数即投标截止当日广州市工程招标代理行业协会网站上公布的企业综合诚信评价</w:t>
      </w:r>
      <w:r>
        <w:rPr>
          <w:rFonts w:ascii="宋体" w:hAnsi="宋体"/>
          <w:strike/>
          <w:color w:val="000000" w:themeColor="text1"/>
          <w:sz w:val="24"/>
          <w:szCs w:val="24"/>
          <w:highlight w:val="none"/>
          <w14:textFill>
            <w14:solidFill>
              <w14:schemeClr w14:val="tx1"/>
            </w14:solidFill>
          </w14:textFill>
        </w:rPr>
        <w:t>60</w:t>
      </w:r>
      <w:r>
        <w:rPr>
          <w:rFonts w:hint="eastAsia" w:ascii="宋体" w:hAnsi="宋体"/>
          <w:strike/>
          <w:color w:val="000000" w:themeColor="text1"/>
          <w:sz w:val="24"/>
          <w:szCs w:val="24"/>
          <w:highlight w:val="none"/>
          <w14:textFill>
            <w14:solidFill>
              <w14:schemeClr w14:val="tx1"/>
            </w14:solidFill>
          </w14:textFill>
        </w:rPr>
        <w:t>日诚信分。</w:t>
      </w:r>
    </w:p>
    <w:p>
      <w:pPr>
        <w:pStyle w:val="6"/>
        <w:spacing w:before="156" w:after="156"/>
        <w:ind w:firstLine="540" w:firstLineChars="200"/>
        <w:rPr>
          <w:color w:val="000000" w:themeColor="text1"/>
          <w:highlight w:val="none"/>
          <w14:textFill>
            <w14:solidFill>
              <w14:schemeClr w14:val="tx1"/>
            </w14:solidFill>
          </w14:textFill>
        </w:rPr>
      </w:pPr>
      <w:bookmarkStart w:id="58" w:name="_Toc17991"/>
      <w:bookmarkStart w:id="59" w:name="_Toc21525509"/>
      <w:bookmarkStart w:id="60" w:name="_Toc6242"/>
      <w:bookmarkStart w:id="61" w:name="_Toc2272564"/>
      <w:r>
        <w:rPr>
          <w:rFonts w:hint="eastAsia"/>
          <w:color w:val="000000" w:themeColor="text1"/>
          <w:highlight w:val="none"/>
          <w14:textFill>
            <w14:solidFill>
              <w14:schemeClr w14:val="tx1"/>
            </w14:solidFill>
          </w14:textFill>
        </w:rPr>
        <w:t>可选办法七（适合综合评分法四，技术标与经济标同时开启）</w:t>
      </w:r>
      <w:bookmarkEnd w:id="58"/>
      <w:bookmarkEnd w:id="59"/>
      <w:bookmarkEnd w:id="60"/>
      <w:bookmarkEnd w:id="61"/>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40．开标和评标程序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40.1技术标（含资格审查文件）与经济标投标文件同时公开开标；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40.2由评标委员会对所有已公开开标的投标人进行资格审查；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40.3技术标投标文件有效性审查；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40.4技术标详细审查评分；</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40.5经济标详细审查评分；</w:t>
      </w:r>
      <w:r>
        <w:rPr>
          <w:rFonts w:ascii="宋体"/>
          <w:color w:val="000000" w:themeColor="text1"/>
          <w:sz w:val="24"/>
          <w:szCs w:val="24"/>
          <w:highlight w:val="none"/>
          <w14:textFill>
            <w14:solidFill>
              <w14:schemeClr w14:val="tx1"/>
            </w14:solidFill>
          </w14:textFill>
        </w:rPr>
        <w:t xml:space="preserve">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40.6评标委员会按照投标人总得分由高至低排序；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40.7经济标投标文件有效性审查；</w:t>
      </w:r>
    </w:p>
    <w:p>
      <w:pPr>
        <w:snapToGrid w:val="0"/>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40.8评标委员会按排序向招标人推荐中标候选人名单，并递交资格审查报告及评标报告。</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41．开标细则</w:t>
      </w:r>
    </w:p>
    <w:p>
      <w:pPr>
        <w:snapToGrid w:val="0"/>
        <w:spacing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41.1开标由招标人或招标代理主持</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 细则</w:t>
      </w:r>
    </w:p>
    <w:p>
      <w:pPr>
        <w:snapToGrid w:val="0"/>
        <w:spacing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dstrike w:val="0"/>
          <w:color w:val="000000" w:themeColor="text1"/>
          <w:sz w:val="24"/>
          <w:szCs w:val="24"/>
          <w:highlight w:val="none"/>
          <w14:textFill>
            <w14:solidFill>
              <w14:schemeClr w14:val="tx1"/>
            </w14:solidFill>
          </w14:textFill>
        </w:rPr>
      </w:pPr>
      <w:r>
        <w:rPr>
          <w:rFonts w:hint="eastAsia" w:ascii="宋体"/>
          <w:strike/>
          <w:dstrike w:val="0"/>
          <w:color w:val="000000" w:themeColor="text1"/>
          <w:sz w:val="24"/>
          <w:szCs w:val="24"/>
          <w:highlight w:val="none"/>
          <w14:textFill>
            <w14:solidFill>
              <w14:schemeClr w14:val="tx1"/>
            </w14:solidFill>
          </w14:textFill>
        </w:rPr>
        <w:t>41.2.2开标前，首先由招标人随机抽取确定该工程计算评标参考价的等分点值X。</w:t>
      </w:r>
    </w:p>
    <w:p>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41.2.4按36.5.1的规定完成解密后，公布下列内容，并予以记录，记录提交评标委员会评审：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41.2.4.1开标时，公布：a、投标人名称；b、</w:t>
      </w:r>
      <w:r>
        <w:rPr>
          <w:rFonts w:hint="eastAsia" w:ascii="宋体" w:hAnsi="宋体"/>
          <w:color w:val="000000" w:themeColor="text1"/>
          <w:sz w:val="24"/>
          <w:highlight w:val="none"/>
          <w14:textFill>
            <w14:solidFill>
              <w14:schemeClr w14:val="tx1"/>
            </w14:solidFill>
          </w14:textFill>
        </w:rPr>
        <w:t>投标文件</w:t>
      </w:r>
      <w:r>
        <w:rPr>
          <w:rFonts w:hint="eastAsia" w:ascii="宋体"/>
          <w:color w:val="000000" w:themeColor="text1"/>
          <w:sz w:val="24"/>
          <w:szCs w:val="24"/>
          <w:highlight w:val="none"/>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41.3招标人</w:t>
      </w:r>
      <w:r>
        <w:rPr>
          <w:rFonts w:hint="eastAsia" w:ascii="宋体"/>
          <w:color w:val="000000" w:themeColor="text1"/>
          <w:sz w:val="24"/>
          <w:szCs w:val="24"/>
          <w:highlight w:val="none"/>
          <w:u w:val="single"/>
          <w:lang w:eastAsia="zh-CN"/>
          <w14:textFill>
            <w14:solidFill>
              <w14:schemeClr w14:val="tx1"/>
            </w14:solidFill>
          </w14:textFill>
        </w:rPr>
        <w:t>或招标</w:t>
      </w:r>
      <w:r>
        <w:rPr>
          <w:rFonts w:hint="eastAsia" w:ascii="宋体"/>
          <w:color w:val="000000" w:themeColor="text1"/>
          <w:sz w:val="24"/>
          <w:szCs w:val="24"/>
          <w:highlight w:val="none"/>
          <w:u w:val="single"/>
          <w:lang w:val="en-US" w:eastAsia="zh-CN"/>
          <w14:textFill>
            <w14:solidFill>
              <w14:schemeClr w14:val="tx1"/>
            </w14:solidFill>
          </w14:textFill>
        </w:rPr>
        <w:t>代理机构</w:t>
      </w:r>
      <w:r>
        <w:rPr>
          <w:rFonts w:hint="eastAsia" w:ascii="宋体"/>
          <w:color w:val="000000" w:themeColor="text1"/>
          <w:sz w:val="24"/>
          <w:szCs w:val="24"/>
          <w:highlight w:val="none"/>
          <w14:textFill>
            <w14:solidFill>
              <w14:schemeClr w14:val="tx1"/>
            </w14:solidFill>
          </w14:textFill>
        </w:rPr>
        <w:t>对开标过程进行记录，并存档备查，投标人在</w:t>
      </w:r>
      <w:r>
        <w:rPr>
          <w:rFonts w:hint="eastAsia" w:ascii="宋体"/>
          <w:color w:val="000000" w:themeColor="text1"/>
          <w:sz w:val="24"/>
          <w:szCs w:val="24"/>
          <w:highlight w:val="none"/>
          <w:u w:val="single"/>
          <w14:textFill>
            <w14:solidFill>
              <w14:schemeClr w14:val="tx1"/>
            </w14:solidFill>
          </w14:textFill>
        </w:rPr>
        <w:t>开标记录上</w:t>
      </w:r>
      <w:r>
        <w:rPr>
          <w:rFonts w:hint="eastAsia" w:ascii="宋体"/>
          <w:color w:val="000000" w:themeColor="text1"/>
          <w:sz w:val="24"/>
          <w:szCs w:val="24"/>
          <w:highlight w:val="none"/>
          <w14:textFill>
            <w14:solidFill>
              <w14:schemeClr w14:val="tx1"/>
            </w14:solidFill>
          </w14:textFill>
        </w:rPr>
        <w:t>签字。</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41.4 招标人将上述符合要求的投标文件，送至评标委员会进行评审。</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 资格审查及评标细则</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42.1资格审查及评标均由招标人依法组建的评标委员会负责。</w:t>
      </w:r>
    </w:p>
    <w:p>
      <w:pPr>
        <w:pStyle w:val="33"/>
        <w:tabs>
          <w:tab w:val="left" w:pos="7380"/>
        </w:tabs>
        <w:snapToGrid w:val="0"/>
        <w:spacing w:after="0"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42.2评标委员会的组成：方式 一 。</w:t>
      </w:r>
    </w:p>
    <w:p>
      <w:pPr>
        <w:pStyle w:val="33"/>
        <w:tabs>
          <w:tab w:val="left" w:pos="7380"/>
        </w:tabs>
        <w:snapToGrid w:val="0"/>
        <w:spacing w:after="0"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方式一：评标委员会为综合评标委员会，负责评标工作。</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43．投标人资格审查</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43.2汇总资格审查情况，编写资格审查报告。</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43.3资格审查不合格的投标文件不参加下一阶段的评标，不参与评标参考价的计算。</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43.6资格审查合格的投标人少于3名的（当N个标段同时招标且不允许兼中时，资格审查合格的投标人少于N+2名），则本项目招标失败。</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44．技术标评审</w:t>
      </w:r>
    </w:p>
    <w:p>
      <w:pPr>
        <w:pStyle w:val="33"/>
        <w:tabs>
          <w:tab w:val="left" w:pos="7380"/>
        </w:tabs>
        <w:snapToGrid w:val="0"/>
        <w:spacing w:after="0"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Style w:val="33"/>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45．经济标评审和得分汇总</w:t>
      </w:r>
    </w:p>
    <w:p>
      <w:pPr>
        <w:pStyle w:val="33"/>
        <w:tabs>
          <w:tab w:val="left" w:pos="7380"/>
        </w:tabs>
        <w:snapToGrid w:val="0"/>
        <w:spacing w:after="0" w:line="360" w:lineRule="auto"/>
        <w:ind w:firstLine="480" w:firstLineChars="200"/>
        <w:rPr>
          <w:rFonts w:hint="eastAsia"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45.1若所有通过技术标有效性审查的投标人的投标价均大于等于最高投标限价*D%（D的取值为100）的（具体金额为</w:t>
      </w:r>
      <w:r>
        <w:rPr>
          <w:rFonts w:hint="eastAsia" w:ascii="宋体"/>
          <w:color w:val="000000" w:themeColor="text1"/>
          <w:sz w:val="24"/>
          <w:szCs w:val="24"/>
          <w:highlight w:val="none"/>
          <w:u w:val="single"/>
          <w:lang w:eastAsia="zh-CN"/>
          <w14:textFill>
            <w14:solidFill>
              <w14:schemeClr w14:val="tx1"/>
            </w14:solidFill>
          </w14:textFill>
        </w:rPr>
        <w:t>：</w:t>
      </w:r>
      <w:r>
        <w:rPr>
          <w:rFonts w:hint="eastAsia" w:ascii="宋体" w:hAnsi="宋体"/>
          <w:color w:val="auto"/>
          <w:sz w:val="24"/>
          <w:highlight w:val="none"/>
          <w:u w:val="single"/>
          <w:lang w:val="en-US" w:eastAsia="zh-CN"/>
        </w:rPr>
        <w:t>8,974,649.81</w:t>
      </w:r>
      <w:r>
        <w:rPr>
          <w:rFonts w:hint="eastAsia" w:ascii="宋体"/>
          <w:color w:val="000000" w:themeColor="text1"/>
          <w:sz w:val="24"/>
          <w:szCs w:val="24"/>
          <w:highlight w:val="none"/>
          <w:u w:val="single"/>
          <w14:textFill>
            <w14:solidFill>
              <w14:schemeClr w14:val="tx1"/>
            </w14:solidFill>
          </w14:textFill>
        </w:rPr>
        <w:t>元），则本项目招标失败，由招标人依法重新招标。</w:t>
      </w:r>
    </w:p>
    <w:p>
      <w:pPr>
        <w:pStyle w:val="33"/>
        <w:tabs>
          <w:tab w:val="left" w:pos="7380"/>
        </w:tabs>
        <w:snapToGrid w:val="0"/>
        <w:spacing w:after="0"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45.2按方法</w:t>
      </w:r>
      <w:r>
        <w:rPr>
          <w:rFonts w:hint="eastAsia" w:ascii="宋体" w:hAnsi="宋体" w:cs="宋体"/>
          <w:b/>
          <w:bCs/>
          <w:color w:val="000000" w:themeColor="text1"/>
          <w:sz w:val="24"/>
          <w:szCs w:val="24"/>
          <w:highlight w:val="none"/>
          <w:u w:val="single"/>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计算评标参考价：</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技术标得分前N名（N＝5；当N不足5名时，取全部通过经济标有效性审查的投标人）的经济报价加权平均，计算评标参考价。公式如下：</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评标参考价=Σ（投标人的投标报价*报价权重）。</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其中：报价权重的计算方法为：将N名投标人按技术分由高至低进行排序，第一名投标人的权重为（</w:t>
      </w:r>
      <w:r>
        <w:rPr>
          <w:rFonts w:hint="eastAsia" w:ascii="宋体" w:hAnsi="宋体" w:cs="宋体"/>
          <w:color w:val="000000" w:themeColor="text1"/>
          <w:kern w:val="0"/>
          <w:sz w:val="24"/>
          <w:szCs w:val="24"/>
          <w:highlight w:val="none"/>
          <w:u w:val="single"/>
          <w14:textFill>
            <w14:solidFill>
              <w14:schemeClr w14:val="tx1"/>
            </w14:solidFill>
          </w14:textFill>
        </w:rPr>
        <w:fldChar w:fldCharType="begin"/>
      </w:r>
      <w:r>
        <w:rPr>
          <w:rFonts w:hint="eastAsia" w:ascii="宋体" w:hAnsi="宋体" w:cs="宋体"/>
          <w:color w:val="000000" w:themeColor="text1"/>
          <w:kern w:val="0"/>
          <w:sz w:val="24"/>
          <w:szCs w:val="24"/>
          <w:highlight w:val="none"/>
          <w:u w:val="single"/>
          <w14:textFill>
            <w14:solidFill>
              <w14:schemeClr w14:val="tx1"/>
            </w14:solidFill>
          </w14:textFill>
        </w:rPr>
        <w:instrText xml:space="preserve"> QUOTE </w:instrText>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000000" w:themeColor="text1"/>
          <w:kern w:val="0"/>
          <w:sz w:val="24"/>
          <w:szCs w:val="24"/>
          <w:highlight w:val="none"/>
          <w:u w:val="single"/>
          <w14:textFill>
            <w14:solidFill>
              <w14:schemeClr w14:val="tx1"/>
            </w14:solidFill>
          </w14:textFill>
        </w:rPr>
        <w:instrText xml:space="preserve"> \* MERGEFORMAT </w:instrText>
      </w:r>
      <w:r>
        <w:rPr>
          <w:rFonts w:hint="eastAsia" w:ascii="宋体" w:hAnsi="宋体" w:cs="宋体"/>
          <w:color w:val="000000" w:themeColor="text1"/>
          <w:kern w:val="0"/>
          <w:sz w:val="24"/>
          <w:szCs w:val="24"/>
          <w:highlight w:val="none"/>
          <w:u w:val="singl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），第二名投标人的权重为（</w:t>
      </w:r>
      <w:r>
        <w:rPr>
          <w:rFonts w:hint="eastAsia" w:ascii="宋体" w:hAnsi="宋体" w:cs="宋体"/>
          <w:color w:val="000000" w:themeColor="text1"/>
          <w:kern w:val="0"/>
          <w:sz w:val="24"/>
          <w:szCs w:val="24"/>
          <w:highlight w:val="none"/>
          <w:u w:val="single"/>
          <w14:textFill>
            <w14:solidFill>
              <w14:schemeClr w14:val="tx1"/>
            </w14:solidFill>
          </w14:textFill>
        </w:rPr>
        <w:fldChar w:fldCharType="begin"/>
      </w:r>
      <w:r>
        <w:rPr>
          <w:rFonts w:hint="eastAsia" w:ascii="宋体" w:hAnsi="宋体" w:cs="宋体"/>
          <w:color w:val="000000" w:themeColor="text1"/>
          <w:kern w:val="0"/>
          <w:sz w:val="24"/>
          <w:szCs w:val="24"/>
          <w:highlight w:val="none"/>
          <w:u w:val="single"/>
          <w14:textFill>
            <w14:solidFill>
              <w14:schemeClr w14:val="tx1"/>
            </w14:solidFill>
          </w14:textFill>
        </w:rPr>
        <w:instrText xml:space="preserve"> QUOTE </w:instrText>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kern w:val="0"/>
          <w:sz w:val="24"/>
          <w:szCs w:val="24"/>
          <w:highlight w:val="none"/>
          <w:u w:val="single"/>
          <w14:textFill>
            <w14:solidFill>
              <w14:schemeClr w14:val="tx1"/>
            </w14:solidFill>
          </w14:textFill>
        </w:rPr>
        <w:instrText xml:space="preserve"> \* MERGEFORMAT </w:instrText>
      </w:r>
      <w:r>
        <w:rPr>
          <w:rFonts w:hint="eastAsia" w:ascii="宋体" w:hAnsi="宋体" w:cs="宋体"/>
          <w:color w:val="000000" w:themeColor="text1"/>
          <w:kern w:val="0"/>
          <w:sz w:val="24"/>
          <w:szCs w:val="24"/>
          <w:highlight w:val="none"/>
          <w:u w:val="singl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），以此类推，最后一名投标人的权重为（</w:t>
      </w:r>
      <w:r>
        <w:rPr>
          <w:rFonts w:hint="eastAsia" w:ascii="宋体" w:hAnsi="宋体" w:cs="宋体"/>
          <w:color w:val="000000" w:themeColor="text1"/>
          <w:kern w:val="0"/>
          <w:sz w:val="24"/>
          <w:szCs w:val="24"/>
          <w:highlight w:val="none"/>
          <w:u w:val="single"/>
          <w14:textFill>
            <w14:solidFill>
              <w14:schemeClr w14:val="tx1"/>
            </w14:solidFill>
          </w14:textFill>
        </w:rPr>
        <w:fldChar w:fldCharType="begin"/>
      </w:r>
      <w:r>
        <w:rPr>
          <w:rFonts w:hint="eastAsia" w:ascii="宋体" w:hAnsi="宋体" w:cs="宋体"/>
          <w:color w:val="000000" w:themeColor="text1"/>
          <w:kern w:val="0"/>
          <w:sz w:val="24"/>
          <w:szCs w:val="24"/>
          <w:highlight w:val="none"/>
          <w:u w:val="single"/>
          <w14:textFill>
            <w14:solidFill>
              <w14:schemeClr w14:val="tx1"/>
            </w14:solidFill>
          </w14:textFill>
        </w:rPr>
        <w:instrText xml:space="preserve"> QUOTE </w:instrText>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000000" w:themeColor="text1"/>
          <w:kern w:val="0"/>
          <w:sz w:val="24"/>
          <w:szCs w:val="24"/>
          <w:highlight w:val="none"/>
          <w:u w:val="single"/>
          <w14:textFill>
            <w14:solidFill>
              <w14:schemeClr w14:val="tx1"/>
            </w14:solidFill>
          </w14:textFill>
        </w:rPr>
        <w:instrText xml:space="preserve"> \* MERGEFORMAT </w:instrText>
      </w:r>
      <w:r>
        <w:rPr>
          <w:rFonts w:hint="eastAsia" w:ascii="宋体" w:hAnsi="宋体" w:cs="宋体"/>
          <w:color w:val="000000" w:themeColor="text1"/>
          <w:kern w:val="0"/>
          <w:sz w:val="24"/>
          <w:szCs w:val="24"/>
          <w:highlight w:val="none"/>
          <w:u w:val="singl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技术标得分相同的的投标人，由评标委员会采用记名投票方式，确定投标人的排序。</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注：投票方式确定排序的具体操作步骤为：由评标会对出现该情况的投标人进行编号，然后通过投票方式依次确定投标人的排序。</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45.3当标价等于评标参考价时得100分，标价每高于评标参考价1%，扣</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0.2</w:t>
      </w:r>
      <w:r>
        <w:rPr>
          <w:rFonts w:hint="eastAsia" w:ascii="宋体" w:hAnsi="宋体" w:cs="宋体"/>
          <w:color w:val="000000" w:themeColor="text1"/>
          <w:kern w:val="0"/>
          <w:sz w:val="24"/>
          <w:szCs w:val="24"/>
          <w:highlight w:val="none"/>
          <w:u w:val="single"/>
          <w14:textFill>
            <w14:solidFill>
              <w14:schemeClr w14:val="tx1"/>
            </w14:solidFill>
          </w14:textFill>
        </w:rPr>
        <w:t>分，每低于评标参考价1%，扣</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0.1</w:t>
      </w:r>
      <w:r>
        <w:rPr>
          <w:rFonts w:hint="eastAsia" w:ascii="宋体" w:hAnsi="宋体" w:cs="宋体"/>
          <w:color w:val="000000" w:themeColor="text1"/>
          <w:kern w:val="0"/>
          <w:sz w:val="24"/>
          <w:szCs w:val="24"/>
          <w:highlight w:val="none"/>
          <w:u w:val="single"/>
          <w14:textFill>
            <w14:solidFill>
              <w14:schemeClr w14:val="tx1"/>
            </w14:solidFill>
          </w14:textFill>
        </w:rPr>
        <w:t>分，扣至0分为止，得出经济分，精确到小数点后两位。</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45.4计算通过技术标有效性审查的投标人总得分。投标人总得分=技术得分（满分</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szCs w:val="24"/>
          <w:highlight w:val="none"/>
          <w:u w:val="single"/>
          <w14:textFill>
            <w14:solidFill>
              <w14:schemeClr w14:val="tx1"/>
            </w14:solidFill>
          </w14:textFill>
        </w:rPr>
        <w:t>0分）＋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33"/>
        <w:tabs>
          <w:tab w:val="left" w:pos="7380"/>
        </w:tabs>
        <w:snapToGrid w:val="0"/>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46.经济标的有效性审查</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6.2.1如果数字表示的金额和用文字表示的金额不一致时，应以文字表示的金额为准；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6.2.2经算术复核的投标人报价与其投标报价不一致时，按就低不就高原则确定其最终报价；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8.评标委员会应在通过投标文件经济标有效性审查的投标人中，按步骤45.4确定的</w:t>
      </w:r>
      <w:r>
        <w:rPr>
          <w:rFonts w:hint="eastAsia" w:ascii="宋体" w:hAnsi="宋体"/>
          <w:color w:val="000000" w:themeColor="text1"/>
          <w:sz w:val="24"/>
          <w:szCs w:val="24"/>
          <w:highlight w:val="none"/>
          <w:u w:val="single"/>
          <w14:textFill>
            <w14:solidFill>
              <w14:schemeClr w14:val="tx1"/>
            </w14:solidFill>
          </w14:textFill>
        </w:rPr>
        <w:t>投标人排序</w:t>
      </w:r>
      <w:r>
        <w:rPr>
          <w:rFonts w:hint="eastAsia" w:ascii="宋体" w:hAnsi="宋体"/>
          <w:color w:val="000000" w:themeColor="text1"/>
          <w:sz w:val="24"/>
          <w:szCs w:val="24"/>
          <w:highlight w:val="none"/>
          <w14:textFill>
            <w14:solidFill>
              <w14:schemeClr w14:val="tx1"/>
            </w14:solidFill>
          </w14:textFill>
        </w:rPr>
        <w:t>，推荐前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名依次为第一中标候选人至第三中标候选人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并编制评标报告。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9.若通过经济标有效性审查的投标人不足三家，应当依法重新招标。（当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N+2</w:t>
      </w:r>
      <w:r>
        <w:rPr>
          <w:rFonts w:hint="eastAsia" w:ascii="宋体" w:hAnsi="宋体"/>
          <w:color w:val="000000" w:themeColor="text1"/>
          <w:sz w:val="24"/>
          <w:szCs w:val="24"/>
          <w:highlight w:val="none"/>
          <w14:textFill>
            <w14:solidFill>
              <w14:schemeClr w14:val="tx1"/>
            </w14:solidFill>
          </w14:textFill>
        </w:rPr>
        <w:t>家，应当依法重新招标）</w:t>
      </w: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pStyle w:val="45"/>
        <w:rPr>
          <w:rFonts w:hint="eastAsia"/>
        </w:rPr>
      </w:pPr>
    </w:p>
    <w:p>
      <w:pPr>
        <w:widowControl/>
        <w:snapToGrid w:val="0"/>
        <w:spacing w:line="360" w:lineRule="auto"/>
        <w:ind w:right="102"/>
        <w:jc w:val="left"/>
        <w:rPr>
          <w:rFonts w:hint="eastAsia" w:ascii="宋体" w:hAnsi="宋体"/>
          <w:color w:val="000000" w:themeColor="text1"/>
          <w:szCs w:val="21"/>
          <w:highlight w:val="none"/>
          <w14:textFill>
            <w14:solidFill>
              <w14:schemeClr w14:val="tx1"/>
            </w14:solidFill>
          </w14:textFill>
        </w:rPr>
      </w:pPr>
    </w:p>
    <w:p>
      <w:pPr>
        <w:widowControl/>
        <w:snapToGrid w:val="0"/>
        <w:spacing w:line="360" w:lineRule="auto"/>
        <w:ind w:right="102"/>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附表一：</w:t>
      </w:r>
    </w:p>
    <w:p>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资格审查表</w:t>
      </w:r>
    </w:p>
    <w:p>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工程名称：</w:t>
      </w:r>
    </w:p>
    <w:p>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使用有效期内的注册建造师注册证书在广州市住建行业信用平台内上传件。</w:t>
            </w:r>
          </w:p>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（注：打印建造师电子证书后，应在个人签名处手写本人签名再上传广州市住建行业信用平台，上传件未手写签名或与签名图像笔迹不一致的，该电子证书无效。）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项目负责人安全生产考核合格证（B</w:t>
            </w:r>
            <w:r>
              <w:rPr>
                <w:rFonts w:hint="eastAsia" w:ascii="宋体" w:hAnsi="宋体"/>
                <w:color w:val="000000" w:themeColor="text1"/>
                <w:szCs w:val="21"/>
                <w:highlight w:val="none"/>
                <w:lang w:val="en-US" w:eastAsia="zh-CN"/>
                <w14:textFill>
                  <w14:solidFill>
                    <w14:schemeClr w14:val="tx1"/>
                  </w14:solidFill>
                </w14:textFill>
              </w:rPr>
              <w:t>类</w:t>
            </w:r>
            <w:r>
              <w:rPr>
                <w:rFonts w:hint="eastAsia" w:ascii="宋体" w:hAnsi="宋体"/>
                <w:color w:val="000000" w:themeColor="text1"/>
                <w:szCs w:val="21"/>
                <w:highlight w:val="none"/>
                <w14:textFill>
                  <w14:solidFill>
                    <w14:schemeClr w14:val="tx1"/>
                  </w14:solidFill>
                </w14:textFill>
              </w:rPr>
              <w:t>）或建筑施工企业项目负责人安全生产考核合格证在广州市住建行业信用管理平台内上传件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0" w:after="0"/>
              <w:jc w:val="left"/>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拟委托技术负责人</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市政公用工程相关专业中级技术职称或以上职称</w:t>
            </w:r>
            <w:r>
              <w:rPr>
                <w:rFonts w:hint="eastAsia" w:ascii="宋体" w:hAnsi="宋体" w:cs="宋体"/>
                <w:color w:val="000000" w:themeColor="text1"/>
                <w:szCs w:val="21"/>
                <w:highlight w:val="none"/>
                <w:lang w:val="en-US" w:eastAsia="zh-CN"/>
                <w14:textFill>
                  <w14:solidFill>
                    <w14:schemeClr w14:val="tx1"/>
                  </w14:solidFill>
                </w14:textFill>
              </w:rPr>
              <w:t>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专职安全员须具有安全生产考核合格证（</w:t>
            </w:r>
            <w:r>
              <w:rPr>
                <w:rFonts w:ascii="宋体" w:hAnsi="宋体"/>
                <w:color w:val="000000" w:themeColor="text1"/>
                <w:szCs w:val="21"/>
                <w:highlight w:val="none"/>
                <w14:textFill>
                  <w14:solidFill>
                    <w14:schemeClr w14:val="tx1"/>
                  </w14:solidFill>
                </w14:textFill>
              </w:rPr>
              <w:t>C</w:t>
            </w:r>
            <w:r>
              <w:rPr>
                <w:rFonts w:hint="eastAsia" w:ascii="宋体" w:hAnsi="宋体"/>
                <w:color w:val="000000" w:themeColor="text1"/>
                <w:szCs w:val="21"/>
                <w:highlight w:val="none"/>
                <w14:textFill>
                  <w14:solidFill>
                    <w14:schemeClr w14:val="tx1"/>
                  </w14:solidFill>
                </w14:textFill>
              </w:rPr>
              <w:t>证）或建筑施工企业专职安全生产管理人员安全生产考核合格证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bCs/>
                <w:color w:val="auto"/>
                <w:kern w:val="2"/>
                <w:highlight w:val="none"/>
                <w:u w:val="single"/>
              </w:rPr>
              <w:t>专职安全员的安全生产考核合格证（C类）或建筑施工企业专职安全生产管理人员安全生产考核合格证</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C3</w:t>
            </w:r>
            <w:r>
              <w:rPr>
                <w:rFonts w:hint="eastAsia" w:ascii="宋体" w:hAnsi="宋体" w:eastAsia="宋体" w:cs="宋体"/>
                <w:color w:val="auto"/>
                <w:szCs w:val="21"/>
                <w:u w:val="single"/>
                <w:lang w:eastAsia="zh-CN"/>
              </w:rPr>
              <w:t>）</w:t>
            </w:r>
            <w:r>
              <w:rPr>
                <w:rFonts w:hint="eastAsia" w:ascii="宋体" w:hAnsi="宋体" w:eastAsia="宋体" w:cs="宋体"/>
                <w:bCs/>
                <w:color w:val="auto"/>
                <w:kern w:val="2"/>
                <w:highlight w:val="none"/>
                <w:u w:val="single"/>
              </w:rPr>
              <w:t>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投标人声明（一）</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投标</w:t>
            </w:r>
            <w:r>
              <w:rPr>
                <w:rFonts w:hint="eastAsia" w:ascii="宋体" w:hAnsi="宋体" w:cs="宋体"/>
                <w:color w:val="000000" w:themeColor="text1"/>
                <w:szCs w:val="21"/>
                <w:highlight w:val="none"/>
                <w:u w:val="single"/>
                <w:lang w:val="en-US" w:eastAsia="zh-CN"/>
                <w14:textFill>
                  <w14:solidFill>
                    <w14:schemeClr w14:val="tx1"/>
                  </w14:solidFill>
                </w14:textFill>
              </w:rPr>
              <w:t>申请</w:t>
            </w:r>
            <w:r>
              <w:rPr>
                <w:rFonts w:hint="eastAsia" w:ascii="宋体" w:hAnsi="宋体" w:eastAsia="宋体" w:cs="宋体"/>
                <w:color w:val="000000" w:themeColor="text1"/>
                <w:szCs w:val="21"/>
                <w:highlight w:val="none"/>
                <w:u w:val="single"/>
                <w14:textFill>
                  <w14:solidFill>
                    <w14:schemeClr w14:val="tx1"/>
                  </w14:solidFill>
                </w14:textFill>
              </w:rPr>
              <w:t>人声明（</w:t>
            </w:r>
            <w:r>
              <w:rPr>
                <w:rFonts w:hint="eastAsia" w:ascii="宋体" w:hAnsi="宋体" w:eastAsia="宋体" w:cs="宋体"/>
                <w:color w:val="000000" w:themeColor="text1"/>
                <w:szCs w:val="21"/>
                <w:highlight w:val="none"/>
                <w:u w:val="single"/>
                <w:lang w:eastAsia="zh-CN"/>
                <w14:textFill>
                  <w14:solidFill>
                    <w14:schemeClr w14:val="tx1"/>
                  </w14:solidFill>
                </w14:textFill>
              </w:rPr>
              <w:t>二</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投标</w:t>
            </w:r>
            <w:r>
              <w:rPr>
                <w:rFonts w:hint="eastAsia" w:ascii="宋体" w:hAnsi="宋体" w:cs="宋体"/>
                <w:color w:val="000000" w:themeColor="text1"/>
                <w:szCs w:val="21"/>
                <w:highlight w:val="none"/>
                <w:u w:val="single"/>
                <w:lang w:val="en-US" w:eastAsia="zh-CN"/>
                <w14:textFill>
                  <w14:solidFill>
                    <w14:schemeClr w14:val="tx1"/>
                  </w14:solidFill>
                </w14:textFill>
              </w:rPr>
              <w:t>申请</w:t>
            </w:r>
            <w:r>
              <w:rPr>
                <w:rFonts w:hint="eastAsia" w:ascii="宋体" w:hAnsi="宋体" w:eastAsia="宋体" w:cs="宋体"/>
                <w:color w:val="000000" w:themeColor="text1"/>
                <w:szCs w:val="21"/>
                <w:highlight w:val="none"/>
                <w:u w:val="single"/>
                <w14:textFill>
                  <w14:solidFill>
                    <w14:schemeClr w14:val="tx1"/>
                  </w14:solidFill>
                </w14:textFill>
              </w:rPr>
              <w:t>人声明（</w:t>
            </w:r>
            <w:r>
              <w:rPr>
                <w:rFonts w:hint="eastAsia" w:ascii="宋体" w:hAnsi="宋体" w:eastAsia="宋体" w:cs="宋体"/>
                <w:color w:val="000000" w:themeColor="text1"/>
                <w:szCs w:val="21"/>
                <w:highlight w:val="none"/>
                <w:u w:val="single"/>
                <w:lang w:eastAsia="zh-CN"/>
                <w14:textFill>
                  <w14:solidFill>
                    <w14:schemeClr w14:val="tx1"/>
                  </w14:solidFill>
                </w14:textFill>
              </w:rPr>
              <w:t>三</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资格审查前，投标人须</w:t>
            </w:r>
            <w:r>
              <w:rPr>
                <w:rFonts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广州市住房和城乡建设局建立企业</w:t>
            </w:r>
            <w:r>
              <w:rPr>
                <w:rFonts w:hint="eastAsia" w:ascii="宋体" w:hAnsi="宋体"/>
                <w:color w:val="000000" w:themeColor="text1"/>
                <w:szCs w:val="21"/>
                <w:highlight w:val="none"/>
                <w:lang w:eastAsia="zh-CN"/>
                <w14:textFill>
                  <w14:solidFill>
                    <w14:schemeClr w14:val="tx1"/>
                  </w14:solidFill>
                </w14:textFill>
              </w:rPr>
              <w:t>信用</w:t>
            </w:r>
            <w:r>
              <w:rPr>
                <w:rFonts w:hint="eastAsia" w:ascii="宋体" w:hAnsi="宋体"/>
                <w:color w:val="000000" w:themeColor="text1"/>
                <w:szCs w:val="21"/>
                <w:highlight w:val="none"/>
                <w14:textFill>
                  <w14:solidFill>
                    <w14:schemeClr w14:val="tx1"/>
                  </w14:solidFill>
                </w14:textFill>
              </w:rPr>
              <w:t>档案及拟担任本工程项目负责人、专职安全员须是本企业中的在册人员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投标人未出现以下情形：与其它投标人的单位负责人为同一人或者存在控股、管理关系的（按投标人提供的《投标人声明（一）》第七条内容进行评审）。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投标人声明</w:t>
            </w:r>
            <w:r>
              <w:rPr>
                <w:rFonts w:hint="eastAsia" w:ascii="宋体" w:hAnsi="宋体" w:eastAsia="宋体" w:cs="Times New Roman"/>
                <w:color w:val="000000" w:themeColor="text1"/>
                <w:szCs w:val="21"/>
                <w:highlight w:val="none"/>
                <w14:textFill>
                  <w14:solidFill>
                    <w14:schemeClr w14:val="tx1"/>
                  </w14:solidFill>
                </w14:textFill>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b/>
                <w:bCs/>
                <w:color w:val="000000"/>
                <w:kern w:val="0"/>
                <w:sz w:val="21"/>
                <w:szCs w:val="21"/>
                <w:u w:val="single"/>
                <w:lang w:val="en-US" w:eastAsia="zh-CN"/>
              </w:rPr>
              <w:t>投标人</w:t>
            </w:r>
            <w:r>
              <w:rPr>
                <w:rFonts w:hint="eastAsia" w:ascii="宋体" w:hAnsi="宋体" w:eastAsia="宋体" w:cs="宋体"/>
                <w:b/>
                <w:bCs/>
                <w:color w:val="000000"/>
                <w:kern w:val="0"/>
                <w:sz w:val="21"/>
                <w:szCs w:val="21"/>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bl>
    <w:p>
      <w:pPr>
        <w:spacing w:line="480" w:lineRule="auto"/>
        <w:ind w:firstLine="470" w:firstLineChars="22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pPr>
        <w:spacing w:line="480" w:lineRule="auto"/>
        <w:ind w:firstLine="470" w:firstLineChars="224"/>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、每一项目符合的打“○”，不符合的打“×”；</w:t>
      </w:r>
      <w:r>
        <w:rPr>
          <w:rFonts w:ascii="宋体" w:hAnsi="宋体"/>
          <w:color w:val="000000" w:themeColor="text1"/>
          <w:szCs w:val="21"/>
          <w:highlight w:val="none"/>
          <w14:textFill>
            <w14:solidFill>
              <w14:schemeClr w14:val="tx1"/>
            </w14:solidFill>
          </w14:textFill>
        </w:rPr>
        <w:t xml:space="preserve"> </w:t>
      </w:r>
    </w:p>
    <w:p>
      <w:pPr>
        <w:spacing w:line="480" w:lineRule="auto"/>
        <w:ind w:firstLine="470" w:firstLineChars="224"/>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、若评委意见不一致时，则按少数服从多数的原则，作出评审结论。汇总后，出现一个“×”的结论为“不通过”。</w:t>
      </w:r>
    </w:p>
    <w:p>
      <w:pPr>
        <w:spacing w:line="480" w:lineRule="auto"/>
        <w:ind w:firstLine="470" w:firstLineChars="22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4"/>
        <w:jc w:val="left"/>
      </w:pPr>
    </w:p>
    <w:p>
      <w:pPr>
        <w:rPr>
          <w:color w:val="000000" w:themeColor="text1"/>
          <w:highlight w:val="none"/>
          <w14:textFill>
            <w14:solidFill>
              <w14:schemeClr w14:val="tx1"/>
            </w14:solidFill>
          </w14:textFill>
        </w:rPr>
        <w:sectPr>
          <w:footerReference r:id="rId11" w:type="first"/>
          <w:footerReference r:id="rId10" w:type="default"/>
          <w:endnotePr>
            <w:numFmt w:val="decimal"/>
          </w:endnotePr>
          <w:pgSz w:w="11906" w:h="16838"/>
          <w:pgMar w:top="1134" w:right="1418" w:bottom="1134" w:left="1418" w:header="851" w:footer="907" w:gutter="0"/>
          <w:pgNumType w:fmt="decimal" w:start="1"/>
          <w:cols w:space="425" w:num="1"/>
          <w:docGrid w:type="lines" w:linePitch="312" w:charSpace="0"/>
        </w:sectPr>
      </w:pPr>
    </w:p>
    <w:p>
      <w:pPr>
        <w:jc w:val="left"/>
        <w:rPr>
          <w:b/>
          <w:color w:val="000000" w:themeColor="text1"/>
          <w:sz w:val="36"/>
          <w:szCs w:val="36"/>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附表二</w:t>
      </w:r>
      <w:r>
        <w:rPr>
          <w:rFonts w:hint="eastAsia"/>
          <w:b/>
          <w:color w:val="000000" w:themeColor="text1"/>
          <w:sz w:val="36"/>
          <w:szCs w:val="36"/>
          <w:highlight w:val="none"/>
          <w:lang w:val="en-US" w:eastAsia="zh-CN"/>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技术标有效性审查表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524"/>
        <w:gridCol w:w="1377"/>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524"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《广州建设工程施工招标投标书》中的投标总工期不符合招标文件要求的；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《广州建设工程施工招标投标书》中的工程质量标准不符合招标文件要求的；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投标文件中没有有效的法定代表人证明书，或由委托代理人</w:t>
            </w:r>
            <w:r>
              <w:rPr>
                <w:rFonts w:hint="eastAsia" w:ascii="宋体" w:hAnsi="宋体" w:eastAsia="宋体" w:cs="宋体"/>
                <w:color w:val="000000" w:themeColor="text1"/>
                <w:szCs w:val="21"/>
                <w:highlight w:val="none"/>
                <w:u w:val="single"/>
                <w14:textFill>
                  <w14:solidFill>
                    <w14:schemeClr w14:val="tx1"/>
                  </w14:solidFill>
                </w14:textFill>
              </w:rPr>
              <w:t>签字或盖章</w:t>
            </w:r>
            <w:r>
              <w:rPr>
                <w:rFonts w:hint="eastAsia" w:ascii="宋体" w:hAnsi="宋体" w:eastAsia="宋体" w:cs="宋体"/>
                <w:color w:val="000000" w:themeColor="text1"/>
                <w:szCs w:val="21"/>
                <w:highlight w:val="none"/>
                <w14:textFill>
                  <w14:solidFill>
                    <w14:schemeClr w14:val="tx1"/>
                  </w14:solidFill>
                </w14:textFill>
              </w:rPr>
              <w:t>的投标文件中没有法定代表人授权书；</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投标文件未按规定的格式</w:t>
            </w:r>
            <w:r>
              <w:rPr>
                <w:rFonts w:hint="eastAsia" w:ascii="宋体" w:hAnsi="宋体" w:eastAsia="宋体" w:cs="宋体"/>
                <w:color w:val="000000" w:themeColor="text1"/>
                <w:szCs w:val="21"/>
                <w:highlight w:val="none"/>
                <w:u w:val="single"/>
                <w14:textFill>
                  <w14:solidFill>
                    <w14:schemeClr w14:val="tx1"/>
                  </w14:solidFill>
                </w14:textFill>
              </w:rPr>
              <w:t>（指</w:t>
            </w:r>
            <w:r>
              <w:rPr>
                <w:rFonts w:hint="eastAsia" w:ascii="宋体" w:hAnsi="宋体" w:cs="宋体"/>
                <w:color w:val="000000" w:themeColor="text1"/>
                <w:szCs w:val="21"/>
                <w:highlight w:val="none"/>
                <w:u w:val="single"/>
                <w14:textFill>
                  <w14:solidFill>
                    <w14:schemeClr w14:val="tx1"/>
                  </w14:solidFill>
                </w14:textFill>
              </w:rPr>
              <w:t>技术标投标文件</w:t>
            </w:r>
            <w:r>
              <w:rPr>
                <w:rFonts w:hint="eastAsia" w:ascii="宋体" w:hAnsi="宋体" w:cs="宋体"/>
                <w:color w:val="000000" w:themeColor="text1"/>
                <w:szCs w:val="21"/>
                <w:highlight w:val="none"/>
                <w:u w:val="single"/>
                <w:lang w:val="en-US" w:eastAsia="zh-CN"/>
                <w14:textFill>
                  <w14:solidFill>
                    <w14:schemeClr w14:val="tx1"/>
                  </w14:solidFill>
                </w14:textFill>
              </w:rPr>
              <w:t>格式</w:t>
            </w:r>
            <w:r>
              <w:rPr>
                <w:rFonts w:hint="eastAsia" w:ascii="宋体" w:hAnsi="宋体" w:eastAsia="宋体" w:cs="宋体"/>
                <w:color w:val="000000" w:themeColor="text1"/>
                <w:szCs w:val="21"/>
                <w:highlight w:val="none"/>
                <w:u w:val="single"/>
                <w14:textFill>
                  <w14:solidFill>
                    <w14:schemeClr w14:val="tx1"/>
                  </w14:solidFill>
                </w14:textFill>
              </w:rPr>
              <w:t>一：广州建设工程施工招标投标书）</w:t>
            </w:r>
            <w:r>
              <w:rPr>
                <w:rFonts w:hint="eastAsia" w:ascii="宋体" w:hAnsi="宋体" w:eastAsia="宋体" w:cs="宋体"/>
                <w:color w:val="000000" w:themeColor="text1"/>
                <w:szCs w:val="21"/>
                <w:highlight w:val="none"/>
                <w14:textFill>
                  <w14:solidFill>
                    <w14:schemeClr w14:val="tx1"/>
                  </w14:solidFill>
                </w14:textFill>
              </w:rPr>
              <w:t>填写，或主要内容不全，或关键字迹模糊、无法辨认的；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无《参与编制技术标投标文件人员名单》的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投标人未按要求提交投标保证金的</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452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投标人与本项目其他投标人加密打包投标文件电脑机器特征码一致的(以交易平台评标系统的检索信息为准)</w:t>
            </w:r>
          </w:p>
        </w:tc>
        <w:tc>
          <w:tcPr>
            <w:tcW w:w="137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bl>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3.凡出现以上任何一项情形，结论均为无效，否则就为有效。</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4.如对本表中某种情形的评审意见不一致时，以评标委员会过半数成员的意见作为评标委员会对该情形的认定结论。</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评委签名：</w:t>
      </w:r>
    </w:p>
    <w:p>
      <w:pP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附表三</w:t>
      </w:r>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经济标有效性审查表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算术复核后的投标报价与原投标报价相比存在</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投标文件未按规定的格式</w:t>
            </w:r>
            <w:r>
              <w:rPr>
                <w:rFonts w:hint="eastAsia" w:ascii="宋体" w:hAnsi="宋体" w:eastAsia="宋体" w:cs="宋体"/>
                <w:color w:val="000000" w:themeColor="text1"/>
                <w:szCs w:val="21"/>
                <w:highlight w:val="none"/>
                <w:u w:val="single"/>
                <w14:textFill>
                  <w14:solidFill>
                    <w14:schemeClr w14:val="tx1"/>
                  </w14:solidFill>
                </w14:textFill>
              </w:rPr>
              <w:t>（指</w:t>
            </w:r>
            <w:r>
              <w:rPr>
                <w:rFonts w:hint="eastAsia" w:ascii="宋体" w:hAnsi="宋体" w:cs="宋体"/>
                <w:color w:val="000000" w:themeColor="text1"/>
                <w:szCs w:val="21"/>
                <w:highlight w:val="none"/>
                <w:u w:val="single"/>
                <w14:textFill>
                  <w14:solidFill>
                    <w14:schemeClr w14:val="tx1"/>
                  </w14:solidFill>
                </w14:textFill>
              </w:rPr>
              <w:t>技术标投标文件</w:t>
            </w:r>
            <w:r>
              <w:rPr>
                <w:rFonts w:hint="eastAsia" w:ascii="宋体" w:hAnsi="宋体" w:cs="宋体"/>
                <w:color w:val="000000" w:themeColor="text1"/>
                <w:szCs w:val="21"/>
                <w:highlight w:val="none"/>
                <w:u w:val="single"/>
                <w:lang w:val="en-US" w:eastAsia="zh-CN"/>
                <w14:textFill>
                  <w14:solidFill>
                    <w14:schemeClr w14:val="tx1"/>
                  </w14:solidFill>
                </w14:textFill>
              </w:rPr>
              <w:t>格式</w:t>
            </w:r>
            <w:r>
              <w:rPr>
                <w:rFonts w:hint="eastAsia" w:ascii="宋体" w:hAnsi="宋体" w:eastAsia="宋体" w:cs="宋体"/>
                <w:color w:val="000000" w:themeColor="text1"/>
                <w:szCs w:val="21"/>
                <w:highlight w:val="none"/>
                <w:u w:val="single"/>
                <w14:textFill>
                  <w14:solidFill>
                    <w14:schemeClr w14:val="tx1"/>
                  </w14:solidFill>
                </w14:textFill>
              </w:rPr>
              <w:t>一：广州建设工程施工招标投标书）</w:t>
            </w:r>
            <w:r>
              <w:rPr>
                <w:rFonts w:hint="eastAsia" w:ascii="宋体" w:hAnsi="宋体"/>
                <w:color w:val="000000" w:themeColor="text1"/>
                <w:szCs w:val="21"/>
                <w:highlight w:val="none"/>
                <w14:textFill>
                  <w14:solidFill>
                    <w14:schemeClr w14:val="tx1"/>
                  </w14:solidFill>
                </w14:textFill>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不同投标人的投标报价中分部分项工程量清单综合单价相似度达到80%及以上的(以</w:t>
            </w:r>
            <w:r>
              <w:rPr>
                <w:rFonts w:hint="eastAsia" w:ascii="宋体" w:hAnsi="宋体" w:eastAsia="宋体" w:cs="宋体"/>
                <w:color w:val="000000" w:themeColor="text1"/>
                <w:szCs w:val="21"/>
                <w:highlight w:val="none"/>
                <w:u w:val="single"/>
                <w14:textFill>
                  <w14:solidFill>
                    <w14:schemeClr w14:val="tx1"/>
                  </w14:solidFill>
                </w14:textFill>
              </w:rPr>
              <w:t>广州公共资源交易中心</w:t>
            </w:r>
            <w:r>
              <w:rPr>
                <w:rFonts w:hint="eastAsia" w:ascii="宋体" w:hAnsi="宋体"/>
                <w:color w:val="000000" w:themeColor="text1"/>
                <w:szCs w:val="21"/>
                <w:highlight w:val="none"/>
                <w14:textFill>
                  <w14:solidFill>
                    <w14:schemeClr w14:val="tx1"/>
                  </w14:solidFill>
                </w14:textFill>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bl>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本表使用GZZB2018-3招标文件范本，与范本内容不同之处均以下划线标明。</w:t>
      </w:r>
    </w:p>
    <w:p>
      <w:pPr>
        <w:ind w:firstLine="458"/>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凡出现以上任何一项情形，结论均为无效，否则就为有效。</w:t>
      </w:r>
    </w:p>
    <w:p>
      <w:pPr>
        <w:ind w:firstLine="45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如对本表中某种情形的评审意见不一致时，以评标委员会过半数成员的意见作为评标委员会对该情形的认定结论。</w:t>
      </w:r>
    </w:p>
    <w:p>
      <w:pPr>
        <w:ind w:firstLine="458"/>
      </w:pPr>
      <w:r>
        <w:rPr>
          <w:rFonts w:hint="eastAsia" w:ascii="宋体" w:hAnsi="宋体"/>
          <w:color w:val="000000" w:themeColor="text1"/>
          <w:szCs w:val="21"/>
          <w:highlight w:val="none"/>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3"/>
        <w:ind w:firstLine="458"/>
        <w:rPr>
          <w:rFonts w:ascii="宋体" w:hAnsi="宋体"/>
          <w:color w:val="000000" w:themeColor="text1"/>
          <w:szCs w:val="21"/>
          <w:highlight w:val="none"/>
          <w14:textFill>
            <w14:solidFill>
              <w14:schemeClr w14:val="tx1"/>
            </w14:solidFill>
          </w14:textFill>
        </w:rPr>
        <w:sectPr>
          <w:endnotePr>
            <w:numFmt w:val="decimal"/>
          </w:endnotePr>
          <w:pgSz w:w="16838" w:h="11906" w:orient="landscape"/>
          <w:pgMar w:top="1247" w:right="1247" w:bottom="1134" w:left="1247" w:header="851" w:footer="907" w:gutter="0"/>
          <w:pgNumType w:fmt="decimal"/>
          <w:cols w:space="425" w:num="1"/>
          <w:titlePg/>
          <w:docGrid w:type="lines" w:linePitch="312" w:charSpace="0"/>
        </w:sectPr>
      </w:pPr>
      <w:r>
        <w:rPr>
          <w:rFonts w:hint="eastAsia" w:ascii="宋体" w:hAnsi="宋体"/>
          <w:color w:val="000000" w:themeColor="text1"/>
          <w:szCs w:val="21"/>
          <w:highlight w:val="none"/>
          <w14:textFill>
            <w14:solidFill>
              <w14:schemeClr w14:val="tx1"/>
            </w14:solidFill>
          </w14:textFill>
        </w:rPr>
        <w:t>评委签名：</w:t>
      </w:r>
    </w:p>
    <w:p>
      <w:pPr>
        <w:rPr>
          <w:szCs w:val="21"/>
        </w:rPr>
      </w:pPr>
      <w:r>
        <w:rPr>
          <w:rFonts w:hint="eastAsia"/>
          <w:szCs w:val="21"/>
        </w:rPr>
        <w:t>附表四</w:t>
      </w:r>
    </w:p>
    <w:p>
      <w:pPr>
        <w:jc w:val="center"/>
        <w:rPr>
          <w:rFonts w:ascii="宋体" w:hAnsi="宋体" w:cs="宋体"/>
          <w:b/>
          <w:sz w:val="36"/>
          <w:szCs w:val="36"/>
        </w:rPr>
      </w:pPr>
      <w:r>
        <w:rPr>
          <w:rFonts w:hint="eastAsia" w:ascii="宋体" w:hAnsi="宋体" w:cs="宋体"/>
          <w:b/>
          <w:sz w:val="36"/>
          <w:szCs w:val="36"/>
        </w:rPr>
        <w:t>技术标详细审查评分表</w:t>
      </w:r>
    </w:p>
    <w:tbl>
      <w:tblPr>
        <w:tblStyle w:val="35"/>
        <w:tblpPr w:leftFromText="180" w:rightFromText="180" w:vertAnchor="text" w:horzAnchor="page" w:tblpX="897" w:tblpY="295"/>
        <w:tblOverlap w:val="never"/>
        <w:tblW w:w="15490"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674"/>
        <w:gridCol w:w="834"/>
        <w:gridCol w:w="1110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873" w:type="dxa"/>
            <w:tcBorders>
              <w:top w:val="single" w:color="auto" w:sz="4" w:space="0"/>
              <w:left w:val="single" w:color="auto" w:sz="8" w:space="0"/>
              <w:bottom w:val="single" w:color="auto" w:sz="4" w:space="0"/>
              <w:right w:val="single" w:color="auto" w:sz="4" w:space="0"/>
            </w:tcBorders>
            <w:noWrap w:val="0"/>
            <w:vAlign w:val="top"/>
          </w:tcPr>
          <w:p>
            <w:pPr>
              <w:adjustRightInd w:val="0"/>
              <w:snapToGrid w:val="0"/>
              <w:jc w:val="center"/>
              <w:rPr>
                <w:rFonts w:ascii="宋体" w:hAnsi="宋体" w:cs="宋体"/>
                <w:b/>
                <w:kern w:val="0"/>
                <w:szCs w:val="21"/>
              </w:rPr>
            </w:pPr>
            <w:r>
              <w:rPr>
                <w:rFonts w:hint="eastAsia" w:ascii="宋体" w:hAnsi="宋体" w:cs="宋体"/>
                <w:b/>
                <w:kern w:val="0"/>
                <w:szCs w:val="21"/>
              </w:rPr>
              <w:t>序号</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kern w:val="0"/>
                <w:szCs w:val="21"/>
              </w:rPr>
            </w:pPr>
            <w:r>
              <w:rPr>
                <w:rFonts w:hint="eastAsia" w:ascii="宋体" w:hAnsi="宋体" w:cs="宋体"/>
                <w:b/>
                <w:kern w:val="0"/>
                <w:szCs w:val="21"/>
              </w:rPr>
              <w:t>评分内容</w:t>
            </w:r>
          </w:p>
        </w:tc>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cs="宋体"/>
                <w:b/>
                <w:kern w:val="0"/>
                <w:szCs w:val="21"/>
              </w:rPr>
            </w:pPr>
            <w:r>
              <w:rPr>
                <w:rFonts w:hint="eastAsia" w:ascii="宋体" w:hAnsi="宋体" w:cs="宋体"/>
                <w:b/>
                <w:kern w:val="0"/>
                <w:szCs w:val="21"/>
              </w:rPr>
              <w:t>分值</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ind w:right="134" w:rightChars="64"/>
              <w:jc w:val="center"/>
              <w:rPr>
                <w:rFonts w:ascii="宋体" w:hAnsi="宋体" w:cs="宋体"/>
                <w:b/>
                <w:kern w:val="0"/>
                <w:szCs w:val="21"/>
              </w:rPr>
            </w:pPr>
            <w:r>
              <w:rPr>
                <w:rFonts w:hint="eastAsia" w:ascii="宋体" w:hAnsi="宋体" w:cs="宋体"/>
                <w:b/>
                <w:kern w:val="0"/>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873" w:type="dxa"/>
            <w:vMerge w:val="restart"/>
            <w:tcBorders>
              <w:top w:val="single" w:color="auto" w:sz="4" w:space="0"/>
              <w:left w:val="single" w:color="auto" w:sz="8" w:space="0"/>
              <w:right w:val="single" w:color="auto" w:sz="4" w:space="0"/>
            </w:tcBorders>
            <w:noWrap w:val="0"/>
            <w:vAlign w:val="center"/>
          </w:tcPr>
          <w:p>
            <w:pPr>
              <w:spacing w:line="240" w:lineRule="exact"/>
              <w:jc w:val="center"/>
              <w:rPr>
                <w:rFonts w:ascii="宋体" w:hAnsi="宋体" w:cs="宋体"/>
                <w:szCs w:val="21"/>
              </w:rPr>
            </w:pPr>
            <w:bookmarkStart w:id="62" w:name="_Hlk41994440"/>
            <w:r>
              <w:rPr>
                <w:rFonts w:hint="eastAsia" w:ascii="宋体" w:hAnsi="宋体" w:cs="宋体"/>
                <w:szCs w:val="21"/>
              </w:rPr>
              <w:t>一、</w:t>
            </w:r>
            <w:r>
              <w:rPr>
                <w:rFonts w:hint="eastAsia" w:ascii="宋体" w:hAnsi="宋体" w:cs="宋体"/>
                <w:spacing w:val="-10"/>
                <w:szCs w:val="21"/>
              </w:rPr>
              <w:t>项目管理机构能力</w:t>
            </w:r>
            <w:r>
              <w:rPr>
                <w:rFonts w:hint="eastAsia" w:ascii="宋体" w:hAnsi="宋体" w:cs="宋体"/>
                <w:szCs w:val="21"/>
              </w:rPr>
              <w:t>（14分）</w:t>
            </w:r>
          </w:p>
        </w:tc>
        <w:tc>
          <w:tcPr>
            <w:tcW w:w="1674" w:type="dxa"/>
            <w:tcBorders>
              <w:top w:val="single" w:color="auto" w:sz="4" w:space="0"/>
              <w:left w:val="single" w:color="auto" w:sz="4" w:space="0"/>
              <w:right w:val="single" w:color="auto" w:sz="4" w:space="0"/>
            </w:tcBorders>
            <w:noWrap w:val="0"/>
            <w:vAlign w:val="center"/>
          </w:tcPr>
          <w:p>
            <w:pPr>
              <w:widowControl/>
              <w:spacing w:line="280" w:lineRule="exact"/>
              <w:jc w:val="center"/>
              <w:rPr>
                <w:rFonts w:ascii="宋体" w:hAnsi="宋体" w:cs="宋体"/>
                <w:szCs w:val="21"/>
              </w:rPr>
            </w:pPr>
            <w:r>
              <w:rPr>
                <w:rFonts w:hint="eastAsia" w:ascii="宋体" w:hAnsi="宋体" w:cs="宋体"/>
                <w:szCs w:val="21"/>
                <w:highlight w:val="none"/>
                <w:lang w:val="en-US" w:eastAsia="zh-CN"/>
              </w:rPr>
              <w:t>项目</w:t>
            </w:r>
            <w:r>
              <w:rPr>
                <w:rFonts w:hint="eastAsia" w:ascii="宋体" w:hAnsi="宋体" w:eastAsia="宋体" w:cs="宋体"/>
                <w:szCs w:val="21"/>
                <w:highlight w:val="none"/>
              </w:rPr>
              <w:t>指挥长</w:t>
            </w:r>
          </w:p>
        </w:tc>
        <w:tc>
          <w:tcPr>
            <w:tcW w:w="834" w:type="dxa"/>
            <w:tcBorders>
              <w:top w:val="single" w:color="auto" w:sz="4" w:space="0"/>
              <w:left w:val="single" w:color="auto" w:sz="4" w:space="0"/>
              <w:right w:val="single" w:color="auto" w:sz="4" w:space="0"/>
            </w:tcBorders>
            <w:noWrap w:val="0"/>
            <w:vAlign w:val="center"/>
          </w:tcPr>
          <w:p>
            <w:pPr>
              <w:tabs>
                <w:tab w:val="left" w:pos="360"/>
              </w:tabs>
              <w:snapToGrid w:val="0"/>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2</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pStyle w:val="116"/>
              <w:numPr>
                <w:ilvl w:val="0"/>
                <w:numId w:val="3"/>
              </w:numPr>
              <w:rPr>
                <w:rFonts w:hint="default"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拟委派的指挥长为企业法定代表人（或董事长或总经理），得</w:t>
            </w:r>
            <w:r>
              <w:rPr>
                <w:rFonts w:hint="eastAsia" w:ascii="宋体" w:hAnsi="宋体" w:eastAsia="宋体" w:cs="Times New Roman"/>
                <w:color w:val="auto"/>
                <w:kern w:val="2"/>
                <w:sz w:val="21"/>
                <w:szCs w:val="21"/>
                <w:lang w:val="en-US" w:eastAsia="zh-CN"/>
              </w:rPr>
              <w:t>1</w:t>
            </w:r>
            <w:r>
              <w:rPr>
                <w:rFonts w:hint="eastAsia" w:ascii="宋体" w:hAnsi="宋体" w:eastAsia="宋体" w:cs="Times New Roman"/>
                <w:color w:val="auto"/>
                <w:kern w:val="2"/>
                <w:sz w:val="21"/>
                <w:szCs w:val="21"/>
              </w:rPr>
              <w:t>分</w:t>
            </w:r>
            <w:r>
              <w:rPr>
                <w:rFonts w:hint="eastAsia" w:ascii="宋体" w:hAnsi="宋体" w:eastAsia="宋体" w:cs="Times New Roman"/>
                <w:color w:val="auto"/>
                <w:kern w:val="2"/>
                <w:sz w:val="21"/>
                <w:szCs w:val="21"/>
                <w:lang w:eastAsia="zh-CN"/>
              </w:rPr>
              <w:t>，</w:t>
            </w:r>
            <w:r>
              <w:rPr>
                <w:rFonts w:hint="eastAsia" w:ascii="宋体" w:hAnsi="宋体" w:eastAsia="宋体" w:cs="Times New Roman"/>
                <w:color w:val="auto"/>
                <w:kern w:val="2"/>
                <w:sz w:val="21"/>
                <w:szCs w:val="21"/>
              </w:rPr>
              <w:t>拟委派的指挥长为企业副总经理，得</w:t>
            </w:r>
            <w:r>
              <w:rPr>
                <w:rFonts w:hint="eastAsia" w:ascii="宋体" w:hAnsi="宋体" w:eastAsia="宋体" w:cs="Times New Roman"/>
                <w:color w:val="auto"/>
                <w:kern w:val="2"/>
                <w:sz w:val="21"/>
                <w:szCs w:val="21"/>
                <w:lang w:val="en-US" w:eastAsia="zh-CN"/>
              </w:rPr>
              <w:t>0.5</w:t>
            </w:r>
            <w:r>
              <w:rPr>
                <w:rFonts w:hint="eastAsia" w:ascii="宋体" w:hAnsi="宋体" w:eastAsia="宋体" w:cs="Times New Roman"/>
                <w:color w:val="auto"/>
                <w:kern w:val="2"/>
                <w:sz w:val="21"/>
                <w:szCs w:val="21"/>
              </w:rPr>
              <w:t>分。</w:t>
            </w:r>
          </w:p>
          <w:p>
            <w:pPr>
              <w:pStyle w:val="116"/>
              <w:numPr>
                <w:ilvl w:val="0"/>
                <w:numId w:val="0"/>
              </w:numPr>
              <w:rPr>
                <w:rFonts w:hint="default" w:ascii="宋体" w:hAnsi="宋体" w:eastAsia="宋体" w:cs="Times New Roman"/>
                <w:color w:val="auto"/>
                <w:kern w:val="2"/>
                <w:sz w:val="21"/>
                <w:szCs w:val="21"/>
                <w:lang w:val="en-US"/>
              </w:rPr>
            </w:pPr>
            <w:r>
              <w:rPr>
                <w:rFonts w:hint="eastAsia" w:ascii="宋体" w:hAnsi="宋体" w:eastAsia="宋体" w:cs="Times New Roman"/>
                <w:color w:val="auto"/>
                <w:kern w:val="2"/>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自2020年1月1日至今参与</w:t>
            </w:r>
            <w:r>
              <w:rPr>
                <w:rFonts w:hint="eastAsia" w:ascii="宋体" w:hAnsi="宋体" w:eastAsia="宋体" w:cs="Times New Roman"/>
                <w:kern w:val="2"/>
                <w:sz w:val="21"/>
                <w:szCs w:val="21"/>
              </w:rPr>
              <w:t>完成过的市政类工程项目获得市级</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含区、县级</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或以上工程</w:t>
            </w:r>
            <w:r>
              <w:rPr>
                <w:rFonts w:hint="eastAsia" w:ascii="宋体" w:hAnsi="宋体" w:eastAsia="宋体" w:cs="Times New Roman"/>
                <w:kern w:val="2"/>
                <w:sz w:val="21"/>
                <w:szCs w:val="21"/>
                <w:lang w:val="en-US" w:eastAsia="zh-CN"/>
              </w:rPr>
              <w:t>质量</w:t>
            </w:r>
            <w:r>
              <w:rPr>
                <w:rFonts w:hint="eastAsia" w:ascii="宋体" w:hAnsi="宋体" w:eastAsia="宋体" w:cs="Times New Roman"/>
                <w:kern w:val="2"/>
                <w:sz w:val="21"/>
                <w:szCs w:val="21"/>
              </w:rPr>
              <w:t>奖项的</w:t>
            </w:r>
            <w:r>
              <w:rPr>
                <w:rFonts w:hint="eastAsia" w:ascii="宋体" w:hAnsi="宋体" w:eastAsia="宋体" w:cs="宋体"/>
                <w:kern w:val="0"/>
                <w:sz w:val="21"/>
                <w:szCs w:val="21"/>
                <w:lang w:val="en-US" w:eastAsia="zh-CN"/>
              </w:rPr>
              <w:t>，每项得0.5分，本项最高得1分。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873" w:type="dxa"/>
            <w:vMerge w:val="continue"/>
            <w:tcBorders>
              <w:left w:val="single" w:color="auto" w:sz="8" w:space="0"/>
              <w:right w:val="single" w:color="auto" w:sz="4" w:space="0"/>
            </w:tcBorders>
            <w:noWrap w:val="0"/>
            <w:vAlign w:val="center"/>
          </w:tcPr>
          <w:p>
            <w:pPr>
              <w:spacing w:line="240" w:lineRule="exact"/>
              <w:jc w:val="center"/>
              <w:rPr>
                <w:rFonts w:hint="eastAsia" w:ascii="宋体" w:hAnsi="宋体" w:cs="宋体"/>
                <w:szCs w:val="21"/>
              </w:rPr>
            </w:pPr>
          </w:p>
        </w:tc>
        <w:tc>
          <w:tcPr>
            <w:tcW w:w="1674"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技术负责人</w:t>
            </w:r>
          </w:p>
        </w:tc>
        <w:tc>
          <w:tcPr>
            <w:tcW w:w="834" w:type="dxa"/>
            <w:tcBorders>
              <w:top w:val="single" w:color="auto" w:sz="4" w:space="0"/>
              <w:left w:val="single" w:color="auto" w:sz="4" w:space="0"/>
              <w:right w:val="single" w:color="auto" w:sz="4" w:space="0"/>
            </w:tcBorders>
            <w:noWrap w:val="0"/>
            <w:vAlign w:val="center"/>
          </w:tcPr>
          <w:p>
            <w:pPr>
              <w:spacing w:line="240" w:lineRule="exact"/>
              <w:jc w:val="center"/>
              <w:rPr>
                <w:rFonts w:hint="default" w:ascii="宋体" w:hAnsi="宋体" w:cs="宋体"/>
                <w:szCs w:val="21"/>
                <w:lang w:val="en-US" w:eastAsia="zh-CN"/>
              </w:rPr>
            </w:pPr>
            <w:r>
              <w:rPr>
                <w:rFonts w:hint="eastAsia" w:ascii="宋体" w:hAnsi="宋体" w:cs="宋体"/>
                <w:szCs w:val="21"/>
                <w:lang w:val="en-US" w:eastAsia="zh-CN"/>
              </w:rPr>
              <w:t>3</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pStyle w:val="116"/>
              <w:numPr>
                <w:ilvl w:val="0"/>
                <w:numId w:val="0"/>
              </w:numP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从业能力：具有市政</w:t>
            </w:r>
            <w:r>
              <w:rPr>
                <w:rFonts w:hint="eastAsia" w:ascii="宋体" w:hAnsi="宋体" w:eastAsia="宋体" w:cs="Times New Roman"/>
                <w:kern w:val="2"/>
                <w:sz w:val="21"/>
                <w:szCs w:val="21"/>
                <w:lang w:val="en-US" w:eastAsia="zh-CN"/>
              </w:rPr>
              <w:t>工程类</w:t>
            </w:r>
            <w:r>
              <w:rPr>
                <w:rFonts w:hint="eastAsia" w:ascii="宋体" w:hAnsi="宋体" w:eastAsia="宋体" w:cs="Times New Roman"/>
                <w:kern w:val="2"/>
                <w:sz w:val="21"/>
                <w:szCs w:val="21"/>
              </w:rPr>
              <w:t>专业高级或以上技术职称，得</w:t>
            </w:r>
            <w:r>
              <w:rPr>
                <w:rFonts w:hint="eastAsia" w:ascii="宋体" w:hAnsi="宋体" w:eastAsia="宋体" w:cs="Times New Roman"/>
                <w:kern w:val="2"/>
                <w:sz w:val="21"/>
                <w:szCs w:val="21"/>
                <w:lang w:val="en-US" w:eastAsia="zh-CN"/>
              </w:rPr>
              <w:t>2</w:t>
            </w:r>
            <w:r>
              <w:rPr>
                <w:rFonts w:hint="eastAsia" w:ascii="宋体" w:hAnsi="宋体" w:eastAsia="宋体" w:cs="Times New Roman"/>
                <w:kern w:val="2"/>
                <w:sz w:val="21"/>
                <w:szCs w:val="21"/>
              </w:rPr>
              <w:t>分</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具有市政工程类专业中级技术职称的，得1分。</w:t>
            </w:r>
          </w:p>
          <w:p>
            <w:pPr>
              <w:pStyle w:val="116"/>
              <w:numPr>
                <w:ilvl w:val="0"/>
                <w:numId w:val="0"/>
              </w:numP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2</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自2020年1月1日至今担任技术负责人完成过的市政类工程项目获得市级</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含区、县级</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或以上工程</w:t>
            </w:r>
            <w:r>
              <w:rPr>
                <w:rFonts w:hint="eastAsia" w:ascii="宋体" w:hAnsi="宋体" w:eastAsia="宋体" w:cs="Times New Roman"/>
                <w:kern w:val="2"/>
                <w:sz w:val="21"/>
                <w:szCs w:val="21"/>
                <w:lang w:val="en-US" w:eastAsia="zh-CN"/>
              </w:rPr>
              <w:t>质量</w:t>
            </w:r>
            <w:r>
              <w:rPr>
                <w:rFonts w:hint="eastAsia" w:ascii="宋体" w:hAnsi="宋体" w:eastAsia="宋体" w:cs="Times New Roman"/>
                <w:kern w:val="2"/>
                <w:sz w:val="21"/>
                <w:szCs w:val="21"/>
              </w:rPr>
              <w:t>奖项的，每项得</w:t>
            </w:r>
            <w:r>
              <w:rPr>
                <w:rFonts w:hint="eastAsia" w:ascii="宋体" w:hAnsi="宋体" w:eastAsia="宋体" w:cs="Times New Roman"/>
                <w:kern w:val="2"/>
                <w:sz w:val="21"/>
                <w:szCs w:val="21"/>
                <w:lang w:val="en-US" w:eastAsia="zh-CN"/>
              </w:rPr>
              <w:t>0.5</w:t>
            </w:r>
            <w:r>
              <w:rPr>
                <w:rFonts w:hint="eastAsia" w:ascii="宋体" w:hAnsi="宋体" w:eastAsia="宋体" w:cs="Times New Roman"/>
                <w:kern w:val="2"/>
                <w:sz w:val="21"/>
                <w:szCs w:val="21"/>
              </w:rPr>
              <w:t>分，本项最高得</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分。</w:t>
            </w:r>
          </w:p>
        </w:tc>
      </w:tr>
      <w:bookmarkEnd w:id="62"/>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873" w:type="dxa"/>
            <w:vMerge w:val="continue"/>
            <w:tcBorders>
              <w:left w:val="single" w:color="auto" w:sz="8" w:space="0"/>
              <w:right w:val="single" w:color="auto" w:sz="4" w:space="0"/>
            </w:tcBorders>
            <w:noWrap w:val="0"/>
            <w:vAlign w:val="center"/>
          </w:tcPr>
          <w:p>
            <w:pPr>
              <w:spacing w:line="240" w:lineRule="exact"/>
              <w:jc w:val="center"/>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bookmarkStart w:id="63" w:name="_Hlk41994501"/>
            <w:r>
              <w:rPr>
                <w:rFonts w:hint="eastAsia" w:ascii="宋体" w:hAnsi="宋体" w:cs="宋体"/>
                <w:szCs w:val="21"/>
              </w:rPr>
              <w:t>质量负责人</w:t>
            </w:r>
            <w:bookmarkEnd w:id="63"/>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napToGrid w:val="0"/>
              <w:spacing w:line="28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拟委派的质量负责人具备工程类高级工程师或以上职称的，得1分；具备工程类</w:t>
            </w:r>
            <w:r>
              <w:rPr>
                <w:rFonts w:hint="eastAsia" w:ascii="宋体" w:hAnsi="宋体" w:eastAsia="宋体"/>
                <w:color w:val="auto"/>
                <w:sz w:val="21"/>
                <w:szCs w:val="21"/>
              </w:rPr>
              <w:t>中级技术职称</w:t>
            </w:r>
            <w:r>
              <w:rPr>
                <w:rFonts w:hint="eastAsia" w:ascii="宋体" w:hAnsi="宋体"/>
                <w:color w:val="auto"/>
                <w:sz w:val="21"/>
                <w:szCs w:val="21"/>
                <w:lang w:eastAsia="zh-CN"/>
              </w:rPr>
              <w:t>的</w:t>
            </w:r>
            <w:r>
              <w:rPr>
                <w:rFonts w:hint="eastAsia" w:ascii="宋体" w:hAnsi="宋体" w:eastAsia="宋体" w:cs="Times New Roman"/>
                <w:kern w:val="2"/>
                <w:sz w:val="21"/>
                <w:szCs w:val="21"/>
                <w:lang w:val="en-US" w:eastAsia="zh-CN" w:bidi="ar-SA"/>
              </w:rPr>
              <w:t>，得</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分；具备工程类工程师职称的，得0.</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分；</w:t>
            </w:r>
          </w:p>
          <w:p>
            <w:pPr>
              <w:numPr>
                <w:ilvl w:val="0"/>
                <w:numId w:val="4"/>
              </w:numPr>
              <w:snapToGrid w:val="0"/>
              <w:spacing w:line="280" w:lineRule="exact"/>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拟委派的质量负责人</w:t>
            </w:r>
            <w:r>
              <w:rPr>
                <w:rFonts w:hint="eastAsia" w:ascii="宋体" w:hAnsi="宋体" w:cs="Times New Roman"/>
                <w:kern w:val="2"/>
                <w:sz w:val="21"/>
                <w:szCs w:val="21"/>
                <w:lang w:val="en-US" w:eastAsia="zh-CN" w:bidi="ar-SA"/>
              </w:rPr>
              <w:t>从业</w:t>
            </w:r>
            <w:r>
              <w:rPr>
                <w:rFonts w:hint="eastAsia" w:ascii="宋体" w:hAnsi="宋体" w:eastAsia="宋体" w:cs="Times New Roman"/>
                <w:kern w:val="2"/>
                <w:sz w:val="21"/>
                <w:szCs w:val="21"/>
                <w:lang w:val="en-US" w:eastAsia="zh-CN" w:bidi="ar-SA"/>
              </w:rPr>
              <w:t>年限满</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年（不含本数）以上的，得1分；</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满1</w:t>
            </w:r>
            <w:r>
              <w:rPr>
                <w:rFonts w:hint="eastAsia" w:ascii="宋体"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年（不含本数）至</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年（含本数）的，得0.6分；</w:t>
            </w:r>
            <w:r>
              <w:rPr>
                <w:rFonts w:hint="eastAsia" w:ascii="宋体" w:hAnsi="宋体" w:cs="Times New Roman"/>
                <w:kern w:val="2"/>
                <w:sz w:val="21"/>
                <w:szCs w:val="21"/>
                <w:lang w:val="en-US" w:eastAsia="zh-CN" w:bidi="ar-SA"/>
              </w:rPr>
              <w:t>从业</w:t>
            </w:r>
            <w:r>
              <w:rPr>
                <w:rFonts w:hint="eastAsia" w:ascii="宋体" w:hAnsi="宋体" w:eastAsia="宋体" w:cs="Times New Roman"/>
                <w:kern w:val="2"/>
                <w:sz w:val="21"/>
                <w:szCs w:val="21"/>
                <w:lang w:val="en-US" w:eastAsia="zh-CN" w:bidi="ar-SA"/>
              </w:rPr>
              <w:t>经历年限1</w:t>
            </w:r>
            <w:r>
              <w:rPr>
                <w:rFonts w:hint="eastAsia" w:ascii="宋体"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 xml:space="preserve">年（含本数）或以下的，得0.2分。 </w:t>
            </w:r>
          </w:p>
          <w:p>
            <w:pPr>
              <w:numPr>
                <w:ilvl w:val="0"/>
                <w:numId w:val="4"/>
              </w:numPr>
              <w:snapToGrid w:val="0"/>
              <w:spacing w:line="28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自2020年1月1日至今担任质量负责人完成过的市政类工程项目获得市级（含区、县级）或以上工程</w:t>
            </w:r>
            <w:r>
              <w:rPr>
                <w:rFonts w:hint="eastAsia" w:ascii="宋体" w:hAnsi="宋体" w:eastAsia="宋体" w:cs="Times New Roman"/>
                <w:kern w:val="2"/>
                <w:sz w:val="21"/>
                <w:szCs w:val="21"/>
                <w:lang w:val="en-US" w:eastAsia="zh-CN"/>
              </w:rPr>
              <w:t>质量</w:t>
            </w:r>
            <w:r>
              <w:rPr>
                <w:rFonts w:hint="eastAsia" w:ascii="宋体" w:hAnsi="宋体" w:eastAsia="宋体" w:cs="Times New Roman"/>
                <w:kern w:val="2"/>
                <w:sz w:val="21"/>
                <w:szCs w:val="21"/>
                <w:lang w:val="en-US" w:eastAsia="zh-CN" w:bidi="ar-SA"/>
              </w:rPr>
              <w:t>奖项的，每项得0.5分，本项最高得1分。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873" w:type="dxa"/>
            <w:vMerge w:val="continue"/>
            <w:tcBorders>
              <w:left w:val="single" w:color="auto" w:sz="8" w:space="0"/>
              <w:right w:val="single" w:color="auto" w:sz="4" w:space="0"/>
            </w:tcBorders>
            <w:noWrap w:val="0"/>
            <w:vAlign w:val="center"/>
          </w:tcPr>
          <w:p>
            <w:pPr>
              <w:spacing w:line="240" w:lineRule="exact"/>
              <w:jc w:val="center"/>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bookmarkStart w:id="64" w:name="_Hlk41994531"/>
            <w:r>
              <w:rPr>
                <w:rFonts w:hint="eastAsia" w:ascii="宋体" w:hAnsi="宋体" w:cs="宋体"/>
                <w:szCs w:val="21"/>
              </w:rPr>
              <w:t>安全负责人</w:t>
            </w:r>
            <w:bookmarkEnd w:id="64"/>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spacing w:line="28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（1）拟委派的安全负责人具备工程类高级工程师或以上职称的，得1分；具备工程类</w:t>
            </w:r>
            <w:r>
              <w:rPr>
                <w:rFonts w:hint="eastAsia" w:ascii="宋体" w:hAnsi="宋体" w:eastAsia="宋体"/>
                <w:color w:val="auto"/>
                <w:sz w:val="21"/>
                <w:szCs w:val="21"/>
              </w:rPr>
              <w:t>中级技术职称</w:t>
            </w:r>
            <w:r>
              <w:rPr>
                <w:rFonts w:hint="eastAsia" w:ascii="宋体" w:hAnsi="宋体"/>
                <w:color w:val="auto"/>
                <w:sz w:val="21"/>
                <w:szCs w:val="21"/>
                <w:lang w:eastAsia="zh-CN"/>
              </w:rPr>
              <w:t>的</w:t>
            </w:r>
            <w:r>
              <w:rPr>
                <w:rFonts w:hint="eastAsia" w:ascii="宋体" w:hAnsi="宋体" w:eastAsia="宋体" w:cs="Times New Roman"/>
                <w:kern w:val="2"/>
                <w:sz w:val="21"/>
                <w:szCs w:val="21"/>
                <w:lang w:val="en-US" w:eastAsia="zh-CN" w:bidi="ar-SA"/>
              </w:rPr>
              <w:t>，得</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具备工程类工程师职称的，得0.</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分；</w:t>
            </w:r>
          </w:p>
          <w:p>
            <w:pPr>
              <w:autoSpaceDE w:val="0"/>
              <w:autoSpaceDN w:val="0"/>
              <w:adjustRightInd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（2）拟委派的安全负责人</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满</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年（不含本数）以上的，得1分；</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满</w:t>
            </w:r>
            <w:r>
              <w:rPr>
                <w:rFonts w:hint="eastAsia" w:ascii="宋体" w:hAnsi="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年（不含本数）至</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年（含本数）的，0.6分；</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1</w:t>
            </w:r>
            <w:r>
              <w:rPr>
                <w:rFonts w:hint="eastAsia" w:ascii="宋体"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 xml:space="preserve">年（含本数）或以下的，得0.2分。 </w:t>
            </w:r>
          </w:p>
          <w:p>
            <w:pPr>
              <w:numPr>
                <w:ilvl w:val="0"/>
                <w:numId w:val="0"/>
              </w:numPr>
              <w:snapToGrid w:val="0"/>
              <w:spacing w:line="28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（3）自2020年1月1日至今担任安全负责人完成过的市政类工程项目获得市级（含区、县级）或以上工程</w:t>
            </w:r>
            <w:r>
              <w:rPr>
                <w:rFonts w:hint="eastAsia" w:ascii="宋体" w:hAnsi="宋体" w:eastAsia="宋体" w:cs="Times New Roman"/>
                <w:kern w:val="2"/>
                <w:sz w:val="21"/>
                <w:szCs w:val="21"/>
                <w:lang w:val="en-US" w:eastAsia="zh-CN"/>
              </w:rPr>
              <w:t>质量</w:t>
            </w:r>
            <w:r>
              <w:rPr>
                <w:rFonts w:hint="eastAsia" w:ascii="宋体" w:hAnsi="宋体" w:eastAsia="宋体" w:cs="Times New Roman"/>
                <w:kern w:val="2"/>
                <w:sz w:val="21"/>
                <w:szCs w:val="21"/>
                <w:lang w:val="en-US" w:eastAsia="zh-CN" w:bidi="ar-SA"/>
              </w:rPr>
              <w:t>奖项的，每项得0.5分，本项最高得1分。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1873" w:type="dxa"/>
            <w:vMerge w:val="continue"/>
            <w:tcBorders>
              <w:left w:val="single" w:color="auto" w:sz="8" w:space="0"/>
              <w:right w:val="single" w:color="auto" w:sz="4" w:space="0"/>
            </w:tcBorders>
            <w:noWrap w:val="0"/>
            <w:vAlign w:val="center"/>
          </w:tcPr>
          <w:p>
            <w:pPr>
              <w:spacing w:line="240" w:lineRule="exact"/>
              <w:jc w:val="center"/>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bookmarkStart w:id="65" w:name="_Hlk41994558"/>
            <w:r>
              <w:rPr>
                <w:rFonts w:hint="eastAsia" w:ascii="宋体" w:hAnsi="宋体" w:cs="宋体"/>
                <w:szCs w:val="21"/>
              </w:rPr>
              <w:t>造价负责人</w:t>
            </w:r>
            <w:bookmarkEnd w:id="65"/>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r>
              <w:rPr>
                <w:rFonts w:hint="eastAsia" w:ascii="宋体" w:hAnsi="宋体" w:eastAsia="宋体" w:cs="Times New Roman"/>
                <w:kern w:val="2"/>
                <w:sz w:val="21"/>
                <w:szCs w:val="21"/>
              </w:rPr>
              <w:t>具有有效的注册造价工程师（或注册一级造价工程师）证书或具有造价专业</w:t>
            </w:r>
            <w:r>
              <w:rPr>
                <w:rFonts w:hint="eastAsia" w:ascii="宋体" w:hAnsi="宋体" w:eastAsia="宋体" w:cs="Times New Roman"/>
                <w:kern w:val="2"/>
                <w:sz w:val="21"/>
                <w:szCs w:val="21"/>
                <w:lang w:val="en-US" w:eastAsia="zh-CN"/>
              </w:rPr>
              <w:t>高</w:t>
            </w:r>
            <w:r>
              <w:rPr>
                <w:rFonts w:hint="eastAsia" w:ascii="宋体" w:hAnsi="宋体" w:eastAsia="宋体" w:cs="Times New Roman"/>
                <w:kern w:val="2"/>
                <w:sz w:val="21"/>
                <w:szCs w:val="21"/>
              </w:rPr>
              <w:t>级或以上技术职称，得</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分；具</w:t>
            </w:r>
            <w:r>
              <w:rPr>
                <w:rFonts w:hint="eastAsia" w:ascii="宋体" w:hAnsi="宋体" w:cs="Times New Roman"/>
                <w:kern w:val="2"/>
                <w:sz w:val="21"/>
                <w:szCs w:val="21"/>
                <w:lang w:val="en-US" w:eastAsia="zh-CN"/>
              </w:rPr>
              <w:t>有</w:t>
            </w:r>
            <w:r>
              <w:rPr>
                <w:rFonts w:hint="eastAsia" w:ascii="宋体" w:hAnsi="宋体" w:eastAsia="宋体" w:cs="Times New Roman"/>
                <w:kern w:val="2"/>
                <w:sz w:val="21"/>
                <w:szCs w:val="21"/>
              </w:rPr>
              <w:t>有效的注册造价工程师（或注册</w:t>
            </w:r>
            <w:r>
              <w:rPr>
                <w:rFonts w:hint="eastAsia" w:ascii="宋体" w:hAnsi="宋体" w:eastAsia="宋体" w:cs="Times New Roman"/>
                <w:kern w:val="2"/>
                <w:sz w:val="21"/>
                <w:szCs w:val="21"/>
                <w:lang w:val="en-US" w:eastAsia="zh-CN"/>
              </w:rPr>
              <w:t>二</w:t>
            </w:r>
            <w:r>
              <w:rPr>
                <w:rFonts w:hint="eastAsia" w:ascii="宋体" w:hAnsi="宋体" w:eastAsia="宋体" w:cs="Times New Roman"/>
                <w:kern w:val="2"/>
                <w:sz w:val="21"/>
                <w:szCs w:val="21"/>
              </w:rPr>
              <w:t>级造价工程师）证书或具有造价专业</w:t>
            </w:r>
            <w:r>
              <w:rPr>
                <w:rFonts w:hint="eastAsia" w:ascii="宋体" w:hAnsi="宋体" w:eastAsia="宋体" w:cs="Times New Roman"/>
                <w:kern w:val="2"/>
                <w:sz w:val="21"/>
                <w:szCs w:val="21"/>
                <w:lang w:val="en-US" w:eastAsia="zh-CN"/>
              </w:rPr>
              <w:t>中</w:t>
            </w:r>
            <w:r>
              <w:rPr>
                <w:rFonts w:hint="eastAsia" w:ascii="宋体" w:hAnsi="宋体" w:eastAsia="宋体" w:cs="Times New Roman"/>
                <w:kern w:val="2"/>
                <w:sz w:val="21"/>
                <w:szCs w:val="21"/>
              </w:rPr>
              <w:t>级技术职称，得</w:t>
            </w:r>
            <w:r>
              <w:rPr>
                <w:rFonts w:hint="eastAsia" w:ascii="宋体" w:hAnsi="宋体" w:eastAsia="宋体" w:cs="Times New Roman"/>
                <w:kern w:val="2"/>
                <w:sz w:val="21"/>
                <w:szCs w:val="21"/>
                <w:lang w:val="en-US" w:eastAsia="zh-CN"/>
              </w:rPr>
              <w:t>0.5</w:t>
            </w:r>
            <w:r>
              <w:rPr>
                <w:rFonts w:hint="eastAsia" w:ascii="宋体" w:hAnsi="宋体" w:eastAsia="宋体" w:cs="Times New Roman"/>
                <w:kern w:val="2"/>
                <w:sz w:val="21"/>
                <w:szCs w:val="21"/>
              </w:rPr>
              <w:t>分</w:t>
            </w:r>
          </w:p>
          <w:p>
            <w:pPr>
              <w:autoSpaceDE w:val="0"/>
              <w:autoSpaceDN w:val="0"/>
              <w:adjustRightInd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（2）拟委派的造价负责人</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满</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年（不含本数）以上的，得1分；从</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满1</w:t>
            </w:r>
            <w:r>
              <w:rPr>
                <w:rFonts w:hint="eastAsia" w:ascii="宋体"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年（不含本数）至</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年（含本数）的，得0.6分；</w:t>
            </w:r>
            <w:r>
              <w:rPr>
                <w:rFonts w:hint="eastAsia" w:ascii="宋体" w:hAnsi="宋体" w:cs="Times New Roman"/>
                <w:kern w:val="2"/>
                <w:sz w:val="21"/>
                <w:szCs w:val="21"/>
                <w:lang w:val="en-US" w:eastAsia="zh-CN" w:bidi="ar-SA"/>
              </w:rPr>
              <w:t>从业年限</w:t>
            </w:r>
            <w:r>
              <w:rPr>
                <w:rFonts w:hint="eastAsia" w:ascii="宋体" w:hAnsi="宋体" w:eastAsia="宋体" w:cs="Times New Roman"/>
                <w:kern w:val="2"/>
                <w:sz w:val="21"/>
                <w:szCs w:val="21"/>
                <w:lang w:val="en-US" w:eastAsia="zh-CN" w:bidi="ar-SA"/>
              </w:rPr>
              <w:t>满1</w:t>
            </w:r>
            <w:r>
              <w:rPr>
                <w:rFonts w:hint="eastAsia" w:ascii="宋体"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年（含本数）或以下的，得0.2分。</w:t>
            </w:r>
          </w:p>
          <w:p>
            <w:pPr>
              <w:pStyle w:val="116"/>
              <w:numPr>
                <w:ilvl w:val="0"/>
                <w:numId w:val="0"/>
              </w:num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（3）自2020年1月1日至今担任造价负责人完成过的市政类工程项目获得市级（含区、县级）或以上工程</w:t>
            </w:r>
            <w:r>
              <w:rPr>
                <w:rFonts w:hint="eastAsia" w:ascii="宋体" w:hAnsi="宋体" w:eastAsia="宋体" w:cs="Times New Roman"/>
                <w:kern w:val="2"/>
                <w:sz w:val="21"/>
                <w:szCs w:val="21"/>
                <w:lang w:val="en-US" w:eastAsia="zh-CN"/>
              </w:rPr>
              <w:t>质量</w:t>
            </w:r>
            <w:r>
              <w:rPr>
                <w:rFonts w:hint="eastAsia" w:ascii="宋体" w:hAnsi="宋体" w:eastAsia="宋体" w:cs="Times New Roman"/>
                <w:kern w:val="2"/>
                <w:sz w:val="21"/>
                <w:szCs w:val="21"/>
                <w:lang w:val="en-US" w:eastAsia="zh-CN" w:bidi="ar-SA"/>
              </w:rPr>
              <w:t>奖项的，每项得0.5分.本项最高得1分。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873" w:type="dxa"/>
            <w:vMerge w:val="restart"/>
            <w:tcBorders>
              <w:top w:val="single" w:color="auto" w:sz="4" w:space="0"/>
              <w:left w:val="single" w:color="auto" w:sz="8" w:space="0"/>
              <w:right w:val="single" w:color="auto" w:sz="4" w:space="0"/>
            </w:tcBorders>
            <w:noWrap w:val="0"/>
            <w:vAlign w:val="center"/>
          </w:tcPr>
          <w:p>
            <w:pPr>
              <w:spacing w:line="340" w:lineRule="exact"/>
              <w:ind w:right="134" w:rightChars="64"/>
              <w:jc w:val="center"/>
              <w:rPr>
                <w:rFonts w:ascii="宋体" w:hAnsi="宋体" w:cs="宋体"/>
                <w:szCs w:val="21"/>
              </w:rPr>
            </w:pPr>
            <w:r>
              <w:rPr>
                <w:rFonts w:hint="eastAsia" w:ascii="宋体" w:hAnsi="宋体" w:cs="宋体"/>
                <w:szCs w:val="21"/>
              </w:rPr>
              <w:t>二、企业资信（6分）</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类似业绩</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分</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投标人自2020年1月1日至今完成过质量合格的市政工程总承包业绩的，每项得0.4分；本项最高得1.6分。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73" w:type="dxa"/>
            <w:vMerge w:val="continue"/>
            <w:tcBorders>
              <w:left w:val="single" w:color="auto" w:sz="8" w:space="0"/>
              <w:right w:val="single" w:color="auto" w:sz="4" w:space="0"/>
            </w:tcBorders>
            <w:noWrap w:val="0"/>
            <w:vAlign w:val="top"/>
          </w:tcPr>
          <w:p>
            <w:pPr>
              <w:spacing w:line="340" w:lineRule="exact"/>
              <w:ind w:right="134" w:rightChars="64"/>
              <w:jc w:val="center"/>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right="134" w:rightChars="64"/>
              <w:jc w:val="center"/>
              <w:rPr>
                <w:rFonts w:ascii="宋体" w:hAnsi="宋体" w:cs="宋体"/>
                <w:szCs w:val="21"/>
              </w:rPr>
            </w:pPr>
            <w:r>
              <w:rPr>
                <w:rFonts w:hint="eastAsia" w:ascii="宋体" w:hAnsi="宋体" w:cs="宋体"/>
                <w:szCs w:val="21"/>
              </w:rPr>
              <w:t>工程奖项</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分</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投标人自2020年1月1日至今完成市政工程获奖情况：国家级奖项每项得0.4分；省级奖项每项得0.3分；市级（含区、县级）奖项每项得0.2分，本项最高累计最高得1.4分；相同项目按最高级别奖项只计一次得分。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73" w:type="dxa"/>
            <w:vMerge w:val="continue"/>
            <w:tcBorders>
              <w:left w:val="single" w:color="auto" w:sz="8" w:space="0"/>
              <w:right w:val="single" w:color="auto" w:sz="4" w:space="0"/>
            </w:tcBorders>
            <w:noWrap w:val="0"/>
            <w:vAlign w:val="top"/>
          </w:tcPr>
          <w:p>
            <w:pPr>
              <w:spacing w:line="340" w:lineRule="exact"/>
              <w:ind w:right="134" w:rightChars="64"/>
              <w:jc w:val="center"/>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right="134" w:rightChars="64"/>
              <w:jc w:val="center"/>
              <w:rPr>
                <w:rFonts w:ascii="宋体" w:hAnsi="宋体" w:cs="宋体"/>
                <w:szCs w:val="21"/>
              </w:rPr>
            </w:pPr>
            <w:r>
              <w:rPr>
                <w:rFonts w:hint="eastAsia" w:ascii="宋体" w:hAnsi="宋体" w:cs="宋体"/>
                <w:szCs w:val="21"/>
              </w:rPr>
              <w:t>工程研发能力</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r>
              <w:rPr>
                <w:rFonts w:hint="eastAsia" w:ascii="宋体" w:hAnsi="宋体" w:cs="宋体"/>
                <w:szCs w:val="21"/>
              </w:rPr>
              <w:t>1.8分</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投标人自2020年1月1日至投标截止时间止</w:t>
            </w:r>
            <w:r>
              <w:rPr>
                <w:rFonts w:hint="eastAsia" w:ascii="宋体" w:hAnsi="宋体" w:eastAsia="宋体" w:cs="Times New Roman"/>
                <w:kern w:val="2"/>
                <w:sz w:val="21"/>
                <w:szCs w:val="21"/>
                <w:lang w:val="zh-TW" w:eastAsia="zh-CN" w:bidi="ar-SA"/>
              </w:rPr>
              <w:t>，获得过工程类软件著作权登记证书，按证书数量由多至少排序，第1-3名得</w:t>
            </w:r>
            <w:r>
              <w:rPr>
                <w:rFonts w:hint="eastAsia" w:ascii="宋体" w:hAnsi="宋体" w:eastAsia="宋体" w:cs="Times New Roman"/>
                <w:kern w:val="2"/>
                <w:sz w:val="21"/>
                <w:szCs w:val="21"/>
                <w:lang w:val="en-US" w:eastAsia="zh-CN" w:bidi="ar-SA"/>
              </w:rPr>
              <w:t>1.8</w:t>
            </w:r>
            <w:r>
              <w:rPr>
                <w:rFonts w:hint="eastAsia" w:ascii="宋体" w:hAnsi="宋体" w:eastAsia="宋体" w:cs="Times New Roman"/>
                <w:kern w:val="2"/>
                <w:sz w:val="21"/>
                <w:szCs w:val="21"/>
                <w:lang w:val="zh-TW" w:eastAsia="zh-CN" w:bidi="ar-SA"/>
              </w:rPr>
              <w:t>分；第4-6名得</w:t>
            </w:r>
            <w:r>
              <w:rPr>
                <w:rFonts w:hint="eastAsia" w:ascii="宋体" w:hAnsi="宋体" w:eastAsia="宋体" w:cs="Times New Roman"/>
                <w:kern w:val="2"/>
                <w:sz w:val="21"/>
                <w:szCs w:val="21"/>
                <w:lang w:val="en-US" w:eastAsia="zh-CN" w:bidi="ar-SA"/>
              </w:rPr>
              <w:t>1.2</w:t>
            </w:r>
            <w:r>
              <w:rPr>
                <w:rFonts w:hint="eastAsia" w:ascii="宋体" w:hAnsi="宋体" w:eastAsia="宋体" w:cs="Times New Roman"/>
                <w:kern w:val="2"/>
                <w:sz w:val="21"/>
                <w:szCs w:val="21"/>
                <w:lang w:val="zh-TW" w:eastAsia="zh-CN" w:bidi="ar-SA"/>
              </w:rPr>
              <w:t>分；第7-9名得</w:t>
            </w:r>
            <w:r>
              <w:rPr>
                <w:rFonts w:hint="eastAsia" w:ascii="宋体" w:hAnsi="宋体" w:eastAsia="宋体" w:cs="Times New Roman"/>
                <w:kern w:val="2"/>
                <w:sz w:val="21"/>
                <w:szCs w:val="21"/>
                <w:lang w:val="en-US" w:eastAsia="zh-CN" w:bidi="ar-SA"/>
              </w:rPr>
              <w:t>0.6</w:t>
            </w:r>
            <w:r>
              <w:rPr>
                <w:rFonts w:hint="eastAsia" w:ascii="宋体" w:hAnsi="宋体" w:eastAsia="宋体" w:cs="Times New Roman"/>
                <w:kern w:val="2"/>
                <w:sz w:val="21"/>
                <w:szCs w:val="21"/>
                <w:lang w:val="zh-TW" w:eastAsia="zh-CN" w:bidi="ar-SA"/>
              </w:rPr>
              <w:t>分；</w:t>
            </w:r>
            <w:r>
              <w:rPr>
                <w:rFonts w:hint="eastAsia" w:ascii="宋体" w:hAnsi="宋体" w:eastAsia="宋体" w:cs="Times New Roman"/>
                <w:kern w:val="2"/>
                <w:sz w:val="21"/>
                <w:szCs w:val="21"/>
                <w:lang w:val="en-US" w:eastAsia="zh-CN" w:bidi="ar-SA"/>
              </w:rPr>
              <w:t>本项最高得1.8分，</w:t>
            </w:r>
            <w:r>
              <w:rPr>
                <w:rFonts w:hint="eastAsia" w:ascii="宋体" w:hAnsi="宋体" w:eastAsia="宋体" w:cs="Times New Roman"/>
                <w:kern w:val="2"/>
                <w:sz w:val="21"/>
                <w:szCs w:val="21"/>
                <w:lang w:val="zh-TW" w:eastAsia="zh-CN" w:bidi="ar-SA"/>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873" w:type="dxa"/>
            <w:vMerge w:val="continue"/>
            <w:tcBorders>
              <w:left w:val="single" w:color="auto" w:sz="8" w:space="0"/>
              <w:bottom w:val="single" w:color="auto" w:sz="4" w:space="0"/>
              <w:right w:val="single" w:color="auto" w:sz="4" w:space="0"/>
            </w:tcBorders>
            <w:noWrap w:val="0"/>
            <w:vAlign w:val="top"/>
          </w:tcPr>
          <w:p>
            <w:pPr>
              <w:spacing w:line="340" w:lineRule="exact"/>
              <w:ind w:right="134" w:rightChars="64"/>
              <w:jc w:val="center"/>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right="134" w:rightChars="64"/>
              <w:jc w:val="center"/>
              <w:rPr>
                <w:rFonts w:ascii="宋体" w:hAnsi="宋体" w:cs="宋体"/>
                <w:szCs w:val="21"/>
              </w:rPr>
            </w:pPr>
            <w:r>
              <w:rPr>
                <w:rFonts w:hint="eastAsia" w:ascii="宋体" w:hAnsi="宋体" w:cs="宋体"/>
                <w:szCs w:val="21"/>
              </w:rPr>
              <w:t>第三方评价</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r>
              <w:rPr>
                <w:rFonts w:hint="eastAsia" w:ascii="宋体" w:hAnsi="宋体" w:cs="宋体"/>
                <w:szCs w:val="21"/>
              </w:rPr>
              <w:t>1.2分</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投标人2018 年1月1日至今，连续5年以上(不含5 年)获得省级（含副省级）工程行业协会颁发的“诚信企业”称号的，得1.2分;连续4-5年获得省级（含副省级）或以上工程行业协会颁发的“诚信企业”称号的，得0.8分;连续 1-3 年获得省级（含副省级）或以上工程行业协会颁发的“诚信企业”称号的，得 0.4分，其余不得分。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3547" w:type="dxa"/>
            <w:gridSpan w:val="2"/>
            <w:tcBorders>
              <w:top w:val="single" w:color="auto" w:sz="4" w:space="0"/>
              <w:left w:val="single" w:color="auto" w:sz="8" w:space="0"/>
              <w:bottom w:val="single" w:color="auto" w:sz="4" w:space="0"/>
              <w:right w:val="single" w:color="auto" w:sz="4" w:space="0"/>
            </w:tcBorders>
            <w:noWrap w:val="0"/>
            <w:vAlign w:val="top"/>
          </w:tcPr>
          <w:p>
            <w:pPr>
              <w:spacing w:line="340" w:lineRule="exact"/>
              <w:ind w:right="134" w:rightChars="64"/>
              <w:jc w:val="center"/>
              <w:rPr>
                <w:rFonts w:ascii="宋体" w:hAnsi="宋体" w:cs="宋体"/>
                <w:szCs w:val="21"/>
              </w:rPr>
            </w:pPr>
            <w:r>
              <w:rPr>
                <w:rFonts w:hint="eastAsia" w:ascii="宋体" w:hAnsi="宋体" w:cs="宋体"/>
                <w:szCs w:val="21"/>
              </w:rPr>
              <w:t>合计</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szCs w:val="21"/>
              </w:rPr>
            </w:pPr>
            <w:r>
              <w:rPr>
                <w:rFonts w:hint="eastAsia" w:ascii="宋体" w:hAnsi="宋体" w:cs="宋体"/>
                <w:szCs w:val="21"/>
              </w:rPr>
              <w:t>20分</w:t>
            </w:r>
          </w:p>
        </w:tc>
        <w:tc>
          <w:tcPr>
            <w:tcW w:w="11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r>
    </w:tbl>
    <w:p>
      <w:pPr>
        <w:spacing w:line="360" w:lineRule="auto"/>
        <w:rPr>
          <w:rFonts w:hint="eastAsia" w:ascii="宋体" w:hAnsi="宋体" w:eastAsia="宋体" w:cs="宋体"/>
          <w:sz w:val="21"/>
          <w:szCs w:val="21"/>
        </w:rPr>
      </w:pPr>
      <w:r>
        <w:rPr>
          <w:rFonts w:hint="eastAsia" w:ascii="宋体" w:hAnsi="宋体" w:eastAsia="宋体" w:cs="宋体"/>
          <w:sz w:val="21"/>
          <w:szCs w:val="21"/>
        </w:rPr>
        <w:t>注：</w:t>
      </w:r>
    </w:p>
    <w:p>
      <w:pPr>
        <w:spacing w:line="30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1、项目管理机构</w:t>
      </w:r>
      <w:r>
        <w:rPr>
          <w:rFonts w:hint="eastAsia" w:ascii="宋体" w:hAnsi="宋体" w:eastAsia="宋体" w:cs="宋体"/>
          <w:color w:val="000000"/>
          <w:sz w:val="21"/>
          <w:szCs w:val="21"/>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1"/>
          <w:szCs w:val="21"/>
          <w:u w:val="none"/>
          <w:shd w:val="clear" w:fill="FFFFFF"/>
          <w:lang w:val="en-US" w:eastAsia="zh-CN" w:bidi="ar"/>
        </w:rPr>
        <w:t>（1）人员须按评审内容提供相应证书原件彩色扫描件资料（相应证书包括身份证、</w:t>
      </w:r>
      <w:r>
        <w:rPr>
          <w:rFonts w:hint="eastAsia" w:ascii="宋体" w:hAnsi="宋体" w:cs="宋体"/>
          <w:color w:val="000000" w:themeColor="text1"/>
          <w:kern w:val="0"/>
          <w:szCs w:val="21"/>
          <w:lang w:val="en-US" w:eastAsia="zh-CN"/>
          <w14:textFill>
            <w14:solidFill>
              <w14:schemeClr w14:val="tx1"/>
            </w14:solidFill>
          </w14:textFill>
        </w:rPr>
        <w:t>执业资格证书（如有）、</w:t>
      </w:r>
      <w:r>
        <w:rPr>
          <w:rFonts w:hint="eastAsia" w:ascii="宋体" w:hAnsi="宋体" w:cs="宋体"/>
          <w:color w:val="000000" w:themeColor="text1"/>
          <w:kern w:val="0"/>
          <w:szCs w:val="21"/>
          <w14:textFill>
            <w14:solidFill>
              <w14:schemeClr w14:val="tx1"/>
            </w14:solidFill>
          </w14:textFill>
        </w:rPr>
        <w:t>注册证书（如有）</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eastAsia="宋体" w:cs="宋体"/>
          <w:i w:val="0"/>
          <w:iCs w:val="0"/>
          <w:caps w:val="0"/>
          <w:color w:val="333333"/>
          <w:spacing w:val="0"/>
          <w:kern w:val="0"/>
          <w:sz w:val="21"/>
          <w:szCs w:val="21"/>
          <w:u w:val="none"/>
          <w:shd w:val="clear" w:fill="FFFFFF"/>
          <w:lang w:val="en-US" w:eastAsia="zh-CN" w:bidi="ar"/>
        </w:rPr>
        <w:t>职称证等证书）。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lang w:val="en-US" w:eastAsia="zh-CN"/>
        </w:rPr>
      </w:pPr>
      <w:r>
        <w:rPr>
          <w:rFonts w:hint="eastAsia" w:ascii="宋体" w:hAnsi="宋体" w:eastAsia="宋体" w:cs="宋体"/>
          <w:i w:val="0"/>
          <w:iCs w:val="0"/>
          <w:caps w:val="0"/>
          <w:color w:val="333333"/>
          <w:spacing w:val="0"/>
          <w:kern w:val="0"/>
          <w:sz w:val="21"/>
          <w:szCs w:val="21"/>
          <w:u w:val="none"/>
          <w:shd w:val="clear" w:fill="FFFFFF"/>
          <w:lang w:val="en-US" w:eastAsia="zh-CN" w:bidi="ar"/>
        </w:rPr>
        <w:t>（2）安全负责人、质量负责人、造价负责人的从业经历年限以提供最高级别职称证书发证日期至投标截止时间为准。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1"/>
          <w:szCs w:val="21"/>
          <w:u w:val="none"/>
          <w:shd w:val="clear" w:fill="FFFFFF"/>
          <w:lang w:val="en-US" w:eastAsia="zh-CN" w:bidi="ar"/>
        </w:rPr>
        <w:t>（3）造价负责人执业资格，按照《造价工程师职业资格制度规定》的规定，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宋体" w:hAnsi="宋体" w:eastAsia="宋体" w:cs="宋体"/>
          <w:i w:val="0"/>
          <w:iCs w:val="0"/>
          <w:caps w:val="0"/>
          <w:color w:val="333333"/>
          <w:spacing w:val="0"/>
          <w:kern w:val="0"/>
          <w:sz w:val="21"/>
          <w:szCs w:val="21"/>
          <w:u w:val="none"/>
          <w:shd w:val="clear" w:fill="FFFFFF"/>
          <w:lang w:val="en-US" w:eastAsia="zh-CN" w:bidi="ar"/>
        </w:rPr>
      </w:pPr>
      <w:r>
        <w:rPr>
          <w:rFonts w:hint="eastAsia" w:ascii="宋体" w:hAnsi="宋体" w:eastAsia="宋体" w:cs="宋体"/>
          <w:i w:val="0"/>
          <w:iCs w:val="0"/>
          <w:caps w:val="0"/>
          <w:color w:val="333333"/>
          <w:spacing w:val="0"/>
          <w:kern w:val="0"/>
          <w:sz w:val="21"/>
          <w:szCs w:val="21"/>
          <w:u w:val="none"/>
          <w:shd w:val="clear" w:fill="FFFFFF"/>
          <w:lang w:val="en-US" w:eastAsia="zh-CN" w:bidi="ar"/>
        </w:rPr>
        <w:t>（4）项目管理人员须提供近</w:t>
      </w:r>
      <w:r>
        <w:rPr>
          <w:rFonts w:hint="eastAsia" w:ascii="宋体" w:hAnsi="宋体" w:cs="宋体"/>
          <w:i w:val="0"/>
          <w:iCs w:val="0"/>
          <w:caps w:val="0"/>
          <w:color w:val="333333"/>
          <w:spacing w:val="0"/>
          <w:kern w:val="0"/>
          <w:sz w:val="21"/>
          <w:szCs w:val="21"/>
          <w:u w:val="none"/>
          <w:shd w:val="clear" w:fill="FFFFFF"/>
          <w:lang w:val="en-US" w:eastAsia="zh-CN" w:bidi="ar"/>
        </w:rPr>
        <w:t>月</w:t>
      </w:r>
      <w:r>
        <w:rPr>
          <w:rFonts w:hint="eastAsia" w:ascii="宋体" w:hAnsi="宋体" w:eastAsia="宋体" w:cs="宋体"/>
          <w:i w:val="0"/>
          <w:iCs w:val="0"/>
          <w:caps w:val="0"/>
          <w:color w:val="333333"/>
          <w:spacing w:val="0"/>
          <w:kern w:val="0"/>
          <w:sz w:val="21"/>
          <w:szCs w:val="21"/>
          <w:u w:val="none"/>
          <w:shd w:val="clear" w:fill="FFFFFF"/>
          <w:lang w:val="en-US" w:eastAsia="zh-CN" w:bidi="ar"/>
        </w:rPr>
        <w:t>个月（2023年</w:t>
      </w:r>
      <w:r>
        <w:rPr>
          <w:rFonts w:hint="eastAsia" w:ascii="宋体" w:hAnsi="宋体" w:cs="宋体"/>
          <w:i w:val="0"/>
          <w:iCs w:val="0"/>
          <w:caps w:val="0"/>
          <w:color w:val="333333"/>
          <w:spacing w:val="0"/>
          <w:kern w:val="0"/>
          <w:sz w:val="21"/>
          <w:szCs w:val="21"/>
          <w:u w:val="none"/>
          <w:shd w:val="clear" w:fill="FFFFFF"/>
          <w:lang w:val="en-US" w:eastAsia="zh-CN" w:bidi="ar"/>
        </w:rPr>
        <w:t>9</w:t>
      </w:r>
      <w:r>
        <w:rPr>
          <w:rFonts w:hint="eastAsia" w:ascii="宋体" w:hAnsi="宋体" w:eastAsia="宋体" w:cs="宋体"/>
          <w:i w:val="0"/>
          <w:iCs w:val="0"/>
          <w:caps w:val="0"/>
          <w:color w:val="333333"/>
          <w:spacing w:val="0"/>
          <w:kern w:val="0"/>
          <w:sz w:val="21"/>
          <w:szCs w:val="21"/>
          <w:u w:val="none"/>
          <w:shd w:val="clear" w:fill="FFFFFF"/>
          <w:lang w:val="en-US" w:eastAsia="zh-CN" w:bidi="ar"/>
        </w:rPr>
        <w:t>月）在本单位（不含子公司）的社保缴纳证明材料，退休人员须提供退休证明及退休返聘合同扫描件和近</w:t>
      </w:r>
      <w:r>
        <w:rPr>
          <w:rFonts w:hint="eastAsia" w:ascii="宋体" w:hAnsi="宋体" w:cs="宋体"/>
          <w:i w:val="0"/>
          <w:iCs w:val="0"/>
          <w:caps w:val="0"/>
          <w:color w:val="333333"/>
          <w:spacing w:val="0"/>
          <w:kern w:val="0"/>
          <w:sz w:val="21"/>
          <w:szCs w:val="21"/>
          <w:u w:val="none"/>
          <w:shd w:val="clear" w:fill="FFFFFF"/>
          <w:lang w:val="en-US" w:eastAsia="zh-CN" w:bidi="ar"/>
        </w:rPr>
        <w:t>一</w:t>
      </w:r>
      <w:r>
        <w:rPr>
          <w:rFonts w:hint="eastAsia" w:ascii="宋体" w:hAnsi="宋体" w:eastAsia="宋体" w:cs="宋体"/>
          <w:i w:val="0"/>
          <w:iCs w:val="0"/>
          <w:caps w:val="0"/>
          <w:color w:val="333333"/>
          <w:spacing w:val="0"/>
          <w:kern w:val="0"/>
          <w:sz w:val="21"/>
          <w:szCs w:val="21"/>
          <w:u w:val="none"/>
          <w:shd w:val="clear" w:fill="FFFFFF"/>
          <w:lang w:val="en-US" w:eastAsia="zh-CN" w:bidi="ar"/>
        </w:rPr>
        <w:t>个月（2023年</w:t>
      </w:r>
      <w:r>
        <w:rPr>
          <w:rFonts w:hint="eastAsia" w:ascii="宋体" w:hAnsi="宋体" w:cs="宋体"/>
          <w:i w:val="0"/>
          <w:iCs w:val="0"/>
          <w:caps w:val="0"/>
          <w:color w:val="333333"/>
          <w:spacing w:val="0"/>
          <w:kern w:val="0"/>
          <w:sz w:val="21"/>
          <w:szCs w:val="21"/>
          <w:u w:val="none"/>
          <w:shd w:val="clear" w:fill="FFFFFF"/>
          <w:lang w:val="en-US" w:eastAsia="zh-CN" w:bidi="ar"/>
        </w:rPr>
        <w:t>9</w:t>
      </w:r>
      <w:r>
        <w:rPr>
          <w:rFonts w:hint="eastAsia" w:ascii="宋体" w:hAnsi="宋体" w:eastAsia="宋体" w:cs="宋体"/>
          <w:i w:val="0"/>
          <w:iCs w:val="0"/>
          <w:caps w:val="0"/>
          <w:color w:val="333333"/>
          <w:spacing w:val="0"/>
          <w:kern w:val="0"/>
          <w:sz w:val="21"/>
          <w:szCs w:val="21"/>
          <w:u w:val="none"/>
          <w:shd w:val="clear" w:fill="FFFFFF"/>
          <w:lang w:val="en-US" w:eastAsia="zh-CN" w:bidi="ar"/>
        </w:rPr>
        <w:t>月）在本单位（不含子公司）工伤社会保险证明并加盖投标人企业电子印章。未按要求提供完整相关资料或提供社保缴纳证明的，该人员不作为评分依据。</w:t>
      </w:r>
    </w:p>
    <w:p>
      <w:pPr>
        <w:pStyle w:val="18"/>
        <w:rPr>
          <w:rFonts w:hint="eastAsia"/>
          <w:lang w:val="en-US" w:eastAsia="zh-CN"/>
        </w:rPr>
      </w:pPr>
      <w:r>
        <w:rPr>
          <w:rFonts w:hint="eastAsia" w:ascii="宋体" w:hAnsi="宋体" w:eastAsia="宋体" w:cs="宋体"/>
          <w:color w:val="000000"/>
          <w:sz w:val="21"/>
          <w:szCs w:val="21"/>
          <w:lang w:val="en-US" w:eastAsia="zh-CN"/>
        </w:rPr>
        <w:t>（</w:t>
      </w:r>
      <w:r>
        <w:rPr>
          <w:rFonts w:hint="eastAsia" w:hAnsi="宋体" w:cs="宋体"/>
          <w:color w:val="000000"/>
          <w:sz w:val="21"/>
          <w:szCs w:val="21"/>
          <w:lang w:val="en-US" w:eastAsia="zh-CN"/>
        </w:rPr>
        <w:t>5</w:t>
      </w:r>
      <w:r>
        <w:rPr>
          <w:rFonts w:hint="eastAsia" w:ascii="宋体" w:hAnsi="宋体" w:eastAsia="宋体" w:cs="宋体"/>
          <w:color w:val="000000"/>
          <w:sz w:val="21"/>
          <w:szCs w:val="21"/>
          <w:lang w:val="en-US" w:eastAsia="zh-CN"/>
        </w:rPr>
        <w:t>）</w:t>
      </w:r>
      <w:r>
        <w:rPr>
          <w:rFonts w:hint="eastAsia" w:hAnsi="宋体" w:cs="宋体"/>
          <w:color w:val="000000"/>
          <w:sz w:val="21"/>
          <w:szCs w:val="21"/>
          <w:lang w:val="en-US" w:eastAsia="zh-CN"/>
        </w:rPr>
        <w:t>项目</w:t>
      </w:r>
      <w:r>
        <w:rPr>
          <w:rFonts w:hint="eastAsia" w:hAnsi="宋体" w:eastAsia="宋体" w:cs="宋体"/>
          <w:color w:val="000000"/>
          <w:sz w:val="21"/>
          <w:szCs w:val="21"/>
          <w:lang w:val="en-US" w:eastAsia="zh-CN"/>
        </w:rPr>
        <w:t>指挥长</w:t>
      </w:r>
      <w:r>
        <w:rPr>
          <w:rFonts w:hint="eastAsia" w:hAnsi="宋体" w:cs="宋体"/>
          <w:color w:val="000000"/>
          <w:sz w:val="21"/>
          <w:szCs w:val="21"/>
          <w:lang w:val="en-US" w:eastAsia="zh-CN"/>
        </w:rPr>
        <w:t>须</w:t>
      </w:r>
      <w:r>
        <w:rPr>
          <w:rFonts w:hint="eastAsia"/>
          <w:lang w:eastAsia="zh-CN"/>
        </w:rPr>
        <w:t>提交相关任职证明材料（法定代表人（</w:t>
      </w:r>
      <w:r>
        <w:rPr>
          <w:rFonts w:hint="eastAsia" w:ascii="宋体" w:hAnsi="宋体" w:eastAsia="宋体" w:cs="Times New Roman"/>
          <w:color w:val="auto"/>
          <w:kern w:val="2"/>
          <w:sz w:val="21"/>
          <w:szCs w:val="21"/>
        </w:rPr>
        <w:t>或董事长或总经理</w:t>
      </w:r>
      <w:r>
        <w:rPr>
          <w:rFonts w:hint="eastAsia"/>
          <w:lang w:eastAsia="zh-CN"/>
        </w:rPr>
        <w:t>）以提供企业营业执照扫描件显示职位为准，</w:t>
      </w:r>
      <w:r>
        <w:rPr>
          <w:rFonts w:hint="eastAsia" w:ascii="宋体" w:hAnsi="宋体" w:eastAsia="宋体" w:cs="Times New Roman"/>
          <w:color w:val="auto"/>
          <w:kern w:val="2"/>
          <w:sz w:val="21"/>
          <w:szCs w:val="21"/>
        </w:rPr>
        <w:t>企业副总经理</w:t>
      </w:r>
      <w:r>
        <w:rPr>
          <w:rFonts w:hint="eastAsia" w:hAnsi="宋体" w:cs="Times New Roman"/>
          <w:color w:val="auto"/>
          <w:kern w:val="2"/>
          <w:sz w:val="21"/>
          <w:szCs w:val="21"/>
          <w:lang w:eastAsia="zh-CN"/>
        </w:rPr>
        <w:t>以提供企业章程及聘书扫描件显示职务为准。</w:t>
      </w:r>
      <w:r>
        <w:rPr>
          <w:rFonts w:hint="eastAsia"/>
          <w:lang w:eastAsia="zh-CN"/>
        </w:rPr>
        <w:t>）</w:t>
      </w:r>
    </w:p>
    <w:p>
      <w:pPr>
        <w:spacing w:line="46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2、类似工程业绩</w:t>
      </w:r>
      <w:r>
        <w:rPr>
          <w:rFonts w:hint="eastAsia" w:ascii="宋体" w:hAnsi="宋体" w:eastAsia="宋体" w:cs="宋体"/>
          <w:color w:val="000000"/>
          <w:sz w:val="21"/>
          <w:szCs w:val="21"/>
        </w:rPr>
        <w:t>：</w:t>
      </w:r>
    </w:p>
    <w:p>
      <w:pPr>
        <w:ind w:left="420" w:left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类似工程业绩是指市政工程施工总承包业绩。投标人需提供以下资料：</w:t>
      </w:r>
    </w:p>
    <w:p>
      <w:pPr>
        <w:ind w:left="420" w:left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1）提供业绩的中标通知书（</w:t>
      </w:r>
      <w:r>
        <w:rPr>
          <w:rFonts w:hint="eastAsia" w:ascii="宋体" w:hAnsi="宋体" w:cs="宋体"/>
          <w:b w:val="0"/>
          <w:bCs w:val="0"/>
          <w:color w:val="000000"/>
          <w:sz w:val="21"/>
          <w:szCs w:val="21"/>
          <w:lang w:val="en-US" w:eastAsia="zh-CN"/>
        </w:rPr>
        <w:t>发包通知书</w:t>
      </w:r>
      <w:r>
        <w:rPr>
          <w:rFonts w:hint="eastAsia" w:ascii="宋体" w:hAnsi="宋体" w:eastAsia="宋体" w:cs="宋体"/>
          <w:b w:val="0"/>
          <w:bCs w:val="0"/>
          <w:color w:val="000000"/>
          <w:sz w:val="21"/>
          <w:szCs w:val="21"/>
        </w:rPr>
        <w:t>或免招标证明）、施工合同（仅需附协议书部分）、单位工程验收鉴定证书或合同工程完工验收鉴定书或工程竣工验收报告及其他补充（如需要）反映工程信息的相关证明材料扫描件。</w:t>
      </w:r>
    </w:p>
    <w:p>
      <w:pPr>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）提供的材料不符合上述条件或未提供上述资料的，该业绩不予认定。</w:t>
      </w:r>
    </w:p>
    <w:p>
      <w:pPr>
        <w:ind w:left="420" w:leftChars="200"/>
        <w:rPr>
          <w:rFonts w:hint="eastAsia" w:ascii="宋体" w:hAnsi="宋体" w:eastAsia="宋体" w:cs="宋体"/>
          <w:b/>
          <w:bCs/>
          <w:color w:val="000000"/>
          <w:sz w:val="21"/>
          <w:szCs w:val="21"/>
        </w:rPr>
      </w:pPr>
      <w:r>
        <w:rPr>
          <w:rFonts w:hint="eastAsia" w:ascii="宋体" w:hAnsi="宋体" w:eastAsia="宋体" w:cs="宋体"/>
          <w:b/>
          <w:bCs/>
          <w:sz w:val="21"/>
          <w:szCs w:val="21"/>
        </w:rPr>
        <w:t>3</w:t>
      </w:r>
      <w:r>
        <w:rPr>
          <w:rFonts w:hint="eastAsia" w:ascii="宋体" w:hAnsi="宋体" w:eastAsia="宋体" w:cs="宋体"/>
          <w:b/>
          <w:bCs/>
          <w:color w:val="000000"/>
          <w:sz w:val="21"/>
          <w:szCs w:val="21"/>
        </w:rPr>
        <w:t>、工程获奖：</w:t>
      </w:r>
    </w:p>
    <w:p>
      <w:pPr>
        <w:ind w:left="420" w:leftChars="20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企业获得奖项包括：国家级奖项；省级奖项；市（含区、县)级奖项，其中同一项目获奖按最高级别奖项只计一次得分，时间以相关工程行业协会颁发的奖项证书中载明的时间为准。工程质量奖项包括但不限于：相关工程行业协会颁发的工程优质工程奖、优良样板工程、建设工程结构优质奖、工程质量奖、建设工程金匠奖（不包含安全文明奖项、工法奖项及QC类奖项）；时间以奖项发证日期为准。（附上相关工程协会在中国社会组织政务服务平台网页中的全国社会组织信用信息公示平台查询截图）。</w:t>
      </w:r>
    </w:p>
    <w:p>
      <w:pPr>
        <w:pStyle w:val="45"/>
        <w:ind w:left="420" w:hanging="420" w:hangingChars="200"/>
        <w:rPr>
          <w:rFonts w:hint="eastAsia"/>
        </w:rPr>
      </w:pPr>
      <w:r>
        <w:rPr>
          <w:rFonts w:hint="eastAsia" w:hAnsi="宋体" w:cs="宋体"/>
          <w:b w:val="0"/>
          <w:bCs w:val="0"/>
          <w:color w:val="000000"/>
          <w:sz w:val="21"/>
          <w:szCs w:val="21"/>
          <w:lang w:val="en-US" w:eastAsia="zh-CN"/>
        </w:rPr>
        <w:t xml:space="preserve">        </w:t>
      </w:r>
      <w:r>
        <w:rPr>
          <w:rFonts w:hint="eastAsia" w:ascii="宋体" w:hAnsi="宋体" w:eastAsia="宋体" w:cs="宋体"/>
          <w:i w:val="0"/>
          <w:iCs w:val="0"/>
          <w:caps w:val="0"/>
          <w:color w:val="333333"/>
          <w:spacing w:val="0"/>
          <w:sz w:val="21"/>
          <w:szCs w:val="21"/>
          <w:u w:val="none"/>
          <w:shd w:val="clear" w:fill="FFFFFF"/>
        </w:rPr>
        <w:t>人</w:t>
      </w:r>
      <w:r>
        <w:rPr>
          <w:rFonts w:hint="eastAsia" w:ascii="宋体" w:hAnsi="宋体" w:eastAsia="宋体" w:cs="宋体"/>
          <w:b w:val="0"/>
          <w:bCs w:val="0"/>
          <w:color w:val="000000"/>
          <w:kern w:val="2"/>
          <w:sz w:val="21"/>
          <w:szCs w:val="21"/>
          <w:lang w:val="en-US" w:eastAsia="zh-CN" w:bidi="ar-SA"/>
        </w:rPr>
        <w:t>员奖项：项目管理机构能力中</w:t>
      </w:r>
      <w:r>
        <w:rPr>
          <w:rFonts w:hint="eastAsia" w:hAnsi="宋体" w:cs="宋体"/>
          <w:b w:val="0"/>
          <w:bCs w:val="0"/>
          <w:color w:val="000000"/>
          <w:kern w:val="2"/>
          <w:sz w:val="21"/>
          <w:szCs w:val="21"/>
          <w:lang w:val="en-US" w:eastAsia="zh-CN" w:bidi="ar-SA"/>
        </w:rPr>
        <w:t>项目指挥长、</w:t>
      </w:r>
      <w:r>
        <w:rPr>
          <w:rFonts w:hint="eastAsia" w:ascii="宋体" w:hAnsi="宋体" w:eastAsia="宋体" w:cs="宋体"/>
          <w:b w:val="0"/>
          <w:bCs w:val="0"/>
          <w:color w:val="000000"/>
          <w:kern w:val="2"/>
          <w:sz w:val="21"/>
          <w:szCs w:val="21"/>
          <w:lang w:val="en-US" w:eastAsia="zh-CN" w:bidi="ar-SA"/>
        </w:rPr>
        <w:t>技术负责人、质量负责人、安全负责人、造价负责人的“工程质量奖项”具体要求取自相关协会颁发市（含区、县)级或以上获奖证书信息。如果获奖证书不能体现相关负责人名字，投标人则需在投标文件中提供证明相关负责人担任对应职位或参与完成的竣工验收报告或竣工验收备案表体现该人员姓名作为证明文件扫描件并加盖投标人电子印章，不符合上述条件或未提供上述资料或无加盖投标单位电子公章的不得分</w:t>
      </w:r>
      <w:r>
        <w:rPr>
          <w:rFonts w:hint="eastAsia" w:ascii="宋体" w:hAnsi="宋体" w:eastAsia="宋体" w:cs="宋体"/>
          <w:b w:val="0"/>
          <w:bCs w:val="0"/>
          <w:color w:val="000000"/>
          <w:sz w:val="21"/>
          <w:szCs w:val="21"/>
        </w:rPr>
        <w:t>（</w:t>
      </w:r>
      <w:r>
        <w:rPr>
          <w:rFonts w:hint="eastAsia" w:hAnsi="宋体" w:cs="宋体"/>
          <w:b w:val="0"/>
          <w:bCs w:val="0"/>
          <w:color w:val="000000"/>
          <w:sz w:val="21"/>
          <w:szCs w:val="21"/>
          <w:lang w:val="en-US" w:eastAsia="zh-CN"/>
        </w:rPr>
        <w:t>需</w:t>
      </w:r>
      <w:r>
        <w:rPr>
          <w:rFonts w:hint="eastAsia" w:ascii="宋体" w:hAnsi="宋体" w:eastAsia="宋体" w:cs="宋体"/>
          <w:b w:val="0"/>
          <w:bCs w:val="0"/>
          <w:color w:val="000000"/>
          <w:sz w:val="21"/>
          <w:szCs w:val="21"/>
        </w:rPr>
        <w:t>附上相关工程协会在中国社会组织政务服务平台网页中的全国社会组织信用信息公示平台查询截图）</w:t>
      </w:r>
      <w:r>
        <w:rPr>
          <w:rFonts w:hint="eastAsia" w:ascii="宋体" w:hAnsi="宋体" w:eastAsia="宋体" w:cs="宋体"/>
          <w:b w:val="0"/>
          <w:bCs w:val="0"/>
          <w:color w:val="000000"/>
          <w:kern w:val="2"/>
          <w:sz w:val="21"/>
          <w:szCs w:val="21"/>
          <w:lang w:val="en-US" w:eastAsia="zh-CN" w:bidi="ar-SA"/>
        </w:rPr>
        <w:t>。</w:t>
      </w:r>
    </w:p>
    <w:p>
      <w:pPr>
        <w:ind w:left="420" w:left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4、工程研发能力：</w:t>
      </w:r>
      <w:r>
        <w:rPr>
          <w:rFonts w:hint="eastAsia" w:ascii="宋体" w:hAnsi="宋体" w:eastAsia="宋体" w:cs="宋体"/>
          <w:color w:val="000000"/>
          <w:sz w:val="21"/>
          <w:szCs w:val="21"/>
          <w:highlight w:val="none"/>
        </w:rPr>
        <w:t>软件著作权以证书所列主要完成单位为准，软件著作权时间以登记日加盖国家版权局登记专用章时间为准。投标人须提供证书扫描件和软件著作权在中国版权保护中心http://www.ccopyright.com.cn/的查询打印页，不满足上述情况的或未按要求提供证明材料的，不得分。若出现排名相同的则名次并列，占用下一名次【证书个数相同的投标单位，按同一排名计分：假设证书个数相同的投标单位为M个，按同一排名名次为N，证书个数与之紧接的下一个单位的排名名次为（M+N），如此类推】。</w:t>
      </w:r>
    </w:p>
    <w:p>
      <w:pPr>
        <w:ind w:left="420" w:left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5、第三方评价</w:t>
      </w:r>
      <w:r>
        <w:rPr>
          <w:rFonts w:hint="eastAsia" w:ascii="宋体" w:hAnsi="宋体" w:eastAsia="宋体" w:cs="宋体"/>
          <w:color w:val="000000"/>
          <w:sz w:val="21"/>
          <w:szCs w:val="21"/>
          <w:highlight w:val="none"/>
        </w:rPr>
        <w:t>：</w:t>
      </w:r>
    </w:p>
    <w:p>
      <w:pPr>
        <w:ind w:left="420" w:leftChars="200"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zCs w:val="21"/>
        </w:rPr>
        <w:t>提供省级（</w:t>
      </w:r>
      <w:r>
        <w:rPr>
          <w:rFonts w:hint="eastAsia" w:ascii="宋体" w:hAnsi="宋体" w:eastAsia="宋体" w:cs="宋体"/>
          <w:szCs w:val="21"/>
          <w:highlight w:val="none"/>
        </w:rPr>
        <w:t>含副省级）或以上工程行业协会颁发的“诚信企业”证书扫描件，诚信企业评价以工程行业协会颁发的证书中载明的时间为准（行业协会需是省（含副省级</w:t>
      </w:r>
      <w:r>
        <w:rPr>
          <w:rFonts w:hint="eastAsia" w:ascii="宋体" w:hAnsi="宋体" w:eastAsia="宋体" w:cs="宋体"/>
          <w:szCs w:val="21"/>
          <w:highlight w:val="none"/>
          <w:lang w:eastAsia="zh-CN"/>
        </w:rPr>
        <w:t>市</w:t>
      </w:r>
      <w:r>
        <w:rPr>
          <w:rFonts w:hint="eastAsia" w:ascii="宋体" w:hAnsi="宋体" w:eastAsia="宋体" w:cs="宋体"/>
          <w:szCs w:val="21"/>
          <w:highlight w:val="none"/>
        </w:rPr>
        <w:t>）或以上建设行</w:t>
      </w:r>
      <w:r>
        <w:rPr>
          <w:rFonts w:hint="eastAsia" w:ascii="宋体" w:hAnsi="宋体" w:eastAsia="宋体" w:cs="宋体"/>
          <w:szCs w:val="21"/>
        </w:rPr>
        <w:t>政主管部门或经相关行政主管部门批准或指导成立的工程行业协会</w:t>
      </w:r>
      <w:r>
        <w:rPr>
          <w:rFonts w:hint="eastAsia" w:ascii="宋体" w:hAnsi="宋体" w:eastAsia="宋体" w:cs="宋体"/>
          <w:szCs w:val="21"/>
          <w:lang w:eastAsia="zh-CN"/>
        </w:rPr>
        <w:t>（</w:t>
      </w:r>
      <w:r>
        <w:rPr>
          <w:rFonts w:hint="eastAsia" w:ascii="宋体" w:hAnsi="宋体" w:eastAsia="宋体" w:cs="宋体"/>
          <w:szCs w:val="21"/>
        </w:rPr>
        <w:t>附上在中国社会组织政务服务平台网页中的全国社会组织信用信息公示平台查询截图）。</w:t>
      </w:r>
      <w:r>
        <w:rPr>
          <w:rFonts w:hint="eastAsia" w:ascii="宋体" w:hAnsi="宋体" w:cs="宋体"/>
          <w:szCs w:val="21"/>
          <w:lang w:val="en-US" w:eastAsia="zh-CN"/>
        </w:rPr>
        <w:t>近一年获得的</w:t>
      </w:r>
      <w:r>
        <w:rPr>
          <w:rFonts w:hint="eastAsia" w:ascii="宋体" w:hAnsi="宋体" w:eastAsia="宋体" w:cs="宋体"/>
          <w:szCs w:val="21"/>
          <w:highlight w:val="none"/>
        </w:rPr>
        <w:t>“诚信企业”</w:t>
      </w:r>
      <w:r>
        <w:rPr>
          <w:rFonts w:hint="eastAsia" w:ascii="宋体" w:hAnsi="宋体" w:eastAsia="宋体" w:cs="宋体"/>
          <w:szCs w:val="21"/>
          <w:highlight w:val="none"/>
          <w:lang w:val="en-US" w:eastAsia="zh-CN"/>
        </w:rPr>
        <w:t>证书需提供相关工程协会或建设行政主管部门的网页查询路径和公示文件截图打印</w:t>
      </w:r>
      <w:r>
        <w:rPr>
          <w:rFonts w:hint="eastAsia" w:ascii="宋体" w:hAnsi="宋体" w:eastAsia="宋体" w:cs="宋体"/>
          <w:i w:val="0"/>
          <w:iCs w:val="0"/>
          <w:caps w:val="0"/>
          <w:color w:val="333333"/>
          <w:spacing w:val="0"/>
          <w:kern w:val="0"/>
          <w:sz w:val="21"/>
          <w:szCs w:val="21"/>
          <w:u w:val="none"/>
          <w:shd w:val="clear" w:fill="FFFFFF"/>
          <w:lang w:val="en-US" w:eastAsia="zh-CN" w:bidi="ar"/>
        </w:rPr>
        <w:t>并加盖投标人企业电子印章</w:t>
      </w:r>
      <w:r>
        <w:rPr>
          <w:rFonts w:hint="eastAsia" w:ascii="宋体" w:hAnsi="宋体" w:eastAsia="宋体" w:cs="宋体"/>
          <w:szCs w:val="21"/>
          <w:highlight w:val="none"/>
          <w:lang w:val="en-US" w:eastAsia="zh-CN"/>
        </w:rPr>
        <w:t>。</w:t>
      </w:r>
      <w:r>
        <w:rPr>
          <w:rFonts w:hint="eastAsia" w:ascii="宋体" w:hAnsi="宋体" w:eastAsia="宋体" w:cs="宋体"/>
          <w:szCs w:val="21"/>
        </w:rPr>
        <w:t>不符合上述条件或未按上述要求提供证明文件的，否则不得分。</w:t>
      </w:r>
    </w:p>
    <w:p>
      <w:pPr>
        <w:ind w:left="420" w:leftChars="200"/>
      </w:pPr>
      <w:r>
        <w:rPr>
          <w:rFonts w:hint="eastAsia" w:ascii="宋体" w:hAnsi="宋体" w:cs="宋体"/>
          <w:b/>
          <w:bCs/>
          <w:kern w:val="2"/>
          <w:sz w:val="21"/>
          <w:szCs w:val="22"/>
          <w:highlight w:val="none"/>
          <w:lang w:val="en-US" w:eastAsia="zh-CN" w:bidi="ar-SA"/>
        </w:rPr>
        <w:t>6</w:t>
      </w:r>
      <w:r>
        <w:rPr>
          <w:rFonts w:hint="eastAsia" w:ascii="宋体" w:hAnsi="宋体" w:eastAsia="宋体" w:cs="宋体"/>
          <w:b/>
          <w:bCs/>
          <w:kern w:val="2"/>
          <w:sz w:val="21"/>
          <w:szCs w:val="22"/>
          <w:highlight w:val="none"/>
          <w:lang w:val="en-US" w:eastAsia="zh-CN" w:bidi="ar-SA"/>
        </w:rPr>
        <w:t>、</w:t>
      </w:r>
      <w:r>
        <w:rPr>
          <w:rFonts w:hint="eastAsia" w:ascii="宋体" w:hAnsi="宋体" w:eastAsia="宋体" w:cs="宋体"/>
          <w:color w:val="000000"/>
          <w:sz w:val="21"/>
          <w:szCs w:val="21"/>
          <w:highlight w:val="none"/>
        </w:rPr>
        <w:t>所有评委每个分项的分数汇总后去掉一个最高分和一个最低分的算术平均值为投标人的最终得分。分数出现小数点，保留小数点后二位小数，第三位小数四舍五入。</w:t>
      </w:r>
    </w:p>
    <w:p>
      <w:pPr>
        <w:rPr>
          <w:rFonts w:ascii="宋体" w:hAnsi="宋体" w:cs="宋体"/>
          <w:color w:val="0000FF"/>
          <w:kern w:val="0"/>
          <w:szCs w:val="21"/>
          <w:lang w:val="zh-TW" w:eastAsia="zh-TW"/>
        </w:rPr>
      </w:pPr>
    </w:p>
    <w:p>
      <w:pPr>
        <w:ind w:firstLine="210" w:firstLineChars="1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 xml:space="preserve">评委签名：                                                                             </w:t>
      </w:r>
      <w:r>
        <w:rPr>
          <w:rFonts w:hint="eastAsia" w:ascii="宋体" w:hAnsi="宋体" w:cs="宋体"/>
          <w:color w:val="000000" w:themeColor="text1"/>
          <w:kern w:val="0"/>
          <w:szCs w:val="21"/>
          <w14:textFill>
            <w14:solidFill>
              <w14:schemeClr w14:val="tx1"/>
            </w14:solidFill>
          </w14:textFill>
        </w:rPr>
        <w:t xml:space="preserve">      日期：     年   月   日</w:t>
      </w:r>
    </w:p>
    <w:p>
      <w:pPr>
        <w:rPr>
          <w:rFonts w:hint="eastAsia"/>
          <w:color w:val="000000" w:themeColor="text1"/>
          <w:szCs w:val="21"/>
          <w:highlight w:val="none"/>
          <w14:textFill>
            <w14:solidFill>
              <w14:schemeClr w14:val="tx1"/>
            </w14:solidFill>
          </w14:textFill>
        </w:rPr>
      </w:pPr>
    </w:p>
    <w:p>
      <w:pPr>
        <w:pStyle w:val="2"/>
        <w:rPr>
          <w:rFonts w:hint="eastAsia"/>
          <w:color w:val="000000" w:themeColor="text1"/>
          <w:szCs w:val="21"/>
          <w:highlight w:val="none"/>
          <w14:textFill>
            <w14:solidFill>
              <w14:schemeClr w14:val="tx1"/>
            </w14:solidFill>
          </w14:textFill>
        </w:rPr>
      </w:pPr>
    </w:p>
    <w:p>
      <w:pPr>
        <w:pStyle w:val="2"/>
        <w:rPr>
          <w:rFonts w:hint="eastAsia"/>
          <w:color w:val="000000" w:themeColor="text1"/>
          <w:szCs w:val="21"/>
          <w:highlight w:val="none"/>
          <w14:textFill>
            <w14:solidFill>
              <w14:schemeClr w14:val="tx1"/>
            </w14:solidFill>
          </w14:textFill>
        </w:rPr>
      </w:pPr>
    </w:p>
    <w:p>
      <w:pPr>
        <w:pStyle w:val="2"/>
        <w:rPr>
          <w:rFonts w:hint="eastAsia"/>
          <w:color w:val="000000" w:themeColor="text1"/>
          <w:szCs w:val="21"/>
          <w:highlight w:val="none"/>
          <w14:textFill>
            <w14:solidFill>
              <w14:schemeClr w14:val="tx1"/>
            </w14:solidFill>
          </w14:textFill>
        </w:rPr>
      </w:pPr>
    </w:p>
    <w:p>
      <w:pPr>
        <w:pStyle w:val="2"/>
        <w:rPr>
          <w:rFonts w:hint="eastAsia"/>
          <w:color w:val="000000" w:themeColor="text1"/>
          <w:szCs w:val="21"/>
          <w:highlight w:val="none"/>
          <w14:textFill>
            <w14:solidFill>
              <w14:schemeClr w14:val="tx1"/>
            </w14:solidFill>
          </w14:textFill>
        </w:rPr>
      </w:pPr>
    </w:p>
    <w:p>
      <w:pPr>
        <w:pStyle w:val="2"/>
        <w:rPr>
          <w:rFonts w:hint="eastAsia"/>
          <w:color w:val="000000" w:themeColor="text1"/>
          <w:szCs w:val="21"/>
          <w:highlight w:val="none"/>
          <w14:textFill>
            <w14:solidFill>
              <w14:schemeClr w14:val="tx1"/>
            </w14:solidFill>
          </w14:textFill>
        </w:rPr>
      </w:pPr>
    </w:p>
    <w:p>
      <w:pPr>
        <w:pStyle w:val="2"/>
        <w:rPr>
          <w:rFonts w:hint="eastAsia"/>
          <w:color w:val="000000" w:themeColor="text1"/>
          <w:szCs w:val="21"/>
          <w:highlight w:val="none"/>
          <w14:textFill>
            <w14:solidFill>
              <w14:schemeClr w14:val="tx1"/>
            </w14:solidFill>
          </w14:textFill>
        </w:rPr>
      </w:pPr>
    </w:p>
    <w:p>
      <w:pPr>
        <w:rPr>
          <w:rFonts w:hint="eastAsia"/>
          <w:color w:val="000000" w:themeColor="text1"/>
          <w:szCs w:val="21"/>
          <w:highlight w:val="none"/>
          <w14:textFill>
            <w14:solidFill>
              <w14:schemeClr w14:val="tx1"/>
            </w14:solidFill>
          </w14:textFill>
        </w:rPr>
      </w:pP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附表五（适用于加权平均法）</w:t>
      </w:r>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经济标评分表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ascii="宋体" w:hAnsi="宋体"/>
                <w:color w:val="000000" w:themeColor="text1"/>
                <w:szCs w:val="21"/>
                <w:highlight w:val="none"/>
                <w14:textFill>
                  <w14:solidFill>
                    <w14:schemeClr w14:val="tx1"/>
                  </w14:solidFill>
                </w14:textFill>
              </w:rPr>
              <w:t>PT</w:t>
            </w:r>
            <w:r>
              <w:rPr>
                <w:rFonts w:hint="eastAsia" w:ascii="宋体" w:hAnsi="宋体"/>
                <w:color w:val="000000" w:themeColor="text1"/>
                <w:szCs w:val="21"/>
                <w:highlight w:val="none"/>
                <w14:textFill>
                  <w14:solidFill>
                    <w14:schemeClr w14:val="tx1"/>
                  </w14:solidFill>
                </w14:textFill>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w:t>
            </w:r>
            <w:r>
              <w:rPr>
                <w:rFonts w:ascii="宋体" w:hAnsi="宋体"/>
                <w:color w:val="000000" w:themeColor="text1"/>
                <w:szCs w:val="21"/>
                <w:highlight w:val="none"/>
                <w14:textFill>
                  <w14:solidFill>
                    <w14:schemeClr w14:val="tx1"/>
                  </w14:solidFill>
                </w14:textFill>
              </w:rPr>
              <w:t>PT-PC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减分（</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得分</w:t>
            </w:r>
            <w:r>
              <w:rPr>
                <w:rFonts w:ascii="宋体" w:hAnsi="宋体"/>
                <w:color w:val="000000" w:themeColor="text1"/>
                <w:szCs w:val="21"/>
                <w:highlight w:val="none"/>
                <w14:textFill>
                  <w14:solidFill>
                    <w14:schemeClr w14:val="tx1"/>
                  </w14:solidFill>
                </w14:textFill>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评委签名：</w:t>
      </w:r>
      <w:r>
        <w:rPr>
          <w:b/>
          <w:color w:val="000000" w:themeColor="text1"/>
          <w:sz w:val="36"/>
          <w:szCs w:val="36"/>
          <w:highlight w:val="none"/>
          <w14:textFill>
            <w14:solidFill>
              <w14:schemeClr w14:val="tx1"/>
            </w14:solidFill>
          </w14:textFill>
        </w:rPr>
        <w:br w:type="page"/>
      </w:r>
    </w:p>
    <w:p>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附表六</w:t>
      </w:r>
    </w:p>
    <w:p>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算术复核表</w:t>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工程名称：                                           投标人:                                                  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修正前投标</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修正后投标</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修正率</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∑A=A</w:t>
            </w:r>
            <w:r>
              <w:rPr>
                <w:rFonts w:hint="eastAsia" w:ascii="宋体" w:hAnsi="宋体" w:eastAsia="宋体" w:cs="宋体"/>
                <w:color w:val="000000" w:themeColor="text1"/>
                <w:kern w:val="0"/>
                <w:szCs w:val="21"/>
                <w:highlight w:val="none"/>
                <w:vertAlign w:val="subscript"/>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+A</w:t>
            </w:r>
            <w:r>
              <w:rPr>
                <w:rFonts w:hint="eastAsia" w:ascii="宋体" w:hAnsi="宋体" w:eastAsia="宋体" w:cs="宋体"/>
                <w:color w:val="000000" w:themeColor="text1"/>
                <w:kern w:val="0"/>
                <w:szCs w:val="21"/>
                <w:highlight w:val="none"/>
                <w:vertAlign w:val="sub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+…An；∑B=B</w:t>
            </w:r>
            <w:r>
              <w:rPr>
                <w:rFonts w:hint="eastAsia" w:ascii="宋体" w:hAnsi="宋体" w:eastAsia="宋体" w:cs="宋体"/>
                <w:color w:val="000000" w:themeColor="text1"/>
                <w:kern w:val="0"/>
                <w:szCs w:val="21"/>
                <w:highlight w:val="none"/>
                <w:vertAlign w:val="subscript"/>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+B</w:t>
            </w:r>
            <w:r>
              <w:rPr>
                <w:rFonts w:hint="eastAsia" w:ascii="宋体" w:hAnsi="宋体" w:eastAsia="宋体" w:cs="宋体"/>
                <w:color w:val="000000" w:themeColor="text1"/>
                <w:kern w:val="0"/>
                <w:szCs w:val="21"/>
                <w:highlight w:val="none"/>
                <w:vertAlign w:val="sub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+…Bn</w:t>
            </w:r>
          </w:p>
        </w:tc>
      </w:tr>
    </w:tbl>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修正原则：</w:t>
      </w:r>
      <w:r>
        <w:rPr>
          <w:rFonts w:hint="eastAsia" w:ascii="宋体" w:hAnsi="宋体" w:cs="宋体"/>
          <w:color w:val="000000" w:themeColor="text1"/>
          <w:szCs w:val="21"/>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000000" w:themeColor="text1"/>
          <w:kern w:val="0"/>
          <w:szCs w:val="21"/>
          <w:highlight w:val="none"/>
          <w14:textFill>
            <w14:solidFill>
              <w14:schemeClr w14:val="tx1"/>
            </w14:solidFill>
          </w14:textFill>
        </w:rPr>
        <w:tab/>
      </w:r>
    </w:p>
    <w:p>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评委签名：</w:t>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日期：</w:t>
      </w:r>
    </w:p>
    <w:p>
      <w:pPr>
        <w:rPr>
          <w:rFonts w:hint="eastAsia"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算术复核表</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bl>
      <w:tblPr>
        <w:tblStyle w:val="35"/>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原投标报价（A）</w:t>
            </w: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1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themeColor="text1"/>
                <w:sz w:val="36"/>
                <w:szCs w:val="36"/>
                <w:highlight w:val="none"/>
                <w14:textFill>
                  <w14:solidFill>
                    <w14:schemeClr w14:val="tx1"/>
                  </w14:solidFill>
                </w14:textFill>
              </w:rPr>
            </w:pPr>
          </w:p>
        </w:tc>
      </w:tr>
    </w:tbl>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评委签名：</w:t>
      </w:r>
    </w:p>
    <w:p>
      <w:pPr>
        <w:spacing w:line="360" w:lineRule="auto"/>
        <w:jc w:val="center"/>
        <w:rPr>
          <w:rFonts w:hint="eastAsia" w:ascii="宋体" w:hAnsi="宋体" w:cs="宋体"/>
          <w:color w:val="000000" w:themeColor="text1"/>
          <w:szCs w:val="21"/>
          <w:highlight w:val="none"/>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endnotePr>
            <w:numFmt w:val="decimal"/>
          </w:endnotePr>
          <w:pgSz w:w="16838" w:h="11906" w:orient="landscape"/>
          <w:pgMar w:top="1090" w:right="1247" w:bottom="1418" w:left="1134" w:header="851" w:footer="907" w:gutter="0"/>
          <w:pgNumType w:fmt="decimal"/>
          <w:cols w:space="720" w:num="1"/>
          <w:titlePg/>
          <w:docGrid w:type="lines" w:linePitch="312" w:charSpace="0"/>
        </w:sectPr>
      </w:pPr>
    </w:p>
    <w:p>
      <w:pPr>
        <w:pStyle w:val="3"/>
        <w:jc w:val="center"/>
        <w:rPr>
          <w:color w:val="000000" w:themeColor="text1"/>
          <w:highlight w:val="none"/>
          <w14:textFill>
            <w14:solidFill>
              <w14:schemeClr w14:val="tx1"/>
            </w14:solidFill>
          </w14:textFill>
        </w:rPr>
      </w:pPr>
      <w:bookmarkStart w:id="66" w:name="_Toc2272566"/>
      <w:bookmarkStart w:id="67" w:name="_Toc7242"/>
      <w:bookmarkStart w:id="68" w:name="_Toc21525511"/>
      <w:bookmarkStart w:id="69" w:name="_Toc12169"/>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bookmarkEnd w:id="66"/>
      <w:bookmarkEnd w:id="67"/>
      <w:bookmarkEnd w:id="68"/>
      <w:bookmarkEnd w:id="69"/>
    </w:p>
    <w:p>
      <w:pPr>
        <w:pStyle w:val="33"/>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 按《建设项目工程总承包合同示范文本(试行)》(GF-2011-0216) 执行， 另册。</w:t>
      </w: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33"/>
        <w:spacing w:line="360" w:lineRule="auto"/>
        <w:rPr>
          <w:color w:val="000000" w:themeColor="text1"/>
          <w:sz w:val="24"/>
          <w:szCs w:val="24"/>
          <w:highlight w:val="none"/>
          <w14:textFill>
            <w14:solidFill>
              <w14:schemeClr w14:val="tx1"/>
            </w14:solidFill>
          </w14:textFill>
        </w:rPr>
      </w:pPr>
    </w:p>
    <w:p>
      <w:pPr>
        <w:pStyle w:val="18"/>
        <w:spacing w:line="360" w:lineRule="auto"/>
        <w:rPr>
          <w:color w:val="000000" w:themeColor="text1"/>
          <w:sz w:val="24"/>
          <w:szCs w:val="24"/>
          <w:highlight w:val="none"/>
          <w14:textFill>
            <w14:solidFill>
              <w14:schemeClr w14:val="tx1"/>
            </w14:solidFill>
          </w14:textFill>
        </w:rPr>
      </w:pPr>
    </w:p>
    <w:p>
      <w:pPr>
        <w:pStyle w:val="18"/>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3"/>
        <w:jc w:val="center"/>
        <w:rPr>
          <w:color w:val="000000" w:themeColor="text1"/>
          <w:highlight w:val="none"/>
          <w14:textFill>
            <w14:solidFill>
              <w14:schemeClr w14:val="tx1"/>
            </w14:solidFill>
          </w14:textFill>
        </w:rPr>
      </w:pPr>
      <w:bookmarkStart w:id="70" w:name="_Toc25677"/>
      <w:bookmarkStart w:id="71" w:name="_Toc21525512"/>
      <w:bookmarkStart w:id="72" w:name="_Toc2272567"/>
      <w:bookmarkStart w:id="73" w:name="_Toc17574"/>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70"/>
      <w:bookmarkEnd w:id="71"/>
      <w:bookmarkEnd w:id="72"/>
      <w:bookmarkEnd w:id="73"/>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autoSpaceDE w:val="0"/>
        <w:autoSpaceDN w:val="0"/>
        <w:adjustRightInd w:val="0"/>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
      <w:pPr>
        <w:numPr>
          <w:ilvl w:val="0"/>
          <w:numId w:val="5"/>
        </w:numPr>
        <w:spacing w:line="360" w:lineRule="auto"/>
        <w:jc w:val="center"/>
        <w:rPr>
          <w:rFonts w:hint="eastAsia" w:ascii="宋体" w:hAnsi="宋体" w:cs="宋体"/>
          <w:b/>
          <w:sz w:val="32"/>
          <w:szCs w:val="32"/>
        </w:rPr>
      </w:pPr>
      <w:r>
        <w:rPr>
          <w:rFonts w:hint="eastAsia" w:ascii="宋体" w:hAnsi="宋体" w:cs="宋体"/>
          <w:b/>
          <w:sz w:val="32"/>
          <w:szCs w:val="32"/>
        </w:rPr>
        <w:t>技术标投标文件（含资格审查文件）</w:t>
      </w: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pStyle w:val="4"/>
        <w:numPr>
          <w:ilvl w:val="0"/>
          <w:numId w:val="0"/>
        </w:numPr>
      </w:pPr>
    </w:p>
    <w:p>
      <w:pPr>
        <w:spacing w:line="360" w:lineRule="auto"/>
        <w:rPr>
          <w:rFonts w:ascii="宋体" w:hAnsi="宋体" w:cs="宋体"/>
          <w:sz w:val="24"/>
        </w:rPr>
      </w:pPr>
      <w:r>
        <w:rPr>
          <w:color w:val="000000" w:themeColor="text1"/>
          <w:highlight w:val="none"/>
          <w14:textFill>
            <w14:solidFill>
              <w14:schemeClr w14:val="tx1"/>
            </w14:solidFill>
          </w14:textFill>
        </w:rPr>
        <w:br w:type="page"/>
      </w:r>
      <w:r>
        <w:rPr>
          <w:rFonts w:hint="eastAsia" w:ascii="宋体" w:hAnsi="宋体" w:cs="宋体"/>
          <w:sz w:val="24"/>
        </w:rPr>
        <w:t>一、技术标投标文件（含资格审查文件）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2"/>
        <w:rPr>
          <w:rFonts w:ascii="宋体" w:hAnsi="宋体" w:eastAsia="宋体" w:cs="宋体"/>
          <w:u w:val="single"/>
        </w:rPr>
      </w:pPr>
      <w:r>
        <w:rPr>
          <w:rFonts w:hint="eastAsia" w:ascii="宋体" w:hAnsi="宋体" w:eastAsia="宋体" w:cs="宋体"/>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cs="宋体"/>
          <w:highlight w:val="none"/>
        </w:rPr>
      </w:pPr>
      <w:r>
        <w:rPr>
          <w:rFonts w:hint="eastAsia" w:ascii="宋体" w:hAnsi="宋体" w:eastAsia="宋体" w:cs="宋体"/>
          <w:highlight w:val="none"/>
        </w:rPr>
        <w:t>投标文件</w:t>
      </w:r>
    </w:p>
    <w:p>
      <w:pPr>
        <w:pStyle w:val="122"/>
        <w:rPr>
          <w:rFonts w:ascii="宋体" w:hAnsi="宋体" w:eastAsia="宋体" w:cs="宋体"/>
          <w:highlight w:val="none"/>
        </w:rPr>
      </w:pPr>
      <w:r>
        <w:rPr>
          <w:rFonts w:hint="eastAsia" w:ascii="宋体" w:hAnsi="宋体" w:eastAsia="宋体"/>
          <w:b w:val="0"/>
          <w:highlight w:val="none"/>
        </w:rPr>
        <w:t>技术标投标文件（含资格审查文件）</w:t>
      </w: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1"/>
        <w:ind w:firstLine="496"/>
        <w:rPr>
          <w:rFonts w:ascii="宋体" w:hAnsi="宋体" w:cs="宋体"/>
          <w:highlight w:val="none"/>
        </w:rPr>
      </w:pPr>
    </w:p>
    <w:p>
      <w:pPr>
        <w:pStyle w:val="124"/>
        <w:ind w:firstLine="616"/>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（填写投标人单位名称）  （盖章）</w:t>
      </w:r>
    </w:p>
    <w:p>
      <w:pPr>
        <w:pStyle w:val="121"/>
        <w:ind w:firstLine="496"/>
        <w:rPr>
          <w:rFonts w:hint="eastAsia"/>
          <w:highlight w:val="none"/>
        </w:rPr>
      </w:pPr>
    </w:p>
    <w:p>
      <w:pPr>
        <w:pStyle w:val="124"/>
        <w:ind w:firstLine="616"/>
        <w:rPr>
          <w:rFonts w:ascii="宋体" w:hAnsi="宋体"/>
          <w:highlight w:val="none"/>
        </w:rPr>
      </w:pPr>
      <w:r>
        <w:rPr>
          <w:rFonts w:hint="eastAsia" w:ascii="宋体" w:hAnsi="宋体"/>
          <w:highlight w:val="none"/>
        </w:rPr>
        <w:t>法定代表人或</w:t>
      </w:r>
    </w:p>
    <w:p>
      <w:pPr>
        <w:pStyle w:val="124"/>
        <w:ind w:firstLine="616"/>
        <w:rPr>
          <w:rFonts w:ascii="宋体" w:hAnsi="宋体"/>
          <w:highlight w:val="none"/>
        </w:rPr>
      </w:pPr>
      <w:r>
        <w:rPr>
          <w:rFonts w:hint="eastAsia" w:ascii="宋体" w:hAnsi="宋体"/>
          <w:highlight w:val="none"/>
        </w:rPr>
        <w:t>其委托代理人：</w:t>
      </w:r>
      <w:r>
        <w:rPr>
          <w:rFonts w:hint="eastAsia" w:ascii="宋体" w:hAnsi="宋体"/>
          <w:highlight w:val="none"/>
          <w:u w:val="single"/>
        </w:rPr>
        <w:t xml:space="preserve">                        （签名或盖章）</w:t>
      </w:r>
    </w:p>
    <w:p>
      <w:pPr>
        <w:pStyle w:val="124"/>
        <w:ind w:firstLine="616"/>
        <w:rPr>
          <w:rFonts w:ascii="宋体" w:hAnsi="宋体"/>
          <w:highlight w:val="none"/>
          <w:u w:val="single"/>
        </w:rPr>
      </w:pPr>
      <w:r>
        <w:rPr>
          <w:rFonts w:hint="eastAsia" w:ascii="宋体" w:hAnsi="宋体"/>
          <w:highlight w:val="none"/>
        </w:rPr>
        <w:t>日  期：</w:t>
      </w:r>
      <w:r>
        <w:rPr>
          <w:rFonts w:hint="eastAsia" w:ascii="宋体" w:hAnsi="宋体"/>
          <w:highlight w:val="none"/>
          <w:u w:val="single"/>
        </w:rPr>
        <w:t xml:space="preserve">                                            </w:t>
      </w:r>
    </w:p>
    <w:p>
      <w:pPr>
        <w:pStyle w:val="121"/>
        <w:ind w:firstLine="496"/>
        <w:rPr>
          <w:rFonts w:ascii="宋体" w:hAnsi="宋体" w:cs="宋体"/>
        </w:rPr>
      </w:pPr>
    </w:p>
    <w:p>
      <w:pPr>
        <w:autoSpaceDE/>
        <w:autoSpaceDN/>
        <w:adjustRightInd/>
        <w:spacing w:line="360" w:lineRule="auto"/>
        <w:rPr>
          <w:rFonts w:hint="eastAsia" w:ascii="宋体" w:hAnsi="宋体" w:cs="宋体"/>
          <w:bCs w:val="0"/>
          <w:color w:val="auto"/>
          <w:sz w:val="24"/>
          <w:szCs w:val="22"/>
          <w:highlight w:val="none"/>
        </w:rPr>
      </w:pPr>
    </w:p>
    <w:p>
      <w:pPr>
        <w:autoSpaceDE/>
        <w:autoSpaceDN/>
        <w:adjustRightInd/>
        <w:spacing w:line="360" w:lineRule="auto"/>
        <w:rPr>
          <w:rFonts w:hint="eastAsia" w:ascii="宋体" w:hAnsi="宋体" w:eastAsia="宋体" w:cs="宋体"/>
          <w:b w:val="0"/>
          <w:bCs w:val="0"/>
          <w:color w:val="auto"/>
          <w:sz w:val="24"/>
          <w:szCs w:val="22"/>
          <w:highlight w:val="none"/>
          <w:lang w:val="zh-CN" w:eastAsia="zh-CN"/>
        </w:rPr>
      </w:pPr>
      <w:r>
        <w:rPr>
          <w:rFonts w:hint="eastAsia" w:ascii="宋体" w:hAnsi="宋体" w:cs="宋体"/>
          <w:bCs w:val="0"/>
          <w:color w:val="auto"/>
          <w:sz w:val="24"/>
          <w:szCs w:val="22"/>
          <w:highlight w:val="none"/>
        </w:rPr>
        <w:t>格式</w:t>
      </w:r>
      <w:r>
        <w:rPr>
          <w:rFonts w:hint="eastAsia" w:ascii="宋体" w:hAnsi="宋体" w:cs="宋体"/>
          <w:bCs w:val="0"/>
          <w:sz w:val="24"/>
          <w:szCs w:val="22"/>
          <w:lang w:val="en-US" w:eastAsia="zh-CN"/>
        </w:rPr>
        <w:t>一</w:t>
      </w:r>
      <w:r>
        <w:rPr>
          <w:rFonts w:hint="eastAsia" w:ascii="宋体" w:hAnsi="宋体" w:cs="宋体"/>
          <w:bCs w:val="0"/>
          <w:color w:val="auto"/>
          <w:sz w:val="24"/>
          <w:szCs w:val="22"/>
          <w:highlight w:val="none"/>
        </w:rPr>
        <w:t>（适用于技术标与经济标同时开启）</w:t>
      </w:r>
      <w:r>
        <w:rPr>
          <w:rFonts w:hint="eastAsia" w:ascii="宋体" w:hAnsi="宋体" w:cs="宋体"/>
          <w:bCs w:val="0"/>
          <w:color w:val="auto"/>
          <w:sz w:val="24"/>
          <w:szCs w:val="22"/>
          <w:highlight w:val="none"/>
          <w:lang w:eastAsia="zh-CN"/>
        </w:rPr>
        <w:t>：</w:t>
      </w:r>
    </w:p>
    <w:p>
      <w:pPr>
        <w:autoSpaceDE w:val="0"/>
        <w:autoSpaceDN w:val="0"/>
        <w:adjustRightInd w:val="0"/>
        <w:ind w:left="-540" w:leftChars="-257" w:firstLine="1135" w:firstLineChars="257"/>
        <w:jc w:val="center"/>
        <w:rPr>
          <w:rFonts w:ascii="宋体" w:hAnsi="宋体" w:cs="宋体"/>
          <w:b/>
          <w:bCs/>
          <w:color w:val="000000" w:themeColor="text1"/>
          <w:sz w:val="44"/>
          <w:szCs w:val="44"/>
          <w:highlight w:val="none"/>
          <w:lang w:val="zh-CN"/>
          <w14:textFill>
            <w14:solidFill>
              <w14:schemeClr w14:val="tx1"/>
            </w14:solidFill>
          </w14:textFill>
        </w:rPr>
      </w:pPr>
    </w:p>
    <w:p>
      <w:pPr>
        <w:autoSpaceDE w:val="0"/>
        <w:autoSpaceDN w:val="0"/>
        <w:adjustRightInd w:val="0"/>
        <w:ind w:left="-540" w:leftChars="-257" w:firstLine="1135" w:firstLineChars="257"/>
        <w:jc w:val="center"/>
        <w:rPr>
          <w:rFonts w:ascii="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4"/>
          <w:szCs w:val="44"/>
          <w:highlight w:val="none"/>
          <w:lang w:val="zh-CN"/>
          <w14:textFill>
            <w14:solidFill>
              <w14:schemeClr w14:val="tx1"/>
            </w14:solidFill>
          </w14:textFill>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程</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名</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法定代表人证明书及授权委托书</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投标总报价</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人工费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绿色施工安全防护措施费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w:t>
            </w:r>
            <w:r>
              <w:rPr>
                <w:rFonts w:ascii="宋体" w:hAnsi="宋体" w:cs="宋体"/>
                <w:b/>
                <w:color w:val="000000" w:themeColor="text1"/>
                <w:sz w:val="24"/>
                <w:szCs w:val="24"/>
                <w:highlight w:val="none"/>
                <w:lang w:val="zh-CN"/>
                <w14:textFill>
                  <w14:solidFill>
                    <w14:schemeClr w14:val="tx1"/>
                  </w14:solidFill>
                </w14:textFill>
              </w:rPr>
              <w:t xml:space="preserve"> </w:t>
            </w:r>
            <w:r>
              <w:rPr>
                <w:rFonts w:hint="eastAsia" w:ascii="宋体" w:hAnsi="宋体" w:cs="宋体"/>
                <w:b/>
                <w:color w:val="000000" w:themeColor="text1"/>
                <w:sz w:val="24"/>
                <w:szCs w:val="24"/>
                <w:highlight w:val="none"/>
                <w:lang w:val="zh-CN"/>
                <w14:textFill>
                  <w14:solidFill>
                    <w14:schemeClr w14:val="tx1"/>
                  </w14:solidFill>
                </w14:textFill>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施工组织设计或施工方案的承诺书</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highlight w:val="none"/>
                <w:lang w:val="zh-CN"/>
                <w14:textFill>
                  <w14:solidFill>
                    <w14:schemeClr w14:val="tx1"/>
                  </w14:solidFill>
                </w14:textFill>
              </w:rPr>
            </w:pPr>
          </w:p>
        </w:tc>
      </w:tr>
    </w:tbl>
    <w:p>
      <w:pPr>
        <w:tabs>
          <w:tab w:val="left" w:pos="720"/>
        </w:tabs>
        <w:snapToGrid w:val="0"/>
        <w:spacing w:line="360" w:lineRule="auto"/>
        <w:rPr>
          <w:color w:val="000000" w:themeColor="text1"/>
          <w:sz w:val="24"/>
          <w:szCs w:val="24"/>
          <w:highlight w:val="none"/>
          <w14:textFill>
            <w14:solidFill>
              <w14:schemeClr w14:val="tx1"/>
            </w14:solidFill>
          </w14:textFill>
        </w:rPr>
      </w:pPr>
    </w:p>
    <w:p>
      <w:pPr>
        <w:tabs>
          <w:tab w:val="left" w:pos="720"/>
        </w:tabs>
        <w:snapToGrid w:val="0"/>
        <w:spacing w:line="360" w:lineRule="auto"/>
        <w:jc w:val="left"/>
        <w:rPr>
          <w:rFonts w:hint="eastAsia"/>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14:textFill>
            <w14:solidFill>
              <w14:schemeClr w14:val="tx1"/>
            </w14:solidFill>
          </w14:textFill>
        </w:rPr>
        <w:br w:type="page"/>
      </w:r>
      <w:r>
        <w:rPr>
          <w:rFonts w:hint="eastAsia" w:ascii="宋体" w:hAnsi="宋体" w:cs="宋体"/>
          <w:bCs w:val="0"/>
          <w:sz w:val="24"/>
          <w:szCs w:val="24"/>
        </w:rPr>
        <w:t>格式</w:t>
      </w:r>
      <w:r>
        <w:rPr>
          <w:rFonts w:hint="eastAsia" w:ascii="宋体" w:hAnsi="宋体" w:cs="宋体"/>
          <w:bCs w:val="0"/>
          <w:sz w:val="24"/>
          <w:szCs w:val="24"/>
          <w:lang w:val="en-US" w:eastAsia="zh-CN"/>
        </w:rPr>
        <w:t>二</w:t>
      </w:r>
      <w:r>
        <w:rPr>
          <w:rFonts w:hint="eastAsia"/>
          <w:color w:val="000000" w:themeColor="text1"/>
          <w:sz w:val="24"/>
          <w:szCs w:val="24"/>
          <w:highlight w:val="none"/>
          <w:lang w:val="en-US" w:eastAsia="zh-CN"/>
          <w14:textFill>
            <w14:solidFill>
              <w14:schemeClr w14:val="tx1"/>
            </w14:solidFill>
          </w14:textFill>
        </w:rPr>
        <w:t>：</w:t>
      </w:r>
    </w:p>
    <w:p>
      <w:pPr>
        <w:tabs>
          <w:tab w:val="left" w:pos="720"/>
        </w:tabs>
        <w:snapToGrid w:val="0"/>
        <w:spacing w:line="360" w:lineRule="auto"/>
        <w:jc w:val="left"/>
        <w:rPr>
          <w:rFonts w:hint="eastAsia"/>
          <w:color w:val="000000" w:themeColor="text1"/>
          <w:sz w:val="24"/>
          <w:szCs w:val="24"/>
          <w:highlight w:val="none"/>
          <w:lang w:val="en-US" w:eastAsia="zh-CN"/>
          <w14:textFill>
            <w14:solidFill>
              <w14:schemeClr w14:val="tx1"/>
            </w14:solidFill>
          </w14:textFill>
        </w:rPr>
      </w:pPr>
    </w:p>
    <w:p>
      <w:pPr>
        <w:autoSpaceDE w:val="0"/>
        <w:autoSpaceDN w:val="0"/>
        <w:adjustRightInd w:val="0"/>
        <w:spacing w:line="360" w:lineRule="auto"/>
        <w:jc w:val="center"/>
        <w:rPr>
          <w:rFonts w:ascii="宋体" w:hAnsi="宋体" w:cs="宋体"/>
          <w:b/>
          <w:bCs/>
          <w:color w:val="000000" w:themeColor="text1"/>
          <w:sz w:val="36"/>
          <w:szCs w:val="36"/>
          <w:highlight w:val="none"/>
          <w:lang w:val="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施工</w:t>
      </w:r>
      <w:r>
        <w:rPr>
          <w:rFonts w:ascii="宋体" w:hAnsi="宋体" w:cs="宋体"/>
          <w:b/>
          <w:bCs/>
          <w:color w:val="000000" w:themeColor="text1"/>
          <w:sz w:val="36"/>
          <w:szCs w:val="36"/>
          <w:highlight w:val="none"/>
          <w:lang w:val="zh-CN"/>
          <w14:textFill>
            <w14:solidFill>
              <w14:schemeClr w14:val="tx1"/>
            </w14:solidFill>
          </w14:textFill>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序号</w:t>
            </w:r>
          </w:p>
        </w:tc>
        <w:tc>
          <w:tcPr>
            <w:tcW w:w="13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姓名</w:t>
            </w:r>
          </w:p>
        </w:tc>
        <w:tc>
          <w:tcPr>
            <w:tcW w:w="137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岗位</w:t>
            </w:r>
          </w:p>
        </w:tc>
        <w:tc>
          <w:tcPr>
            <w:tcW w:w="1462" w:type="dxa"/>
            <w:vAlign w:val="center"/>
          </w:tcPr>
          <w:p>
            <w:pPr>
              <w:adjustRightInd w:val="0"/>
              <w:snapToGrid w:val="0"/>
              <w:ind w:left="-63" w:leftChars="-30" w:right="-63" w:rightChars="-30"/>
              <w:jc w:val="center"/>
              <w:rPr>
                <w:rStyle w:val="113"/>
                <w:rFonts w:ascii="宋体" w:hAnsi="宋体" w:eastAsia="宋体" w:cs="宋体"/>
                <w:color w:val="000000" w:themeColor="text1"/>
                <w:sz w:val="21"/>
                <w:szCs w:val="21"/>
                <w:highlight w:val="none"/>
                <w:lang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职称</w:t>
            </w:r>
          </w:p>
        </w:tc>
        <w:tc>
          <w:tcPr>
            <w:tcW w:w="2783" w:type="dxa"/>
            <w:vAlign w:val="center"/>
          </w:tcPr>
          <w:p>
            <w:pPr>
              <w:adjustRightInd w:val="0"/>
              <w:snapToGrid w:val="0"/>
              <w:ind w:left="-63" w:leftChars="-30" w:right="-63" w:rightChars="-30"/>
              <w:jc w:val="center"/>
              <w:rPr>
                <w:rStyle w:val="113"/>
                <w:rFonts w:ascii="宋体" w:hAnsi="宋体" w:eastAsia="宋体" w:cs="宋体"/>
                <w:color w:val="000000" w:themeColor="text1"/>
                <w:sz w:val="21"/>
                <w:szCs w:val="21"/>
                <w:highlight w:val="none"/>
                <w:lang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职称证书或资格证书编号</w:t>
            </w:r>
          </w:p>
        </w:tc>
        <w:tc>
          <w:tcPr>
            <w:tcW w:w="858" w:type="dxa"/>
            <w:vAlign w:val="center"/>
          </w:tcPr>
          <w:p>
            <w:pPr>
              <w:adjustRightInd w:val="0"/>
              <w:snapToGrid w:val="0"/>
              <w:ind w:left="-63" w:leftChars="-30" w:right="-63" w:rightChars="-30"/>
              <w:jc w:val="center"/>
              <w:rPr>
                <w:rStyle w:val="113"/>
                <w:rFonts w:ascii="宋体" w:hAnsi="宋体" w:eastAsia="宋体" w:cs="宋体"/>
                <w:color w:val="000000" w:themeColor="text1"/>
                <w:sz w:val="21"/>
                <w:szCs w:val="21"/>
                <w:highlight w:val="none"/>
                <w:lang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hint="eastAsia"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eastAsia="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hint="default" w:ascii="宋体" w:hAnsi="宋体" w:eastAsia="宋体" w:cs="宋体"/>
                <w:color w:val="000000" w:themeColor="text1"/>
                <w:kern w:val="2"/>
                <w:sz w:val="21"/>
                <w:szCs w:val="21"/>
                <w:highlight w:val="none"/>
                <w:u w:val="none"/>
                <w:lang w:val="en-US" w:eastAsia="zh-CN" w:bidi="ar"/>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eastAsia="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hint="default" w:ascii="宋体" w:hAnsi="宋体" w:eastAsia="宋体" w:cs="宋体"/>
                <w:color w:val="000000" w:themeColor="text1"/>
                <w:kern w:val="2"/>
                <w:sz w:val="21"/>
                <w:szCs w:val="21"/>
                <w:highlight w:val="none"/>
                <w:u w:val="none"/>
                <w:lang w:val="en-US" w:eastAsia="zh-CN" w:bidi="ar"/>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eastAsia="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szCs w:val="24"/>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hint="eastAsia" w:ascii="宋体" w:hAnsi="宋体"/>
                <w:color w:val="000000" w:themeColor="text1"/>
                <w:highlight w:val="none"/>
                <w14:textFill>
                  <w14:solidFill>
                    <w14:schemeClr w14:val="tx1"/>
                  </w14:solidFill>
                </w14:textFill>
              </w:rPr>
            </w:pPr>
          </w:p>
        </w:tc>
        <w:tc>
          <w:tcPr>
            <w:tcW w:w="1358" w:type="dxa"/>
            <w:vAlign w:val="center"/>
          </w:tcPr>
          <w:p>
            <w:pPr>
              <w:adjustRightInd w:val="0"/>
              <w:snapToGrid w:val="0"/>
              <w:ind w:left="-63" w:leftChars="-30" w:right="-63" w:rightChars="-30"/>
              <w:jc w:val="center"/>
              <w:rPr>
                <w:rFonts w:hint="eastAsia" w:ascii="宋体" w:hAnsi="宋体"/>
                <w:color w:val="000000" w:themeColor="text1"/>
                <w:highlight w:val="none"/>
                <w14:textFill>
                  <w14:solidFill>
                    <w14:schemeClr w14:val="tx1"/>
                  </w14:solidFill>
                </w14:textFill>
              </w:rPr>
            </w:pPr>
          </w:p>
        </w:tc>
        <w:tc>
          <w:tcPr>
            <w:tcW w:w="1376"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1462"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2783"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c>
          <w:tcPr>
            <w:tcW w:w="858" w:type="dxa"/>
            <w:vAlign w:val="center"/>
          </w:tcPr>
          <w:p>
            <w:pPr>
              <w:adjustRightInd w:val="0"/>
              <w:snapToGrid w:val="0"/>
              <w:ind w:left="-63" w:leftChars="-30" w:right="-63" w:rightChars="-30"/>
              <w:jc w:val="center"/>
              <w:rPr>
                <w:rFonts w:ascii="宋体" w:hAnsi="宋体"/>
                <w:color w:val="000000" w:themeColor="text1"/>
                <w:highlight w:val="none"/>
                <w14:textFill>
                  <w14:solidFill>
                    <w14:schemeClr w14:val="tx1"/>
                  </w14:solidFill>
                </w14:textFill>
              </w:rPr>
            </w:pPr>
          </w:p>
        </w:tc>
      </w:tr>
    </w:tbl>
    <w:p>
      <w:pPr>
        <w:autoSpaceDE w:val="0"/>
        <w:autoSpaceDN w:val="0"/>
        <w:adjustRightInd w:val="0"/>
        <w:rPr>
          <w:rStyle w:val="113"/>
          <w:rFonts w:hint="eastAsia" w:ascii="宋体" w:hAnsi="宋体" w:eastAsia="宋体" w:cs="宋体"/>
          <w:color w:val="000000" w:themeColor="text1"/>
          <w:sz w:val="21"/>
          <w:szCs w:val="21"/>
          <w:highlight w:val="none"/>
          <w:lang w:eastAsia="zh-CN"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备注：</w:t>
      </w:r>
    </w:p>
    <w:p>
      <w:pPr>
        <w:autoSpaceDE w:val="0"/>
        <w:autoSpaceDN w:val="0"/>
        <w:adjustRightInd w:val="0"/>
        <w:rPr>
          <w:rStyle w:val="113"/>
          <w:rFonts w:hint="eastAsia" w:ascii="宋体" w:hAnsi="宋体" w:eastAsia="宋体" w:cs="宋体"/>
          <w:color w:val="000000" w:themeColor="text1"/>
          <w:sz w:val="21"/>
          <w:szCs w:val="21"/>
          <w:highlight w:val="none"/>
          <w:lang w:eastAsia="zh-CN"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1、“岗位”要求（除项目负责人、专职安全员外）由投标人根据项目管理需要结合自身实力在本表中明确。以上项目管理团队人员信息将由交易系统提取后供各相关单位在履约时比对、查核。</w:t>
      </w:r>
    </w:p>
    <w:p>
      <w:pPr>
        <w:autoSpaceDE w:val="0"/>
        <w:autoSpaceDN w:val="0"/>
        <w:adjustRightInd w:val="0"/>
        <w:rPr>
          <w:rStyle w:val="113"/>
          <w:rFonts w:hint="eastAsia" w:ascii="宋体" w:hAnsi="宋体" w:eastAsia="宋体" w:cs="宋体"/>
          <w:color w:val="000000" w:themeColor="text1"/>
          <w:sz w:val="21"/>
          <w:szCs w:val="21"/>
          <w:highlight w:val="none"/>
          <w:lang w:eastAsia="zh-CN" w:bidi="ar"/>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p>
    <w:p>
      <w:pPr>
        <w:autoSpaceDE w:val="0"/>
        <w:autoSpaceDN w:val="0"/>
        <w:adjustRightInd w:val="0"/>
        <w:rPr>
          <w:rFonts w:hint="eastAsia" w:ascii="宋体" w:hAnsi="宋体" w:cs="宋体"/>
          <w:b/>
          <w:color w:val="000000" w:themeColor="text1"/>
          <w:szCs w:val="21"/>
          <w:highlight w:val="none"/>
          <w14:textFill>
            <w14:solidFill>
              <w14:schemeClr w14:val="tx1"/>
            </w14:solidFill>
          </w14:textFill>
        </w:rPr>
      </w:pPr>
      <w:r>
        <w:rPr>
          <w:rStyle w:val="113"/>
          <w:rFonts w:ascii="宋体" w:hAnsi="宋体" w:eastAsia="宋体" w:cs="宋体"/>
          <w:color w:val="000000" w:themeColor="text1"/>
          <w:sz w:val="21"/>
          <w:szCs w:val="21"/>
          <w:highlight w:val="none"/>
          <w:lang w:bidi="ar"/>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000000" w:themeColor="text1"/>
          <w:sz w:val="24"/>
          <w:szCs w:val="24"/>
          <w:highlight w:val="none"/>
          <w14:textFill>
            <w14:solidFill>
              <w14:schemeClr w14:val="tx1"/>
            </w14:solidFill>
          </w14:textFill>
        </w:rPr>
      </w:pPr>
    </w:p>
    <w:p>
      <w:pPr>
        <w:spacing w:line="320" w:lineRule="exact"/>
        <w:rPr>
          <w:rFonts w:ascii="仿宋_GB2312" w:hAnsi="楷体" w:eastAsia="仿宋_GB2312"/>
          <w:color w:val="000000" w:themeColor="text1"/>
          <w:szCs w:val="21"/>
          <w:highlight w:val="none"/>
          <w14:textFill>
            <w14:solidFill>
              <w14:schemeClr w14:val="tx1"/>
            </w14:solidFill>
          </w14:textFill>
        </w:rPr>
      </w:pPr>
    </w:p>
    <w:p>
      <w:pPr>
        <w:widowControl/>
        <w:jc w:val="left"/>
        <w:rPr>
          <w:rFonts w:hint="eastAsia" w:ascii="宋体" w:hAnsi="宋体" w:cs="宋体"/>
          <w:sz w:val="24"/>
          <w:szCs w:val="24"/>
        </w:rPr>
      </w:pPr>
      <w:r>
        <w:rPr>
          <w:color w:val="000000" w:themeColor="text1"/>
          <w:sz w:val="24"/>
          <w:szCs w:val="24"/>
          <w:highlight w:val="none"/>
          <w14:textFill>
            <w14:solidFill>
              <w14:schemeClr w14:val="tx1"/>
            </w14:solidFill>
          </w14:textFill>
        </w:rPr>
        <w:br w:type="page"/>
      </w:r>
      <w:r>
        <w:rPr>
          <w:rFonts w:hint="eastAsia" w:ascii="宋体" w:hAnsi="宋体" w:cs="宋体"/>
          <w:bCs w:val="0"/>
          <w:sz w:val="24"/>
          <w:szCs w:val="24"/>
        </w:rPr>
        <w:t>格式</w:t>
      </w:r>
      <w:r>
        <w:rPr>
          <w:rFonts w:hint="eastAsia" w:ascii="宋体" w:hAnsi="宋体" w:cs="宋体"/>
          <w:bCs w:val="0"/>
          <w:sz w:val="24"/>
          <w:szCs w:val="24"/>
          <w:lang w:val="en-US" w:eastAsia="zh-CN"/>
        </w:rPr>
        <w:t>三</w:t>
      </w:r>
      <w:r>
        <w:rPr>
          <w:rFonts w:hint="eastAsia" w:ascii="宋体" w:hAnsi="宋体" w:cs="宋体"/>
          <w:color w:val="auto"/>
          <w:sz w:val="24"/>
          <w:szCs w:val="24"/>
          <w:highlight w:val="none"/>
        </w:rPr>
        <w:t>：</w:t>
      </w:r>
    </w:p>
    <w:p>
      <w:pPr>
        <w:pStyle w:val="4"/>
        <w:rPr>
          <w:rStyle w:val="113"/>
          <w:rFonts w:hint="default" w:ascii="Arial" w:hAnsi="Arial" w:eastAsia="宋体" w:cs="Times New Roman"/>
          <w:color w:val="000000"/>
          <w:sz w:val="24"/>
          <w:szCs w:val="24"/>
          <w:highlight w:val="none"/>
          <w:lang w:bidi="ar"/>
        </w:rPr>
      </w:pPr>
    </w:p>
    <w:p>
      <w:pPr>
        <w:autoSpaceDE w:val="0"/>
        <w:autoSpaceDN w:val="0"/>
        <w:adjustRightInd w:val="0"/>
        <w:jc w:val="center"/>
        <w:outlineLvl w:val="1"/>
        <w:rPr>
          <w:rFonts w:hint="eastAsia" w:ascii="宋体" w:hAnsi="宋体" w:cs="宋体"/>
          <w:b/>
          <w:bCs/>
          <w:color w:val="000000" w:themeColor="text1"/>
          <w:sz w:val="36"/>
          <w:szCs w:val="36"/>
          <w:highlight w:val="none"/>
          <w:lang w:val="zh-CN"/>
          <w14:textFill>
            <w14:solidFill>
              <w14:schemeClr w14:val="tx1"/>
            </w14:solidFill>
          </w14:textFill>
        </w:rPr>
      </w:pPr>
      <w:bookmarkStart w:id="74" w:name="_Toc11848"/>
      <w:bookmarkStart w:id="75" w:name="_Toc29333"/>
      <w:r>
        <w:rPr>
          <w:rFonts w:hint="eastAsia" w:ascii="宋体" w:hAnsi="宋体" w:cs="宋体"/>
          <w:b/>
          <w:bCs/>
          <w:color w:val="000000" w:themeColor="text1"/>
          <w:sz w:val="36"/>
          <w:szCs w:val="36"/>
          <w:highlight w:val="none"/>
          <w:lang w:val="zh-CN"/>
          <w14:textFill>
            <w14:solidFill>
              <w14:schemeClr w14:val="tx1"/>
            </w14:solidFill>
          </w14:textFill>
        </w:rPr>
        <w:t>响应招标文件所附施工组织设计要点的承诺书</w:t>
      </w:r>
      <w:bookmarkEnd w:id="74"/>
      <w:bookmarkEnd w:id="75"/>
    </w:p>
    <w:p>
      <w:pPr>
        <w:spacing w:line="360" w:lineRule="auto"/>
        <w:rPr>
          <w:rFonts w:hint="eastAsia" w:ascii="宋体" w:hAnsi="宋体"/>
          <w:color w:val="000000" w:themeColor="text1"/>
          <w:sz w:val="24"/>
          <w:szCs w:val="24"/>
          <w:highlight w:val="none"/>
          <w14:textFill>
            <w14:solidFill>
              <w14:schemeClr w14:val="tx1"/>
            </w14:solidFill>
          </w14:textFill>
        </w:rPr>
      </w:pP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（招标人）</w:t>
      </w:r>
      <w:r>
        <w:rPr>
          <w:rFonts w:hint="eastAsia" w:ascii="宋体" w:hAnsi="宋体"/>
          <w:color w:val="000000" w:themeColor="text1"/>
          <w:sz w:val="24"/>
          <w:szCs w:val="24"/>
          <w:highlight w:val="none"/>
          <w14:textFill>
            <w14:solidFill>
              <w14:schemeClr w14:val="tx1"/>
            </w14:solidFill>
          </w14:textFill>
        </w:rPr>
        <w:t>：</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我方承诺，如中标承建</w:t>
      </w:r>
      <w:r>
        <w:rPr>
          <w:rFonts w:hint="eastAsia" w:ascii="宋体" w:hAnsi="宋体"/>
          <w:color w:val="000000" w:themeColor="text1"/>
          <w:sz w:val="24"/>
          <w:szCs w:val="24"/>
          <w:highlight w:val="none"/>
          <w:u w:val="single"/>
          <w14:textFill>
            <w14:solidFill>
              <w14:schemeClr w14:val="tx1"/>
            </w14:solidFill>
          </w14:textFill>
        </w:rPr>
        <w:t xml:space="preserve">            (项目名称)</w:t>
      </w:r>
      <w:r>
        <w:rPr>
          <w:rFonts w:hint="eastAsia" w:ascii="宋体" w:hAnsi="宋体"/>
          <w:color w:val="000000" w:themeColor="text1"/>
          <w:sz w:val="24"/>
          <w:szCs w:val="24"/>
          <w:highlight w:val="none"/>
          <w14:textFill>
            <w14:solidFill>
              <w14:schemeClr w14:val="tx1"/>
            </w14:solidFill>
          </w14:textFill>
        </w:rPr>
        <w:t>，将按招标文件所附的本工程</w:t>
      </w:r>
      <w:r>
        <w:rPr>
          <w:rFonts w:hint="eastAsia" w:ascii="宋体" w:hAnsi="宋体"/>
          <w:color w:val="000000" w:themeColor="text1"/>
          <w:sz w:val="24"/>
          <w:szCs w:val="24"/>
          <w:highlight w:val="none"/>
          <w:u w:val="single"/>
          <w14:textFill>
            <w14:solidFill>
              <w14:schemeClr w14:val="tx1"/>
            </w14:solidFill>
          </w14:textFill>
        </w:rPr>
        <w:t>（施工组织设计要点）</w:t>
      </w:r>
      <w:r>
        <w:rPr>
          <w:rFonts w:hint="eastAsia" w:ascii="宋体" w:hAnsi="宋体"/>
          <w:color w:val="000000" w:themeColor="text1"/>
          <w:sz w:val="24"/>
          <w:szCs w:val="24"/>
          <w:highlight w:val="none"/>
          <w14:textFill>
            <w14:solidFill>
              <w14:schemeClr w14:val="tx1"/>
            </w14:solidFill>
          </w14:textFill>
        </w:rPr>
        <w:t>进行响应的基础上自行组织施工。并承诺在中标后按招标文件所附的</w:t>
      </w:r>
      <w:r>
        <w:rPr>
          <w:rFonts w:hint="eastAsia" w:ascii="宋体" w:hAnsi="宋体"/>
          <w:color w:val="000000" w:themeColor="text1"/>
          <w:sz w:val="24"/>
          <w:szCs w:val="24"/>
          <w:highlight w:val="none"/>
          <w:u w:val="single"/>
          <w14:textFill>
            <w14:solidFill>
              <w14:schemeClr w14:val="tx1"/>
            </w14:solidFill>
          </w14:textFill>
        </w:rPr>
        <w:t>（施工组织设计要点）</w:t>
      </w:r>
      <w:r>
        <w:rPr>
          <w:rFonts w:hint="eastAsia" w:ascii="宋体" w:hAnsi="宋体"/>
          <w:color w:val="000000" w:themeColor="text1"/>
          <w:sz w:val="24"/>
          <w:szCs w:val="24"/>
          <w:highlight w:val="none"/>
          <w14:textFill>
            <w14:solidFill>
              <w14:schemeClr w14:val="tx1"/>
            </w14:solidFill>
          </w14:textFill>
        </w:rPr>
        <w:t>基础上编制详细的施工组织设计，并报经监理单位和建设单位审批后实施。</w:t>
      </w:r>
    </w:p>
    <w:p>
      <w:pPr>
        <w:spacing w:line="360" w:lineRule="auto"/>
        <w:rPr>
          <w:rFonts w:hint="eastAsia" w:ascii="宋体" w:hAnsi="宋体"/>
          <w:color w:val="000000" w:themeColor="text1"/>
          <w:sz w:val="24"/>
          <w:szCs w:val="24"/>
          <w:highlight w:val="none"/>
          <w14:textFill>
            <w14:solidFill>
              <w14:schemeClr w14:val="tx1"/>
            </w14:solidFill>
          </w14:textFill>
        </w:rPr>
      </w:pPr>
    </w:p>
    <w:p>
      <w:pPr>
        <w:spacing w:line="360" w:lineRule="auto"/>
        <w:rPr>
          <w:rFonts w:hint="eastAsia" w:ascii="宋体" w:hAnsi="宋体"/>
          <w:color w:val="000000" w:themeColor="text1"/>
          <w:sz w:val="24"/>
          <w:szCs w:val="24"/>
          <w:highlight w:val="none"/>
          <w14:textFill>
            <w14:solidFill>
              <w14:schemeClr w14:val="tx1"/>
            </w14:solidFill>
          </w14:textFill>
        </w:rPr>
      </w:pP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投 标 人：    （盖章）</w:t>
      </w: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法定代表人或授权代理人（签字或盖章）：</w:t>
      </w:r>
    </w:p>
    <w:p>
      <w:pPr>
        <w:topLinePunct/>
        <w:adjustRightInd w:val="0"/>
        <w:snapToGrid w:val="0"/>
        <w:spacing w:line="440" w:lineRule="exact"/>
        <w:ind w:firstLine="3462" w:firstLineChars="1396"/>
        <w:rPr>
          <w:rFonts w:hint="eastAsia"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日    期：    年    月    日</w:t>
      </w: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sz w:val="24"/>
          <w:szCs w:val="24"/>
        </w:rPr>
      </w:pPr>
    </w:p>
    <w:p>
      <w:pPr>
        <w:autoSpaceDE w:val="0"/>
        <w:autoSpaceDN w:val="0"/>
        <w:adjustRightInd w:val="0"/>
        <w:rPr>
          <w:rFonts w:hint="eastAsia"/>
          <w:color w:val="000000" w:themeColor="text1"/>
          <w:sz w:val="24"/>
          <w:szCs w:val="24"/>
          <w:highlight w:val="none"/>
          <w:lang w:val="en-US" w:eastAsia="zh-CN"/>
          <w14:textFill>
            <w14:solidFill>
              <w14:schemeClr w14:val="tx1"/>
            </w14:solidFill>
          </w14:textFill>
        </w:rPr>
      </w:pPr>
      <w:r>
        <w:rPr>
          <w:rFonts w:hint="eastAsia" w:ascii="宋体" w:hAnsi="宋体" w:cs="宋体"/>
          <w:bCs w:val="0"/>
          <w:sz w:val="24"/>
          <w:szCs w:val="24"/>
        </w:rPr>
        <w:t>格式</w:t>
      </w:r>
      <w:r>
        <w:rPr>
          <w:rFonts w:hint="eastAsia" w:ascii="宋体" w:hAnsi="宋体" w:cs="宋体"/>
          <w:bCs w:val="0"/>
          <w:sz w:val="24"/>
          <w:szCs w:val="24"/>
          <w:lang w:val="en-US" w:eastAsia="zh-CN"/>
        </w:rPr>
        <w:t>四</w:t>
      </w:r>
      <w:r>
        <w:rPr>
          <w:rFonts w:hint="eastAsia"/>
          <w:color w:val="000000" w:themeColor="text1"/>
          <w:sz w:val="24"/>
          <w:szCs w:val="24"/>
          <w:highlight w:val="none"/>
          <w:lang w:val="en-US" w:eastAsia="zh-CN"/>
          <w14:textFill>
            <w14:solidFill>
              <w14:schemeClr w14:val="tx1"/>
            </w14:solidFill>
          </w14:textFill>
        </w:rPr>
        <w:t>：</w:t>
      </w:r>
    </w:p>
    <w:p>
      <w:pPr>
        <w:autoSpaceDE w:val="0"/>
        <w:autoSpaceDN w:val="0"/>
        <w:adjustRightInd w:val="0"/>
        <w:rPr>
          <w:color w:val="000000" w:themeColor="text1"/>
          <w:szCs w:val="21"/>
          <w:highlight w:val="none"/>
          <w14:textFill>
            <w14:solidFill>
              <w14:schemeClr w14:val="tx1"/>
            </w14:solidFill>
          </w14:textFill>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bl>
    <w:p>
      <w:pPr>
        <w:pStyle w:val="33"/>
        <w:spacing w:after="0" w:line="360" w:lineRule="auto"/>
        <w:ind w:left="-2" w:leftChars="-1" w:firstLine="367" w:firstLineChars="175"/>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autoSpaceDE w:val="0"/>
        <w:autoSpaceDN w:val="0"/>
        <w:adjustRightInd w:val="0"/>
        <w:rPr>
          <w:sz w:val="24"/>
          <w:szCs w:val="24"/>
        </w:rPr>
      </w:pPr>
      <w:r>
        <w:rPr>
          <w:rFonts w:hint="eastAsia"/>
          <w:sz w:val="24"/>
          <w:szCs w:val="24"/>
        </w:rPr>
        <w:t>格式</w:t>
      </w:r>
      <w:r>
        <w:rPr>
          <w:rFonts w:hint="eastAsia"/>
          <w:sz w:val="24"/>
          <w:szCs w:val="24"/>
          <w:lang w:val="en-US" w:eastAsia="zh-CN"/>
        </w:rPr>
        <w:t>五</w:t>
      </w:r>
      <w:r>
        <w:rPr>
          <w:rFonts w:hint="eastAsia"/>
          <w:sz w:val="24"/>
          <w:szCs w:val="24"/>
        </w:rPr>
        <w:t>：</w:t>
      </w:r>
    </w:p>
    <w:p>
      <w:pPr>
        <w:widowControl/>
        <w:jc w:val="left"/>
        <w:rPr>
          <w:rFonts w:ascii="仿宋_GB2312" w:hAnsi="楷体" w:eastAsia="仿宋_GB2312"/>
          <w:szCs w:val="21"/>
        </w:rPr>
      </w:pPr>
    </w:p>
    <w:p>
      <w:pPr>
        <w:autoSpaceDE w:val="0"/>
        <w:autoSpaceDN w:val="0"/>
        <w:adjustRightInd w:val="0"/>
        <w:rPr>
          <w:rFonts w:hint="eastAsia" w:ascii="宋体" w:hAnsi="宋体" w:cs="宋体"/>
          <w:bCs w:val="0"/>
          <w:sz w:val="24"/>
          <w:szCs w:val="24"/>
        </w:rPr>
      </w:pPr>
    </w:p>
    <w:p>
      <w:pPr>
        <w:pStyle w:val="18"/>
        <w:jc w:val="center"/>
        <w:rPr>
          <w:rFonts w:ascii="黑体" w:hAnsi="黑体" w:eastAsia="黑体" w:cs="华文仿宋"/>
          <w:color w:val="000000" w:themeColor="text1"/>
          <w:sz w:val="32"/>
          <w:szCs w:val="32"/>
          <w:highlight w:val="none"/>
          <w14:textFill>
            <w14:solidFill>
              <w14:schemeClr w14:val="tx1"/>
            </w14:solidFill>
          </w14:textFill>
        </w:rPr>
      </w:pPr>
      <w:r>
        <w:rPr>
          <w:rFonts w:hint="eastAsia" w:ascii="黑体" w:hAnsi="黑体" w:eastAsia="黑体" w:cs="华文仿宋"/>
          <w:color w:val="000000" w:themeColor="text1"/>
          <w:sz w:val="32"/>
          <w:szCs w:val="32"/>
          <w:highlight w:val="none"/>
          <w14:textFill>
            <w14:solidFill>
              <w14:schemeClr w14:val="tx1"/>
            </w14:solidFill>
          </w14:textFill>
        </w:rPr>
        <w:t>中小企业声明函</w:t>
      </w:r>
    </w:p>
    <w:p>
      <w:pPr>
        <w:pStyle w:val="18"/>
        <w:spacing w:line="560" w:lineRule="exact"/>
        <w:ind w:firstLine="640" w:firstLineChars="200"/>
        <w:rPr>
          <w:rFonts w:hint="eastAsia" w:ascii="仿宋_GB2312" w:hAnsi="Times New Roman" w:eastAsia="仿宋_GB2312"/>
          <w:color w:val="000000" w:themeColor="text1"/>
          <w:kern w:val="2"/>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本企业郑重声明，根据《关于印发中小企业划型标准规定的通知》（工信部联企业〔2011〕300号）的规定，本企业具体情况如下：</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本企业属于建筑业行业；营业收入为</w:t>
      </w:r>
      <w:r>
        <w:rPr>
          <w:rFonts w:hint="eastAsia" w:ascii="仿宋_GB2312" w:hAnsi="Times New Roman" w:eastAsia="仿宋_GB2312"/>
          <w:color w:val="000000" w:themeColor="text1"/>
          <w:sz w:val="32"/>
          <w:szCs w:val="32"/>
          <w:highlight w:val="none"/>
          <w:u w:val="single"/>
          <w14:textFill>
            <w14:solidFill>
              <w14:schemeClr w14:val="tx1"/>
            </w14:solidFill>
          </w14:textFill>
        </w:rPr>
        <w:t xml:space="preserve">     </w:t>
      </w:r>
      <w:r>
        <w:rPr>
          <w:rFonts w:hint="eastAsia" w:ascii="仿宋_GB2312" w:hAnsi="Times New Roman" w:eastAsia="仿宋_GB2312"/>
          <w:color w:val="000000" w:themeColor="text1"/>
          <w:sz w:val="32"/>
          <w:szCs w:val="32"/>
          <w:highlight w:val="none"/>
          <w14:textFill>
            <w14:solidFill>
              <w14:schemeClr w14:val="tx1"/>
            </w14:solidFill>
          </w14:textFill>
        </w:rPr>
        <w:t>万元，资产总额为</w:t>
      </w:r>
      <w:r>
        <w:rPr>
          <w:rFonts w:hint="eastAsia" w:ascii="仿宋_GB2312" w:hAnsi="Times New Roman" w:eastAsia="仿宋_GB2312"/>
          <w:color w:val="000000" w:themeColor="text1"/>
          <w:sz w:val="32"/>
          <w:szCs w:val="32"/>
          <w:highlight w:val="none"/>
          <w:u w:val="single"/>
          <w14:textFill>
            <w14:solidFill>
              <w14:schemeClr w14:val="tx1"/>
            </w14:solidFill>
          </w14:textFill>
        </w:rPr>
        <w:t xml:space="preserve">       </w:t>
      </w:r>
      <w:r>
        <w:rPr>
          <w:rFonts w:hint="eastAsia" w:ascii="仿宋_GB2312" w:hAnsi="Times New Roman" w:eastAsia="仿宋_GB2312"/>
          <w:color w:val="000000" w:themeColor="text1"/>
          <w:sz w:val="32"/>
          <w:szCs w:val="32"/>
          <w:highlight w:val="none"/>
          <w14:textFill>
            <w14:solidFill>
              <w14:schemeClr w14:val="tx1"/>
            </w14:solidFill>
          </w14:textFill>
        </w:rPr>
        <w:t>万元，属于</w:t>
      </w:r>
      <w:r>
        <w:rPr>
          <w:rFonts w:hint="eastAsia" w:ascii="仿宋_GB2312" w:hAnsi="Times New Roman" w:eastAsia="仿宋_GB2312"/>
          <w:color w:val="000000" w:themeColor="text1"/>
          <w:sz w:val="32"/>
          <w:szCs w:val="32"/>
          <w:highlight w:val="none"/>
          <w:u w:val="single"/>
          <w14:textFill>
            <w14:solidFill>
              <w14:schemeClr w14:val="tx1"/>
            </w14:solidFill>
          </w14:textFill>
        </w:rPr>
        <w:t xml:space="preserve">      </w:t>
      </w:r>
      <w:r>
        <w:rPr>
          <w:rFonts w:hint="eastAsia" w:ascii="仿宋_GB2312" w:hAnsi="Times New Roman" w:eastAsia="仿宋_GB2312"/>
          <w:color w:val="000000" w:themeColor="text1"/>
          <w:sz w:val="32"/>
          <w:szCs w:val="32"/>
          <w:highlight w:val="none"/>
          <w14:textFill>
            <w14:solidFill>
              <w14:schemeClr w14:val="tx1"/>
            </w14:solidFill>
          </w14:textFill>
        </w:rPr>
        <w:t>（中型企业、小型企业、微型企业）；</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依据《政府采购促进中小企业发展管理办法》的规定，本企业不属于大企业的分支机构，不存在控股股东为大企业的情形，也不存在与大企业的负责人为同一人的情形。 </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本企业对上述声明内容的真实性负责。如有虚假，将依法承担相应责任。 </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 </w:t>
      </w:r>
    </w:p>
    <w:p>
      <w:pPr>
        <w:pStyle w:val="18"/>
        <w:spacing w:line="560" w:lineRule="exact"/>
        <w:ind w:firstLine="4800" w:firstLineChars="15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企业名称（盖章）：</w:t>
      </w:r>
    </w:p>
    <w:p>
      <w:pPr>
        <w:pStyle w:val="18"/>
        <w:spacing w:line="560" w:lineRule="exact"/>
        <w:ind w:firstLine="5120" w:firstLineChars="16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日 期：</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注：</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1、营业收入、资产总额填报上一年度数据，无上一年度数据的新成立企业可不填报。</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2、《中小企业声明函》须按照本函格式填写，否则评标委员会有权视其为非中小企业，不享受免于提交投标保证金的优惠政策。</w:t>
      </w:r>
    </w:p>
    <w:p>
      <w:pPr>
        <w:pStyle w:val="18"/>
        <w:spacing w:line="560" w:lineRule="exact"/>
        <w:ind w:firstLine="640" w:firstLineChars="200"/>
        <w:rPr>
          <w:rFonts w:hint="eastAsia" w:ascii="Times New Roman" w:hAnsi="Times New Roman"/>
          <w:color w:val="000000" w:themeColor="text1"/>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3、招标人、招标代理机构将按有关规定公开《中小企业声明函》。</w:t>
      </w:r>
    </w:p>
    <w:p>
      <w:pPr>
        <w:widowControl/>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sz w:val="24"/>
          <w:szCs w:val="24"/>
        </w:rPr>
        <w:t>格式</w:t>
      </w:r>
      <w:r>
        <w:rPr>
          <w:rFonts w:hint="eastAsia"/>
          <w:sz w:val="24"/>
          <w:szCs w:val="24"/>
          <w:lang w:val="en-US" w:eastAsia="zh-CN"/>
        </w:rPr>
        <w:t>六</w:t>
      </w:r>
      <w:r>
        <w:rPr>
          <w:rFonts w:hint="eastAsia"/>
          <w:color w:val="000000" w:themeColor="text1"/>
          <w:sz w:val="24"/>
          <w:szCs w:val="24"/>
          <w:highlight w:val="none"/>
          <w14:textFill>
            <w14:solidFill>
              <w14:schemeClr w14:val="tx1"/>
            </w14:solidFill>
          </w14:textFill>
        </w:rPr>
        <w:t>：</w:t>
      </w:r>
    </w:p>
    <w:p>
      <w:pPr>
        <w:pStyle w:val="18"/>
        <w:spacing w:line="560" w:lineRule="exact"/>
        <w:ind w:firstLine="640" w:firstLineChars="200"/>
        <w:jc w:val="center"/>
        <w:rPr>
          <w:rFonts w:ascii="仿宋_GB2312" w:hAnsi="Times New Roman" w:eastAsia="仿宋_GB2312"/>
          <w:color w:val="000000" w:themeColor="text1"/>
          <w:sz w:val="32"/>
          <w:szCs w:val="32"/>
          <w:highlight w:val="none"/>
          <w14:textFill>
            <w14:solidFill>
              <w14:schemeClr w14:val="tx1"/>
            </w14:solidFill>
          </w14:textFill>
        </w:rPr>
      </w:pPr>
      <w:r>
        <w:rPr>
          <w:rFonts w:hint="eastAsia" w:ascii="黑体" w:hAnsi="黑体" w:eastAsia="黑体" w:cs="华文仿宋"/>
          <w:color w:val="000000" w:themeColor="text1"/>
          <w:sz w:val="32"/>
          <w:szCs w:val="32"/>
          <w:highlight w:val="none"/>
          <w14:textFill>
            <w14:solidFill>
              <w14:schemeClr w14:val="tx1"/>
            </w14:solidFill>
          </w14:textFill>
        </w:rPr>
        <w:t>关于投标保证金的承诺</w:t>
      </w:r>
    </w:p>
    <w:p>
      <w:pPr>
        <w:pStyle w:val="18"/>
        <w:spacing w:line="560" w:lineRule="exact"/>
        <w:ind w:firstLine="640" w:firstLineChars="200"/>
        <w:rPr>
          <w:rFonts w:hint="eastAsia"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 xml:space="preserve"> </w:t>
      </w:r>
    </w:p>
    <w:p>
      <w:pPr>
        <w:autoSpaceDE w:val="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本招标项目招标人及招标监管机构：</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本公司就参加</w:t>
      </w:r>
      <w:r>
        <w:rPr>
          <w:rFonts w:hint="eastAsia" w:ascii="仿宋_GB2312" w:eastAsia="仿宋_GB2312"/>
          <w:color w:val="000000" w:themeColor="text1"/>
          <w:sz w:val="32"/>
          <w:szCs w:val="32"/>
          <w:highlight w:val="none"/>
          <w:u w:val="single"/>
          <w14:textFill>
            <w14:solidFill>
              <w14:schemeClr w14:val="tx1"/>
            </w14:solidFill>
          </w14:textFill>
        </w:rPr>
        <w:t xml:space="preserve">      （招标项目名称）     </w:t>
      </w:r>
      <w:r>
        <w:rPr>
          <w:rFonts w:hint="eastAsia" w:ascii="仿宋_GB2312" w:eastAsia="仿宋_GB2312"/>
          <w:color w:val="000000" w:themeColor="text1"/>
          <w:sz w:val="32"/>
          <w:szCs w:val="32"/>
          <w:highlight w:val="none"/>
          <w14:textFill>
            <w14:solidFill>
              <w14:schemeClr w14:val="tx1"/>
            </w14:solidFill>
          </w14:textFill>
        </w:rPr>
        <w:t>项目的投标工作，作出郑重声明：</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000000" w:themeColor="text1"/>
          <w:kern w:val="0"/>
          <w:sz w:val="32"/>
          <w:szCs w:val="32"/>
          <w:highlight w:val="none"/>
          <w14:textFill>
            <w14:solidFill>
              <w14:schemeClr w14:val="tx1"/>
            </w14:solidFill>
          </w14:textFill>
        </w:rPr>
        <w:t>一旦发生符合招标文件规定的不予退还投标保证金情形的，将</w:t>
      </w:r>
      <w:r>
        <w:rPr>
          <w:rFonts w:hint="eastAsia" w:ascii="仿宋_GB2312" w:eastAsia="仿宋_GB2312"/>
          <w:color w:val="000000" w:themeColor="text1"/>
          <w:sz w:val="32"/>
          <w:szCs w:val="32"/>
          <w:highlight w:val="none"/>
          <w14:textFill>
            <w14:solidFill>
              <w14:schemeClr w14:val="tx1"/>
            </w14:solidFill>
          </w14:textFill>
        </w:rPr>
        <w:t>按照招标人的要求，在规定的时间内向招标人足额补交投标保证金。</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特此承诺。</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p>
    <w:p>
      <w:pPr>
        <w:autoSpaceDE w:val="0"/>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p>
    <w:p>
      <w:pPr>
        <w:autoSpaceDE w:val="0"/>
        <w:ind w:firstLine="4160" w:firstLineChars="13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投标人：  （盖章）</w:t>
      </w:r>
    </w:p>
    <w:p>
      <w:pPr>
        <w:jc w:val="center"/>
        <w:rPr>
          <w:rFonts w:hint="eastAsia"/>
          <w:color w:val="000000" w:themeColor="text1"/>
          <w:szCs w:val="2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日  期：</w:t>
      </w:r>
    </w:p>
    <w:p>
      <w:pPr>
        <w:pStyle w:val="34"/>
        <w:ind w:left="420" w:firstLine="420"/>
        <w:rPr>
          <w:rFonts w:hint="eastAsia" w:ascii="Times New Roman" w:hAnsi="Times New Roman"/>
          <w:color w:val="000000" w:themeColor="text1"/>
          <w:highlight w:val="none"/>
          <w14:textFill>
            <w14:solidFill>
              <w14:schemeClr w14:val="tx1"/>
            </w14:solidFill>
          </w14:textFill>
        </w:rPr>
      </w:pPr>
    </w:p>
    <w:p>
      <w:pPr>
        <w:tabs>
          <w:tab w:val="left" w:pos="720"/>
        </w:tabs>
        <w:snapToGrid w:val="0"/>
        <w:spacing w:line="360" w:lineRule="auto"/>
        <w:rPr>
          <w:rStyle w:val="60"/>
          <w:rFonts w:hint="eastAsia"/>
          <w:color w:val="000000" w:themeColor="text1"/>
          <w:highlight w:val="none"/>
          <w14:textFill>
            <w14:solidFill>
              <w14:schemeClr w14:val="tx1"/>
            </w14:solidFill>
          </w14:textFill>
        </w:rPr>
      </w:pPr>
    </w:p>
    <w:p>
      <w:pPr>
        <w:autoSpaceDE w:val="0"/>
        <w:autoSpaceDN w:val="0"/>
        <w:adjustRightInd w:val="0"/>
        <w:rPr>
          <w:rFonts w:hint="eastAsia"/>
          <w:sz w:val="24"/>
          <w:szCs w:val="24"/>
        </w:rPr>
      </w:pPr>
    </w:p>
    <w:p>
      <w:pPr>
        <w:pStyle w:val="18"/>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pStyle w:val="15"/>
        <w:rPr>
          <w:rFonts w:ascii="仿宋_GB2312" w:hAnsi="楷体" w:eastAsia="仿宋_GB2312"/>
          <w:szCs w:val="21"/>
        </w:rPr>
      </w:pPr>
    </w:p>
    <w:p>
      <w:pPr>
        <w:rPr>
          <w:rFonts w:ascii="仿宋_GB2312" w:hAnsi="楷体" w:eastAsia="仿宋_GB2312"/>
          <w:szCs w:val="21"/>
        </w:rPr>
      </w:pPr>
    </w:p>
    <w:p>
      <w:pPr>
        <w:pStyle w:val="15"/>
        <w:rPr>
          <w:rFonts w:ascii="仿宋_GB2312" w:hAnsi="楷体" w:eastAsia="仿宋_GB2312"/>
          <w:szCs w:val="21"/>
        </w:rPr>
      </w:pPr>
    </w:p>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ind w:firstLine="0"/>
        <w:jc w:val="center"/>
        <w:rPr>
          <w:rFonts w:hint="eastAsia"/>
          <w:sz w:val="24"/>
          <w:szCs w:val="24"/>
          <w:highlight w:val="none"/>
        </w:rPr>
      </w:pPr>
      <w:r>
        <w:rPr>
          <w:rFonts w:hint="eastAsia" w:ascii="宋体" w:hAnsi="宋体" w:cs="宋体"/>
          <w:b/>
          <w:sz w:val="32"/>
          <w:szCs w:val="32"/>
        </w:rPr>
        <w:t>第二部分 经济标投标文件</w:t>
      </w:r>
      <w:r>
        <w:rPr>
          <w:sz w:val="24"/>
          <w:szCs w:val="24"/>
        </w:rPr>
        <w:br w:type="page"/>
      </w:r>
    </w:p>
    <w:p>
      <w:pPr>
        <w:ind w:firstLine="0"/>
        <w:jc w:val="left"/>
        <w:rPr>
          <w:rFonts w:hint="eastAsia"/>
          <w:sz w:val="24"/>
          <w:szCs w:val="24"/>
          <w:highlight w:val="none"/>
        </w:rPr>
      </w:pPr>
      <w:r>
        <w:rPr>
          <w:rFonts w:hint="eastAsia"/>
          <w:sz w:val="24"/>
          <w:szCs w:val="24"/>
          <w:highlight w:val="none"/>
        </w:rPr>
        <w:t>一、经济标投标文件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2"/>
        <w:rPr>
          <w:rFonts w:ascii="宋体" w:hAnsi="宋体" w:eastAsia="宋体" w:cs="宋体"/>
          <w:u w:val="single"/>
        </w:rPr>
      </w:pPr>
      <w:r>
        <w:rPr>
          <w:rFonts w:hint="eastAsia" w:ascii="宋体" w:hAnsi="宋体" w:eastAsia="宋体" w:cs="宋体"/>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b/>
          <w:bCs/>
          <w:highlight w:val="none"/>
        </w:rPr>
      </w:pPr>
      <w:r>
        <w:rPr>
          <w:rFonts w:hint="eastAsia" w:ascii="宋体" w:hAnsi="宋体" w:eastAsia="宋体"/>
          <w:b/>
          <w:bCs/>
          <w:highlight w:val="none"/>
        </w:rPr>
        <w:t>投标文件</w:t>
      </w:r>
    </w:p>
    <w:p>
      <w:pPr>
        <w:pStyle w:val="122"/>
        <w:rPr>
          <w:rFonts w:ascii="宋体" w:hAnsi="宋体" w:eastAsia="宋体"/>
          <w:b/>
          <w:bCs/>
          <w:highlight w:val="none"/>
        </w:rPr>
      </w:pPr>
      <w:r>
        <w:rPr>
          <w:rFonts w:hint="eastAsia" w:ascii="宋体" w:hAnsi="宋体" w:eastAsia="宋体"/>
          <w:b/>
          <w:bCs/>
          <w:highlight w:val="none"/>
        </w:rPr>
        <w:t>经济投标文件</w:t>
      </w:r>
    </w:p>
    <w:p>
      <w:pPr>
        <w:pStyle w:val="121"/>
        <w:ind w:firstLine="496"/>
        <w:rPr>
          <w:rFonts w:ascii="宋体" w:hAnsi="宋体"/>
          <w:highlight w:val="none"/>
        </w:rPr>
      </w:pPr>
    </w:p>
    <w:p>
      <w:pPr>
        <w:pStyle w:val="121"/>
        <w:ind w:firstLine="496"/>
        <w:rPr>
          <w:rFonts w:ascii="宋体" w:hAnsi="宋体"/>
          <w:highlight w:val="none"/>
        </w:rPr>
      </w:pPr>
    </w:p>
    <w:p>
      <w:pPr>
        <w:pStyle w:val="121"/>
        <w:ind w:firstLine="496"/>
        <w:rPr>
          <w:rFonts w:ascii="宋体" w:hAnsi="宋体"/>
          <w:highlight w:val="none"/>
        </w:rPr>
      </w:pPr>
    </w:p>
    <w:p>
      <w:pPr>
        <w:pStyle w:val="121"/>
        <w:ind w:firstLine="496"/>
        <w:rPr>
          <w:rFonts w:ascii="宋体" w:hAnsi="宋体"/>
          <w:highlight w:val="none"/>
        </w:rPr>
      </w:pPr>
    </w:p>
    <w:p>
      <w:pPr>
        <w:pStyle w:val="121"/>
        <w:ind w:firstLine="496"/>
        <w:rPr>
          <w:rFonts w:ascii="宋体" w:hAnsi="宋体"/>
          <w:highlight w:val="none"/>
        </w:rPr>
      </w:pPr>
    </w:p>
    <w:p>
      <w:pPr>
        <w:pStyle w:val="124"/>
        <w:ind w:firstLine="616"/>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（填写投标人单位名称）       （盖章）</w:t>
      </w:r>
    </w:p>
    <w:p>
      <w:pPr>
        <w:pStyle w:val="124"/>
        <w:ind w:firstLine="616"/>
        <w:rPr>
          <w:rFonts w:ascii="宋体" w:hAnsi="宋体"/>
          <w:highlight w:val="none"/>
        </w:rPr>
      </w:pPr>
    </w:p>
    <w:p>
      <w:pPr>
        <w:pStyle w:val="124"/>
        <w:ind w:firstLine="616"/>
        <w:rPr>
          <w:rFonts w:ascii="宋体" w:hAnsi="宋体"/>
          <w:highlight w:val="none"/>
        </w:rPr>
      </w:pPr>
      <w:r>
        <w:rPr>
          <w:rFonts w:hint="eastAsia" w:ascii="宋体" w:hAnsi="宋体"/>
          <w:highlight w:val="none"/>
        </w:rPr>
        <w:t>法定代表人或</w:t>
      </w:r>
    </w:p>
    <w:p>
      <w:pPr>
        <w:pStyle w:val="124"/>
        <w:ind w:firstLine="616"/>
        <w:rPr>
          <w:rFonts w:ascii="宋体" w:hAnsi="宋体"/>
          <w:highlight w:val="none"/>
        </w:rPr>
      </w:pPr>
      <w:r>
        <w:rPr>
          <w:rFonts w:hint="eastAsia" w:ascii="宋体" w:hAnsi="宋体"/>
          <w:highlight w:val="none"/>
        </w:rPr>
        <w:t>其委托代理人：</w:t>
      </w:r>
      <w:r>
        <w:rPr>
          <w:rFonts w:hint="eastAsia" w:ascii="宋体" w:hAnsi="宋体"/>
          <w:highlight w:val="none"/>
          <w:u w:val="single"/>
        </w:rPr>
        <w:t xml:space="preserve">                        （签字或盖章）</w:t>
      </w:r>
    </w:p>
    <w:p>
      <w:pPr>
        <w:autoSpaceDE w:val="0"/>
        <w:autoSpaceDN w:val="0"/>
        <w:adjustRightInd w:val="0"/>
        <w:ind w:firstLine="616" w:firstLineChars="200"/>
        <w:rPr>
          <w:rFonts w:ascii="宋体" w:hAnsi="宋体"/>
          <w:highlight w:val="none"/>
          <w:u w:val="single"/>
        </w:rPr>
      </w:pPr>
      <w:r>
        <w:rPr>
          <w:rFonts w:hint="eastAsia" w:ascii="宋体" w:hAnsi="宋体"/>
          <w:spacing w:val="4"/>
          <w:kern w:val="0"/>
          <w:sz w:val="30"/>
          <w:szCs w:val="30"/>
          <w:highlight w:val="none"/>
        </w:rPr>
        <w:t xml:space="preserve">日  期： </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tabs>
          <w:tab w:val="left" w:pos="720"/>
        </w:tabs>
        <w:snapToGrid w:val="0"/>
        <w:spacing w:line="360" w:lineRule="auto"/>
        <w:jc w:val="left"/>
        <w:rPr>
          <w:rFonts w:hint="eastAsia"/>
          <w:sz w:val="24"/>
          <w:szCs w:val="24"/>
          <w:highlight w:val="none"/>
        </w:rPr>
      </w:pPr>
      <w:r>
        <w:rPr>
          <w:rFonts w:hint="eastAsia"/>
          <w:sz w:val="24"/>
          <w:szCs w:val="24"/>
          <w:highlight w:val="none"/>
        </w:rPr>
        <w:t>格式一：</w:t>
      </w:r>
    </w:p>
    <w:p>
      <w:pPr>
        <w:tabs>
          <w:tab w:val="left" w:pos="720"/>
        </w:tabs>
        <w:snapToGrid w:val="0"/>
        <w:spacing w:line="360" w:lineRule="auto"/>
        <w:jc w:val="left"/>
        <w:rPr>
          <w:rFonts w:hint="eastAsia"/>
          <w:sz w:val="24"/>
          <w:szCs w:val="24"/>
          <w:highlight w:val="none"/>
        </w:rPr>
      </w:pPr>
    </w:p>
    <w:p>
      <w:pPr>
        <w:tabs>
          <w:tab w:val="left" w:pos="720"/>
        </w:tabs>
        <w:snapToGrid w:val="0"/>
        <w:spacing w:line="360" w:lineRule="auto"/>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bl>
    <w:p>
      <w:pPr>
        <w:pStyle w:val="33"/>
        <w:spacing w:after="0" w:line="360" w:lineRule="auto"/>
        <w:ind w:left="-2" w:leftChars="-1" w:firstLine="367" w:firstLineChars="175"/>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33"/>
        <w:spacing w:after="0" w:line="360" w:lineRule="auto"/>
        <w:ind w:left="-2" w:leftChars="-1" w:firstLineChars="175"/>
        <w:jc w:val="center"/>
        <w:rPr>
          <w:color w:val="000000" w:themeColor="text1"/>
          <w:sz w:val="24"/>
          <w:szCs w:val="24"/>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autoSpaceDE w:val="0"/>
        <w:autoSpaceDN w:val="0"/>
        <w:adjustRightInd w:val="0"/>
        <w:rPr>
          <w:rFonts w:hint="eastAsia"/>
          <w:color w:val="000000" w:themeColor="text1"/>
          <w:szCs w:val="21"/>
          <w:highlight w:val="none"/>
          <w14:textFill>
            <w14:solidFill>
              <w14:schemeClr w14:val="tx1"/>
            </w14:solidFill>
          </w14:textFill>
        </w:rPr>
      </w:pPr>
    </w:p>
    <w:p>
      <w:pPr>
        <w:pStyle w:val="33"/>
        <w:spacing w:after="0" w:line="360" w:lineRule="auto"/>
        <w:ind w:firstLine="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格式二：</w:t>
      </w:r>
    </w:p>
    <w:p>
      <w:pPr>
        <w:pStyle w:val="33"/>
        <w:spacing w:after="0" w:line="360" w:lineRule="auto"/>
        <w:ind w:firstLine="0"/>
        <w:jc w:val="center"/>
        <w:rPr>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对投标文件编制的承诺</w:t>
      </w:r>
    </w:p>
    <w:p>
      <w:pPr>
        <w:pStyle w:val="33"/>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本公司授权</w:t>
      </w:r>
      <w:r>
        <w:rPr>
          <w:rFonts w:hint="eastAsia" w:ascii="宋体" w:hAnsi="宋体"/>
          <w:color w:val="000000" w:themeColor="text1"/>
          <w:sz w:val="24"/>
          <w:szCs w:val="24"/>
          <w:highlight w:val="none"/>
          <w:u w:val="single"/>
          <w14:textFill>
            <w14:solidFill>
              <w14:schemeClr w14:val="tx1"/>
            </w14:solidFill>
          </w14:textFill>
        </w:rPr>
        <w:t xml:space="preserve">         （身份证号：               ）</w:t>
      </w:r>
      <w:r>
        <w:rPr>
          <w:rFonts w:hint="eastAsia" w:ascii="宋体" w:hAnsi="宋体"/>
          <w:color w:val="000000" w:themeColor="text1"/>
          <w:sz w:val="24"/>
          <w:szCs w:val="24"/>
          <w:highlight w:val="none"/>
          <w14:textFill>
            <w14:solidFill>
              <w14:schemeClr w14:val="tx1"/>
            </w14:solidFill>
          </w14:textFill>
        </w:rPr>
        <w:t>负责对投标文件的编制及内容进行解释、说明，并承诺以下事项：</w:t>
      </w:r>
    </w:p>
    <w:p>
      <w:pPr>
        <w:pStyle w:val="33"/>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2.在本项目开标至评标结束前，努力确保被授权人在项目评标所在地附近；</w:t>
      </w:r>
    </w:p>
    <w:p>
      <w:pPr>
        <w:pStyle w:val="33"/>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3.从评标委员会要求澄清起二小时内，被授权人应如实地书面澄清。</w:t>
      </w:r>
    </w:p>
    <w:p>
      <w:pPr>
        <w:pStyle w:val="33"/>
        <w:spacing w:after="0"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pPr>
        <w:pStyle w:val="33"/>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附件：《投标文件编制情况》</w:t>
      </w:r>
    </w:p>
    <w:p>
      <w:pPr>
        <w:spacing w:line="360" w:lineRule="auto"/>
        <w:ind w:right="90" w:firstLine="3240" w:firstLineChars="135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投标人名称（盖法人公章）：</w:t>
      </w:r>
      <w:r>
        <w:rPr>
          <w:rFonts w:hint="eastAsia" w:ascii="宋体" w:hAnsi="宋体"/>
          <w:color w:val="000000" w:themeColor="text1"/>
          <w:sz w:val="24"/>
          <w:szCs w:val="24"/>
          <w:highlight w:val="none"/>
          <w:u w:val="single"/>
          <w14:textFill>
            <w14:solidFill>
              <w14:schemeClr w14:val="tx1"/>
            </w14:solidFill>
          </w14:textFill>
        </w:rPr>
        <w:t xml:space="preserve">                  </w:t>
      </w:r>
    </w:p>
    <w:p>
      <w:pPr>
        <w:spacing w:line="360" w:lineRule="auto"/>
        <w:ind w:firstLine="2160" w:firstLineChars="9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法定代表人或被授权人（签字或盖章）：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pPr>
        <w:spacing w:line="360" w:lineRule="auto"/>
        <w:ind w:firstLine="4440" w:firstLineChars="18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日期：      年   月   日 </w:t>
      </w:r>
      <w:r>
        <w:rPr>
          <w:rFonts w:hint="eastAsia"/>
          <w:color w:val="000000" w:themeColor="text1"/>
          <w:sz w:val="18"/>
          <w:szCs w:val="18"/>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pPr>
        <w:pStyle w:val="33"/>
        <w:spacing w:after="0" w:line="360" w:lineRule="auto"/>
        <w:ind w:firstLine="0"/>
        <w:rPr>
          <w:b/>
          <w:color w:val="000000" w:themeColor="text1"/>
          <w:sz w:val="32"/>
          <w:szCs w:val="32"/>
          <w:highlight w:val="none"/>
          <w14:textFill>
            <w14:solidFill>
              <w14:schemeClr w14:val="tx1"/>
            </w14:solidFill>
          </w14:textFill>
        </w:rPr>
      </w:pPr>
    </w:p>
    <w:p>
      <w:pPr>
        <w:pStyle w:val="33"/>
        <w:spacing w:after="0" w:line="360" w:lineRule="auto"/>
        <w:ind w:firstLine="643" w:firstLineChars="200"/>
        <w:jc w:val="center"/>
        <w:rPr>
          <w:color w:val="000000" w:themeColor="text1"/>
          <w:sz w:val="18"/>
          <w:szCs w:val="18"/>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投标文件编制情况</w:t>
      </w:r>
    </w:p>
    <w:p>
      <w:pPr>
        <w:pStyle w:val="33"/>
        <w:spacing w:after="0"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1.投标文件报价编制方式: □自行编制的，编制的负责人：</w:t>
      </w:r>
      <w:r>
        <w:rPr>
          <w:rFonts w:hint="eastAsia" w:ascii="宋体" w:hAnsi="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highlight w:val="none"/>
          <w14:textFill>
            <w14:solidFill>
              <w14:schemeClr w14:val="tx1"/>
            </w14:solidFill>
          </w14:textFill>
        </w:rPr>
        <w:t>。□委托编制的，受委托单位</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，编制的负责人：</w:t>
      </w:r>
      <w:r>
        <w:rPr>
          <w:rFonts w:hint="eastAsia" w:ascii="宋体" w:hAnsi="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highlight w:val="none"/>
          <w14:textFill>
            <w14:solidFill>
              <w14:schemeClr w14:val="tx1"/>
            </w14:solidFill>
          </w14:textFill>
        </w:rPr>
        <w:t>。</w:t>
      </w:r>
    </w:p>
    <w:p>
      <w:pPr>
        <w:pStyle w:val="33"/>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3"/>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投标文件加密打包的电脑     自有    □      外包    □     其他    □</w:t>
            </w:r>
          </w:p>
          <w:p>
            <w:pPr>
              <w:pStyle w:val="33"/>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电脑类型</w:t>
            </w:r>
          </w:p>
          <w:p>
            <w:pPr>
              <w:pStyle w:val="33"/>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电脑所属单位</w:t>
            </w:r>
          </w:p>
          <w:p>
            <w:pPr>
              <w:pStyle w:val="33"/>
              <w:spacing w:after="0"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电脑所在地址        （如××市××区(县) ××街（路）××号××大厦××房）</w:t>
            </w:r>
          </w:p>
        </w:tc>
      </w:tr>
    </w:tbl>
    <w:p>
      <w:pPr>
        <w:pStyle w:val="33"/>
        <w:spacing w:after="0" w:line="360" w:lineRule="auto"/>
        <w:ind w:left="-2" w:leftChars="-1" w:firstLine="367" w:firstLineChars="175"/>
        <w:jc w:val="left"/>
        <w:rPr>
          <w:rFonts w:hint="eastAsia" w:ascii="宋体" w:hAnsi="宋体" w:cs="宋体"/>
          <w:color w:val="000000" w:themeColor="text1"/>
          <w:szCs w:val="21"/>
          <w:highlight w:val="none"/>
          <w14:textFill>
            <w14:solidFill>
              <w14:schemeClr w14:val="tx1"/>
            </w14:solidFill>
          </w14:textFill>
        </w:rPr>
      </w:pPr>
    </w:p>
    <w:p>
      <w:pPr>
        <w:pStyle w:val="3"/>
        <w:snapToGrid w:val="0"/>
        <w:spacing w:line="360" w:lineRule="auto"/>
        <w:jc w:val="center"/>
      </w:pPr>
      <w:bookmarkStart w:id="76" w:name="_Toc2272568"/>
      <w:bookmarkStart w:id="77" w:name="_Toc3181"/>
      <w:bookmarkStart w:id="78" w:name="_Toc1908"/>
      <w:bookmarkStart w:id="79" w:name="_Toc21525513"/>
      <w:r>
        <w:rPr>
          <w:rFonts w:hint="eastAsia"/>
        </w:rPr>
        <w:t>第五章</w:t>
      </w:r>
      <w:r>
        <w:t xml:space="preserve">  </w:t>
      </w:r>
      <w:r>
        <w:rPr>
          <w:rFonts w:hint="eastAsia"/>
        </w:rPr>
        <w:t>技术条件（工程建设标准）</w:t>
      </w:r>
      <w:bookmarkEnd w:id="76"/>
      <w:bookmarkEnd w:id="77"/>
      <w:bookmarkEnd w:id="78"/>
      <w:bookmarkEnd w:id="79"/>
    </w:p>
    <w:p>
      <w:pP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1.标准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引用的国家及有关部委颁布的标准、规范、和规程。若施工时期建设主管部门颁布新的规范、标准，则按照新的规范、标准执行。</w:t>
      </w:r>
    </w:p>
    <w:p>
      <w:pPr>
        <w:rPr>
          <w:rFonts w:hint="eastAsia" w:ascii="宋体" w:hAnsi="宋体" w:cs="宋体"/>
          <w:color w:val="000000" w:themeColor="text1"/>
          <w:sz w:val="24"/>
          <w:szCs w:val="24"/>
          <w:highlight w:val="none"/>
          <w14:textFill>
            <w14:solidFill>
              <w14:schemeClr w14:val="tx1"/>
            </w14:solidFill>
          </w14:textFill>
        </w:rPr>
      </w:pPr>
    </w:p>
    <w:p>
      <w:pP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2、施工组织设计要点</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（一）工程概况及特点</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工程概况</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工程简述，工程规模，工程承包范围，地质及地貌状况，自然环境，交通情况等。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工程特点</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设计特点、工程特点、影响施工的主要和特殊环节分析等。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（二）施工现场组织机构</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组织机构关系图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工程主要负责人简介。</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（三）施工现场总平面布置图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施工现场平面布置图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（四）施工方案</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 施工准备</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简要叙述施工技术资料、材料、通讯、施工场地的准备，施工机械、施工力量的配置，以及生活设施等的准备情况。主要施工机械设备表。</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 施工工序总体安排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 主要工序和特殊工序的施工方法和施工效率估计，潜在问题的分析。</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 工程成本的控制措施为控制成本，提高效益，拟采取的措施。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（五）工期及施工进度计划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工期规划及要求</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用横道图反映各主要施工过程的计划进度，深度达到全面、准确、清楚的描述工程实施过程，从中可衍生出各种施工资源计划及其过程管理信息。</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 施工进度计划网络图</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施工网络图应明确工程开工、竣工日期，工程施工的关键路线，并针对关键工序，提出确保工期拟采取的措施。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 施工资源（人力、材料、机具、场地及进场道路、公共关系）计划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施工进度计划分析</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计划潜在问题，计划中的潜力及其开发途径等。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 计划控制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程序、方法及制度等。</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（六）质量目标、质量保证体系及技术组织措施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 质量目标</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本工程要求的质量目标：合格。</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用单位工程和分项工程合格率、优良品率表示，欲达到的工程质量等级。</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 质量管理组织机构及主要职责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用框图表示质量管理组织机构，并简要叙述各质量管理部门的主要职责。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 质量管理的措施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简要叙述质量管理的措施和关键工序的质量控制。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 质量管理及检验的标准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执行的主要质量标准、规范。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 质量保证技术措施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针对本工程特点，分析质量薄弱环节，拟将采取的技术措施。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（七）安全目标、安全保证体系及技术组织措施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 安全管理目标</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 安全管理组织机构及主要职责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用框图表示安全管理组织机构，并简要叙述各安全管理部门及人员的主要职责。</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 安全管理制度及办法</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 安全组织技术措施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针对本工程特点，分析安全薄弱环节，拟将采取的技术措施。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 重要施工方案和特殊施工工序的安全过程控制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hint="eastAsia" w:ascii="宋体" w:hAnsi="宋体" w:cs="宋体"/>
          <w:color w:val="000000" w:themeColor="text1"/>
          <w:sz w:val="24"/>
          <w:szCs w:val="24"/>
          <w:highlight w:val="none"/>
          <w14:textFill>
            <w14:solidFill>
              <w14:schemeClr w14:val="tx1"/>
            </w14:solidFill>
          </w14:textFill>
        </w:rPr>
      </w:pPr>
      <w:bookmarkStart w:id="80" w:name="_Hlt531956504"/>
      <w:r>
        <w:rPr>
          <w:rFonts w:hint="eastAsia" w:ascii="宋体" w:hAnsi="宋体" w:cs="宋体"/>
          <w:color w:val="000000" w:themeColor="text1"/>
          <w:sz w:val="24"/>
          <w:szCs w:val="24"/>
          <w:highlight w:val="none"/>
          <w14:textFill>
            <w14:solidFill>
              <w14:schemeClr w14:val="tx1"/>
            </w14:solidFill>
          </w14:textFill>
        </w:rPr>
        <w:t>安全生产目标：杜绝本项目施工人员重大伤亡事故。</w:t>
      </w:r>
      <w:bookmarkEnd w:id="80"/>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文明施工目标：标准化管理。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（八）环境保护及文明施工</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 环境保护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分析因施工可能引起的环境保护方面的问题。</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 加强施工管理、严格保护环境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提出环境保护的目标及采取的具体措施。</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 文明施工的目标、组织机构和实施方案</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 文明施工考核、管理办法</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（九）计划、统计和信息管理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 计划、统计报表的编制与传递；</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 信息管理</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提出信息管理的目标及拟将采取的措施。</w:t>
      </w:r>
    </w:p>
    <w:p>
      <w:pPr>
        <w:rPr>
          <w:rFonts w:hint="eastAsia" w:ascii="宋体" w:hAnsi="宋体" w:cs="宋体"/>
          <w:b/>
          <w:bCs/>
          <w:color w:val="000000" w:themeColor="text1"/>
          <w:sz w:val="24"/>
          <w:szCs w:val="24"/>
          <w:highlight w:val="none"/>
          <w:lang w:val="en-US" w:eastAsia="zh-CN"/>
          <w14:textFill>
            <w14:solidFill>
              <w14:schemeClr w14:val="tx1"/>
            </w14:solidFill>
          </w14:textFill>
        </w:rPr>
      </w:pPr>
      <w:bookmarkStart w:id="81" w:name="_Toc4526"/>
      <w:r>
        <w:rPr>
          <w:rFonts w:hint="eastAsia" w:ascii="宋体" w:hAnsi="宋体" w:cs="宋体"/>
          <w:b/>
          <w:bCs/>
          <w:color w:val="000000" w:themeColor="text1"/>
          <w:sz w:val="24"/>
          <w:szCs w:val="24"/>
          <w:highlight w:val="none"/>
          <w:lang w:val="en-US" w:eastAsia="zh-CN"/>
          <w14:textFill>
            <w14:solidFill>
              <w14:schemeClr w14:val="tx1"/>
            </w14:solidFill>
          </w14:textFill>
        </w:rPr>
        <w:t>（十）建筑垃圾减量及利用要求</w:t>
      </w:r>
      <w:bookmarkEnd w:id="81"/>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建筑垃圾处理方案应当包括下列内容：</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(一)工程概况和施工单位基本信息；</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(二)建筑垃圾产生量与种类；</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(三)建筑垃圾源头减量、分类收集、综合利用、污染防治的措施和目标；</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(四)需要外运的建筑垃圾种类、数量与运输的时间、路线、方式和运输单位；</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(五)建筑垃圾回填、消纳、综合利用场所名称；</w:t>
      </w:r>
    </w:p>
    <w:p>
      <w:pP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(六)法律、法规规定的其他内容。</w:t>
      </w:r>
    </w:p>
    <w:p>
      <w:pPr>
        <w:pStyle w:val="45"/>
        <w:jc w:val="left"/>
        <w:rPr>
          <w:rFonts w:hint="eastAsia"/>
        </w:rPr>
      </w:pPr>
    </w:p>
    <w:p>
      <w:pPr>
        <w:pStyle w:val="3"/>
        <w:jc w:val="center"/>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82" w:name="_Toc5967"/>
      <w:bookmarkStart w:id="83" w:name="_Toc2272569"/>
      <w:bookmarkStart w:id="84" w:name="_Toc31070"/>
      <w:bookmarkStart w:id="85" w:name="_Toc21525514"/>
      <w:r>
        <w:rPr>
          <w:rStyle w:val="62"/>
          <w:rFonts w:hint="eastAsia"/>
        </w:rPr>
        <w:t>第六章</w:t>
      </w:r>
      <w:r>
        <w:rPr>
          <w:rStyle w:val="62"/>
        </w:rPr>
        <w:t xml:space="preserve">  </w:t>
      </w:r>
      <w:r>
        <w:rPr>
          <w:rStyle w:val="62"/>
          <w:rFonts w:hint="eastAsia"/>
        </w:rPr>
        <w:t>图纸及勘察资料</w:t>
      </w:r>
      <w:bookmarkEnd w:id="82"/>
      <w:bookmarkEnd w:id="83"/>
      <w:bookmarkEnd w:id="84"/>
      <w:bookmarkEnd w:id="85"/>
    </w:p>
    <w:p>
      <w:pPr>
        <w:jc w:val="center"/>
        <w:rPr>
          <w:rFonts w:asci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另册</w:t>
      </w:r>
      <w:r>
        <w:rPr>
          <w:rFonts w:hint="eastAsia" w:ascii="宋体" w:hAnsi="宋体"/>
          <w:color w:val="000000" w:themeColor="text1"/>
          <w:sz w:val="24"/>
          <w:szCs w:val="24"/>
          <w:highlight w:val="none"/>
          <w:lang w:eastAsia="zh-CN"/>
          <w14:textFill>
            <w14:solidFill>
              <w14:schemeClr w14:val="tx1"/>
            </w14:solidFill>
          </w14:textFill>
        </w:rPr>
        <w:t>）</w:t>
      </w:r>
    </w:p>
    <w:p>
      <w:pPr>
        <w:pStyle w:val="3"/>
        <w:jc w:val="center"/>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86" w:name="_Toc2272570"/>
      <w:bookmarkStart w:id="87" w:name="_Toc21525515"/>
      <w:bookmarkStart w:id="88" w:name="_Toc762"/>
      <w:bookmarkStart w:id="89" w:name="_Toc25450"/>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bookmarkEnd w:id="86"/>
      <w:bookmarkEnd w:id="87"/>
      <w:bookmarkEnd w:id="88"/>
      <w:bookmarkEnd w:id="89"/>
    </w:p>
    <w:p>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另册</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33"/>
        <w:spacing w:after="0" w:line="360" w:lineRule="auto"/>
        <w:ind w:left="-2" w:leftChars="-1" w:firstLine="960" w:firstLineChars="400"/>
        <w:rPr>
          <w:rFonts w:ascii="宋体"/>
          <w:color w:val="000000" w:themeColor="text1"/>
          <w:sz w:val="24"/>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tabs>
          <w:tab w:val="left" w:pos="3395"/>
        </w:tabs>
        <w:jc w:val="center"/>
        <w:rPr>
          <w:rFonts w:hint="eastAsia" w:ascii="宋体" w:eastAsia="宋体"/>
          <w:color w:val="000000" w:themeColor="text1"/>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90" w:name="_Toc13643"/>
      <w:bookmarkStart w:id="91" w:name="_Toc21525516"/>
      <w:bookmarkStart w:id="92" w:name="_Toc25285"/>
      <w:bookmarkStart w:id="93" w:name="_Toc2272571"/>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最高投标限价</w:t>
      </w:r>
      <w:bookmarkEnd w:id="90"/>
      <w:bookmarkEnd w:id="91"/>
      <w:bookmarkEnd w:id="92"/>
      <w:bookmarkEnd w:id="93"/>
    </w:p>
    <w:p>
      <w:pPr>
        <w:ind w:firstLine="480" w:firstLineChars="200"/>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olor w:val="000000" w:themeColor="text1"/>
          <w:sz w:val="24"/>
          <w:szCs w:val="24"/>
          <w:highlight w:val="none"/>
          <w:lang w:eastAsia="zh-CN"/>
          <w14:textFill>
            <w14:solidFill>
              <w14:schemeClr w14:val="tx1"/>
            </w14:solidFill>
          </w14:textFill>
        </w:rPr>
        <w:t>。</w:t>
      </w:r>
    </w:p>
    <w:p>
      <w:pPr>
        <w:spacing w:line="360" w:lineRule="auto"/>
        <w:ind w:firstLine="480"/>
        <w:rPr>
          <w:rFonts w:hint="eastAsia" w:ascii="宋体" w:hAnsi="宋体" w:cs="宋体"/>
          <w:sz w:val="24"/>
          <w:szCs w:val="24"/>
        </w:rPr>
      </w:pPr>
      <w:r>
        <w:rPr>
          <w:rFonts w:hint="eastAsia" w:ascii="宋体" w:hAnsi="宋体" w:cs="宋体"/>
          <w:sz w:val="24"/>
          <w:szCs w:val="24"/>
        </w:rPr>
        <w:t>具体详见《最高投标限价公布函》。</w:t>
      </w:r>
    </w:p>
    <w:p>
      <w:pPr>
        <w:pStyle w:val="2"/>
        <w:rPr>
          <w:color w:val="000000" w:themeColor="text1"/>
          <w:highlight w:val="none"/>
          <w14:textFill>
            <w14:solidFill>
              <w14:schemeClr w14:val="tx1"/>
            </w14:solidFill>
          </w14:textFill>
        </w:rPr>
      </w:pPr>
    </w:p>
    <w:sectPr>
      <w:headerReference r:id="rId18" w:type="default"/>
      <w:footerReference r:id="rId1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right="20"/>
      <w:jc w:val="right"/>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
                            <w:ind w:left="-4410" w:leftChars="-2100" w:right="-4439" w:rightChars="-2114"/>
                            <w:rPr>
                              <w:rStyle w:val="4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
                      <w:ind w:left="-4410" w:leftChars="-2100" w:right="-4439" w:rightChars="-2114"/>
                      <w:rPr>
                        <w:rStyle w:val="4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2"/>
      <w:jc w:val="right"/>
      <w:rPr>
        <w:rStyle w:val="4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
      <w:ind w:firstLine="392"/>
    </w:pPr>
    <w:r>
      <w:rPr>
        <w:kern w:val="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2"/>
      <w:jc w:val="right"/>
      <w:rPr>
        <w:rStyle w:val="4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92"/>
                            <w:jc w:val="right"/>
                          </w:pPr>
                          <w:r>
                            <w:rPr>
                              <w:rStyle w:val="40"/>
                            </w:rPr>
                            <w:fldChar w:fldCharType="begin"/>
                          </w:r>
                          <w:r>
                            <w:rPr>
                              <w:rStyle w:val="40"/>
                            </w:rPr>
                            <w:instrText xml:space="preserve">PAGE  </w:instrText>
                          </w:r>
                          <w:r>
                            <w:rPr>
                              <w:rStyle w:val="40"/>
                            </w:rPr>
                            <w:fldChar w:fldCharType="separate"/>
                          </w:r>
                          <w:r>
                            <w:rPr>
                              <w:rStyle w:val="40"/>
                            </w:rPr>
                            <w:t>20</w:t>
                          </w:r>
                          <w:r>
                            <w:rPr>
                              <w:rStyle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392"/>
                      <w:jc w:val="right"/>
                    </w:pPr>
                    <w:r>
                      <w:rPr>
                        <w:rStyle w:val="40"/>
                      </w:rPr>
                      <w:fldChar w:fldCharType="begin"/>
                    </w:r>
                    <w:r>
                      <w:rPr>
                        <w:rStyle w:val="40"/>
                      </w:rPr>
                      <w:instrText xml:space="preserve">PAGE  </w:instrText>
                    </w:r>
                    <w:r>
                      <w:rPr>
                        <w:rStyle w:val="40"/>
                      </w:rPr>
                      <w:fldChar w:fldCharType="separate"/>
                    </w:r>
                    <w:r>
                      <w:rPr>
                        <w:rStyle w:val="40"/>
                      </w:rPr>
                      <w:t>20</w:t>
                    </w:r>
                    <w:r>
                      <w:rPr>
                        <w:rStyle w:val="4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92"/>
                            <w:jc w:val="both"/>
                          </w:pPr>
                          <w:r>
                            <w:rPr>
                              <w:rStyle w:val="40"/>
                            </w:rPr>
                            <w:fldChar w:fldCharType="begin"/>
                          </w:r>
                          <w:r>
                            <w:rPr>
                              <w:rStyle w:val="40"/>
                            </w:rPr>
                            <w:instrText xml:space="preserve"> PAGE </w:instrText>
                          </w:r>
                          <w:r>
                            <w:rPr>
                              <w:rStyle w:val="40"/>
                            </w:rPr>
                            <w:fldChar w:fldCharType="separate"/>
                          </w:r>
                          <w:r>
                            <w:rPr>
                              <w:rStyle w:val="40"/>
                            </w:rPr>
                            <w:t>14</w:t>
                          </w:r>
                          <w:r>
                            <w:rPr>
                              <w:rStyle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392"/>
                      <w:jc w:val="both"/>
                    </w:pPr>
                    <w:r>
                      <w:rPr>
                        <w:rStyle w:val="40"/>
                      </w:rPr>
                      <w:fldChar w:fldCharType="begin"/>
                    </w:r>
                    <w:r>
                      <w:rPr>
                        <w:rStyle w:val="40"/>
                      </w:rPr>
                      <w:instrText xml:space="preserve"> PAGE </w:instrText>
                    </w:r>
                    <w:r>
                      <w:rPr>
                        <w:rStyle w:val="40"/>
                      </w:rPr>
                      <w:fldChar w:fldCharType="separate"/>
                    </w:r>
                    <w:r>
                      <w:rPr>
                        <w:rStyle w:val="40"/>
                      </w:rPr>
                      <w:t>14</w:t>
                    </w:r>
                    <w:r>
                      <w:rPr>
                        <w:rStyle w:val="4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78"/>
        <w:tab w:val="center" w:pos="7288"/>
      </w:tabs>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40"/>
                            </w:rPr>
                          </w:pPr>
                          <w:r>
                            <w:fldChar w:fldCharType="begin"/>
                          </w:r>
                          <w:r>
                            <w:rPr>
                              <w:rStyle w:val="40"/>
                            </w:rPr>
                            <w:instrText xml:space="preserve">PAGE  </w:instrText>
                          </w:r>
                          <w:r>
                            <w:fldChar w:fldCharType="separate"/>
                          </w:r>
                          <w:r>
                            <w:rPr>
                              <w:rStyle w:val="40"/>
                            </w:rPr>
                            <w:t>53</w:t>
                          </w:r>
                          <w:r>
                            <w:fldChar w:fldCharType="end"/>
                          </w:r>
                        </w:p>
                        <w:p>
                          <w:pPr>
                            <w:pStyle w:val="2"/>
                            <w:ind w:left="-4410" w:leftChars="-2100" w:right="-4439" w:rightChars="-2114"/>
                            <w:jc w:val="center"/>
                            <w:rPr>
                              <w:rStyle w:val="4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rPr>
                        <w:rStyle w:val="40"/>
                      </w:rPr>
                    </w:pPr>
                    <w:r>
                      <w:fldChar w:fldCharType="begin"/>
                    </w:r>
                    <w:r>
                      <w:rPr>
                        <w:rStyle w:val="40"/>
                      </w:rPr>
                      <w:instrText xml:space="preserve">PAGE  </w:instrText>
                    </w:r>
                    <w:r>
                      <w:fldChar w:fldCharType="separate"/>
                    </w:r>
                    <w:r>
                      <w:rPr>
                        <w:rStyle w:val="40"/>
                      </w:rPr>
                      <w:t>53</w:t>
                    </w:r>
                    <w:r>
                      <w:fldChar w:fldCharType="end"/>
                    </w:r>
                  </w:p>
                  <w:p>
                    <w:pPr>
                      <w:pStyle w:val="2"/>
                      <w:ind w:left="-4410" w:leftChars="-2100" w:right="-4439" w:rightChars="-2114"/>
                      <w:jc w:val="center"/>
                      <w:rPr>
                        <w:rStyle w:val="40"/>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
      <w:ind w:right="360" w:firstLine="360"/>
      <w:jc w:val="center"/>
    </w:pPr>
    <w:r>
      <w:rPr>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rPr>
                              <w:rStyle w:val="40"/>
                            </w:rPr>
                            <w:instrText xml:space="preserve"> PAGE </w:instrText>
                          </w:r>
                          <w:r>
                            <w:fldChar w:fldCharType="separate"/>
                          </w:r>
                          <w:r>
                            <w:rPr>
                              <w:rStyle w:val="40"/>
                            </w:rP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fldChar w:fldCharType="begin"/>
                    </w:r>
                    <w:r>
                      <w:rPr>
                        <w:rStyle w:val="40"/>
                      </w:rPr>
                      <w:instrText xml:space="preserve"> PAGE </w:instrText>
                    </w:r>
                    <w:r>
                      <w:fldChar w:fldCharType="separate"/>
                    </w:r>
                    <w:r>
                      <w:rPr>
                        <w:rStyle w:val="40"/>
                      </w:rP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05165"/>
    <w:multiLevelType w:val="singleLevel"/>
    <w:tmpl w:val="BD305165"/>
    <w:lvl w:ilvl="0" w:tentative="0">
      <w:start w:val="1"/>
      <w:numFmt w:val="chineseCounting"/>
      <w:suff w:val="space"/>
      <w:lvlText w:val="第%1部分"/>
      <w:lvlJc w:val="left"/>
      <w:rPr>
        <w:rFonts w:hint="eastAsia"/>
      </w:rPr>
    </w:lvl>
  </w:abstractNum>
  <w:abstractNum w:abstractNumId="1">
    <w:nsid w:val="1D166C74"/>
    <w:multiLevelType w:val="singleLevel"/>
    <w:tmpl w:val="1D166C74"/>
    <w:lvl w:ilvl="0" w:tentative="0">
      <w:start w:val="1"/>
      <w:numFmt w:val="decimal"/>
      <w:suff w:val="nothing"/>
      <w:lvlText w:val="（%1）"/>
      <w:lvlJc w:val="left"/>
    </w:lvl>
  </w:abstractNum>
  <w:abstractNum w:abstractNumId="2">
    <w:nsid w:val="2154CF73"/>
    <w:multiLevelType w:val="singleLevel"/>
    <w:tmpl w:val="2154CF73"/>
    <w:lvl w:ilvl="0" w:tentative="0">
      <w:start w:val="1"/>
      <w:numFmt w:val="decimal"/>
      <w:suff w:val="nothing"/>
      <w:lvlText w:val="（%1）"/>
      <w:lvlJc w:val="left"/>
    </w:lvl>
  </w:abstractNum>
  <w:abstractNum w:abstractNumId="3">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mODhjZDA1NzgzZjc1NDE1MDUyNjE2NTZlZTIxYzIifQ=="/>
  </w:docVars>
  <w:rsids>
    <w:rsidRoot w:val="007B41BE"/>
    <w:rsid w:val="000200EE"/>
    <w:rsid w:val="000575F8"/>
    <w:rsid w:val="000C1007"/>
    <w:rsid w:val="000C11E0"/>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44146"/>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1E00"/>
    <w:rsid w:val="00D84E64"/>
    <w:rsid w:val="00DC15EC"/>
    <w:rsid w:val="00E22EAB"/>
    <w:rsid w:val="00E457F6"/>
    <w:rsid w:val="00E638F3"/>
    <w:rsid w:val="00EB6530"/>
    <w:rsid w:val="00EC014E"/>
    <w:rsid w:val="00F40301"/>
    <w:rsid w:val="00FA5926"/>
    <w:rsid w:val="00FC42A8"/>
    <w:rsid w:val="00FC5596"/>
    <w:rsid w:val="0196601E"/>
    <w:rsid w:val="01D152A8"/>
    <w:rsid w:val="02254321"/>
    <w:rsid w:val="02F83B3A"/>
    <w:rsid w:val="03124864"/>
    <w:rsid w:val="03184F30"/>
    <w:rsid w:val="03A76CEC"/>
    <w:rsid w:val="05263C92"/>
    <w:rsid w:val="05935ABA"/>
    <w:rsid w:val="061468A8"/>
    <w:rsid w:val="064366E8"/>
    <w:rsid w:val="067304F4"/>
    <w:rsid w:val="06A05249"/>
    <w:rsid w:val="072F44E3"/>
    <w:rsid w:val="073B1CC1"/>
    <w:rsid w:val="075A7AEE"/>
    <w:rsid w:val="07B30216"/>
    <w:rsid w:val="07F43C1A"/>
    <w:rsid w:val="080261BB"/>
    <w:rsid w:val="082E1649"/>
    <w:rsid w:val="09F33618"/>
    <w:rsid w:val="0A005DF8"/>
    <w:rsid w:val="0A3B3C06"/>
    <w:rsid w:val="0A473D82"/>
    <w:rsid w:val="0B2360D1"/>
    <w:rsid w:val="0B2E06E1"/>
    <w:rsid w:val="0B640F3B"/>
    <w:rsid w:val="0BE55BCC"/>
    <w:rsid w:val="0C163FA6"/>
    <w:rsid w:val="0D407BD1"/>
    <w:rsid w:val="0D5E54A5"/>
    <w:rsid w:val="0DBF25EE"/>
    <w:rsid w:val="0DD1225F"/>
    <w:rsid w:val="0E0407B3"/>
    <w:rsid w:val="0F7E4AB5"/>
    <w:rsid w:val="0FEF45D8"/>
    <w:rsid w:val="102B5DB5"/>
    <w:rsid w:val="104135F9"/>
    <w:rsid w:val="10AA098F"/>
    <w:rsid w:val="10BB15FD"/>
    <w:rsid w:val="11C95C11"/>
    <w:rsid w:val="11E8746F"/>
    <w:rsid w:val="12C003B5"/>
    <w:rsid w:val="13375D52"/>
    <w:rsid w:val="133E6515"/>
    <w:rsid w:val="14D34591"/>
    <w:rsid w:val="16000C99"/>
    <w:rsid w:val="160B6B83"/>
    <w:rsid w:val="166E33F6"/>
    <w:rsid w:val="16D57F12"/>
    <w:rsid w:val="17055ADF"/>
    <w:rsid w:val="1784194E"/>
    <w:rsid w:val="17C0399D"/>
    <w:rsid w:val="18151F96"/>
    <w:rsid w:val="181C07FE"/>
    <w:rsid w:val="1869193F"/>
    <w:rsid w:val="190621F2"/>
    <w:rsid w:val="199576A3"/>
    <w:rsid w:val="1A2F4635"/>
    <w:rsid w:val="1A531F7F"/>
    <w:rsid w:val="1A7E4EFC"/>
    <w:rsid w:val="1AD03189"/>
    <w:rsid w:val="1B0F2998"/>
    <w:rsid w:val="1C353D46"/>
    <w:rsid w:val="1C466E0B"/>
    <w:rsid w:val="1C4921B3"/>
    <w:rsid w:val="1C534DE0"/>
    <w:rsid w:val="1CA861E5"/>
    <w:rsid w:val="1CD67CB3"/>
    <w:rsid w:val="1CFF5510"/>
    <w:rsid w:val="1E486D96"/>
    <w:rsid w:val="1E842DB0"/>
    <w:rsid w:val="1E8F1184"/>
    <w:rsid w:val="1EA91761"/>
    <w:rsid w:val="1EBA5A37"/>
    <w:rsid w:val="1F037896"/>
    <w:rsid w:val="1F4849A4"/>
    <w:rsid w:val="1FA806F9"/>
    <w:rsid w:val="1FDA15FF"/>
    <w:rsid w:val="1FF540F7"/>
    <w:rsid w:val="1FF92163"/>
    <w:rsid w:val="20216DCB"/>
    <w:rsid w:val="202C50C6"/>
    <w:rsid w:val="202D76F6"/>
    <w:rsid w:val="20D81D57"/>
    <w:rsid w:val="20EA0012"/>
    <w:rsid w:val="210E7527"/>
    <w:rsid w:val="213E2488"/>
    <w:rsid w:val="21542D25"/>
    <w:rsid w:val="22AD0709"/>
    <w:rsid w:val="22E86BD0"/>
    <w:rsid w:val="23533917"/>
    <w:rsid w:val="24082954"/>
    <w:rsid w:val="24424E18"/>
    <w:rsid w:val="24A972CC"/>
    <w:rsid w:val="24CD65EE"/>
    <w:rsid w:val="25B651FC"/>
    <w:rsid w:val="26316AFB"/>
    <w:rsid w:val="269E2FB0"/>
    <w:rsid w:val="26E2748C"/>
    <w:rsid w:val="271F6F4E"/>
    <w:rsid w:val="286B2CA4"/>
    <w:rsid w:val="28771630"/>
    <w:rsid w:val="28790229"/>
    <w:rsid w:val="28A21EA5"/>
    <w:rsid w:val="28A93404"/>
    <w:rsid w:val="291610DB"/>
    <w:rsid w:val="292645A9"/>
    <w:rsid w:val="2A880A7B"/>
    <w:rsid w:val="2C491024"/>
    <w:rsid w:val="2CDB1327"/>
    <w:rsid w:val="2CEF4AB2"/>
    <w:rsid w:val="2D1E0758"/>
    <w:rsid w:val="2D2C5FDE"/>
    <w:rsid w:val="2DC4660F"/>
    <w:rsid w:val="2E0B376C"/>
    <w:rsid w:val="2E4F45F6"/>
    <w:rsid w:val="2E8B6854"/>
    <w:rsid w:val="30252216"/>
    <w:rsid w:val="30557FFC"/>
    <w:rsid w:val="305F1B4D"/>
    <w:rsid w:val="30817D16"/>
    <w:rsid w:val="30997F39"/>
    <w:rsid w:val="30A61108"/>
    <w:rsid w:val="30EC2386"/>
    <w:rsid w:val="314174A5"/>
    <w:rsid w:val="31B77767"/>
    <w:rsid w:val="321D2914"/>
    <w:rsid w:val="32731CE1"/>
    <w:rsid w:val="32B06690"/>
    <w:rsid w:val="32BF3509"/>
    <w:rsid w:val="339B6959"/>
    <w:rsid w:val="33BA702B"/>
    <w:rsid w:val="33CB137D"/>
    <w:rsid w:val="347B2CCE"/>
    <w:rsid w:val="34A40AAF"/>
    <w:rsid w:val="35613CF1"/>
    <w:rsid w:val="35C3492C"/>
    <w:rsid w:val="360161F1"/>
    <w:rsid w:val="365420EA"/>
    <w:rsid w:val="36FA484C"/>
    <w:rsid w:val="371B6F99"/>
    <w:rsid w:val="373B2010"/>
    <w:rsid w:val="374455F9"/>
    <w:rsid w:val="375D203C"/>
    <w:rsid w:val="376F7788"/>
    <w:rsid w:val="37FA01D4"/>
    <w:rsid w:val="38026A6F"/>
    <w:rsid w:val="388109FB"/>
    <w:rsid w:val="38FB5AD3"/>
    <w:rsid w:val="393660F0"/>
    <w:rsid w:val="39C15447"/>
    <w:rsid w:val="3A167DD1"/>
    <w:rsid w:val="3A6442DC"/>
    <w:rsid w:val="3A8B1EF5"/>
    <w:rsid w:val="3A8D1903"/>
    <w:rsid w:val="3B241379"/>
    <w:rsid w:val="3B7009E1"/>
    <w:rsid w:val="3BBD1E1E"/>
    <w:rsid w:val="3C7B2098"/>
    <w:rsid w:val="3CB17B91"/>
    <w:rsid w:val="3CF5453E"/>
    <w:rsid w:val="3D60411F"/>
    <w:rsid w:val="3DD92DAA"/>
    <w:rsid w:val="3F2C03A4"/>
    <w:rsid w:val="3FA51CB3"/>
    <w:rsid w:val="410C28BC"/>
    <w:rsid w:val="41E657FF"/>
    <w:rsid w:val="42A21DA3"/>
    <w:rsid w:val="42BB330B"/>
    <w:rsid w:val="44B52F3D"/>
    <w:rsid w:val="45C65BB7"/>
    <w:rsid w:val="46BA69A3"/>
    <w:rsid w:val="46F31E5A"/>
    <w:rsid w:val="48523C0A"/>
    <w:rsid w:val="48C36A60"/>
    <w:rsid w:val="48D72771"/>
    <w:rsid w:val="493058B4"/>
    <w:rsid w:val="49795732"/>
    <w:rsid w:val="49825B3E"/>
    <w:rsid w:val="4A3236BC"/>
    <w:rsid w:val="4A510301"/>
    <w:rsid w:val="4ABC2764"/>
    <w:rsid w:val="4AD52CE0"/>
    <w:rsid w:val="4B3F6B82"/>
    <w:rsid w:val="4B6B7860"/>
    <w:rsid w:val="4B740BD5"/>
    <w:rsid w:val="4BB33A7C"/>
    <w:rsid w:val="4C066B29"/>
    <w:rsid w:val="4C3719B2"/>
    <w:rsid w:val="4C9D782D"/>
    <w:rsid w:val="4CC414CF"/>
    <w:rsid w:val="4CCA08C3"/>
    <w:rsid w:val="4CDC3C81"/>
    <w:rsid w:val="4D3F4582"/>
    <w:rsid w:val="4D616AAD"/>
    <w:rsid w:val="4D95296E"/>
    <w:rsid w:val="4DD52462"/>
    <w:rsid w:val="4E6C325B"/>
    <w:rsid w:val="4EBE5F6A"/>
    <w:rsid w:val="4FDA2B47"/>
    <w:rsid w:val="50760543"/>
    <w:rsid w:val="50810B94"/>
    <w:rsid w:val="50E030C2"/>
    <w:rsid w:val="51CD2340"/>
    <w:rsid w:val="5329559A"/>
    <w:rsid w:val="53672172"/>
    <w:rsid w:val="53F92C98"/>
    <w:rsid w:val="548C6339"/>
    <w:rsid w:val="55B23569"/>
    <w:rsid w:val="563B262E"/>
    <w:rsid w:val="56A958B6"/>
    <w:rsid w:val="56AE4214"/>
    <w:rsid w:val="56BC2FA6"/>
    <w:rsid w:val="56DC3545"/>
    <w:rsid w:val="573354B6"/>
    <w:rsid w:val="57E02CC4"/>
    <w:rsid w:val="58081FD7"/>
    <w:rsid w:val="58F51A81"/>
    <w:rsid w:val="5918513D"/>
    <w:rsid w:val="59C9560C"/>
    <w:rsid w:val="5A117426"/>
    <w:rsid w:val="5A8E4C59"/>
    <w:rsid w:val="5AB95EE2"/>
    <w:rsid w:val="5AB97222"/>
    <w:rsid w:val="5B6750BC"/>
    <w:rsid w:val="5B8F6B3C"/>
    <w:rsid w:val="5BCF382F"/>
    <w:rsid w:val="5BFE196B"/>
    <w:rsid w:val="5C193C6F"/>
    <w:rsid w:val="5CDF456F"/>
    <w:rsid w:val="5D572C78"/>
    <w:rsid w:val="5D9F67E0"/>
    <w:rsid w:val="5E3B6EA6"/>
    <w:rsid w:val="5EB81E46"/>
    <w:rsid w:val="5F090D52"/>
    <w:rsid w:val="5F3A250A"/>
    <w:rsid w:val="5F487409"/>
    <w:rsid w:val="5F4B72E8"/>
    <w:rsid w:val="5F653C6F"/>
    <w:rsid w:val="5FBD352B"/>
    <w:rsid w:val="5FFB064B"/>
    <w:rsid w:val="60092859"/>
    <w:rsid w:val="60ED7300"/>
    <w:rsid w:val="62832486"/>
    <w:rsid w:val="630E2DDB"/>
    <w:rsid w:val="638A67B2"/>
    <w:rsid w:val="63DA0F0F"/>
    <w:rsid w:val="63E0211F"/>
    <w:rsid w:val="643F19D9"/>
    <w:rsid w:val="644C1739"/>
    <w:rsid w:val="64970BAF"/>
    <w:rsid w:val="64FB758F"/>
    <w:rsid w:val="64FD03AC"/>
    <w:rsid w:val="653505E7"/>
    <w:rsid w:val="65890C8C"/>
    <w:rsid w:val="669525B6"/>
    <w:rsid w:val="67D940C4"/>
    <w:rsid w:val="68E029FD"/>
    <w:rsid w:val="692F3C99"/>
    <w:rsid w:val="693D2089"/>
    <w:rsid w:val="698D6677"/>
    <w:rsid w:val="69B813AB"/>
    <w:rsid w:val="6A1F1065"/>
    <w:rsid w:val="6AA162E3"/>
    <w:rsid w:val="6AAB2135"/>
    <w:rsid w:val="6AC63F9C"/>
    <w:rsid w:val="6AD6542E"/>
    <w:rsid w:val="6B040620"/>
    <w:rsid w:val="6B0E5509"/>
    <w:rsid w:val="6B407C0E"/>
    <w:rsid w:val="6C376EFF"/>
    <w:rsid w:val="6C7621DF"/>
    <w:rsid w:val="6C7625FC"/>
    <w:rsid w:val="6C787452"/>
    <w:rsid w:val="6CB927C4"/>
    <w:rsid w:val="6CEF4F0F"/>
    <w:rsid w:val="6D1E77CC"/>
    <w:rsid w:val="6D4A4DD2"/>
    <w:rsid w:val="6DAB59DE"/>
    <w:rsid w:val="6E777A87"/>
    <w:rsid w:val="6EA840E4"/>
    <w:rsid w:val="6EAF3BF9"/>
    <w:rsid w:val="6EE967A7"/>
    <w:rsid w:val="6FD146E6"/>
    <w:rsid w:val="702751BC"/>
    <w:rsid w:val="703934EB"/>
    <w:rsid w:val="708A2F7E"/>
    <w:rsid w:val="70900FEB"/>
    <w:rsid w:val="7113730F"/>
    <w:rsid w:val="714F4A68"/>
    <w:rsid w:val="717209D9"/>
    <w:rsid w:val="71EE61B5"/>
    <w:rsid w:val="723F4C97"/>
    <w:rsid w:val="72DA05E4"/>
    <w:rsid w:val="73CC483B"/>
    <w:rsid w:val="747857C5"/>
    <w:rsid w:val="74A80203"/>
    <w:rsid w:val="74D57DC3"/>
    <w:rsid w:val="74EC66F9"/>
    <w:rsid w:val="754E44BD"/>
    <w:rsid w:val="76305A01"/>
    <w:rsid w:val="76714E01"/>
    <w:rsid w:val="76F579B0"/>
    <w:rsid w:val="78D41F79"/>
    <w:rsid w:val="790B6EC6"/>
    <w:rsid w:val="792B62DE"/>
    <w:rsid w:val="79501600"/>
    <w:rsid w:val="79D8394B"/>
    <w:rsid w:val="7AC174EE"/>
    <w:rsid w:val="7ADC31A8"/>
    <w:rsid w:val="7B012F78"/>
    <w:rsid w:val="7B8F4593"/>
    <w:rsid w:val="7CFF4621"/>
    <w:rsid w:val="7D573F18"/>
    <w:rsid w:val="7D5F768E"/>
    <w:rsid w:val="7D8B2960"/>
    <w:rsid w:val="7DE949AF"/>
    <w:rsid w:val="7E402C0C"/>
    <w:rsid w:val="7E447C93"/>
    <w:rsid w:val="7FB77874"/>
    <w:rsid w:val="7FF4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0"/>
    <w:qFormat/>
    <w:uiPriority w:val="0"/>
    <w:pPr>
      <w:keepNext/>
      <w:keepLines/>
      <w:spacing w:after="120" w:line="360" w:lineRule="auto"/>
      <w:outlineLvl w:val="0"/>
    </w:pPr>
    <w:rPr>
      <w:kern w:val="44"/>
      <w:sz w:val="28"/>
      <w:szCs w:val="28"/>
    </w:rPr>
  </w:style>
  <w:style w:type="paragraph" w:styleId="4">
    <w:name w:val="heading 2"/>
    <w:basedOn w:val="1"/>
    <w:next w:val="5"/>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63"/>
    <w:qFormat/>
    <w:uiPriority w:val="0"/>
    <w:pPr>
      <w:numPr>
        <w:ilvl w:val="4"/>
      </w:numPr>
      <w:spacing w:line="240" w:lineRule="exact"/>
      <w:outlineLvl w:val="4"/>
    </w:pPr>
  </w:style>
  <w:style w:type="paragraph" w:styleId="9">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9"/>
    <w:unhideWhenUsed/>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420"/>
    </w:pPr>
    <w:rPr>
      <w:rFonts w:ascii="Times New Roman" w:hAnsi="Times New Roman"/>
      <w:szCs w:val="20"/>
    </w:rPr>
  </w:style>
  <w:style w:type="paragraph" w:styleId="13">
    <w:name w:val="Document Map"/>
    <w:basedOn w:val="1"/>
    <w:link w:val="79"/>
    <w:qFormat/>
    <w:uiPriority w:val="0"/>
    <w:pPr>
      <w:shd w:val="clear" w:color="auto" w:fill="000080"/>
    </w:pPr>
    <w:rPr>
      <w:rFonts w:ascii="Times New Roman" w:hAnsi="Times New Roman"/>
      <w:szCs w:val="20"/>
    </w:rPr>
  </w:style>
  <w:style w:type="paragraph" w:styleId="14">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1"/>
    <w:qFormat/>
    <w:uiPriority w:val="0"/>
    <w:pPr>
      <w:spacing w:after="120"/>
    </w:pPr>
    <w:rPr>
      <w:rFonts w:ascii="Times New Roman" w:hAnsi="Times New Roman"/>
      <w:szCs w:val="20"/>
    </w:rPr>
  </w:style>
  <w:style w:type="paragraph" w:styleId="16">
    <w:name w:val="Body Text Indent"/>
    <w:basedOn w:val="1"/>
    <w:link w:val="77"/>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81"/>
    <w:qFormat/>
    <w:uiPriority w:val="0"/>
    <w:rPr>
      <w:rFonts w:ascii="宋体" w:hAnsi="Courier New"/>
      <w:szCs w:val="20"/>
    </w:rPr>
  </w:style>
  <w:style w:type="paragraph" w:styleId="19">
    <w:name w:val="Date"/>
    <w:basedOn w:val="1"/>
    <w:next w:val="1"/>
    <w:link w:val="75"/>
    <w:qFormat/>
    <w:uiPriority w:val="0"/>
    <w:rPr>
      <w:rFonts w:ascii="Times New Roman" w:hAnsi="Times New Roman"/>
      <w:szCs w:val="20"/>
    </w:rPr>
  </w:style>
  <w:style w:type="paragraph" w:styleId="20">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1">
    <w:name w:val="endnote text"/>
    <w:basedOn w:val="1"/>
    <w:link w:val="92"/>
    <w:qFormat/>
    <w:uiPriority w:val="0"/>
    <w:pPr>
      <w:snapToGrid w:val="0"/>
      <w:jc w:val="left"/>
    </w:pPr>
    <w:rPr>
      <w:rFonts w:ascii="Times New Roman" w:hAnsi="Times New Roman"/>
      <w:szCs w:val="20"/>
    </w:rPr>
  </w:style>
  <w:style w:type="paragraph" w:styleId="22">
    <w:name w:val="Balloon Text"/>
    <w:basedOn w:val="1"/>
    <w:link w:val="102"/>
    <w:qFormat/>
    <w:uiPriority w:val="0"/>
    <w:rPr>
      <w:rFonts w:ascii="Times New Roman" w:hAnsi="Times New Roman"/>
      <w:sz w:val="18"/>
      <w:szCs w:val="18"/>
    </w:rPr>
  </w:style>
  <w:style w:type="paragraph" w:styleId="23">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5">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6">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8">
    <w:name w:val="Body Text 2"/>
    <w:basedOn w:val="1"/>
    <w:link w:val="89"/>
    <w:qFormat/>
    <w:uiPriority w:val="0"/>
    <w:rPr>
      <w:rFonts w:ascii="宋体" w:hAnsi="宋体"/>
      <w:szCs w:val="24"/>
      <w:u w:val="single"/>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69"/>
    <w:qFormat/>
    <w:uiPriority w:val="0"/>
    <w:pPr>
      <w:spacing w:before="120" w:after="60"/>
      <w:jc w:val="center"/>
    </w:pPr>
    <w:rPr>
      <w:rFonts w:ascii="Arial" w:hAnsi="Arial"/>
      <w:b/>
      <w:sz w:val="44"/>
      <w:szCs w:val="20"/>
    </w:rPr>
  </w:style>
  <w:style w:type="paragraph" w:styleId="32">
    <w:name w:val="annotation subject"/>
    <w:basedOn w:val="14"/>
    <w:next w:val="14"/>
    <w:link w:val="109"/>
    <w:qFormat/>
    <w:uiPriority w:val="0"/>
    <w:rPr>
      <w:b/>
      <w:bCs/>
    </w:rPr>
  </w:style>
  <w:style w:type="paragraph" w:styleId="33">
    <w:name w:val="Body Text First Indent"/>
    <w:basedOn w:val="15"/>
    <w:link w:val="73"/>
    <w:qFormat/>
    <w:uiPriority w:val="0"/>
    <w:pPr>
      <w:ind w:firstLine="420"/>
    </w:pPr>
  </w:style>
  <w:style w:type="paragraph" w:styleId="34">
    <w:name w:val="Body Text First Indent 2"/>
    <w:basedOn w:val="1"/>
    <w:qFormat/>
    <w:uiPriority w:val="0"/>
    <w:pPr>
      <w:spacing w:after="120" w:line="240" w:lineRule="auto"/>
      <w:ind w:left="200" w:leftChars="200" w:firstLine="200" w:firstLineChars="200"/>
    </w:pPr>
    <w:rPr>
      <w:rFonts w:ascii="Calibri" w:hAnsi="Calibri"/>
      <w:kern w:val="2"/>
      <w:sz w:val="21"/>
      <w:szCs w:val="24"/>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basedOn w:val="37"/>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pPr>
      <w:textAlignment w:val="baseline"/>
    </w:pPr>
    <w:rPr>
      <w:rFonts w:ascii="宋体" w:hAnsi="Courier New" w:cs="Calibri"/>
      <w:color w:val="000000"/>
      <w:kern w:val="0"/>
      <w:sz w:val="20"/>
      <w:szCs w:val="20"/>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6"/>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3"/>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4"/>
    <w:qFormat/>
    <w:uiPriority w:val="0"/>
    <w:rPr>
      <w:rFonts w:ascii="Arial" w:hAnsi="Arial" w:eastAsia="宋体" w:cs="Times New Roman"/>
      <w:b/>
      <w:color w:val="000000"/>
      <w:sz w:val="24"/>
      <w:szCs w:val="24"/>
    </w:rPr>
  </w:style>
  <w:style w:type="character" w:customStyle="1" w:styleId="62">
    <w:name w:val="标题 4 字符1"/>
    <w:link w:val="7"/>
    <w:qFormat/>
    <w:uiPriority w:val="0"/>
    <w:rPr>
      <w:rFonts w:ascii="Arial" w:hAnsi="Arial" w:eastAsia="宋体" w:cs="Times New Roman"/>
      <w:color w:val="000000"/>
      <w:szCs w:val="21"/>
    </w:rPr>
  </w:style>
  <w:style w:type="character" w:customStyle="1" w:styleId="63">
    <w:name w:val="标题 5 字符1"/>
    <w:link w:val="8"/>
    <w:qFormat/>
    <w:uiPriority w:val="0"/>
    <w:rPr>
      <w:rFonts w:ascii="Arial" w:hAnsi="Arial" w:eastAsia="宋体" w:cs="Times New Roman"/>
      <w:color w:val="000000"/>
      <w:szCs w:val="21"/>
    </w:rPr>
  </w:style>
  <w:style w:type="character" w:customStyle="1" w:styleId="64">
    <w:name w:val="标题 6 字符1"/>
    <w:link w:val="9"/>
    <w:qFormat/>
    <w:uiPriority w:val="0"/>
    <w:rPr>
      <w:rFonts w:ascii="Arial" w:hAnsi="Arial" w:eastAsia="黑体" w:cs="Times New Roman"/>
      <w:b/>
      <w:bCs/>
      <w:sz w:val="24"/>
      <w:szCs w:val="24"/>
    </w:rPr>
  </w:style>
  <w:style w:type="character" w:customStyle="1" w:styleId="65">
    <w:name w:val="标题 7 字符1"/>
    <w:link w:val="10"/>
    <w:qFormat/>
    <w:uiPriority w:val="0"/>
    <w:rPr>
      <w:rFonts w:ascii="Times New Roman" w:hAnsi="Times New Roman" w:eastAsia="宋体" w:cs="Times New Roman"/>
      <w:b/>
      <w:sz w:val="24"/>
      <w:szCs w:val="20"/>
    </w:rPr>
  </w:style>
  <w:style w:type="character" w:customStyle="1" w:styleId="66">
    <w:name w:val="标题 8 字符1"/>
    <w:link w:val="11"/>
    <w:qFormat/>
    <w:uiPriority w:val="0"/>
    <w:rPr>
      <w:rFonts w:ascii="Arial" w:hAnsi="Arial" w:eastAsia="黑体" w:cs="Times New Roman"/>
      <w:sz w:val="24"/>
      <w:szCs w:val="20"/>
    </w:rPr>
  </w:style>
  <w:style w:type="character" w:customStyle="1" w:styleId="67">
    <w:name w:val="标题 9 字符1"/>
    <w:link w:val="12"/>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31"/>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15"/>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33"/>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19"/>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6"/>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3"/>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18"/>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0"/>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6"/>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28"/>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1"/>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5"/>
    <w:qFormat/>
    <w:uiPriority w:val="0"/>
    <w:pPr>
      <w:ind w:firstLine="0"/>
    </w:pPr>
    <w:rPr>
      <w:rFonts w:ascii="仿宋_GB2312" w:eastAsia="仿宋_GB2312"/>
      <w:sz w:val="30"/>
      <w:szCs w:val="24"/>
    </w:rPr>
  </w:style>
  <w:style w:type="paragraph" w:customStyle="1" w:styleId="96">
    <w:name w:val="Char Char Char1 Char"/>
    <w:basedOn w:val="13"/>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2"/>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4"/>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5"/>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2"/>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NormalCharacter"/>
    <w:qFormat/>
    <w:uiPriority w:val="0"/>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文一"/>
    <w:basedOn w:val="1"/>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22">
    <w:name w:val="封二"/>
    <w:basedOn w:val="121"/>
    <w:next w:val="121"/>
    <w:qFormat/>
    <w:uiPriority w:val="0"/>
    <w:pPr>
      <w:ind w:firstLine="0" w:firstLineChars="0"/>
      <w:jc w:val="center"/>
    </w:pPr>
    <w:rPr>
      <w:rFonts w:eastAsia="黑体"/>
      <w:b/>
      <w:sz w:val="36"/>
      <w:szCs w:val="36"/>
    </w:rPr>
  </w:style>
  <w:style w:type="paragraph" w:customStyle="1" w:styleId="123">
    <w:name w:val="封一"/>
    <w:basedOn w:val="121"/>
    <w:next w:val="121"/>
    <w:qFormat/>
    <w:uiPriority w:val="0"/>
    <w:pPr>
      <w:ind w:firstLine="0" w:firstLineChars="0"/>
      <w:jc w:val="center"/>
    </w:pPr>
    <w:rPr>
      <w:rFonts w:eastAsia="黑体"/>
      <w:b/>
      <w:sz w:val="84"/>
      <w:szCs w:val="84"/>
    </w:rPr>
  </w:style>
  <w:style w:type="paragraph" w:customStyle="1" w:styleId="124">
    <w:name w:val="封四"/>
    <w:basedOn w:val="121"/>
    <w:next w:val="121"/>
    <w:qFormat/>
    <w:uiPriority w:val="0"/>
    <w:pPr>
      <w:jc w:val="left"/>
    </w:pPr>
    <w:rPr>
      <w:sz w:val="30"/>
      <w:szCs w:val="30"/>
    </w:rPr>
  </w:style>
  <w:style w:type="character" w:customStyle="1" w:styleId="125">
    <w:name w:val="s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43611</Words>
  <Characters>45922</Characters>
  <Lines>1</Lines>
  <Paragraphs>1</Paragraphs>
  <TotalTime>39</TotalTime>
  <ScaleCrop>false</ScaleCrop>
  <LinksUpToDate>false</LinksUpToDate>
  <CharactersWithSpaces>48288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萍</cp:lastModifiedBy>
  <cp:lastPrinted>2022-09-05T04:48:00Z</cp:lastPrinted>
  <dcterms:modified xsi:type="dcterms:W3CDTF">2023-09-19T08:27:13Z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4E9AD7A441E24D2C8C951D064919E010_13</vt:lpwstr>
  </property>
</Properties>
</file>