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255"/>
          <w:numId w:val="0"/>
        </w:numPr>
        <w:jc w:val="left"/>
        <w:rPr>
          <w:color w:val="auto"/>
          <w:highlight w:val="none"/>
        </w:rPr>
      </w:pPr>
    </w:p>
    <w:p>
      <w:pPr>
        <w:numPr>
          <w:ilvl w:val="2"/>
          <w:numId w:val="0"/>
        </w:numPr>
        <w:spacing w:line="360" w:lineRule="auto"/>
        <w:ind w:firstLine="643" w:firstLineChars="200"/>
        <w:jc w:val="center"/>
        <w:outlineLvl w:val="0"/>
        <w:rPr>
          <w:rFonts w:ascii="仿宋" w:hAnsi="仿宋" w:eastAsia="仿宋" w:cs="仿宋"/>
          <w:b/>
          <w:bCs/>
          <w:color w:val="auto"/>
          <w:sz w:val="32"/>
          <w:szCs w:val="24"/>
          <w:highlight w:val="none"/>
        </w:rPr>
      </w:pPr>
    </w:p>
    <w:p>
      <w:pPr>
        <w:numPr>
          <w:ilvl w:val="2"/>
          <w:numId w:val="0"/>
        </w:numPr>
        <w:spacing w:line="360" w:lineRule="auto"/>
        <w:ind w:firstLine="643" w:firstLineChars="200"/>
        <w:jc w:val="center"/>
        <w:outlineLvl w:val="0"/>
        <w:rPr>
          <w:rFonts w:ascii="仿宋" w:hAnsi="仿宋" w:eastAsia="仿宋" w:cs="仿宋"/>
          <w:b/>
          <w:bCs/>
          <w:color w:val="auto"/>
          <w:sz w:val="32"/>
          <w:szCs w:val="24"/>
          <w:highlight w:val="none"/>
        </w:rPr>
      </w:pPr>
    </w:p>
    <w:p>
      <w:pPr>
        <w:numPr>
          <w:ilvl w:val="2"/>
          <w:numId w:val="0"/>
        </w:numPr>
        <w:spacing w:line="360" w:lineRule="auto"/>
        <w:ind w:firstLine="643" w:firstLineChars="200"/>
        <w:jc w:val="center"/>
        <w:outlineLvl w:val="0"/>
        <w:rPr>
          <w:rFonts w:ascii="仿宋" w:hAnsi="仿宋" w:eastAsia="仿宋" w:cs="仿宋"/>
          <w:b/>
          <w:bCs/>
          <w:color w:val="auto"/>
          <w:sz w:val="32"/>
          <w:szCs w:val="24"/>
          <w:highlight w:val="none"/>
        </w:rPr>
      </w:pPr>
    </w:p>
    <w:p>
      <w:pPr>
        <w:numPr>
          <w:ilvl w:val="2"/>
          <w:numId w:val="0"/>
        </w:numPr>
        <w:spacing w:line="360" w:lineRule="auto"/>
        <w:ind w:firstLine="643" w:firstLineChars="200"/>
        <w:jc w:val="center"/>
        <w:outlineLvl w:val="0"/>
        <w:rPr>
          <w:rFonts w:ascii="仿宋" w:hAnsi="仿宋" w:eastAsia="仿宋" w:cs="仿宋"/>
          <w:b/>
          <w:bCs/>
          <w:color w:val="auto"/>
          <w:sz w:val="32"/>
          <w:szCs w:val="24"/>
          <w:highlight w:val="none"/>
        </w:rPr>
      </w:pPr>
    </w:p>
    <w:p>
      <w:pPr>
        <w:numPr>
          <w:ilvl w:val="2"/>
          <w:numId w:val="0"/>
        </w:numPr>
        <w:spacing w:line="360" w:lineRule="auto"/>
        <w:ind w:firstLine="643" w:firstLineChars="200"/>
        <w:jc w:val="center"/>
        <w:outlineLvl w:val="0"/>
        <w:rPr>
          <w:rFonts w:ascii="仿宋" w:hAnsi="仿宋" w:eastAsia="仿宋" w:cs="仿宋"/>
          <w:b/>
          <w:bCs/>
          <w:color w:val="auto"/>
          <w:sz w:val="32"/>
          <w:szCs w:val="24"/>
          <w:highlight w:val="none"/>
        </w:rPr>
      </w:pPr>
    </w:p>
    <w:p>
      <w:pPr>
        <w:numPr>
          <w:ilvl w:val="2"/>
          <w:numId w:val="0"/>
        </w:numPr>
        <w:spacing w:line="360" w:lineRule="auto"/>
        <w:ind w:firstLine="643" w:firstLineChars="200"/>
        <w:jc w:val="center"/>
        <w:outlineLvl w:val="0"/>
        <w:rPr>
          <w:rFonts w:ascii="仿宋" w:hAnsi="仿宋" w:eastAsia="仿宋" w:cs="仿宋"/>
          <w:b/>
          <w:bCs/>
          <w:color w:val="auto"/>
          <w:sz w:val="32"/>
          <w:szCs w:val="24"/>
          <w:highlight w:val="none"/>
        </w:rPr>
      </w:pPr>
      <w:r>
        <w:rPr>
          <w:rFonts w:hint="eastAsia" w:ascii="仿宋" w:hAnsi="仿宋" w:eastAsia="仿宋" w:cs="仿宋"/>
          <w:b/>
          <w:bCs/>
          <w:color w:val="auto"/>
          <w:sz w:val="32"/>
          <w:szCs w:val="24"/>
          <w:highlight w:val="none"/>
        </w:rPr>
        <w:t>广州海洋馆升级改造工程项目主题演艺工程</w:t>
      </w:r>
    </w:p>
    <w:p>
      <w:pPr>
        <w:jc w:val="center"/>
        <w:rPr>
          <w:rFonts w:ascii="仿宋" w:hAnsi="仿宋" w:eastAsia="仿宋" w:cs="仿宋"/>
          <w:b/>
          <w:bCs/>
          <w:color w:val="auto"/>
          <w:sz w:val="32"/>
          <w:szCs w:val="24"/>
          <w:highlight w:val="none"/>
        </w:rPr>
      </w:pPr>
      <w:r>
        <w:rPr>
          <w:rFonts w:hint="eastAsia" w:ascii="仿宋" w:hAnsi="仿宋" w:eastAsia="仿宋" w:cs="仿宋"/>
          <w:b/>
          <w:bCs/>
          <w:color w:val="auto"/>
          <w:sz w:val="32"/>
          <w:szCs w:val="24"/>
          <w:highlight w:val="none"/>
        </w:rPr>
        <w:t>技术要求</w:t>
      </w:r>
    </w:p>
    <w:p>
      <w:pPr>
        <w:pStyle w:val="3"/>
        <w:jc w:val="center"/>
        <w:rPr>
          <w:color w:val="auto"/>
          <w:highlight w:val="none"/>
        </w:rPr>
      </w:pPr>
    </w:p>
    <w:p>
      <w:pPr>
        <w:rPr>
          <w:color w:val="auto"/>
          <w:highlight w:val="none"/>
        </w:rPr>
      </w:pPr>
    </w:p>
    <w:p>
      <w:pPr>
        <w:pStyle w:val="3"/>
        <w:jc w:val="center"/>
        <w:rPr>
          <w:color w:val="auto"/>
          <w:highlight w:val="none"/>
        </w:rPr>
      </w:pPr>
    </w:p>
    <w:p>
      <w:pPr>
        <w:rPr>
          <w:color w:val="auto"/>
          <w:highlight w:val="none"/>
        </w:rPr>
      </w:pPr>
    </w:p>
    <w:p>
      <w:pPr>
        <w:pStyle w:val="3"/>
        <w:jc w:val="center"/>
        <w:rPr>
          <w:color w:val="auto"/>
          <w:highlight w:val="none"/>
        </w:rPr>
      </w:pPr>
    </w:p>
    <w:p>
      <w:pPr>
        <w:rPr>
          <w:color w:val="auto"/>
          <w:highlight w:val="none"/>
        </w:rPr>
      </w:pPr>
    </w:p>
    <w:p>
      <w:pPr>
        <w:pStyle w:val="3"/>
        <w:jc w:val="center"/>
        <w:rPr>
          <w:color w:val="auto"/>
          <w:highlight w:val="none"/>
        </w:rPr>
      </w:pPr>
    </w:p>
    <w:p>
      <w:pPr>
        <w:rPr>
          <w:color w:val="auto"/>
          <w:highlight w:val="none"/>
        </w:rPr>
      </w:pPr>
    </w:p>
    <w:p>
      <w:pPr>
        <w:pStyle w:val="3"/>
        <w:jc w:val="center"/>
        <w:rPr>
          <w:color w:val="auto"/>
          <w:highlight w:val="none"/>
        </w:rPr>
      </w:pPr>
    </w:p>
    <w:p>
      <w:pPr>
        <w:rPr>
          <w:color w:val="auto"/>
          <w:highlight w:val="none"/>
        </w:rPr>
      </w:pPr>
    </w:p>
    <w:p>
      <w:pPr>
        <w:pStyle w:val="3"/>
        <w:jc w:val="center"/>
        <w:rPr>
          <w:color w:val="auto"/>
          <w:highlight w:val="none"/>
        </w:rPr>
      </w:pPr>
    </w:p>
    <w:p>
      <w:pPr>
        <w:rPr>
          <w:color w:val="auto"/>
          <w:highlight w:val="none"/>
        </w:rPr>
      </w:pPr>
    </w:p>
    <w:p>
      <w:pPr>
        <w:pStyle w:val="3"/>
        <w:jc w:val="center"/>
        <w:rPr>
          <w:color w:val="auto"/>
          <w:highlight w:val="none"/>
        </w:rPr>
      </w:pPr>
    </w:p>
    <w:p>
      <w:pPr>
        <w:rPr>
          <w:color w:val="auto"/>
          <w:highlight w:val="none"/>
        </w:rPr>
      </w:pPr>
    </w:p>
    <w:p>
      <w:pPr>
        <w:pStyle w:val="3"/>
        <w:jc w:val="cente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ind w:firstLine="640"/>
        <w:jc w:val="center"/>
        <w:rPr>
          <w:color w:val="auto"/>
          <w:sz w:val="32"/>
          <w:szCs w:val="32"/>
          <w:highlight w:val="none"/>
        </w:rPr>
      </w:pPr>
    </w:p>
    <w:p>
      <w:pPr>
        <w:pStyle w:val="3"/>
        <w:ind w:firstLine="0" w:firstLineChars="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广州新中轴建设有限公司</w:t>
      </w:r>
    </w:p>
    <w:p>
      <w:pPr>
        <w:pStyle w:val="3"/>
        <w:ind w:firstLine="0" w:firstLineChars="0"/>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日期：2023年</w:t>
      </w:r>
      <w:r>
        <w:rPr>
          <w:rFonts w:hint="eastAsia" w:ascii="仿宋" w:hAnsi="仿宋" w:eastAsia="仿宋" w:cs="仿宋"/>
          <w:b/>
          <w:bCs/>
          <w:color w:val="auto"/>
          <w:sz w:val="28"/>
          <w:szCs w:val="28"/>
          <w:highlight w:val="none"/>
          <w:lang w:val="en-US" w:eastAsia="zh-CN"/>
        </w:rPr>
        <w:t>9</w:t>
      </w:r>
      <w:bookmarkStart w:id="5" w:name="_GoBack"/>
      <w:bookmarkEnd w:id="5"/>
      <w:r>
        <w:rPr>
          <w:rFonts w:hint="eastAsia" w:ascii="仿宋" w:hAnsi="仿宋" w:eastAsia="仿宋" w:cs="仿宋"/>
          <w:b/>
          <w:bCs/>
          <w:color w:val="auto"/>
          <w:sz w:val="28"/>
          <w:szCs w:val="28"/>
          <w:highlight w:val="none"/>
        </w:rPr>
        <w:t>月</w:t>
      </w:r>
    </w:p>
    <w:p>
      <w:pPr>
        <w:widowControl/>
        <w:jc w:val="left"/>
        <w:rPr>
          <w:rFonts w:ascii="仿宋" w:hAnsi="仿宋" w:eastAsia="仿宋" w:cs="仿宋"/>
          <w:b/>
          <w:bCs/>
          <w:color w:val="auto"/>
          <w:sz w:val="24"/>
          <w:szCs w:val="24"/>
          <w:highlight w:val="none"/>
        </w:rPr>
      </w:pPr>
      <w:r>
        <w:rPr>
          <w:rFonts w:ascii="仿宋" w:hAnsi="仿宋" w:eastAsia="仿宋" w:cs="仿宋"/>
          <w:b/>
          <w:bCs/>
          <w:color w:val="auto"/>
          <w:sz w:val="24"/>
          <w:szCs w:val="24"/>
          <w:highlight w:val="none"/>
        </w:rPr>
        <w:br w:type="page"/>
      </w:r>
    </w:p>
    <w:p>
      <w:pPr>
        <w:numPr>
          <w:ilvl w:val="255"/>
          <w:numId w:val="0"/>
        </w:numPr>
        <w:tabs>
          <w:tab w:val="left" w:pos="777"/>
        </w:tabs>
        <w:spacing w:line="360" w:lineRule="auto"/>
        <w:ind w:firstLine="482" w:firstLineChars="200"/>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一、工程概况</w:t>
      </w:r>
    </w:p>
    <w:p>
      <w:pPr>
        <w:numPr>
          <w:ilvl w:val="0"/>
          <w:numId w:val="1"/>
        </w:numPr>
        <w:tabs>
          <w:tab w:val="left" w:pos="777"/>
        </w:tabs>
        <w:spacing w:line="360" w:lineRule="auto"/>
        <w:ind w:left="0"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项目名称：广州海洋馆升级改造工程项目主题演艺工程。</w:t>
      </w:r>
    </w:p>
    <w:p>
      <w:pPr>
        <w:numPr>
          <w:ilvl w:val="0"/>
          <w:numId w:val="1"/>
        </w:numPr>
        <w:tabs>
          <w:tab w:val="left" w:pos="777"/>
        </w:tabs>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项目地址：广州海洋馆，项目位于广州市越秀区广州动物园内北门东侧。</w:t>
      </w:r>
    </w:p>
    <w:p>
      <w:pPr>
        <w:numPr>
          <w:ilvl w:val="0"/>
          <w:numId w:val="1"/>
        </w:numPr>
        <w:tabs>
          <w:tab w:val="left" w:pos="777"/>
        </w:tabs>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建设工程概况及规模：项目位于广州动物园内，项目拟建占地面积15510平方米（含原海洋馆11018平方米、蝴蝶馆3158平方米、新增入口1334平方米），建筑面积16100平方米（含原海洋馆15401平方米、蝴蝶馆699平方米）。海洋馆总水体约7500m³。</w:t>
      </w:r>
    </w:p>
    <w:p>
      <w:pPr>
        <w:numPr>
          <w:ilvl w:val="0"/>
          <w:numId w:val="1"/>
        </w:numPr>
        <w:tabs>
          <w:tab w:val="left" w:pos="777"/>
        </w:tabs>
        <w:spacing w:line="360" w:lineRule="auto"/>
        <w:ind w:left="0"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招标范围：</w:t>
      </w:r>
    </w:p>
    <w:p>
      <w:pPr>
        <w:tabs>
          <w:tab w:val="left" w:pos="777"/>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精灵海湾表演剧场、海港码头表演剧场主题演艺工程施工，招标内容包括但不限于灯光系统、音响系统、视频系统、演出直播系统、水特效系统、舞美场景及特效、内通系统、演出管理系统、演出监控系统等设备采购及安装施工、深化设计、系统调试、人员培训服务等。具体以招标文件、施工图纸、工程量清单及技术要求书有关资料说明为准。</w:t>
      </w:r>
    </w:p>
    <w:p>
      <w:pPr>
        <w:numPr>
          <w:ilvl w:val="0"/>
          <w:numId w:val="1"/>
        </w:numPr>
        <w:tabs>
          <w:tab w:val="left" w:pos="777"/>
        </w:tabs>
        <w:spacing w:line="360" w:lineRule="auto"/>
        <w:ind w:left="0"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招标范围说明：</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5.1本工程的实际工程范围：凡与本项目工程施工相关的工作内容，无论上述所列项目全面与否，皆为工程承包的设计、施工内容，只要发包人提出，工程承包不得以任何理由推脱或拒绝。</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5.2招标图纸的优化设计，该部分费用包含在固定综合单价中，结算时不另行增加该项费用；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5.3由于本项目为改造工程，原建筑格局老旧，现场情况复杂，施工难度高，各投标人可自行踏勘现场地形地貌，投标报价根据实际情况综合考虑报价，现场施工措施费等以下相关费用结算时不予调整。本项工作包括但不限于以下内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施工便道及围挡，需考虑施工便道的修建和施工围挡，投标时综合考虑。本工程施工现场与其他专业工程单位同时交叉施工，施工现场比较复杂，具体作业场地由施工单位自行现场协调。施工单位需踏勘现场，了解以上情况所需的施工通道、便道，并综合考虑现场已有的施工通道、便道及需要施工单位自行铺设的施工通道、便道所需的一切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需综合考虑材料进场协调措施、交通问题、对塔吊或吊车布置、施工工期、材料堆放、材料加工的影响等。中标后，由承包人负责保持清洁施工期间的周边环境、道路，协调好施工期间的周边关系（包括政府主管部门、居民等），确保本工程顺利进行；</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（3）现场有多处特种设备吊装，现场大型装卸作业较多，中标后，承包人需着重考虑成品保护措施；</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（4）施工降排水：投标人需充分考虑雨季施工、冬季施工及赶工措施；</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（5）赶工费：因雨季、冬季施工对工期的影响，因工期紧张引起的赶工费；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（6）夜间施工费；因节假日赶工费，现场多专业交叉施工，其他任何原因引起的赶工费。</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进出施工现场的材料涉及的运输方式、吊装卸方法和现场施工条件由投标人根据实际情况综合考虑，相关费用包含在投标报价中；由此发生的保护、检测及损坏修复（或赔偿）等措施费用在投标报价中综合考虑；</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（8）由于施工地点附近为动物园动物休息区、居民区，投标报价须综合考虑国家规定由施工引起的工效降低、噪音控制等措施费用；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（9）生活设施(如施工人员住宿、公司管理等措施)费用；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（10）二次搬运。材料、机械等因场地情况及施工需要等发生的二次搬运费用；</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（11）场地、施工工作面协调费用措施；</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（12）大型机械设备进出场及安拆措施；</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（13）施工完成后按规定拆除相关构件，完工后及时清理场地措施；</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（14）其他相关措施方案（投标人结合项目现场实际情况自行考虑，结算不做调整）；</w:t>
      </w:r>
    </w:p>
    <w:p>
      <w:pPr>
        <w:numPr>
          <w:ilvl w:val="0"/>
          <w:numId w:val="1"/>
        </w:numPr>
        <w:tabs>
          <w:tab w:val="left" w:pos="777"/>
        </w:tabs>
        <w:spacing w:line="360" w:lineRule="auto"/>
        <w:ind w:left="0"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质量要求及维修</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6.1质量标准：合格或以上。</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6.2保修期限： 2年。自工程竣工验收合格之日起计算。</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6.3保修及售后服务：工程正式交付使用后，工程承包人应对由于施工或材料的缺陷而发生的任何质量问题负全责，并负责免费更换或无偿维修。</w:t>
      </w:r>
    </w:p>
    <w:p>
      <w:pPr>
        <w:numPr>
          <w:ilvl w:val="0"/>
          <w:numId w:val="1"/>
        </w:numPr>
        <w:tabs>
          <w:tab w:val="left" w:pos="777"/>
        </w:tabs>
        <w:spacing w:line="360" w:lineRule="auto"/>
        <w:ind w:left="0"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安全、文明施工</w:t>
      </w:r>
    </w:p>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 项目安全生产的达标目标及相应事项的约定：合同当事人均应当遵守国家和工程所在地有关安全生产的要求，所发生的一切安全事故由承包人全部承担。</w:t>
      </w:r>
    </w:p>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7.2关于治安保卫的特别约定：承包人负责协调当地关系，由此发生的相关费用在投标报价中综合考虑，结算时不予调整。</w:t>
      </w:r>
    </w:p>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7.3不经甲方同意不得在本项目施工范围内私自建设办公室及加工区。</w:t>
      </w:r>
    </w:p>
    <w:p>
      <w:pPr>
        <w:numPr>
          <w:ilvl w:val="0"/>
          <w:numId w:val="1"/>
        </w:numPr>
        <w:tabs>
          <w:tab w:val="left" w:pos="777"/>
        </w:tabs>
        <w:spacing w:line="360" w:lineRule="auto"/>
        <w:ind w:left="0"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投标费用</w:t>
      </w:r>
    </w:p>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8.1投标人应承担其参加本次招标活动自身发生的一切费用，不管投标结果如何，发包人对上述费用不负任何责任。</w:t>
      </w:r>
    </w:p>
    <w:p>
      <w:pPr>
        <w:numPr>
          <w:ilvl w:val="255"/>
          <w:numId w:val="0"/>
        </w:numPr>
        <w:tabs>
          <w:tab w:val="left" w:pos="777"/>
        </w:tabs>
        <w:spacing w:line="360" w:lineRule="auto"/>
        <w:ind w:firstLine="482" w:firstLineChars="200"/>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二、标准规范及施工组织设计</w:t>
      </w:r>
    </w:p>
    <w:p>
      <w:pPr>
        <w:numPr>
          <w:ilvl w:val="2"/>
          <w:numId w:val="0"/>
        </w:numPr>
        <w:spacing w:line="360" w:lineRule="auto"/>
        <w:ind w:firstLine="480" w:firstLineChars="200"/>
        <w:jc w:val="left"/>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1、一般标准和技术规范</w:t>
      </w:r>
    </w:p>
    <w:p>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本工程的材料、设备、施工必须符合现行国家、行业及工程所在地地方标准和技术规范的要求。根据要求，本工程中各专业设计要求相应的国家现行标准和技术规范及广州市工程建设相关管理规定。</w:t>
      </w:r>
    </w:p>
    <w:p>
      <w:pPr>
        <w:numPr>
          <w:ilvl w:val="2"/>
          <w:numId w:val="0"/>
        </w:numPr>
        <w:spacing w:line="360" w:lineRule="auto"/>
        <w:ind w:firstLine="480" w:firstLineChars="200"/>
        <w:jc w:val="left"/>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2、标准和技术规范</w:t>
      </w:r>
    </w:p>
    <w:p>
      <w:pPr>
        <w:tabs>
          <w:tab w:val="left" w:pos="777"/>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承包人必须遵守及执行产品出产地以及工程所在地的设计、供应及安装规范、招标文件技术规范之各项要求，当其出现差异时，应执行标准较高部分之规范标准标准。</w:t>
      </w:r>
    </w:p>
    <w:p>
      <w:pPr>
        <w:ind w:firstLine="442"/>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2.1国家相关标准及规范</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 50371-2006《厅堂扩声系统设计规范》 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JGJ 57-2016《剧场建筑设计规范》</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GB 4959-2011《厅堂扩声特性测量方法》</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 51348-2019 《民用建筑电气设计标准》 </w:t>
      </w:r>
    </w:p>
    <w:p>
      <w:pPr>
        <w:numPr>
          <w:ilvl w:val="0"/>
          <w:numId w:val="2"/>
        </w:numPr>
        <w:spacing w:line="360" w:lineRule="auto"/>
        <w:ind w:left="0"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GB/T 28047-2011《厅堂、体育场馆扩声系统听音评价方法》</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GB/T 14197-2012《</w:t>
      </w:r>
      <w:r>
        <w:rPr>
          <w:rFonts w:hint="eastAsia" w:ascii="仿宋" w:hAnsi="仿宋" w:eastAsia="仿宋" w:cs="仿宋"/>
          <w:color w:val="auto"/>
          <w:sz w:val="24"/>
          <w:szCs w:val="24"/>
          <w:highlight w:val="none"/>
        </w:rPr>
        <w:t>音频、视频和视听系统互连的优选配接值</w:t>
      </w:r>
      <w:r>
        <w:rPr>
          <w:rFonts w:hint="eastAsia" w:ascii="仿宋" w:hAnsi="仿宋" w:eastAsia="仿宋" w:cs="仿宋"/>
          <w:bCs/>
          <w:color w:val="auto"/>
          <w:sz w:val="24"/>
          <w:szCs w:val="24"/>
          <w:highlight w:val="none"/>
        </w:rPr>
        <w:t>》</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 22698-2022《多媒体设备安全指南》</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ITU-R BT. 601-2 供演播室使用的数字电视编码标准</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ITU-R BT. 711 供分量数字演播室使用的同步基准信号 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AES3-2009 《供数字伴音工程线性表示数字伴音数据的串行传输格式》</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AES11-2009 《供数字伴音工程在演播中使用的数字伴音设备的同步规格》</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平衡式模拟音频格式及相关的接口及电气特性要求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GY/T 183-2002《数字立体声影院的技术标准》</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JBJ58-2008《电影院建筑设计规范》 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GB/T 50356-2005《剧院、电影院、多用途厅堂建筑声学设计规范》</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GB/T 3557-94《电影院视听环境技术要求》 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GB/T 15397-94《电影录音控制室、鉴定放映室及室内影院A环、B环电声频率响应特性测量方法》</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GB/T 4645-2006《室内影院和鉴定放映室的银幕亮度》</w:t>
      </w:r>
    </w:p>
    <w:p>
      <w:pPr>
        <w:ind w:firstLine="442"/>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2.2通用的设计规范及标准</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JGJ 57-2016《剧场建筑设计规范》</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 50016-2014《建筑设计防火规范》</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 50314-2015《智能建筑设计标准》</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GB/T50311-2007《建筑与建筑群综合布线系统工程设计规范》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GB/T50312-2007《建筑与建筑群综合布线系统工程验收规范》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GB50259-96《电气装置安装工程电气照明装置施工及验收规范》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 50169-2016 《电气装置安装工程接地装置施工及验收规范》</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GB50300-2013 《建筑工程施工质量验收统一标准》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 50303-2015 《建筑电气安装工程施工质量验收规范》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 50057-2021《建筑物防雷设计规范》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 14549-93《电能质量、公用电网谐波》</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GB/T 12666.1-2008《单根电线电缆燃烧试验方法》 </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GB50217-2018《电力工程电缆设计规范》</w:t>
      </w:r>
    </w:p>
    <w:p>
      <w:pPr>
        <w:numPr>
          <w:ilvl w:val="0"/>
          <w:numId w:val="2"/>
        </w:numPr>
        <w:spacing w:line="360" w:lineRule="auto"/>
        <w:ind w:left="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WH/T78《 演出安全》10项演出安全行业标准</w:t>
      </w:r>
    </w:p>
    <w:p>
      <w:pPr>
        <w:jc w:val="center"/>
        <w:rPr>
          <w:rFonts w:ascii="仿宋" w:hAnsi="仿宋" w:eastAsia="仿宋" w:cs="仿宋"/>
          <w:color w:val="auto"/>
          <w:sz w:val="24"/>
          <w:szCs w:val="24"/>
          <w:highlight w:val="none"/>
        </w:rPr>
      </w:pP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注：不限于上述所列规范及要求；所有规范版本如有更新以最新版本为准。</w:t>
      </w:r>
    </w:p>
    <w:p>
      <w:pPr>
        <w:ind w:firstLine="442"/>
        <w:outlineLvl w:val="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2.3系统</w:t>
      </w:r>
      <w:r>
        <w:rPr>
          <w:rFonts w:ascii="仿宋" w:hAnsi="仿宋" w:eastAsia="仿宋" w:cs="仿宋"/>
          <w:b/>
          <w:bCs/>
          <w:color w:val="auto"/>
          <w:sz w:val="24"/>
          <w:szCs w:val="24"/>
          <w:highlight w:val="none"/>
        </w:rPr>
        <w:t>技术要求</w:t>
      </w:r>
    </w:p>
    <w:p>
      <w:pPr>
        <w:pStyle w:val="2"/>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系统及设备选型，需满足以下通用要求：</w:t>
      </w:r>
    </w:p>
    <w:p>
      <w:pPr>
        <w:spacing w:line="360" w:lineRule="auto"/>
        <w:ind w:firstLine="42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先进性——应确保设计技术和应用技术的先进性，同时也应保证整个系统的最佳性能价格比。系统的设计和产品的选用在投入使用时应具有一定的技术先进性。</w:t>
      </w:r>
    </w:p>
    <w:p>
      <w:pPr>
        <w:spacing w:line="360" w:lineRule="auto"/>
        <w:ind w:firstLine="42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可靠性——均选用性能可靠、配置合理、品质卓越的专业设备，确保系统的安全与稳定性。注意设备</w:t>
      </w:r>
      <w:r>
        <w:rPr>
          <w:rFonts w:ascii="仿宋" w:hAnsi="仿宋" w:eastAsia="仿宋" w:cs="仿宋"/>
          <w:color w:val="auto"/>
          <w:sz w:val="24"/>
          <w:szCs w:val="24"/>
          <w:highlight w:val="none"/>
        </w:rPr>
        <w:t>的防水防潮防盐雾性能，</w:t>
      </w:r>
      <w:r>
        <w:rPr>
          <w:rFonts w:hint="eastAsia" w:ascii="仿宋" w:hAnsi="仿宋" w:eastAsia="仿宋" w:cs="仿宋"/>
          <w:color w:val="auto"/>
          <w:sz w:val="24"/>
          <w:szCs w:val="24"/>
          <w:highlight w:val="none"/>
        </w:rPr>
        <w:t>防水</w:t>
      </w:r>
      <w:r>
        <w:rPr>
          <w:rFonts w:ascii="仿宋" w:hAnsi="仿宋" w:eastAsia="仿宋" w:cs="仿宋"/>
          <w:color w:val="auto"/>
          <w:sz w:val="24"/>
          <w:szCs w:val="24"/>
          <w:highlight w:val="none"/>
        </w:rPr>
        <w:t>等级</w:t>
      </w:r>
      <w:r>
        <w:rPr>
          <w:rFonts w:hint="eastAsia" w:ascii="仿宋" w:hAnsi="仿宋" w:eastAsia="仿宋" w:cs="仿宋"/>
          <w:color w:val="auto"/>
          <w:sz w:val="24"/>
          <w:szCs w:val="24"/>
          <w:highlight w:val="none"/>
        </w:rPr>
        <w:t>、</w:t>
      </w:r>
      <w:r>
        <w:rPr>
          <w:rFonts w:ascii="仿宋" w:hAnsi="仿宋" w:eastAsia="仿宋" w:cs="仿宋"/>
          <w:color w:val="auto"/>
          <w:sz w:val="24"/>
          <w:szCs w:val="24"/>
          <w:highlight w:val="none"/>
        </w:rPr>
        <w:t>抗</w:t>
      </w:r>
      <w:r>
        <w:rPr>
          <w:rFonts w:hint="eastAsia" w:ascii="仿宋" w:hAnsi="仿宋" w:eastAsia="仿宋" w:cs="仿宋"/>
          <w:color w:val="auto"/>
          <w:sz w:val="24"/>
          <w:szCs w:val="24"/>
          <w:highlight w:val="none"/>
        </w:rPr>
        <w:t>电</w:t>
      </w:r>
      <w:r>
        <w:rPr>
          <w:rFonts w:ascii="仿宋" w:hAnsi="仿宋" w:eastAsia="仿宋" w:cs="仿宋"/>
          <w:color w:val="auto"/>
          <w:sz w:val="24"/>
          <w:szCs w:val="24"/>
          <w:highlight w:val="none"/>
        </w:rPr>
        <w:t>化学腐蚀要求参照图纸描述。</w:t>
      </w:r>
    </w:p>
    <w:p>
      <w:pPr>
        <w:spacing w:line="360" w:lineRule="auto"/>
        <w:ind w:firstLine="42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通用性及扩展性——需考虑提高本项目内的设备互换性，以提高设备的利用率，降低操作管理的难度。同时，考虑为后续设备接入提供多种信号接入方式和符合专业规范的接口。</w:t>
      </w:r>
    </w:p>
    <w:p>
      <w:pPr>
        <w:spacing w:line="360" w:lineRule="auto"/>
        <w:ind w:firstLine="420"/>
        <w:outlineLvl w:val="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安全性、标准性要求——所有设备、连接器件及电源供应设备均满足安全性、标准性原则，所有设备均要求按产品产地通过相关认证和符合相关标准要求。（如：3C认证、CE认证或相关检测报告。）</w:t>
      </w:r>
    </w:p>
    <w:p>
      <w:pPr>
        <w:ind w:firstLine="0"/>
        <w:outlineLvl w:val="9"/>
        <w:rPr>
          <w:rFonts w:asciiTheme="minorHAnsi" w:hAnsiTheme="minorHAnsi" w:eastAsiaTheme="minorEastAsia" w:cstheme="minorBidi"/>
          <w:b w:val="0"/>
          <w:bCs w:val="0"/>
          <w:color w:val="auto"/>
          <w:sz w:val="21"/>
          <w:szCs w:val="22"/>
          <w:highlight w:val="none"/>
        </w:rPr>
      </w:pPr>
    </w:p>
    <w:p>
      <w:pPr>
        <w:numPr>
          <w:ilvl w:val="2"/>
          <w:numId w:val="0"/>
        </w:num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1.灯光系统</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舞台灯光是为舞台艺术表演服务的， 舞台灯光的功能效果也分为两种：一种是光的效果，比如绚丽的色彩，花纹，动感；一种是光的还原，还原真实的色彩。</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本项目灯光系统指的是精灵海湾表演剧场、海港码头表演剧场的演艺灯光设备，包含LED PAR灯、电脑灯以及灯光控制台等控制设备。</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（1）灯具设备亮泡、运行正常；</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（2）灯具设备信号受灯控台控制，电源可远程控制；</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（3）LED PAR灯对水池及舞台面进行泛光照明，可呈现RGBW不同色彩效果；</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（4）电脑灯用于配合表演呈现图案、光束效果；</w:t>
      </w:r>
    </w:p>
    <w:p>
      <w:pPr>
        <w:numPr>
          <w:ilvl w:val="2"/>
          <w:numId w:val="0"/>
        </w:num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2.音响系统</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音响系统指的是精灵海湾表演剧场、海港码头表演剧场的演艺音响设备，包含不同角度及功能的音响设备及控制设备，在剧场演出里起到扩声的作用，剧场作为观演建筑的两个基本功能，即观演的舒适性与视听的效果，基于现场演出的实时性这个基本特点，确保系统的安全与稳定性。对声系统的高精度调试、校准等技术的应用，可以有效地提高扩声系统的还原性能，从而进一步改善听闻效果，提高音乐明晰度，呈现出清晰的音质感受。</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（1）音响设备运行正常，可正常播放音乐；</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（2）话筒正常使用，不掉频，无啸叫；</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（3）可兼顾背景音乐播放功能；</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（4）接受其他信号源输入播放及控制；</w:t>
      </w:r>
    </w:p>
    <w:p>
      <w:pPr>
        <w:numPr>
          <w:ilvl w:val="2"/>
          <w:numId w:val="0"/>
        </w:num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3.视频系统</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视频系统指的是精灵海湾表演剧场的LED舞台屏及信号传输和控制设备，通过LED大屏，可以在剧场里播放不同的素材内容，配合不同的演出效果，提供逼真、完整、高质量的LED显示，图像色彩柔和逼真、灰度丰富、层次感和立体感强，具有良好的色平衡，图象空间色彩自然，方便快捷的对节目进行切换。</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（1）LED显示全白，亮度10%-100%，屏体无坏点；</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（2）LED色彩演示，颜色纯正且均匀。</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（3）显示屏工作时显示画面无重影和拖尾现象；</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（4）基于项目使用环境特殊性，LED屏需采用防水、防潮、防盐雾产品；</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（5）非边缘区域屏体，通过主题包装包边形成半圆成像面，包边厚度≤350mm；</w:t>
      </w:r>
    </w:p>
    <w:p>
      <w:pPr>
        <w:numPr>
          <w:ilvl w:val="2"/>
          <w:numId w:val="0"/>
        </w:num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4.演出直播系统</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项目中，演出直播系统指的是在精灵海湾表演剧场，通过4K云台摄像机、视频制作录制切换系统及控制传输等设备，配合演出节目需要，将多方位的摄像机实时拍摄的画面在LED大屏上呈现，增加在剧场表演过程中观众与演出的互动性。</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（1）摄像机可现场实拍，并转播至LED屏上；</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（2）3路多画面监看输出，分割方式可选；</w:t>
      </w:r>
    </w:p>
    <w:p>
      <w:pPr>
        <w:numPr>
          <w:ilvl w:val="2"/>
          <w:numId w:val="0"/>
        </w:numPr>
        <w:spacing w:line="360" w:lineRule="auto"/>
        <w:ind w:firstLine="480" w:firstLineChars="200"/>
        <w:rPr>
          <w:rFonts w:ascii="仿宋" w:hAnsi="仿宋" w:eastAsia="仿宋" w:cs="仿宋"/>
          <w:color w:val="auto"/>
          <w:sz w:val="24"/>
          <w:szCs w:val="24"/>
          <w:highlight w:val="none"/>
        </w:rPr>
      </w:pPr>
    </w:p>
    <w:p>
      <w:pPr>
        <w:numPr>
          <w:ilvl w:val="2"/>
          <w:numId w:val="0"/>
        </w:num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5.水特效系统</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在本项目中，水特效系统指的是在精灵海湾表演剧场呈现的拱形水特效，通过拱形水特效发生器及其控制设备实现水特效的效果，配合剧场的节目表演，增强演出节目的丰富性。</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（1）拱形水特效喷水高度不低于5米，跨度不低于7米；</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（2）出水直径不低于18mm；</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（3）彩灯颜色及亮度可调；</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（4）电磁阀出水、断水可靠；</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（5）控制柜电源有远程开启、远程断开功能</w:t>
      </w: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6.演出管理系统</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项目中，在精灵海湾表演剧场和海港码头表演剧场各设置了一套演出管理系统，演出管理系统主要用于各专业能够根据演出剧目的需要实现同步或顺序触发和演出，为保证演出整体效果，可实现演出过程中灯光、音响、视频等各专业的统一调度指挥和集成控制，表演时统一接收总控信号完成表演。</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专业表演控制器，采用不限于行业标准方法（如PTP、NTP、GPS、SMPTE时间码和同步锁相等）完美地管理时间，表演控制器能够同步控制、音频、视频、灯光、特效和其他所有必须协同工作的娱乐系统，确保呈现卓越的表演质量；</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（2）通过平板进行演出管理控制，包括：配电箱远程控制开关、灯具开关灯泡控制、音量大小控制、播放模式切换及控制等功能</w:t>
      </w:r>
    </w:p>
    <w:p>
      <w:pPr>
        <w:numPr>
          <w:ilvl w:val="2"/>
          <w:numId w:val="0"/>
        </w:num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7.舞美场景及特效</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舞美场景及特效系统主要为舞台主题包装背景造型灯光预留控制接口，方便其他单位舞美场景的灯具的接口扩展使用。</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（1）预留信号控制接口满足主题包装背景造型灯光的使用需求；</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（2）主题包装背景造型灯光可接入舞美灯光系统实现集中控制；</w:t>
      </w:r>
    </w:p>
    <w:p>
      <w:pPr>
        <w:numPr>
          <w:ilvl w:val="2"/>
          <w:numId w:val="0"/>
        </w:num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8.内通系统</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项目中，在精灵海湾表演剧场和海港码头表演剧场各设置了一套内通系统，内通设备主要实现的功能为方便演职人员在演出前后及演出过程中，作为内部通讯设备使用，保证信号的通畅及实时性，便于演出管理。</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（1）内通设备通讯稳定，不断频；</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（2）内通设备满足在剧场范围内的通信，通话距离100~150m；</w:t>
      </w:r>
    </w:p>
    <w:p>
      <w:pPr>
        <w:numPr>
          <w:ilvl w:val="2"/>
          <w:numId w:val="0"/>
        </w:num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2.3.</w:t>
      </w:r>
      <w:r>
        <w:rPr>
          <w:rFonts w:hint="eastAsia" w:ascii="仿宋" w:hAnsi="仿宋" w:eastAsia="仿宋" w:cs="仿宋"/>
          <w:color w:val="auto"/>
          <w:sz w:val="24"/>
          <w:szCs w:val="24"/>
          <w:highlight w:val="none"/>
        </w:rPr>
        <w:t>9.监控系统</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在本项目中，在精灵海湾表演剧场和海港码头表演剧场各设置了一套监控系统，本项目内的监控设备主要用于演出前后及演出过程中监控舞美演出设备的运行状态，以便及时进行维护处理，保证系统运行的稳定性。</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（1）监控摄像头拍摄清晰，角度覆盖舞美设备安装的位置；</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（2）可实时远程监控、回放；</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（3）可支持分屏播放，精灵海湾表演剧场满足5路信号输出，海港码头表演剧场满足1路信号输出；</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3、施工组织设计</w:t>
      </w:r>
    </w:p>
    <w:p>
      <w:pPr>
        <w:numPr>
          <w:ilvl w:val="2"/>
          <w:numId w:val="0"/>
        </w:num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包括但不限于主要的施工方法，技术措施，主要设备及人员专业构成，质量保证体系及措施、工期进度安排及保证措施、安全生产及文明施工保证措施、施工平面布置等。</w:t>
      </w:r>
    </w:p>
    <w:p>
      <w:pPr>
        <w:numPr>
          <w:ilvl w:val="255"/>
          <w:numId w:val="0"/>
        </w:numPr>
        <w:tabs>
          <w:tab w:val="left" w:pos="777"/>
        </w:tabs>
        <w:spacing w:line="360" w:lineRule="auto"/>
        <w:ind w:firstLine="482" w:firstLineChars="200"/>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三、承包人需提交的文件要求</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1、文件 </w:t>
      </w:r>
    </w:p>
    <w:p>
      <w:pPr>
        <w:numPr>
          <w:ilvl w:val="2"/>
          <w:numId w:val="0"/>
        </w:numPr>
        <w:spacing w:line="360" w:lineRule="auto"/>
        <w:ind w:firstLine="480" w:firstLineChars="200"/>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1.1优化施工图纸：对招标图纸进行必要的优化设计施工图纸（3份）；</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1.2提供施工措施方案：提供设备吊装方案、具体细部安装施工方案、冬季施工措施方案（须经发包人确认后方可施行）；</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1.3进场前提资：对其他专业提资，提交建议和说明，并提供与其他要求相冲突的建议；</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1.4如果移交作业面质量达不到要求，提资至发包人及主要承包人进行整改；</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1.5产品数据；</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1.6使用材料的描述或规格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1.7安装和维护方案及建议；</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2、运行及保养手册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操作和维修手册中包含相应的材料。 </w:t>
      </w:r>
    </w:p>
    <w:p>
      <w:pPr>
        <w:numPr>
          <w:ilvl w:val="2"/>
          <w:numId w:val="0"/>
        </w:numPr>
        <w:spacing w:line="360" w:lineRule="auto"/>
        <w:ind w:firstLine="480" w:firstLineChars="200"/>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2.1格式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A4 大小，具有商业质量，硬封面，每个索引，划分和标题。 </w:t>
      </w:r>
    </w:p>
    <w:p>
      <w:pPr>
        <w:numPr>
          <w:ilvl w:val="2"/>
          <w:numId w:val="0"/>
        </w:numPr>
        <w:spacing w:line="360" w:lineRule="auto"/>
        <w:ind w:firstLine="480" w:firstLineChars="200"/>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2.2内容：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图纸和技术资料: 维护安装所需的图纸和技术资料。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目录:每卷。标题匹配。承包人和责任方的名称，地址，电话和传真号码。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2.3项目描述</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2.4维修记录册: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概述:日志页，设计用于记录完成的活动，包括维护程序，对未来的维护行动的评论和说明安装情况的说明。以及包括已完成的日志本页面，记录维护活动在实际完成的时间。</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维护程序: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预防性维护频率和工序的详细建议。安全维修和清洗。提供每个过程的步骤说明。建议在现场保留的备用材料计划表。</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3、提交施工进度计划表，根据总承包人的关键路径和工程计划进行格式。</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4、中标人需按发包人要求提供必要的材料样品。</w:t>
      </w:r>
    </w:p>
    <w:p>
      <w:pPr>
        <w:numPr>
          <w:ilvl w:val="255"/>
          <w:numId w:val="0"/>
        </w:numPr>
        <w:tabs>
          <w:tab w:val="left" w:pos="777"/>
        </w:tabs>
        <w:spacing w:line="360" w:lineRule="auto"/>
        <w:ind w:firstLine="482" w:firstLineChars="200"/>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四、工期和成果要求</w:t>
      </w:r>
    </w:p>
    <w:p>
      <w:pPr>
        <w:numPr>
          <w:ilvl w:val="0"/>
          <w:numId w:val="3"/>
        </w:numPr>
        <w:tabs>
          <w:tab w:val="left" w:pos="777"/>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工期要求：本项目暂定于2023年</w:t>
      </w:r>
      <w:r>
        <w:rPr>
          <w:rFonts w:ascii="仿宋" w:hAnsi="仿宋" w:eastAsia="仿宋" w:cs="仿宋"/>
          <w:color w:val="auto"/>
          <w:sz w:val="24"/>
          <w:szCs w:val="24"/>
          <w:highlight w:val="none"/>
        </w:rPr>
        <w:t>9</w:t>
      </w:r>
      <w:r>
        <w:rPr>
          <w:rFonts w:hint="eastAsia" w:ascii="仿宋" w:hAnsi="仿宋" w:eastAsia="仿宋" w:cs="仿宋"/>
          <w:color w:val="auto"/>
          <w:sz w:val="24"/>
          <w:szCs w:val="24"/>
          <w:highlight w:val="none"/>
        </w:rPr>
        <w:t>月1日开始，具体开工时间由发包人发出的开工通知或开工令为准，本项目合同工期总日历天数不超过111日历天，该工期包含：（1）各节假日；（2）开工时间以发包人下发正式开工令起，至工程核验合格之日（主要以质检部门最终核验通过之日为主，规划、环保、节能、档案等职能部门的验收时间另计，确保在工程核验通过之日起15个工作日内完成全部工程验收手续及移交）。具体开始日期以发包人书面通知为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195"/>
        <w:gridCol w:w="4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节点名称</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计划工期（表中为暂定）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精灵海湾剧场</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优化设计</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设备采购及运输</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设备安装</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系统调试</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系统培训及移交</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海港码头表演剧场</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优化设计</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设备采购及运输</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设备安装</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系统调试</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723"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3195"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系统培训及移交</w:t>
            </w:r>
          </w:p>
        </w:tc>
        <w:tc>
          <w:tcPr>
            <w:tcW w:w="4378" w:type="dxa"/>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2天</w:t>
            </w:r>
          </w:p>
        </w:tc>
      </w:tr>
    </w:tbl>
    <w:p>
      <w:pPr>
        <w:numPr>
          <w:ilvl w:val="2"/>
          <w:numId w:val="0"/>
        </w:numPr>
        <w:spacing w:line="0" w:lineRule="atLeast"/>
        <w:ind w:firstLine="482" w:firstLineChars="200"/>
        <w:outlineLvl w:val="0"/>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五、</w:t>
      </w:r>
      <w:r>
        <w:rPr>
          <w:rFonts w:hint="eastAsia" w:ascii="仿宋" w:hAnsi="仿宋" w:eastAsia="仿宋" w:cs="仿宋"/>
          <w:color w:val="auto"/>
          <w:sz w:val="24"/>
          <w:szCs w:val="24"/>
          <w:highlight w:val="none"/>
        </w:rPr>
        <w:t>人员资历要求：</w:t>
      </w:r>
    </w:p>
    <w:tbl>
      <w:tblPr>
        <w:tblStyle w:val="1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331"/>
        <w:gridCol w:w="727"/>
        <w:gridCol w:w="3935"/>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25" w:type="pct"/>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369" w:type="pct"/>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在本项目担任职务</w:t>
            </w:r>
          </w:p>
        </w:tc>
        <w:tc>
          <w:tcPr>
            <w:tcW w:w="427" w:type="pct"/>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人数</w:t>
            </w:r>
          </w:p>
        </w:tc>
        <w:tc>
          <w:tcPr>
            <w:tcW w:w="2311" w:type="pct"/>
            <w:vAlign w:val="center"/>
          </w:tcPr>
          <w:p>
            <w:pPr>
              <w:numPr>
                <w:ilvl w:val="2"/>
                <w:numId w:val="0"/>
              </w:numPr>
              <w:spacing w:line="0" w:lineRule="atLeast"/>
              <w:ind w:left="1508" w:hanging="1111"/>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基本要求</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 w:type="pct"/>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369" w:type="pct"/>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项目负责人</w:t>
            </w:r>
          </w:p>
        </w:tc>
        <w:tc>
          <w:tcPr>
            <w:tcW w:w="427" w:type="pct"/>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311" w:type="pct"/>
            <w:vAlign w:val="center"/>
          </w:tcPr>
          <w:p>
            <w:pPr>
              <w:numPr>
                <w:ilvl w:val="2"/>
                <w:numId w:val="0"/>
              </w:numPr>
              <w:spacing w:line="0" w:lineRule="atLeas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按招标公告要求</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425"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369"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技术负责人</w:t>
            </w:r>
          </w:p>
        </w:tc>
        <w:tc>
          <w:tcPr>
            <w:tcW w:w="427"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311"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按招标公告要求</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369"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专职安全员</w:t>
            </w:r>
          </w:p>
        </w:tc>
        <w:tc>
          <w:tcPr>
            <w:tcW w:w="427"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311"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按招标公告要求</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2331" w:type="dxa"/>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机电专业负责人</w:t>
            </w:r>
          </w:p>
        </w:tc>
        <w:tc>
          <w:tcPr>
            <w:tcW w:w="727" w:type="dxa"/>
            <w:vAlign w:val="center"/>
          </w:tcPr>
          <w:p>
            <w:pPr>
              <w:numPr>
                <w:ilvl w:val="2"/>
                <w:numId w:val="0"/>
              </w:numPr>
              <w:spacing w:line="0" w:lineRule="atLeas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3935" w:type="dxa"/>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机电</w:t>
            </w:r>
            <w:r>
              <w:rPr>
                <w:rFonts w:hint="eastAsia" w:ascii="仿宋" w:hAnsi="仿宋" w:eastAsia="仿宋" w:cs="仿宋"/>
                <w:color w:val="auto"/>
                <w:kern w:val="0"/>
                <w:sz w:val="24"/>
                <w:szCs w:val="24"/>
                <w:highlight w:val="none"/>
                <w:lang w:val="en-US" w:eastAsia="zh-CN"/>
              </w:rPr>
              <w:t>类</w:t>
            </w:r>
            <w:r>
              <w:rPr>
                <w:rFonts w:hint="eastAsia" w:ascii="仿宋" w:hAnsi="仿宋" w:eastAsia="仿宋" w:cs="仿宋"/>
                <w:color w:val="auto"/>
                <w:kern w:val="0"/>
                <w:sz w:val="24"/>
                <w:szCs w:val="24"/>
                <w:highlight w:val="none"/>
              </w:rPr>
              <w:t>相关专业中级或以上技术职称</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1369"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施工员</w:t>
            </w:r>
          </w:p>
        </w:tc>
        <w:tc>
          <w:tcPr>
            <w:tcW w:w="427"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311"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具有相应岗位的上岗证或培训合格证</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1369"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质量员</w:t>
            </w:r>
          </w:p>
        </w:tc>
        <w:tc>
          <w:tcPr>
            <w:tcW w:w="427"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311"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具有相应岗位的上岗证或培训合格证</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3" w:type="dxa"/>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1369"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材料员</w:t>
            </w:r>
          </w:p>
        </w:tc>
        <w:tc>
          <w:tcPr>
            <w:tcW w:w="427"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311"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具有相应岗位的上岗证或培训合格证</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8</w:t>
            </w:r>
          </w:p>
        </w:tc>
        <w:tc>
          <w:tcPr>
            <w:tcW w:w="1369"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资料员</w:t>
            </w:r>
          </w:p>
        </w:tc>
        <w:tc>
          <w:tcPr>
            <w:tcW w:w="427"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311" w:type="pct"/>
            <w:vAlign w:val="center"/>
          </w:tcPr>
          <w:p>
            <w:pPr>
              <w:numPr>
                <w:ilvl w:val="2"/>
                <w:numId w:val="0"/>
              </w:numPr>
              <w:spacing w:line="0" w:lineRule="atLeas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具有相应岗位的上岗证或培训合格证</w:t>
            </w:r>
          </w:p>
        </w:tc>
        <w:tc>
          <w:tcPr>
            <w:tcW w:w="468" w:type="pct"/>
            <w:vAlign w:val="center"/>
          </w:tcPr>
          <w:p>
            <w:pPr>
              <w:numPr>
                <w:ilvl w:val="2"/>
                <w:numId w:val="0"/>
              </w:numPr>
              <w:spacing w:line="0" w:lineRule="atLeast"/>
              <w:jc w:val="center"/>
              <w:rPr>
                <w:rFonts w:ascii="仿宋" w:hAnsi="仿宋" w:eastAsia="仿宋" w:cs="仿宋"/>
                <w:color w:val="auto"/>
                <w:kern w:val="0"/>
                <w:sz w:val="24"/>
                <w:szCs w:val="24"/>
                <w:highlight w:val="none"/>
              </w:rPr>
            </w:pPr>
          </w:p>
        </w:tc>
      </w:tr>
    </w:tbl>
    <w:p>
      <w:pPr>
        <w:numPr>
          <w:ilvl w:val="2"/>
          <w:numId w:val="0"/>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r>
        <w:rPr>
          <w:rFonts w:hint="eastAsia" w:ascii="仿宋" w:hAnsi="仿宋" w:eastAsia="仿宋" w:cs="仿宋"/>
          <w:color w:val="auto"/>
          <w:sz w:val="28"/>
          <w:szCs w:val="28"/>
          <w:highlight w:val="none"/>
        </w:rPr>
        <w:t>1、以上人员为施工管理主要人员配置基本要求，投标人可按自身情况投入从事相关经验丰富的人员。</w:t>
      </w:r>
    </w:p>
    <w:p>
      <w:pPr>
        <w:numPr>
          <w:ilvl w:val="2"/>
          <w:numId w:val="0"/>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2、上表人员均要求为投标单位正式职工，即指投标单位为其缴纳社保的在职人员，须同时提供2023年</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月的社保证明。除特别约定外，各岗位人员不得相互兼职，管理人员的数量、资质、专业、工作经验需满足委托人的要求。</w:t>
      </w:r>
    </w:p>
    <w:p>
      <w:pPr>
        <w:numPr>
          <w:ilvl w:val="2"/>
          <w:numId w:val="0"/>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3、人员变更管理按合同约定执行。主要人员不可随意更换，必须更换时必须经发包人同意后方可。在项目进展过程中难以胜任工作的管理人员，发包人有权要求承包人进行更换，直至发包人满意为止。</w:t>
      </w:r>
    </w:p>
    <w:p>
      <w:pPr>
        <w:numPr>
          <w:ilvl w:val="2"/>
          <w:numId w:val="0"/>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4、承包人应指定一名项目经理与发包人的授权代表建立工作联系。为保证工程承包现场工作的良好开展，承包人须保证该项目经理对于发包人的人、财、物具有充分的协调与管理能力。</w:t>
      </w:r>
    </w:p>
    <w:p>
      <w:pPr>
        <w:numPr>
          <w:ilvl w:val="2"/>
          <w:numId w:val="0"/>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承包人所有管理人员均应专业对口，有与其岗位工作相适应的工作经历，具有作风正派、廉洁奉公、吃苦耐劳、认真负责的品质且身体健康。任何成员不得与承包人有任何的经济合作关系或其他的利益冲突。项目经理、技术负责人及各专业负责人必须常驻现场。</w:t>
      </w:r>
    </w:p>
    <w:p>
      <w:pPr>
        <w:numPr>
          <w:ilvl w:val="2"/>
          <w:numId w:val="0"/>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6、工程承包管理人员需能熟练操作电脑。</w:t>
      </w:r>
    </w:p>
    <w:p>
      <w:pPr>
        <w:numPr>
          <w:ilvl w:val="2"/>
          <w:numId w:val="0"/>
        </w:num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7、发包人保留在项目实施过程中调整本项目工程承包人数、资质、专业等的权利，并有权根据实际工作表现随时更换不称职或不合格的管理人员。</w:t>
      </w:r>
    </w:p>
    <w:p>
      <w:pPr>
        <w:spacing w:line="360" w:lineRule="auto"/>
        <w:ind w:left="480"/>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六、项目实施管理要求</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1、进场和开工</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发包人和工程承包人应就现场移交当日现场内各现存设施状况、水、电表的读数、现场周边道路、市政设施和毗邻财产的状况、现场永久和临时用地控制线、定位坐标和水准点等等作好文字、图示和照片等记录。</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1.2工程承包人应遵守发包人制定的现场管理办法，并接受因违反上述管理办法进行的处罚。</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2、现场条件</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发包人会在现场提供水、电接口，由工程承包人自行驳接；但工程承包人必须安装水、电分表，按施工实际使用的数量，根据当地的水电收费标准，自行负责施工期间上述设施之维修与水、电费用。在工程完成后，工程承包人并需按发包人要求将上述设施移走。</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工程承包人需要严格管理现场的用电，由于工程承包人的管理不善导致有关水电费的任何争议，由工程承包人自己承担相应的责任及费用。</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工程承包人须保持工地卫生、整洁及注意施工期间的安全措施，完工后须按照发包人的要求清理现场，并满足发包人的要求。</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4</w:t>
      </w:r>
      <w:r>
        <w:rPr>
          <w:rFonts w:hint="eastAsia" w:ascii="仿宋" w:hAnsi="仿宋" w:eastAsia="仿宋" w:cs="仿宋"/>
          <w:color w:val="auto"/>
          <w:sz w:val="24"/>
          <w:szCs w:val="24"/>
          <w:highlight w:val="none"/>
        </w:rPr>
        <w:t>工地现场将有其它工程承包人同时进行工程，工程承包人应与其它工程承包人充分合作及协调以免妨碍工程之进度，所发生之费用及时间亦应已包括在投标价格及工期之中。</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对现场条件的认可工程承包人应对本工程的现场进行充分的勘察，并对现场位置、现存建筑和设施的状况、毗邻的财产和周边设施的状况、现场的通道、仓储和临设用地、现场材料装卸等对工程施工的影响作充分的准备。</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3、工作场所的限定</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3.1工程承包人应采取一切预防措施，保证受他控制的人员在现场规划红线和合法临时租地范围内工作；工程承包人应同时保证，未经合法授权的任何组织和个人不得进入本工程现场。</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3.2如果工程的实施需要临时占用毗邻的场地、设施或建筑物，工程承包人应首先获得有关管理机构或有关所有者的许可；任何情况下，工程承包人应保证他的工作不会给毗邻居民或组织带来任何不便，否则，所有的工人和其他工作人员应限定在现场内工作。</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3.3工程承包人对工作场所的管理应符合项目所在地相关的管理规定。并对由此引起的各种相关保证措施负责。</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4、工程承包人被认为已合同价款中充分考虑了因发包人要求的工期所必须的加班而造成的无法避免的施工扰民的补偿费用和工程承包人采取的合理措施的费用。</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5、对周边财产的保护</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承包人不得非法侵占和妨害毗邻的财产、土地、街道、市政设施和他们下面的土壤和空间、他们的所有者、使用者或其他任何人，也不得在工程或工程任何部分的实施中采用可能会给这类财产、土地、街道、设施和人员带来损害或伤害的施工方法；工程承包人应保障发包人免于因工程实施对周边毗邻财产或人身等的损害或伤害而可能招致的索赔、违约金和其它法律责任。如果因工程承包人的施工导致周边财产受到损坏，工程承包人将负责修复并承担该费用及责任。</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6、政府机构、发包人进入现场检查</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6.1工程承包人应为发包人以及获准进入的有关政府部门或管理机构的代表等相关人员提供并维持检查本工程所有工作和材料等的安全和顺畅的通道，包括专门的照明、梯子、平台等等，只要这些设施对进行必要的检查是必须的或发包人要求的。</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6.2如果发包人要求，工程承包人还应准备好检查所需的安全帽和必要的检查工具和仪器等。</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7、安全要求</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 工程承包人应在整个合同履约期内，遵守有关安全生产的法律、法规、规范、 规章和规范性文件等的要求或规定。</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 在整个工程施工期间，工程承包人应在施工现场随时设立和维护并在有关工作完成或完工交付后撤除：</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为确保工程安全施工须设立的足够的标志、宣传画、标语、指示牌、警告牌、火警、匪警和急救电话提示牌等；</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“四口五临边”的安全防护设施，包括护身栏杆、脚手架、洞口盖板和加筋、竖井防护栏杆、防护棚、防护网、坡道等；</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安全带、安全绳、安全帽、安全网、绝缘鞋、绝缘手套、防护口罩和防护衣等安全生产用品；</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所有机械设备包括各类电动工具的安全保护和接地装置和操作说明；</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装备良好的临时急救站和配备称职的医护人员；</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主要作业场所和临时安全疏散通道23小时35伏安全照明和必要的警示等以防止各种可能的事故；</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足够数量的合格手提灭火器；</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装备良好的易燃易爆物品仓库和相应的使用管理制度；</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对涉及明火施工的工作制定诸如用火证等的管理制度。</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7.3 在整个工程施工期间，工程承包人应委派一名具有合法上岗资质和有足够经验的安全员或安全工程师并配备足够的助手常驻现场，该安全员或工程师应负责组织召集和主持每周至少一次的有所有在现场工作的工人和其他工作人员参加的安全生产例会，每天至少对现场安全生产状况进行全面检查并作好记录，负责安全技术交底和技术方案的安全把关，负责制定或审核安全隐患的整改措施并监督落实，负责安全资料的整理和管理，确保所有的安全设施都处于良好的运转状态。</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7.4 所有电焊工等特殊工种必须是经过专业培训并取得相关证书，技术熟练、持有当地省市特殊工种操作证；所有工人在进场作业前必须严格进行“三级”教育，考核并颁发安全上岗证；工程承包人应按发包人的要求，随时向发包人出示这类证件；发包人有权将不具备这类证件的专业工人或其他工人逐出现场；工程承包人保证甲方免于任何因工程承包人违章使用工人而可能导致的任何损失或损害。</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7.5 工程承包人应根据有关法律、法规、规定和条例等的要求，制定一套安全生产应急措施和程序，保证一旦出现任何安全事故，能立即保护好现场，抢救任何伤员，保证施工生产的正常进行，防止损失扩大，并立即向发包人报告和以事故报告的形式向有关政府部门或管理机构报告。</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7.6 工程承包人制定的或准备的任何用于本工程现场安全生产的手段、措施、方法、和程序等应报发包人审核；发包人的此类审核不解除或减轻工程承包人受合同制约的任何责任；特别提醒工程承包人注意，工程承包人还应为那些不便于人员进出的永久工程的施工区域设立紧急情况下逃生的疏散通道。</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7.7 工程承包人一旦发生任何事故，工程承包人应尽快向发包人报告事故的详情。此外，在发生任何死亡或重大事故时，工程承包人应立即用最快的可行方法通知发包人。工程承包人处理安全事故方案应事先征求发包人的意见。除非法律另有规定，未经发包人书面同意，工程承包人不得就所发生的安全事故向任何第三方予以披露。</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8、现场保卫</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8.1 工程承包人应为现场提供全天候的持续的保安保卫服务，配备足够的保安人员和保安设备，防止未经批准的任何人进入现场，控制人员、材料和设备等的进出场，防止现场材料、设备或其他任何物品的被盗或被窃，禁止任何现场内的打架斗殴事件。</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8.2 工程承包人的保安人员应是训练有素的专业保安人员，允许工程承包人直接雇佣专业保安公司负责现场保安和保卫；保安保卫制度除规范现场出入大门控制外，还应规定不规律的现场周边和全现场的保安巡逻。</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8.3 工程承包人应制定并实施严格的现场出入制度并报发包人审批；车辆的出入须有出入审批制度，并有指定的专人负责管理；人员进出现场应有出入证，出入证须以经过发包人批准的格式印制，但至少应包括工程名称、证号，持有人姓名、性别、职务、所属公司和持有人照片等内容；出入证应加盖印章和做塑封，防止伪造；工程承包人应为与本工程有关的各方人员，包括工人进行安全教育，取得培训合格手续后，发放出入证。</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8.4 如果其他工程承包人、指定供应商和发包人及发包人雇佣的所有人员已经遵照执行了工程承包人有关现场保安和保卫管理的各项制度，但因工程承包人保安和保卫工作的不力或缺陷而给任何其他工程承包人、指定供应商以及发包人在现场的任何财产造成了损失，工程承包人应承担相应的赔偿责任。</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9、文明施工和环境保护</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9.1 文明施工和环境保护须严格执行相关的法律、法规、规章、规范性文件和标准等。</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9.2 本工程施工现场应按照当地主管部门的创建文明安全工地的标准和要求进行文明安全施工管理，包括有关设施的设置、办法的制定与实施和资料的准备等。</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9.3 特别提醒工程承包人，不管合同文件中是否另有约定，工程承包人不得在任何临时和永久性工程中使用任何政府明令禁止使用的对人体有害的任何材料(如放射性材料、石棉制品等)和方法；工程承包人应在其项目质量保证计划中明确防止误用的保证措施；工程承包人违背此项约定的责任和任何后果由工程承包人完全负责。</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9.4 工程承包人应为防止进出场的车辆的遗洒和轮胎夹带物等污染周边和公共道路等行为制定并落实必要的措施，这类措施应至少包括在现场出入口设立冲刷池、对现场道路做硬化处理等等；工程承包人还应对施工临时污水排放系统建立符合排放标准的临时沉淀池和化粪池等。</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9.5 工程承包人应制定严格的措施和管理制度，防止施工扰民和民扰给工程的正常施工进度带来不良影响；工程承包人应处理和协调好本工程的周边关系，且应保证发包人不会承担任何与施工扰民或民扰有关的费用，且不会遭受任何与施工扰民或民扰有关的费用和工期的索赔。工程承包人负责解决所有扰民和民扰问题所需发生的全部费用应包含在其报价中。</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10、进度计划</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10.1 工程承包人在收到中标通知书后7天内，应基于投标文件中包括的进度计划，准备并向发包人递交一份整个设计、施工的关键线路网络计划图或横道图供发包人审核，该网络图或横道图应标明所有的时间参数、工序名称、施工部位和其它相关数据或资料；此处的整个工程应包括工程承包人或政府有关组织或机构和其他承包人（如果有）的工作；发包人应向工程承包人提供由所有其他人，包括发包人雇佣的其他承包人，完成的所有工作的详细资料；任何需发包人检查、审核或审批的工作的检查、审核或审批的过程应纳入到该网络图或横道图中。发包人对该网络图或横道图的审核或审批，包括任何可能的修改，不应在任何意义上影响工程承包人的合同责任和义务。</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10.2 进度计划是工程承包人为在合同文件规定的时间内保证本工程完工交付所计划采用的施工方法的一种主要表现方式，一旦经过发包人审批，即成为有合同约束力的进度计划，工程承包人须严格遵照执行。</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10.3 在上述进度计划经发包人审核或审批后，工程承包人应将经审核或审批的进度计划递交给发包人；同时，工程承包人应根据该进度计划的要求，确定由发包人提供的材料、工程设备（如果有）、图纸和其他有关数据资料等的最迟提供时间并形成书面要求，与经审核或审批的进度计划一起，递交给发包人。工程承包人对提供图纸及配套文件的时间的书面要求，应以图纸需求计划表的形式准备，其中须明确图纸的类别、部位和最迟提供时间等要素。</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10.4 工程承包人应根据发包人批准的进度计划并按照发包人批准的格式，在进度计划经过发包人审批同意后13天内，准备并向发包人递交用于工程的材料设备的报批、采购和进场计划，用于合同中可能要求的或根据常识和惯例应予制作的安装图、配合图、加工图（施工图）、大样图等的出图和报批计划以及各类构配件的进场计划。这类与进度计划有关的其他计划应随经发包人批准的进度计划的修订而修订。无论发包人何时需要，工程承包人还应以书面形式提交一份为保证这类计划而拟采用的方法和安排的说明，以供发包人参考。除非经过发包人的审批和书面批准，工程承包人必须严格执行本款约定的各类与进度计划有关的计划。</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 如果在合同履约期间，根据工程施工的实际情况，发包人认为有必要对上述进度计划进行修改或次序调整，工程承包人应相应调整该进度计划并对相关工作安排进行相应调整。</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10.6 工程承包人应将每周工程的实际进度与进度计划中的计划进度进行对照比较，对任何工作的延误或提前进行原因分析，提出拟采取的措施，并以发包人批准的格式形成文字和图形文件报发包人；每一个星期，工程承包人应准备并报发包人一份修正的上述进度计划，这类进度计划应反映工程承包人预计的完工日期、发包人在修正日以前所发布的所有指示对计划进度的影响和现场实际的施工进度。除非合同中另有约定，此类进度计划的递交不应理解为工程延误的书面通知，但发包人可根据自己的判断，决定是否在批准任何工期延长要求时，将此类进度计划反映的数据和信息作为参考依据。</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10.7 在工程或工程的任何部分出现工期延误或显然可以预见的延误时，立即以书面方式通知发包人；但此类通知不能理解为是延长工期的依据。</w:t>
      </w:r>
    </w:p>
    <w:p>
      <w:pPr>
        <w:numPr>
          <w:ilvl w:val="2"/>
          <w:numId w:val="0"/>
        </w:numPr>
        <w:spacing w:line="360" w:lineRule="auto"/>
        <w:ind w:firstLine="480" w:firstLineChars="200"/>
        <w:outlineLvl w:val="2"/>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10.8 发包人并不能够保证工程是连续不断的进行。</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承包人应综合考虑（包括但不限于）天气、气温、扰民、环境保护、社会、外交、视察等因素对工期造成的影响。</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承诺的工期须是包括了一个有经验的工程承包人所能预见的全部风险的工期。工程承包人不得因该等项目之发生而向发包人进行任何索赔，此外，工程承包人不能要求发包人需对该等项目达成一致意见作为继续施工的先决条件。</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施工期间，若海洋动物已到馆，现场需根据动物的状况开展相应的施工，如动物应激反应较大，需根据实际情况临时停止施工，待动物状况缓解或运离场地后方可施工。</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11、进度照片</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11.1 除周进度报表外，在整个合同履约期间，工程承包人每周应呈交给发包人各一套工程进度照片，照片应印制成6 寸的彩色照片，并在经发包人批准的不同位置定期拍摄，每张照片都应标上相应的拍摄日期和简要文字说明；要求每周呈交的每套照片不少于9 张，其中至少有两张是分别从两个不同的固定位置拍摄的最能体现本工程特点的全貌，且应用经发包人批准的标准或格式装裱后呈交。</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11.2 进度报告和进度照片应同时以存储在磁盘或光盘中的数据文件的形式递交给发包人。数据文件采用的应用软件及其版本应经过发包人的审批。</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11.3 进度照片的知识产权属于发包人；未经发包人许可，工程承包人不得在任何情况下使用此类照片；如果工程承包人采用数码相机拍摄进度照片，工程承包人应确保此类照片的数据文件限定在符合合同要求的使用范围内。</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12、定位放线</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12.1 工程承包人应在工程现场派驻具有相应资格证书和足够工程测量经验的测量工程师或测量员，并配备相应的助手和完备的测量仪器；工程承包人的测量工程师或测量员的委派应经过发包人的审批。</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12.2 工程承包人应交接和维护发包人提供的测量控制点，工程承包人的测量工程师或测量员应负责工程的所有定位、放线和相关的校核和检查工作，保证工程的各部件的水平和垂直位置符合合同图纸的要求。</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12.3 所有定位点和水准点的位置和测量方案应报经发包人批准；工程承包人在拆除任何水准点之前，应首先获得发包人的许可。</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工程承包人应负责保护和维护所有的水准点，如果任何水准点发生移位或破坏，工程承包人应自费立即和准确地进行恢复。</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12.5 工程承包人应特别重视本工程各单位工程之间定位和放线的相互校核和闭合检查工作，各个楼面定位标高和定位轴线的控制线或控制点的测量工作都必须进行相互较核和闭合检查，只有在同一楼面定位和放线闭合校核或偏差整改工作经过发包人检查核准后，工程承包人才可以继续进行任何后续构成永久性工程组成部分的施工。</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12.6 如果发包人因工程目的，在任何合理的时间向工程承包人提出要求，工程承包人应向发包人提供所需的测量仪器和必要的劳务。</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13、依照ISO9000 质量保证体系</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工程承包人在编制质量保证计划或施工组织设计或施工规划时，必须全面依照ISO9000 质量保证体系的要求并在工程实施过程中严格遵守，包括材料的检验和试验材料、物品和设备的进出场、过程控制、不合格品的控制、机械设备和仪器的保养和标定、各种质量记录等方面。</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14、现场场地使用仅限于为本工程目的</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14.1 承包人对本工程现场的使用仅限于为本工程的各种目的，不允许工程承包人将现场用于非本合同或与本合同不相关的工作。</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14.2 除为场外工程施工外，承包人的工作空间仅限于现场规划红线或临时边界线范围内；承包人应最大限度地减少对周边毗邻地区和公共区域的干扰。</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15、特殊交通运输的许可</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控制的任何工作的场外运输有重量或体积特别大的设施或设备，且根据政府交通管理机构或市政管理机构相关规定是需要特别许可的，土建及装饰工程承包人应负责为此类异常重量和体积的设施或设备进场运输的过桥和过路办理政府交通管理机构或市政管理机构的许可并承担相应的费用；土建及装饰工程承包人将被认为已完全了解政府交通管理机构或市政管理机构的相关规定并在他的投标书中作了充分的考虑，发包人将不会受理任何与此相关的索赔。</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16、现场内外公共设施的保护、维护和恢复</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16.1 在整个工程施工期间，承包人应用明显的标志标定所有现场内和毗邻现场的所有的现存排水口、污水管、电缆沟、市政服务设施的总管、电信电缆和光缆、高架电缆和树木等，并作好相应的保护和维护；工程承包人应自费对那些因受他控制的任何原因引起的对上述设施的损害或损坏进行修缮，并支付与此相关的任何费用和违约金；工程承包人因临时或永久工程施工需临时中断任何市政设施的总管或其它设施时，应首先从政府有关管理机构取得相关许可；工程承包人应周密计划和科学组织，保证此类中断的时间应尽可能短。</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16.2 在整个工程施工期间，工程承包人应负责保护所有的现有道路、步行道、踏步和在它们地下的可能的服务设施；工程承包人应自费对那些因受他控制的任何原因引起的对上述设施的损害或损坏进行修缮直至达到政府有关管理机构满意，并支付与此相关的任何费用和违约金。</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16.3 工程承包人应负责确保所有现场周边毗邻的道路、步行道和现场出入口等的干净和整洁，同时保证它们及周边公共交通、公众生活不因工程承包人和其他受工程承包人控制的施工操作、材料装卸、车辆、材料、物品、设备和工人而带来任何妨碍；工程承包人应保证发包人免于与上述事件有关的任何索赔、诉讼、损害和损失。</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17、避免恶劣天气的影响</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工程承包人应为任何已完成的和将要进行的任何永久和临时工程、材料、物品、设备、以及因永久工程施工而暴露的任何毗邻财产提供必要的覆盖和保护措施，以避免恶劣天气对工程施工的任何影响和减少可能的损失；保护措施包括必要的雨季用阻燃防水油布覆盖，额外的临时仓库等等；任何因恶劣天气带来的任何损失或损害和工期的延误由工程承包人自己负责。</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18、垃圾清运</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工程承包人应在现场设立固定的垃圾临时存放点；现场所有垃圾必须在当天清除出现场，并按政府有关管理机构的规定，运送到指定的垃圾消纳场。</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18.2 如果工程承包人不能按上述要求处理现场垃圾，且在收到发包人或有关政府机构的书面通知后，仍未立即采取具体行动，发包人可雇佣其他人清除现场垃圾，相关费用由工程承包人支付或由发包人从工程承包人按合同约定应得或将得的任何款项中扣除。</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18.3工程承包人应对离场垃圾和所有车辆进行防遗洒和防污染公共道路的处理。</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19、成品保护</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19.1 工程承包人应提供必要的人员、材料和设备用于整个工程的成品保护，包括对已完成的其他承包人（如果有）的工程或工作的保护，防止任何已完工作遭受任何损坏或破坏。</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19.2 本工程的全部工作面由工程承包人控制，任何未完成的其他承包人（如果有）的工程或工作的成品保护责任将由工程承包人负责。在任何情况下，工程承包人有义务对其他承包人的成品保护工作进行监督，如果任何已完工作遭受任何损坏或破坏并且责任不清时，一律由工程承包人承担相应的责任。</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19.3 工程承包人应制订并实施成品保护计划，其中包括拟投入的人员、材料和设备、施工过程中工作面移交的管理办法、成品保护的具体要求、对重点项目拟采取的特殊措施等。</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19.4 成品保护计划应经过发包人的审批。成品保护计划中的成品包括任何已进行但未完成的、因施工工艺和工序安排等原因而暂时中止的工程或工作。</w:t>
      </w:r>
    </w:p>
    <w:p>
      <w:pPr>
        <w:spacing w:line="360" w:lineRule="auto"/>
        <w:ind w:left="480"/>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七、施工及技术要求</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工程所提供给承包人使用的施工图作为指导性质的图纸，承包人应根据现行国家相关设计、施工的规范、规程、标准执行。如本技术要求低于国家现行相关设计、施工规范、规程、标准，则以国家现行设计、施工规范、规程、标准为准。</w:t>
      </w:r>
    </w:p>
    <w:p>
      <w:pPr>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7.1主要设备材料清单</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见附件清单</w:t>
      </w:r>
    </w:p>
    <w:p>
      <w:pPr>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7.2主要设备材料品牌要求</w:t>
      </w:r>
    </w:p>
    <w:tbl>
      <w:tblPr>
        <w:tblStyle w:val="9"/>
        <w:tblW w:w="5000" w:type="pct"/>
        <w:tblInd w:w="0" w:type="dxa"/>
        <w:tblLayout w:type="fixed"/>
        <w:tblCellMar>
          <w:top w:w="0" w:type="dxa"/>
          <w:left w:w="108" w:type="dxa"/>
          <w:bottom w:w="0" w:type="dxa"/>
          <w:right w:w="108" w:type="dxa"/>
        </w:tblCellMar>
      </w:tblPr>
      <w:tblGrid>
        <w:gridCol w:w="1011"/>
        <w:gridCol w:w="2333"/>
        <w:gridCol w:w="4447"/>
        <w:gridCol w:w="731"/>
      </w:tblGrid>
      <w:tr>
        <w:tblPrEx>
          <w:tblCellMar>
            <w:top w:w="0" w:type="dxa"/>
            <w:left w:w="108" w:type="dxa"/>
            <w:bottom w:w="0" w:type="dxa"/>
            <w:right w:w="108" w:type="dxa"/>
          </w:tblCellMar>
        </w:tblPrEx>
        <w:trPr>
          <w:trHeight w:val="345" w:hRule="atLeast"/>
        </w:trPr>
        <w:tc>
          <w:tcPr>
            <w:tcW w:w="593"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136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品名</w:t>
            </w:r>
          </w:p>
        </w:tc>
        <w:tc>
          <w:tcPr>
            <w:tcW w:w="260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rPr>
              <w:t>推荐品牌</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参照或相当于</w:t>
            </w:r>
            <w:r>
              <w:rPr>
                <w:rFonts w:hint="eastAsia" w:ascii="仿宋" w:hAnsi="仿宋" w:eastAsia="仿宋" w:cs="仿宋"/>
                <w:b/>
                <w:bCs/>
                <w:color w:val="auto"/>
                <w:kern w:val="0"/>
                <w:sz w:val="24"/>
                <w:szCs w:val="24"/>
                <w:highlight w:val="none"/>
                <w:lang w:eastAsia="zh-CN"/>
              </w:rPr>
              <w:t>）</w:t>
            </w:r>
          </w:p>
        </w:tc>
        <w:tc>
          <w:tcPr>
            <w:tcW w:w="429" w:type="pct"/>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备注</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灯光系统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变焦LED PAR灯、防水四合一电脑灯、三合一图案电脑灯</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LIGHTSKY、雅江、浩洋</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ascii="仿宋" w:hAnsi="仿宋" w:eastAsia="仿宋" w:cs="仿宋"/>
                <w:color w:val="auto"/>
                <w:kern w:val="0"/>
                <w:sz w:val="24"/>
                <w:szCs w:val="24"/>
                <w:highlight w:val="none"/>
              </w:rPr>
              <w:t>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灯光控制台、网络扩展器</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领焰、韵鹏、彩熠</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ascii="仿宋" w:hAnsi="仿宋" w:eastAsia="仿宋" w:cs="仿宋"/>
                <w:color w:val="auto"/>
                <w:kern w:val="0"/>
                <w:sz w:val="24"/>
                <w:szCs w:val="24"/>
                <w:highlight w:val="none"/>
              </w:rPr>
              <w:t>3</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truss架</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广州浩昌科技、广州市星跃演出设备、广州晟崴舞台设备、广州市本捷舞台设备、广州市锐鹰舞台设备、广州明众桁架</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ascii="仿宋" w:hAnsi="仿宋" w:eastAsia="仿宋" w:cs="仿宋"/>
                <w:color w:val="auto"/>
                <w:kern w:val="0"/>
                <w:sz w:val="24"/>
                <w:szCs w:val="24"/>
                <w:highlight w:val="none"/>
              </w:rPr>
              <w:t>4</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电动吊机、</w:t>
            </w:r>
            <w:r>
              <w:rPr>
                <w:rFonts w:ascii="仿宋" w:hAnsi="仿宋" w:eastAsia="仿宋" w:cs="仿宋"/>
                <w:color w:val="auto"/>
                <w:kern w:val="0"/>
                <w:sz w:val="24"/>
                <w:szCs w:val="24"/>
                <w:highlight w:val="none"/>
              </w:rPr>
              <w:t>控制器</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北京牧德、</w:t>
            </w:r>
            <w:r>
              <w:rPr>
                <w:rFonts w:ascii="仿宋" w:hAnsi="仿宋" w:eastAsia="仿宋"/>
                <w:color w:val="auto"/>
                <w:highlight w:val="none"/>
              </w:rPr>
              <w:t>广东工友</w:t>
            </w:r>
            <w:r>
              <w:rPr>
                <w:rFonts w:hint="eastAsia" w:ascii="仿宋" w:hAnsi="仿宋" w:eastAsia="仿宋" w:cs="仿宋"/>
                <w:color w:val="auto"/>
                <w:kern w:val="0"/>
                <w:sz w:val="24"/>
                <w:szCs w:val="24"/>
                <w:highlight w:val="none"/>
              </w:rPr>
              <w:t>、</w:t>
            </w:r>
            <w:r>
              <w:rPr>
                <w:rFonts w:ascii="仿宋" w:hAnsi="仿宋" w:eastAsia="仿宋"/>
                <w:color w:val="auto"/>
                <w:highlight w:val="none"/>
              </w:rPr>
              <w:t>上海沪工</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音响系统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扬声器、</w:t>
            </w:r>
            <w:r>
              <w:rPr>
                <w:rFonts w:ascii="仿宋" w:hAnsi="仿宋" w:eastAsia="仿宋" w:cs="仿宋"/>
                <w:color w:val="auto"/>
                <w:kern w:val="0"/>
                <w:sz w:val="24"/>
                <w:szCs w:val="24"/>
                <w:highlight w:val="none"/>
              </w:rPr>
              <w:t>功放</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lemuse、SECO、AD、</w:t>
            </w:r>
            <w:r>
              <w:rPr>
                <w:rFonts w:ascii="仿宋" w:hAnsi="仿宋" w:eastAsia="仿宋" w:cs="仿宋"/>
                <w:color w:val="auto"/>
                <w:kern w:val="0"/>
                <w:sz w:val="24"/>
                <w:szCs w:val="24"/>
                <w:highlight w:val="none"/>
              </w:rPr>
              <w:t>CF Audio</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ascii="仿宋" w:hAnsi="仿宋" w:eastAsia="仿宋" w:cs="仿宋"/>
                <w:color w:val="auto"/>
                <w:kern w:val="0"/>
                <w:sz w:val="24"/>
                <w:szCs w:val="24"/>
                <w:highlight w:val="none"/>
              </w:rPr>
              <w:t>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全景声多声道系统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lemuse、LEONIS HOLOSOUND、音王</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ascii="仿宋" w:hAnsi="仿宋" w:eastAsia="仿宋" w:cs="仿宋"/>
                <w:color w:val="auto"/>
                <w:kern w:val="0"/>
                <w:sz w:val="24"/>
                <w:szCs w:val="24"/>
                <w:highlight w:val="none"/>
              </w:rPr>
              <w:t>3</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数字调音台</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Soundcraft、ALLEN—HEATH、YAMAHA</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ascii="仿宋" w:hAnsi="仿宋" w:eastAsia="仿宋" w:cs="仿宋"/>
                <w:color w:val="auto"/>
                <w:kern w:val="0"/>
                <w:sz w:val="24"/>
                <w:szCs w:val="24"/>
                <w:highlight w:val="none"/>
              </w:rPr>
              <w:t>4</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数字音频处理器</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tendzone、ASHLY、Xilica</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ascii="仿宋" w:hAnsi="仿宋" w:eastAsia="仿宋" w:cs="仿宋"/>
                <w:color w:val="auto"/>
                <w:kern w:val="0"/>
                <w:sz w:val="24"/>
                <w:szCs w:val="24"/>
                <w:highlight w:val="none"/>
              </w:rPr>
              <w:t>5</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无线</w:t>
            </w:r>
            <w:r>
              <w:rPr>
                <w:rFonts w:ascii="仿宋" w:hAnsi="仿宋" w:eastAsia="仿宋" w:cs="仿宋"/>
                <w:color w:val="auto"/>
                <w:kern w:val="0"/>
                <w:sz w:val="24"/>
                <w:szCs w:val="24"/>
                <w:highlight w:val="none"/>
              </w:rPr>
              <w:t>话筒系统（</w:t>
            </w:r>
            <w:r>
              <w:rPr>
                <w:rFonts w:hint="eastAsia" w:ascii="仿宋" w:hAnsi="仿宋" w:eastAsia="仿宋" w:cs="仿宋"/>
                <w:color w:val="auto"/>
                <w:kern w:val="0"/>
                <w:sz w:val="24"/>
                <w:szCs w:val="24"/>
                <w:highlight w:val="none"/>
              </w:rPr>
              <w:t>无线接收机、无线话筒、无线腰包机、耳咪、天线放大器、信号分配器等</w:t>
            </w:r>
            <w:r>
              <w:rPr>
                <w:rFonts w:ascii="仿宋" w:hAnsi="仿宋" w:eastAsia="仿宋" w:cs="仿宋"/>
                <w:color w:val="auto"/>
                <w:kern w:val="0"/>
                <w:sz w:val="24"/>
                <w:szCs w:val="24"/>
                <w:highlight w:val="none"/>
              </w:rPr>
              <w:t>）</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SHURE、Sennheiser、铁三角</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ascii="仿宋" w:hAnsi="仿宋" w:eastAsia="仿宋" w:cs="仿宋"/>
                <w:color w:val="auto"/>
                <w:kern w:val="0"/>
                <w:sz w:val="24"/>
                <w:szCs w:val="24"/>
                <w:highlight w:val="none"/>
              </w:rPr>
              <w:t>6</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音频处理工作站</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DELL、联想、H</w:t>
            </w:r>
            <w:r>
              <w:rPr>
                <w:rFonts w:ascii="仿宋" w:hAnsi="仿宋" w:eastAsia="仿宋" w:cs="仿宋"/>
                <w:color w:val="auto"/>
                <w:kern w:val="0"/>
                <w:sz w:val="24"/>
                <w:szCs w:val="24"/>
                <w:highlight w:val="none"/>
              </w:rPr>
              <w:t>P</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1.2.7</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声卡</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PreSonus、RME、ROLAND</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1.2.8</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监听音响</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YAMAHA、JBL、Genelec</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1.2.9</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打碟机混音台</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Pioneer、 ROLAND、DENON</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1.3</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视频系统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LED舞台屏、视频处理器</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利亚德、雷曼光电、洲明</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r>
              <w:rPr>
                <w:rFonts w:ascii="仿宋" w:hAnsi="仿宋" w:eastAsia="仿宋" w:cs="仿宋"/>
                <w:color w:val="auto"/>
                <w:kern w:val="0"/>
                <w:sz w:val="24"/>
                <w:szCs w:val="24"/>
                <w:highlight w:val="none"/>
              </w:rPr>
              <w:t>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媒体服务器</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Hirender、图灵、诺瓦</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r>
              <w:rPr>
                <w:rFonts w:ascii="仿宋" w:hAnsi="仿宋" w:eastAsia="仿宋" w:cs="仿宋"/>
                <w:color w:val="auto"/>
                <w:kern w:val="0"/>
                <w:sz w:val="24"/>
                <w:szCs w:val="24"/>
                <w:highlight w:val="none"/>
              </w:rPr>
              <w:t>3</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视频处理工作站</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DELL、联想、H</w:t>
            </w:r>
            <w:r>
              <w:rPr>
                <w:rFonts w:ascii="仿宋" w:hAnsi="仿宋" w:eastAsia="仿宋" w:cs="仿宋"/>
                <w:color w:val="auto"/>
                <w:kern w:val="0"/>
                <w:sz w:val="24"/>
                <w:szCs w:val="24"/>
                <w:highlight w:val="none"/>
              </w:rPr>
              <w:t>P</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空调</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格力、美的、海尔</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1.4</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演出直播系统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视频制作录制切换系统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Newtek、Panasonic、 blackmagic design</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r>
              <w:rPr>
                <w:rFonts w:ascii="仿宋" w:hAnsi="仿宋" w:eastAsia="仿宋" w:cs="仿宋"/>
                <w:color w:val="auto"/>
                <w:kern w:val="0"/>
                <w:sz w:val="24"/>
                <w:szCs w:val="24"/>
                <w:highlight w:val="none"/>
              </w:rPr>
              <w:t>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4K云台摄像机、控制键盘</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BirdDog、Panasonic、SONY</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r>
              <w:rPr>
                <w:rFonts w:ascii="仿宋" w:hAnsi="仿宋" w:eastAsia="仿宋" w:cs="仿宋"/>
                <w:color w:val="auto"/>
                <w:kern w:val="0"/>
                <w:sz w:val="24"/>
                <w:szCs w:val="24"/>
                <w:highlight w:val="none"/>
              </w:rPr>
              <w:t>3</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SDI/HDMI转换器</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Blackmagic、</w:t>
            </w:r>
            <w:r>
              <w:rPr>
                <w:rFonts w:ascii="仿宋" w:hAnsi="仿宋" w:eastAsia="仿宋" w:cs="仿宋"/>
                <w:color w:val="auto"/>
                <w:kern w:val="0"/>
                <w:sz w:val="24"/>
                <w:szCs w:val="24"/>
                <w:highlight w:val="none"/>
              </w:rPr>
              <w:t>Extron</w:t>
            </w:r>
            <w:r>
              <w:rPr>
                <w:rFonts w:hint="eastAsia" w:ascii="仿宋" w:hAnsi="仿宋" w:eastAsia="仿宋" w:cs="仿宋"/>
                <w:color w:val="auto"/>
                <w:kern w:val="0"/>
                <w:sz w:val="24"/>
                <w:szCs w:val="24"/>
                <w:highlight w:val="none"/>
              </w:rPr>
              <w:t>、GEFEN</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w:t>
            </w:r>
            <w:r>
              <w:rPr>
                <w:rFonts w:ascii="仿宋" w:hAnsi="仿宋" w:eastAsia="仿宋" w:cs="仿宋"/>
                <w:color w:val="auto"/>
                <w:kern w:val="0"/>
                <w:sz w:val="24"/>
                <w:szCs w:val="24"/>
                <w:highlight w:val="none"/>
              </w:rPr>
              <w:t>4</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监听耳机</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SHURE、Sennheiser、铁三角</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1.5</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水特效系统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966"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数控阀</w:t>
            </w:r>
          </w:p>
        </w:tc>
        <w:tc>
          <w:tcPr>
            <w:tcW w:w="260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佳音、三力信、永创</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拱形水特效水泵</w:t>
            </w:r>
          </w:p>
        </w:tc>
        <w:tc>
          <w:tcPr>
            <w:tcW w:w="260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南方泵业、广一泵业、上海凯泉、瑞能、七燕</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1.5.1.3</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变频器</w:t>
            </w:r>
          </w:p>
        </w:tc>
        <w:tc>
          <w:tcPr>
            <w:tcW w:w="260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东芝、ABB、施耐德</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1.5.1.4</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数控阀电缆、水泵电缆</w:t>
            </w:r>
          </w:p>
        </w:tc>
        <w:tc>
          <w:tcPr>
            <w:tcW w:w="260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广州电缆厂、广东电缆厂、南洋(NAN)、华旗、江苏中煤</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1.5.1.5</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控制软件、控制板卡</w:t>
            </w:r>
          </w:p>
        </w:tc>
        <w:tc>
          <w:tcPr>
            <w:tcW w:w="260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广州舞台水秀、北京西莲、常州雄华</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1.5.1.6</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控制电脑</w:t>
            </w:r>
          </w:p>
        </w:tc>
        <w:tc>
          <w:tcPr>
            <w:tcW w:w="260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DELL、联想、H</w:t>
            </w:r>
            <w:r>
              <w:rPr>
                <w:rFonts w:ascii="仿宋" w:hAnsi="仿宋" w:eastAsia="仿宋" w:cs="仿宋"/>
                <w:color w:val="auto"/>
                <w:kern w:val="0"/>
                <w:sz w:val="24"/>
                <w:szCs w:val="24"/>
                <w:highlight w:val="none"/>
              </w:rPr>
              <w:t>P</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1.5.7</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拱形水特效水泵止回阀、拱形特效给水阀门</w:t>
            </w:r>
          </w:p>
        </w:tc>
        <w:tc>
          <w:tcPr>
            <w:tcW w:w="260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上海冠龙阀门</w:t>
            </w:r>
            <w:r>
              <w:rPr>
                <w:rFonts w:ascii="仿宋" w:hAnsi="仿宋" w:eastAsia="仿宋" w:cs="仿宋"/>
                <w:color w:val="auto"/>
                <w:kern w:val="0"/>
                <w:sz w:val="24"/>
                <w:szCs w:val="24"/>
                <w:highlight w:val="none"/>
              </w:rPr>
              <w:t>机械</w:t>
            </w:r>
            <w:r>
              <w:rPr>
                <w:rFonts w:hint="eastAsia" w:ascii="仿宋" w:hAnsi="仿宋" w:eastAsia="仿宋" w:cs="仿宋"/>
                <w:color w:val="auto"/>
                <w:kern w:val="0"/>
                <w:sz w:val="24"/>
                <w:szCs w:val="24"/>
                <w:highlight w:val="none"/>
              </w:rPr>
              <w:t>、良精集团、广东</w:t>
            </w:r>
            <w:r>
              <w:rPr>
                <w:rFonts w:ascii="仿宋" w:hAnsi="仿宋" w:eastAsia="仿宋" w:cs="仿宋"/>
                <w:color w:val="auto"/>
                <w:kern w:val="0"/>
                <w:sz w:val="24"/>
                <w:szCs w:val="24"/>
                <w:highlight w:val="none"/>
              </w:rPr>
              <w:t>永泉阀门</w:t>
            </w:r>
            <w:r>
              <w:rPr>
                <w:rFonts w:hint="eastAsia" w:ascii="仿宋" w:hAnsi="仿宋" w:eastAsia="仿宋" w:cs="仿宋"/>
                <w:color w:val="auto"/>
                <w:kern w:val="0"/>
                <w:sz w:val="24"/>
                <w:szCs w:val="24"/>
                <w:highlight w:val="none"/>
              </w:rPr>
              <w:t>、东锅泵阀、汇泰阀业</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ascii="仿宋" w:hAnsi="仿宋" w:eastAsia="仿宋" w:cs="仿宋"/>
                <w:color w:val="auto"/>
                <w:kern w:val="0"/>
                <w:sz w:val="24"/>
                <w:szCs w:val="24"/>
                <w:highlight w:val="none"/>
              </w:rPr>
              <w:t>8</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供水管道、供水管件</w:t>
            </w:r>
          </w:p>
        </w:tc>
        <w:tc>
          <w:tcPr>
            <w:tcW w:w="2609" w:type="pct"/>
            <w:tcBorders>
              <w:top w:val="nil"/>
              <w:left w:val="nil"/>
              <w:bottom w:val="single" w:color="auto" w:sz="8" w:space="0"/>
              <w:right w:val="single" w:color="auto" w:sz="8" w:space="0"/>
            </w:tcBorders>
            <w:shd w:val="clear" w:color="auto" w:fill="auto"/>
            <w:noWrap/>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深圳民乐、日丰、联塑</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1.6</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演出管理系统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管理控制软件、集中控制箱、Manager服务器平台</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medialon、SMODE、Alcorn</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平板电脑</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Apple、华为、三星</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1.7</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舞美场景及特效</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主控器、</w:t>
            </w:r>
            <w:r>
              <w:rPr>
                <w:rFonts w:ascii="仿宋" w:hAnsi="仿宋" w:eastAsia="仿宋" w:cs="仿宋"/>
                <w:color w:val="auto"/>
                <w:kern w:val="0"/>
                <w:sz w:val="24"/>
                <w:szCs w:val="24"/>
                <w:highlight w:val="none"/>
              </w:rPr>
              <w:t>分控器</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明瑞、思域、宇通</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1.8</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内通系统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四通道无线基站、鹅颈话筒、天线、双通道无线通话腰包、单耳耳麦</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TELIKOU（</w:t>
            </w:r>
            <w:r>
              <w:rPr>
                <w:rFonts w:ascii="Arial" w:hAnsi="Arial" w:cs="Arial"/>
                <w:color w:val="auto"/>
                <w:szCs w:val="21"/>
                <w:highlight w:val="none"/>
                <w:shd w:val="clear" w:color="auto" w:fill="FFFFFF"/>
              </w:rPr>
              <w:t>东杰视讯</w:t>
            </w:r>
            <w:r>
              <w:rPr>
                <w:rFonts w:hint="eastAsia" w:ascii="仿宋" w:hAnsi="仿宋" w:eastAsia="仿宋" w:cs="仿宋"/>
                <w:color w:val="auto"/>
                <w:kern w:val="0"/>
                <w:sz w:val="24"/>
                <w:szCs w:val="24"/>
                <w:highlight w:val="none"/>
              </w:rPr>
              <w:t>）、HUALIAO（华燎）、NAYA(纳雅）</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1.9</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监控系统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嵌入式NVR网络硬盘录像机、控制键盘、监视器、红外网络球机、高清视音频解码器</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宇视、海康威视、华为</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企业级硬盘</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西部数据、希捷、海康威视</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1.10</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电气</w:t>
            </w:r>
            <w:r>
              <w:rPr>
                <w:rFonts w:ascii="仿宋" w:hAnsi="仿宋" w:eastAsia="仿宋" w:cs="仿宋"/>
                <w:b/>
                <w:bCs/>
                <w:color w:val="auto"/>
                <w:kern w:val="0"/>
                <w:sz w:val="24"/>
                <w:szCs w:val="24"/>
                <w:highlight w:val="none"/>
              </w:rPr>
              <w:t>、智能化</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w:t>
            </w:r>
          </w:p>
        </w:tc>
      </w:tr>
      <w:tr>
        <w:tblPrEx>
          <w:tblCellMar>
            <w:top w:w="0" w:type="dxa"/>
            <w:left w:w="108" w:type="dxa"/>
            <w:bottom w:w="0" w:type="dxa"/>
            <w:right w:w="108" w:type="dxa"/>
          </w:tblCellMar>
        </w:tblPrEx>
        <w:trPr>
          <w:trHeight w:val="330" w:hRule="atLeast"/>
        </w:trPr>
        <w:tc>
          <w:tcPr>
            <w:tcW w:w="593"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1.10.1</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机柜</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图腾、跃图、慧腾</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tcPr>
          <w:p>
            <w:pPr>
              <w:rPr>
                <w:color w:val="auto"/>
                <w:highlight w:val="none"/>
              </w:rPr>
            </w:pPr>
            <w:r>
              <w:rPr>
                <w:rFonts w:ascii="仿宋" w:hAnsi="仿宋" w:eastAsia="仿宋" w:cs="仿宋"/>
                <w:color w:val="auto"/>
                <w:kern w:val="0"/>
                <w:sz w:val="24"/>
                <w:szCs w:val="24"/>
                <w:highlight w:val="none"/>
              </w:rPr>
              <w:t>1.10.2</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电源柜主要元器件、控制柜主要元器件、</w:t>
            </w:r>
            <w:r>
              <w:rPr>
                <w:rFonts w:ascii="仿宋" w:hAnsi="仿宋" w:eastAsia="仿宋" w:cs="仿宋"/>
                <w:color w:val="auto"/>
                <w:kern w:val="0"/>
                <w:sz w:val="24"/>
                <w:szCs w:val="24"/>
                <w:highlight w:val="none"/>
              </w:rPr>
              <w:t>配电箱</w:t>
            </w:r>
            <w:r>
              <w:rPr>
                <w:rFonts w:hint="eastAsia" w:ascii="仿宋" w:hAnsi="仿宋" w:eastAsia="仿宋" w:cs="仿宋"/>
                <w:color w:val="auto"/>
                <w:kern w:val="0"/>
                <w:sz w:val="24"/>
                <w:szCs w:val="24"/>
                <w:highlight w:val="none"/>
              </w:rPr>
              <w:t>主要</w:t>
            </w:r>
            <w:r>
              <w:rPr>
                <w:rFonts w:ascii="仿宋" w:hAnsi="仿宋" w:eastAsia="仿宋" w:cs="仿宋"/>
                <w:color w:val="auto"/>
                <w:kern w:val="0"/>
                <w:sz w:val="24"/>
                <w:szCs w:val="24"/>
                <w:highlight w:val="none"/>
              </w:rPr>
              <w:t>元器件</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施耐德、ABB、西门子</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489" w:hRule="atLeast"/>
        </w:trPr>
        <w:tc>
          <w:tcPr>
            <w:tcW w:w="593" w:type="pct"/>
            <w:tcBorders>
              <w:top w:val="nil"/>
              <w:left w:val="single" w:color="auto" w:sz="8" w:space="0"/>
              <w:bottom w:val="single" w:color="auto" w:sz="8" w:space="0"/>
              <w:right w:val="single" w:color="auto" w:sz="8" w:space="0"/>
            </w:tcBorders>
            <w:shd w:val="clear" w:color="auto" w:fill="auto"/>
          </w:tcPr>
          <w:p>
            <w:pPr>
              <w:rPr>
                <w:color w:val="auto"/>
                <w:highlight w:val="none"/>
              </w:rPr>
            </w:pPr>
            <w:r>
              <w:rPr>
                <w:rFonts w:ascii="仿宋" w:hAnsi="仿宋" w:eastAsia="仿宋" w:cs="仿宋"/>
                <w:color w:val="auto"/>
                <w:kern w:val="0"/>
                <w:sz w:val="24"/>
                <w:szCs w:val="24"/>
                <w:highlight w:val="none"/>
              </w:rPr>
              <w:t>1.10.3</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电源线</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广东电缆厂、广州电缆厂、南洋(NAN)、番禺电缆集团</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tcPr>
          <w:p>
            <w:pPr>
              <w:rPr>
                <w:color w:val="auto"/>
                <w:highlight w:val="none"/>
              </w:rPr>
            </w:pPr>
            <w:r>
              <w:rPr>
                <w:rFonts w:ascii="仿宋" w:hAnsi="仿宋" w:eastAsia="仿宋" w:cs="仿宋"/>
                <w:color w:val="auto"/>
                <w:kern w:val="0"/>
                <w:sz w:val="24"/>
                <w:szCs w:val="24"/>
                <w:highlight w:val="none"/>
              </w:rPr>
              <w:t>1.10.4</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专业</w:t>
            </w:r>
            <w:r>
              <w:rPr>
                <w:rFonts w:ascii="仿宋" w:hAnsi="仿宋" w:eastAsia="仿宋" w:cs="仿宋"/>
                <w:color w:val="auto"/>
                <w:kern w:val="0"/>
                <w:sz w:val="24"/>
                <w:szCs w:val="24"/>
                <w:highlight w:val="none"/>
              </w:rPr>
              <w:t>信号线（</w:t>
            </w:r>
            <w:r>
              <w:rPr>
                <w:rFonts w:hint="eastAsia" w:ascii="仿宋" w:hAnsi="仿宋" w:eastAsia="仿宋" w:cs="仿宋"/>
                <w:color w:val="auto"/>
                <w:kern w:val="0"/>
                <w:sz w:val="24"/>
                <w:szCs w:val="24"/>
                <w:highlight w:val="none"/>
              </w:rPr>
              <w:t>DMX信号线、模拟音频线、喇叭线、SDI线</w:t>
            </w:r>
            <w:r>
              <w:rPr>
                <w:rFonts w:ascii="仿宋" w:hAnsi="仿宋" w:eastAsia="仿宋" w:cs="仿宋"/>
                <w:color w:val="auto"/>
                <w:kern w:val="0"/>
                <w:sz w:val="24"/>
                <w:szCs w:val="24"/>
                <w:highlight w:val="none"/>
              </w:rPr>
              <w:t>）</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成丰、京声、秋叶原</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tcPr>
          <w:p>
            <w:pPr>
              <w:rPr>
                <w:color w:val="auto"/>
                <w:highlight w:val="none"/>
              </w:rPr>
            </w:pPr>
            <w:r>
              <w:rPr>
                <w:rFonts w:ascii="仿宋" w:hAnsi="仿宋" w:eastAsia="仿宋" w:cs="仿宋"/>
                <w:color w:val="auto"/>
                <w:kern w:val="0"/>
                <w:sz w:val="24"/>
                <w:szCs w:val="24"/>
                <w:highlight w:val="none"/>
              </w:rPr>
              <w:t>1.10.5</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专业</w:t>
            </w:r>
            <w:r>
              <w:rPr>
                <w:rFonts w:ascii="仿宋" w:hAnsi="仿宋" w:eastAsia="仿宋" w:cs="仿宋"/>
                <w:color w:val="auto"/>
                <w:kern w:val="0"/>
                <w:sz w:val="24"/>
                <w:szCs w:val="24"/>
                <w:highlight w:val="none"/>
              </w:rPr>
              <w:t>电源接插头、插座</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威浦、公牛、怡达</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tcPr>
          <w:p>
            <w:pPr>
              <w:rPr>
                <w:color w:val="auto"/>
                <w:highlight w:val="none"/>
              </w:rPr>
            </w:pPr>
            <w:r>
              <w:rPr>
                <w:rFonts w:ascii="仿宋" w:hAnsi="仿宋" w:eastAsia="仿宋" w:cs="仿宋"/>
                <w:color w:val="auto"/>
                <w:kern w:val="0"/>
                <w:sz w:val="24"/>
                <w:szCs w:val="24"/>
                <w:highlight w:val="none"/>
              </w:rPr>
              <w:t>1.10.6</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弱电线缆</w:t>
            </w:r>
            <w:r>
              <w:rPr>
                <w:rFonts w:ascii="仿宋" w:hAnsi="仿宋" w:eastAsia="仿宋" w:cs="仿宋"/>
                <w:color w:val="auto"/>
                <w:kern w:val="0"/>
                <w:sz w:val="24"/>
                <w:szCs w:val="24"/>
                <w:highlight w:val="none"/>
              </w:rPr>
              <w:t>、含综合布线系统</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广州宇洪、江苏天诚、浙江一舟</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tcPr>
          <w:p>
            <w:pPr>
              <w:rPr>
                <w:color w:val="auto"/>
                <w:highlight w:val="none"/>
              </w:rPr>
            </w:pPr>
            <w:r>
              <w:rPr>
                <w:rFonts w:ascii="仿宋" w:hAnsi="仿宋" w:eastAsia="仿宋" w:cs="仿宋"/>
                <w:color w:val="auto"/>
                <w:kern w:val="0"/>
                <w:sz w:val="24"/>
                <w:szCs w:val="24"/>
                <w:highlight w:val="none"/>
              </w:rPr>
              <w:t>1.10.7</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桥架、线管</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广州中兴、广州钢管厂、番禺珠江钢管、广州华捷、 广东宏际、广州市番禺电缆桥架厂、东莞基业</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p>
        </w:tc>
      </w:tr>
      <w:tr>
        <w:tblPrEx>
          <w:tblCellMar>
            <w:top w:w="0" w:type="dxa"/>
            <w:left w:w="108" w:type="dxa"/>
            <w:bottom w:w="0" w:type="dxa"/>
            <w:right w:w="108" w:type="dxa"/>
          </w:tblCellMar>
        </w:tblPrEx>
        <w:trPr>
          <w:trHeight w:val="345" w:hRule="atLeast"/>
        </w:trPr>
        <w:tc>
          <w:tcPr>
            <w:tcW w:w="593" w:type="pct"/>
            <w:tcBorders>
              <w:top w:val="nil"/>
              <w:left w:val="single" w:color="auto" w:sz="8" w:space="0"/>
              <w:bottom w:val="single" w:color="auto" w:sz="8" w:space="0"/>
              <w:right w:val="single" w:color="auto" w:sz="8" w:space="0"/>
            </w:tcBorders>
            <w:shd w:val="clear" w:color="auto" w:fill="auto"/>
          </w:tcPr>
          <w:p>
            <w:pPr>
              <w:rPr>
                <w:color w:val="auto"/>
                <w:highlight w:val="none"/>
              </w:rPr>
            </w:pPr>
            <w:r>
              <w:rPr>
                <w:rFonts w:ascii="仿宋" w:hAnsi="仿宋" w:eastAsia="仿宋" w:cs="仿宋"/>
                <w:color w:val="auto"/>
                <w:kern w:val="0"/>
                <w:sz w:val="24"/>
                <w:szCs w:val="24"/>
                <w:highlight w:val="none"/>
              </w:rPr>
              <w:t>1.10.</w:t>
            </w:r>
          </w:p>
        </w:tc>
        <w:tc>
          <w:tcPr>
            <w:tcW w:w="136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网络交换机</w:t>
            </w:r>
          </w:p>
        </w:tc>
        <w:tc>
          <w:tcPr>
            <w:tcW w:w="260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中兴、华为、思科</w:t>
            </w:r>
          </w:p>
        </w:tc>
        <w:tc>
          <w:tcPr>
            <w:tcW w:w="429" w:type="pct"/>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w:t>
            </w:r>
          </w:p>
        </w:tc>
      </w:tr>
    </w:tbl>
    <w:p>
      <w:pPr>
        <w:pStyle w:val="3"/>
        <w:ind w:firstLine="0" w:firstLineChars="0"/>
        <w:rPr>
          <w:color w:val="auto"/>
          <w:highlight w:val="none"/>
        </w:rPr>
      </w:pPr>
    </w:p>
    <w:p>
      <w:pPr>
        <w:widowControl/>
        <w:numPr>
          <w:ilvl w:val="2"/>
          <w:numId w:val="0"/>
        </w:numPr>
        <w:tabs>
          <w:tab w:val="left" w:pos="777"/>
        </w:tabs>
        <w:adjustRightInd w:val="0"/>
        <w:snapToGrid w:val="0"/>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highlight w:val="none"/>
        </w:rPr>
        <w:t>注：考虑该专项施工与主体施工的兼容性，如在施工过程所需材料在上述《主要设备材料品牌要求》未提及，则参照主体施工品牌表执行，所有品牌或如使用其他品牌都需先提供相关材料及品检报告，业主及甲方审核并同意后方可使用。</w:t>
      </w:r>
    </w:p>
    <w:p>
      <w:pPr>
        <w:widowControl/>
        <w:numPr>
          <w:ilvl w:val="2"/>
          <w:numId w:val="0"/>
        </w:numPr>
        <w:tabs>
          <w:tab w:val="left" w:pos="777"/>
        </w:tabs>
        <w:adjustRightInd w:val="0"/>
        <w:snapToGrid w:val="0"/>
        <w:spacing w:line="360" w:lineRule="auto"/>
        <w:ind w:firstLine="422" w:firstLineChars="200"/>
        <w:rPr>
          <w:rFonts w:ascii="宋体" w:hAnsi="宋体"/>
          <w:b/>
          <w:color w:val="auto"/>
          <w:highlight w:val="none"/>
        </w:rPr>
      </w:pPr>
      <w:r>
        <w:rPr>
          <w:rFonts w:hint="eastAsia" w:ascii="宋体" w:hAnsi="宋体"/>
          <w:b/>
          <w:color w:val="auto"/>
          <w:highlight w:val="none"/>
        </w:rPr>
        <w:t>主体施工品牌表详见下表：</w:t>
      </w:r>
    </w:p>
    <w:tbl>
      <w:tblPr>
        <w:tblStyle w:val="9"/>
        <w:tblW w:w="8994" w:type="dxa"/>
        <w:tblInd w:w="88" w:type="dxa"/>
        <w:tblLayout w:type="autofit"/>
        <w:tblCellMar>
          <w:top w:w="0" w:type="dxa"/>
          <w:left w:w="108" w:type="dxa"/>
          <w:bottom w:w="0" w:type="dxa"/>
          <w:right w:w="108" w:type="dxa"/>
        </w:tblCellMar>
      </w:tblPr>
      <w:tblGrid>
        <w:gridCol w:w="2070"/>
        <w:gridCol w:w="2344"/>
        <w:gridCol w:w="4580"/>
      </w:tblGrid>
      <w:tr>
        <w:tblPrEx>
          <w:tblCellMar>
            <w:top w:w="0" w:type="dxa"/>
            <w:left w:w="108" w:type="dxa"/>
            <w:bottom w:w="0" w:type="dxa"/>
            <w:right w:w="108" w:type="dxa"/>
          </w:tblCellMar>
        </w:tblPrEx>
        <w:trPr>
          <w:trHeight w:val="341" w:hRule="atLeast"/>
        </w:trPr>
        <w:tc>
          <w:tcPr>
            <w:tcW w:w="2070" w:type="dxa"/>
            <w:tcBorders>
              <w:top w:val="single" w:color="000000" w:sz="4" w:space="0"/>
              <w:left w:val="single" w:color="000000" w:sz="4" w:space="0"/>
              <w:bottom w:val="single" w:color="000000" w:sz="4" w:space="0"/>
              <w:right w:val="single" w:color="000000" w:sz="4" w:space="0"/>
            </w:tcBorders>
            <w:shd w:val="clear" w:color="auto" w:fill="E5E5E5"/>
            <w:vAlign w:val="center"/>
          </w:tcPr>
          <w:p>
            <w:pPr>
              <w:widowControl/>
              <w:numPr>
                <w:ilvl w:val="255"/>
                <w:numId w:val="0"/>
              </w:numPr>
              <w:tabs>
                <w:tab w:val="left" w:pos="777"/>
              </w:tabs>
              <w:jc w:val="center"/>
              <w:textAlignment w:val="center"/>
              <w:rPr>
                <w:rFonts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lang w:bidi="ar"/>
              </w:rPr>
              <w:t>序号</w:t>
            </w:r>
          </w:p>
        </w:tc>
        <w:tc>
          <w:tcPr>
            <w:tcW w:w="2344" w:type="dxa"/>
            <w:tcBorders>
              <w:top w:val="single" w:color="000000" w:sz="4" w:space="0"/>
              <w:left w:val="single" w:color="000000" w:sz="4" w:space="0"/>
              <w:bottom w:val="single" w:color="000000" w:sz="4" w:space="0"/>
              <w:right w:val="single" w:color="000000" w:sz="4" w:space="0"/>
            </w:tcBorders>
            <w:shd w:val="clear" w:color="auto" w:fill="E5E5E5"/>
            <w:vAlign w:val="center"/>
          </w:tcPr>
          <w:p>
            <w:pPr>
              <w:widowControl/>
              <w:numPr>
                <w:ilvl w:val="255"/>
                <w:numId w:val="0"/>
              </w:numPr>
              <w:tabs>
                <w:tab w:val="left" w:pos="777"/>
              </w:tabs>
              <w:jc w:val="center"/>
              <w:textAlignment w:val="center"/>
              <w:rPr>
                <w:rFonts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lang w:bidi="ar"/>
              </w:rPr>
              <w:t>名称</w:t>
            </w:r>
          </w:p>
        </w:tc>
        <w:tc>
          <w:tcPr>
            <w:tcW w:w="4580" w:type="dxa"/>
            <w:tcBorders>
              <w:top w:val="single" w:color="000000" w:sz="4" w:space="0"/>
              <w:left w:val="single" w:color="000000" w:sz="4" w:space="0"/>
              <w:bottom w:val="single" w:color="000000" w:sz="4" w:space="0"/>
              <w:right w:val="single" w:color="000000" w:sz="4" w:space="0"/>
            </w:tcBorders>
            <w:shd w:val="clear" w:color="auto" w:fill="E4E4E4"/>
            <w:vAlign w:val="center"/>
          </w:tcPr>
          <w:p>
            <w:pPr>
              <w:widowControl/>
              <w:numPr>
                <w:ilvl w:val="255"/>
                <w:numId w:val="0"/>
              </w:numPr>
              <w:tabs>
                <w:tab w:val="left" w:pos="777"/>
              </w:tabs>
              <w:jc w:val="center"/>
              <w:textAlignment w:val="center"/>
              <w:rPr>
                <w:rFonts w:ascii="仿宋" w:hAnsi="仿宋" w:eastAsia="仿宋" w:cs="仿宋"/>
                <w:color w:val="auto"/>
                <w:sz w:val="24"/>
                <w:szCs w:val="24"/>
                <w:highlight w:val="none"/>
              </w:rPr>
            </w:pPr>
            <w:r>
              <w:rPr>
                <w:rStyle w:val="21"/>
                <w:rFonts w:hint="eastAsia" w:ascii="仿宋" w:hAnsi="仿宋" w:eastAsia="仿宋" w:cs="仿宋"/>
                <w:color w:val="auto"/>
                <w:sz w:val="24"/>
                <w:szCs w:val="24"/>
                <w:highlight w:val="none"/>
                <w:lang w:bidi="ar"/>
              </w:rPr>
              <w:t>参考品牌</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参照或相当于</w:t>
            </w:r>
            <w:r>
              <w:rPr>
                <w:rFonts w:hint="eastAsia" w:ascii="仿宋" w:hAnsi="仿宋" w:eastAsia="仿宋" w:cs="仿宋"/>
                <w:b/>
                <w:bCs/>
                <w:color w:val="auto"/>
                <w:kern w:val="0"/>
                <w:sz w:val="24"/>
                <w:szCs w:val="24"/>
                <w:highlight w:val="none"/>
                <w:lang w:eastAsia="zh-CN"/>
              </w:rPr>
              <w:t>）</w:t>
            </w:r>
          </w:p>
        </w:tc>
      </w:tr>
      <w:tr>
        <w:tblPrEx>
          <w:tblCellMar>
            <w:top w:w="0" w:type="dxa"/>
            <w:left w:w="108" w:type="dxa"/>
            <w:bottom w:w="0" w:type="dxa"/>
            <w:right w:w="108" w:type="dxa"/>
          </w:tblCellMar>
        </w:tblPrEx>
        <w:trPr>
          <w:trHeight w:val="551"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1</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bidi="ar"/>
              </w:rPr>
              <w:t>铝合金板/铝合金天花/铝塑板</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lang w:eastAsia="zh-Hans"/>
              </w:rPr>
            </w:pPr>
            <w:r>
              <w:rPr>
                <w:rStyle w:val="22"/>
                <w:rFonts w:hint="eastAsia" w:ascii="仿宋" w:hAnsi="仿宋" w:eastAsia="仿宋" w:cs="仿宋"/>
                <w:color w:val="auto"/>
                <w:sz w:val="24"/>
                <w:szCs w:val="24"/>
                <w:highlight w:val="none"/>
                <w:lang w:bidi="ar"/>
              </w:rPr>
              <w:t>广美、穗龙、</w:t>
            </w:r>
            <w:r>
              <w:rPr>
                <w:rStyle w:val="22"/>
                <w:rFonts w:hint="eastAsia" w:ascii="仿宋" w:hAnsi="仿宋" w:eastAsia="仿宋" w:cs="仿宋"/>
                <w:color w:val="auto"/>
                <w:sz w:val="24"/>
                <w:szCs w:val="24"/>
                <w:highlight w:val="none"/>
                <w:lang w:eastAsia="zh-Hans" w:bidi="ar"/>
              </w:rPr>
              <w:t>广铝</w:t>
            </w:r>
          </w:p>
        </w:tc>
      </w:tr>
      <w:tr>
        <w:tblPrEx>
          <w:tblCellMar>
            <w:top w:w="0" w:type="dxa"/>
            <w:left w:w="108" w:type="dxa"/>
            <w:bottom w:w="0" w:type="dxa"/>
            <w:right w:w="108" w:type="dxa"/>
          </w:tblCellMar>
        </w:tblPrEx>
        <w:trPr>
          <w:trHeight w:val="371"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2</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bidi="ar"/>
              </w:rPr>
              <w:t>内墙面漆、外墙涂料</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lang w:eastAsia="zh-Hans"/>
              </w:rPr>
            </w:pPr>
            <w:r>
              <w:rPr>
                <w:rStyle w:val="22"/>
                <w:rFonts w:hint="eastAsia" w:ascii="仿宋" w:hAnsi="仿宋" w:eastAsia="仿宋" w:cs="仿宋"/>
                <w:color w:val="auto"/>
                <w:sz w:val="24"/>
                <w:szCs w:val="24"/>
                <w:highlight w:val="none"/>
                <w:lang w:bidi="ar"/>
              </w:rPr>
              <w:t>三棵树、嘉宝莉、多乐士、立邦</w:t>
            </w:r>
          </w:p>
        </w:tc>
      </w:tr>
      <w:tr>
        <w:tblPrEx>
          <w:tblCellMar>
            <w:top w:w="0" w:type="dxa"/>
            <w:left w:w="108" w:type="dxa"/>
            <w:bottom w:w="0" w:type="dxa"/>
            <w:right w:w="108" w:type="dxa"/>
          </w:tblCellMar>
        </w:tblPrEx>
        <w:trPr>
          <w:trHeight w:val="424"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3</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bidi="ar"/>
              </w:rPr>
              <w:t>防水涂料及防水卷材</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lang w:eastAsia="zh-Hans"/>
              </w:rPr>
            </w:pPr>
            <w:r>
              <w:rPr>
                <w:rStyle w:val="22"/>
                <w:rFonts w:hint="eastAsia" w:ascii="仿宋" w:hAnsi="仿宋" w:eastAsia="仿宋" w:cs="仿宋"/>
                <w:color w:val="auto"/>
                <w:sz w:val="24"/>
                <w:szCs w:val="24"/>
                <w:highlight w:val="none"/>
                <w:lang w:bidi="ar"/>
              </w:rPr>
              <w:t>广州大禹、鲁班、东方雨虹</w:t>
            </w:r>
            <w:r>
              <w:rPr>
                <w:rStyle w:val="22"/>
                <w:rFonts w:hint="eastAsia" w:ascii="仿宋" w:hAnsi="仿宋" w:eastAsia="仿宋" w:cs="仿宋"/>
                <w:color w:val="auto"/>
                <w:sz w:val="24"/>
                <w:szCs w:val="24"/>
                <w:highlight w:val="none"/>
                <w:lang w:eastAsia="zh-Hans" w:bidi="ar"/>
              </w:rPr>
              <w:t>、德高</w:t>
            </w:r>
          </w:p>
        </w:tc>
      </w:tr>
      <w:tr>
        <w:tblPrEx>
          <w:tblCellMar>
            <w:top w:w="0" w:type="dxa"/>
            <w:left w:w="108" w:type="dxa"/>
            <w:bottom w:w="0" w:type="dxa"/>
            <w:right w:w="108" w:type="dxa"/>
          </w:tblCellMar>
        </w:tblPrEx>
        <w:trPr>
          <w:trHeight w:val="403"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4</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bidi="ar"/>
              </w:rPr>
              <w:t>地面砖、墙面砖</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lang w:eastAsia="zh-Hans"/>
              </w:rPr>
            </w:pPr>
            <w:r>
              <w:rPr>
                <w:rStyle w:val="22"/>
                <w:rFonts w:hint="eastAsia" w:ascii="仿宋" w:hAnsi="仿宋" w:eastAsia="仿宋" w:cs="仿宋"/>
                <w:color w:val="auto"/>
                <w:sz w:val="24"/>
                <w:szCs w:val="24"/>
                <w:highlight w:val="none"/>
                <w:lang w:bidi="ar"/>
              </w:rPr>
              <w:t>冠珠、东鹏、马可波罗、诺贝尔</w:t>
            </w:r>
          </w:p>
        </w:tc>
      </w:tr>
      <w:tr>
        <w:tblPrEx>
          <w:tblCellMar>
            <w:top w:w="0" w:type="dxa"/>
            <w:left w:w="108" w:type="dxa"/>
            <w:bottom w:w="0" w:type="dxa"/>
            <w:right w:w="108" w:type="dxa"/>
          </w:tblCellMar>
        </w:tblPrEx>
        <w:trPr>
          <w:trHeight w:val="350"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5</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bidi="ar"/>
              </w:rPr>
              <w:t>电梯、扶梯</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bidi="ar"/>
              </w:rPr>
              <w:t>三菱、蒂森、奥的斯、日立</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6</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bidi="ar"/>
              </w:rPr>
              <w:t>防火门、防火卷帘</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bidi="ar"/>
              </w:rPr>
              <w:t>安鑫门业(广东)、蓝盾、广东胜捷、南粤</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7</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Fonts w:hint="eastAsia"/>
                <w:color w:val="auto"/>
                <w:highlight w:val="none"/>
              </w:rPr>
              <w:t>卫</w:t>
            </w:r>
            <w:r>
              <w:rPr>
                <w:rStyle w:val="22"/>
                <w:rFonts w:hint="eastAsia" w:ascii="仿宋" w:hAnsi="仿宋" w:eastAsia="仿宋" w:cs="仿宋"/>
                <w:color w:val="auto"/>
                <w:sz w:val="24"/>
                <w:szCs w:val="24"/>
                <w:highlight w:val="none"/>
                <w:lang w:bidi="ar"/>
              </w:rPr>
              <w:t>生洁具、龙头五金（见客区）</w:t>
            </w:r>
            <w:r>
              <w:rPr>
                <w:rStyle w:val="22"/>
                <w:rFonts w:hint="eastAsia" w:ascii="仿宋" w:hAnsi="仿宋" w:eastAsia="仿宋" w:cs="仿宋"/>
                <w:color w:val="auto"/>
                <w:sz w:val="24"/>
                <w:szCs w:val="24"/>
                <w:highlight w:val="none"/>
                <w:lang w:bidi="ar"/>
              </w:rPr>
              <w:tab/>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Fonts w:hint="eastAsia"/>
                <w:color w:val="auto"/>
                <w:highlight w:val="none"/>
              </w:rPr>
              <w:t>卫</w:t>
            </w:r>
            <w:r>
              <w:rPr>
                <w:rStyle w:val="22"/>
                <w:rFonts w:hint="eastAsia" w:ascii="仿宋" w:hAnsi="仿宋" w:eastAsia="仿宋" w:cs="仿宋"/>
                <w:color w:val="auto"/>
                <w:sz w:val="24"/>
                <w:szCs w:val="24"/>
                <w:highlight w:val="none"/>
                <w:lang w:bidi="ar"/>
              </w:rPr>
              <w:t>生洁具、龙头五金（见客区）</w:t>
            </w:r>
            <w:r>
              <w:rPr>
                <w:rStyle w:val="22"/>
                <w:rFonts w:hint="eastAsia" w:ascii="仿宋" w:hAnsi="仿宋" w:eastAsia="仿宋" w:cs="仿宋"/>
                <w:color w:val="auto"/>
                <w:sz w:val="24"/>
                <w:szCs w:val="24"/>
                <w:highlight w:val="none"/>
                <w:lang w:bidi="ar"/>
              </w:rPr>
              <w:tab/>
            </w:r>
            <w:r>
              <w:rPr>
                <w:rStyle w:val="22"/>
                <w:rFonts w:hint="eastAsia" w:ascii="仿宋" w:hAnsi="仿宋" w:eastAsia="仿宋" w:cs="仿宋"/>
                <w:color w:val="auto"/>
                <w:sz w:val="24"/>
                <w:szCs w:val="24"/>
                <w:highlight w:val="none"/>
                <w:lang w:bidi="ar"/>
              </w:rPr>
              <w:t>TOTO、科勒、美标、乐家</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8</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卫生洁具、龙头五金（后勤等非见客区）</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鹰排、东鹏、九牧</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9</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数字全变频生活泵组、潜水泵、一体化污水提升设备</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Fonts w:hint="eastAsia" w:ascii="仿宋" w:hAnsi="仿宋" w:eastAsia="仿宋" w:cs="仿宋"/>
                <w:color w:val="auto"/>
                <w:kern w:val="0"/>
                <w:sz w:val="24"/>
                <w:szCs w:val="24"/>
                <w:highlight w:val="none"/>
                <w:lang w:bidi="ar"/>
              </w:rPr>
              <w:t>丹泉、广一、凯泉、南方泵业</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10</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热镀锌钢管、热镀锌无缝钢管、</w:t>
            </w:r>
          </w:p>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内外涂塑钢管、内外喷塑复合钢</w:t>
            </w:r>
          </w:p>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管(各专业)</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Fonts w:hint="eastAsia" w:ascii="仿宋" w:hAnsi="仿宋" w:eastAsia="仿宋" w:cs="仿宋"/>
                <w:color w:val="auto"/>
                <w:kern w:val="0"/>
                <w:sz w:val="24"/>
                <w:szCs w:val="24"/>
                <w:highlight w:val="none"/>
                <w:lang w:bidi="ar"/>
              </w:rPr>
              <w:t>广州珠江、广东泰丰侨、中山华捷</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11</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薄壁不锈钢给水管、覆塑薄壁不锈钢管</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Fonts w:hint="eastAsia" w:ascii="仿宋" w:hAnsi="仿宋" w:eastAsia="仿宋" w:cs="仿宋"/>
                <w:color w:val="auto"/>
                <w:kern w:val="0"/>
                <w:sz w:val="24"/>
                <w:szCs w:val="24"/>
                <w:highlight w:val="none"/>
                <w:lang w:bidi="ar"/>
              </w:rPr>
              <w:t>深圳民乐、浙江正康、无锡金羊、宁波福兰特</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12</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水阀门(各专业)</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上海冠龙阀门机械、良精集团、广东永泉阀门(YQ)</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13</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Style w:val="22"/>
                <w:rFonts w:hint="eastAsia" w:ascii="仿宋" w:hAnsi="仿宋" w:eastAsia="仿宋" w:cs="仿宋"/>
                <w:color w:val="auto"/>
                <w:sz w:val="24"/>
                <w:szCs w:val="24"/>
                <w:highlight w:val="none"/>
                <w:lang w:bidi="ar"/>
              </w:rPr>
              <w:t>不锈钢水箱(生活水箱、消防水箱等)、隔油(器)设备</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Style w:val="22"/>
                <w:rFonts w:ascii="仿宋" w:hAnsi="仿宋" w:eastAsia="仿宋" w:cs="仿宋"/>
                <w:color w:val="auto"/>
                <w:sz w:val="24"/>
                <w:szCs w:val="24"/>
                <w:highlight w:val="none"/>
                <w:lang w:bidi="ar"/>
              </w:rPr>
            </w:pPr>
            <w:r>
              <w:rPr>
                <w:rFonts w:hint="eastAsia" w:ascii="仿宋" w:hAnsi="仿宋" w:eastAsia="仿宋" w:cs="仿宋"/>
                <w:color w:val="auto"/>
                <w:kern w:val="0"/>
                <w:sz w:val="24"/>
                <w:szCs w:val="24"/>
                <w:highlight w:val="none"/>
                <w:lang w:bidi="ar"/>
              </w:rPr>
              <w:t>广州火田、广州恒古、广州洁能</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14</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CPVC管、PPR管、PE管、PVC管、实壁UPVC排水管、HDPE排水管、UPVC排水管</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联塑、日丰、雄塑、鸿泰管业(津达)</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15</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水管卡箍(各专业)</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维特利、上海威逊机械、威龙卡特</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16</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空气源热泵机组</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tabs>
                <w:tab w:val="left" w:pos="777"/>
              </w:tabs>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A.0史密斯、纽恩泰、芬尼克兹</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17</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10kV高压柜、低压成套柜、配电箱、成套设备配套控制箱(柜)、母线槽</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新会电器、白云电气、顺开电气</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18</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高低压元器件(断路器、接触器、热继电器、微机继保装置、双电源等)</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无锡罗格朗、贵州泰永长征、许继集团</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19</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干式电力变压器</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顺特电气、广州广高、中电电气、海南金盘</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20</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柴油发电机(组装，核心部件采购要求见右列)</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发 动 机 ：原厂康明斯(Cummins)、潍柴博杜安、玉柴MTU</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发 电 机 ：独资斯坦福、合资马拉松、合资利莱森玛、无锡法拉第</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21</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普通镀锌线槽、桥架、线管(金属)</w:t>
            </w:r>
          </w:p>
        </w:tc>
        <w:tc>
          <w:tcPr>
            <w:tcW w:w="4580" w:type="dxa"/>
            <w:tcBorders>
              <w:top w:val="single" w:color="000000" w:sz="4" w:space="0"/>
              <w:left w:val="single" w:color="000000" w:sz="4" w:space="0"/>
              <w:bottom w:val="single" w:color="000000" w:sz="4" w:space="0"/>
              <w:right w:val="single" w:color="000000" w:sz="4" w:space="0"/>
            </w:tcBorders>
            <w:vAlign w:val="bottom"/>
          </w:tcPr>
          <w:p>
            <w:pPr>
              <w:widowControl/>
              <w:numPr>
                <w:ilvl w:val="255"/>
                <w:numId w:val="0"/>
              </w:numPr>
              <w:jc w:val="left"/>
              <w:textAlignment w:val="bottom"/>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广州中兴、广州钢管厂、番禺珠江钢管、广州华捷、广东宏际、广州市番禺电缆桥架厂、东莞</w:t>
            </w:r>
            <w:r>
              <w:rPr>
                <w:rFonts w:hint="eastAsia" w:ascii="仿宋" w:hAnsi="仿宋" w:eastAsia="仿宋" w:cs="仿宋"/>
                <w:color w:val="auto"/>
                <w:kern w:val="0"/>
                <w:sz w:val="24"/>
                <w:szCs w:val="24"/>
                <w:highlight w:val="none"/>
                <w:lang w:eastAsia="zh-Hans" w:bidi="ar"/>
              </w:rPr>
              <w:t>基业</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22</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彩钢桥架、不锈钢桥架</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广东壹鼎高、上海樟祥、广东彩罡</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23</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电容器、消谐电抗器</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苏州苏容电气、杭州斯优博、南京科斯博</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24</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电线、电缆</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广东电缆厂、广州电缆厂、南洋(NAN)、番禺电缆集团</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25</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矿物绝缘电缆</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广州澳通、上海高桥、北京华远高科</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26</w:t>
            </w:r>
          </w:p>
        </w:tc>
        <w:tc>
          <w:tcPr>
            <w:tcW w:w="2344" w:type="dxa"/>
            <w:tcBorders>
              <w:top w:val="single" w:color="000000" w:sz="4" w:space="0"/>
              <w:left w:val="single" w:color="000000" w:sz="4" w:space="0"/>
              <w:bottom w:val="single" w:color="000000" w:sz="4" w:space="0"/>
              <w:right w:val="single" w:color="000000" w:sz="4" w:space="0"/>
            </w:tcBorders>
            <w:vAlign w:val="bottom"/>
          </w:tcPr>
          <w:p>
            <w:pPr>
              <w:widowControl/>
              <w:numPr>
                <w:ilvl w:val="255"/>
                <w:numId w:val="0"/>
              </w:numPr>
              <w:jc w:val="left"/>
              <w:textAlignment w:val="bottom"/>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电力监控系统(含测控仪表、单元.软件)</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国电南瑞、深圳华力特、江苏斯菲尔</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27</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开关及插座面板</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西门子、ABB、施耐德</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28</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常规照明灯具</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佛山照明、广东三雄极光、欧普、雷士</w:t>
            </w:r>
          </w:p>
        </w:tc>
      </w:tr>
      <w:tr>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29</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高压柜直流屏</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广东易事特、河南许继、南京南瑞</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30</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UPS+电池</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广东易事特、台达、山特</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31</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视频安防监控系统(摄像机、矩阵、硬盘录像机、系统软件、显示器等)</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宇视、海康威视、华为</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32</w:t>
            </w:r>
          </w:p>
        </w:tc>
        <w:tc>
          <w:tcPr>
            <w:tcW w:w="2344" w:type="dxa"/>
            <w:tcBorders>
              <w:top w:val="single" w:color="000000" w:sz="4" w:space="0"/>
              <w:left w:val="single" w:color="000000" w:sz="4" w:space="0"/>
              <w:bottom w:val="single" w:color="000000" w:sz="4" w:space="0"/>
              <w:right w:val="single" w:color="000000" w:sz="4" w:space="0"/>
            </w:tcBorders>
            <w:vAlign w:val="bottom"/>
          </w:tcPr>
          <w:p>
            <w:pPr>
              <w:widowControl/>
              <w:numPr>
                <w:ilvl w:val="255"/>
                <w:numId w:val="0"/>
              </w:numPr>
              <w:jc w:val="left"/>
              <w:textAlignment w:val="bottom"/>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出入口控制系统(门禁控制器、磁力锁、开门按钮、读卡器、发卡机、系统软件等)</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艾科、深圳科松、瑞立德</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33</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网络系统(AP、交换机、光模块、网</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管等)</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中兴、华为、思科</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34</w:t>
            </w:r>
          </w:p>
        </w:tc>
        <w:tc>
          <w:tcPr>
            <w:tcW w:w="2344" w:type="dxa"/>
            <w:tcBorders>
              <w:top w:val="single" w:color="000000" w:sz="4" w:space="0"/>
              <w:left w:val="single" w:color="000000" w:sz="4" w:space="0"/>
              <w:bottom w:val="single" w:color="000000" w:sz="4" w:space="0"/>
              <w:right w:val="single" w:color="000000" w:sz="4" w:space="0"/>
            </w:tcBorders>
            <w:vAlign w:val="bottom"/>
          </w:tcPr>
          <w:p>
            <w:pPr>
              <w:widowControl/>
              <w:numPr>
                <w:ilvl w:val="255"/>
                <w:numId w:val="0"/>
              </w:numPr>
              <w:jc w:val="left"/>
              <w:textAlignment w:val="bottom"/>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建筑设备监控系统(网络控制器、DDC、模块、系统软件、传感器、空调风柜和风机盘管配套用电动阀等)、冷源群控系统</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广州罗杰韦尔、同方泰德、浙江慧控</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35</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弱电线缆、含综合布线系统</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广州宇洪、江苏天诚、浙江一舟</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36</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水冷离心式变频冷水机组</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约克(YORK)、特灵(Trane)、开利(Carrier)</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37</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空调水泵(冷冻水泵、冷却水泵)、热水泵</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格兰富(Grundfos)、KSB、威乐</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38</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冷却塔(超低噪声型横流式)</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新菱、明新、空研</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39</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变频多联空调(含室外机、天花暗藏风管式室内机)、</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分体空调</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海信、格力、美的</w:t>
            </w:r>
          </w:p>
        </w:tc>
      </w:tr>
      <w:tr>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40</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组合式空气处理机组、新风空调器、风机盘管</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浙江盾安、珠海格力、广东吉荣</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41</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各类风机(包含：离心风机、轴流风机等)</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风口及风管附件(风阀、消声器、静压箱、百叶等)</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亿利达、东莞飞达、九洲普惠、南风股份</w:t>
            </w:r>
          </w:p>
        </w:tc>
      </w:tr>
      <w:tr>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42</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变频器</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ABB、西门子、施耐德、丹佛斯</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43</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风管保温材料(玻璃棉毡)</w:t>
            </w:r>
            <w:r>
              <w:rPr>
                <w:rFonts w:hint="eastAsia" w:ascii="仿宋" w:hAnsi="仿宋" w:eastAsia="仿宋" w:cs="仿宋"/>
                <w:color w:val="auto"/>
                <w:kern w:val="0"/>
                <w:sz w:val="24"/>
                <w:szCs w:val="24"/>
                <w:highlight w:val="none"/>
                <w:lang w:bidi="ar"/>
              </w:rPr>
              <w:br w:type="textWrapping"/>
            </w:r>
            <w:r>
              <w:rPr>
                <w:rFonts w:hint="eastAsia" w:ascii="仿宋" w:hAnsi="仿宋" w:eastAsia="仿宋" w:cs="仿宋"/>
                <w:color w:val="auto"/>
                <w:kern w:val="0"/>
                <w:sz w:val="24"/>
                <w:szCs w:val="24"/>
                <w:highlight w:val="none"/>
                <w:lang w:bidi="ar"/>
              </w:rPr>
              <w:t>水管保温材料(橡塑材料)</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欧文斯科宁、福乐斯、杜肯</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44</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空调水处理器装置</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栗田、赛一、科福莱</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45</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消防泵(含消火栓泵组、喷淋泵组、稳压泵组等)</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丹泉、广一、凯泉、南方泵业</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46</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消防水件(含：消火栓箱、喷淋水泵接合器、湿式报警阀、水流指示器、喷头 )</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川消、广东胜捷科技、上海金盾、南消</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47</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气体灭火装置</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广州鹰穗、广东胜捷科技、上海金盾</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48</w:t>
            </w:r>
          </w:p>
        </w:tc>
        <w:tc>
          <w:tcPr>
            <w:tcW w:w="2344" w:type="dxa"/>
            <w:tcBorders>
              <w:top w:val="single" w:color="000000" w:sz="4" w:space="0"/>
              <w:left w:val="single" w:color="000000" w:sz="4" w:space="0"/>
              <w:bottom w:val="single" w:color="000000" w:sz="4" w:space="0"/>
              <w:right w:val="single" w:color="000000" w:sz="4" w:space="0"/>
            </w:tcBorders>
            <w:vAlign w:val="center"/>
          </w:tcPr>
          <w:p>
            <w:pPr>
              <w:numPr>
                <w:ilvl w:val="255"/>
                <w:numId w:val="0"/>
              </w:numPr>
              <w:jc w:val="left"/>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抗震支架(各专业)</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江苏共源、深圳市置华、深圳雅昌</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49</w:t>
            </w:r>
          </w:p>
        </w:tc>
        <w:tc>
          <w:tcPr>
            <w:tcW w:w="2344" w:type="dxa"/>
            <w:tcBorders>
              <w:top w:val="single" w:color="000000" w:sz="4" w:space="0"/>
              <w:left w:val="single" w:color="000000" w:sz="4" w:space="0"/>
              <w:bottom w:val="single" w:color="000000" w:sz="4" w:space="0"/>
              <w:right w:val="single" w:color="000000" w:sz="4" w:space="0"/>
            </w:tcBorders>
            <w:vAlign w:val="bottom"/>
          </w:tcPr>
          <w:p>
            <w:pPr>
              <w:widowControl/>
              <w:numPr>
                <w:ilvl w:val="255"/>
                <w:numId w:val="0"/>
              </w:numPr>
              <w:jc w:val="left"/>
              <w:textAlignment w:val="bottom"/>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应急照明、疏散指示系统安全出口标志灯、疏散标志灯、应急灯等)</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沈阳宏宇光电子科技有限公司、北京市崇正华盛、大连国彪</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50</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消防应急广播及背景音乐系统</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广州保伦(itc)、广州锐丰(LAX)、广州迪士普(DSPPA)</w:t>
            </w:r>
          </w:p>
        </w:tc>
      </w:tr>
      <w:tr>
        <w:tblPrEx>
          <w:tblCellMar>
            <w:top w:w="0" w:type="dxa"/>
            <w:left w:w="108" w:type="dxa"/>
            <w:bottom w:w="0" w:type="dxa"/>
            <w:right w:w="108" w:type="dxa"/>
          </w:tblCellMar>
        </w:tblPrEx>
        <w:trPr>
          <w:trHeight w:val="365" w:hRule="atLeast"/>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center"/>
              <w:textAlignment w:val="center"/>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51</w:t>
            </w:r>
          </w:p>
        </w:tc>
        <w:tc>
          <w:tcPr>
            <w:tcW w:w="2344"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电气火灾监控系统、消防电源监控系统、防火门监控系统、余压监控系统、火灾自动报警系统</w:t>
            </w:r>
          </w:p>
        </w:tc>
        <w:tc>
          <w:tcPr>
            <w:tcW w:w="4580" w:type="dxa"/>
            <w:tcBorders>
              <w:top w:val="single" w:color="000000" w:sz="4" w:space="0"/>
              <w:left w:val="single" w:color="000000" w:sz="4" w:space="0"/>
              <w:bottom w:val="single" w:color="000000" w:sz="4" w:space="0"/>
              <w:right w:val="single" w:color="000000" w:sz="4" w:space="0"/>
            </w:tcBorders>
            <w:vAlign w:val="center"/>
          </w:tcPr>
          <w:p>
            <w:pPr>
              <w:widowControl/>
              <w:numPr>
                <w:ilvl w:val="255"/>
                <w:numId w:val="0"/>
              </w:numPr>
              <w:jc w:val="left"/>
              <w:textAlignment w:val="center"/>
              <w:rPr>
                <w:rFonts w:ascii="仿宋" w:hAnsi="仿宋" w:eastAsia="仿宋" w:cs="仿宋"/>
                <w:color w:val="auto"/>
                <w:sz w:val="24"/>
                <w:szCs w:val="24"/>
                <w:highlight w:val="none"/>
              </w:rPr>
            </w:pPr>
            <w:r>
              <w:rPr>
                <w:rStyle w:val="23"/>
                <w:rFonts w:hint="eastAsia" w:ascii="仿宋" w:hAnsi="仿宋" w:eastAsia="仿宋" w:cs="仿宋"/>
                <w:color w:val="auto"/>
                <w:sz w:val="24"/>
                <w:szCs w:val="24"/>
                <w:highlight w:val="none"/>
                <w:lang w:bidi="ar"/>
              </w:rPr>
              <w:t>深圳泰和安、深圳中电、广东雅达、北京市崇正华盛</w:t>
            </w:r>
          </w:p>
        </w:tc>
      </w:tr>
    </w:tbl>
    <w:p>
      <w:pPr>
        <w:pStyle w:val="3"/>
        <w:rPr>
          <w:color w:val="auto"/>
          <w:highlight w:val="none"/>
        </w:rPr>
      </w:pPr>
    </w:p>
    <w:p>
      <w:pPr>
        <w:numPr>
          <w:ilvl w:val="255"/>
          <w:numId w:val="0"/>
        </w:numPr>
        <w:spacing w:line="360" w:lineRule="auto"/>
        <w:ind w:left="480"/>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八、施工界面划分</w:t>
      </w:r>
    </w:p>
    <w:p>
      <w:p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1.排污设施及设备部分</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海洋馆设备机房内排水地沟、集水坑的施工由其他工程承包人负责完成，应做到沟内平整，排污口通畅，防水已施工并完成测试后交付下道工序施工单位。</w:t>
      </w:r>
    </w:p>
    <w:p>
      <w:p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2.管道部分</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海洋馆室内管道分为以下几个部分：</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1)水特效系统至维生系统取水管道</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2)水特效系统二次管道</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上述管道均由本项目承包人负责安装，应做到剖面整齐，支吊架布置合理，管道排列平顺，管配件安装易于检修。</w:t>
      </w:r>
    </w:p>
    <w:p>
      <w:p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3.强电部分</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主题演艺工程分为一级配电及二次机电，一级配电至本系统配电箱上端头范围由其他专业单位负责，本系统各配电箱至设备二次机电由本项目承包人负责。</w:t>
      </w:r>
    </w:p>
    <w:p>
      <w:p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4.弱电部分</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主题演艺工程弱电部分由本项目承包人负责。</w:t>
      </w:r>
    </w:p>
    <w:p>
      <w:p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5.机房建设</w:t>
      </w:r>
    </w:p>
    <w:p>
      <w:pPr>
        <w:tabs>
          <w:tab w:val="left" w:pos="777"/>
        </w:tabs>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主题演艺工程控制机房、设备机房建设及室内配套（室内装修、照明、消防、暖通、光纤网络、控制桌椅、静电地板等），由本项目承包人提资，由总承包人负责。</w:t>
      </w:r>
    </w:p>
    <w:p>
      <w:pPr>
        <w:spacing w:line="360" w:lineRule="auto"/>
        <w:ind w:firstLine="480" w:firstLineChars="200"/>
        <w:outlineLvl w:val="1"/>
        <w:rPr>
          <w:rFonts w:ascii="仿宋" w:hAnsi="仿宋" w:eastAsia="仿宋" w:cs="仿宋"/>
          <w:color w:val="auto"/>
          <w:sz w:val="24"/>
          <w:szCs w:val="24"/>
          <w:highlight w:val="none"/>
        </w:rPr>
      </w:pPr>
      <w:r>
        <w:rPr>
          <w:rFonts w:ascii="仿宋" w:hAnsi="仿宋" w:eastAsia="仿宋" w:cs="仿宋"/>
          <w:color w:val="auto"/>
          <w:sz w:val="24"/>
          <w:szCs w:val="24"/>
          <w:highlight w:val="none"/>
        </w:rPr>
        <w:t>6.主题包装</w:t>
      </w:r>
    </w:p>
    <w:p>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6.1</w:t>
      </w:r>
      <w:r>
        <w:rPr>
          <w:rFonts w:hint="eastAsia" w:ascii="仿宋" w:hAnsi="仿宋" w:eastAsia="仿宋" w:cs="仿宋"/>
          <w:color w:val="auto"/>
          <w:sz w:val="24"/>
          <w:szCs w:val="24"/>
          <w:highlight w:val="none"/>
        </w:rPr>
        <w:t>主题演艺工程</w:t>
      </w:r>
      <w:r>
        <w:rPr>
          <w:rFonts w:ascii="仿宋" w:hAnsi="仿宋" w:eastAsia="仿宋" w:cs="仿宋"/>
          <w:color w:val="auto"/>
          <w:sz w:val="24"/>
          <w:szCs w:val="24"/>
          <w:highlight w:val="none"/>
        </w:rPr>
        <w:t>所涉及与主题包装衔接、开孔及包装美化等工序，由主题包装单位完成。</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6.2精灵海湾表演剧场舞台主题包装背景造型灯光系统界面切分如下：</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1）舞台背景造型灯光由主题包装单位负责，通过DMX信号，接入舞美系统进行控制；</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2）主题演艺工程预留控制信号节点及相应设备端口，对主题背景造型灯光进行统一控制。</w:t>
      </w:r>
    </w:p>
    <w:p>
      <w:pPr>
        <w:numPr>
          <w:ilvl w:val="255"/>
          <w:numId w:val="0"/>
        </w:numPr>
        <w:spacing w:line="360" w:lineRule="auto"/>
        <w:ind w:left="480"/>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九、完工交付</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1、完工清理</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1.1在工程完工后，不管发包人是否已办妥政府有关机构所要求的一切必要的批准、备案手续以及是否已发布移交证书，工程承包人应安排专业队伍全面履行其合同责任和义务，包括但不限于：</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（1）工程竣工后，工程承包人应按发包人要求移走现场的临时施工机械、临时设施及剩余物料及清理垃圾。</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工程承包人应负责自费修复因工程承包人负责的工程对其他承包人的工程造成的已完工序的损坏。假如修复工作需专门的技术，则发包人可以指示其它承包人及专业承包人进行修补工作，然后再向工程承包人扣除该费用。</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（3）工程承包人须充分保护所有完成的工程，并须负责修复由于不小心或疏忽造成的任何损坏。</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（4）从工地上搬离所有的机械、剩余的建筑材料、泥土和垃圾，使房屋清洁适合使用，并使发包人完全满意。</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（3）工程承包人须充分保护所有完成的工程，包括电器及卫生器皿、固定装置、金属、玻璃、瓷砖及其它墙和地板饰面，并须负责修复由于不小心或疏忽造成的任何损坏。</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（5）工程承包人须清洁所有工程项目，除去一切标志、污斑、指印和其它的油污和脏物以及清理所有的沟渠和下水道。</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（6）清洁工程单元的每面，达到建筑清洁及维修的一流水平。遵照生产厂家关于清洁方法的指示。以下是，但不以此为限，预期的清洁水平的例子：拆除那些不作为永久使用的标志。</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（7）清洁维修设备平台应保证清洁完毕后再补刷防锈漆及面漆。</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（8）整个工程（包括但不限于指定供应项目）应达到干净、整洁和能随时投入使用的状态。</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2、完工验收</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2.1工程完工证书生效后只能表明工程已经完工，只有在工程承包人将工程移交给发包人，且发包人已就此签发移交证书后，才能表明工程承包人已在移交证书上注明的移交日期完成本工程的完工和交付。</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2.2工程承包人在确定完工验收的时间时，应确保在完工验收时工程已被发包人认为可以投入使用。</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2.3合同文件中约定的所有工作 已完成并达到合同文件约定的标准。 </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2.4所有完工资料，包括完工图，已按要求并根据合同条件中约定的标准准备完毕，并已递交给发包人。</w:t>
      </w:r>
    </w:p>
    <w:p>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rPr>
        <w:t>设备及系统调试：工程正式交付使用前，工程承包单位应对其负责的工程设备及系统进行充分调试，保证设备及系统整体运行流畅，满足发包人日常运营需求。</w:t>
      </w:r>
    </w:p>
    <w:p>
      <w:pPr>
        <w:numPr>
          <w:ilvl w:val="255"/>
          <w:numId w:val="0"/>
        </w:numPr>
        <w:spacing w:line="360" w:lineRule="auto"/>
        <w:ind w:left="720"/>
        <w:outlineLvl w:val="0"/>
        <w:rPr>
          <w:rFonts w:ascii="仿宋" w:hAnsi="仿宋" w:eastAsia="仿宋" w:cs="仿宋"/>
          <w:b/>
          <w:bCs/>
          <w:color w:val="auto"/>
          <w:sz w:val="24"/>
          <w:szCs w:val="24"/>
          <w:highlight w:val="none"/>
        </w:rPr>
      </w:pPr>
      <w:bookmarkStart w:id="0" w:name="_Toc2675"/>
      <w:bookmarkStart w:id="1" w:name="_Toc29739"/>
      <w:bookmarkStart w:id="2" w:name="_Toc6051"/>
      <w:bookmarkStart w:id="3" w:name="_Toc32055"/>
      <w:bookmarkStart w:id="4" w:name="_Toc18846"/>
      <w:r>
        <w:rPr>
          <w:rFonts w:hint="eastAsia" w:ascii="仿宋" w:hAnsi="仿宋" w:eastAsia="仿宋" w:cs="仿宋"/>
          <w:b/>
          <w:bCs/>
          <w:color w:val="auto"/>
          <w:sz w:val="24"/>
          <w:szCs w:val="24"/>
          <w:highlight w:val="none"/>
        </w:rPr>
        <w:t>十、培训</w:t>
      </w:r>
      <w:bookmarkEnd w:id="0"/>
      <w:bookmarkEnd w:id="1"/>
      <w:bookmarkEnd w:id="2"/>
      <w:bookmarkEnd w:id="3"/>
      <w:bookmarkEnd w:id="4"/>
      <w:r>
        <w:rPr>
          <w:rFonts w:hint="eastAsia" w:ascii="仿宋" w:hAnsi="仿宋" w:eastAsia="仿宋" w:cs="仿宋"/>
          <w:b/>
          <w:bCs/>
          <w:color w:val="auto"/>
          <w:sz w:val="24"/>
          <w:szCs w:val="24"/>
          <w:highlight w:val="none"/>
        </w:rPr>
        <w:t>及售后</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1.乙方应对甲方的操作、清洁、维护人员进行现场操作培训，培训期限：直至甲方的操作、维修人员熟练掌握操作、维修技术为准。</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2.合同项目开业正式投入使用之日起30天内，乙方应安排安装技术人员在现场进行跟踪指导。</w:t>
      </w:r>
    </w:p>
    <w:p>
      <w:pPr>
        <w:numPr>
          <w:ilvl w:val="2"/>
          <w:numId w:val="0"/>
        </w:numPr>
        <w:spacing w:line="360" w:lineRule="auto"/>
        <w:ind w:firstLine="480" w:firstLineChars="200"/>
        <w:outlineLvl w:val="1"/>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 培训内容</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（1）日常操作流程/步骤及日常操作安全注意事项；</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 突发故障时现场操作及服务人员的岗位安排，操作人员与维护人员之间的配合工作要求及安全注意事项；</w:t>
      </w:r>
    </w:p>
    <w:p>
      <w:pPr>
        <w:numPr>
          <w:ilvl w:val="2"/>
          <w:numId w:val="0"/>
        </w:num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（3）编写维护手册。</w:t>
      </w:r>
    </w:p>
    <w:p>
      <w:pPr>
        <w:numPr>
          <w:ilvl w:val="2"/>
          <w:numId w:val="0"/>
        </w:numPr>
        <w:spacing w:line="360" w:lineRule="auto"/>
        <w:ind w:firstLine="480" w:firstLineChars="200"/>
        <w:rPr>
          <w:rFonts w:ascii="仿宋" w:hAnsi="仿宋" w:eastAsia="仿宋"/>
          <w:color w:val="auto"/>
          <w:sz w:val="24"/>
          <w:szCs w:val="24"/>
          <w:highlight w:val="none"/>
        </w:rPr>
      </w:pPr>
      <w:r>
        <w:rPr>
          <w:rFonts w:hint="eastAsia" w:ascii="仿宋" w:hAnsi="仿宋" w:eastAsia="仿宋" w:cs="仿宋"/>
          <w:color w:val="auto"/>
          <w:sz w:val="24"/>
          <w:szCs w:val="24"/>
          <w:highlight w:val="none"/>
        </w:rPr>
        <w:t>4．质保期间，现场设备运行如有问题体，需立即回应，并与24小时内到达现场处理。</w:t>
      </w:r>
    </w:p>
    <w:p>
      <w:pPr>
        <w:jc w:val="center"/>
        <w:rPr>
          <w:rFonts w:ascii="仿宋" w:hAnsi="仿宋" w:eastAsia="仿宋"/>
          <w:color w:val="auto"/>
          <w:sz w:val="24"/>
          <w:szCs w:val="24"/>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3E467A"/>
    <w:multiLevelType w:val="singleLevel"/>
    <w:tmpl w:val="AE3E467A"/>
    <w:lvl w:ilvl="0" w:tentative="0">
      <w:start w:val="1"/>
      <w:numFmt w:val="bullet"/>
      <w:lvlText w:val=""/>
      <w:lvlJc w:val="left"/>
      <w:pPr>
        <w:ind w:left="987" w:hanging="420"/>
      </w:pPr>
      <w:rPr>
        <w:rFonts w:hint="default" w:ascii="Wingdings" w:hAnsi="Wingdings"/>
      </w:rPr>
    </w:lvl>
  </w:abstractNum>
  <w:abstractNum w:abstractNumId="1">
    <w:nsid w:val="34BDC4D8"/>
    <w:multiLevelType w:val="multilevel"/>
    <w:tmpl w:val="34BDC4D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3926F072"/>
    <w:multiLevelType w:val="multilevel"/>
    <w:tmpl w:val="3926F072"/>
    <w:lvl w:ilvl="0" w:tentative="0">
      <w:start w:val="1"/>
      <w:numFmt w:val="decimal"/>
      <w:suff w:val="nothing"/>
      <w:lvlText w:val="%1、"/>
      <w:lvlJc w:val="left"/>
      <w:rPr>
        <w:b w:val="0"/>
        <w:bCs w:val="0"/>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YjEwYmI4NmRlMmMzOGZkOGM2ZTA1YTVkZmFlZmMifQ=="/>
  </w:docVars>
  <w:rsids>
    <w:rsidRoot w:val="00C93897"/>
    <w:rsid w:val="00037B22"/>
    <w:rsid w:val="00056B0A"/>
    <w:rsid w:val="0005755F"/>
    <w:rsid w:val="0009731A"/>
    <w:rsid w:val="000B65E9"/>
    <w:rsid w:val="000E64FB"/>
    <w:rsid w:val="00117347"/>
    <w:rsid w:val="00161AB5"/>
    <w:rsid w:val="00184924"/>
    <w:rsid w:val="00224AB6"/>
    <w:rsid w:val="00244A1D"/>
    <w:rsid w:val="00295B69"/>
    <w:rsid w:val="002A4A8D"/>
    <w:rsid w:val="002A6BA1"/>
    <w:rsid w:val="002E1158"/>
    <w:rsid w:val="00331B47"/>
    <w:rsid w:val="00332927"/>
    <w:rsid w:val="003767F2"/>
    <w:rsid w:val="003934CE"/>
    <w:rsid w:val="0040573D"/>
    <w:rsid w:val="00413539"/>
    <w:rsid w:val="00425B75"/>
    <w:rsid w:val="004532E6"/>
    <w:rsid w:val="004842C1"/>
    <w:rsid w:val="004D4859"/>
    <w:rsid w:val="004E0447"/>
    <w:rsid w:val="004F337C"/>
    <w:rsid w:val="00525A83"/>
    <w:rsid w:val="00547B78"/>
    <w:rsid w:val="0062046A"/>
    <w:rsid w:val="00653969"/>
    <w:rsid w:val="006731BF"/>
    <w:rsid w:val="00690C1C"/>
    <w:rsid w:val="006A41D6"/>
    <w:rsid w:val="006C54A7"/>
    <w:rsid w:val="00732971"/>
    <w:rsid w:val="007F5A8F"/>
    <w:rsid w:val="008E2C94"/>
    <w:rsid w:val="008F69B5"/>
    <w:rsid w:val="0094783F"/>
    <w:rsid w:val="009A3786"/>
    <w:rsid w:val="009B7D0D"/>
    <w:rsid w:val="009C0EF3"/>
    <w:rsid w:val="009C252C"/>
    <w:rsid w:val="009E1E92"/>
    <w:rsid w:val="00A06B7A"/>
    <w:rsid w:val="00A27D1B"/>
    <w:rsid w:val="00A77C44"/>
    <w:rsid w:val="00AC0418"/>
    <w:rsid w:val="00AE57F5"/>
    <w:rsid w:val="00B76E60"/>
    <w:rsid w:val="00BB2D3C"/>
    <w:rsid w:val="00BB6337"/>
    <w:rsid w:val="00C768B7"/>
    <w:rsid w:val="00C93897"/>
    <w:rsid w:val="00CC233D"/>
    <w:rsid w:val="00CE608D"/>
    <w:rsid w:val="00D00751"/>
    <w:rsid w:val="00D12F60"/>
    <w:rsid w:val="00D2464A"/>
    <w:rsid w:val="00D523CC"/>
    <w:rsid w:val="00D53A4A"/>
    <w:rsid w:val="00D7239C"/>
    <w:rsid w:val="00DB7A47"/>
    <w:rsid w:val="00E06184"/>
    <w:rsid w:val="00E31117"/>
    <w:rsid w:val="00E339CD"/>
    <w:rsid w:val="00E804E7"/>
    <w:rsid w:val="00EE205A"/>
    <w:rsid w:val="00F019D0"/>
    <w:rsid w:val="00F17FF1"/>
    <w:rsid w:val="00F26C4D"/>
    <w:rsid w:val="00F74C54"/>
    <w:rsid w:val="00F80F4D"/>
    <w:rsid w:val="00FA11DF"/>
    <w:rsid w:val="00FA340F"/>
    <w:rsid w:val="00FB655C"/>
    <w:rsid w:val="029E6EA7"/>
    <w:rsid w:val="05E42024"/>
    <w:rsid w:val="0627193B"/>
    <w:rsid w:val="06AD62E4"/>
    <w:rsid w:val="0B3F1804"/>
    <w:rsid w:val="0E361201"/>
    <w:rsid w:val="15991BD5"/>
    <w:rsid w:val="15B605E5"/>
    <w:rsid w:val="193F7525"/>
    <w:rsid w:val="1BC53CC0"/>
    <w:rsid w:val="23E94768"/>
    <w:rsid w:val="260333D3"/>
    <w:rsid w:val="34E555FD"/>
    <w:rsid w:val="3BDF3B42"/>
    <w:rsid w:val="401A3ABB"/>
    <w:rsid w:val="40753C0B"/>
    <w:rsid w:val="40D570A5"/>
    <w:rsid w:val="438321BA"/>
    <w:rsid w:val="43FE4D82"/>
    <w:rsid w:val="48667F27"/>
    <w:rsid w:val="4B247062"/>
    <w:rsid w:val="4C09033D"/>
    <w:rsid w:val="4D7732B9"/>
    <w:rsid w:val="50706C23"/>
    <w:rsid w:val="56800C33"/>
    <w:rsid w:val="56CE6268"/>
    <w:rsid w:val="587E1D48"/>
    <w:rsid w:val="5AA47081"/>
    <w:rsid w:val="632B79D1"/>
    <w:rsid w:val="64C319A4"/>
    <w:rsid w:val="65286462"/>
    <w:rsid w:val="663B72A5"/>
    <w:rsid w:val="664B2038"/>
    <w:rsid w:val="67002A3B"/>
    <w:rsid w:val="6A2133F4"/>
    <w:rsid w:val="6CF70845"/>
    <w:rsid w:val="6D0758AB"/>
    <w:rsid w:val="6E900B48"/>
    <w:rsid w:val="75F327AF"/>
    <w:rsid w:val="76E15F49"/>
    <w:rsid w:val="7B2745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Normal Indent"/>
    <w:basedOn w:val="1"/>
    <w:next w:val="1"/>
    <w:qFormat/>
    <w:uiPriority w:val="0"/>
    <w:pPr>
      <w:ind w:firstLine="420" w:firstLineChars="200"/>
    </w:pPr>
  </w:style>
  <w:style w:type="paragraph" w:styleId="4">
    <w:name w:val="annotation text"/>
    <w:basedOn w:val="1"/>
    <w:link w:val="19"/>
    <w:semiHidden/>
    <w:unhideWhenUsed/>
    <w:qFormat/>
    <w:uiPriority w:val="99"/>
    <w:pPr>
      <w:jc w:val="left"/>
    </w:pPr>
  </w:style>
  <w:style w:type="paragraph" w:styleId="5">
    <w:name w:val="Balloon Text"/>
    <w:basedOn w:val="1"/>
    <w:link w:val="16"/>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0"/>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paragraph" w:styleId="15">
    <w:name w:val="List Paragraph"/>
    <w:basedOn w:val="1"/>
    <w:qFormat/>
    <w:uiPriority w:val="34"/>
    <w:pPr>
      <w:tabs>
        <w:tab w:val="left" w:pos="777"/>
      </w:tabs>
      <w:ind w:left="1508" w:firstLine="420" w:firstLineChars="200"/>
    </w:pPr>
    <w:rPr>
      <w:rFonts w:ascii="Times New Roman" w:hAnsi="Times New Roman" w:eastAsia="宋体" w:cs="Times New Roman"/>
      <w:sz w:val="24"/>
      <w:szCs w:val="24"/>
    </w:rPr>
  </w:style>
  <w:style w:type="character" w:customStyle="1" w:styleId="16">
    <w:name w:val="批注框文本 Char"/>
    <w:basedOn w:val="11"/>
    <w:link w:val="5"/>
    <w:semiHidden/>
    <w:qFormat/>
    <w:uiPriority w:val="99"/>
    <w:rPr>
      <w:kern w:val="2"/>
      <w:sz w:val="18"/>
      <w:szCs w:val="18"/>
    </w:rPr>
  </w:style>
  <w:style w:type="character" w:customStyle="1" w:styleId="17">
    <w:name w:val="页眉 Char"/>
    <w:basedOn w:val="11"/>
    <w:link w:val="7"/>
    <w:qFormat/>
    <w:uiPriority w:val="99"/>
    <w:rPr>
      <w:rFonts w:asciiTheme="minorHAnsi" w:hAnsiTheme="minorHAnsi" w:eastAsiaTheme="minorEastAsia" w:cstheme="minorBidi"/>
      <w:kern w:val="2"/>
      <w:sz w:val="18"/>
      <w:szCs w:val="18"/>
    </w:rPr>
  </w:style>
  <w:style w:type="character" w:customStyle="1" w:styleId="18">
    <w:name w:val="页脚 Char"/>
    <w:basedOn w:val="11"/>
    <w:link w:val="6"/>
    <w:qFormat/>
    <w:uiPriority w:val="99"/>
    <w:rPr>
      <w:rFonts w:asciiTheme="minorHAnsi" w:hAnsiTheme="minorHAnsi" w:eastAsiaTheme="minorEastAsia" w:cstheme="minorBidi"/>
      <w:kern w:val="2"/>
      <w:sz w:val="18"/>
      <w:szCs w:val="18"/>
    </w:rPr>
  </w:style>
  <w:style w:type="character" w:customStyle="1" w:styleId="19">
    <w:name w:val="批注文字 Char"/>
    <w:basedOn w:val="11"/>
    <w:link w:val="4"/>
    <w:semiHidden/>
    <w:qFormat/>
    <w:uiPriority w:val="99"/>
    <w:rPr>
      <w:rFonts w:asciiTheme="minorHAnsi" w:hAnsiTheme="minorHAnsi" w:eastAsiaTheme="minorEastAsia" w:cstheme="minorBidi"/>
      <w:kern w:val="2"/>
      <w:sz w:val="21"/>
      <w:szCs w:val="22"/>
    </w:rPr>
  </w:style>
  <w:style w:type="character" w:customStyle="1" w:styleId="20">
    <w:name w:val="批注主题 Char"/>
    <w:basedOn w:val="19"/>
    <w:link w:val="8"/>
    <w:semiHidden/>
    <w:qFormat/>
    <w:uiPriority w:val="99"/>
    <w:rPr>
      <w:rFonts w:asciiTheme="minorHAnsi" w:hAnsiTheme="minorHAnsi" w:eastAsiaTheme="minorEastAsia" w:cstheme="minorBidi"/>
      <w:b/>
      <w:bCs/>
      <w:kern w:val="2"/>
      <w:sz w:val="21"/>
      <w:szCs w:val="22"/>
    </w:rPr>
  </w:style>
  <w:style w:type="character" w:customStyle="1" w:styleId="21">
    <w:name w:val="font11"/>
    <w:basedOn w:val="11"/>
    <w:qFormat/>
    <w:uiPriority w:val="0"/>
    <w:rPr>
      <w:rFonts w:ascii="宋体" w:hAnsi="宋体" w:eastAsia="宋体" w:cs="宋体"/>
      <w:b/>
      <w:bCs/>
      <w:color w:val="000000"/>
      <w:sz w:val="12"/>
      <w:szCs w:val="12"/>
      <w:u w:val="none"/>
    </w:rPr>
  </w:style>
  <w:style w:type="character" w:customStyle="1" w:styleId="22">
    <w:name w:val="font01"/>
    <w:basedOn w:val="11"/>
    <w:qFormat/>
    <w:uiPriority w:val="0"/>
    <w:rPr>
      <w:rFonts w:ascii="宋体" w:hAnsi="宋体" w:eastAsia="宋体" w:cs="宋体"/>
      <w:color w:val="000000"/>
      <w:sz w:val="12"/>
      <w:szCs w:val="12"/>
      <w:u w:val="none"/>
    </w:rPr>
  </w:style>
  <w:style w:type="character" w:customStyle="1" w:styleId="23">
    <w:name w:val="font31"/>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8C40A0-5792-4638-BF70-4FA884E4906B}">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3169</Words>
  <Characters>18064</Characters>
  <Lines>150</Lines>
  <Paragraphs>42</Paragraphs>
  <TotalTime>2</TotalTime>
  <ScaleCrop>false</ScaleCrop>
  <LinksUpToDate>false</LinksUpToDate>
  <CharactersWithSpaces>21191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2023-08-04T10:46:00Z</dcterms:created>
  <dc:creator>Yan</dc:creator>
  <cp:lastModifiedBy>吴亚倩：｜</cp:lastModifiedBy>
  <cp:lastPrinted>2023-07-03T03:05:00Z</cp:lastPrinted>
  <dcterms:modified xsi:type="dcterms:W3CDTF">2023-09-18T11:25:24Z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F49615661BCF4652BDCE6A1CECBC9E07_13</vt:lpwstr>
  </property>
</Properties>
</file>